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t xml:space="preserve"> </w:t>
      </w:r>
      <w:r/>
    </w:p>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t xml:space="preserve">招　标　文　件</w:t>
      </w:r>
      <w:r/>
    </w:p>
    <w:p>
      <w:pPr>
        <w:ind w:left="0" w:right="0" w:firstLine="218"/>
        <w:jc w:val="center"/>
        <w:spacing w:before="120" w:after="120" w:line="360" w:lineRule="auto"/>
        <w:rPr>
          <w:rFonts w:ascii="仿宋" w:hAnsi="仿宋" w:eastAsia="仿宋" w:cs="仿宋"/>
          <w:b/>
          <w:bCs/>
          <w:color w:val="auto"/>
          <w:sz w:val="32"/>
          <w:szCs w:val="24"/>
          <w:highlight w:val="none"/>
          <w:lang w:val="en-US" w:eastAsia="zh-CN"/>
        </w:rPr>
      </w:pPr>
      <w:r>
        <w:rPr>
          <w:rFonts w:ascii="仿宋" w:hAnsi="仿宋" w:eastAsia="仿宋" w:cs="仿宋"/>
          <w:b/>
          <w:bCs/>
          <w:color w:val="auto"/>
          <w:sz w:val="32"/>
          <w:szCs w:val="24"/>
          <w:highlight w:val="none"/>
        </w:rPr>
        <w:t xml:space="preserve">项目名称：</w:t>
      </w:r>
      <w:r>
        <w:rPr>
          <w:rFonts w:ascii="仿宋" w:hAnsi="仿宋" w:eastAsia="仿宋" w:cs="仿宋"/>
          <w:b/>
          <w:bCs/>
          <w:color w:val="auto"/>
          <w:sz w:val="32"/>
          <w:szCs w:val="24"/>
          <w:highlight w:val="none"/>
          <w:u w:val="single"/>
        </w:rPr>
        <w:t xml:space="preserve">如东县应急管理局微型水罐消防车及随车器材装备采购项目</w:t>
      </w:r>
      <w:r/>
    </w:p>
    <w:p>
      <w:pPr>
        <w:ind w:left="0" w:right="0" w:firstLine="218"/>
        <w:jc w:val="left"/>
        <w:spacing w:before="120" w:after="120" w:line="360" w:lineRule="auto"/>
        <w:rPr>
          <w:rFonts w:hint="default" w:ascii="仿宋" w:hAnsi="仿宋" w:eastAsia="仿宋" w:cs="仿宋"/>
          <w:b/>
          <w:bCs/>
          <w:color w:val="auto"/>
          <w:sz w:val="32"/>
          <w:szCs w:val="24"/>
          <w:highlight w:val="none"/>
          <w:u w:val="none"/>
          <w:lang w:val="en-US" w:eastAsia="zh-CN"/>
        </w:rPr>
      </w:pPr>
      <w:r>
        <w:rPr>
          <w:rFonts w:ascii="仿宋" w:hAnsi="仿宋" w:eastAsia="仿宋" w:cs="仿宋"/>
          <w:b/>
          <w:bCs/>
          <w:color w:val="auto"/>
          <w:sz w:val="32"/>
          <w:szCs w:val="24"/>
          <w:highlight w:val="none"/>
        </w:rPr>
        <w:t xml:space="preserve">项目编号：</w:t>
      </w:r>
      <w:r>
        <w:rPr>
          <w:rFonts w:hint="eastAsia" w:ascii="仿宋" w:hAnsi="仿宋" w:eastAsia="仿宋" w:cs="仿宋"/>
          <w:b/>
          <w:bCs/>
          <w:color w:val="auto"/>
          <w:sz w:val="32"/>
          <w:szCs w:val="24"/>
          <w:highlight w:val="none"/>
          <w:u w:val="single"/>
          <w:lang w:val="en-US" w:eastAsia="zh-CN"/>
        </w:rPr>
        <w:t xml:space="preserve">        JSZC-320623-JSDZ-G2026-0073        </w:t>
      </w:r>
      <w:r/>
    </w:p>
    <w:p>
      <w:pPr>
        <w:ind w:left="2800" w:right="0" w:hanging="2800"/>
        <w:rPr>
          <w:rFonts w:ascii="仿宋" w:hAnsi="仿宋" w:eastAsia="仿宋" w:cs="仿宋"/>
          <w:b/>
          <w:color w:val="auto"/>
          <w:sz w:val="28"/>
          <w:szCs w:val="28"/>
          <w:highlight w:val="none"/>
        </w:rPr>
      </w:pPr>
      <w:r>
        <w:rPr>
          <w:rFonts w:ascii="仿宋" w:hAnsi="仿宋" w:eastAsia="仿宋" w:cs="仿宋"/>
          <w:color w:val="auto"/>
          <w:sz w:val="28"/>
          <w:szCs w:val="28"/>
          <w:highlight w:val="none"/>
        </w:rPr>
        <w:t xml:space="preserve">       </w:t>
      </w:r>
      <w:r>
        <w:rPr>
          <w:rFonts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ascii="仿宋" w:hAnsi="仿宋" w:eastAsia="仿宋" w:cs="仿宋"/>
          <w:b/>
          <w:color w:val="auto"/>
          <w:sz w:val="28"/>
          <w:szCs w:val="28"/>
          <w:highlight w:val="none"/>
        </w:rPr>
        <w:t xml:space="preserve">（全流程电子化-货物类项目，适用苏采云系统）</w:t>
      </w:r>
      <w:r/>
    </w:p>
    <w:p>
      <w:pPr>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center"/>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重新发布</w:t>
      </w:r>
      <w:r>
        <w:rPr>
          <w:rFonts w:hint="eastAsia" w:ascii="仿宋" w:hAnsi="仿宋" w:eastAsia="仿宋" w:cs="仿宋"/>
          <w:b/>
          <w:bCs/>
          <w:color w:val="auto"/>
          <w:sz w:val="24"/>
          <w:szCs w:val="24"/>
          <w:highlight w:val="none"/>
          <w:lang w:eastAsia="zh-CN"/>
        </w:rPr>
        <w:t xml:space="preserve">）</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360" w:lineRule="auto"/>
        <w:rPr>
          <w:rFonts w:ascii="仿宋" w:hAnsi="仿宋" w:eastAsia="仿宋" w:cs="仿宋"/>
          <w:b/>
          <w:bCs/>
          <w:color w:val="auto"/>
          <w:sz w:val="32"/>
          <w:szCs w:val="24"/>
          <w:highlight w:val="none"/>
          <w:lang w:eastAsia="zh-CN"/>
        </w:rPr>
      </w:pPr>
      <w:r>
        <w:rPr>
          <w:rFonts w:ascii="仿宋" w:hAnsi="仿宋" w:eastAsia="仿宋" w:cs="仿宋"/>
          <w:b/>
          <w:bCs/>
          <w:color w:val="auto"/>
          <w:sz w:val="32"/>
          <w:szCs w:val="24"/>
          <w:highlight w:val="none"/>
          <w:lang w:eastAsia="zh-CN"/>
        </w:rPr>
        <w:t xml:space="preserve">如东县应急管理局</w:t>
      </w:r>
      <w:r/>
    </w:p>
    <w:p>
      <w:pPr>
        <w:jc w:val="center"/>
        <w:spacing w:before="120" w:after="120" w:line="360" w:lineRule="auto"/>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u w:val="single"/>
          <w:lang w:val="en-US" w:eastAsia="zh-CN"/>
        </w:rPr>
        <w:t xml:space="preserve">2026</w:t>
      </w:r>
      <w:r>
        <w:rPr>
          <w:rFonts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u w:val="single"/>
          <w:lang w:val="en-US" w:eastAsia="zh-CN"/>
        </w:rPr>
        <w:t xml:space="preserve">9</w:t>
      </w:r>
      <w:r>
        <w:rPr>
          <w:rFonts w:ascii="仿宋" w:hAnsi="仿宋" w:eastAsia="仿宋" w:cs="仿宋"/>
          <w:b/>
          <w:bCs/>
          <w:color w:val="auto"/>
          <w:sz w:val="32"/>
          <w:szCs w:val="24"/>
          <w:highlight w:val="none"/>
        </w:rPr>
        <w:t xml:space="preserve">月</w:t>
      </w:r>
      <w:r/>
    </w:p>
    <w:p>
      <w:pPr>
        <w:jc w:val="left"/>
        <w:spacing w:before="120" w:after="120"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w:t>
      </w:r>
      <w:r/>
    </w:p>
    <w:p>
      <w:pPr>
        <w:jc w:val="center"/>
        <w:spacing w:before="120" w:after="120" w:line="360" w:lineRule="auto"/>
        <w:rPr>
          <w:rFonts w:ascii="仿宋" w:hAnsi="仿宋" w:eastAsia="仿宋" w:cs="仿宋"/>
          <w:color w:val="auto"/>
          <w:sz w:val="24"/>
          <w:szCs w:val="24"/>
          <w:highlight w:val="none"/>
          <w:u w:val="single"/>
        </w:rPr>
        <w:sectPr>
          <w:headerReference w:type="default" r:id="rId9"/>
          <w:headerReference w:type="first" r:id="rId10"/>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仿宋" w:hAnsi="仿宋" w:eastAsia="仿宋" w:cs="仿宋"/>
          <w:color w:val="auto"/>
          <w:sz w:val="24"/>
          <w:szCs w:val="24"/>
          <w:highlight w:val="none"/>
          <w:u w:val="single"/>
        </w:rPr>
      </w:r>
      <w:r/>
    </w:p>
    <w:p>
      <w:pPr>
        <w:jc w:val="center"/>
        <w:spacing w:line="480" w:lineRule="auto"/>
        <w:rPr>
          <w:rFonts w:ascii="仿宋" w:hAnsi="仿宋" w:eastAsia="仿宋" w:cs="仿宋"/>
          <w:b/>
          <w:color w:val="auto"/>
          <w:sz w:val="44"/>
          <w:szCs w:val="21"/>
          <w:highlight w:val="none"/>
        </w:rPr>
      </w:pPr>
      <w:r>
        <w:rPr>
          <w:rFonts w:ascii="仿宋" w:hAnsi="仿宋" w:eastAsia="仿宋" w:cs="仿宋"/>
          <w:b/>
          <w:color w:val="auto"/>
          <w:sz w:val="44"/>
          <w:szCs w:val="21"/>
          <w:highlight w:val="none"/>
        </w:rPr>
        <w:t xml:space="preserve">总  目  录</w:t>
      </w:r>
      <w:r/>
    </w:p>
    <w:p>
      <w:pPr>
        <w:spacing w:line="480" w:lineRule="auto"/>
        <w:rPr>
          <w:rFonts w:ascii="仿宋" w:hAnsi="仿宋" w:eastAsia="仿宋" w:cs="仿宋"/>
          <w:b/>
          <w:color w:val="auto"/>
          <w:sz w:val="28"/>
          <w:szCs w:val="21"/>
          <w:highlight w:val="none"/>
        </w:rPr>
      </w:pPr>
      <w:r>
        <w:rPr>
          <w:rFonts w:ascii="仿宋" w:hAnsi="仿宋" w:eastAsia="仿宋" w:cs="仿宋"/>
          <w:b/>
          <w:color w:val="auto"/>
          <w:sz w:val="28"/>
          <w:szCs w:val="21"/>
          <w:highlight w:val="none"/>
        </w:rPr>
      </w:r>
      <w:r/>
    </w:p>
    <w:sdt>
      <w:sdtPr>
        <w15:appearance w15:val="boundingBox"/>
        <w:id w:val="2"/>
        <w:docPartObj>
          <w:docPartGallery w:val="Table of Contents"/>
          <w:docPartUnique w:val="true"/>
        </w:docPartObj>
        <w:rPr>
          <w:color w:val="auto"/>
          <w:highlight w:val="none"/>
        </w:rPr>
      </w:sdtPr>
      <w:sdtContent>
        <w:p>
          <w:pPr>
            <w:pStyle w:val="736"/>
            <w:tabs>
              <w:tab w:val="right" w:pos="8953" w:leader="dot"/>
            </w:tabs>
            <w:rPr>
              <w:rFonts w:ascii="仿宋" w:hAnsi="仿宋" w:eastAsia="仿宋" w:cs="仿宋"/>
              <w:color w:val="auto"/>
              <w:sz w:val="36"/>
              <w:szCs w:val="36"/>
              <w:highlight w:val="none"/>
            </w:rPr>
          </w:pPr>
          <w:r>
            <w:rPr>
              <w:color w:val="auto"/>
              <w:highlight w:val="none"/>
            </w:rPr>
            <w:fldChar w:fldCharType="begin"/>
          </w:r>
          <w:r>
            <w:rPr>
              <w:rStyle w:val="788"/>
              <w:rFonts w:ascii="仿宋" w:hAnsi="仿宋" w:eastAsia="仿宋" w:cs="仿宋"/>
              <w:color w:val="auto"/>
              <w:sz w:val="36"/>
              <w:szCs w:val="56"/>
              <w:highlight w:val="none"/>
            </w:rPr>
            <w:instrText xml:space="preserve">TOC \o "1-1" \h \u </w:instrText>
          </w:r>
          <w:r>
            <w:rPr>
              <w:rStyle w:val="788"/>
              <w:rFonts w:ascii="仿宋" w:hAnsi="仿宋" w:eastAsia="仿宋" w:cs="仿宋"/>
              <w:color w:val="auto"/>
              <w:sz w:val="36"/>
              <w:szCs w:val="56"/>
              <w:highlight w:val="none"/>
            </w:rPr>
            <w:fldChar w:fldCharType="separate"/>
          </w:r>
          <w:r>
            <w:rPr>
              <w:color w:val="auto"/>
              <w:highlight w:val="none"/>
            </w:rPr>
            <w:fldChar w:fldCharType="begin"/>
          </w:r>
          <w:r>
            <w:rPr>
              <w:color w:val="auto"/>
              <w:highlight w:val="none"/>
            </w:rPr>
            <w:instrText xml:space="preserve"> HYPERLINK \l "__RefHeading___Toc28938" \h </w:instrText>
          </w:r>
          <w:r>
            <w:rPr>
              <w:color w:val="auto"/>
              <w:highlight w:val="none"/>
            </w:rPr>
            <w:fldChar w:fldCharType="separate"/>
          </w:r>
          <w:r>
            <w:rPr>
              <w:rStyle w:val="788"/>
              <w:rFonts w:ascii="仿宋" w:hAnsi="仿宋" w:eastAsia="仿宋" w:cs="仿宋"/>
              <w:color w:val="auto"/>
              <w:sz w:val="36"/>
              <w:szCs w:val="56"/>
              <w:highlight w:val="none"/>
            </w:rPr>
            <w:t xml:space="preserve">第一章  投标邀请</w:t>
          </w:r>
          <w:r>
            <w:rPr>
              <w:rStyle w:val="788"/>
              <w:rFonts w:ascii="仿宋" w:hAnsi="仿宋" w:eastAsia="仿宋" w:cs="仿宋"/>
              <w:color w:val="auto"/>
              <w:sz w:val="36"/>
              <w:szCs w:val="36"/>
              <w:highlight w:val="none"/>
            </w:rPr>
            <w:tab/>
          </w:r>
          <w:r>
            <w:rPr>
              <w:rStyle w:val="788"/>
              <w:rFonts w:ascii="仿宋" w:hAnsi="仿宋" w:eastAsia="仿宋" w:cs="仿宋"/>
              <w:color w:val="auto"/>
              <w:sz w:val="36"/>
              <w:szCs w:val="36"/>
              <w:highlight w:val="none"/>
            </w:rPr>
            <w:t xml:space="preserve">2</w:t>
          </w:r>
          <w:r>
            <w:rPr>
              <w:rStyle w:val="788"/>
              <w:rFonts w:ascii="仿宋" w:hAnsi="仿宋" w:eastAsia="仿宋" w:cs="仿宋"/>
              <w:color w:val="auto"/>
              <w:sz w:val="36"/>
              <w:szCs w:val="36"/>
              <w:highlight w:val="none"/>
            </w:rPr>
            <w:fldChar w:fldCharType="end"/>
          </w:r>
          <w:r/>
        </w:p>
        <w:p>
          <w:pPr>
            <w:pStyle w:val="736"/>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"__RefHeading___Toc8900" \h </w:instrText>
          </w:r>
          <w:r>
            <w:rPr>
              <w:color w:val="auto"/>
              <w:highlight w:val="none"/>
            </w:rPr>
            <w:fldChar w:fldCharType="separate"/>
          </w:r>
          <w:r>
            <w:rPr>
              <w:rStyle w:val="788"/>
              <w:rFonts w:ascii="仿宋" w:hAnsi="仿宋" w:eastAsia="仿宋" w:cs="仿宋"/>
              <w:bCs/>
              <w:color w:val="auto"/>
              <w:sz w:val="36"/>
              <w:szCs w:val="56"/>
              <w:highlight w:val="none"/>
            </w:rPr>
            <w:t xml:space="preserve">第二章  投标人须知</w:t>
          </w:r>
          <w:r>
            <w:rPr>
              <w:rStyle w:val="788"/>
              <w:rFonts w:ascii="仿宋" w:hAnsi="仿宋" w:eastAsia="仿宋" w:cs="仿宋"/>
              <w:color w:val="auto"/>
              <w:sz w:val="36"/>
              <w:szCs w:val="36"/>
              <w:highlight w:val="none"/>
            </w:rPr>
            <w:tab/>
          </w:r>
          <w:r>
            <w:rPr>
              <w:rStyle w:val="788"/>
              <w:rFonts w:hint="eastAsia" w:ascii="仿宋" w:hAnsi="仿宋" w:eastAsia="仿宋" w:cs="仿宋"/>
              <w:caps/>
              <w:color w:val="auto"/>
              <w:sz w:val="36"/>
              <w:szCs w:val="36"/>
              <w:highlight w:val="none"/>
              <w:lang w:val="en-US" w:eastAsia="zh-CN"/>
            </w:rPr>
            <w:t xml:space="preserve">5</w:t>
          </w:r>
          <w:r>
            <w:rPr>
              <w:rStyle w:val="788"/>
              <w:rFonts w:ascii="仿宋" w:hAnsi="仿宋" w:eastAsia="仿宋" w:cs="仿宋"/>
              <w:caps/>
              <w:color w:val="auto"/>
              <w:sz w:val="36"/>
              <w:szCs w:val="36"/>
              <w:highlight w:val="none"/>
              <w:lang w:val="en-US" w:eastAsia="zh-CN"/>
            </w:rPr>
            <w:fldChar w:fldCharType="end"/>
          </w:r>
          <w:r/>
        </w:p>
        <w:p>
          <w:pPr>
            <w:pStyle w:val="736"/>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"__RefHeading___Toc15715" \h </w:instrText>
          </w:r>
          <w:r>
            <w:rPr>
              <w:color w:val="auto"/>
              <w:highlight w:val="none"/>
            </w:rPr>
            <w:fldChar w:fldCharType="separate"/>
          </w:r>
          <w:r>
            <w:rPr>
              <w:rStyle w:val="788"/>
              <w:rFonts w:ascii="仿宋" w:hAnsi="仿宋" w:eastAsia="仿宋" w:cs="仿宋"/>
              <w:bCs/>
              <w:color w:val="auto"/>
              <w:sz w:val="36"/>
              <w:szCs w:val="40"/>
              <w:highlight w:val="none"/>
            </w:rPr>
            <w:t xml:space="preserve">第三章  合同文本</w:t>
          </w:r>
          <w:r>
            <w:rPr>
              <w:rStyle w:val="788"/>
              <w:rFonts w:ascii="仿宋" w:hAnsi="仿宋" w:eastAsia="仿宋" w:cs="仿宋"/>
              <w:color w:val="auto"/>
              <w:sz w:val="36"/>
              <w:szCs w:val="36"/>
              <w:highlight w:val="none"/>
            </w:rPr>
            <w:tab/>
          </w:r>
          <w:r>
            <w:rPr>
              <w:rStyle w:val="788"/>
              <w:rFonts w:ascii="仿宋" w:hAnsi="仿宋" w:eastAsia="仿宋" w:cs="仿宋"/>
              <w:caps/>
              <w:color w:val="auto"/>
              <w:sz w:val="36"/>
              <w:szCs w:val="36"/>
              <w:highlight w:val="none"/>
              <w:lang w:val="en-US" w:eastAsia="zh-CN"/>
            </w:rPr>
            <w:t xml:space="preserve">1</w:t>
          </w:r>
          <w:r>
            <w:rPr>
              <w:rStyle w:val="788"/>
              <w:rFonts w:hint="eastAsia" w:ascii="仿宋" w:hAnsi="仿宋" w:eastAsia="仿宋" w:cs="仿宋"/>
              <w:caps/>
              <w:color w:val="auto"/>
              <w:sz w:val="36"/>
              <w:szCs w:val="36"/>
              <w:highlight w:val="none"/>
              <w:lang w:val="en-US" w:eastAsia="zh-CN"/>
            </w:rPr>
            <w:t xml:space="preserve">6</w:t>
          </w:r>
          <w:r>
            <w:rPr>
              <w:rStyle w:val="788"/>
              <w:rFonts w:ascii="仿宋" w:hAnsi="仿宋" w:eastAsia="仿宋" w:cs="仿宋"/>
              <w:caps/>
              <w:color w:val="auto"/>
              <w:sz w:val="36"/>
              <w:szCs w:val="36"/>
              <w:highlight w:val="none"/>
              <w:lang w:val="en-US" w:eastAsia="zh-CN"/>
            </w:rPr>
            <w:fldChar w:fldCharType="end"/>
          </w:r>
          <w:r/>
        </w:p>
        <w:p>
          <w:pPr>
            <w:pStyle w:val="736"/>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"__RefHeading___Toc26382" \h </w:instrText>
          </w:r>
          <w:r>
            <w:rPr>
              <w:color w:val="auto"/>
              <w:highlight w:val="none"/>
            </w:rPr>
            <w:fldChar w:fldCharType="separate"/>
          </w:r>
          <w:r>
            <w:rPr>
              <w:rStyle w:val="788"/>
              <w:rFonts w:ascii="仿宋" w:hAnsi="仿宋" w:eastAsia="仿宋" w:cs="仿宋"/>
              <w:bCs/>
              <w:color w:val="auto"/>
              <w:sz w:val="36"/>
              <w:szCs w:val="28"/>
              <w:highlight w:val="none"/>
            </w:rPr>
            <w:t xml:space="preserve">第四章 </w:t>
          </w:r>
          <w:r>
            <w:rPr>
              <w:rStyle w:val="788"/>
              <w:rFonts w:ascii="仿宋" w:hAnsi="仿宋" w:eastAsia="仿宋" w:cs="仿宋"/>
              <w:bCs/>
              <w:color w:val="auto"/>
              <w:sz w:val="36"/>
              <w:szCs w:val="28"/>
              <w:highlight w:val="none"/>
              <w:lang w:val="en-US" w:eastAsia="zh-CN"/>
            </w:rPr>
            <w:t xml:space="preserve"> </w:t>
          </w:r>
          <w:r>
            <w:rPr>
              <w:rStyle w:val="788"/>
              <w:rFonts w:ascii="仿宋" w:hAnsi="仿宋" w:eastAsia="仿宋" w:cs="仿宋"/>
              <w:bCs/>
              <w:color w:val="auto"/>
              <w:sz w:val="36"/>
              <w:szCs w:val="28"/>
              <w:highlight w:val="none"/>
            </w:rPr>
            <w:t xml:space="preserve">采购需求</w:t>
          </w:r>
          <w:r>
            <w:rPr>
              <w:rStyle w:val="788"/>
              <w:rFonts w:ascii="仿宋" w:hAnsi="仿宋" w:eastAsia="仿宋" w:cs="仿宋"/>
              <w:color w:val="auto"/>
              <w:sz w:val="36"/>
              <w:szCs w:val="36"/>
              <w:highlight w:val="none"/>
            </w:rPr>
            <w:tab/>
          </w:r>
          <w:r>
            <w:rPr>
              <w:rStyle w:val="788"/>
              <w:rFonts w:ascii="仿宋" w:hAnsi="仿宋" w:eastAsia="仿宋" w:cs="仿宋"/>
              <w:caps/>
              <w:color w:val="auto"/>
              <w:sz w:val="36"/>
              <w:szCs w:val="36"/>
              <w:highlight w:val="none"/>
              <w:lang w:val="en-US" w:eastAsia="zh-CN"/>
            </w:rPr>
            <w:t xml:space="preserve">2</w:t>
          </w:r>
          <w:r>
            <w:rPr>
              <w:rStyle w:val="788"/>
              <w:rFonts w:hint="eastAsia" w:ascii="仿宋" w:hAnsi="仿宋" w:eastAsia="仿宋" w:cs="仿宋"/>
              <w:caps/>
              <w:color w:val="auto"/>
              <w:sz w:val="36"/>
              <w:szCs w:val="36"/>
              <w:highlight w:val="none"/>
              <w:lang w:val="en-US" w:eastAsia="zh-CN"/>
            </w:rPr>
            <w:t xml:space="preserve">0</w:t>
          </w:r>
          <w:r>
            <w:rPr>
              <w:rStyle w:val="788"/>
              <w:rFonts w:ascii="仿宋" w:hAnsi="仿宋" w:eastAsia="仿宋" w:cs="仿宋"/>
              <w:caps/>
              <w:color w:val="auto"/>
              <w:sz w:val="36"/>
              <w:szCs w:val="36"/>
              <w:highlight w:val="none"/>
              <w:lang w:val="en-US" w:eastAsia="zh-CN"/>
            </w:rPr>
            <w:fldChar w:fldCharType="end"/>
          </w:r>
          <w:r/>
        </w:p>
        <w:p>
          <w:pPr>
            <w:pStyle w:val="736"/>
            <w:tabs>
              <w:tab w:val="right" w:pos="8953" w:leader="dot"/>
            </w:tabs>
            <w:rPr>
              <w:rFonts w:hint="default" w:ascii="仿宋" w:hAnsi="仿宋" w:eastAsia="仿宋" w:cs="仿宋"/>
              <w:color w:val="auto"/>
              <w:sz w:val="36"/>
              <w:szCs w:val="36"/>
              <w:highlight w:val="none"/>
              <w:lang w:val="en-US"/>
            </w:rPr>
          </w:pPr>
          <w:r>
            <w:rPr>
              <w:color w:val="auto"/>
              <w:highlight w:val="none"/>
            </w:rPr>
            <w:fldChar w:fldCharType="begin"/>
          </w:r>
          <w:r>
            <w:rPr>
              <w:color w:val="auto"/>
              <w:highlight w:val="none"/>
            </w:rPr>
            <w:instrText xml:space="preserve"> HYPERLINK \l "__RefHeading___Toc8870" \h </w:instrText>
          </w:r>
          <w:r>
            <w:rPr>
              <w:color w:val="auto"/>
              <w:highlight w:val="none"/>
            </w:rPr>
            <w:fldChar w:fldCharType="separate"/>
          </w:r>
          <w:r>
            <w:rPr>
              <w:rStyle w:val="788"/>
              <w:rFonts w:ascii="仿宋" w:hAnsi="仿宋" w:eastAsia="仿宋" w:cs="仿宋"/>
              <w:bCs/>
              <w:color w:val="auto"/>
              <w:sz w:val="36"/>
              <w:szCs w:val="40"/>
              <w:highlight w:val="none"/>
            </w:rPr>
            <w:t xml:space="preserve">第五章  评标方法与评标标准</w:t>
          </w:r>
          <w:r>
            <w:rPr>
              <w:rStyle w:val="788"/>
              <w:rFonts w:ascii="仿宋" w:hAnsi="仿宋" w:eastAsia="仿宋" w:cs="仿宋"/>
              <w:color w:val="auto"/>
              <w:sz w:val="36"/>
              <w:szCs w:val="36"/>
              <w:highlight w:val="none"/>
            </w:rPr>
            <w:tab/>
          </w:r>
          <w:r>
            <w:rPr>
              <w:rStyle w:val="788"/>
              <w:rFonts w:hint="eastAsia" w:ascii="仿宋" w:hAnsi="仿宋" w:eastAsia="仿宋" w:cs="仿宋"/>
              <w:caps/>
              <w:color w:val="auto"/>
              <w:sz w:val="36"/>
              <w:szCs w:val="36"/>
              <w:highlight w:val="none"/>
              <w:lang w:val="en-US" w:eastAsia="zh-CN"/>
            </w:rPr>
            <w:t xml:space="preserve">3</w:t>
          </w:r>
          <w:r>
            <w:rPr>
              <w:rStyle w:val="788"/>
              <w:rFonts w:ascii="仿宋" w:hAnsi="仿宋" w:eastAsia="仿宋" w:cs="仿宋"/>
              <w:caps/>
              <w:color w:val="auto"/>
              <w:sz w:val="36"/>
              <w:szCs w:val="36"/>
              <w:highlight w:val="none"/>
              <w:lang w:val="en-US" w:eastAsia="zh-CN"/>
            </w:rPr>
            <w:fldChar w:fldCharType="end"/>
          </w:r>
          <w:r>
            <w:rPr>
              <w:rStyle w:val="788"/>
              <w:rFonts w:hint="eastAsia" w:ascii="仿宋" w:hAnsi="仿宋" w:eastAsia="仿宋" w:cs="仿宋"/>
              <w:caps/>
              <w:color w:val="auto"/>
              <w:sz w:val="36"/>
              <w:szCs w:val="36"/>
              <w:highlight w:val="none"/>
              <w:lang w:val="en-US" w:eastAsia="zh-CN"/>
            </w:rPr>
            <w:t xml:space="preserve">1</w:t>
          </w:r>
          <w:r/>
        </w:p>
        <w:p>
          <w:pPr>
            <w:pStyle w:val="736"/>
            <w:tabs>
              <w:tab w:val="right" w:pos="8953" w:leader="dot"/>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"__RefHeading___Toc5763" \h </w:instrText>
          </w:r>
          <w:r>
            <w:rPr>
              <w:color w:val="auto"/>
              <w:highlight w:val="none"/>
            </w:rPr>
            <w:fldChar w:fldCharType="separate"/>
          </w:r>
          <w:r>
            <w:rPr>
              <w:rStyle w:val="788"/>
              <w:rFonts w:ascii="仿宋" w:hAnsi="仿宋" w:eastAsia="仿宋" w:cs="仿宋"/>
              <w:bCs/>
              <w:color w:val="auto"/>
              <w:sz w:val="36"/>
              <w:szCs w:val="40"/>
              <w:highlight w:val="none"/>
            </w:rPr>
            <w:t xml:space="preserve">第六章  投标文件格式</w:t>
          </w:r>
          <w:r>
            <w:rPr>
              <w:rStyle w:val="788"/>
              <w:rFonts w:ascii="仿宋" w:hAnsi="仿宋" w:eastAsia="仿宋" w:cs="仿宋"/>
              <w:color w:val="auto"/>
              <w:sz w:val="36"/>
              <w:szCs w:val="36"/>
              <w:highlight w:val="none"/>
            </w:rPr>
            <w:tab/>
          </w:r>
          <w:r>
            <w:rPr>
              <w:rStyle w:val="788"/>
              <w:rFonts w:hint="eastAsia" w:ascii="仿宋" w:hAnsi="仿宋" w:eastAsia="仿宋" w:cs="仿宋"/>
              <w:caps/>
              <w:color w:val="auto"/>
              <w:sz w:val="36"/>
              <w:szCs w:val="36"/>
              <w:highlight w:val="none"/>
              <w:lang w:val="en-US" w:eastAsia="zh-CN"/>
            </w:rPr>
            <w:t xml:space="preserve">3</w:t>
          </w:r>
          <w:r>
            <w:rPr>
              <w:rStyle w:val="788"/>
              <w:rFonts w:ascii="仿宋" w:hAnsi="仿宋" w:eastAsia="仿宋" w:cs="仿宋"/>
              <w:caps/>
              <w:color w:val="auto"/>
              <w:sz w:val="36"/>
              <w:szCs w:val="36"/>
              <w:highlight w:val="none"/>
              <w:lang w:val="en-US" w:eastAsia="zh-CN"/>
            </w:rPr>
            <w:fldChar w:fldCharType="end"/>
          </w:r>
          <w:r>
            <w:rPr>
              <w:rStyle w:val="788"/>
              <w:rFonts w:ascii="仿宋" w:hAnsi="仿宋" w:eastAsia="仿宋" w:cs="仿宋"/>
              <w:caps/>
              <w:color w:val="auto"/>
              <w:sz w:val="36"/>
              <w:szCs w:val="36"/>
              <w:highlight w:val="none"/>
              <w:lang w:val="en-US" w:eastAsia="zh-CN"/>
            </w:rPr>
            <w:fldChar w:fldCharType="end"/>
          </w:r>
          <w:r>
            <w:rPr>
              <w:rStyle w:val="788"/>
              <w:rFonts w:hint="eastAsia" w:ascii="仿宋" w:hAnsi="仿宋" w:eastAsia="仿宋" w:cs="仿宋"/>
              <w:caps/>
              <w:color w:val="auto"/>
              <w:sz w:val="36"/>
              <w:szCs w:val="36"/>
              <w:highlight w:val="none"/>
              <w:lang w:val="en-US" w:eastAsia="zh-CN"/>
            </w:rPr>
            <w:t xml:space="preserve">7</w:t>
          </w:r>
          <w:r/>
        </w:p>
      </w:sdtContent>
    </w:sdt>
    <w:p>
      <w:pPr>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color w:val="auto"/>
          <w:highlight w:val="none"/>
        </w:rPr>
        <w:br w:type="page" w:clear="all"/>
      </w:r>
      <w:r/>
    </w:p>
    <w:p>
      <w:pPr>
        <w:numPr>
          <w:ilvl w:val="0"/>
          <w:numId w:val="0"/>
        </w:numPr>
        <w:jc w:val="center"/>
        <w:keepNext/>
        <w:rPr>
          <w:rFonts w:ascii="仿宋" w:hAnsi="仿宋" w:eastAsia="仿宋" w:cs="仿宋"/>
          <w:b/>
          <w:bCs/>
          <w:color w:val="auto"/>
          <w:sz w:val="44"/>
          <w:szCs w:val="44"/>
          <w:highlight w:val="none"/>
        </w:rPr>
        <w:outlineLvl w:val="0"/>
      </w:pPr>
      <w:r/>
      <w:bookmarkStart w:id="0" w:name="__RefHeading___Toc28938"/>
      <w:r/>
      <w:bookmarkEnd w:id="0"/>
      <w:r>
        <w:rPr>
          <w:rFonts w:ascii="仿宋" w:hAnsi="仿宋" w:eastAsia="仿宋" w:cs="仿宋"/>
          <w:b/>
          <w:bCs/>
          <w:color w:val="auto"/>
          <w:sz w:val="44"/>
          <w:szCs w:val="44"/>
          <w:highlight w:val="none"/>
        </w:rPr>
        <w:t xml:space="preserve">第一章  投标邀请</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受</w:t>
      </w:r>
      <w:r>
        <w:rPr>
          <w:rFonts w:ascii="仿宋" w:hAnsi="仿宋" w:eastAsia="仿宋" w:cs="仿宋"/>
          <w:color w:val="auto"/>
          <w:sz w:val="24"/>
          <w:szCs w:val="24"/>
          <w:highlight w:val="none"/>
          <w:lang w:eastAsia="zh-CN"/>
        </w:rPr>
        <w:t xml:space="preserve">如东县应急管理局</w:t>
      </w:r>
      <w:r>
        <w:rPr>
          <w:rFonts w:ascii="仿宋" w:hAnsi="仿宋" w:eastAsia="仿宋" w:cs="仿宋"/>
          <w:color w:val="auto"/>
          <w:sz w:val="24"/>
          <w:szCs w:val="24"/>
          <w:highlight w:val="none"/>
        </w:rPr>
        <w:t xml:space="preserve">的委托，</w:t>
      </w:r>
      <w:r>
        <w:rPr>
          <w:rFonts w:ascii="仿宋" w:hAnsi="仿宋" w:eastAsia="仿宋" w:cs="仿宋"/>
          <w:color w:val="auto"/>
          <w:sz w:val="24"/>
          <w:szCs w:val="24"/>
          <w:highlight w:val="none"/>
          <w:lang w:val="en-US" w:eastAsia="zh-CN"/>
        </w:rPr>
        <w:t xml:space="preserve">大洲设计咨询集团有限公司</w:t>
      </w:r>
      <w:r>
        <w:rPr>
          <w:rFonts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如东县应急管理局微型水罐消防车及随车器材装备采购项目</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项目编号</w:t>
      </w:r>
      <w:r>
        <w:rPr>
          <w:rFonts w:ascii="仿宋" w:hAnsi="仿宋" w:eastAsia="仿宋" w:cs="仿宋"/>
          <w:color w:val="auto"/>
          <w:sz w:val="24"/>
          <w:szCs w:val="24"/>
          <w:highlight w:val="none"/>
          <w:lang w:val="en-US" w:eastAsia="zh-CN"/>
        </w:rPr>
        <w:t xml:space="preserve">:JSZC-320623-JSDZ-G2026-0073</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)进行公开招标采购，欢迎符合条件的供应商投标。</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rPr>
        <w:t xml:space="preserve">项目概况</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u w:val="single"/>
        </w:rPr>
        <w:t xml:space="preserve">如东县应急管理局微型水罐消防车及随车器材装备采购项目</w:t>
      </w:r>
      <w:r>
        <w:rPr>
          <w:rFonts w:ascii="仿宋" w:hAnsi="仿宋" w:eastAsia="仿宋" w:cs="仿宋"/>
          <w:color w:val="auto"/>
          <w:sz w:val="24"/>
          <w:szCs w:val="24"/>
          <w:highlight w:val="none"/>
        </w:rPr>
        <w:t xml:space="preserve">的潜在投标人可在</w:t>
      </w:r>
      <w:r>
        <w:rPr>
          <w:rFonts w:ascii="仿宋" w:hAnsi="仿宋" w:eastAsia="仿宋" w:cs="仿宋"/>
          <w:color w:val="auto"/>
          <w:sz w:val="24"/>
          <w:szCs w:val="24"/>
          <w:highlight w:val="none"/>
          <w:u w:val="single"/>
        </w:rPr>
        <w:t xml:space="preserve">“江苏政府采购网”自行免费下载</w:t>
      </w:r>
      <w:r>
        <w:rPr>
          <w:rFonts w:ascii="仿宋" w:hAnsi="仿宋" w:eastAsia="仿宋" w:cs="仿宋"/>
          <w:color w:val="auto"/>
          <w:sz w:val="24"/>
          <w:szCs w:val="24"/>
          <w:highlight w:val="none"/>
        </w:rPr>
        <w:t xml:space="preserve">招标文件，并于</w:t>
      </w:r>
      <w:r>
        <w:rPr>
          <w:rFonts w:ascii="仿宋" w:hAnsi="仿宋" w:eastAsia="仿宋" w:cs="仿宋"/>
          <w:color w:val="auto"/>
          <w:sz w:val="24"/>
          <w:szCs w:val="24"/>
          <w:highlight w:val="none"/>
          <w:u w:val="single"/>
          <w:lang w:val="en-US" w:eastAsia="zh-CN"/>
        </w:rPr>
        <w:t xml:space="preserve">2026</w:t>
      </w:r>
      <w:r>
        <w:rPr>
          <w:rFonts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10</w:t>
      </w:r>
      <w:r>
        <w:rPr>
          <w:rFonts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8</w:t>
      </w:r>
      <w:r>
        <w:rPr>
          <w:rFonts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rPr>
        <w:t xml:space="preserve">分（</w:t>
      </w:r>
      <w:r>
        <w:rPr>
          <w:rFonts w:ascii="仿宋" w:hAnsi="仿宋" w:eastAsia="仿宋" w:cs="仿宋"/>
          <w:bCs/>
          <w:color w:val="auto"/>
          <w:sz w:val="24"/>
          <w:szCs w:val="24"/>
          <w:highlight w:val="none"/>
        </w:rPr>
        <w:t xml:space="preserve">北京时间）前递交投标文件</w:t>
      </w:r>
      <w:r>
        <w:rPr>
          <w:rFonts w:ascii="仿宋" w:hAnsi="仿宋" w:eastAsia="仿宋" w:cs="仿宋"/>
          <w:color w:val="auto"/>
          <w:sz w:val="24"/>
          <w:szCs w:val="24"/>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一、项目基本情况</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1.项目编号：JSZC-320623-JSDZ-G2026-0073</w:t>
      </w:r>
      <w:r>
        <w:rPr>
          <w:rFonts w:hint="eastAsia" w:ascii="仿宋" w:hAnsi="仿宋" w:eastAsia="仿宋" w:cs="仿宋"/>
          <w:color w:val="auto"/>
          <w:sz w:val="24"/>
          <w:szCs w:val="24"/>
          <w:highlight w:val="none"/>
          <w:lang w:val="en-US" w:eastAsia="zh-CN"/>
        </w:rPr>
        <w:t xml:space="preserve"> </w:t>
      </w:r>
      <w:r>
        <w:rPr>
          <w:rFonts w:ascii="仿宋" w:hAnsi="仿宋" w:eastAsia="仿宋" w:cs="仿宋"/>
          <w:color w:val="auto"/>
          <w:sz w:val="24"/>
          <w:szCs w:val="24"/>
          <w:highlight w:val="none"/>
          <w:lang w:val="en-US" w:eastAsia="zh-CN"/>
        </w:rPr>
        <w:t xml:space="preserve"> </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2.项目名称：如东县应急管理局微型水罐消防车及随车器材装备采购项目</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3.采购方式：公开招标</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4.项目类型：货物</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5.所属行业：工业</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bookmarkStart w:id="1" w:name="_Hlk24379207"/>
      <w:r>
        <w:rPr>
          <w:rFonts w:ascii="仿宋" w:hAnsi="仿宋" w:eastAsia="仿宋" w:cs="仿宋"/>
          <w:color w:val="auto"/>
          <w:sz w:val="24"/>
          <w:szCs w:val="24"/>
          <w:highlight w:val="none"/>
          <w:lang w:val="en-US" w:eastAsia="zh-CN"/>
        </w:rPr>
        <w:t xml:space="preserve">6.</w:t>
      </w:r>
      <w:bookmarkEnd w:id="1"/>
      <w:r>
        <w:rPr>
          <w:rFonts w:ascii="仿宋" w:hAnsi="仿宋" w:eastAsia="仿宋" w:cs="仿宋"/>
          <w:color w:val="auto"/>
          <w:sz w:val="24"/>
          <w:szCs w:val="24"/>
          <w:highlight w:val="none"/>
          <w:lang w:val="en-US" w:eastAsia="zh-CN"/>
        </w:rPr>
        <w:t xml:space="preserve">预算金额：136.5万元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最高限价（如有）：136.5万元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7.采购需求（简介）：本次招标采购的如东县应急管理局微型水罐消防车及随车器材装备，详细内容见本招标文件第四章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8.合同履行期限：详细内容见本招标文件第四章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9.本项目是否接受联合体投标：否</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10.本项目是否接受分包：否。</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二、申请人的资格要求</w:t>
      </w:r>
      <w:r/>
    </w:p>
    <w:p>
      <w:pPr>
        <w:ind w:right="0" w:firstLine="56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（一）通用资格要求</w:t>
      </w:r>
      <w:r/>
    </w:p>
    <w:p>
      <w:pPr>
        <w:ind w:right="0" w:firstLine="48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1.满足《中华人民共和国政府采购法》第二十二条规定</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（按附件</w:t>
      </w: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格式进行声明，</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文件中无需提供其他证明材料）</w:t>
      </w:r>
      <w:r>
        <w:rPr>
          <w:rFonts w:ascii="仿宋" w:hAnsi="仿宋" w:eastAsia="仿宋" w:cs="仿宋"/>
          <w:color w:val="auto"/>
          <w:sz w:val="24"/>
          <w:szCs w:val="24"/>
          <w:highlight w:val="none"/>
          <w:lang w:eastAsia="zh-CN"/>
        </w:rPr>
        <w:t xml:space="preserve">；</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3.落实政府采购政策需满足的资格要求：</w:t>
      </w:r>
      <w:r>
        <w:rPr>
          <w:rFonts w:hint="eastAsia" w:ascii="仿宋" w:hAnsi="仿宋" w:eastAsia="仿宋" w:cs="仿宋"/>
          <w:color w:val="auto"/>
          <w:sz w:val="24"/>
          <w:szCs w:val="24"/>
          <w:highlight w:val="none"/>
          <w:lang w:val="en-US" w:eastAsia="zh-CN"/>
        </w:rPr>
        <w:t xml:space="preserve">无</w:t>
      </w:r>
      <w:r>
        <w:rPr>
          <w:rFonts w:ascii="仿宋" w:hAnsi="仿宋" w:eastAsia="仿宋" w:cs="仿宋"/>
          <w:color w:val="auto"/>
          <w:sz w:val="24"/>
          <w:szCs w:val="24"/>
          <w:highlight w:val="none"/>
          <w:lang w:val="en-US" w:eastAsia="zh-CN"/>
        </w:rPr>
        <w:t xml:space="preserve">。</w:t>
      </w:r>
      <w:r/>
    </w:p>
    <w:p>
      <w:pPr>
        <w:ind w:right="0" w:firstLine="56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（二）本项目的特定资格要求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无。</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三、获取招标文件</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1.时间：</w:t>
      </w:r>
      <w:r>
        <w:rPr>
          <w:rFonts w:ascii="仿宋" w:hAnsi="仿宋" w:eastAsia="仿宋" w:cs="仿宋"/>
          <w:color w:val="auto"/>
          <w:sz w:val="24"/>
          <w:szCs w:val="24"/>
          <w:highlight w:val="none"/>
          <w:lang w:eastAsia="zh-CN"/>
        </w:rPr>
        <w:t xml:space="preserve">自本公告发布之日起</w:t>
      </w:r>
      <w:r>
        <w:rPr>
          <w:rFonts w:ascii="仿宋" w:hAnsi="仿宋" w:eastAsia="仿宋" w:cs="仿宋"/>
          <w:color w:val="auto"/>
          <w:sz w:val="24"/>
          <w:szCs w:val="24"/>
          <w:highlight w:val="none"/>
          <w:lang w:val="en-US" w:eastAsia="zh-CN"/>
        </w:rPr>
        <w:t xml:space="preserve">5个工作日</w:t>
      </w:r>
      <w:r>
        <w:rPr>
          <w:rFonts w:ascii="仿宋" w:hAnsi="仿宋" w:eastAsia="仿宋" w:cs="仿宋"/>
          <w:color w:val="auto"/>
          <w:sz w:val="24"/>
          <w:szCs w:val="24"/>
          <w:highlight w:val="none"/>
          <w:lang w:eastAsia="zh-CN"/>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2.地点：</w:t>
      </w:r>
      <w:r>
        <w:rPr>
          <w:rFonts w:ascii="仿宋" w:hAnsi="仿宋" w:eastAsia="仿宋" w:cs="仿宋"/>
          <w:color w:val="auto"/>
          <w:sz w:val="24"/>
          <w:szCs w:val="24"/>
          <w:highlight w:val="none"/>
        </w:rPr>
        <w:t xml:space="preserve">“江苏政府采购网”</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.方式：凡有意参与投标的供应商须登录</w:t>
      </w:r>
      <w:r>
        <w:rPr>
          <w:rFonts w:ascii="仿宋" w:hAnsi="仿宋" w:eastAsia="仿宋" w:cs="仿宋"/>
          <w:color w:val="auto"/>
          <w:sz w:val="24"/>
          <w:szCs w:val="24"/>
          <w:highlight w:val="none"/>
          <w:lang w:val="en-US" w:eastAsia="zh-CN"/>
        </w:rPr>
        <w:t xml:space="preserve">江苏</w:t>
      </w:r>
      <w:r>
        <w:rPr>
          <w:rFonts w:ascii="仿宋" w:hAnsi="仿宋" w:eastAsia="仿宋" w:cs="仿宋"/>
          <w:color w:val="auto"/>
          <w:sz w:val="24"/>
          <w:szCs w:val="24"/>
          <w:highlight w:val="none"/>
        </w:rPr>
        <w:t xml:space="preserve">政府采购网首页</w:t>
      </w:r>
      <w:r>
        <w:rPr>
          <w:rFonts w:ascii="仿宋" w:hAnsi="仿宋" w:eastAsia="仿宋" w:cs="仿宋"/>
          <w:color w:val="auto"/>
          <w:sz w:val="24"/>
          <w:szCs w:val="24"/>
          <w:highlight w:val="none"/>
          <w:lang w:val="en-US" w:eastAsia="zh-CN"/>
        </w:rPr>
        <w:t xml:space="preserve">点击“苏采云”</w:t>
      </w:r>
      <w:r>
        <w:rPr>
          <w:rFonts w:ascii="仿宋" w:hAnsi="仿宋" w:eastAsia="仿宋" w:cs="仿宋"/>
          <w:color w:val="auto"/>
          <w:sz w:val="24"/>
          <w:szCs w:val="24"/>
          <w:highlight w:val="none"/>
        </w:rPr>
        <w:t xml:space="preserve">→通过CA锁进行响应确认，并自行</w:t>
      </w:r>
      <w:r>
        <w:rPr>
          <w:rFonts w:ascii="仿宋" w:hAnsi="仿宋" w:eastAsia="仿宋" w:cs="仿宋"/>
          <w:color w:val="auto"/>
          <w:sz w:val="24"/>
          <w:szCs w:val="24"/>
          <w:highlight w:val="none"/>
          <w:lang w:val="en-US" w:eastAsia="zh-CN"/>
        </w:rPr>
        <w:t xml:space="preserve">在招标文件有效获取期内及时</w:t>
      </w:r>
      <w:r>
        <w:rPr>
          <w:rFonts w:ascii="仿宋" w:hAnsi="仿宋" w:eastAsia="仿宋" w:cs="仿宋"/>
          <w:color w:val="auto"/>
          <w:sz w:val="24"/>
          <w:szCs w:val="24"/>
          <w:highlight w:val="none"/>
        </w:rPr>
        <w:t xml:space="preserve">下载</w:t>
      </w:r>
      <w:r>
        <w:rPr>
          <w:rFonts w:ascii="仿宋" w:hAnsi="仿宋" w:eastAsia="仿宋" w:cs="仿宋"/>
          <w:color w:val="auto"/>
          <w:sz w:val="24"/>
          <w:szCs w:val="24"/>
          <w:highlight w:val="none"/>
          <w:lang w:val="en-US" w:eastAsia="zh-CN"/>
        </w:rPr>
        <w:t xml:space="preserve">获取</w:t>
      </w:r>
      <w:r>
        <w:rPr>
          <w:rFonts w:ascii="仿宋" w:hAnsi="仿宋" w:eastAsia="仿宋" w:cs="仿宋"/>
          <w:color w:val="auto"/>
          <w:sz w:val="24"/>
          <w:szCs w:val="24"/>
          <w:highlight w:val="none"/>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4.售价：免费</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四、提交投标文件截止时间、开标时间和地点</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1.2026年</w:t>
      </w:r>
      <w:r>
        <w:rPr>
          <w:rFonts w:hint="eastAsia" w:ascii="仿宋" w:hAnsi="仿宋" w:eastAsia="仿宋" w:cs="仿宋"/>
          <w:color w:val="auto"/>
          <w:sz w:val="24"/>
          <w:szCs w:val="24"/>
          <w:highlight w:val="none"/>
          <w:lang w:val="en-US" w:eastAsia="zh-CN"/>
        </w:rPr>
        <w:t xml:space="preserve">10</w:t>
      </w:r>
      <w:r>
        <w:rPr>
          <w:rFonts w:ascii="仿宋" w:hAnsi="仿宋" w:eastAsia="仿宋" w:cs="仿宋"/>
          <w:color w:val="auto"/>
          <w:sz w:val="24"/>
          <w:szCs w:val="24"/>
          <w:highlight w:val="none"/>
          <w:lang w:val="en-US" w:eastAsia="zh-CN"/>
        </w:rPr>
        <w:t xml:space="preserve">月</w:t>
      </w:r>
      <w:r>
        <w:rPr>
          <w:rFonts w:hint="eastAsia"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en-US" w:eastAsia="zh-CN"/>
        </w:rPr>
        <w:t xml:space="preserve">点</w:t>
      </w:r>
      <w:r>
        <w:rPr>
          <w:rFonts w:hint="eastAsia" w:ascii="仿宋" w:hAnsi="仿宋" w:eastAsia="仿宋" w:cs="仿宋"/>
          <w:color w:val="auto"/>
          <w:sz w:val="24"/>
          <w:szCs w:val="24"/>
          <w:highlight w:val="none"/>
          <w:lang w:val="en-US" w:eastAsia="zh-CN"/>
        </w:rPr>
        <w:t xml:space="preserve">00</w:t>
      </w:r>
      <w:r>
        <w:rPr>
          <w:rFonts w:ascii="仿宋" w:hAnsi="仿宋" w:eastAsia="仿宋" w:cs="仿宋"/>
          <w:color w:val="auto"/>
          <w:sz w:val="24"/>
          <w:szCs w:val="24"/>
          <w:highlight w:val="none"/>
          <w:lang w:val="en-US" w:eastAsia="zh-CN"/>
        </w:rPr>
        <w:t xml:space="preserve">分（北京时间）。逾时，系统将拒绝接受上传投标文件电子文档。</w:t>
      </w:r>
      <w:r/>
    </w:p>
    <w:p>
      <w:pPr>
        <w:ind w:right="0" w:firstLine="480"/>
        <w:pageBreakBefore w:val="0"/>
        <w:spacing w:line="420" w:lineRule="exact"/>
        <w:widowControl w:val="off"/>
        <w:rPr>
          <w:rFonts w:ascii="仿宋" w:hAnsi="仿宋" w:eastAsia="仿宋" w:cs="仿宋"/>
          <w:bCs/>
          <w:color w:val="auto"/>
          <w:sz w:val="24"/>
          <w:szCs w:val="24"/>
          <w:highlight w:val="none"/>
          <w:u w:val="single"/>
        </w:rPr>
      </w:pPr>
      <w:r>
        <w:rPr>
          <w:rFonts w:ascii="仿宋" w:hAnsi="仿宋" w:eastAsia="仿宋" w:cs="仿宋"/>
          <w:color w:val="auto"/>
          <w:sz w:val="24"/>
          <w:szCs w:val="24"/>
          <w:highlight w:val="none"/>
        </w:rPr>
        <w:t xml:space="preserve">2.地点：</w:t>
      </w:r>
      <w:r>
        <w:rPr>
          <w:rFonts w:ascii="仿宋" w:hAnsi="仿宋" w:eastAsia="仿宋" w:cs="仿宋"/>
          <w:color w:val="auto"/>
          <w:sz w:val="24"/>
          <w:szCs w:val="24"/>
          <w:highlight w:val="none"/>
          <w:lang w:val="en-US" w:eastAsia="zh-CN"/>
        </w:rPr>
        <w:t xml:space="preserve">“苏采云”政府采购一体化平台</w:t>
      </w:r>
      <w:r>
        <w:rPr>
          <w:rFonts w:ascii="仿宋" w:hAnsi="仿宋" w:eastAsia="仿宋" w:cs="仿宋"/>
          <w:color w:val="auto"/>
          <w:sz w:val="28"/>
          <w:szCs w:val="28"/>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五、公告期限</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自本公告发布之日起5个工作日。</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六、</w:t>
      </w:r>
      <w:r>
        <w:rPr>
          <w:rFonts w:ascii="仿宋" w:hAnsi="仿宋" w:eastAsia="仿宋" w:cs="仿宋"/>
          <w:b/>
          <w:bCs/>
          <w:color w:val="auto"/>
          <w:sz w:val="32"/>
          <w:szCs w:val="32"/>
          <w:highlight w:val="none"/>
        </w:rPr>
        <w:t xml:space="preserve">其他补充事宜</w:t>
      </w:r>
      <w:r/>
    </w:p>
    <w:p>
      <w:pPr>
        <w:pStyle w:val="806"/>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1.项目开标活动模式：不见面远程开标模式。</w:t>
      </w:r>
      <w:r/>
    </w:p>
    <w:p>
      <w:pPr>
        <w:pStyle w:val="806"/>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代理机构提出，由代理机构负责答复。对在“苏采云”系统操作阶段的询问请向交易系统软件维护人员提出。</w:t>
      </w:r>
      <w:r/>
    </w:p>
    <w:p>
      <w:pPr>
        <w:pStyle w:val="806"/>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806"/>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4.开标当天投标人应及时登录“苏采云</w:t>
      </w:r>
      <w:r>
        <w:rPr>
          <w:rFonts w:ascii="仿宋" w:hAnsi="仿宋" w:eastAsia="仿宋" w:cs="仿宋"/>
          <w:color w:val="auto"/>
          <w:sz w:val="24"/>
          <w:szCs w:val="24"/>
          <w:highlight w:val="none"/>
          <w:lang w:val="en-US" w:eastAsia="zh-CN" w:bidi="ar-SA"/>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lang w:eastAsia="zh-CN"/>
        </w:rPr>
      </w:pPr>
      <w:r>
        <w:rPr>
          <w:rFonts w:ascii="仿宋" w:hAnsi="仿宋" w:eastAsia="仿宋" w:cs="仿宋"/>
          <w:b/>
          <w:bCs/>
          <w:color w:val="auto"/>
          <w:sz w:val="32"/>
          <w:szCs w:val="32"/>
          <w:highlight w:val="none"/>
        </w:rPr>
        <w:t xml:space="preserve">七、</w:t>
      </w:r>
      <w:r>
        <w:rPr>
          <w:rFonts w:ascii="仿宋" w:hAnsi="仿宋" w:eastAsia="仿宋" w:cs="仿宋"/>
          <w:b/>
          <w:bCs/>
          <w:color w:val="auto"/>
          <w:sz w:val="32"/>
          <w:szCs w:val="32"/>
          <w:highlight w:val="none"/>
          <w:lang w:eastAsia="zh-CN"/>
        </w:rPr>
        <w:t xml:space="preserve">对</w:t>
      </w:r>
      <w:r>
        <w:rPr>
          <w:rFonts w:ascii="仿宋" w:hAnsi="仿宋" w:eastAsia="仿宋" w:cs="仿宋"/>
          <w:b/>
          <w:bCs/>
          <w:color w:val="auto"/>
          <w:sz w:val="32"/>
          <w:szCs w:val="32"/>
          <w:highlight w:val="none"/>
        </w:rPr>
        <w:t xml:space="preserve">本次招标</w:t>
      </w:r>
      <w:r>
        <w:rPr>
          <w:rFonts w:ascii="仿宋" w:hAnsi="仿宋" w:eastAsia="仿宋" w:cs="仿宋"/>
          <w:b/>
          <w:bCs/>
          <w:color w:val="auto"/>
          <w:sz w:val="32"/>
          <w:szCs w:val="32"/>
          <w:highlight w:val="none"/>
          <w:lang w:eastAsia="zh-CN"/>
        </w:rPr>
        <w:t xml:space="preserve">提出询问，请按以下方式联系</w:t>
      </w:r>
      <w:r/>
    </w:p>
    <w:p>
      <w:pPr>
        <w:ind w:right="0" w:firstLine="480"/>
        <w:jc w:val="left"/>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1.采购人信息</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名 称：</w:t>
      </w:r>
      <w:r>
        <w:rPr>
          <w:rFonts w:ascii="仿宋" w:hAnsi="仿宋" w:eastAsia="仿宋" w:cs="仿宋"/>
          <w:color w:val="auto"/>
          <w:sz w:val="24"/>
          <w:szCs w:val="24"/>
          <w:highlight w:val="none"/>
          <w:u w:val="single"/>
          <w:lang w:val="en-US" w:eastAsia="zh-CN"/>
        </w:rPr>
        <w:t xml:space="preserve">如东县应急管理局</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lang w:val="en-US" w:eastAsia="zh-CN"/>
        </w:rPr>
        <w:t xml:space="preserve">如东县城中街道泰山路26号</w:t>
      </w:r>
      <w:r/>
    </w:p>
    <w:p>
      <w:pPr>
        <w:ind w:right="0" w:firstLine="480"/>
        <w:jc w:val="left"/>
        <w:pageBreakBefore w:val="0"/>
        <w:spacing w:line="420" w:lineRule="exact"/>
        <w:widowControl w:val="off"/>
        <w:rPr>
          <w:rFonts w:hint="default"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lang w:val="en-US" w:eastAsia="zh-CN"/>
        </w:rPr>
        <w:t xml:space="preserve">沈主任</w:t>
      </w:r>
      <w:r/>
    </w:p>
    <w:p>
      <w:pPr>
        <w:ind w:right="0" w:firstLine="480"/>
        <w:jc w:val="left"/>
        <w:pageBreakBefore w:val="0"/>
        <w:spacing w:line="420" w:lineRule="exact"/>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lang w:val="en-US" w:eastAsia="zh-CN"/>
        </w:rPr>
        <w:t xml:space="preserve">采购代理机构</w:t>
      </w:r>
      <w:r>
        <w:rPr>
          <w:rFonts w:ascii="仿宋" w:hAnsi="仿宋" w:eastAsia="仿宋" w:cs="仿宋"/>
          <w:color w:val="auto"/>
          <w:sz w:val="24"/>
          <w:szCs w:val="24"/>
          <w:highlight w:val="none"/>
        </w:rPr>
        <w:t xml:space="preserve">信息</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名称：</w:t>
      </w:r>
      <w:r>
        <w:rPr>
          <w:rFonts w:ascii="仿宋" w:hAnsi="仿宋" w:eastAsia="仿宋" w:cs="仿宋"/>
          <w:color w:val="auto"/>
          <w:sz w:val="24"/>
          <w:szCs w:val="24"/>
          <w:highlight w:val="none"/>
          <w:u w:val="single"/>
          <w:lang w:val="en-US" w:eastAsia="zh-CN"/>
        </w:rPr>
        <w:t xml:space="preserve">大洲设计咨询集团有限公司</w:t>
      </w:r>
      <w:r/>
    </w:p>
    <w:p>
      <w:pPr>
        <w:ind w:right="0" w:firstLine="480"/>
        <w:pageBreakBefore w:val="0"/>
        <w:spacing w:line="420" w:lineRule="exact"/>
        <w:widowControl w:val="off"/>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rPr>
        <w:t xml:space="preserve">如东县</w:t>
      </w:r>
      <w:r>
        <w:rPr>
          <w:rFonts w:ascii="仿宋" w:hAnsi="仿宋" w:eastAsia="仿宋" w:cs="仿宋"/>
          <w:color w:val="auto"/>
          <w:sz w:val="24"/>
          <w:szCs w:val="24"/>
          <w:highlight w:val="none"/>
          <w:u w:val="single"/>
          <w:lang w:val="en-US" w:eastAsia="zh-CN"/>
        </w:rPr>
        <w:t xml:space="preserve">长江路399号浦发领秀城</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18806270807</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3.项目联系方式</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项目联系人：</w:t>
      </w:r>
      <w:r>
        <w:rPr>
          <w:rFonts w:hint="eastAsia" w:ascii="仿宋" w:hAnsi="仿宋" w:eastAsia="仿宋" w:cs="仿宋"/>
          <w:color w:val="auto"/>
          <w:sz w:val="24"/>
          <w:szCs w:val="24"/>
          <w:highlight w:val="none"/>
          <w:u w:val="single"/>
          <w:lang w:val="en-US" w:eastAsia="zh-CN"/>
        </w:rPr>
        <w:t xml:space="preserve">沈主任</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电    话：</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4.软件维护人员</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联系方式：</w:t>
      </w:r>
      <w:r>
        <w:rPr>
          <w:rFonts w:ascii="仿宋" w:hAnsi="仿宋" w:eastAsia="仿宋" w:cs="仿宋"/>
          <w:color w:val="auto"/>
          <w:sz w:val="24"/>
          <w:szCs w:val="24"/>
          <w:highlight w:val="none"/>
          <w:u w:val="single"/>
          <w:lang w:val="en-US" w:eastAsia="zh-CN"/>
        </w:rPr>
        <w:t xml:space="preserve">0519-86722801、0519-86722806</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八、</w:t>
      </w:r>
      <w:r>
        <w:rPr>
          <w:rFonts w:ascii="仿宋" w:hAnsi="仿宋" w:eastAsia="仿宋" w:cs="仿宋"/>
          <w:b/>
          <w:bCs/>
          <w:color w:val="auto"/>
          <w:sz w:val="32"/>
          <w:szCs w:val="32"/>
          <w:highlight w:val="none"/>
        </w:rPr>
        <w:t xml:space="preserve">其他</w:t>
      </w:r>
      <w:r/>
    </w:p>
    <w:p>
      <w:pPr>
        <w:ind w:right="0" w:firstLine="480"/>
        <w:jc w:val="left"/>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ascii="仿宋" w:hAnsi="仿宋" w:eastAsia="仿宋" w:cs="仿宋"/>
          <w:bCs/>
          <w:color w:val="auto"/>
          <w:sz w:val="24"/>
          <w:szCs w:val="24"/>
          <w:highlight w:val="none"/>
          <w:lang w:eastAsia="zh-CN"/>
        </w:rPr>
        <w:t xml:space="preserve">详见《</w:t>
      </w:r>
      <w:r>
        <w:rPr>
          <w:rFonts w:ascii="仿宋" w:hAnsi="仿宋" w:eastAsia="仿宋" w:cs="仿宋"/>
          <w:bCs/>
          <w:color w:val="auto"/>
          <w:sz w:val="24"/>
          <w:szCs w:val="24"/>
          <w:highlight w:val="none"/>
          <w:lang w:val="en-US" w:eastAsia="zh-CN"/>
        </w:rPr>
        <w:t xml:space="preserve">江苏省政府采购管理交易系统(苏采云)供应商操作指南</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（以下简称《操作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》链接：http://www.ccgp-jiangsu.gov.cn/jiangsu/zlxz/ee/ee3a4bc5a3454aa2b0d9312230633ce9.html。</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领取CA和办理电子签章请至南通市政务服务中心裙楼四楼（南通市公共资源交</w:t>
      </w:r>
      <w:r>
        <w:rPr>
          <w:rFonts w:ascii="仿宋" w:hAnsi="仿宋" w:eastAsia="仿宋" w:cs="仿宋"/>
          <w:bCs/>
          <w:color w:val="auto"/>
          <w:sz w:val="24"/>
          <w:szCs w:val="24"/>
          <w:highlight w:val="none"/>
          <w:lang w:eastAsia="zh-CN"/>
        </w:rPr>
        <w:t xml:space="preserve">易</w:t>
      </w:r>
      <w:r>
        <w:rPr>
          <w:rFonts w:ascii="仿宋" w:hAnsi="仿宋" w:eastAsia="仿宋" w:cs="仿宋"/>
          <w:bCs/>
          <w:color w:val="auto"/>
          <w:sz w:val="24"/>
          <w:szCs w:val="24"/>
          <w:highlight w:val="none"/>
        </w:rPr>
        <w:t xml:space="preserve">中心）CA办理窗口办理，详见《江苏省政府采购数字证书(供应商)CA及电子签章办理指南》），请及时进行注册并按要求制作、上传电子投标文件。</w:t>
      </w:r>
      <w:r/>
    </w:p>
    <w:p>
      <w:pPr>
        <w:ind w:right="0" w:firstLine="480"/>
        <w:pageBreakBefore w:val="0"/>
        <w:spacing w:line="420" w:lineRule="exact"/>
        <w:widowControl w:val="off"/>
        <w:tabs>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w:t>
      </w:r>
      <w:r>
        <w:rPr>
          <w:rFonts w:ascii="仿宋" w:hAnsi="仿宋" w:eastAsia="仿宋" w:cs="仿宋"/>
          <w:bCs/>
          <w:color w:val="auto"/>
          <w:sz w:val="24"/>
          <w:szCs w:val="24"/>
          <w:highlight w:val="none"/>
        </w:rPr>
        <w:t xml:space="preserve">有关本次招标的事项若存在变动或修改，敬请及时关注</w:t>
      </w:r>
      <w:r>
        <w:rPr>
          <w:rFonts w:ascii="仿宋" w:hAnsi="仿宋" w:eastAsia="仿宋" w:cs="仿宋"/>
          <w:bCs/>
          <w:color w:val="auto"/>
          <w:sz w:val="24"/>
          <w:szCs w:val="24"/>
          <w:highlight w:val="none"/>
          <w:lang w:eastAsia="zh-CN"/>
        </w:rPr>
        <w:t xml:space="preserve">如东县公共资源交易中心</w:t>
      </w:r>
      <w:r>
        <w:rPr>
          <w:rFonts w:ascii="仿宋" w:hAnsi="仿宋" w:eastAsia="仿宋" w:cs="仿宋"/>
          <w:bCs/>
          <w:color w:val="auto"/>
          <w:sz w:val="24"/>
          <w:szCs w:val="24"/>
          <w:highlight w:val="none"/>
        </w:rPr>
        <w:t xml:space="preserve">在“江苏政府采购网”发布的更正公告。</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w:t>
      </w:r>
      <w:r>
        <w:rPr>
          <w:rFonts w:ascii="仿宋" w:hAnsi="仿宋" w:eastAsia="仿宋" w:cs="仿宋"/>
          <w:bCs/>
          <w:color w:val="auto"/>
          <w:sz w:val="24"/>
          <w:szCs w:val="24"/>
          <w:highlight w:val="none"/>
        </w:rPr>
        <w:t xml:space="preserve">.本次招标不收取投标保证金。</w:t>
      </w:r>
      <w:r>
        <w:rPr>
          <w:color w:val="auto"/>
          <w:highlight w:val="none"/>
        </w:rPr>
        <w:br w:type="page" w:clear="all"/>
      </w:r>
      <w:r/>
    </w:p>
    <w:p>
      <w:pPr>
        <w:numPr>
          <w:ilvl w:val="0"/>
          <w:numId w:val="0"/>
        </w:numPr>
        <w:ind w:right="840"/>
        <w:jc w:val="center"/>
        <w:rPr>
          <w:rFonts w:ascii="仿宋" w:hAnsi="仿宋" w:eastAsia="仿宋" w:cs="仿宋"/>
          <w:color w:val="auto"/>
          <w:sz w:val="44"/>
          <w:szCs w:val="44"/>
          <w:highlight w:val="none"/>
        </w:rPr>
        <w:outlineLvl w:val="0"/>
      </w:pPr>
      <w:r/>
      <w:bookmarkStart w:id="2" w:name="__RefHeading___Toc8900"/>
      <w:r/>
      <w:bookmarkEnd w:id="2"/>
      <w:r>
        <w:rPr>
          <w:rFonts w:ascii="仿宋" w:hAnsi="仿宋" w:eastAsia="仿宋" w:cs="仿宋"/>
          <w:b/>
          <w:bCs/>
          <w:color w:val="auto"/>
          <w:sz w:val="44"/>
          <w:szCs w:val="44"/>
          <w:highlight w:val="none"/>
        </w:rPr>
        <w:t xml:space="preserve">第二章  投标人须知</w:t>
      </w:r>
      <w:r/>
    </w:p>
    <w:p>
      <w:pPr>
        <w:ind w:right="0" w:firstLine="498"/>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一、总则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1、招标方式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1.1 本次招标采取公开招标方式，本招标文件仅适用于招标公告中所述项目。</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2、合格的投标人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2.1满足招标公告中供应商的资格要求的规定。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满足本文件实质性要求的规定。</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3、适用法律和标准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 本次招标及由此产生的合同受中华人民共和国有关的法律法规制约和保护。</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在本项目政府采购活动过程中，如果所执行的标准有更新的，按照最新标准执行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4、投标费用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4.1 投标人应自行承担所有与参加投标有关的费用，无论投标过程中的做法和结果如何，</w:t>
      </w:r>
      <w:r>
        <w:rPr>
          <w:rFonts w:ascii="仿宋" w:hAnsi="仿宋" w:eastAsia="仿宋" w:cs="仿宋"/>
          <w:bCs/>
          <w:color w:val="auto"/>
          <w:sz w:val="24"/>
          <w:szCs w:val="21"/>
          <w:highlight w:val="none"/>
          <w:lang w:val="en-US" w:eastAsia="zh-CN"/>
        </w:rPr>
        <w:t xml:space="preserve">采购人</w:t>
      </w:r>
      <w:r>
        <w:rPr>
          <w:rFonts w:hint="eastAsia" w:ascii="仿宋" w:hAnsi="仿宋" w:eastAsia="仿宋" w:cs="仿宋"/>
          <w:bCs/>
          <w:color w:val="auto"/>
          <w:sz w:val="24"/>
          <w:szCs w:val="21"/>
          <w:highlight w:val="none"/>
          <w:lang w:val="en-US" w:eastAsia="zh-CN"/>
        </w:rPr>
        <w:t xml:space="preserve">和</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在任何情况下均无义务和责任承担这些费用。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4.2</w:t>
      </w:r>
      <w:r>
        <w:rPr>
          <w:rFonts w:ascii="仿宋" w:hAnsi="仿宋" w:eastAsia="仿宋" w:cs="仿宋"/>
          <w:bCs/>
          <w:color w:val="auto"/>
          <w:sz w:val="24"/>
          <w:szCs w:val="21"/>
          <w:highlight w:val="none"/>
        </w:rPr>
        <w:t xml:space="preserve">本次</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和采购人不收取标书工本费。</w:t>
      </w:r>
      <w:r/>
    </w:p>
    <w:p>
      <w:pPr>
        <w:ind w:right="0" w:firstLine="480"/>
        <w:spacing w:line="400" w:lineRule="exact"/>
        <w:rPr>
          <w:rFonts w:ascii="仿宋" w:hAnsi="仿宋" w:eastAsia="仿宋" w:cs="仿宋"/>
          <w:bCs/>
          <w:color w:val="auto"/>
          <w:sz w:val="24"/>
          <w:szCs w:val="21"/>
          <w:highlight w:val="none"/>
          <w:lang w:val="en-US" w:eastAsia="zh-CN"/>
        </w:rPr>
      </w:pPr>
      <w:r>
        <w:rPr>
          <w:rFonts w:ascii="仿宋" w:hAnsi="仿宋" w:eastAsia="仿宋" w:cs="仿宋"/>
          <w:b/>
          <w:bCs w:val="0"/>
          <w:color w:val="auto"/>
          <w:sz w:val="24"/>
          <w:szCs w:val="21"/>
          <w:highlight w:val="none"/>
          <w:lang w:val="en-US" w:eastAsia="zh-CN"/>
        </w:rPr>
        <w:t xml:space="preserve">4.3</w:t>
      </w:r>
      <w:r>
        <w:rPr>
          <w:rFonts w:hint="eastAsia" w:ascii="仿宋" w:hAnsi="仿宋" w:eastAsia="仿宋" w:cs="仿宋"/>
          <w:b/>
          <w:bCs w:val="0"/>
          <w:color w:val="auto"/>
          <w:sz w:val="24"/>
          <w:szCs w:val="21"/>
          <w:highlight w:val="none"/>
          <w:lang w:val="en-US" w:eastAsia="zh-CN"/>
        </w:rPr>
        <w:t xml:space="preserve">本项目采购代理费由中标人支付，采购代理费金额根据江苏省招标投标协会【苏招协（2022）002号】收费标准*50%计取，</w:t>
      </w:r>
      <w:r>
        <w:rPr>
          <w:rFonts w:ascii="仿宋" w:hAnsi="仿宋" w:eastAsia="仿宋" w:cs="仿宋"/>
          <w:b/>
          <w:bCs w:val="0"/>
          <w:color w:val="auto"/>
          <w:sz w:val="24"/>
          <w:szCs w:val="21"/>
          <w:highlight w:val="none"/>
          <w:lang w:val="en-US" w:eastAsia="zh-CN"/>
        </w:rPr>
        <w:t xml:space="preserve">请各投标供应商将此费用一并考虑在投标报价中。</w:t>
      </w:r>
      <w:r/>
    </w:p>
    <w:p>
      <w:pPr>
        <w:ind w:right="0" w:firstLine="45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30"/>
          <w:szCs w:val="28"/>
          <w:highlight w:val="none"/>
        </w:rPr>
        <w:t xml:space="preserve">5、</w:t>
      </w:r>
      <w:r>
        <w:rPr>
          <w:rFonts w:ascii="仿宋" w:hAnsi="仿宋" w:eastAsia="仿宋" w:cs="仿宋"/>
          <w:b/>
          <w:bCs/>
          <w:color w:val="auto"/>
          <w:sz w:val="28"/>
          <w:szCs w:val="28"/>
          <w:highlight w:val="none"/>
        </w:rPr>
        <w:t xml:space="preserve">招标文件的约束力</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5.1</w:t>
      </w:r>
      <w:r>
        <w:rPr>
          <w:rFonts w:ascii="仿宋" w:hAnsi="仿宋" w:eastAsia="仿宋" w:cs="仿宋"/>
          <w:color w:val="auto"/>
          <w:sz w:val="24"/>
          <w:szCs w:val="24"/>
          <w:highlight w:val="none"/>
        </w:rPr>
        <w:t xml:space="preserve"> 投标人一旦参加本项目采购活动，即被认为接受了本招标文件的规定和约束。</w:t>
      </w:r>
      <w:r/>
    </w:p>
    <w:p>
      <w:pPr>
        <w:ind w:right="0" w:firstLine="321"/>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二、招标文件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6、招标文件构成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6.1</w:t>
      </w:r>
      <w:r>
        <w:rPr>
          <w:rFonts w:ascii="仿宋" w:hAnsi="仿宋" w:eastAsia="仿宋" w:cs="仿宋"/>
          <w:color w:val="auto"/>
          <w:sz w:val="24"/>
          <w:szCs w:val="21"/>
          <w:highlight w:val="none"/>
        </w:rPr>
        <w:t xml:space="preserve"> 招标文件由以下部分组成：</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（1）投标邀请</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（2）投标人须知</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（3）合同文本</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（4）采购需求</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（5）评标方法与评标标准</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（6）投标文件格式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请仔细检查招标文件是否齐全，如有缺漏请立即与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联系解决。</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6.2</w:t>
      </w:r>
      <w:r>
        <w:rPr>
          <w:rFonts w:ascii="仿宋" w:hAnsi="仿宋" w:eastAsia="仿宋" w:cs="仿宋"/>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7、招标文件的澄清</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7.1</w:t>
      </w:r>
      <w:r>
        <w:rPr>
          <w:rFonts w:ascii="仿宋" w:hAnsi="仿宋" w:eastAsia="仿宋" w:cs="仿宋"/>
          <w:color w:val="auto"/>
          <w:sz w:val="24"/>
          <w:szCs w:val="21"/>
          <w:highlight w:val="none"/>
        </w:rPr>
        <w:t xml:space="preserve"> 任何要求对招标文件进行澄清的投标人，应在投标截止期</w:t>
      </w:r>
      <w:r>
        <w:rPr>
          <w:rFonts w:ascii="仿宋" w:hAnsi="仿宋" w:eastAsia="仿宋" w:cs="仿宋"/>
          <w:b/>
          <w:color w:val="auto"/>
          <w:sz w:val="24"/>
          <w:szCs w:val="24"/>
          <w:highlight w:val="none"/>
        </w:rPr>
        <w:t xml:space="preserve">十日</w:t>
      </w:r>
      <w:r>
        <w:rPr>
          <w:rFonts w:ascii="仿宋" w:hAnsi="仿宋" w:eastAsia="仿宋" w:cs="仿宋"/>
          <w:color w:val="auto"/>
          <w:sz w:val="24"/>
          <w:szCs w:val="24"/>
          <w:highlight w:val="none"/>
        </w:rPr>
        <w:t xml:space="preserve">前</w:t>
      </w:r>
      <w:r>
        <w:rPr>
          <w:rFonts w:ascii="仿宋" w:hAnsi="仿宋" w:eastAsia="仿宋" w:cs="仿宋"/>
          <w:color w:val="auto"/>
          <w:sz w:val="24"/>
          <w:szCs w:val="21"/>
          <w:highlight w:val="none"/>
        </w:rPr>
        <w:t xml:space="preserve">按招标公告中的通讯地址，以书面形式通知</w:t>
      </w:r>
      <w:r>
        <w:rPr>
          <w:rFonts w:ascii="仿宋" w:hAnsi="仿宋" w:eastAsia="仿宋" w:cs="仿宋"/>
          <w:color w:val="auto"/>
          <w:sz w:val="24"/>
          <w:szCs w:val="21"/>
          <w:highlight w:val="none"/>
          <w:lang w:eastAsia="zh-CN"/>
        </w:rPr>
        <w:t xml:space="preserve">采购人</w:t>
      </w:r>
      <w:r>
        <w:rPr>
          <w:rFonts w:ascii="仿宋" w:hAnsi="仿宋" w:eastAsia="仿宋" w:cs="仿宋"/>
          <w:color w:val="auto"/>
          <w:sz w:val="24"/>
          <w:szCs w:val="21"/>
          <w:highlight w:val="none"/>
        </w:rPr>
        <w:t xml:space="preserve">。采购人有权对发出的招标文件进行必要的澄清或修改。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7.2采购人视情组织答疑会</w:t>
      </w:r>
      <w:r>
        <w:rPr>
          <w:rFonts w:hint="eastAsia" w:ascii="仿宋" w:hAnsi="仿宋" w:eastAsia="仿宋" w:cs="仿宋"/>
          <w:color w:val="auto"/>
          <w:sz w:val="24"/>
          <w:szCs w:val="21"/>
          <w:highlight w:val="none"/>
          <w:lang w:val="en-US" w:eastAsia="zh-CN"/>
        </w:rPr>
        <w:t xml:space="preserve">。</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8、招标文件的修改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8.1</w:t>
      </w:r>
      <w:r>
        <w:rPr>
          <w:rFonts w:ascii="仿宋" w:hAnsi="仿宋" w:eastAsia="仿宋" w:cs="仿宋"/>
          <w:color w:val="auto"/>
          <w:sz w:val="24"/>
          <w:szCs w:val="21"/>
          <w:highlight w:val="none"/>
        </w:rPr>
        <w:t xml:space="preserve"> 在投标截止时间前，</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1"/>
          <w:highlight w:val="none"/>
        </w:rPr>
        <w:t xml:space="preserve">可以对招标文件进行修改。</w:t>
      </w:r>
      <w:r/>
    </w:p>
    <w:p>
      <w:pPr>
        <w:ind w:right="0" w:firstLine="480"/>
        <w:spacing w:line="400" w:lineRule="exact"/>
        <w:rPr>
          <w:rFonts w:ascii="仿宋" w:hAnsi="仿宋" w:eastAsia="仿宋" w:cs="仿宋"/>
          <w:color w:val="auto"/>
          <w:sz w:val="28"/>
          <w:szCs w:val="21"/>
          <w:highlight w:val="none"/>
        </w:rPr>
      </w:pPr>
      <w:r>
        <w:rPr>
          <w:rFonts w:ascii="仿宋" w:hAnsi="仿宋" w:eastAsia="仿宋" w:cs="仿宋"/>
          <w:bCs/>
          <w:color w:val="auto"/>
          <w:sz w:val="24"/>
          <w:szCs w:val="21"/>
          <w:highlight w:val="none"/>
        </w:rPr>
        <w:t xml:space="preserve">8.2 </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4"/>
          <w:highlight w:val="none"/>
        </w:rPr>
        <w:t xml:space="preserve">有权按照法定的要求</w:t>
      </w:r>
      <w:r>
        <w:rPr>
          <w:rFonts w:ascii="仿宋" w:hAnsi="仿宋" w:eastAsia="仿宋" w:cs="仿宋"/>
          <w:color w:val="auto"/>
          <w:sz w:val="24"/>
          <w:szCs w:val="21"/>
          <w:highlight w:val="none"/>
        </w:rPr>
        <w:t xml:space="preserve">推迟投标截止日期和开标日期。</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8.3 </w:t>
      </w:r>
      <w:r>
        <w:rPr>
          <w:rFonts w:ascii="仿宋" w:hAnsi="仿宋" w:eastAsia="仿宋" w:cs="仿宋"/>
          <w:color w:val="auto"/>
          <w:sz w:val="24"/>
          <w:szCs w:val="21"/>
          <w:highlight w:val="none"/>
        </w:rPr>
        <w:t xml:space="preserve">招标文件的修改将在江苏政府采购网公布，</w:t>
      </w:r>
      <w:r>
        <w:rPr>
          <w:rFonts w:ascii="仿宋" w:hAnsi="仿宋" w:eastAsia="仿宋" w:cs="仿宋"/>
          <w:color w:val="auto"/>
          <w:sz w:val="24"/>
          <w:szCs w:val="24"/>
          <w:highlight w:val="none"/>
        </w:rPr>
        <w:t xml:space="preserve">补充文件将作为招标文件的组成部分，</w:t>
      </w:r>
      <w:r>
        <w:rPr>
          <w:rFonts w:ascii="仿宋" w:hAnsi="仿宋" w:eastAsia="仿宋" w:cs="仿宋"/>
          <w:color w:val="auto"/>
          <w:sz w:val="24"/>
          <w:szCs w:val="21"/>
          <w:highlight w:val="none"/>
        </w:rPr>
        <w:t xml:space="preserve">并对投标人具有约束力。</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三、投标文件的编制</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9、投标文件的语言及度量衡单位</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9.1</w:t>
      </w:r>
      <w:r>
        <w:rPr>
          <w:rFonts w:ascii="仿宋" w:hAnsi="仿宋" w:eastAsia="仿宋" w:cs="仿宋"/>
          <w:color w:val="auto"/>
          <w:sz w:val="24"/>
          <w:szCs w:val="21"/>
          <w:highlight w:val="none"/>
        </w:rPr>
        <w:t xml:space="preserve"> 投标人提交的投标文件以及投标人与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lang w:eastAsia="zh-CN"/>
        </w:rPr>
        <w:t xml:space="preserve">及采购人</w:t>
      </w:r>
      <w:r>
        <w:rPr>
          <w:rFonts w:ascii="仿宋" w:hAnsi="仿宋" w:eastAsia="仿宋" w:cs="仿宋"/>
          <w:color w:val="auto"/>
          <w:sz w:val="24"/>
          <w:szCs w:val="21"/>
          <w:highlight w:val="none"/>
        </w:rPr>
        <w:t xml:space="preserve">就有关投标的所有来往通知、函件和文件均应使用</w:t>
      </w:r>
      <w:r>
        <w:rPr>
          <w:rFonts w:ascii="仿宋" w:hAnsi="仿宋" w:eastAsia="仿宋" w:cs="仿宋"/>
          <w:b/>
          <w:bCs/>
          <w:color w:val="auto"/>
          <w:sz w:val="24"/>
          <w:szCs w:val="21"/>
          <w:highlight w:val="none"/>
        </w:rPr>
        <w:t xml:space="preserve">简体中文</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9.2</w:t>
      </w:r>
      <w:r>
        <w:rPr>
          <w:rFonts w:ascii="仿宋" w:hAnsi="仿宋" w:eastAsia="仿宋" w:cs="仿宋"/>
          <w:color w:val="auto"/>
          <w:sz w:val="24"/>
          <w:szCs w:val="21"/>
          <w:highlight w:val="none"/>
        </w:rPr>
        <w:t xml:space="preserve"> 除技术性能另有规定外，投标文件所使用的度量衡单位，均须采用国家法定计量单位。</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10、投标文件构成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按“第</w:t>
      </w:r>
      <w:r>
        <w:rPr>
          <w:rFonts w:ascii="仿宋" w:hAnsi="仿宋" w:eastAsia="仿宋" w:cs="仿宋"/>
          <w:color w:val="auto"/>
          <w:sz w:val="24"/>
          <w:szCs w:val="21"/>
          <w:highlight w:val="none"/>
          <w:lang w:val="en-US" w:eastAsia="zh-CN"/>
        </w:rPr>
        <w:t xml:space="preserve">六章</w:t>
      </w:r>
      <w:r>
        <w:rPr>
          <w:rFonts w:ascii="仿宋" w:hAnsi="仿宋" w:eastAsia="仿宋" w:cs="仿宋"/>
          <w:color w:val="auto"/>
          <w:sz w:val="24"/>
          <w:szCs w:val="21"/>
          <w:highlight w:val="none"/>
        </w:rPr>
        <w:t xml:space="preserve">  </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rPr>
          <w:rFonts w:ascii="仿宋" w:hAnsi="仿宋" w:eastAsia="仿宋" w:cs="仿宋"/>
          <w:color w:val="auto"/>
          <w:sz w:val="24"/>
          <w:szCs w:val="21"/>
          <w:highlight w:val="none"/>
          <w:lang w:eastAsia="zh-CN"/>
        </w:rPr>
        <w:t xml:space="preserve">格式</w:t>
      </w:r>
      <w:r>
        <w:rPr>
          <w:rFonts w:ascii="仿宋" w:hAnsi="仿宋" w:eastAsia="仿宋" w:cs="仿宋"/>
          <w:color w:val="auto"/>
          <w:sz w:val="24"/>
          <w:szCs w:val="21"/>
          <w:highlight w:val="none"/>
        </w:rPr>
        <w:t xml:space="preserve">”要求编写</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10.2 如标书制作工具中格式和内容与“江苏政府采购网”发布的招标文件不一致，请以“江苏政府采购网”发布的招标文件为准。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11、证明投标人及投标标的符合招标文件规定的文件</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11.1 投标人应按照招标文件要求提交证明文件，证明其及投标标的符合招标文件规定。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11.2招标文件对证明文件无明确形式要求的，证明文件可以以文字资料、图纸和数据等形式提交。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12、投标分项报价表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12.1 投标人按照招标文件规定格式填报投标分项报价表。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12.2投标货币。投标文件中的单价和总价无特殊规定的采用人民币报价，以元为单位标注。招标文件中另有规定的按规定执行。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13、技术要求响应及偏离表、商务要求响应及偏离表</w:t>
      </w:r>
      <w:r/>
    </w:p>
    <w:p>
      <w:pPr>
        <w:ind w:right="0" w:firstLine="480"/>
        <w:spacing w:line="5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13.1</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lang w:val="zh-CN"/>
        </w:rPr>
        <w:t xml:space="preserve">需对招标文件中的技术要求与商务要求作出响应，</w:t>
      </w:r>
      <w:r>
        <w:rPr>
          <w:rFonts w:ascii="仿宋" w:hAnsi="仿宋" w:eastAsia="仿宋" w:cs="仿宋"/>
          <w:color w:val="auto"/>
          <w:sz w:val="24"/>
          <w:szCs w:val="21"/>
          <w:highlight w:val="none"/>
        </w:rPr>
        <w:t xml:space="preserve">如有偏离的</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rPr>
        <w:t xml:space="preserve">应逐条填列在偏离表中</w:t>
      </w:r>
      <w:r>
        <w:rPr>
          <w:rFonts w:ascii="仿宋" w:hAnsi="仿宋" w:eastAsia="仿宋" w:cs="仿宋"/>
          <w:color w:val="auto"/>
          <w:sz w:val="24"/>
          <w:szCs w:val="21"/>
          <w:highlight w:val="none"/>
          <w:lang w:eastAsia="zh-CN"/>
        </w:rPr>
        <w:t xml:space="preserve">，</w:t>
      </w:r>
      <w:r>
        <w:rPr>
          <w:rFonts w:ascii="仿宋" w:hAnsi="仿宋" w:eastAsia="仿宋" w:cs="仿宋"/>
          <w:b/>
          <w:bCs/>
          <w:color w:val="auto"/>
          <w:sz w:val="24"/>
          <w:szCs w:val="21"/>
          <w:highlight w:val="none"/>
          <w:lang w:eastAsia="zh-CN"/>
        </w:rPr>
        <w:t xml:space="preserve">并说明偏离情况</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13.2 投标人需按照招标文件要求，在投标文件中提供与技术要求和商务要求相关的证明材料。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14、服务承诺、培训计划、人员安排及其他</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14.1 </w:t>
      </w:r>
      <w:r>
        <w:rPr>
          <w:rFonts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投标人需根据招标文件要求提供培训计划。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投标人需根据招标文件要求提供</w:t>
      </w:r>
      <w:r>
        <w:rPr>
          <w:rFonts w:ascii="仿宋" w:hAnsi="仿宋" w:eastAsia="仿宋" w:cs="仿宋"/>
          <w:color w:val="auto"/>
          <w:sz w:val="24"/>
          <w:szCs w:val="21"/>
          <w:highlight w:val="none"/>
          <w:lang w:val="zh-CN"/>
        </w:rPr>
        <w:t xml:space="preserve">所投标的的主要组成部分、功能设计、实现思路及关键技术等。</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15、投标函和开标一览表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15.1</w:t>
      </w:r>
      <w:r>
        <w:rPr>
          <w:rFonts w:ascii="仿宋" w:hAnsi="仿宋" w:eastAsia="仿宋" w:cs="仿宋"/>
          <w:color w:val="auto"/>
          <w:sz w:val="24"/>
          <w:szCs w:val="21"/>
          <w:highlight w:val="none"/>
        </w:rPr>
        <w:t xml:space="preserve"> 投标人应按照招标文件中提供的格式完整、正确填写投标函、开标一览表。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16、投标有效期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16.1投标有效期为</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规定的开标之日后</w:t>
      </w:r>
      <w:r>
        <w:rPr>
          <w:rFonts w:ascii="仿宋" w:hAnsi="仿宋" w:eastAsia="仿宋" w:cs="仿宋"/>
          <w:b/>
          <w:color w:val="auto"/>
          <w:sz w:val="24"/>
          <w:szCs w:val="21"/>
          <w:highlight w:val="none"/>
          <w:u w:val="single"/>
        </w:rPr>
        <w:t xml:space="preserve">六十（60）天</w:t>
      </w:r>
      <w:r>
        <w:rPr>
          <w:rFonts w:ascii="仿宋" w:hAnsi="仿宋" w:eastAsia="仿宋" w:cs="仿宋"/>
          <w:bCs/>
          <w:color w:val="auto"/>
          <w:sz w:val="24"/>
          <w:szCs w:val="21"/>
          <w:highlight w:val="none"/>
        </w:rPr>
        <w:t xml:space="preserve">。投标有效期比规定短的将被视为未实质性响应招标文件而予以拒绝。</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17、投标有效期的延长</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17.1在特殊情况下，</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于原投标有效期满之前，可向投标人提出延长投标有效期的要求。这种要求与答复均应采用书面形式。投标人可以拒绝</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的这一要求而放弃投标，同意延长投标有效期的投标人既不能要求也不允许修改其投标文件。</w:t>
      </w:r>
      <w:r>
        <w:rPr>
          <w:rFonts w:ascii="仿宋" w:hAnsi="仿宋" w:eastAsia="仿宋" w:cs="仿宋"/>
          <w:color w:val="auto"/>
          <w:sz w:val="24"/>
          <w:szCs w:val="24"/>
          <w:highlight w:val="none"/>
        </w:rPr>
        <w:t xml:space="preserve">受投标有效期约束的所有权利与义务均延长至新的有效期</w:t>
      </w:r>
      <w:r>
        <w:rPr>
          <w:rFonts w:ascii="仿宋" w:hAnsi="仿宋" w:eastAsia="仿宋" w:cs="仿宋"/>
          <w:bCs/>
          <w:color w:val="auto"/>
          <w:sz w:val="24"/>
          <w:szCs w:val="21"/>
          <w:highlight w:val="none"/>
        </w:rPr>
        <w:t xml:space="preserve">。</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四、投标文件的递交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18、电子投标文件的递交</w:t>
      </w:r>
      <w:r/>
    </w:p>
    <w:p>
      <w:pPr>
        <w:ind w:left="525"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18.1投标人应当按照《操作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》规定，在投标截止时间前制作并上传电子投标</w:t>
      </w:r>
      <w:r/>
    </w:p>
    <w:p>
      <w:pPr>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19、投标截止日期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19.1</w:t>
      </w:r>
      <w:r>
        <w:rPr>
          <w:rFonts w:ascii="仿宋" w:hAnsi="仿宋" w:eastAsia="仿宋" w:cs="仿宋"/>
          <w:bCs/>
          <w:color w:val="auto"/>
          <w:sz w:val="24"/>
          <w:szCs w:val="21"/>
          <w:highlight w:val="none"/>
        </w:rPr>
        <w:t xml:space="preserve"> 投标人上传电子投标文件的时间不得迟于招标公告中规定的投标截止时间。</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19.2</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20、投标文件的拒收</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20.1 </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拒绝接收在其规定的投标截止时间后上传的任何投标文件。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21、投标文件的撤回和修改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 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21.1.1 电子投标文件的撤回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投标人可在投标截止时间前，撤回其电子投标文件，具体操作方法见《操作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21.1.2 投标人撤回电子投标文件，则认为其不再参与本项目投标活动。</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21.2 投标文件的修改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21.2.1投标人可在投标截止时间前，对其电子投标文件进行修改，具体操作方法见《操作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21.2.2</w:t>
      </w:r>
      <w:r>
        <w:rPr>
          <w:rFonts w:ascii="仿宋" w:hAnsi="仿宋" w:eastAsia="仿宋" w:cs="仿宋"/>
          <w:bCs/>
          <w:color w:val="auto"/>
          <w:sz w:val="24"/>
          <w:szCs w:val="21"/>
          <w:highlight w:val="none"/>
        </w:rPr>
        <w:t xml:space="preserve"> 在投标截止时间之后，投标人不得对其电子投标文件作任何修改。</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21.3</w:t>
      </w:r>
      <w:r>
        <w:rPr>
          <w:rFonts w:ascii="仿宋" w:hAnsi="仿宋" w:eastAsia="仿宋" w:cs="仿宋"/>
          <w:bCs/>
          <w:color w:val="auto"/>
          <w:sz w:val="24"/>
          <w:szCs w:val="21"/>
          <w:highlight w:val="none"/>
        </w:rPr>
        <w:t xml:space="preserve"> 在投标截止时间至招标文件中规定的投标有效期满之间的这段时间内，投标人不得撤回其投标。</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五、开标与评标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22、开标</w:t>
      </w:r>
      <w:r/>
    </w:p>
    <w:p>
      <w:pPr>
        <w:ind w:right="0" w:firstLine="480"/>
        <w:spacing w:line="400" w:lineRule="exact"/>
        <w:rPr>
          <w:rFonts w:ascii="仿宋" w:hAnsi="仿宋" w:eastAsia="仿宋" w:cs="仿宋"/>
          <w:color w:val="auto"/>
          <w:szCs w:val="21"/>
          <w:highlight w:val="none"/>
        </w:rPr>
      </w:pPr>
      <w:r>
        <w:rPr>
          <w:rFonts w:ascii="仿宋" w:hAnsi="仿宋" w:eastAsia="仿宋" w:cs="仿宋"/>
          <w:color w:val="auto"/>
          <w:sz w:val="24"/>
          <w:szCs w:val="21"/>
          <w:highlight w:val="none"/>
        </w:rPr>
        <w:t xml:space="preserve">22.1</w:t>
      </w:r>
      <w:r>
        <w:rPr>
          <w:rFonts w:ascii="仿宋" w:hAnsi="仿宋" w:eastAsia="仿宋" w:cs="仿宋"/>
          <w:bCs/>
          <w:color w:val="auto"/>
          <w:sz w:val="24"/>
          <w:szCs w:val="21"/>
          <w:highlight w:val="none"/>
        </w:rPr>
        <w:t xml:space="preserve"> </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将在招标公告中规定的时间和地点组织公开开标</w:t>
      </w:r>
      <w:r>
        <w:rPr>
          <w:rFonts w:ascii="仿宋" w:hAnsi="仿宋" w:eastAsia="仿宋" w:cs="仿宋"/>
          <w:color w:val="auto"/>
          <w:sz w:val="24"/>
          <w:szCs w:val="24"/>
          <w:highlight w:val="none"/>
        </w:rPr>
        <w:t xml:space="preserve">。投标人应当按照《操作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》规定，参加开标活动和在苏采云系统规定的时间内对投标文件进行解密。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22.2</w:t>
      </w:r>
      <w:r>
        <w:rPr>
          <w:rFonts w:ascii="仿宋" w:hAnsi="仿宋" w:eastAsia="仿宋" w:cs="仿宋"/>
          <w:color w:val="auto"/>
          <w:sz w:val="24"/>
          <w:szCs w:val="24"/>
          <w:highlight w:val="none"/>
        </w:rPr>
        <w:t xml:space="preserve">开标仪式由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组织。苏采云系统将自动对项目进行开标，并宣布各投标人名称和投标价格。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22.3投标人在开标过程中涉及到的投标文件解密、开标结果确认等工作，应按照《操作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》规定执行。</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22.4投标人如果对开标过程和开标记录有疑义，应当根据《操作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》规定提出，如苏采云系统中《开标记录表》宣布后5分钟内未提出的，视同认可开标结果。</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23、评标委员会</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23.1 开标后，</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将立即组织评标委员会（以下简称评委会）进行评标。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23.2 评委会由采购人代表和有关技术、经济等方面的专家组成，且人员构成符合政府采购有关规定。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23.3评委会独立工作，负责评审</w:t>
      </w:r>
      <w:r>
        <w:rPr>
          <w:rFonts w:ascii="仿宋" w:hAnsi="仿宋" w:eastAsia="仿宋" w:cs="仿宋"/>
          <w:color w:val="auto"/>
          <w:sz w:val="24"/>
          <w:szCs w:val="24"/>
          <w:highlight w:val="none"/>
        </w:rPr>
        <w:t xml:space="preserve">所有投标文件并确定中标侯选人。</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24</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评标过程的保密与公正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24.1公开开标后，直至向中标的投标人授予合同时止，凡是与审查、澄清、评价和比较投标的有关资料以及授标建议等，采购人、评委、</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均不得向投标人或与评标无关的其他人员透露。</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24.2</w:t>
      </w:r>
      <w:r>
        <w:rPr>
          <w:rFonts w:ascii="仿宋" w:hAnsi="仿宋" w:eastAsia="仿宋" w:cs="仿宋"/>
          <w:color w:val="auto"/>
          <w:sz w:val="24"/>
          <w:szCs w:val="24"/>
          <w:highlight w:val="none"/>
        </w:rPr>
        <w:t xml:space="preserve">在评标过程中，投标人不得以任何行为影响评标过程，否则其投标文件将被作为无效投标文件。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24</w:t>
      </w:r>
      <w:r>
        <w:rPr>
          <w:rFonts w:ascii="仿宋" w:hAnsi="仿宋" w:eastAsia="仿宋" w:cs="仿宋"/>
          <w:color w:val="auto"/>
          <w:sz w:val="24"/>
          <w:szCs w:val="24"/>
          <w:highlight w:val="none"/>
        </w:rPr>
        <w:t xml:space="preserve">.3在评标期间，</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将设专门人员与投标人联系。</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4代理机构</w:t>
      </w:r>
      <w:r>
        <w:rPr>
          <w:rFonts w:ascii="仿宋" w:hAnsi="仿宋" w:eastAsia="仿宋" w:cs="仿宋"/>
          <w:color w:val="auto"/>
          <w:sz w:val="24"/>
          <w:szCs w:val="24"/>
          <w:highlight w:val="none"/>
        </w:rPr>
        <w:t xml:space="preserve">和评标委员会不向未中标的投标人解释未中标原因，也不公布评标过程中的相关细节。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 采用综合评分法的项目，未中标的投标人可于中标结果公告期限届满之日起通过苏采云系统查看自己的评审得分及排序情况。</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25</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投标文件的澄清</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投标人的澄清、说明或者补正不得超出投标文件的范围或者改变投标文件的实质性内容。</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评标委员会并非对每个投标人都做澄清要求。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25.2需要</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进行澄清、说明和补正的，评委会将通过苏采云系统向</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25.3 接到评委会澄清、说明和补正要求的投标人如未按规定做出澄清、说明和补正，其风险由投标人自行承担。</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26、对投标文件的初审</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26.1</w:t>
      </w:r>
      <w:r>
        <w:rPr>
          <w:rFonts w:ascii="仿宋" w:hAnsi="仿宋" w:eastAsia="仿宋" w:cs="仿宋"/>
          <w:bCs/>
          <w:color w:val="auto"/>
          <w:sz w:val="24"/>
          <w:szCs w:val="21"/>
          <w:highlight w:val="none"/>
        </w:rPr>
        <w:t xml:space="preserve">投标文件初审分为资格审查和符合性审查。</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26.1.1资格审查：依据法律法规和招标文件的规定，由采购人对投标文件中的资格证明文件进行审查。资格审查的结论，采购人以书面形式向评委会进行反馈。</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ascii="仿宋" w:hAnsi="仿宋" w:eastAsia="仿宋" w:cs="仿宋"/>
          <w:bCs/>
          <w:color w:val="auto"/>
          <w:sz w:val="24"/>
          <w:szCs w:val="21"/>
          <w:highlight w:val="none"/>
          <w:lang w:eastAsia="zh-CN"/>
        </w:rPr>
        <w:t xml:space="preserve">信</w:t>
      </w:r>
      <w:r>
        <w:rPr>
          <w:rFonts w:ascii="仿宋" w:hAnsi="仿宋" w:eastAsia="仿宋" w:cs="仿宋"/>
          <w:bCs/>
          <w:color w:val="auto"/>
          <w:sz w:val="24"/>
          <w:szCs w:val="21"/>
          <w:highlight w:val="none"/>
        </w:rPr>
        <w:t xml:space="preserve">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26.1.3未通过资格审查或符合性审查的投标人，</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中告知未通过资格审查或符合性审查的原因，评审结束后，</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将不再告知未通过资格审查或符合性审查的原因。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26.2</w:t>
      </w:r>
      <w:r>
        <w:rPr>
          <w:rFonts w:ascii="仿宋" w:hAnsi="仿宋" w:eastAsia="仿宋" w:cs="仿宋"/>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cs="仿宋"/>
          <w:bCs/>
          <w:color w:val="auto"/>
          <w:sz w:val="24"/>
          <w:szCs w:val="21"/>
          <w:highlight w:val="none"/>
        </w:rPr>
        <w:t xml:space="preserve">评委决定投标文件的响应性只根据投标文件本身的内容，而不寻求外部的证据。</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26.3</w:t>
      </w:r>
      <w:r>
        <w:rPr>
          <w:rFonts w:ascii="仿宋" w:hAnsi="仿宋" w:eastAsia="仿宋" w:cs="仿宋"/>
          <w:bCs/>
          <w:color w:val="auto"/>
          <w:sz w:val="24"/>
          <w:szCs w:val="21"/>
          <w:highlight w:val="none"/>
        </w:rPr>
        <w:t xml:space="preserve">如果投标文件实质上没有响应招标文件的要求，评委会将</w:t>
      </w:r>
      <w:r>
        <w:rPr>
          <w:rFonts w:ascii="仿宋" w:hAnsi="仿宋" w:eastAsia="仿宋" w:cs="仿宋"/>
          <w:bCs/>
          <w:color w:val="auto"/>
          <w:sz w:val="24"/>
          <w:szCs w:val="21"/>
          <w:highlight w:val="none"/>
          <w:lang w:eastAsia="zh-CN"/>
        </w:rPr>
        <w:t xml:space="preserve">按无效响应处理</w:t>
      </w:r>
      <w:r>
        <w:rPr>
          <w:rFonts w:ascii="仿宋" w:hAnsi="仿宋" w:eastAsia="仿宋" w:cs="仿宋"/>
          <w:bCs/>
          <w:color w:val="auto"/>
          <w:sz w:val="24"/>
          <w:szCs w:val="21"/>
          <w:highlight w:val="none"/>
        </w:rPr>
        <w:t xml:space="preserve">，投标人不得通过修改或撤销不合要求的偏离或保留而使其成为实质性响应的投标。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26.4</w:t>
      </w:r>
      <w:r>
        <w:rPr>
          <w:rFonts w:ascii="仿宋" w:hAnsi="仿宋" w:eastAsia="仿宋" w:cs="仿宋"/>
          <w:bCs/>
          <w:color w:val="auto"/>
          <w:sz w:val="24"/>
          <w:szCs w:val="21"/>
          <w:highlight w:val="none"/>
        </w:rPr>
        <w:t xml:space="preserve">评委会将对确定为实质性响应的投标进行进一步审核，看其是否有计算上或累加上的算术错误，修正错误的原则如下：</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（1）投标文件中开标一览表内容与投标文件中相应内容不一致的，以开标一览表为准。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（2）大写金额和小写金额不一致的，以大写金额为准。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（3）单价金额小数点或者百分比有明显错位的，以开标一览表的总价为准，并修改单价。</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（4）总价金额与按单价汇总金额不一致的，以单价金额计算结果为准。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同时出现两种以上错误的，按照前款规定的顺序修正。</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1"/>
          <w:highlight w:val="none"/>
        </w:rPr>
        <w:t xml:space="preserve">26.5</w:t>
      </w:r>
      <w:r>
        <w:rPr>
          <w:rFonts w:ascii="仿宋" w:hAnsi="仿宋" w:eastAsia="仿宋" w:cs="仿宋"/>
          <w:bCs/>
          <w:color w:val="auto"/>
          <w:sz w:val="24"/>
          <w:szCs w:val="21"/>
          <w:highlight w:val="none"/>
        </w:rPr>
        <w:t xml:space="preserve">评委会将按上述修正错误的方法调整投标文件中的投标报价，并通过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告知投标人，调整后的价格应对投标人具有约束力。如果投标人不接受修正后的价格，则其投标将被拒绝。</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26.6</w:t>
      </w:r>
      <w:r>
        <w:rPr>
          <w:rFonts w:ascii="仿宋" w:hAnsi="仿宋" w:eastAsia="仿宋" w:cs="仿宋"/>
          <w:color w:val="auto"/>
          <w:sz w:val="24"/>
          <w:szCs w:val="21"/>
          <w:highlight w:val="none"/>
        </w:rPr>
        <w:t xml:space="preserve">评委会将允许修正投标文件中不构成重大偏离的、微小的、非正规的、不一致的或不规则的地方，但这些修改不能影响任何投标人相应的名次排列。</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7</w:t>
      </w:r>
      <w:r>
        <w:rPr>
          <w:rFonts w:ascii="仿宋" w:hAnsi="仿宋" w:eastAsia="仿宋" w:cs="仿宋"/>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非单一产品采购项目，招标文件中将载明其中的核心产品。多家投标人提供的核心产品品牌相同的，按前两款规定处理。</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8</w:t>
      </w:r>
      <w:r>
        <w:rPr>
          <w:rFonts w:ascii="仿宋" w:hAnsi="仿宋" w:eastAsia="仿宋" w:cs="仿宋"/>
          <w:color w:val="auto"/>
          <w:sz w:val="24"/>
          <w:szCs w:val="21"/>
          <w:highlight w:val="none"/>
        </w:rPr>
        <w:t xml:space="preserve">投标人在开、评标全过程中应保持通讯畅通，及时登录苏采云系统查阅、答复相关信息，并安排专人与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及评标委员会联系。</w:t>
      </w:r>
      <w:r/>
    </w:p>
    <w:p>
      <w:pPr>
        <w:ind w:right="0" w:firstLine="420"/>
        <w:spacing w:line="400" w:lineRule="exact"/>
        <w:rPr>
          <w:rFonts w:ascii="仿宋" w:hAnsi="仿宋" w:eastAsia="仿宋" w:cs="仿宋"/>
          <w:b/>
          <w:bCs/>
          <w:color w:val="auto"/>
          <w:sz w:val="24"/>
          <w:szCs w:val="21"/>
          <w:highlight w:val="none"/>
        </w:rPr>
      </w:pPr>
      <w:r>
        <w:rPr>
          <w:rFonts w:ascii="仿宋" w:hAnsi="仿宋" w:eastAsia="仿宋" w:cs="仿宋"/>
          <w:b/>
          <w:bCs/>
          <w:color w:val="auto"/>
          <w:sz w:val="24"/>
          <w:szCs w:val="21"/>
          <w:highlight w:val="none"/>
          <w:lang w:val="en-US" w:eastAsia="zh-CN"/>
        </w:rPr>
        <w:t xml:space="preserve">26.9</w:t>
      </w:r>
      <w:r>
        <w:rPr>
          <w:rFonts w:ascii="仿宋" w:hAnsi="仿宋" w:eastAsia="仿宋" w:cs="仿宋"/>
          <w:b/>
          <w:bCs/>
          <w:color w:val="auto"/>
          <w:sz w:val="24"/>
          <w:szCs w:val="21"/>
          <w:highlight w:val="none"/>
        </w:rPr>
        <w:t xml:space="preserve">.异常低价审查</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w:t>
      </w:r>
      <w:r>
        <w:rPr>
          <w:rFonts w:hint="eastAsia" w:ascii="仿宋" w:hAnsi="仿宋" w:eastAsia="仿宋" w:cs="仿宋"/>
          <w:b w:val="0"/>
          <w:bCs w:val="0"/>
          <w:color w:val="auto"/>
          <w:sz w:val="24"/>
          <w:szCs w:val="21"/>
          <w:highlight w:val="none"/>
          <w:lang w:val="en-US" w:eastAsia="zh-CN"/>
        </w:rPr>
        <w:t xml:space="preserve">9</w:t>
      </w:r>
      <w:r>
        <w:rPr>
          <w:rFonts w:ascii="仿宋" w:hAnsi="仿宋" w:eastAsia="仿宋" w:cs="仿宋"/>
          <w:b w:val="0"/>
          <w:bCs w:val="0"/>
          <w:color w:val="auto"/>
          <w:sz w:val="24"/>
          <w:szCs w:val="21"/>
          <w:highlight w:val="none"/>
          <w:lang w:val="en-US" w:eastAsia="zh-CN"/>
        </w:rPr>
        <w:t xml:space="preserve">.1评标过程中出现下列情形之一的，评标小组应当启动异常低价投标审查程序：</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（3）投标（响应）报价低于采购项目最高限价45%的，即投标（响应）报价&lt;采购项目最高限价×45%；</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（4）评标小组基于专业判断，认为供应商报价过低，有可能影响产品质量或者不能诚信履约的其他情形。</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26.9.2 </w:t>
      </w:r>
      <w:r>
        <w:rPr>
          <w:rFonts w:hint="eastAsia" w:ascii="仿宋" w:hAnsi="仿宋" w:eastAsia="仿宋" w:cs="仿宋"/>
          <w:b w:val="0"/>
          <w:bCs w:val="0"/>
          <w:color w:val="auto"/>
          <w:sz w:val="24"/>
          <w:szCs w:val="21"/>
          <w:highlight w:val="none"/>
          <w:lang w:val="en-US" w:eastAsia="zh-CN"/>
        </w:rPr>
        <w:t xml:space="preserve">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仿宋" w:hAnsi="仿宋" w:eastAsia="仿宋" w:cs="仿宋"/>
          <w:b w:val="0"/>
          <w:bCs w:val="0"/>
          <w:color w:val="auto"/>
          <w:sz w:val="24"/>
          <w:szCs w:val="21"/>
          <w:highlight w:val="none"/>
        </w:rPr>
        <w:t xml:space="preserve">。</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right="0" w:firstLine="420"/>
        <w:spacing w:line="400" w:lineRule="exact"/>
        <w:rPr>
          <w:rFonts w:ascii="仿宋" w:hAnsi="仿宋" w:eastAsia="仿宋" w:cs="仿宋"/>
          <w:b w:val="0"/>
          <w:bCs w:val="0"/>
          <w:color w:val="auto"/>
          <w:sz w:val="24"/>
          <w:szCs w:val="21"/>
          <w:highlight w:val="none"/>
        </w:rPr>
      </w:pPr>
      <w:r>
        <w:rPr>
          <w:rFonts w:ascii="仿宋" w:hAnsi="仿宋" w:eastAsia="仿宋" w:cs="仿宋"/>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27、无效投标条款和废标条款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27.1无效投标条款</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 投标人在</w:t>
      </w:r>
      <w:r>
        <w:rPr>
          <w:rFonts w:ascii="仿宋" w:hAnsi="仿宋" w:eastAsia="仿宋" w:cs="仿宋"/>
          <w:bCs/>
          <w:color w:val="auto"/>
          <w:sz w:val="24"/>
          <w:szCs w:val="21"/>
          <w:highlight w:val="none"/>
          <w:lang w:eastAsia="zh-CN"/>
        </w:rPr>
        <w:t xml:space="preserve">“</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lang w:eastAsia="zh-CN"/>
        </w:rPr>
        <w:t xml:space="preserve">”</w:t>
      </w:r>
      <w:r>
        <w:rPr>
          <w:rFonts w:ascii="仿宋" w:hAnsi="仿宋" w:eastAsia="仿宋" w:cs="仿宋"/>
          <w:bCs/>
          <w:color w:val="auto"/>
          <w:sz w:val="24"/>
          <w:szCs w:val="21"/>
          <w:highlight w:val="none"/>
        </w:rPr>
        <w:t xml:space="preserve">规定的时间内未成功解密电子投标文件的。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27.1.2 投标人未按照招标文件要求上传电子投标文件的。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27.1.3 投标</w:t>
      </w:r>
      <w:r>
        <w:rPr>
          <w:rFonts w:ascii="仿宋" w:hAnsi="仿宋" w:eastAsia="仿宋" w:cs="仿宋"/>
          <w:color w:val="auto"/>
          <w:sz w:val="24"/>
          <w:szCs w:val="24"/>
          <w:highlight w:val="none"/>
        </w:rPr>
        <w:t xml:space="preserve">人同一分包提交两</w:t>
      </w:r>
      <w:r>
        <w:rPr>
          <w:rFonts w:ascii="仿宋" w:hAnsi="仿宋" w:eastAsia="仿宋" w:cs="仿宋"/>
          <w:bCs/>
          <w:color w:val="auto"/>
          <w:sz w:val="24"/>
          <w:szCs w:val="21"/>
          <w:highlight w:val="none"/>
        </w:rPr>
        <w:t xml:space="preserve">个（含两个）以上不同的投标报价的。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27.1.4投标人不具备招标文件中规定资格要求的。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27.1.5投标人的报价超过了采购预算或最高限价的。</w:t>
      </w:r>
      <w:r/>
    </w:p>
    <w:p>
      <w:pPr>
        <w:ind w:right="0" w:firstLine="48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27.1.6未通过符合性审查的。</w:t>
      </w:r>
      <w:r/>
    </w:p>
    <w:p>
      <w:pPr>
        <w:ind w:right="0" w:firstLine="36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 27.1.7不符合招标文件中规定的实质性要求的（</w:t>
      </w:r>
      <w:r>
        <w:rPr>
          <w:rFonts w:ascii="仿宋" w:hAnsi="仿宋" w:eastAsia="仿宋" w:cs="仿宋"/>
          <w:bCs/>
          <w:i/>
          <w:color w:val="auto"/>
          <w:sz w:val="24"/>
          <w:szCs w:val="21"/>
          <w:highlight w:val="none"/>
          <w:u w:val="single"/>
        </w:rPr>
        <w:t xml:space="preserve">本招标文件中斜体且有下划线部分为实质性要求）。</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27.1.9  投标文件含有采购人不能接受的附加条件的。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27.1.10评标委员会认为投标人的报价明显低于其他通过符合性审查投标人的报价，有可能影响产品质量或者不能诚信履约的，将通过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27.1.12 投标文件未按照招标文件要求加盖CA电子公章的。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w:t>
      </w:r>
      <w:r>
        <w:rPr>
          <w:rFonts w:ascii="仿宋" w:hAnsi="仿宋" w:eastAsia="仿宋" w:cs="仿宋"/>
          <w:bCs/>
          <w:color w:val="auto"/>
          <w:sz w:val="24"/>
          <w:szCs w:val="21"/>
          <w:highlight w:val="none"/>
          <w:lang w:val="en-US" w:eastAsia="zh-CN"/>
        </w:rPr>
        <w:t xml:space="preserve">7</w:t>
      </w:r>
      <w:r>
        <w:rPr>
          <w:rFonts w:ascii="仿宋" w:hAnsi="仿宋" w:eastAsia="仿宋" w:cs="仿宋"/>
          <w:bCs/>
          <w:color w:val="auto"/>
          <w:sz w:val="24"/>
          <w:szCs w:val="21"/>
          <w:highlight w:val="none"/>
        </w:rPr>
        <w:t xml:space="preserve">.1.13 投标人所投标产品不符合招标文件中所列国家强制性标准的。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27.1.14</w:t>
      </w:r>
      <w:r>
        <w:rPr>
          <w:rFonts w:ascii="仿宋" w:hAnsi="仿宋" w:eastAsia="仿宋" w:cs="仿宋"/>
          <w:bCs/>
          <w:color w:val="auto"/>
          <w:sz w:val="24"/>
          <w:szCs w:val="21"/>
          <w:highlight w:val="none"/>
        </w:rPr>
        <w:t xml:space="preserve">不同供应商的响应文件经系统查询Mac地址</w:t>
      </w:r>
      <w:r>
        <w:rPr>
          <w:rFonts w:ascii="仿宋" w:hAnsi="仿宋" w:eastAsia="仿宋" w:cs="仿宋"/>
          <w:bCs/>
          <w:color w:val="auto"/>
          <w:sz w:val="24"/>
          <w:szCs w:val="21"/>
          <w:highlight w:val="none"/>
          <w:lang w:val="en-US" w:eastAsia="zh-CN"/>
        </w:rPr>
        <w:t xml:space="preserve">或</w:t>
      </w:r>
      <w:r>
        <w:rPr>
          <w:rFonts w:ascii="仿宋" w:hAnsi="仿宋" w:eastAsia="仿宋" w:cs="仿宋"/>
          <w:bCs/>
          <w:color w:val="auto"/>
          <w:sz w:val="24"/>
          <w:szCs w:val="21"/>
          <w:highlight w:val="none"/>
        </w:rPr>
        <w:t xml:space="preserve">标书制作工具客户端标识码一致的（并移送政府采购监管部门进行处理）。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w:t>
      </w:r>
      <w:r>
        <w:rPr>
          <w:rFonts w:ascii="仿宋" w:hAnsi="仿宋" w:eastAsia="仿宋" w:cs="仿宋"/>
          <w:bCs/>
          <w:color w:val="auto"/>
          <w:sz w:val="24"/>
          <w:szCs w:val="21"/>
          <w:highlight w:val="none"/>
          <w:lang w:val="en-US" w:eastAsia="zh-CN"/>
        </w:rPr>
        <w:t xml:space="preserve">5</w:t>
      </w:r>
      <w:r>
        <w:rPr>
          <w:rFonts w:ascii="仿宋" w:hAnsi="仿宋" w:eastAsia="仿宋" w:cs="仿宋"/>
          <w:bCs/>
          <w:color w:val="auto"/>
          <w:sz w:val="24"/>
          <w:szCs w:val="21"/>
          <w:highlight w:val="none"/>
        </w:rPr>
        <w:t xml:space="preserve">其他法律、法规及本招标文件规定的属无效投标的情形。</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27.2.1符合专业条件的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或者对招标文件作实质响应的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不足三家的。27.2.2出现影响采购公正的违法、违规行为的。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27.2.3因重大变故，采购任务取消的。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27.2.4评标委员会认定招标文件存在歧义、重大缺陷导致评审工作无法进行。</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27.2.5 因</w:t>
      </w:r>
      <w:r>
        <w:rPr>
          <w:rFonts w:ascii="仿宋" w:hAnsi="仿宋" w:eastAsia="仿宋" w:cs="仿宋"/>
          <w:color w:val="auto"/>
          <w:sz w:val="24"/>
          <w:szCs w:val="24"/>
          <w:highlight w:val="none"/>
        </w:rPr>
        <w:t xml:space="preserve">苏采云</w:t>
      </w:r>
      <w:r>
        <w:rPr>
          <w:rFonts w:ascii="仿宋" w:hAnsi="仿宋" w:eastAsia="仿宋" w:cs="仿宋"/>
          <w:bCs/>
          <w:color w:val="auto"/>
          <w:sz w:val="24"/>
          <w:szCs w:val="21"/>
          <w:highlight w:val="none"/>
        </w:rPr>
        <w:t xml:space="preserve">系统故障原因造成开标不成功的。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 投标截止时间结束后参加投标的供应商不足三家的处理：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六、定标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28、确定中标单位</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28.1中标候选人的选取原则和数量见招标文件第五章规定。</w:t>
      </w:r>
      <w:r/>
    </w:p>
    <w:p>
      <w:pPr>
        <w:ind w:right="0" w:firstLine="480"/>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28.2</w:t>
      </w:r>
      <w:r>
        <w:rPr>
          <w:rFonts w:ascii="仿宋" w:hAnsi="仿宋" w:eastAsia="仿宋" w:cs="仿宋"/>
          <w:bCs/>
          <w:color w:val="auto"/>
          <w:sz w:val="24"/>
          <w:szCs w:val="21"/>
          <w:highlight w:val="none"/>
        </w:rPr>
        <w:t xml:space="preserve">采购人在评标报告确定的中标候选人名单中按顺序确定中标人。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28.3</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将在“江苏政府采购网”发布中标公告，公告期限为1个工作日。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28.4若有充分证据证明，中标人出现下列情况之一的，一经查实，将被取消中标资格：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28.4.1提供虚假材料谋取中标的。</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4"/>
          <w:highlight w:val="none"/>
        </w:rPr>
        <w:t xml:space="preserve">28.4.2向采购人、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行贿或者提供其他不正当利益的。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28.4.3</w:t>
      </w:r>
      <w:r>
        <w:rPr>
          <w:rFonts w:ascii="仿宋" w:hAnsi="仿宋" w:eastAsia="仿宋" w:cs="仿宋"/>
          <w:color w:val="auto"/>
          <w:sz w:val="24"/>
          <w:szCs w:val="24"/>
          <w:highlight w:val="none"/>
        </w:rPr>
        <w:t xml:space="preserve">属于本文件规定的无效条件，但在评标过程中又未被评委会发现的。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rPr>
        <w:t xml:space="preserve">与采购人或者其他供应商恶意串通的。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采取不正当手段诋毁、排挤其他供应商的。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w:t>
      </w:r>
      <w:r>
        <w:rPr>
          <w:rFonts w:ascii="仿宋" w:hAnsi="仿宋" w:eastAsia="仿宋" w:cs="仿宋"/>
          <w:color w:val="auto"/>
          <w:sz w:val="24"/>
          <w:szCs w:val="24"/>
          <w:highlight w:val="none"/>
        </w:rPr>
        <w:t xml:space="preserve">有下列情形之一的，视为投标人串通投标，投标无效：</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28.5.1不同投标人的投标文件由同一单位或者个人编制。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28.5.2不同投标人委托同一单位或者个人办理投标事宜。</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28.5.3 不同投标人的投标文件载明的项目管理成员或者联系人员为同一人。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28.5.4不同投标人的投标文件异常一致或者投标报价呈规律性差异。</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29、质疑处理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提出质疑。上述应知其权益受到损害之日，是指：</w:t>
      </w:r>
      <w:r/>
    </w:p>
    <w:p>
      <w:pPr>
        <w:ind w:right="0" w:firstLine="48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29.2.1</w:t>
      </w:r>
      <w:r>
        <w:rPr>
          <w:rFonts w:ascii="仿宋" w:hAnsi="仿宋" w:eastAsia="仿宋" w:cs="仿宋"/>
          <w:color w:val="auto"/>
          <w:sz w:val="24"/>
          <w:szCs w:val="24"/>
          <w:highlight w:val="none"/>
        </w:rPr>
        <w:t xml:space="preserve">对可以质疑的采购文件提出质疑的，为收到采购文件之日或者采购文件公告期</w:t>
      </w:r>
      <w:r>
        <w:rPr>
          <w:rFonts w:ascii="仿宋" w:hAnsi="仿宋" w:eastAsia="仿宋" w:cs="仿宋"/>
          <w:color w:val="auto"/>
          <w:sz w:val="24"/>
          <w:szCs w:val="24"/>
          <w:highlight w:val="none"/>
        </w:rPr>
        <w:t xml:space="preserve">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29.2.2对采购过程提出质疑的，为各采购程序环节结束之日；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29.2.3对中标或者成交结果提出质疑的，为中标或者成交结果公告期限届满之日。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将只对供应商第一次质疑作出答复。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29.3质疑函必须按照本招标文件中《质疑函范本》</w:t>
      </w:r>
      <w:r>
        <w:rPr>
          <w:rFonts w:ascii="仿宋" w:hAnsi="仿宋" w:eastAsia="仿宋" w:cs="仿宋"/>
          <w:color w:val="auto"/>
          <w:sz w:val="24"/>
          <w:szCs w:val="24"/>
          <w:highlight w:val="none"/>
          <w:lang w:eastAsia="zh-CN"/>
        </w:rPr>
        <w:t xml:space="preserve">（附件</w:t>
      </w:r>
      <w:r>
        <w:rPr>
          <w:rFonts w:ascii="仿宋" w:hAnsi="仿宋" w:eastAsia="仿宋" w:cs="仿宋"/>
          <w:color w:val="auto"/>
          <w:sz w:val="24"/>
          <w:szCs w:val="24"/>
          <w:highlight w:val="none"/>
          <w:lang w:val="en-US" w:eastAsia="zh-CN"/>
        </w:rPr>
        <w:t xml:space="preserve">13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要求的格式和内容进行填写。供应商如组成联合体参加投标，则《质疑函范本》中要求签字、盖章、加盖公章之处，联合体各方均须按要求签字、盖章、加盖公章。</w:t>
      </w:r>
      <w:r/>
    </w:p>
    <w:p>
      <w:pPr>
        <w:ind w:right="0" w:firstLine="480"/>
        <w:spacing w:line="4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29.4</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（含潜在</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）对采购方式、招标文件中采购需求、供应商资格条件、评标方法和评标标准、合同文本及资格审查结果的询问、质疑请向采购人提出，由采购人负责答复。</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对其他事项的询问、质疑请向</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负责答复。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只接收以纸质原件形式送达的质疑,建议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尽量通过邮寄方式提交质疑（采购人和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不接受无快递运单号的快递）。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采购人质疑接收人及联系方式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eastAsia="zh-CN"/>
        </w:rPr>
        <w:t xml:space="preserve">本</w:t>
      </w:r>
      <w:r>
        <w:rPr>
          <w:rFonts w:ascii="仿宋" w:hAnsi="仿宋" w:eastAsia="仿宋" w:cs="仿宋"/>
          <w:color w:val="auto"/>
          <w:sz w:val="24"/>
          <w:szCs w:val="24"/>
          <w:highlight w:val="none"/>
        </w:rPr>
        <w:t xml:space="preserve">招标文件第一章。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质疑受理部门及联系方式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val="en-US" w:eastAsia="zh-CN"/>
        </w:rPr>
        <w:t xml:space="preserve">本</w:t>
      </w:r>
      <w:r>
        <w:rPr>
          <w:rFonts w:ascii="仿宋" w:hAnsi="仿宋" w:eastAsia="仿宋" w:cs="仿宋"/>
          <w:color w:val="auto"/>
          <w:sz w:val="24"/>
          <w:szCs w:val="24"/>
          <w:highlight w:val="none"/>
        </w:rPr>
        <w:t xml:space="preserve">招标文件第一</w:t>
      </w:r>
      <w:r>
        <w:rPr>
          <w:rFonts w:ascii="仿宋" w:hAnsi="仿宋" w:eastAsia="仿宋" w:cs="仿宋"/>
          <w:color w:val="auto"/>
          <w:sz w:val="24"/>
          <w:szCs w:val="24"/>
          <w:highlight w:val="none"/>
          <w:lang w:eastAsia="zh-CN"/>
        </w:rPr>
        <w:t xml:space="preserve">章</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 以下情形的质疑不予受理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29.5.1内容不符合《政府采购质疑和投诉办法》第十二条规定的质疑。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29.5.2超出政府采购法定期限的质疑。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29.5.3以传真、电子邮件等方式递交的非原件形式的质疑。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29.5.4未参加投标活动的供应商或在投标活动中自身权益未受到损害的供应商所提出的质疑。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29.5.5供应商组成联合体参加投标，联合体中任何一方或多方未按要求签字、盖章、加盖公章的质疑。</w:t>
      </w:r>
      <w:r/>
    </w:p>
    <w:p>
      <w:pPr>
        <w:ind w:right="0" w:firstLine="468"/>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29.6供应商提出书面质疑必须有理、有据，不得捏造事实、提供虚假材料进行恶意质疑。否则，一经查实，</w:t>
      </w:r>
      <w:r>
        <w:rPr>
          <w:rFonts w:ascii="仿宋" w:hAnsi="仿宋" w:eastAsia="仿宋" w:cs="仿宋"/>
          <w:color w:val="auto"/>
          <w:sz w:val="24"/>
          <w:szCs w:val="24"/>
          <w:highlight w:val="none"/>
          <w:lang w:eastAsia="zh-CN"/>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30、中标通知书</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30.l中标结果确定后，</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30.2中标通知书将是合同的一个组成部分。对</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和中标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均具有法律效力。中标通知书发出后，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改变中标结果的，或者中标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放弃中标项目的，应当依法承担法律责任。</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七、授予合同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31、签订合同</w:t>
      </w:r>
      <w:r/>
    </w:p>
    <w:p>
      <w:pPr>
        <w:ind w:right="0" w:firstLine="600"/>
        <w:spacing w:line="480" w:lineRule="exact"/>
        <w:rPr>
          <w:rFonts w:ascii="仿宋" w:hAnsi="仿宋" w:eastAsia="仿宋" w:cs="仿宋"/>
          <w:b/>
          <w:bCs/>
          <w:color w:val="auto"/>
          <w:sz w:val="24"/>
          <w:szCs w:val="24"/>
          <w:highlight w:val="none"/>
        </w:rPr>
      </w:pPr>
      <w:r>
        <w:rPr>
          <w:rFonts w:ascii="仿宋" w:hAnsi="仿宋" w:eastAsia="仿宋" w:cs="仿宋"/>
          <w:bCs/>
          <w:color w:val="auto"/>
          <w:sz w:val="24"/>
          <w:szCs w:val="24"/>
          <w:highlight w:val="none"/>
        </w:rPr>
        <w:t xml:space="preserve">31</w:t>
      </w:r>
      <w:r>
        <w:rPr>
          <w:rFonts w:ascii="仿宋" w:hAnsi="仿宋" w:eastAsia="仿宋" w:cs="仿宋"/>
          <w:color w:val="auto"/>
          <w:sz w:val="24"/>
          <w:szCs w:val="24"/>
          <w:highlight w:val="none"/>
        </w:rPr>
        <w:t xml:space="preserve">.l中标人应当在中标通知书发出之日起三十日内，按照招标文件确定的事项与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签订政府采购合同。</w:t>
      </w:r>
      <w:r>
        <w:rPr>
          <w:rFonts w:ascii="仿宋" w:hAnsi="仿宋" w:eastAsia="仿宋" w:cs="仿宋"/>
          <w:b/>
          <w:bCs/>
          <w:color w:val="auto"/>
          <w:sz w:val="24"/>
          <w:szCs w:val="24"/>
          <w:highlight w:val="none"/>
          <w:lang w:eastAsia="zh-CN"/>
        </w:rPr>
        <w:t xml:space="preserve">中标</w:t>
      </w:r>
      <w:r>
        <w:rPr>
          <w:rFonts w:ascii="仿宋" w:hAnsi="仿宋" w:eastAsia="仿宋" w:cs="仿宋"/>
          <w:b/>
          <w:bCs/>
          <w:color w:val="auto"/>
          <w:sz w:val="24"/>
          <w:szCs w:val="24"/>
          <w:highlight w:val="none"/>
          <w:lang w:val="zh-CN"/>
        </w:rPr>
        <w:t xml:space="preserve">人应在中标结果公告之日起五个工作日内向</w:t>
      </w:r>
      <w:r>
        <w:rPr>
          <w:rFonts w:ascii="仿宋" w:hAnsi="仿宋" w:eastAsia="仿宋" w:cs="仿宋"/>
          <w:b/>
          <w:bCs/>
          <w:color w:val="auto"/>
          <w:sz w:val="24"/>
          <w:szCs w:val="24"/>
          <w:highlight w:val="none"/>
          <w:lang w:val="en-US" w:eastAsia="zh-CN"/>
        </w:rPr>
        <w:t xml:space="preserve">代理机构</w:t>
      </w:r>
      <w:r>
        <w:rPr>
          <w:rFonts w:ascii="仿宋" w:hAnsi="仿宋" w:eastAsia="仿宋" w:cs="仿宋"/>
          <w:b/>
          <w:bCs/>
          <w:color w:val="auto"/>
          <w:sz w:val="24"/>
          <w:szCs w:val="24"/>
          <w:highlight w:val="none"/>
        </w:rPr>
        <w:t xml:space="preserve">和采购</w:t>
      </w:r>
      <w:r>
        <w:rPr>
          <w:rFonts w:ascii="仿宋" w:hAnsi="仿宋" w:eastAsia="仿宋" w:cs="仿宋"/>
          <w:b/>
          <w:bCs/>
          <w:color w:val="auto"/>
          <w:sz w:val="24"/>
          <w:szCs w:val="24"/>
          <w:highlight w:val="none"/>
          <w:lang w:eastAsia="zh-CN"/>
        </w:rPr>
        <w:t xml:space="preserve">人</w:t>
      </w:r>
      <w:r>
        <w:rPr>
          <w:rFonts w:ascii="仿宋" w:hAnsi="仿宋" w:eastAsia="仿宋" w:cs="仿宋"/>
          <w:b/>
          <w:bCs/>
          <w:color w:val="auto"/>
          <w:sz w:val="24"/>
          <w:szCs w:val="24"/>
          <w:highlight w:val="none"/>
        </w:rPr>
        <w:t xml:space="preserve">各提供一份纸质版</w:t>
      </w:r>
      <w:r>
        <w:rPr>
          <w:rFonts w:ascii="仿宋" w:hAnsi="仿宋" w:eastAsia="仿宋" w:cs="仿宋"/>
          <w:b/>
          <w:bCs/>
          <w:color w:val="auto"/>
          <w:sz w:val="24"/>
          <w:szCs w:val="24"/>
          <w:highlight w:val="none"/>
          <w:lang w:eastAsia="zh-CN"/>
        </w:rPr>
        <w:t xml:space="preserve">投标</w:t>
      </w:r>
      <w:r>
        <w:rPr>
          <w:rFonts w:ascii="仿宋" w:hAnsi="仿宋" w:eastAsia="仿宋" w:cs="仿宋"/>
          <w:b/>
          <w:bCs/>
          <w:color w:val="auto"/>
          <w:sz w:val="24"/>
          <w:szCs w:val="24"/>
          <w:highlight w:val="none"/>
        </w:rPr>
        <w:t xml:space="preserve">文件</w:t>
      </w:r>
      <w:r>
        <w:rPr>
          <w:rFonts w:ascii="仿宋" w:hAnsi="仿宋" w:eastAsia="仿宋" w:cs="仿宋"/>
          <w:b/>
          <w:bCs/>
          <w:color w:val="auto"/>
          <w:sz w:val="24"/>
          <w:szCs w:val="24"/>
          <w:highlight w:val="none"/>
          <w:lang w:val="zh-CN"/>
        </w:rPr>
        <w:t xml:space="preserve">（须与上传电子档内容一致）</w:t>
      </w:r>
      <w:r>
        <w:rPr>
          <w:rFonts w:ascii="仿宋" w:hAnsi="仿宋" w:eastAsia="仿宋" w:cs="仿宋"/>
          <w:b/>
          <w:bCs/>
          <w:color w:val="auto"/>
          <w:sz w:val="24"/>
          <w:szCs w:val="24"/>
          <w:highlight w:val="none"/>
        </w:rPr>
        <w:t xml:space="preserve">。</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31.2招标文件、中标人的投标文件及招标过程中有关澄清、承诺文件均应作为合同附件。</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32、货物</w:t>
      </w:r>
      <w:r>
        <w:rPr>
          <w:rFonts w:ascii="仿宋" w:hAnsi="仿宋" w:eastAsia="仿宋" w:cs="仿宋"/>
          <w:b/>
          <w:bCs/>
          <w:color w:val="auto"/>
          <w:sz w:val="28"/>
          <w:szCs w:val="28"/>
          <w:highlight w:val="none"/>
          <w:lang w:eastAsia="zh-CN"/>
        </w:rPr>
        <w:t xml:space="preserve">（包含与货物相关的服务）</w:t>
      </w:r>
      <w:r>
        <w:rPr>
          <w:rFonts w:ascii="仿宋" w:hAnsi="仿宋" w:eastAsia="仿宋" w:cs="仿宋"/>
          <w:b/>
          <w:bCs/>
          <w:color w:val="auto"/>
          <w:sz w:val="28"/>
          <w:szCs w:val="28"/>
          <w:highlight w:val="none"/>
        </w:rPr>
        <w:t xml:space="preserve">的追加、减少和添购。</w:t>
      </w:r>
      <w:r/>
    </w:p>
    <w:p>
      <w:pPr>
        <w:ind w:right="0"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2.1政府采购合同履行中，采购人需追加与合同标的相同的货物</w:t>
      </w:r>
      <w:r>
        <w:rPr>
          <w:rFonts w:ascii="仿宋" w:hAnsi="仿宋" w:eastAsia="仿宋" w:cs="仿宋"/>
          <w:color w:val="auto"/>
          <w:sz w:val="24"/>
          <w:szCs w:val="24"/>
          <w:highlight w:val="none"/>
          <w:lang w:eastAsia="zh-CN"/>
        </w:rPr>
        <w:t xml:space="preserve">（包含与货物相关的服务）</w:t>
      </w:r>
      <w:r>
        <w:rPr>
          <w:rFonts w:ascii="仿宋" w:hAnsi="仿宋" w:eastAsia="仿宋" w:cs="仿宋"/>
          <w:color w:val="auto"/>
          <w:sz w:val="24"/>
          <w:szCs w:val="24"/>
          <w:highlight w:val="none"/>
        </w:rPr>
        <w:t xml:space="preserve">的，在不改变合同其他条款的前提下，可以与中标人协商签订补充合同，但所有补充合同的采购金额不超过原合同金额10%。</w:t>
      </w:r>
      <w:r/>
    </w:p>
    <w:p>
      <w:pPr>
        <w:ind w:right="0" w:firstLine="480"/>
        <w:spacing w:line="5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33、政府采购履约资金扶持政策</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33.1</w:t>
      </w:r>
      <w:r>
        <w:rPr>
          <w:rFonts w:ascii="仿宋" w:hAnsi="仿宋" w:eastAsia="仿宋" w:cs="仿宋"/>
          <w:bCs/>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33.2</w:t>
      </w:r>
      <w:r>
        <w:rPr>
          <w:rFonts w:ascii="仿宋" w:hAnsi="仿宋" w:eastAsia="仿宋" w:cs="仿宋"/>
          <w:bCs/>
          <w:color w:val="auto"/>
          <w:sz w:val="24"/>
          <w:szCs w:val="24"/>
          <w:highlight w:val="none"/>
          <w:lang w:eastAsia="zh-CN"/>
        </w:rPr>
        <w:t xml:space="preserve">履约保证金</w:t>
      </w:r>
      <w:r>
        <w:rPr>
          <w:rFonts w:ascii="仿宋" w:hAnsi="仿宋" w:eastAsia="仿宋" w:cs="仿宋"/>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right="0" w:firstLine="42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left"/>
        <w:keepNext/>
        <w:rPr>
          <w:rFonts w:ascii="仿宋" w:hAnsi="仿宋" w:eastAsia="仿宋" w:cs="仿宋"/>
          <w:bCs/>
          <w:color w:val="auto"/>
          <w:sz w:val="44"/>
          <w:szCs w:val="28"/>
          <w:highlight w:val="none"/>
        </w:rPr>
      </w:pPr>
      <w:r>
        <w:rPr>
          <w:rFonts w:ascii="仿宋" w:hAnsi="仿宋" w:eastAsia="仿宋" w:cs="仿宋"/>
          <w:bCs/>
          <w:color w:val="auto"/>
          <w:sz w:val="44"/>
          <w:szCs w:val="28"/>
          <w:highlight w:val="none"/>
        </w:rPr>
      </w:r>
      <w:r/>
    </w:p>
    <w:p>
      <w:pPr>
        <w:ind w:right="0" w:firstLine="2640"/>
        <w:jc w:val="left"/>
        <w:keepNext/>
        <w:rPr>
          <w:rFonts w:ascii="仿宋" w:hAnsi="仿宋" w:eastAsia="仿宋" w:cs="仿宋"/>
          <w:bCs/>
          <w:color w:val="auto"/>
          <w:sz w:val="44"/>
          <w:szCs w:val="28"/>
          <w:highlight w:val="none"/>
        </w:rPr>
      </w:pPr>
      <w:r>
        <w:rPr>
          <w:color w:val="auto"/>
          <w:highlight w:val="none"/>
        </w:rPr>
        <w:br w:type="page" w:clear="all"/>
      </w:r>
      <w:r/>
    </w:p>
    <w:p>
      <w:pPr>
        <w:numPr>
          <w:ilvl w:val="0"/>
          <w:numId w:val="0"/>
        </w:numPr>
        <w:ind w:right="0" w:firstLine="2640"/>
        <w:jc w:val="left"/>
        <w:keepNext/>
        <w:rPr>
          <w:rFonts w:ascii="仿宋" w:hAnsi="仿宋" w:eastAsia="仿宋" w:cs="仿宋"/>
          <w:b/>
          <w:bCs w:val="0"/>
          <w:color w:val="auto"/>
          <w:sz w:val="44"/>
          <w:szCs w:val="28"/>
          <w:highlight w:val="none"/>
        </w:rPr>
        <w:outlineLvl w:val="0"/>
      </w:pPr>
      <w:r/>
      <w:bookmarkStart w:id="3" w:name="__RefHeading___Toc15715"/>
      <w:r/>
      <w:bookmarkEnd w:id="3"/>
      <w:r>
        <w:rPr>
          <w:rFonts w:ascii="仿宋" w:hAnsi="仿宋" w:eastAsia="仿宋" w:cs="仿宋"/>
          <w:b/>
          <w:bCs w:val="0"/>
          <w:color w:val="auto"/>
          <w:sz w:val="44"/>
          <w:szCs w:val="28"/>
          <w:highlight w:val="none"/>
        </w:rPr>
        <w:t xml:space="preserve">第三章  合同文本</w:t>
      </w:r>
      <w:r/>
    </w:p>
    <w:p>
      <w:pPr>
        <w:ind w:right="0" w:firstLine="480"/>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以下为中标后签定本项目合同的通用条款，中标人不得提出实质性的修改。</w:t>
      </w:r>
      <w:r/>
    </w:p>
    <w:p>
      <w:pPr>
        <w:jc w:val="left"/>
        <w:spacing w:before="145" w:after="145"/>
        <w:rPr>
          <w:rFonts w:ascii="仿宋" w:hAnsi="仿宋" w:eastAsia="仿宋" w:cs="仿宋"/>
          <w:b/>
          <w:bCs/>
          <w:color w:val="auto"/>
          <w:sz w:val="30"/>
          <w:szCs w:val="21"/>
          <w:highlight w:val="none"/>
        </w:rPr>
      </w:pPr>
      <w:r>
        <w:rPr>
          <w:rFonts w:ascii="仿宋" w:hAnsi="仿宋" w:eastAsia="仿宋" w:cs="仿宋"/>
          <w:b/>
          <w:bCs/>
          <w:color w:val="auto"/>
          <w:sz w:val="30"/>
          <w:szCs w:val="21"/>
          <w:highlight w:val="none"/>
        </w:rPr>
      </w:r>
      <w:r/>
    </w:p>
    <w:p>
      <w:pPr>
        <w:pStyle w:val="807"/>
        <w:rPr>
          <w:rFonts w:ascii="仿宋" w:hAnsi="仿宋" w:eastAsia="仿宋" w:cs="仿宋"/>
          <w:b/>
          <w:color w:val="auto"/>
          <w:sz w:val="30"/>
          <w:szCs w:val="21"/>
          <w:highlight w:val="none"/>
        </w:rPr>
      </w:pPr>
      <w:r>
        <w:rPr>
          <w:rFonts w:ascii="仿宋" w:hAnsi="仿宋" w:eastAsia="仿宋" w:cs="仿宋"/>
          <w:b/>
          <w:color w:val="auto"/>
          <w:sz w:val="30"/>
          <w:szCs w:val="21"/>
          <w:highlight w:val="none"/>
        </w:rPr>
      </w:r>
      <w:r/>
    </w:p>
    <w:p>
      <w:pPr>
        <w:jc w:val="center"/>
        <w:spacing w:before="145" w:after="145"/>
        <w:rPr>
          <w:rFonts w:ascii="仿宋" w:hAnsi="仿宋" w:eastAsia="仿宋" w:cs="仿宋"/>
          <w:b/>
          <w:bCs/>
          <w:color w:val="auto"/>
          <w:sz w:val="30"/>
          <w:szCs w:val="20"/>
          <w:highlight w:val="none"/>
        </w:rPr>
      </w:pPr>
      <w:r>
        <w:rPr>
          <w:rFonts w:ascii="仿宋" w:hAnsi="仿宋" w:eastAsia="仿宋" w:cs="仿宋"/>
          <w:b/>
          <w:color w:val="auto"/>
          <w:sz w:val="30"/>
          <w:szCs w:val="21"/>
          <w:highlight w:val="none"/>
        </w:rPr>
        <w:t xml:space="preserve">江苏省政府采购合同（货物）（合同编号）</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rPr>
          <w:rFonts w:ascii="仿宋" w:hAnsi="仿宋" w:eastAsia="仿宋" w:cs="仿宋"/>
          <w:color w:val="auto"/>
          <w:sz w:val="24"/>
          <w:szCs w:val="24"/>
          <w:highlight w:val="none"/>
          <w:u w:val="single"/>
        </w:rPr>
        <w:t xml:space="preserve">如东县应急管理局微型水罐消防车及随车器材装备采购项目</w:t>
      </w:r>
      <w:r>
        <w:rPr>
          <w:rFonts w:ascii="仿宋" w:hAnsi="仿宋" w:eastAsia="仿宋" w:cs="仿宋"/>
          <w:color w:val="auto"/>
          <w:sz w:val="24"/>
          <w:szCs w:val="24"/>
          <w:highlight w:val="none"/>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            </w:t>
      </w:r>
      <w:r/>
    </w:p>
    <w:p>
      <w:pPr>
        <w:spacing w:before="120" w:after="120"/>
        <w:rPr>
          <w:rFonts w:hint="default"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hint="default"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乙方：（卖方）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一、合同内容</w:t>
      </w:r>
      <w:r/>
    </w:p>
    <w:p>
      <w:pPr>
        <w:spacing w:before="120" w:after="120"/>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1.1 标的名称：</w:t>
      </w:r>
      <w:r>
        <w:rPr>
          <w:rFonts w:ascii="仿宋" w:hAnsi="仿宋" w:eastAsia="仿宋" w:cs="仿宋"/>
          <w:color w:val="auto"/>
          <w:sz w:val="24"/>
          <w:szCs w:val="24"/>
          <w:highlight w:val="none"/>
          <w:u w:val="single"/>
        </w:rPr>
        <w:t xml:space="preserve">如东县应急管理局微型水罐消防车及随车器材装备采购项目</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标的质量：</w:t>
      </w:r>
      <w:r>
        <w:rPr>
          <w:rFonts w:ascii="仿宋" w:hAnsi="仿宋" w:eastAsia="仿宋" w:cs="仿宋"/>
          <w:color w:val="auto"/>
          <w:sz w:val="24"/>
          <w:szCs w:val="24"/>
          <w:highlight w:val="none"/>
          <w:u w:val="single"/>
          <w:lang w:val="en-US" w:eastAsia="zh-CN"/>
        </w:rPr>
        <w:t xml:space="preserve">达到招标文件的要求</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 标的数量（规模）：</w:t>
      </w:r>
      <w:r>
        <w:rPr>
          <w:rFonts w:ascii="仿宋" w:hAnsi="仿宋" w:eastAsia="仿宋" w:cs="仿宋"/>
          <w:color w:val="auto"/>
          <w:sz w:val="24"/>
          <w:szCs w:val="24"/>
          <w:highlight w:val="none"/>
          <w:u w:val="single"/>
          <w:lang w:val="en-US" w:eastAsia="zh-CN"/>
        </w:rPr>
        <w:t xml:space="preserve">详见招标文件的采购需求清单</w:t>
      </w:r>
      <w:r/>
    </w:p>
    <w:p>
      <w:pPr>
        <w:spacing w:before="120" w:after="120"/>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1.4 履行时间（期限）：</w:t>
      </w:r>
      <w:r>
        <w:rPr>
          <w:rFonts w:ascii="仿宋" w:hAnsi="仿宋" w:eastAsia="仿宋" w:cs="仿宋"/>
          <w:color w:val="auto"/>
          <w:sz w:val="24"/>
          <w:szCs w:val="24"/>
          <w:highlight w:val="none"/>
          <w:u w:val="single"/>
          <w:lang w:val="en-US" w:eastAsia="zh-CN"/>
        </w:rPr>
        <w:t xml:space="preserve">合同签订生效后，60个日历天内完成货物的采购、安装、调试等通过验收并交付采购人使用</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1.5 履行地点：</w:t>
      </w:r>
      <w:r>
        <w:rPr>
          <w:rFonts w:ascii="仿宋" w:hAnsi="仿宋" w:eastAsia="仿宋" w:cs="仿宋"/>
          <w:color w:val="auto"/>
          <w:sz w:val="24"/>
          <w:szCs w:val="24"/>
          <w:highlight w:val="none"/>
          <w:u w:val="single"/>
          <w:lang w:val="en-US" w:eastAsia="zh-CN"/>
        </w:rPr>
        <w:t xml:space="preserve">采购人指定地点</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1.6 履行方式：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1.7 包装方式：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二、合同金额</w:t>
      </w:r>
      <w:r/>
    </w:p>
    <w:p>
      <w:pPr>
        <w:ind w:left="410" w:right="0" w:hanging="41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本合同金额为（大写）：</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none"/>
          <w:lang w:val="en-US" w:eastAsia="zh-CN"/>
        </w:rPr>
        <w:t xml:space="preserve">元</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元）人民币或其他币种。</w:t>
      </w:r>
      <w:r/>
    </w:p>
    <w:p>
      <w:pPr>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3.1乙方应按招标文件规定的时间向甲方提供使用货物(包含与货物相关的服务)的有关技术资料。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四、知识产权</w:t>
      </w:r>
      <w:r/>
    </w:p>
    <w:p>
      <w:pPr>
        <w:ind w:right="0"/>
        <w:keepLines w:val="0"/>
        <w:keepNext w:val="0"/>
        <w:pageBreakBefore w:val="0"/>
        <w:spacing w:line="0" w:lineRule="atLeas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4.1乙</w:t>
      </w:r>
      <w:r>
        <w:rPr>
          <w:rFonts w:ascii="仿宋" w:hAnsi="仿宋" w:eastAsia="仿宋" w:cs="仿宋"/>
          <w:color w:val="auto"/>
          <w:sz w:val="24"/>
          <w:szCs w:val="21"/>
          <w:highlight w:val="none"/>
        </w:rPr>
        <w:t xml:space="preserve">方应保证甲方在使用、接受本合同货物</w:t>
      </w:r>
      <w:r>
        <w:rPr>
          <w:rFonts w:ascii="仿宋" w:hAnsi="仿宋" w:eastAsia="仿宋" w:cs="仿宋"/>
          <w:color w:val="auto"/>
          <w:sz w:val="24"/>
          <w:szCs w:val="24"/>
          <w:highlight w:val="none"/>
        </w:rPr>
        <w:t xml:space="preserve">（包含与货物相关的服务）</w:t>
      </w:r>
      <w:r>
        <w:rPr>
          <w:rFonts w:ascii="仿宋" w:hAnsi="仿宋" w:eastAsia="仿宋" w:cs="仿宋"/>
          <w:color w:val="auto"/>
          <w:sz w:val="24"/>
          <w:szCs w:val="21"/>
          <w:highlight w:val="none"/>
        </w:rPr>
        <w:t xml:space="preserve">或其任何一部分时不受第三方提出侵犯其专利权、版权、商标权和工业设计权等知识产权的起诉。一旦出现侵权，由乙方负全部责任。</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b/>
          <w:color w:val="auto"/>
          <w:sz w:val="24"/>
          <w:szCs w:val="24"/>
          <w:highlight w:val="none"/>
        </w:rPr>
        <w:t xml:space="preserve">五、产权担保</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5.1 乙方保证所交付的货物（包含与货物相关的服务）的所有权完全属于乙方且无任何抵押、查封等产权瑕疵。</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六、履约保证金</w:t>
      </w:r>
      <w:r/>
    </w:p>
    <w:p>
      <w:pPr>
        <w:ind w:right="0"/>
        <w:keepLines w:val="0"/>
        <w:keepNext w:val="0"/>
        <w:pageBreakBefore w:val="0"/>
        <w:spacing w:before="120" w:after="120"/>
        <w:widowControl w:val="off"/>
        <w:rPr>
          <w:rFonts w:ascii="仿宋" w:hAnsi="仿宋" w:eastAsia="仿宋" w:cs="仿宋"/>
          <w:b/>
          <w:bCs/>
          <w:color w:val="auto"/>
          <w:sz w:val="24"/>
          <w:szCs w:val="24"/>
          <w:highlight w:val="none"/>
        </w:rPr>
      </w:pPr>
      <w:r>
        <w:rPr>
          <w:rFonts w:ascii="仿宋" w:hAnsi="仿宋" w:eastAsia="仿宋" w:cs="仿宋"/>
          <w:color w:val="auto"/>
          <w:sz w:val="24"/>
          <w:szCs w:val="24"/>
          <w:highlight w:val="none"/>
        </w:rPr>
        <w:t xml:space="preserve">6.1 乙方交纳人民币</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元作为本合同的履约保证金。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6.2合同履行结束后，甲方应及时退还交纳的履约保证金。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6.2.1履约保证金退还方式：</w:t>
      </w:r>
      <w:r>
        <w:rPr>
          <w:rFonts w:ascii="仿宋" w:hAnsi="仿宋" w:eastAsia="仿宋" w:cs="仿宋"/>
          <w:color w:val="auto"/>
          <w:sz w:val="24"/>
          <w:szCs w:val="24"/>
          <w:highlight w:val="none"/>
          <w:u w:val="single"/>
          <w:lang w:val="en-US" w:eastAsia="zh-CN"/>
        </w:rPr>
        <w:t xml:space="preserve">根据乙方履约保证金缴纳方式进行退还</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6.2.2履约保证金退还时间：</w:t>
      </w:r>
      <w:r>
        <w:rPr>
          <w:rFonts w:ascii="仿宋" w:hAnsi="仿宋" w:eastAsia="仿宋" w:cs="仿宋"/>
          <w:color w:val="auto"/>
          <w:sz w:val="24"/>
          <w:szCs w:val="24"/>
          <w:highlight w:val="none"/>
          <w:u w:val="single"/>
          <w:lang w:val="en-US" w:eastAsia="zh-CN"/>
        </w:rPr>
        <w:t xml:space="preserve">验收合格后退还</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6.2.3履约保证金退还条件：</w:t>
      </w:r>
      <w:r>
        <w:rPr>
          <w:rFonts w:ascii="仿宋" w:hAnsi="仿宋" w:eastAsia="仿宋" w:cs="仿宋"/>
          <w:color w:val="auto"/>
          <w:sz w:val="24"/>
          <w:szCs w:val="24"/>
          <w:highlight w:val="none"/>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6.2.4发生以下情况的，履约保证金不予退还或部分退还：</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七、合同转包或分包</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7.1乙方不得将合同标的转包给他人履行。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7.2乙方不得将合同标的分包给他人履行。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7.3乙方如有转包或未经甲方同意的分包行为，甲方有权给予终止合同。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八、合同款项支付</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8.1合同款项的支付方式及进度安排</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w:t>
      </w: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 货到如东县应急管理局指定地点，所提供产品经验收合格后</w:t>
      </w:r>
      <w:r>
        <w:rPr>
          <w:rFonts w:hint="eastAsia" w:ascii="仿宋" w:hAnsi="仿宋" w:eastAsia="仿宋" w:cs="仿宋"/>
          <w:b w:val="0"/>
          <w:bCs/>
          <w:color w:val="auto"/>
          <w:sz w:val="24"/>
          <w:szCs w:val="24"/>
          <w:highlight w:val="none"/>
          <w:lang w:val="en-US" w:eastAsia="zh-CN"/>
        </w:rPr>
        <w:t xml:space="preserve">一次性</w:t>
      </w:r>
      <w:r>
        <w:rPr>
          <w:rFonts w:ascii="仿宋" w:hAnsi="仿宋" w:eastAsia="仿宋" w:cs="仿宋"/>
          <w:b w:val="0"/>
          <w:bCs/>
          <w:color w:val="auto"/>
          <w:sz w:val="24"/>
          <w:szCs w:val="24"/>
          <w:highlight w:val="none"/>
        </w:rPr>
        <w:t xml:space="preserve">付清。</w:t>
      </w:r>
      <w:r/>
    </w:p>
    <w:p>
      <w:pPr>
        <w:ind w:right="0"/>
        <w:keepLines w:val="0"/>
        <w:keepNext w:val="0"/>
        <w:pageBreakBefore w:val="0"/>
        <w:spacing w:before="120" w:after="120"/>
        <w:widowControl w:val="off"/>
        <w:rPr>
          <w:rFonts w:hint="eastAsia" w:ascii="仿宋" w:hAnsi="仿宋" w:eastAsia="仿宋" w:cs="仿宋"/>
          <w:b w:val="0"/>
          <w:bCs/>
          <w:color w:val="auto"/>
          <w:sz w:val="24"/>
          <w:szCs w:val="24"/>
          <w:highlight w:val="none"/>
          <w:lang w:eastAsia="zh-CN"/>
        </w:rPr>
      </w:pPr>
      <w:r>
        <w:rPr>
          <w:rFonts w:ascii="仿宋" w:hAnsi="仿宋" w:eastAsia="仿宋" w:cs="仿宋"/>
          <w:b w:val="0"/>
          <w:bCs/>
          <w:color w:val="auto"/>
          <w:sz w:val="24"/>
          <w:szCs w:val="24"/>
          <w:highlight w:val="none"/>
        </w:rPr>
        <w:t xml:space="preserve">付款：成交供应商凭采购合同、验收单（经验收合格）及正式发票等按规定进行资金结算。</w:t>
      </w:r>
      <w:r>
        <w:rPr>
          <w:rFonts w:hint="eastAsia" w:ascii="仿宋" w:hAnsi="仿宋" w:eastAsia="仿宋" w:cs="仿宋"/>
          <w:b w:val="0"/>
          <w:bCs/>
          <w:color w:val="auto"/>
          <w:sz w:val="24"/>
          <w:szCs w:val="24"/>
          <w:highlight w:val="none"/>
        </w:rPr>
        <w:t xml:space="preserve">甲方应在收到发票后10个工作日内将资金支付到乙方账户</w:t>
      </w:r>
      <w:r>
        <w:rPr>
          <w:rFonts w:hint="eastAsia" w:ascii="仿宋" w:hAnsi="仿宋" w:eastAsia="仿宋" w:cs="仿宋"/>
          <w:b w:val="0"/>
          <w:bCs/>
          <w:color w:val="auto"/>
          <w:sz w:val="24"/>
          <w:szCs w:val="24"/>
          <w:highlight w:val="none"/>
          <w:lang w:eastAsia="zh-CN"/>
        </w:rPr>
        <w:t xml:space="preserve">。</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8.2当采购数量与实际使用数量不一致时，乙方应根据实际使用量供货，合同的最终结算金额按实际使用量乘以成交单价进行计算。</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九、税费</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9.1本合同执行中相关的一切税费均由乙方负担。</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b/>
          <w:color w:val="auto"/>
          <w:sz w:val="24"/>
          <w:szCs w:val="24"/>
          <w:highlight w:val="none"/>
        </w:rPr>
        <w:t xml:space="preserve">十、质量保修范围和保修期及售后服务</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10.1 乙方应按招标文件规定的货物性能、技术要求、质量标准向甲方提供未经使用的</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全新产品。</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10.2 乙方提供的货物在质量期内因货物本身的质量问题发生故障，乙方应负责免费更</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换。对达不到技术要求者，根据实际情况，经双方协商，可按以下办法处理：</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⑴更换：由乙方承担所发生的全部费用。</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⑵贬值处理：由甲乙双方合议定价。</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⑶退货处理：乙方应退还甲方支付的合同款，同时应承担该货物的直接费用（运输、保险、检验、货款利息及银行手续费等）。</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10.3 如在使用过程中发生质量问题，乙方在接到甲方通知后在</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小时内到达甲方现场。</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10.4 在质保期内，乙方应对货物出现的质量及安全问题负责处理解决并承担一切费用。</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0.5上述的货物免费保修期为</w:t>
      </w:r>
      <w:r>
        <w:rPr>
          <w:rFonts w:ascii="仿宋" w:hAnsi="仿宋" w:eastAsia="仿宋" w:cs="仿宋"/>
          <w:b w:val="0"/>
          <w:bCs/>
          <w:color w:val="auto"/>
          <w:sz w:val="24"/>
          <w:szCs w:val="24"/>
          <w:highlight w:val="none"/>
          <w:lang w:val="en-US" w:eastAsia="zh-CN"/>
        </w:rPr>
        <w:t xml:space="preserve">整车质保：</w:t>
      </w:r>
      <w:r>
        <w:rPr>
          <w:rFonts w:hint="eastAsia" w:ascii="仿宋" w:hAnsi="仿宋" w:eastAsia="仿宋" w:cs="仿宋"/>
          <w:b w:val="0"/>
          <w:bCs/>
          <w:color w:val="auto"/>
          <w:sz w:val="24"/>
          <w:szCs w:val="24"/>
          <w:highlight w:val="none"/>
          <w:lang w:val="en-US" w:eastAsia="zh-CN"/>
        </w:rPr>
        <w:t xml:space="preserve">3</w:t>
      </w:r>
      <w:r>
        <w:rPr>
          <w:rFonts w:ascii="仿宋" w:hAnsi="仿宋" w:eastAsia="仿宋" w:cs="仿宋"/>
          <w:b w:val="0"/>
          <w:bCs/>
          <w:color w:val="auto"/>
          <w:sz w:val="24"/>
          <w:szCs w:val="24"/>
          <w:highlight w:val="none"/>
          <w:lang w:val="en-US" w:eastAsia="zh-CN"/>
        </w:rPr>
        <w:t xml:space="preserve">年</w:t>
      </w:r>
      <w:r>
        <w:rPr>
          <w:rFonts w:ascii="仿宋" w:hAnsi="仿宋" w:eastAsia="仿宋" w:cs="仿宋"/>
          <w:b w:val="0"/>
          <w:bCs/>
          <w:color w:val="auto"/>
          <w:sz w:val="24"/>
          <w:szCs w:val="24"/>
          <w:highlight w:val="none"/>
        </w:rPr>
        <w:t xml:space="preserve">（自交货验收合格之日起计），因人为因素出现的故障不在免费保修范围内。超过保修期的机器设备，终生维修，维修时只收部件成本费。</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十一、项目验收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11.1 甲方依法组织履约验收工作。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11.3 对于实际使用人和甲方分离的项目，甲方邀请实际使用人参与验收。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11.4 如有必要，甲方邀请参加本项目的其他供应商或第三方专业机构及专家参与验收，相关意见将作为验收书的参考资料。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十二、货物的包装、发运及运输</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12.1 乙方应在货物发运前对其进行满足运输距离、防潮、防震、防锈和防破损装卸等</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要求包装，以保证货物安全运达甲方指定地点。乙方对货物的包装应符合《商品包装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政府采购需求标准（试行）》、《快递包装政府采购需求标准（试行）》的规定。</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12.2 使用说明书、质量检验证明书、随配附件和工具以及清单一并附于货物内。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12.3 乙方在货物发运手续办理完毕后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小时内或货到甲方</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小时前通知甲方，以准备接货。</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12.4 货物在交付甲方前发生的风险均由乙方负责。</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12.5 货物在规定的交付期限内由乙方送达甲方指定的地点视为交付，乙方同时需通知甲方货物已送达。</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十三、违约责任</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13.1 甲方无正当理由拒收货物的，甲方向乙方偿付拒收货款总值</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13.2 甲方无故逾期验收和办理货款支付手续的,甲方应按逾期付款总额每日</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向乙方支付违约金。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13.3 乙方逾期交付货物的，乙方应按逾期交货总额</w:t>
      </w:r>
      <w:r>
        <w:rPr>
          <w:rFonts w:ascii="仿宋" w:hAnsi="仿宋" w:eastAsia="仿宋" w:cs="仿宋"/>
          <w:color w:val="auto"/>
          <w:sz w:val="24"/>
          <w:szCs w:val="24"/>
          <w:highlight w:val="none"/>
          <w:u w:val="none"/>
        </w:rPr>
        <w:t xml:space="preserve">每日</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向甲方支付违约金，由甲方从待付货款中扣除。逾期超过约定日期</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u w:val="none"/>
        </w:rPr>
        <w:t xml:space="preserve">个工作日</w:t>
      </w:r>
      <w:r>
        <w:rPr>
          <w:rFonts w:ascii="仿宋" w:hAnsi="仿宋" w:eastAsia="仿宋" w:cs="仿宋"/>
          <w:color w:val="auto"/>
          <w:sz w:val="24"/>
          <w:szCs w:val="24"/>
          <w:highlight w:val="none"/>
        </w:rPr>
        <w:t xml:space="preserve">不能交货的，甲方可解除本合同。乙方因逾期交货或因其他违约行为导致甲方解除合同的，乙方应向甲方支付合同总值</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的违约金，如造成甲方损失超过违约金的，超出部分由乙方继续承担赔偿责任。 </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13.4 乙方所交的货物品种、型号、规格、技术参数、质量不符合合同规定及招标文件</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规定标准的，甲方有权拒收该货物，乙方愿意更换货物但逾期交货的，按乙方逾期交</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货处理。乙方拒绝更换货物的，甲方可单方面解除合同。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十四、不可抗力事件处理</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14.1 在合同有效期内，任何一方因不可抗力事件导致不能履行合同，则合同履行期可</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延长，其延长期与不可抗力影响期相同。</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不可抗力事件发生后，应立即通知对方，并寄送有关权威机构出具的证明。</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不可抗力事件延续</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天以上，双方应通过友好协商，确定是否继续履行合同。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十五、解决争议的方法</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15.1甲乙双方因合同签订、履行而发生的一切争议，应通过友好协商解决。如协商不</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成由甲方住所地人民法院管辖。</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十六、合同生效及其它</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16.1 合同经双方法定代表人或授权委托代表人签字并加盖单位公章后生效。</w:t>
      </w:r>
      <w:r/>
    </w:p>
    <w:p>
      <w:pPr>
        <w:ind w:left="480" w:right="0" w:hanging="48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16.2 本合同未尽事宜，遵照中华人民共和国现行法律法规有关条文执行。</w:t>
      </w:r>
      <w:r/>
    </w:p>
    <w:p>
      <w:pPr>
        <w:ind w:left="480" w:right="0" w:hanging="48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16.3 本合同正本一式</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份，具有同等法律效力。</w:t>
      </w:r>
      <w:r/>
    </w:p>
    <w:p>
      <w:pPr>
        <w:ind w:left="480" w:right="0" w:hanging="480"/>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ind w:left="485" w:right="0" w:hanging="307"/>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甲方：                        乙方：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地址：                        地址：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法定代表人或授权代表：        法定代表人或授权代表：</w:t>
      </w:r>
      <w:r/>
    </w:p>
    <w:p>
      <w:pPr>
        <w:ind w:right="0" w:firstLine="240"/>
        <w:spacing w:before="120" w:after="120" w:line="0" w:lineRule="atLeast"/>
        <w:rPr>
          <w:rFonts w:ascii="仿宋" w:hAnsi="仿宋" w:eastAsia="仿宋" w:cs="仿宋"/>
          <w:color w:val="auto"/>
          <w:szCs w:val="21"/>
          <w:highlight w:val="none"/>
        </w:rPr>
      </w:pPr>
      <w:r>
        <w:rPr>
          <w:rFonts w:ascii="仿宋" w:hAnsi="仿宋" w:eastAsia="仿宋" w:cs="仿宋"/>
          <w:color w:val="auto"/>
          <w:sz w:val="24"/>
          <w:szCs w:val="24"/>
          <w:highlight w:val="none"/>
        </w:rPr>
        <w:t xml:space="preserve">联系电话：                    联系电话：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Cs w:val="21"/>
          <w:highlight w:val="none"/>
        </w:rPr>
        <w:t xml:space="preserve">                 </w:t>
      </w:r>
      <w:r>
        <w:rPr>
          <w:rFonts w:ascii="仿宋" w:hAnsi="仿宋" w:eastAsia="仿宋" w:cs="仿宋"/>
          <w:color w:val="auto"/>
          <w:sz w:val="24"/>
          <w:szCs w:val="24"/>
          <w:highlight w:val="none"/>
        </w:rPr>
        <w:t xml:space="preserve">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签订日期：</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年</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月</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日</w:t>
      </w:r>
      <w:r/>
    </w:p>
    <w:p>
      <w:pPr>
        <w:jc w:val="center"/>
        <w:spacing w:before="120" w:after="120" w:line="0" w:lineRule="atLeast"/>
        <w:rPr>
          <w:rFonts w:ascii="仿宋" w:hAnsi="仿宋" w:eastAsia="仿宋" w:cs="仿宋"/>
          <w:color w:val="auto"/>
          <w:sz w:val="24"/>
          <w:szCs w:val="24"/>
          <w:highlight w:val="none"/>
        </w:rPr>
      </w:pPr>
      <w:r>
        <w:rPr>
          <w:color w:val="auto"/>
          <w:highlight w:val="none"/>
        </w:rPr>
        <w:br w:type="page" w:clear="all"/>
      </w:r>
      <w:r/>
    </w:p>
    <w:p>
      <w:pPr>
        <w:numPr>
          <w:ilvl w:val="0"/>
          <w:numId w:val="0"/>
        </w:numPr>
        <w:jc w:val="center"/>
        <w:spacing w:before="120" w:after="120" w:line="0" w:lineRule="atLeast"/>
        <w:rPr>
          <w:rFonts w:ascii="仿宋" w:hAnsi="仿宋" w:eastAsia="仿宋" w:cs="仿宋"/>
          <w:color w:val="auto"/>
          <w:sz w:val="24"/>
          <w:szCs w:val="24"/>
          <w:highlight w:val="none"/>
        </w:rPr>
        <w:outlineLvl w:val="0"/>
      </w:pPr>
      <w:r/>
      <w:bookmarkStart w:id="4" w:name="__RefHeading___Toc26382"/>
      <w:r/>
      <w:bookmarkEnd w:id="4"/>
      <w:r>
        <w:rPr>
          <w:rFonts w:ascii="仿宋" w:hAnsi="仿宋" w:eastAsia="仿宋" w:cs="仿宋"/>
          <w:b/>
          <w:bCs w:val="0"/>
          <w:color w:val="auto"/>
          <w:sz w:val="44"/>
          <w:szCs w:val="21"/>
          <w:highlight w:val="none"/>
        </w:rPr>
        <w:t xml:space="preserve">第四章 采购需求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rPr>
      </w:pPr>
      <w:r>
        <w:rPr>
          <w:rFonts w:ascii="仿宋" w:hAnsi="仿宋" w:eastAsia="仿宋" w:cs="仿宋"/>
          <w:bCs/>
          <w:color w:val="auto"/>
          <w:sz w:val="28"/>
          <w:szCs w:val="28"/>
          <w:highlight w:val="none"/>
          <w:lang w:eastAsia="zh-CN"/>
        </w:rPr>
        <w:t xml:space="preserve">投标人</w:t>
      </w:r>
      <w:r>
        <w:rPr>
          <w:rFonts w:ascii="仿宋" w:hAnsi="仿宋" w:eastAsia="仿宋" w:cs="仿宋"/>
          <w:bCs/>
          <w:color w:val="auto"/>
          <w:sz w:val="28"/>
          <w:szCs w:val="28"/>
          <w:highlight w:val="none"/>
        </w:rPr>
        <w:t xml:space="preserve">在制作</w:t>
      </w:r>
      <w:r>
        <w:rPr>
          <w:rFonts w:ascii="仿宋" w:hAnsi="仿宋" w:eastAsia="仿宋" w:cs="仿宋"/>
          <w:bCs/>
          <w:color w:val="auto"/>
          <w:sz w:val="28"/>
          <w:szCs w:val="28"/>
          <w:highlight w:val="none"/>
          <w:lang w:eastAsia="zh-CN"/>
        </w:rPr>
        <w:t xml:space="preserve">投标</w:t>
      </w:r>
      <w:r>
        <w:rPr>
          <w:rFonts w:ascii="仿宋" w:hAnsi="仿宋" w:eastAsia="仿宋" w:cs="仿宋"/>
          <w:bCs/>
          <w:color w:val="auto"/>
          <w:sz w:val="28"/>
          <w:szCs w:val="28"/>
          <w:highlight w:val="none"/>
        </w:rPr>
        <w:t xml:space="preserve">文件时仔细研究项目需求说明。项目需求包括技术要求和商务要求: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lang w:eastAsia="zh-CN"/>
        </w:rPr>
      </w:pPr>
      <w:r>
        <w:rPr>
          <w:rFonts w:ascii="仿宋" w:hAnsi="仿宋" w:eastAsia="仿宋" w:cs="仿宋"/>
          <w:bCs/>
          <w:color w:val="auto"/>
          <w:sz w:val="28"/>
          <w:szCs w:val="28"/>
          <w:highlight w:val="none"/>
        </w:rPr>
        <w:t xml:space="preserve">技术要求是指对采购标的功能和质量要求，包括性能、材料、结构、外观、安全，或者服务内容和标准等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eastAsia="zh-CN"/>
        </w:rPr>
        <w:t xml:space="preserve">。</w:t>
      </w:r>
      <w:r/>
    </w:p>
    <w:p>
      <w:pPr>
        <w:ind w:right="0" w:firstLine="560"/>
        <w:keepLines w:val="0"/>
        <w:keepNext w:val="0"/>
        <w:pageBreakBefore w:val="0"/>
        <w:spacing w:line="420" w:lineRule="exact"/>
        <w:widowControl w:val="off"/>
        <w:rPr>
          <w:rFonts w:ascii="仿宋" w:hAnsi="仿宋" w:eastAsia="仿宋" w:cs="仿宋"/>
          <w:bCs/>
          <w:color w:val="auto"/>
          <w:sz w:val="24"/>
          <w:szCs w:val="24"/>
          <w:highlight w:val="none"/>
          <w:lang w:eastAsia="zh-CN"/>
        </w:rPr>
      </w:pPr>
      <w:r>
        <w:rPr>
          <w:rFonts w:ascii="仿宋" w:hAnsi="仿宋" w:eastAsia="仿宋" w:cs="仿宋"/>
          <w:bCs/>
          <w:color w:val="auto"/>
          <w:sz w:val="28"/>
          <w:szCs w:val="28"/>
          <w:highlight w:val="none"/>
        </w:rPr>
        <w:t xml:space="preserve">商务要求是指取得采购标的的时间、地点、财务和服务要求，包括交付（实施）的时间（期限）和地点（范围）</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付款条件（进度和方法）</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包装和运输</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售后服务</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保险等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val="en-US" w:eastAsia="zh-CN"/>
        </w:rPr>
        <w:t xml:space="preserve">。</w:t>
      </w:r>
      <w:r/>
    </w:p>
    <w:p>
      <w:pPr>
        <w:ind w:right="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其内容包含</w:t>
      </w:r>
      <w:r>
        <w:rPr>
          <w:rFonts w:ascii="仿宋" w:hAnsi="仿宋" w:eastAsia="仿宋" w:cs="仿宋"/>
          <w:b/>
          <w:bCs/>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（一）采购标的需实现的功能或者目标，以及为落实政府采购政策需满足的要求；</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rPr>
      </w:pPr>
      <w:r>
        <w:rPr>
          <w:rFonts w:ascii="宋体" w:hAnsi="宋体" w:cs="宋体"/>
          <w:bCs/>
          <w:color w:val="auto"/>
          <w:sz w:val="24"/>
          <w:szCs w:val="24"/>
          <w:highlight w:val="none"/>
        </w:rPr>
        <w:t xml:space="preserve">满足</w:t>
      </w:r>
      <w:r>
        <w:rPr>
          <w:rFonts w:ascii="宋体" w:hAnsi="宋体" w:cs="宋体"/>
          <w:bCs/>
          <w:color w:val="auto"/>
          <w:sz w:val="24"/>
          <w:szCs w:val="24"/>
          <w:highlight w:val="none"/>
          <w:lang w:val="en-US" w:eastAsia="zh-CN"/>
        </w:rPr>
        <w:t xml:space="preserve">如东县</w:t>
      </w:r>
      <w:r>
        <w:rPr>
          <w:rFonts w:ascii="宋体" w:hAnsi="宋体" w:cs="宋体"/>
          <w:bCs/>
          <w:color w:val="auto"/>
          <w:sz w:val="24"/>
          <w:szCs w:val="24"/>
          <w:highlight w:val="none"/>
        </w:rPr>
        <w:t xml:space="preserve">部分村（社区）消防安全保障需求。</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（二）采购标的需执行的国家相关标准、行业标准、地方标准或者其他标准、规范；</w:t>
      </w:r>
      <w:r/>
    </w:p>
    <w:p>
      <w:pPr>
        <w:ind w:right="0" w:firstLine="480"/>
        <w:keepLines w:val="0"/>
        <w:keepNext w:val="0"/>
        <w:pageBreakBefore w:val="0"/>
        <w:spacing w:line="42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本项目采购</w:t>
      </w:r>
      <w:r>
        <w:rPr>
          <w:rFonts w:hint="eastAsia" w:ascii="宋体" w:hAnsi="宋体" w:cs="宋体"/>
          <w:b w:val="0"/>
          <w:bCs w:val="0"/>
          <w:color w:val="auto"/>
          <w:sz w:val="24"/>
          <w:szCs w:val="24"/>
          <w:highlight w:val="none"/>
          <w:lang w:val="en-US" w:eastAsia="zh-CN"/>
        </w:rPr>
        <w:t xml:space="preserve">水罐微型消防车</w:t>
      </w:r>
      <w:r>
        <w:rPr>
          <w:rFonts w:ascii="宋体" w:hAnsi="宋体" w:cs="宋体"/>
          <w:color w:val="auto"/>
          <w:sz w:val="24"/>
          <w:szCs w:val="24"/>
          <w:highlight w:val="none"/>
        </w:rPr>
        <w:t xml:space="preserve">及随车器材装备，主要用于基层应急处置、初期火灾扑救、消防巡查、救援辅助保障等场景。</w:t>
      </w:r>
      <w:r/>
    </w:p>
    <w:p>
      <w:pPr>
        <w:ind w:right="0" w:firstLine="480"/>
        <w:keepLines w:val="0"/>
        <w:keepNext w:val="0"/>
        <w:pageBreakBefore w:val="0"/>
        <w:spacing w:line="420" w:lineRule="exact"/>
        <w:widowControl w:val="off"/>
        <w:rPr>
          <w:b/>
          <w:bCs/>
          <w:color w:val="auto"/>
          <w:highlight w:val="none"/>
        </w:rPr>
      </w:pPr>
      <w:r>
        <w:rPr>
          <w:rFonts w:hint="eastAsia" w:ascii="宋体" w:hAnsi="宋体" w:cs="宋体"/>
          <w:b/>
          <w:bCs/>
          <w:color w:val="auto"/>
          <w:sz w:val="24"/>
          <w:szCs w:val="24"/>
          <w:highlight w:val="none"/>
          <w:lang w:val="en-US" w:eastAsia="zh-CN"/>
        </w:rPr>
        <w:t xml:space="preserve">特别说明：所投车辆可</w:t>
      </w:r>
      <w:r>
        <w:rPr>
          <w:rFonts w:ascii="宋体" w:hAnsi="宋体" w:eastAsia="宋体" w:cs="宋体"/>
          <w:b/>
          <w:bCs/>
          <w:color w:val="auto"/>
          <w:sz w:val="24"/>
          <w:szCs w:val="24"/>
          <w:highlight w:val="none"/>
        </w:rPr>
        <w:t xml:space="preserve">采用微型水罐消防车，</w:t>
      </w:r>
      <w:r>
        <w:rPr>
          <w:rFonts w:hint="eastAsia" w:ascii="宋体" w:hAnsi="宋体" w:eastAsia="宋体" w:cs="宋体"/>
          <w:b/>
          <w:bCs/>
          <w:color w:val="auto"/>
          <w:sz w:val="24"/>
          <w:szCs w:val="24"/>
          <w:highlight w:val="none"/>
          <w:lang w:val="en-US" w:eastAsia="zh-CN"/>
        </w:rPr>
        <w:t xml:space="preserve">或</w:t>
      </w:r>
      <w:r>
        <w:rPr>
          <w:rFonts w:ascii="宋体" w:hAnsi="宋体" w:eastAsia="宋体" w:cs="宋体"/>
          <w:b/>
          <w:bCs/>
          <w:color w:val="auto"/>
          <w:sz w:val="24"/>
          <w:szCs w:val="24"/>
          <w:highlight w:val="none"/>
        </w:rPr>
        <w:t xml:space="preserve">采用厢式运输车、厢式货车或</w:t>
      </w:r>
      <w:r>
        <w:rPr>
          <w:rFonts w:hint="eastAsia" w:ascii="宋体" w:hAnsi="宋体" w:eastAsia="宋体" w:cs="宋体"/>
          <w:b/>
          <w:bCs/>
          <w:color w:val="auto"/>
          <w:sz w:val="24"/>
          <w:szCs w:val="24"/>
          <w:highlight w:val="none"/>
          <w:lang w:val="en-US" w:eastAsia="zh-CN"/>
        </w:rPr>
        <w:t xml:space="preserve">二类汽车</w:t>
      </w:r>
      <w:r>
        <w:rPr>
          <w:rFonts w:ascii="宋体" w:hAnsi="宋体" w:eastAsia="宋体" w:cs="宋体"/>
          <w:b/>
          <w:bCs/>
          <w:color w:val="auto"/>
          <w:sz w:val="24"/>
          <w:szCs w:val="24"/>
          <w:highlight w:val="none"/>
        </w:rPr>
        <w:t xml:space="preserve">底盘依法进行上装集成</w:t>
      </w:r>
      <w:r>
        <w:rPr>
          <w:rFonts w:hint="eastAsia" w:ascii="宋体" w:hAnsi="宋体" w:eastAsia="宋体" w:cs="宋体"/>
          <w:b/>
          <w:bCs/>
          <w:color w:val="auto"/>
          <w:sz w:val="24"/>
          <w:szCs w:val="24"/>
          <w:highlight w:val="none"/>
          <w:lang w:val="en-US" w:eastAsia="zh-CN"/>
        </w:rPr>
        <w:t xml:space="preserve">具有工信部公告的机动车辆</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装备消防器材后</w:t>
      </w:r>
      <w:r>
        <w:rPr>
          <w:rFonts w:ascii="宋体" w:hAnsi="宋体" w:eastAsia="宋体" w:cs="宋体"/>
          <w:b/>
          <w:bCs/>
          <w:color w:val="auto"/>
          <w:sz w:val="24"/>
          <w:szCs w:val="24"/>
          <w:highlight w:val="none"/>
        </w:rPr>
        <w:t xml:space="preserve">具备基层应急</w:t>
      </w:r>
      <w:r>
        <w:rPr>
          <w:rFonts w:hint="eastAsia" w:ascii="宋体" w:hAnsi="宋体" w:eastAsia="宋体" w:cs="宋体"/>
          <w:b/>
          <w:bCs/>
          <w:color w:val="auto"/>
          <w:sz w:val="24"/>
          <w:szCs w:val="24"/>
          <w:highlight w:val="none"/>
          <w:lang w:val="en-US" w:eastAsia="zh-CN"/>
        </w:rPr>
        <w:t xml:space="preserve">消防救援</w:t>
      </w:r>
      <w:r>
        <w:rPr>
          <w:rFonts w:ascii="宋体" w:hAnsi="宋体" w:eastAsia="宋体" w:cs="宋体"/>
          <w:b/>
          <w:bCs/>
          <w:color w:val="auto"/>
          <w:sz w:val="24"/>
          <w:szCs w:val="24"/>
          <w:highlight w:val="none"/>
        </w:rPr>
        <w:t xml:space="preserve">处置、初期火灾扑救、消防巡查等功能的车辆</w:t>
      </w:r>
      <w:r>
        <w:rPr>
          <w:rFonts w:hint="eastAsia" w:ascii="宋体" w:hAnsi="宋体" w:eastAsia="宋体" w:cs="宋体"/>
          <w:b/>
          <w:bCs/>
          <w:color w:val="auto"/>
          <w:sz w:val="24"/>
          <w:szCs w:val="24"/>
          <w:highlight w:val="none"/>
          <w:lang w:eastAsia="zh-CN"/>
        </w:rPr>
        <w:t xml:space="preserve">，</w:t>
      </w:r>
      <w:r>
        <w:rPr>
          <w:rFonts w:ascii="宋体" w:hAnsi="宋体" w:cs="宋体"/>
          <w:b/>
          <w:bCs/>
          <w:color w:val="auto"/>
          <w:sz w:val="24"/>
          <w:szCs w:val="24"/>
          <w:highlight w:val="none"/>
        </w:rPr>
        <w:t xml:space="preserve">应符合国家现行机动车管理</w:t>
      </w:r>
      <w:r>
        <w:rPr>
          <w:rFonts w:ascii="宋体" w:hAnsi="宋体" w:eastAsia="宋体" w:cs="宋体"/>
          <w:b/>
          <w:bCs/>
          <w:color w:val="auto"/>
          <w:sz w:val="24"/>
          <w:szCs w:val="24"/>
          <w:highlight w:val="none"/>
          <w:lang w:val="en-US" w:eastAsia="zh-CN"/>
        </w:rPr>
        <w:t xml:space="preserve">上牌要求</w:t>
      </w:r>
      <w:r>
        <w:rPr>
          <w:rFonts w:ascii="宋体" w:hAnsi="宋体" w:cs="宋体"/>
          <w:b/>
          <w:bCs/>
          <w:color w:val="auto"/>
          <w:sz w:val="24"/>
          <w:szCs w:val="24"/>
          <w:highlight w:val="none"/>
        </w:rPr>
        <w:t xml:space="preserve">、环保排放、安全使用、产品质量等相关法律法规及国家、行业标准要求</w:t>
      </w:r>
      <w:r>
        <w:rPr>
          <w:rFonts w:hint="eastAsia" w:ascii="宋体" w:hAnsi="宋体" w:cs="宋体"/>
          <w:b/>
          <w:bCs/>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（三）采购标的需满足的质量、安全、技术规格、物理特性等要求；</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所投车辆应结构合理、安全可靠、操作便捷，满足基层应急处置、初期火灾扑救、消防巡查及小区、地下室等场景通行使用需求。车辆底盘、</w:t>
      </w:r>
      <w:r>
        <w:rPr>
          <w:rFonts w:hint="eastAsia" w:ascii="宋体" w:hAnsi="宋体" w:cs="宋体"/>
          <w:color w:val="auto"/>
          <w:sz w:val="24"/>
          <w:szCs w:val="24"/>
          <w:highlight w:val="none"/>
          <w:lang w:val="en-US" w:eastAsia="zh-CN"/>
        </w:rPr>
        <w:t xml:space="preserve">箱</w:t>
      </w:r>
      <w:r>
        <w:rPr>
          <w:rFonts w:ascii="宋体" w:hAnsi="宋体" w:eastAsia="宋体" w:cs="宋体"/>
          <w:color w:val="auto"/>
          <w:sz w:val="24"/>
          <w:szCs w:val="24"/>
          <w:highlight w:val="none"/>
        </w:rPr>
        <w:t xml:space="preserve">体、水箱、泵室、器材箱、管路、阀门、消防泵及随车器材应安装牢固、布局合理、取用方便，不得存在渗漏、松动、变形、锈蚀、开裂或其他影响安全使用的质量缺陷。</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所投车辆</w:t>
      </w:r>
      <w:r>
        <w:rPr>
          <w:rFonts w:ascii="宋体" w:hAnsi="宋体" w:eastAsia="宋体" w:cs="宋体"/>
          <w:color w:val="auto"/>
          <w:sz w:val="24"/>
          <w:szCs w:val="24"/>
          <w:highlight w:val="none"/>
          <w:lang w:val="en-US" w:eastAsia="zh-CN"/>
        </w:rPr>
        <w:t xml:space="preserve">应符合上牌要求，随车提供车辆合格证、车辆环保信息随车清单、车辆使用说明书、车辆一致性证书等资料；手抬机动消防泵应提供消防产品认证证书及检测报告。随车器材的规格、数量、接口形式及配置要求应符合采购清单规定，并与整车消防作业功能相匹配，确保交付后能够正常、安全、稳定投入使用。</w:t>
      </w:r>
      <w:r/>
    </w:p>
    <w:p>
      <w:pPr>
        <w:ind w:right="0" w:firstLine="480"/>
        <w:keepLines w:val="0"/>
        <w:keepNext w:val="0"/>
        <w:pageBreakBefore w:val="0"/>
        <w:spacing w:line="42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3、本次采购21辆</w:t>
      </w:r>
      <w:r>
        <w:rPr>
          <w:rFonts w:hint="eastAsia" w:ascii="宋体" w:hAnsi="宋体" w:cs="宋体"/>
          <w:b w:val="0"/>
          <w:bCs w:val="0"/>
          <w:color w:val="auto"/>
          <w:sz w:val="24"/>
          <w:szCs w:val="24"/>
          <w:highlight w:val="none"/>
          <w:lang w:val="en-US" w:eastAsia="zh-CN"/>
        </w:rPr>
        <w:t xml:space="preserve">水罐微型消防车</w:t>
      </w:r>
      <w:r>
        <w:rPr>
          <w:rFonts w:ascii="宋体" w:hAnsi="宋体" w:eastAsia="宋体" w:cs="宋体"/>
          <w:color w:val="auto"/>
          <w:sz w:val="24"/>
          <w:szCs w:val="24"/>
          <w:highlight w:val="none"/>
          <w:lang w:val="en-US" w:eastAsia="zh-CN"/>
        </w:rPr>
        <w:t xml:space="preserve">，具体参数要求如下：</w:t>
      </w:r>
      <w:r/>
    </w:p>
    <w:tbl>
      <w:tblPr>
        <w:tblStyle w:val="724"/>
        <w:tblW w:w="5000" w:type="pct"/>
        <w:jc w:val="center"/>
        <w:tblLayout w:type="fixed"/>
        <w:tblCellMar>
          <w:left w:w="108" w:type="dxa"/>
          <w:top w:w="0" w:type="dxa"/>
          <w:right w:w="108" w:type="dxa"/>
          <w:bottom w:w="0" w:type="dxa"/>
        </w:tblCellMar>
        <w:tblLook w:val="04A0" w:firstRow="1" w:lastRow="0" w:firstColumn="1" w:lastColumn="0" w:noHBand="0" w:noVBand="1"/>
      </w:tblPr>
      <w:tblGrid>
        <w:gridCol w:w="1400"/>
        <w:gridCol w:w="709"/>
        <w:gridCol w:w="2888"/>
        <w:gridCol w:w="3849"/>
        <w:gridCol w:w="831"/>
      </w:tblGrid>
      <w:tr>
        <w:trPr>
          <w:jc w:val="center"/>
          <w:trHeight w:val="46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hint="eastAsia" w:ascii="Times New Roman" w:hAnsi="Times New Roman" w:cs="Times New Roman"/>
                <w:b/>
                <w:bCs/>
                <w:i w:val="0"/>
                <w:iCs w:val="0"/>
                <w:color w:val="auto"/>
                <w:sz w:val="24"/>
                <w:szCs w:val="24"/>
                <w:highlight w:val="none"/>
                <w:u w:val="none"/>
                <w:lang w:val="en-US" w:eastAsia="zh-CN"/>
              </w:rPr>
              <w:t xml:space="preserve">主要要求</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both"/>
              <w:keepLines w:val="0"/>
              <w:keepNext w:val="0"/>
              <w:spacing w:line="320" w:lineRule="exact"/>
              <w:widowControl/>
              <w:rPr>
                <w:rFonts w:ascii="Times New Roman" w:hAnsi="Times New Roman" w:eastAsia="Times New Roman" w:cs="Times New Roman"/>
                <w:i w:val="0"/>
                <w:iCs w:val="0"/>
                <w:color w:val="auto"/>
                <w:sz w:val="24"/>
                <w:szCs w:val="24"/>
                <w:highlight w:val="none"/>
                <w:u w:val="none"/>
                <w:lang w:val="en-US" w:eastAsia="zh-CN" w:bidi="ar"/>
              </w:rPr>
              <w:suppressLineNumbers w:val="0"/>
            </w:pPr>
            <w:r>
              <w:rPr>
                <w:rFonts w:hint="eastAsia" w:cs="Times New Roman"/>
                <w:b/>
                <w:bCs/>
                <w:i w:val="0"/>
                <w:iCs w:val="0"/>
                <w:color w:val="auto"/>
                <w:sz w:val="24"/>
                <w:szCs w:val="24"/>
                <w:highlight w:val="none"/>
                <w:u w:val="none"/>
                <w:lang w:val="en-US" w:eastAsia="zh-CN" w:bidi="ar"/>
              </w:rPr>
              <w:t xml:space="preserve">包括微型水罐消防车，或依法具有消防功能配置的厢式运输车、厢式货车或由二类汽车底盘改装后的公告车辆。</w:t>
            </w:r>
            <w:r/>
          </w:p>
        </w:tc>
      </w:tr>
      <w:tr>
        <w:trPr>
          <w:jc w:val="center"/>
          <w:trHeight w:val="46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基本参数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整车长×宽×高（mm）</w:t>
            </w:r>
            <w:r>
              <w:rPr>
                <w:rFonts w:ascii="Times New Roman" w:hAnsi="Times New Roman" w:eastAsia="Times New Roman"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5100×1750×2200</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ff0000"/>
                <w:sz w:val="24"/>
                <w:szCs w:val="24"/>
                <w:highlight w:val="none"/>
                <w:u w:val="none"/>
              </w:rPr>
              <w:suppressLineNumbers w:val="0"/>
            </w:pPr>
            <w:r>
              <w:rPr>
                <w:rFonts w:ascii="Times New Roman" w:hAnsi="Times New Roman" w:eastAsia="宋体" w:cs="Times New Roman"/>
                <w:i w:val="0"/>
                <w:iCs w:val="0"/>
                <w:color w:val="ff0000"/>
                <w:sz w:val="24"/>
                <w:szCs w:val="24"/>
                <w:highlight w:val="none"/>
                <w:u w:val="none"/>
                <w:lang w:val="en-US" w:eastAsia="zh-CN" w:bidi="ar"/>
              </w:rPr>
              <w:t xml:space="preserve">箱</w:t>
            </w:r>
            <w:r>
              <w:rPr>
                <w:rFonts w:hint="eastAsia" w:cs="Times New Roman"/>
                <w:i w:val="0"/>
                <w:iCs w:val="0"/>
                <w:color w:val="ff0000"/>
                <w:sz w:val="24"/>
                <w:szCs w:val="24"/>
                <w:highlight w:val="none"/>
                <w:u w:val="none"/>
                <w:lang w:val="en-US" w:eastAsia="zh-CN" w:bidi="ar"/>
              </w:rPr>
              <w:t xml:space="preserve">体</w:t>
            </w:r>
            <w:r>
              <w:rPr>
                <w:rFonts w:ascii="Times New Roman" w:hAnsi="Times New Roman" w:eastAsia="宋体" w:cs="Times New Roman"/>
                <w:i w:val="0"/>
                <w:iCs w:val="0"/>
                <w:color w:val="ff0000"/>
                <w:sz w:val="24"/>
                <w:szCs w:val="24"/>
                <w:highlight w:val="none"/>
                <w:u w:val="none"/>
                <w:lang w:val="en-US" w:eastAsia="zh-CN" w:bidi="ar"/>
              </w:rPr>
              <w:t xml:space="preserve">长×宽×高（mm）</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3000×1650×1400</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ff0000"/>
                <w:sz w:val="24"/>
                <w:szCs w:val="24"/>
                <w:highlight w:val="none"/>
                <w:u w:val="none"/>
              </w:rPr>
              <w:suppressLineNumbers w:val="0"/>
            </w:pPr>
            <w:r>
              <w:rPr>
                <w:rFonts w:ascii="Times New Roman" w:hAnsi="Times New Roman" w:eastAsia="宋体" w:cs="Times New Roman"/>
                <w:i w:val="0"/>
                <w:iCs w:val="0"/>
                <w:color w:val="ff0000"/>
                <w:sz w:val="24"/>
                <w:szCs w:val="24"/>
                <w:highlight w:val="none"/>
                <w:u w:val="none"/>
                <w:lang w:val="en-US" w:eastAsia="zh-CN" w:bidi="ar"/>
              </w:rPr>
              <w:t xml:space="preserve">轴距（mm）</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rPr>
              <w:suppressLineNumbers w:val="0"/>
            </w:pPr>
            <w:r>
              <w:rPr>
                <w:rFonts w:ascii="宋体" w:hAnsi="宋体" w:eastAsia="宋体" w:cs="宋体"/>
                <w:i w:val="0"/>
                <w:iCs w:val="0"/>
                <w:color w:val="auto"/>
                <w:sz w:val="24"/>
                <w:szCs w:val="24"/>
                <w:highlight w:val="none"/>
                <w:u w:val="none"/>
                <w:lang w:val="en-US" w:eastAsia="zh-CN"/>
              </w:rPr>
              <w:t xml:space="preserve">≤</w:t>
            </w:r>
            <w:r>
              <w:rPr>
                <w:rFonts w:ascii="Times New Roman" w:hAnsi="Times New Roman" w:eastAsia="宋体" w:cs="Times New Roman"/>
                <w:i w:val="0"/>
                <w:iCs w:val="0"/>
                <w:color w:val="auto"/>
                <w:sz w:val="24"/>
                <w:szCs w:val="24"/>
                <w:highlight w:val="none"/>
                <w:u w:val="none"/>
                <w:lang w:val="en-US" w:eastAsia="zh-CN"/>
              </w:rPr>
              <w:t xml:space="preserve">3080</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ff0000"/>
                <w:sz w:val="24"/>
                <w:szCs w:val="24"/>
                <w:highlight w:val="none"/>
                <w:u w:val="none"/>
              </w:rPr>
              <w:suppressLineNumbers w:val="0"/>
            </w:pPr>
            <w:r>
              <w:rPr>
                <w:rFonts w:ascii="Times New Roman" w:hAnsi="Times New Roman" w:eastAsia="宋体" w:cs="Times New Roman"/>
                <w:i w:val="0"/>
                <w:iCs w:val="0"/>
                <w:color w:val="ff0000"/>
                <w:sz w:val="24"/>
                <w:szCs w:val="24"/>
                <w:highlight w:val="none"/>
                <w:u w:val="none"/>
                <w:lang w:val="en-US" w:eastAsia="zh-CN" w:bidi="ar"/>
              </w:rPr>
              <w:t xml:space="preserve">前/后轮距（mm）</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1450/1455</w:t>
            </w:r>
            <w:r/>
          </w:p>
        </w:tc>
      </w:tr>
      <w:tr>
        <w:trPr>
          <w:jc w:val="center"/>
          <w:trHeight w:val="40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ff0000"/>
                <w:sz w:val="24"/>
                <w:szCs w:val="24"/>
                <w:highlight w:val="none"/>
                <w:u w:val="none"/>
              </w:rPr>
              <w:suppressLineNumbers w:val="0"/>
            </w:pPr>
            <w:r>
              <w:rPr>
                <w:rFonts w:ascii="Times New Roman" w:hAnsi="Times New Roman" w:eastAsia="宋体" w:cs="Times New Roman"/>
                <w:i w:val="0"/>
                <w:iCs w:val="0"/>
                <w:color w:val="ff0000"/>
                <w:sz w:val="24"/>
                <w:szCs w:val="24"/>
                <w:highlight w:val="none"/>
                <w:u w:val="none"/>
                <w:lang w:val="en-US" w:eastAsia="zh-CN" w:bidi="ar"/>
              </w:rPr>
              <w:t xml:space="preserve">前/后悬（mm）</w:t>
            </w:r>
            <w:r>
              <w:rPr>
                <w:rFonts w:ascii="Times New Roman" w:hAnsi="Times New Roman" w:eastAsia="Times New Roman" w:cs="Times New Roman"/>
                <w:i w:val="0"/>
                <w:iCs w:val="0"/>
                <w:color w:val="ff0000"/>
                <w:sz w:val="24"/>
                <w:szCs w:val="24"/>
                <w:highlight w:val="none"/>
                <w:u w:val="none"/>
                <w:lang w:val="en-US" w:eastAsia="zh-CN" w:bidi="ar"/>
              </w:rPr>
              <w:t xml:space="preserve">▲</w:t>
            </w:r>
            <w:bookmarkStart w:id="8" w:name="_GoBack"/>
            <w:r/>
            <w:bookmarkEnd w:id="8"/>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605/1300</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接近/离去角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24/19</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ff0000"/>
                <w:sz w:val="24"/>
                <w:szCs w:val="24"/>
                <w:highlight w:val="none"/>
                <w:u w:val="none"/>
                <w:lang w:val="en-US" w:eastAsia="zh-CN" w:bidi="ar"/>
              </w:rPr>
              <w:t xml:space="preserve">轴荷</w:t>
            </w:r>
            <w:r>
              <w:rPr>
                <w:rFonts w:ascii="Times New Roman" w:hAnsi="Times New Roman" w:eastAsia="Times New Roman" w:cs="Times New Roman"/>
                <w:i w:val="0"/>
                <w:iCs w:val="0"/>
                <w:color w:val="ff0000"/>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hint="eastAsia"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400</w:t>
            </w: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550</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底盘类型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一类或二类底盘</w:t>
            </w:r>
            <w:r/>
          </w:p>
        </w:tc>
      </w:tr>
      <w:tr>
        <w:trPr>
          <w:jc w:val="center"/>
          <w:trHeight w:val="49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ff0000"/>
                <w:sz w:val="24"/>
                <w:szCs w:val="24"/>
                <w:highlight w:val="none"/>
                <w:u w:val="none"/>
              </w:rPr>
              <w:suppressLineNumbers w:val="0"/>
            </w:pPr>
            <w:r>
              <w:rPr>
                <w:rFonts w:ascii="Times New Roman" w:hAnsi="Times New Roman" w:eastAsia="宋体" w:cs="Times New Roman"/>
                <w:i w:val="0"/>
                <w:iCs w:val="0"/>
                <w:color w:val="ff0000"/>
                <w:sz w:val="24"/>
                <w:szCs w:val="24"/>
                <w:highlight w:val="none"/>
                <w:u w:val="none"/>
                <w:lang w:val="en-US" w:eastAsia="zh-CN" w:bidi="ar"/>
              </w:rPr>
              <w:t xml:space="preserve">整备质量（kg)</w:t>
            </w:r>
            <w:r>
              <w:rPr>
                <w:rFonts w:ascii="Times New Roman" w:hAnsi="Times New Roman" w:eastAsia="Times New Roman" w:cs="Times New Roman"/>
                <w:i w:val="0"/>
                <w:iCs w:val="0"/>
                <w:color w:val="ff0000"/>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hint="eastAsia"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5</w:t>
            </w:r>
            <w:r>
              <w:rPr>
                <w:rFonts w:ascii="Times New Roman" w:hAnsi="Times New Roman" w:eastAsia="宋体" w:cs="Times New Roman"/>
                <w:i w:val="0"/>
                <w:iCs w:val="0"/>
                <w:color w:val="auto"/>
                <w:sz w:val="24"/>
                <w:szCs w:val="24"/>
                <w:highlight w:val="none"/>
                <w:u w:val="none"/>
                <w:lang w:val="en-US" w:eastAsia="zh-CN" w:bidi="ar"/>
              </w:rPr>
              <w:t xml:space="preserve">00</w:t>
            </w:r>
            <w:r/>
          </w:p>
        </w:tc>
      </w:tr>
      <w:tr>
        <w:trPr>
          <w:jc w:val="center"/>
          <w:trHeight w:val="50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ff0000"/>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额定载质量（kg)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700</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总质量（kg)</w:t>
            </w:r>
            <w:r>
              <w:rPr>
                <w:rFonts w:hint="eastAsia" w:cs="Times New Roman"/>
                <w:i w:val="0"/>
                <w:iCs w:val="0"/>
                <w:color w:val="auto"/>
                <w:sz w:val="24"/>
                <w:szCs w:val="24"/>
                <w:highlight w:val="none"/>
                <w:u w:val="none"/>
                <w:lang w:val="en-US" w:eastAsia="zh-CN" w:bidi="ar"/>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rPr>
              <w:suppressLineNumbers w:val="0"/>
            </w:pPr>
            <w:r>
              <w:rPr>
                <w:rFonts w:ascii="宋体" w:hAnsi="宋体" w:eastAsia="宋体" w:cs="宋体"/>
                <w:i w:val="0"/>
                <w:iCs w:val="0"/>
                <w:color w:val="auto"/>
                <w:sz w:val="24"/>
                <w:szCs w:val="24"/>
                <w:highlight w:val="none"/>
                <w:u w:val="none"/>
                <w:lang w:val="en-US" w:eastAsia="zh-CN"/>
              </w:rPr>
              <w:t xml:space="preserve">≤</w:t>
            </w:r>
            <w:r>
              <w:rPr>
                <w:rFonts w:ascii="Times New Roman" w:hAnsi="Times New Roman" w:eastAsia="宋体" w:cs="Times New Roman"/>
                <w:i w:val="0"/>
                <w:iCs w:val="0"/>
                <w:color w:val="auto"/>
                <w:sz w:val="24"/>
                <w:szCs w:val="24"/>
                <w:highlight w:val="none"/>
                <w:u w:val="none"/>
                <w:lang w:val="en-US" w:eastAsia="zh-CN"/>
              </w:rPr>
              <w:t xml:space="preserve">3020</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车辆类型/座位数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2门2座/限载2人</w:t>
            </w:r>
            <w:r/>
          </w:p>
        </w:tc>
      </w:tr>
      <w:tr>
        <w:trPr>
          <w:jc w:val="center"/>
          <w:trHeight w:val="39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排量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1249</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车身结构</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非承载式</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发动机/续航/动力</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发动机功率（KW)</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67</w:t>
            </w:r>
            <w:r/>
          </w:p>
        </w:tc>
      </w:tr>
      <w:tr>
        <w:trPr>
          <w:jc w:val="center"/>
          <w:trHeight w:val="42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最高车速（km/h）</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hint="eastAsia"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燃料种类/油耗值</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汽油/≤8.0L/100km</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排放标准</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GB18352.6-2016国</w:t>
            </w:r>
            <w:r>
              <w:rPr>
                <w:rFonts w:ascii="Times New Roman" w:hAnsi="Times New Roman" w:eastAsia="Times New Roman" w:cs="Times New Roman"/>
                <w:i w:val="0"/>
                <w:iCs w:val="0"/>
                <w:color w:val="auto"/>
                <w:sz w:val="24"/>
                <w:szCs w:val="24"/>
                <w:highlight w:val="none"/>
                <w:u w:val="none"/>
                <w:lang w:val="en-US" w:eastAsia="zh-CN" w:bidi="ar"/>
              </w:rPr>
              <w:t xml:space="preserve">Ⅵ</w:t>
            </w:r>
            <w:r/>
          </w:p>
        </w:tc>
      </w:tr>
      <w:tr>
        <w:trPr>
          <w:jc w:val="center"/>
          <w:trHeight w:val="48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变速操纵</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换挡机构（D/R/N）</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手动换挡</w:t>
            </w:r>
            <w:r/>
          </w:p>
        </w:tc>
      </w:tr>
      <w:tr>
        <w:trPr>
          <w:jc w:val="center"/>
          <w:trHeight w:val="44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底盘/转向配置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板簧片数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转向方式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方向盘</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车轮/制动配置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盘式</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后制动器类型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鼓式</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驻车制动类型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手刹</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轮胎规格</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175R14LT</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轮圈材质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钢轮</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ABS防抱死</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内部配置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内后视镜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39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主/副驾遮阳板</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37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地板革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安全带未系提醒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主驾驶位</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防盗配置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机械钥匙</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二把</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座椅配置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座椅材质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针织</w:t>
            </w:r>
            <w:r/>
          </w:p>
        </w:tc>
      </w:tr>
      <w:tr>
        <w:trPr>
          <w:jc w:val="center"/>
          <w:trHeight w:val="40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主座椅调节方式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前后可调节</w:t>
            </w:r>
            <w:r/>
          </w:p>
        </w:tc>
      </w:tr>
      <w:tr>
        <w:trPr>
          <w:jc w:val="center"/>
          <w:trHeight w:val="48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副座椅调节方式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靠背前后可调节</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多媒体配置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USB接口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警报系统</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驾驶室外顶部设置警灯警报，驾驶室内设有警灯警报系统控制器，具有多媒体或USB外接音频播放功能。</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大屏、倒车影像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根据采购人要求选装</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电源</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12V</w:t>
            </w:r>
            <w:r/>
          </w:p>
        </w:tc>
      </w:tr>
      <w:tr>
        <w:trPr>
          <w:jc w:val="center"/>
          <w:trHeight w:val="51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灯具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前大灯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785"/>
                <w:rFonts w:ascii="Times New Roman" w:hAnsi="Times New Roman" w:eastAsia="宋体" w:cs="Times New Roman"/>
                <w:color w:val="auto"/>
                <w:sz w:val="24"/>
                <w:szCs w:val="24"/>
                <w:highlight w:val="none"/>
                <w:lang w:val="en-US" w:eastAsia="zh-CN" w:bidi="ar"/>
              </w:rPr>
              <w:t xml:space="preserve">设置前大灯、组合后尾灯、</w:t>
            </w:r>
            <w:r>
              <w:rPr>
                <w:rStyle w:val="786"/>
                <w:rFonts w:ascii="Times New Roman" w:hAnsi="Times New Roman" w:eastAsia="宋体" w:cs="Times New Roman"/>
                <w:color w:val="auto"/>
                <w:sz w:val="24"/>
                <w:szCs w:val="24"/>
                <w:highlight w:val="none"/>
                <w:lang w:val="en-US" w:eastAsia="zh-CN" w:bidi="ar"/>
              </w:rPr>
              <w:t xml:space="preserve">警灯系统。</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高位刹车灯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b/>
                <w:bCs/>
                <w:i w:val="0"/>
                <w:iCs w:val="0"/>
                <w:color w:val="auto"/>
                <w:sz w:val="24"/>
                <w:szCs w:val="24"/>
                <w:highlight w:val="none"/>
                <w:u w:val="none"/>
              </w:rPr>
            </w:pPr>
            <w:r>
              <w:rPr>
                <w:rFonts w:ascii="Times New Roman" w:hAnsi="Times New Roman" w:eastAsia="宋体" w:cs="Times New Roman"/>
                <w:i w:val="0"/>
                <w:iCs w:val="0"/>
                <w:color w:val="auto"/>
                <w:sz w:val="24"/>
                <w:szCs w:val="24"/>
                <w:highlight w:val="none"/>
                <w:u w:val="none"/>
                <w:lang w:val="en-US" w:eastAsia="zh-CN" w:bidi="ar"/>
              </w:rPr>
              <w:t xml:space="preserve">选配</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门窗玻璃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手动车窗</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空调配置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冷暖空调（前置式）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其他</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手动后视镜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3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有骨雨刷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拖车牵引钩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3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三角警示牌</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反光背心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配置升级</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顶棚（硬顶）</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标配</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开门方式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侧开、后开</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随车工具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三脚架、拖车钩、备胎、随车工具（轮胎扳手、千斤顶）</w:t>
            </w:r>
            <w:r/>
          </w:p>
        </w:tc>
      </w:tr>
      <w:tr>
        <w:trPr>
          <w:jc w:val="center"/>
          <w:trHeight w:val="52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9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车身颜色</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680"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红色</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特点</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w:t>
            </w: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顶部封闭不可开启，车身安装反射器型反光标识。</w:t>
            </w:r>
            <w:r/>
          </w:p>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2、箱体侧面采用单开门或整体式上开门、后面采用双开门或整体式上开门风格</w:t>
            </w:r>
            <w:r>
              <w:rPr>
                <w:rFonts w:hint="eastAsia" w:cs="Times New Roman"/>
                <w:i w:val="0"/>
                <w:iCs w:val="0"/>
                <w:color w:val="auto"/>
                <w:sz w:val="24"/>
                <w:szCs w:val="24"/>
                <w:highlight w:val="none"/>
                <w:u w:val="none"/>
                <w:lang w:val="en-US" w:eastAsia="zh-CN" w:bidi="ar"/>
              </w:rPr>
              <w:t xml:space="preserve">箱体</w:t>
            </w:r>
            <w:r>
              <w:rPr>
                <w:rFonts w:ascii="Times New Roman" w:hAnsi="Times New Roman" w:eastAsia="宋体" w:cs="Times New Roman"/>
                <w:i w:val="0"/>
                <w:iCs w:val="0"/>
                <w:color w:val="auto"/>
                <w:sz w:val="24"/>
                <w:szCs w:val="24"/>
                <w:highlight w:val="none"/>
                <w:u w:val="none"/>
                <w:lang w:val="en-US" w:eastAsia="zh-CN" w:bidi="ar"/>
              </w:rPr>
              <w:t xml:space="preserve">。</w:t>
            </w:r>
            <w:r/>
          </w:p>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3、随车配有三脚架、拖车钩、备胎、随车工具（轮胎扳手、千斤顶）</w:t>
            </w:r>
            <w:r/>
          </w:p>
        </w:tc>
      </w:tr>
      <w:tr>
        <w:trPr>
          <w:jc w:val="center"/>
          <w:trHeight w:val="44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消防器材</w:t>
            </w:r>
            <w:r/>
          </w:p>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一、上装部分：</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1.设计：模块化设计，由罐体、器材箱、泵室等结构组成；</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w:t>
            </w:r>
            <w:r>
              <w:rPr>
                <w:rFonts w:hint="eastAsia" w:cs="Times New Roman"/>
                <w:i w:val="0"/>
                <w:iCs w:val="0"/>
                <w:color w:val="auto"/>
                <w:sz w:val="24"/>
                <w:szCs w:val="24"/>
                <w:highlight w:val="none"/>
                <w:u w:val="none"/>
                <w:lang w:val="en-US" w:eastAsia="zh-CN" w:bidi="ar"/>
              </w:rPr>
              <w:t xml:space="preserve">箱</w:t>
            </w:r>
            <w:r>
              <w:rPr>
                <w:rFonts w:ascii="Times New Roman" w:hAnsi="Times New Roman" w:eastAsia="宋体" w:cs="Times New Roman"/>
                <w:i w:val="0"/>
                <w:iCs w:val="0"/>
                <w:color w:val="auto"/>
                <w:sz w:val="24"/>
                <w:szCs w:val="24"/>
                <w:highlight w:val="none"/>
                <w:u w:val="none"/>
                <w:lang w:val="en-US" w:eastAsia="zh-CN" w:bidi="ar"/>
              </w:rPr>
              <w:t xml:space="preserve">体结构：箱</w:t>
            </w:r>
            <w:r>
              <w:rPr>
                <w:rFonts w:hint="eastAsia" w:cs="Times New Roman"/>
                <w:i w:val="0"/>
                <w:iCs w:val="0"/>
                <w:color w:val="auto"/>
                <w:sz w:val="24"/>
                <w:szCs w:val="24"/>
                <w:highlight w:val="none"/>
                <w:u w:val="none"/>
                <w:lang w:val="en-US" w:eastAsia="zh-CN" w:bidi="ar"/>
              </w:rPr>
              <w:t xml:space="preserve">体</w:t>
            </w:r>
            <w:r>
              <w:rPr>
                <w:rFonts w:ascii="Times New Roman" w:hAnsi="Times New Roman" w:eastAsia="宋体" w:cs="Times New Roman"/>
                <w:i w:val="0"/>
                <w:iCs w:val="0"/>
                <w:color w:val="auto"/>
                <w:sz w:val="24"/>
                <w:szCs w:val="24"/>
                <w:highlight w:val="none"/>
                <w:u w:val="none"/>
                <w:lang w:val="en-US" w:eastAsia="zh-CN" w:bidi="ar"/>
              </w:rPr>
              <w:t xml:space="preserve">底板材质为Q235,厚度为</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2mm(防滑板)、侧板厚度</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30mm；</w:t>
            </w:r>
            <w:r/>
          </w:p>
        </w:tc>
      </w:tr>
      <w:tr>
        <w:trPr>
          <w:jc w:val="center"/>
          <w:trHeight w:val="1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3.器材箱：不锈钢水箱内设置隔板，采用全密封箱体，后面双开门或上开门，右侧单开门或上开门，采用专用门锁。箱体内合理布置，满足放置移动式手抬机动泵、灭火器、水带、水带固定架等随车消防装备；</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4.泵室：位于车辆后部，设置可快速滑动式滑轨，配有快速接口，方便随时拆装消防手抬泵。</w:t>
            </w:r>
            <w:r/>
          </w:p>
        </w:tc>
      </w:tr>
      <w:tr>
        <w:trPr>
          <w:jc w:val="center"/>
          <w:trHeight w:val="35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5、水泵：</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5.1 类型：手抬机动消防泵（电动和手动）；</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5.2 流量：</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500L/min，扬程：</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70m；</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5.3 消防泵发动机功率：</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6.8kW；</w:t>
            </w:r>
            <w:r/>
          </w:p>
        </w:tc>
      </w:tr>
      <w:tr>
        <w:trPr>
          <w:jc w:val="center"/>
          <w:trHeight w:val="413"/>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5.4 消防泵发动机形式：卧式、单缸、强制风冷、四冲程；</w:t>
            </w:r>
            <w:r/>
          </w:p>
        </w:tc>
      </w:tr>
      <w:tr>
        <w:trPr>
          <w:jc w:val="center"/>
          <w:trHeight w:val="39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5.5 油箱容积：</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6.5L；</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5.6手抬机动消防泵整机重量：</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55Kg；</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5.7手抬机动消防泵下方应设有下沉式手拉滑台，拉出长度大于滑台长度的85%；</w:t>
            </w:r>
            <w:r/>
          </w:p>
        </w:tc>
      </w:tr>
      <w:tr>
        <w:trPr>
          <w:jc w:val="center"/>
          <w:trHeight w:val="49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5.8手抬机动消防泵放置于泵室时需配备固定装置，使用时可从内部取出；</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5.9手抬泵机动消防泵使用功能：罐吸时，手抬泵进水口与罐体出水口采用快速接口连接（出水口为65型快速接口）；外吸时，手抬泵进水口直接连接吸水管可直接作业，保证吸收深度</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6m,并配备一根7m吸水管（硬质），吸水管装置在箱体内。</w:t>
            </w:r>
            <w:r/>
          </w:p>
        </w:tc>
      </w:tr>
      <w:tr>
        <w:trPr>
          <w:jc w:val="center"/>
          <w:trHeight w:val="590"/>
        </w:trPr>
        <w:tc>
          <w:tcPr>
            <w:shd w:val="clear" w:color="auto" w:fill="ffffff"/>
            <w:tcBorders>
              <w:top w:val="single" w:color="000000" w:sz="8" w:space="0"/>
              <w:left w:val="single" w:color="000000" w:sz="8" w:space="0"/>
              <w:bottom w:val="single" w:color="auto" w:sz="4" w:space="0"/>
              <w:right w:val="single" w:color="000000" w:sz="8" w:space="0"/>
            </w:tcBorders>
            <w:tcW w:w="1400"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auto" w:sz="4"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5.10为防止手抬机动消防泵软管式接口出现长时间弯折导致开裂的情况，手抬机动消防泵接口需改装成下图所示样式。</w:t>
            </w:r>
            <w:r/>
          </w:p>
          <w:p>
            <w:pPr>
              <w:jc w:val="left"/>
              <w:keepLines w:val="0"/>
              <w:keepNext w:val="0"/>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26465" cy="615950"/>
                      <wp:effectExtent l="0" t="0" r="6985" b="12700"/>
                      <wp:docPr id="2"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4"/>
                              <pic:cNvPicPr>
                                <a:picLocks noChangeAspect="1"/>
                              </pic:cNvPicPr>
                              <pic:nvPr/>
                            </pic:nvPicPr>
                            <pic:blipFill>
                              <a:blip r:embed="rId18"/>
                              <a:srcRect l="-39" t="-58" r="-39" b="-58"/>
                              <a:stretch/>
                            </pic:blipFill>
                            <pic:spPr bwMode="auto">
                              <a:xfrm>
                                <a:off x="0" y="0"/>
                                <a:ext cx="926465" cy="61595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3.0pt;height:48.5pt;mso-wrap-distance-left:0.0pt;mso-wrap-distance-top:0.0pt;mso-wrap-distance-right:0.0pt;mso-wrap-distance-bottom:0.0pt;" stroked="false">
                      <v:path textboxrect="0,0,0,0"/>
                      <v:imagedata r:id="rId18" o:title=""/>
                    </v:shape>
                  </w:pict>
                </mc:Fallback>
              </mc:AlternateConten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容罐部分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1.设计：水箱内设有横向和纵向阻浪板；</w:t>
            </w:r>
            <w:r/>
          </w:p>
        </w:tc>
      </w:tr>
      <w:tr>
        <w:trPr>
          <w:jc w:val="center"/>
          <w:trHeight w:val="50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2.材质：高强度、防腐蚀防锈</w:t>
            </w:r>
            <w:r>
              <w:rPr>
                <w:rFonts w:ascii="Times New Roman" w:hAnsi="Times New Roman" w:eastAsia="Times New Roman" w:cs="Times New Roman"/>
                <w:i w:val="0"/>
                <w:iCs w:val="0"/>
                <w:color w:val="auto"/>
                <w:sz w:val="24"/>
                <w:szCs w:val="24"/>
                <w:highlight w:val="none"/>
                <w:u w:val="none"/>
                <w:lang w:val="en-US" w:eastAsia="zh-CN" w:bidi="ar"/>
              </w:rPr>
              <w:t xml:space="preserve">≥</w:t>
            </w:r>
            <w:r>
              <w:rPr>
                <w:rFonts w:ascii="Times New Roman" w:hAnsi="Times New Roman" w:eastAsia="宋体" w:cs="Times New Roman"/>
                <w:i w:val="0"/>
                <w:iCs w:val="0"/>
                <w:color w:val="auto"/>
                <w:sz w:val="24"/>
                <w:szCs w:val="24"/>
                <w:highlight w:val="none"/>
                <w:u w:val="none"/>
                <w:lang w:val="en-US" w:eastAsia="zh-CN" w:bidi="ar"/>
              </w:rPr>
              <w:t xml:space="preserve">1.2mm厚不锈钢材质；</w:t>
            </w:r>
            <w:r/>
          </w:p>
        </w:tc>
      </w:tr>
      <w:tr>
        <w:trPr>
          <w:jc w:val="center"/>
          <w:trHeight w:val="42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785"/>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785"/>
                <w:rFonts w:ascii="Times New Roman" w:hAnsi="Times New Roman" w:eastAsia="宋体" w:cs="Times New Roman"/>
                <w:color w:val="auto"/>
                <w:sz w:val="24"/>
                <w:szCs w:val="24"/>
                <w:highlight w:val="none"/>
                <w:lang w:val="en-US" w:eastAsia="zh-CN" w:bidi="ar"/>
              </w:rPr>
              <w:t xml:space="preserve">3.水箱最大容积：</w:t>
            </w:r>
            <w:r>
              <w:rPr>
                <w:rStyle w:val="785"/>
                <w:rFonts w:hint="eastAsia" w:ascii="Times New Roman" w:hAnsi="Times New Roman" w:cs="Times New Roman"/>
                <w:color w:val="auto"/>
                <w:sz w:val="24"/>
                <w:szCs w:val="24"/>
                <w:highlight w:val="none"/>
                <w:lang w:val="en-US" w:eastAsia="zh-CN" w:bidi="ar"/>
              </w:rPr>
              <w:t xml:space="preserve">≥</w:t>
            </w:r>
            <w:r>
              <w:rPr>
                <w:rStyle w:val="787"/>
                <w:rFonts w:ascii="Times New Roman" w:hAnsi="Times New Roman" w:eastAsia="宋体" w:cs="Times New Roman"/>
                <w:color w:val="auto"/>
                <w:sz w:val="24"/>
                <w:szCs w:val="24"/>
                <w:highlight w:val="none"/>
                <w:lang w:val="en-US" w:eastAsia="zh-CN" w:bidi="ar"/>
              </w:rPr>
              <w:t xml:space="preserve">1000L</w:t>
            </w:r>
            <w:r>
              <w:rPr>
                <w:rStyle w:val="785"/>
                <w:rFonts w:ascii="Times New Roman" w:hAnsi="Times New Roman" w:eastAsia="宋体" w:cs="Times New Roman"/>
                <w:color w:val="auto"/>
                <w:sz w:val="24"/>
                <w:szCs w:val="24"/>
                <w:highlight w:val="none"/>
                <w:lang w:val="en-US" w:eastAsia="zh-CN" w:bidi="ar"/>
              </w:rPr>
              <w:t xml:space="preserve">；</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4.注水口：DN65消防接口；</w:t>
            </w:r>
            <w:r/>
          </w:p>
        </w:tc>
      </w:tr>
      <w:tr>
        <w:trPr>
          <w:jc w:val="center"/>
          <w:trHeight w:val="386"/>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5.液位系统：在不锈钢水箱上设有液位显示。</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车身涂装部分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1.驾驶室和上装外表面：红色；</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785"/>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Style w:val="785"/>
                <w:rFonts w:ascii="Times New Roman" w:hAnsi="Times New Roman" w:eastAsia="宋体" w:cs="Times New Roman"/>
                <w:color w:val="auto"/>
                <w:sz w:val="24"/>
                <w:szCs w:val="24"/>
                <w:highlight w:val="none"/>
                <w:lang w:val="en-US" w:eastAsia="zh-CN" w:bidi="ar"/>
              </w:rPr>
              <w:t xml:space="preserve">2.器材室、泵室外露表面：</w:t>
            </w:r>
            <w:r>
              <w:rPr>
                <w:rFonts w:ascii="Times New Roman" w:hAnsi="Times New Roman" w:eastAsia="宋体" w:cs="Times New Roman"/>
                <w:i w:val="0"/>
                <w:iCs w:val="0"/>
                <w:color w:val="auto"/>
                <w:sz w:val="24"/>
                <w:szCs w:val="24"/>
                <w:highlight w:val="none"/>
                <w:u w:val="none"/>
                <w:lang w:val="en-US" w:eastAsia="zh-CN" w:bidi="ar"/>
              </w:rPr>
              <w:t xml:space="preserve">红色</w:t>
            </w:r>
            <w:r>
              <w:rPr>
                <w:rStyle w:val="785"/>
                <w:rFonts w:ascii="Times New Roman" w:hAnsi="Times New Roman" w:eastAsia="宋体" w:cs="Times New Roman"/>
                <w:color w:val="auto"/>
                <w:sz w:val="24"/>
                <w:szCs w:val="24"/>
                <w:highlight w:val="none"/>
                <w:lang w:val="en-US" w:eastAsia="zh-CN" w:bidi="ar"/>
              </w:rPr>
              <w:t xml:space="preserve">，</w:t>
            </w:r>
            <w:r>
              <w:rPr>
                <w:rStyle w:val="787"/>
                <w:rFonts w:ascii="Times New Roman" w:hAnsi="Times New Roman" w:eastAsia="宋体" w:cs="Times New Roman"/>
                <w:color w:val="auto"/>
                <w:sz w:val="24"/>
                <w:szCs w:val="24"/>
                <w:highlight w:val="none"/>
                <w:lang w:val="en-US" w:eastAsia="zh-CN" w:bidi="ar"/>
              </w:rPr>
              <w:t xml:space="preserve">泵室内部设置器材箱能够放置立式水带和消防器材；</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3.开关及阀门：所有开关阀门具有中文标识；</w:t>
            </w:r>
            <w:r/>
          </w:p>
        </w:tc>
      </w:tr>
      <w:tr>
        <w:trPr>
          <w:jc w:val="center"/>
          <w:trHeight w:val="44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4.车身：反光安全标识；</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5.整车标识：按用户要求标识；</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行车记录仪</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带GPS功能，设备须支持通过通信协议接入到南通市消防救援支队消防物联网预警监测系统，能够在预警监测系统中展示实时坐标、行驶轨迹等。</w:t>
            </w:r>
            <w:r/>
          </w:p>
        </w:tc>
      </w:tr>
      <w:tr>
        <w:trPr>
          <w:jc w:val="center"/>
          <w:trHeight w:val="44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随车资料</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1.车辆合格证；</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widowControl/>
              <w:rPr>
                <w:rFonts w:ascii="Times New Roman" w:hAnsi="Times New Roman" w:eastAsia="宋体" w:cs="Times New Roman"/>
                <w:i/>
                <w:iCs/>
                <w:color w:val="auto"/>
                <w:sz w:val="24"/>
                <w:szCs w:val="24"/>
                <w:highlight w:val="none"/>
                <w:u w:val="single"/>
              </w:rPr>
              <w:suppressLineNumbers w:val="0"/>
            </w:pPr>
            <w:r>
              <w:rPr>
                <w:rFonts w:ascii="宋体" w:hAnsi="宋体" w:eastAsia="宋体" w:cs="宋体"/>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2.车辆环保信息随车清单</w:t>
            </w:r>
            <w:r>
              <w:rPr>
                <w:rFonts w:hint="eastAsia" w:cs="Times New Roman"/>
                <w:i/>
                <w:iCs/>
                <w:color w:val="auto"/>
                <w:sz w:val="24"/>
                <w:szCs w:val="24"/>
                <w:highlight w:val="none"/>
                <w:u w:val="single"/>
                <w:lang w:val="en-US" w:eastAsia="zh-CN" w:bidi="ar"/>
              </w:rPr>
              <w:t xml:space="preserve">；</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3.车辆使用说明书（纸质版或电子版）；</w:t>
            </w:r>
            <w:r/>
          </w:p>
        </w:tc>
      </w:tr>
      <w:tr>
        <w:trPr>
          <w:jc w:val="center"/>
          <w:trHeight w:val="43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Fonts w:ascii="Times New Roman" w:hAnsi="Times New Roman" w:eastAsia="Times New Roman" w:cs="Times New Roman"/>
                <w:i/>
                <w:iCs/>
                <w:color w:val="auto"/>
                <w:sz w:val="24"/>
                <w:szCs w:val="24"/>
                <w:highlight w:val="none"/>
                <w:u w:val="single"/>
                <w:lang w:val="en-US" w:eastAsia="zh-CN" w:bidi="ar"/>
              </w:rPr>
              <w:t xml:space="preserve">★</w:t>
            </w:r>
            <w:r>
              <w:rPr>
                <w:rFonts w:ascii="Times New Roman" w:hAnsi="Times New Roman" w:eastAsia="宋体" w:cs="Times New Roman"/>
                <w:i/>
                <w:iCs/>
                <w:color w:val="auto"/>
                <w:sz w:val="24"/>
                <w:szCs w:val="24"/>
                <w:highlight w:val="none"/>
                <w:u w:val="single"/>
                <w:lang w:val="en-US" w:eastAsia="zh-CN" w:bidi="ar"/>
              </w:rPr>
              <w:t xml:space="preserve">4.提供车辆一致性证书；</w:t>
            </w:r>
            <w:r/>
          </w:p>
        </w:tc>
      </w:tr>
      <w:tr>
        <w:trPr>
          <w:jc w:val="center"/>
          <w:trHeight w:val="475"/>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Style w:val="785"/>
                <w:rFonts w:ascii="Times New Roman" w:hAnsi="Times New Roman" w:eastAsia="宋体" w:cs="Times New Roman"/>
                <w:b w:val="0"/>
                <w:bCs w:val="0"/>
                <w:color w:val="auto"/>
                <w:sz w:val="24"/>
                <w:szCs w:val="24"/>
                <w:highlight w:val="none"/>
                <w:lang w:val="en-US" w:eastAsia="zh-CN" w:bidi="ar"/>
              </w:rPr>
              <w:suppressLineNumbers w:val="0"/>
            </w:pPr>
            <w:r>
              <w:rPr>
                <w:rFonts w:ascii="Times New Roman" w:hAnsi="Times New Roman" w:eastAsia="宋体" w:cs="Times New Roman"/>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i/>
                <w:iCs/>
                <w:color w:val="auto"/>
                <w:sz w:val="24"/>
                <w:szCs w:val="24"/>
                <w:highlight w:val="none"/>
                <w:u w:val="single"/>
              </w:rPr>
              <w:suppressLineNumbers w:val="0"/>
            </w:pPr>
            <w:r>
              <w:rPr>
                <w:rStyle w:val="785"/>
                <w:rFonts w:ascii="Times New Roman" w:hAnsi="Times New Roman" w:eastAsia="Times New Roman" w:cs="Times New Roman"/>
                <w:i/>
                <w:iCs/>
                <w:color w:val="auto"/>
                <w:sz w:val="24"/>
                <w:szCs w:val="24"/>
                <w:highlight w:val="none"/>
                <w:u w:val="single"/>
                <w:lang w:val="en-US" w:eastAsia="zh-CN" w:bidi="ar"/>
              </w:rPr>
              <w:t xml:space="preserve">★</w:t>
            </w:r>
            <w:r>
              <w:rPr>
                <w:rStyle w:val="785"/>
                <w:rFonts w:ascii="Times New Roman" w:hAnsi="Times New Roman" w:eastAsia="宋体" w:cs="Times New Roman"/>
                <w:i/>
                <w:iCs/>
                <w:color w:val="auto"/>
                <w:sz w:val="24"/>
                <w:szCs w:val="24"/>
                <w:highlight w:val="none"/>
                <w:u w:val="single"/>
                <w:lang w:val="en-US" w:eastAsia="zh-CN" w:bidi="ar"/>
              </w:rPr>
              <w:t xml:space="preserve">5.手抬机动消防泵必须提供消防产品</w:t>
            </w:r>
            <w:r>
              <w:rPr>
                <w:rStyle w:val="787"/>
                <w:rFonts w:ascii="Times New Roman" w:hAnsi="Times New Roman" w:eastAsia="宋体" w:cs="Times New Roman"/>
                <w:i/>
                <w:iCs/>
                <w:color w:val="auto"/>
                <w:sz w:val="24"/>
                <w:szCs w:val="24"/>
                <w:highlight w:val="none"/>
                <w:u w:val="single"/>
                <w:lang w:val="en-US" w:eastAsia="zh-CN" w:bidi="ar"/>
              </w:rPr>
              <w:t xml:space="preserve">认证证书</w:t>
            </w:r>
            <w:r>
              <w:rPr>
                <w:rStyle w:val="785"/>
                <w:rFonts w:ascii="Times New Roman" w:hAnsi="Times New Roman" w:eastAsia="宋体" w:cs="Times New Roman"/>
                <w:i/>
                <w:iCs/>
                <w:color w:val="auto"/>
                <w:sz w:val="24"/>
                <w:szCs w:val="24"/>
                <w:highlight w:val="none"/>
                <w:u w:val="single"/>
                <w:lang w:val="en-US" w:eastAsia="zh-CN" w:bidi="ar"/>
              </w:rPr>
              <w:t xml:space="preserve">及检测报告</w:t>
            </w:r>
            <w:r>
              <w:rPr>
                <w:rStyle w:val="785"/>
                <w:rFonts w:hint="eastAsia" w:cs="Times New Roman"/>
                <w:i/>
                <w:iCs/>
                <w:color w:val="auto"/>
                <w:sz w:val="24"/>
                <w:szCs w:val="24"/>
                <w:highlight w:val="none"/>
                <w:u w:val="single"/>
                <w:lang w:val="en-US" w:eastAsia="zh-CN" w:bidi="ar"/>
              </w:rPr>
              <w:t xml:space="preserve">；</w:t>
            </w:r>
            <w:r/>
          </w:p>
        </w:tc>
      </w:tr>
      <w:tr>
        <w:trPr>
          <w:jc w:val="center"/>
          <w:trHeight w:val="379"/>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restart"/>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随车器材（水枪、水带、转换接口、吸水管均为快速接口）</w:t>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序号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随车器材名称</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数量</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40多功能开花直流水枪（可调节直流与开花喷水）</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1把</w:t>
            </w:r>
            <w:r/>
          </w:p>
        </w:tc>
      </w:tr>
      <w:tr>
        <w:trPr>
          <w:jc w:val="center"/>
          <w:trHeight w:val="41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40水带（13-40-20）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3盘</w:t>
            </w:r>
            <w:r/>
          </w:p>
        </w:tc>
      </w:tr>
      <w:tr>
        <w:trPr>
          <w:jc w:val="center"/>
          <w:trHeight w:val="38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40水带（13-40-50）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1盘</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4</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65水带（13-65-20）</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2盘</w:t>
            </w:r>
            <w:r/>
          </w:p>
        </w:tc>
      </w:tr>
      <w:tr>
        <w:trPr>
          <w:jc w:val="center"/>
          <w:trHeight w:val="45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5</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电磁加密消火栓扳手</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1把</w:t>
            </w:r>
            <w:r/>
          </w:p>
        </w:tc>
      </w:tr>
      <w:tr>
        <w:trPr>
          <w:jc w:val="center"/>
          <w:trHeight w:val="46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6</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手提充电式照明灯</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27"/>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7</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灭火器（4kg）</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8</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消防灭火服长款（不带裤、带头盔、胶靴、面料具有阻燃功能）</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2套</w:t>
            </w:r>
            <w:r/>
          </w:p>
        </w:tc>
      </w:tr>
      <w:tr>
        <w:trPr>
          <w:jc w:val="center"/>
          <w:trHeight w:val="44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9</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定制车辆标识</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1套</w:t>
            </w:r>
            <w:r/>
          </w:p>
        </w:tc>
      </w:tr>
      <w:tr>
        <w:trPr>
          <w:jc w:val="center"/>
          <w:trHeight w:val="468"/>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10</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手抛式水上救生圈</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502"/>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异型异径接口</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81"/>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hint="eastAsia" w:cs="Times New Roman"/>
                <w:i w:val="0"/>
                <w:iCs w:val="0"/>
                <w:color w:val="auto"/>
                <w:sz w:val="24"/>
                <w:szCs w:val="24"/>
                <w:highlight w:val="none"/>
                <w:u w:val="none"/>
                <w:lang w:val="en-US" w:eastAsia="zh-CN" w:bidi="ar"/>
              </w:rPr>
              <w:t xml:space="preserve">水基型</w:t>
            </w:r>
            <w:r>
              <w:rPr>
                <w:rFonts w:ascii="Times New Roman" w:hAnsi="Times New Roman" w:eastAsia="宋体" w:cs="Times New Roman"/>
                <w:i w:val="0"/>
                <w:iCs w:val="0"/>
                <w:color w:val="auto"/>
                <w:sz w:val="24"/>
                <w:szCs w:val="24"/>
                <w:highlight w:val="none"/>
                <w:u w:val="none"/>
                <w:lang w:val="en-US" w:eastAsia="zh-CN" w:bidi="ar"/>
              </w:rPr>
              <w:t xml:space="preserve">灭火器3L</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rPr>
              <w:suppressLineNumbers w:val="0"/>
            </w:pPr>
            <w:r>
              <w:rPr>
                <w:rFonts w:ascii="Times New Roman" w:hAnsi="Times New Roman" w:eastAsia="宋体" w:cs="Times New Roman"/>
                <w:i w:val="0"/>
                <w:iCs w:val="0"/>
                <w:color w:val="auto"/>
                <w:sz w:val="24"/>
                <w:szCs w:val="24"/>
                <w:highlight w:val="none"/>
                <w:u w:val="none"/>
                <w:lang w:val="en-US" w:eastAsia="zh-CN" w:bidi="ar"/>
              </w:rPr>
              <w:t xml:space="preserve">1个</w:t>
            </w:r>
            <w:r/>
          </w:p>
        </w:tc>
      </w:tr>
      <w:tr>
        <w:trPr>
          <w:jc w:val="center"/>
          <w:trHeight w:val="474"/>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vMerge w:val="continue"/>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13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737" w:type="dxa"/>
            <w:vAlign w:val="center"/>
            <w:textDirection w:val="lrTb"/>
            <w:noWrap w:val="false"/>
          </w:tcPr>
          <w:p>
            <w:pPr>
              <w:jc w:val="left"/>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消防斧</w:t>
            </w:r>
            <w:r/>
          </w:p>
        </w:tc>
        <w:tc>
          <w:tcPr>
            <w:shd w:val="clear" w:color="auto" w:fill="ffffff"/>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keepLines w:val="0"/>
              <w:keepNext w:val="0"/>
              <w:spacing w:line="320" w:lineRule="exact"/>
              <w:widowControl/>
              <w:rPr>
                <w:rFonts w:ascii="Times New Roman" w:hAnsi="Times New Roman" w:eastAsia="宋体" w:cs="Times New Roman"/>
                <w:i w:val="0"/>
                <w:iCs w:val="0"/>
                <w:color w:val="auto"/>
                <w:sz w:val="24"/>
                <w:szCs w:val="24"/>
                <w:highlight w:val="none"/>
                <w:u w:val="none"/>
                <w:lang w:val="en-US" w:eastAsia="zh-CN" w:bidi="ar"/>
              </w:rPr>
              <w:suppressLineNumbers w:val="0"/>
            </w:pPr>
            <w:r>
              <w:rPr>
                <w:rFonts w:cs="Times New Roman"/>
                <w:i w:val="0"/>
                <w:iCs w:val="0"/>
                <w:color w:val="auto"/>
                <w:sz w:val="24"/>
                <w:szCs w:val="24"/>
                <w:highlight w:val="none"/>
                <w:u w:val="none"/>
                <w:lang w:val="en-US" w:eastAsia="zh-CN" w:bidi="ar"/>
              </w:rPr>
              <w:t xml:space="preserve">1个</w:t>
            </w:r>
            <w:r/>
          </w:p>
        </w:tc>
      </w:tr>
      <w:tr>
        <w:trPr>
          <w:jc w:val="center"/>
          <w:trHeight w:val="590"/>
        </w:trPr>
        <w:tc>
          <w:tcPr>
            <w:shd w:val="clear" w:color="auto" w:fill="ffffff"/>
            <w:tcBorders>
              <w:top w:val="single" w:color="000000" w:sz="8" w:space="0"/>
              <w:left w:val="single" w:color="000000" w:sz="8" w:space="0"/>
              <w:bottom w:val="single" w:color="000000" w:sz="8" w:space="0"/>
              <w:right w:val="single" w:color="000000" w:sz="8" w:space="0"/>
            </w:tcBorders>
            <w:tcW w:w="1400" w:type="dxa"/>
            <w:vAlign w:val="center"/>
            <w:textDirection w:val="lrTb"/>
            <w:noWrap w:val="false"/>
          </w:tcPr>
          <w:p>
            <w:pPr>
              <w:jc w:val="center"/>
              <w:keepLines w:val="0"/>
              <w:keepNext w:val="0"/>
              <w:spacing w:line="320" w:lineRule="exact"/>
              <w:widowControl/>
              <w:rPr>
                <w:rFonts w:ascii="Times New Roman" w:hAnsi="Times New Roman" w:eastAsia="宋体" w:cs="Times New Roman"/>
                <w:b w:val="0"/>
                <w:bCs w:val="0"/>
                <w:i w:val="0"/>
                <w:iCs w:val="0"/>
                <w:color w:val="auto"/>
                <w:sz w:val="24"/>
                <w:szCs w:val="24"/>
                <w:highlight w:val="none"/>
                <w:u w:val="none"/>
                <w:lang w:val="en-US" w:eastAsia="zh-CN" w:bidi="ar"/>
              </w:rPr>
              <w:suppressLineNumbers w:val="0"/>
            </w:pPr>
            <w:r>
              <w:rPr>
                <w:rFonts w:ascii="Times New Roman" w:hAnsi="Times New Roman" w:eastAsia="宋体" w:cs="Times New Roman"/>
                <w:b w:val="0"/>
                <w:bCs w:val="0"/>
                <w:i w:val="0"/>
                <w:iCs w:val="0"/>
                <w:color w:val="auto"/>
                <w:sz w:val="24"/>
                <w:szCs w:val="24"/>
                <w:highlight w:val="none"/>
                <w:u w:val="none"/>
                <w:lang w:val="en-US" w:eastAsia="zh-CN" w:bidi="ar"/>
              </w:rPr>
              <w:t xml:space="preserve">注</w:t>
            </w:r>
            <w:r>
              <w:rPr>
                <w:rFonts w:cs="Times New Roman"/>
                <w:b w:val="0"/>
                <w:bCs w:val="0"/>
                <w:i w:val="0"/>
                <w:iCs w:val="0"/>
                <w:color w:val="auto"/>
                <w:sz w:val="24"/>
                <w:szCs w:val="24"/>
                <w:highlight w:val="none"/>
                <w:u w:val="none"/>
                <w:lang w:val="en-US" w:eastAsia="zh-CN" w:bidi="ar"/>
              </w:rPr>
              <w:t xml:space="preserve">明</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277" w:type="dxa"/>
            <w:vAlign w:val="center"/>
            <w:textDirection w:val="lrTb"/>
            <w:noWrap w:val="false"/>
          </w:tcPr>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lang w:val="en-US" w:eastAsia="zh-CN" w:bidi="ar"/>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1、</w:t>
            </w:r>
            <w:r>
              <w:rPr>
                <w:rFonts w:hint="eastAsia" w:ascii="Times New Roman" w:hAnsi="Times New Roman" w:cs="Times New Roman"/>
                <w:b/>
                <w:bCs/>
                <w:i w:val="0"/>
                <w:iCs w:val="0"/>
                <w:color w:val="auto"/>
                <w:sz w:val="24"/>
                <w:szCs w:val="24"/>
                <w:highlight w:val="none"/>
                <w:u w:val="none"/>
                <w:lang w:val="en-US" w:eastAsia="zh-CN" w:bidi="ar"/>
              </w:rPr>
              <w:t xml:space="preserve">所投车辆应保证最终交付状态能够在项目所在地公安机关交通管理部门依法办理机动车注册登记并取得相应号牌。</w:t>
            </w:r>
            <w:r>
              <w:rPr>
                <w:rFonts w:ascii="Times New Roman" w:hAnsi="Times New Roman" w:eastAsia="宋体" w:cs="Times New Roman"/>
                <w:b/>
                <w:bCs/>
                <w:i w:val="0"/>
                <w:iCs w:val="0"/>
                <w:color w:val="auto"/>
                <w:sz w:val="24"/>
                <w:szCs w:val="24"/>
                <w:highlight w:val="none"/>
                <w:u w:val="none"/>
                <w:lang w:val="en-US" w:eastAsia="zh-CN" w:bidi="ar"/>
              </w:rPr>
              <w:t xml:space="preserve">上牌所需的附加税、购置税、上牌费、交强险、商业险均由</w:t>
            </w:r>
            <w:r>
              <w:rPr>
                <w:rFonts w:hint="eastAsia" w:cs="Times New Roman"/>
                <w:b/>
                <w:bCs/>
                <w:i w:val="0"/>
                <w:iCs w:val="0"/>
                <w:color w:val="auto"/>
                <w:sz w:val="24"/>
                <w:szCs w:val="24"/>
                <w:highlight w:val="none"/>
                <w:u w:val="none"/>
                <w:lang w:val="en-US" w:eastAsia="zh-CN" w:bidi="ar"/>
              </w:rPr>
              <w:t xml:space="preserve">中标</w:t>
            </w:r>
            <w:r>
              <w:rPr>
                <w:rFonts w:ascii="Times New Roman" w:hAnsi="Times New Roman" w:eastAsia="宋体" w:cs="Times New Roman"/>
                <w:b/>
                <w:bCs/>
                <w:i w:val="0"/>
                <w:iCs w:val="0"/>
                <w:color w:val="auto"/>
                <w:sz w:val="24"/>
                <w:szCs w:val="24"/>
                <w:highlight w:val="none"/>
                <w:u w:val="none"/>
                <w:lang w:val="en-US" w:eastAsia="zh-CN" w:bidi="ar"/>
              </w:rPr>
              <w:t xml:space="preserve">人负责，若不能上牌一切损失后果由中标人负责。</w:t>
            </w:r>
            <w:r/>
          </w:p>
          <w:p>
            <w:pPr>
              <w:jc w:val="left"/>
              <w:keepLines w:val="0"/>
              <w:keepNext w:val="0"/>
              <w:spacing w:line="320" w:lineRule="exact"/>
              <w:widowControl/>
              <w:rPr>
                <w:rFonts w:ascii="Times New Roman" w:hAnsi="Times New Roman" w:eastAsia="宋体" w:cs="Times New Roman"/>
                <w:b/>
                <w:bCs/>
                <w:i w:val="0"/>
                <w:iCs w:val="0"/>
                <w:color w:val="auto"/>
                <w:sz w:val="24"/>
                <w:szCs w:val="24"/>
                <w:highlight w:val="none"/>
                <w:u w:val="none"/>
              </w:rPr>
              <w:suppressLineNumbers w:val="0"/>
            </w:pPr>
            <w:r>
              <w:rPr>
                <w:rFonts w:ascii="Times New Roman" w:hAnsi="Times New Roman" w:eastAsia="宋体" w:cs="Times New Roman"/>
                <w:b/>
                <w:bCs/>
                <w:i w:val="0"/>
                <w:iCs w:val="0"/>
                <w:color w:val="auto"/>
                <w:sz w:val="24"/>
                <w:szCs w:val="24"/>
                <w:highlight w:val="none"/>
                <w:u w:val="none"/>
                <w:lang w:val="en-US" w:eastAsia="zh-CN" w:bidi="ar"/>
              </w:rPr>
              <w:t xml:space="preserve">2、所投车辆必须确保小区地下室可以方便进出，打★项不接受负偏离，</w:t>
            </w:r>
            <w:r>
              <w:rPr>
                <w:rFonts w:hint="eastAsia" w:cs="Times New Roman"/>
                <w:b/>
                <w:bCs/>
                <w:i w:val="0"/>
                <w:iCs w:val="0"/>
                <w:color w:val="auto"/>
                <w:sz w:val="24"/>
                <w:szCs w:val="24"/>
                <w:highlight w:val="none"/>
                <w:u w:val="none"/>
                <w:lang w:val="en-US" w:eastAsia="zh-CN" w:bidi="ar"/>
              </w:rPr>
              <w:t xml:space="preserve">投标时</w:t>
            </w:r>
            <w:r>
              <w:rPr>
                <w:rFonts w:ascii="Times New Roman" w:hAnsi="Times New Roman" w:eastAsia="宋体" w:cs="Times New Roman"/>
                <w:b/>
                <w:bCs/>
                <w:i w:val="0"/>
                <w:iCs w:val="0"/>
                <w:color w:val="auto"/>
                <w:sz w:val="24"/>
                <w:szCs w:val="24"/>
                <w:highlight w:val="none"/>
                <w:u w:val="none"/>
                <w:lang w:val="en-US" w:eastAsia="zh-CN" w:bidi="ar"/>
              </w:rPr>
              <w:t xml:space="preserve">需提供相关佐证材料作为合格响应的佐证，打▲项不满足一律视为负偏离，</w:t>
            </w:r>
            <w:r>
              <w:rPr>
                <w:rFonts w:hint="eastAsia" w:cs="Times New Roman"/>
                <w:b/>
                <w:bCs/>
                <w:i w:val="0"/>
                <w:iCs w:val="0"/>
                <w:color w:val="auto"/>
                <w:sz w:val="24"/>
                <w:szCs w:val="24"/>
                <w:highlight w:val="none"/>
                <w:u w:val="none"/>
                <w:lang w:val="en-US" w:eastAsia="zh-CN" w:bidi="ar"/>
              </w:rPr>
              <w:t xml:space="preserve">投标时</w:t>
            </w:r>
            <w:r>
              <w:rPr>
                <w:rFonts w:ascii="Times New Roman" w:hAnsi="Times New Roman" w:eastAsia="宋体" w:cs="Times New Roman"/>
                <w:b/>
                <w:bCs/>
                <w:i w:val="0"/>
                <w:iCs w:val="0"/>
                <w:color w:val="auto"/>
                <w:sz w:val="24"/>
                <w:szCs w:val="24"/>
                <w:highlight w:val="none"/>
                <w:u w:val="none"/>
                <w:lang w:val="en-US" w:eastAsia="zh-CN" w:bidi="ar"/>
              </w:rPr>
              <w:t xml:space="preserve">需提供工信部公告查询截图作为合格响应的佐证，所供车辆必须是未使用过的全新车辆，不接受2026年前生产的库存车辆（以合格证出厂日期为准），否则视为验收不合格。</w:t>
            </w:r>
            <w:r/>
          </w:p>
        </w:tc>
      </w:tr>
    </w:tbl>
    <w:p>
      <w:pPr>
        <w:rPr>
          <w:color w:val="auto"/>
          <w:highlight w:val="none"/>
          <w:lang w:val="en-US" w:eastAsia="zh-CN"/>
        </w:rPr>
      </w:pPr>
      <w:r>
        <w:rPr>
          <w:color w:val="auto"/>
          <w:highlight w:val="none"/>
          <w:lang w:val="en-US" w:eastAsia="zh-CN"/>
        </w:rPr>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四</w:t>
      </w: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rPr>
        <w:t xml:space="preserve">采购标的的数量、采购项目交付或者实施的时间和地点；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1、标的数量：本次采购21辆</w:t>
      </w:r>
      <w:r>
        <w:rPr>
          <w:rFonts w:hint="eastAsia" w:ascii="仿宋" w:hAnsi="仿宋" w:eastAsia="仿宋" w:cs="仿宋"/>
          <w:b w:val="0"/>
          <w:bCs w:val="0"/>
          <w:color w:val="auto"/>
          <w:sz w:val="24"/>
          <w:szCs w:val="24"/>
          <w:highlight w:val="none"/>
          <w:lang w:val="en-US" w:eastAsia="zh-CN"/>
        </w:rPr>
        <w:t xml:space="preserve">水罐微型消防车</w:t>
      </w:r>
      <w:r>
        <w:rPr>
          <w:rFonts w:ascii="仿宋" w:hAnsi="仿宋" w:eastAsia="仿宋" w:cs="仿宋"/>
          <w:color w:val="auto"/>
          <w:sz w:val="24"/>
          <w:szCs w:val="24"/>
          <w:highlight w:val="none"/>
          <w:lang w:val="en-US" w:eastAsia="zh-CN"/>
        </w:rPr>
        <w:t xml:space="preserve">。</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2、实施时间：合同签订生效后，60个日历天内完成货物的采购、安装、调试等通过验收并交付采购人使用。</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3、实施地点：采购人指定地点。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4、投标人可自行到现场进行实地勘察，了解项目详细概况，成交供应商进场后不得以不了解现场为由提出增加费用的要求，勘察费用自理。如未到现场勘察，责任自负。</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五</w:t>
      </w:r>
      <w:r>
        <w:rPr>
          <w:rFonts w:ascii="仿宋" w:hAnsi="仿宋" w:eastAsia="仿宋" w:cs="仿宋"/>
          <w:b/>
          <w:color w:val="auto"/>
          <w:sz w:val="24"/>
          <w:szCs w:val="24"/>
          <w:highlight w:val="none"/>
          <w:lang w:eastAsia="zh-CN"/>
        </w:rPr>
        <w:t xml:space="preserve">）采购标的需满足的服务标准、期限、效率等要求；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eastAsia="zh-CN"/>
        </w:rPr>
        <w:t xml:space="preserve">、中标供应商负责运输、搬运、免费安装调试。</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eastAsia="zh-CN"/>
        </w:rPr>
        <w:t xml:space="preserve">、</w:t>
      </w:r>
      <w:r>
        <w:rPr>
          <w:rFonts w:ascii="仿宋" w:hAnsi="仿宋" w:eastAsia="仿宋" w:cs="仿宋"/>
          <w:color w:val="auto"/>
          <w:sz w:val="24"/>
          <w:szCs w:val="24"/>
          <w:highlight w:val="none"/>
          <w:lang w:val="en-US" w:eastAsia="zh-CN"/>
        </w:rPr>
        <w:t xml:space="preserve">质量保证期限：中标供应商货物经过双方检验认可后，签署验收报告，免费质量保证期：整车质保：</w:t>
      </w:r>
      <w:r>
        <w:rPr>
          <w:rFonts w:hint="eastAsia"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val="en-US" w:eastAsia="zh-CN"/>
        </w:rPr>
        <w:t xml:space="preserve">年。质量保证期自货物验收合格之日起算，由中标供应商提供货物保修文件。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val="zh-CN" w:eastAsia="zh-CN"/>
        </w:rPr>
        <w:t xml:space="preserve">、在免费质保期内设备发生任何非人为的缺陷、损坏等问题，厂家售后服务网点保证在接到维修电话后30分钟内响应，不能通过远程解决的，最迟在接到维修电话后12小时内赶赴现场修复，48小时以内解决问题，不能修复的，采取提供备品、备件等措施，以保证采购人的正常使用，维修或更换所发生的一切费用厂家负责。质保期内的维修费用（包括材料）全部由厂家负责，质保期满以后，中标供应商应按同类货物的优惠价格提供保修服务。</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val="zh-CN" w:eastAsia="zh-CN"/>
        </w:rPr>
        <w:t xml:space="preserve">中标供应商应严格按照规范及采购文件等相关要求组织供货，须文明供货；垃圾必须清理离场，做到地面等均无污染。</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5、中标供应商须提供全面使用、维护培训。中标供应商应对所投设备进行调试并对采购人操作人员提供不少于5天的现场实地操作培训。</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6、中标供应商应配备满足本项目供货、安装调试、培训及售后服务需要的项目负责人、安装调试人员、维修服务人员。相关人员应与车辆、机械、机电、车辆维修等项目履约内容相关。</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六</w:t>
      </w:r>
      <w:r>
        <w:rPr>
          <w:rFonts w:ascii="仿宋" w:hAnsi="仿宋" w:eastAsia="仿宋" w:cs="仿宋"/>
          <w:b/>
          <w:color w:val="auto"/>
          <w:sz w:val="24"/>
          <w:szCs w:val="24"/>
          <w:highlight w:val="none"/>
          <w:lang w:eastAsia="zh-CN"/>
        </w:rPr>
        <w:t xml:space="preserve">）采购标的的验收标准、方法、时间；</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1、项目验收由采购人对数量、现场安装质量、情况等进行验收。采购人组织现场验收，检验不合格或不符合质量要求，中标供应商除无条件退货、返工外，还应承担采购人的一切损失。</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2、验收方法：中标供应商交货安装完成后，向采购人提交验收申请和各项验收资料，由采购人组织验收。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3、验收要求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中标供应商必须严格按照投标时所投原产品品牌进行供货，提供货物绝不低于招标文件规定的规格和材质要求，如果采购人发现一件产品不符合国家标准及招标文件要求，中标供应商需无条件退货，并按照合同总价款的20%违约金无条件支付给采购人，违约金从采购人应付中标供应商的任何款项中支付。同时采购人有权终止合同，并保留追究中标供应商责任的权利。</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（2）验收标准：中标供应商提供的货物必须符合我国最新颁布的与之相关的技术规范与标准，同时必须满足招标文件中所列规格、具体配置、技术条件及功能要求和中标供应商承诺的其它指标。</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（3）在质保期内，如果标的物的数量、质量或规格与合同不符或证实标的物是具有缺陷的，包括潜在缺陷或使用不符合要求的材料等，采购人将以书面形式通知中标应商并提出索赔。</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（4）验收期限在安装调试结束60个工作日内进行。特殊情况需延长的，双方应特别约定。</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验收结果经双方确认后，双方代表须按规定的验收。验收报告作为最终付款所需文件的组成部分。如因产品质量问题发生争议时，采购人将请质量技术监督部门给予鉴定。货物鉴定费用由中标供应商承担，同时按合同违约处理。</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七</w:t>
      </w:r>
      <w:r>
        <w:rPr>
          <w:rFonts w:ascii="仿宋" w:hAnsi="仿宋" w:eastAsia="仿宋" w:cs="仿宋"/>
          <w:b/>
          <w:color w:val="auto"/>
          <w:sz w:val="24"/>
          <w:szCs w:val="24"/>
          <w:highlight w:val="none"/>
          <w:lang w:eastAsia="zh-CN"/>
        </w:rPr>
        <w:t xml:space="preserve">）采购标的的其他技术、服务等要求（增加商品包装、快递包装的相关要求）；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商品包装环保要求：应当按《关于印发〈商品包装政府采购需求标准(试行）〉、〈快递包装政府采购需求标准(试行)〉的通知》 (财办库〔202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〕123号)文件执行。</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（1）商品包装层数不得超过 3 层，空隙率不大于 40%；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（2）商品包装尽可能使用单一材质的包装材料，如因功能需求必需使用不同材质，不同材质间应便于分离；</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（3）商品包装中铅、汞、镉、六价铬的总含量应不大于100mg/kg；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（4）商品包装印刷使用的油墨中挥发性有机化合物(VOCs)含量应不大于 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（5）塑料材质商品包装上呈现的印刷颜色不得超过 6 色；</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（6）纸质商品包装应使用 75%以上的可再生纤维原料生产；</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（7）木质商品包装的原料应来源于可持续性森林。</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快递包装环保要求：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（1）快递包装中重金属（铅、汞、镉、六价铬）总量应不大于 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（2）快递包装印刷使用的油墨中不应添加邻苯二甲酸酯，其挥发性有机化合物(VOCs)含量应不大于5%（以重量计）；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（3）快递包装中使用纸基材的包装材料，纸基材中的有机氯的含量应不大于150 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（5）快递中使用的塑料包装袋不得使用聚氯乙烯作为原料，且原料应为单一材质制成，生物分解率大于60%；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（6）快递中使用的充气类填充物不得使用聚氯乙烯作为 原料，且原料为单一材质制成，生物分解率大于60%；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（7）快递中使用的集装袋应为单一材质制成，其重复使用次数应不小于 80 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（8）快递中应使用幅宽不大于45mm 的生物降解胶带；</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（9）快递包装中不得使用溶剂型胶粘剂；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）快递应使用电子面单；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）直接使用商品包装作为快递包装的商品，其商品包装满足《商品包装政府采购需求标准（试行）》即可；</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）快递包装产品质量和封装方式应符合相关国家或行业标准技术指标要求。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绿色数据中心</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低挥发性有机化合物产品：</w:t>
      </w:r>
      <w:r>
        <w:rPr>
          <w:rFonts w:ascii="仿宋" w:hAnsi="仿宋" w:eastAsia="仿宋" w:cs="仿宋"/>
          <w:color w:val="auto"/>
          <w:sz w:val="24"/>
          <w:szCs w:val="24"/>
          <w:highlight w:val="none"/>
          <w:lang w:val="zh-CN" w:eastAsia="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ascii="仿宋" w:hAnsi="仿宋" w:eastAsia="仿宋" w:cs="仿宋"/>
          <w:color w:val="auto"/>
          <w:sz w:val="24"/>
          <w:szCs w:val="24"/>
          <w:highlight w:val="none"/>
          <w:lang w:eastAsia="zh-CN"/>
        </w:rPr>
        <w:t xml:space="preserve">应</w:t>
      </w:r>
      <w:r>
        <w:rPr>
          <w:rFonts w:ascii="仿宋" w:hAnsi="仿宋" w:eastAsia="仿宋" w:cs="仿宋"/>
          <w:color w:val="auto"/>
          <w:sz w:val="24"/>
          <w:szCs w:val="24"/>
          <w:highlight w:val="none"/>
          <w:lang w:val="zh-CN" w:eastAsia="zh-CN"/>
        </w:rPr>
        <w:t xml:space="preserve">优先使用低挥发性原辅材料</w:t>
      </w:r>
      <w:r>
        <w:rPr>
          <w:rFonts w:ascii="仿宋" w:hAnsi="仿宋" w:eastAsia="仿宋" w:cs="仿宋"/>
          <w:color w:val="auto"/>
          <w:sz w:val="24"/>
          <w:szCs w:val="24"/>
          <w:highlight w:val="none"/>
          <w:lang w:eastAsia="zh-CN"/>
        </w:rPr>
        <w:t xml:space="preserve">，将使用低</w:t>
      </w:r>
      <w:r>
        <w:rPr>
          <w:rFonts w:ascii="仿宋" w:hAnsi="仿宋" w:eastAsia="仿宋" w:cs="仿宋"/>
          <w:color w:val="auto"/>
          <w:sz w:val="24"/>
          <w:szCs w:val="24"/>
          <w:highlight w:val="none"/>
          <w:lang w:val="zh-CN" w:eastAsia="zh-CN"/>
        </w:rPr>
        <w:t xml:space="preserve">VOCs含量的</w:t>
      </w:r>
      <w:r>
        <w:rPr>
          <w:rFonts w:ascii="仿宋" w:hAnsi="仿宋" w:eastAsia="仿宋" w:cs="仿宋"/>
          <w:color w:val="auto"/>
          <w:sz w:val="24"/>
          <w:szCs w:val="24"/>
          <w:highlight w:val="none"/>
          <w:lang w:eastAsia="zh-CN"/>
        </w:rPr>
        <w:t xml:space="preserve">涂料、</w:t>
      </w:r>
      <w:r>
        <w:rPr>
          <w:rFonts w:ascii="仿宋" w:hAnsi="仿宋" w:eastAsia="仿宋" w:cs="仿宋"/>
          <w:color w:val="auto"/>
          <w:sz w:val="24"/>
          <w:szCs w:val="24"/>
          <w:highlight w:val="none"/>
          <w:lang w:val="zh-CN" w:eastAsia="zh-CN"/>
        </w:rPr>
        <w:t xml:space="preserve">胶黏剂</w:t>
      </w:r>
      <w:r>
        <w:rPr>
          <w:rFonts w:ascii="仿宋" w:hAnsi="仿宋" w:eastAsia="仿宋" w:cs="仿宋"/>
          <w:color w:val="auto"/>
          <w:sz w:val="24"/>
          <w:szCs w:val="24"/>
          <w:highlight w:val="none"/>
          <w:lang w:eastAsia="zh-CN"/>
        </w:rPr>
        <w:t xml:space="preserve">等纳入合同条款。</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节能环保产品：</w:t>
      </w:r>
      <w:r>
        <w:rPr>
          <w:rFonts w:ascii="仿宋" w:hAnsi="仿宋" w:eastAsia="仿宋" w:cs="仿宋"/>
          <w:color w:val="auto"/>
          <w:sz w:val="24"/>
          <w:szCs w:val="24"/>
          <w:highlight w:val="none"/>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6、</w:t>
      </w:r>
      <w:r>
        <w:rPr>
          <w:rFonts w:ascii="仿宋" w:hAnsi="仿宋" w:eastAsia="仿宋" w:cs="仿宋"/>
          <w:color w:val="auto"/>
          <w:sz w:val="24"/>
          <w:szCs w:val="24"/>
          <w:highlight w:val="none"/>
          <w:lang w:eastAsia="zh-CN"/>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7、采购的货物或者服务属信创产品目录内容内的，须遵照信创产品要求提供货物或服务</w:t>
      </w:r>
      <w:r>
        <w:rPr>
          <w:rFonts w:ascii="仿宋" w:hAnsi="仿宋" w:eastAsia="仿宋" w:cs="仿宋"/>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val="0"/>
          <w:bCs/>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八</w:t>
      </w:r>
      <w:r>
        <w:rPr>
          <w:rFonts w:ascii="仿宋" w:hAnsi="仿宋" w:eastAsia="仿宋" w:cs="仿宋"/>
          <w:b/>
          <w:color w:val="auto"/>
          <w:sz w:val="24"/>
          <w:szCs w:val="24"/>
          <w:highlight w:val="none"/>
          <w:lang w:eastAsia="zh-CN"/>
        </w:rPr>
        <w:t xml:space="preserve">）付款方式：</w:t>
      </w:r>
      <w:r>
        <w:rPr>
          <w:rFonts w:ascii="仿宋" w:hAnsi="仿宋" w:eastAsia="仿宋" w:cs="仿宋"/>
          <w:b w:val="0"/>
          <w:bCs/>
          <w:color w:val="auto"/>
          <w:sz w:val="24"/>
          <w:szCs w:val="24"/>
          <w:highlight w:val="none"/>
        </w:rPr>
        <w:t xml:space="preserve">货到如东县应急管理局指定地点，所提供产品经验收合格后</w:t>
      </w:r>
      <w:r>
        <w:rPr>
          <w:rFonts w:hint="eastAsia" w:ascii="仿宋" w:hAnsi="仿宋" w:eastAsia="仿宋" w:cs="仿宋"/>
          <w:b w:val="0"/>
          <w:bCs/>
          <w:color w:val="auto"/>
          <w:sz w:val="24"/>
          <w:szCs w:val="24"/>
          <w:highlight w:val="none"/>
          <w:lang w:val="en-US" w:eastAsia="zh-CN"/>
        </w:rPr>
        <w:t xml:space="preserve">一次性</w:t>
      </w:r>
      <w:r>
        <w:rPr>
          <w:rFonts w:ascii="仿宋" w:hAnsi="仿宋" w:eastAsia="仿宋" w:cs="仿宋"/>
          <w:b w:val="0"/>
          <w:bCs/>
          <w:color w:val="auto"/>
          <w:sz w:val="24"/>
          <w:szCs w:val="24"/>
          <w:highlight w:val="none"/>
        </w:rPr>
        <w:t xml:space="preserve">付清</w:t>
      </w:r>
      <w:r>
        <w:rPr>
          <w:rFonts w:ascii="仿宋" w:hAnsi="仿宋" w:eastAsia="仿宋" w:cs="仿宋"/>
          <w:b w:val="0"/>
          <w:bCs/>
          <w:color w:val="auto"/>
          <w:sz w:val="24"/>
          <w:szCs w:val="24"/>
          <w:highlight w:val="none"/>
          <w:lang w:eastAsia="zh-CN"/>
        </w:rPr>
        <w:t xml:space="preserve">。</w:t>
      </w:r>
      <w:r/>
    </w:p>
    <w:p>
      <w:pPr>
        <w:numPr>
          <w:ilvl w:val="0"/>
          <w:numId w:val="0"/>
        </w:numPr>
        <w:ind w:left="0" w:right="0" w:firstLine="480"/>
        <w:keepLines w:val="0"/>
        <w:keepNext w:val="0"/>
        <w:pageBreakBefore w:val="0"/>
        <w:spacing w:line="420" w:lineRule="exact"/>
        <w:widowControl w:val="off"/>
        <w:rPr>
          <w:rFonts w:hint="eastAsia" w:eastAsia="仿宋"/>
          <w:color w:val="auto"/>
          <w:highlight w:val="none"/>
          <w:lang w:eastAsia="zh-CN"/>
        </w:rPr>
      </w:pPr>
      <w:r>
        <w:rPr>
          <w:rFonts w:ascii="Times New Roman" w:hAnsi="Times New Roman" w:eastAsia="仿宋" w:cs="Times New Roman"/>
          <w:b w:val="0"/>
          <w:bCs/>
          <w:color w:val="auto"/>
          <w:sz w:val="24"/>
          <w:highlight w:val="none"/>
        </w:rPr>
        <w:t xml:space="preserve">付款：成交供应商凭采购合同、验收单（经验收合格）及正式发票等按规定进行资金结算。</w:t>
      </w:r>
      <w:r>
        <w:rPr>
          <w:rFonts w:hint="eastAsia" w:eastAsia="仿宋" w:cs="Times New Roman"/>
          <w:b w:val="0"/>
          <w:bCs/>
          <w:color w:val="auto"/>
          <w:sz w:val="24"/>
          <w:highlight w:val="none"/>
          <w:lang w:val="en-US" w:eastAsia="zh-CN"/>
        </w:rPr>
        <w:t xml:space="preserve">招标</w:t>
      </w:r>
      <w:r>
        <w:rPr>
          <w:rFonts w:hint="eastAsia" w:ascii="Times New Roman" w:hAnsi="Times New Roman" w:eastAsia="仿宋" w:cs="Times New Roman"/>
          <w:b w:val="0"/>
          <w:bCs/>
          <w:color w:val="auto"/>
          <w:sz w:val="24"/>
          <w:highlight w:val="none"/>
          <w:lang w:val="zh-CN"/>
        </w:rPr>
        <w:t xml:space="preserve">人应在收到发票后10个工作日内将资金支付到中标人账户</w:t>
      </w:r>
      <w:r>
        <w:rPr>
          <w:rFonts w:hint="eastAsia" w:eastAsia="仿宋" w:cs="Times New Roman"/>
          <w:b w:val="0"/>
          <w:bCs/>
          <w:color w:val="auto"/>
          <w:sz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九</w:t>
      </w:r>
      <w:r>
        <w:rPr>
          <w:rFonts w:ascii="仿宋" w:hAnsi="仿宋" w:eastAsia="仿宋" w:cs="仿宋"/>
          <w:b/>
          <w:color w:val="auto"/>
          <w:sz w:val="24"/>
          <w:szCs w:val="24"/>
          <w:highlight w:val="none"/>
          <w:lang w:eastAsia="zh-CN"/>
        </w:rPr>
        <w:t xml:space="preserve">）履约保证金：</w:t>
      </w:r>
      <w:r/>
    </w:p>
    <w:p>
      <w:pPr>
        <w:numPr>
          <w:ilvl w:val="0"/>
          <w:numId w:val="0"/>
        </w:numPr>
        <w:ind w:left="0" w:right="0" w:firstLine="480"/>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lang w:eastAsia="zh-CN"/>
        </w:rPr>
        <w:t xml:space="preserve">本项目中标后的履约保证金为项目中标价的</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numPr>
          <w:ilvl w:val="0"/>
          <w:numId w:val="0"/>
        </w:numPr>
        <w:ind w:left="0" w:firstLine="0"/>
        <w:keepLines w:val="0"/>
        <w:keepNext w:val="0"/>
        <w:pageBreakBefore w:val="0"/>
        <w:spacing w:line="420" w:lineRule="exact"/>
        <w:widowControl w:val="off"/>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val="en-US" w:eastAsia="zh-CN"/>
        </w:rPr>
        <w:t xml:space="preserve">（十）演示要求</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上传视频演示</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指南》规定，上传的演示视频将作为投标文件的组成部分，</w:t>
      </w:r>
      <w:r>
        <w:rPr>
          <w:rFonts w:hint="eastAsia" w:ascii="仿宋" w:hAnsi="仿宋" w:eastAsia="仿宋" w:cs="仿宋"/>
          <w:color w:val="auto"/>
          <w:sz w:val="24"/>
          <w:szCs w:val="24"/>
          <w:highlight w:val="none"/>
          <w:lang w:eastAsia="zh-CN"/>
        </w:rPr>
        <w:t xml:space="preserve">视频时长总计不超过15分钟</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演示视频未提供或无法打开的本项不得分。</w:t>
      </w:r>
      <w:r>
        <w:rPr>
          <w:rFonts w:ascii="仿宋" w:hAnsi="仿宋" w:eastAsia="仿宋" w:cs="仿宋"/>
          <w:color w:val="auto"/>
          <w:sz w:val="24"/>
          <w:szCs w:val="24"/>
          <w:highlight w:val="none"/>
          <w:lang w:eastAsia="zh-CN"/>
        </w:rPr>
        <w:t xml:space="preserve">因投标人上传文件格式、压缩方式、文件损坏或内容无法识别等原因导致评审委员会无法正常查看的，相应后果由投标人自行承担</w:t>
      </w:r>
      <w:r>
        <w:rPr>
          <w:rFonts w:ascii="仿宋" w:hAnsi="仿宋" w:eastAsia="仿宋" w:cs="仿宋"/>
          <w:color w:val="auto"/>
          <w:sz w:val="24"/>
          <w:szCs w:val="24"/>
          <w:highlight w:val="none"/>
          <w:lang w:val="en-US" w:eastAsia="zh-CN"/>
        </w:rPr>
        <w:t xml:space="preserve">。</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2、演示内容如下：</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1、车辆结构设计方案（2分）：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视频应围绕所投车辆的整体结构、车辆形式、箱体结构、开门方式、涂装及反光标识进行展示进行评分：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（1）能清晰展示整车外观及整体结构，车辆结构完整、外观协调的，得0.4分；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（2）能清晰展示</w:t>
      </w:r>
      <w:r>
        <w:rPr>
          <w:rFonts w:hint="eastAsia" w:ascii="仿宋" w:hAnsi="仿宋" w:eastAsia="仿宋" w:cs="仿宋"/>
          <w:color w:val="auto"/>
          <w:sz w:val="24"/>
          <w:szCs w:val="24"/>
          <w:highlight w:val="none"/>
          <w:lang w:val="en-US" w:eastAsia="zh-CN"/>
        </w:rPr>
        <w:t xml:space="preserve">所投车辆公告类型</w:t>
      </w:r>
      <w:r>
        <w:rPr>
          <w:rFonts w:hint="eastAsia" w:ascii="仿宋" w:hAnsi="仿宋" w:eastAsia="仿宋" w:cs="仿宋"/>
          <w:color w:val="auto"/>
          <w:sz w:val="24"/>
          <w:szCs w:val="24"/>
          <w:highlight w:val="none"/>
          <w:lang w:eastAsia="zh-CN"/>
        </w:rPr>
        <w:t xml:space="preserve">，车身为2门2座的，得0.4分；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（3）能清晰展示车辆采用全封闭箱体，且箱体顶部封闭</w:t>
      </w:r>
      <w:r>
        <w:rPr>
          <w:rFonts w:hint="eastAsia" w:ascii="仿宋" w:hAnsi="仿宋" w:eastAsia="仿宋" w:cs="仿宋"/>
          <w:color w:val="auto"/>
          <w:sz w:val="24"/>
          <w:szCs w:val="24"/>
          <w:highlight w:val="none"/>
          <w:lang w:val="en-US" w:eastAsia="zh-CN"/>
        </w:rPr>
        <w:t xml:space="preserve">封闭不可开启</w:t>
      </w:r>
      <w:r>
        <w:rPr>
          <w:rFonts w:hint="eastAsia" w:ascii="仿宋" w:hAnsi="仿宋" w:eastAsia="仿宋" w:cs="仿宋"/>
          <w:color w:val="auto"/>
          <w:sz w:val="24"/>
          <w:szCs w:val="24"/>
          <w:highlight w:val="none"/>
          <w:lang w:eastAsia="zh-CN"/>
        </w:rPr>
        <w:t xml:space="preserve">，得0.4分；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（4）能清晰展示箱体侧面采用单开门或整体式上开门、后部采用双开门或整体式上开门的，得0.4分；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（5）能清晰展示车身红色涂装、警示/消防标识及反光标识设置情况的，得0.4分。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2、箱体内部消防器材布置与设计方案演示（2分）：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根据视频展示的车辆上装内部结构、消防器材布置、固定方式及取用便利性进行评分：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（1）能清晰展示上装内部由不锈钢罐体、器材箱、泵室、消防器材存放区域等组成，结构分区明确的，得0.4分；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（2）能清晰展示水箱内设横向、纵向阻浪板或相应防晃结构的，得0.4分；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（3）能清晰展示水箱液位显示装置及DN65注水口或消防接口设置的，得0.4分；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（4）能清晰展示水带、水枪、扳手、灭火器、照明灯、接口、吸水管等随车器材定置定位摆放的，得0.4分；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（5）能清晰展示消防器材采用卡槽、绑带、固定架、限位装置等固定措施，且取放路径清晰、不相互遮挡的，得0.4分。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3、水箱水源供水备选方案和应急处置演示（3分）：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应结合本项目基层应急处置、初期火灾扑救及现场取水条件复杂等使用场景，针对河道距离较远、随车7米吸水管长度不足、现场无外接供电电源等情况，通过视频展示水箱补水备选方案及相关应急处置功能</w:t>
      </w:r>
      <w:r>
        <w:rPr>
          <w:rFonts w:hint="eastAsia" w:ascii="仿宋" w:hAnsi="仿宋" w:eastAsia="仿宋" w:cs="仿宋"/>
          <w:color w:val="auto"/>
          <w:sz w:val="24"/>
          <w:szCs w:val="24"/>
          <w:highlight w:val="none"/>
          <w:lang w:val="en-US" w:eastAsia="zh-CN"/>
        </w:rPr>
        <w:t xml:space="preserve">进行评分</w:t>
      </w:r>
      <w:r>
        <w:rPr>
          <w:rFonts w:hint="eastAsia" w:ascii="仿宋" w:hAnsi="仿宋" w:eastAsia="仿宋" w:cs="仿宋"/>
          <w:color w:val="auto"/>
          <w:sz w:val="24"/>
          <w:szCs w:val="24"/>
          <w:highlight w:val="none"/>
          <w:lang w:eastAsia="zh-CN"/>
        </w:rPr>
        <w:t xml:space="preserve">：</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（1）能展示或说明不依赖现场外接电源的水源补给方式，得0.6分；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（2）能展示或说明7米吸水管长度不足情况下的远距离补水措施，得0.6分；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（3）能展示或说明</w:t>
      </w:r>
      <w:r>
        <w:rPr>
          <w:rFonts w:hint="eastAsia" w:ascii="仿宋" w:hAnsi="仿宋" w:eastAsia="仿宋" w:cs="仿宋"/>
          <w:color w:val="auto"/>
          <w:sz w:val="24"/>
          <w:szCs w:val="24"/>
          <w:highlight w:val="none"/>
          <w:lang w:val="en-US" w:eastAsia="zh-CN"/>
        </w:rPr>
        <w:t xml:space="preserve">采用一键电启动</w:t>
      </w:r>
      <w:r>
        <w:rPr>
          <w:rFonts w:hint="eastAsia" w:ascii="仿宋" w:hAnsi="仿宋" w:eastAsia="仿宋" w:cs="仿宋"/>
          <w:color w:val="auto"/>
          <w:sz w:val="24"/>
          <w:szCs w:val="24"/>
          <w:highlight w:val="none"/>
          <w:lang w:eastAsia="zh-CN"/>
        </w:rPr>
        <w:t xml:space="preserve">补水装置</w:t>
      </w:r>
      <w:r>
        <w:rPr>
          <w:rFonts w:hint="eastAsia" w:ascii="仿宋" w:hAnsi="仿宋" w:eastAsia="仿宋" w:cs="仿宋"/>
          <w:color w:val="auto"/>
          <w:sz w:val="24"/>
          <w:szCs w:val="24"/>
          <w:highlight w:val="none"/>
          <w:lang w:val="en-US" w:eastAsia="zh-CN"/>
        </w:rPr>
        <w:t xml:space="preserve">及消防水带</w:t>
      </w:r>
      <w:r>
        <w:rPr>
          <w:rFonts w:hint="eastAsia" w:ascii="仿宋" w:hAnsi="仿宋" w:eastAsia="仿宋" w:cs="仿宋"/>
          <w:color w:val="auto"/>
          <w:sz w:val="24"/>
          <w:szCs w:val="24"/>
          <w:highlight w:val="none"/>
          <w:lang w:eastAsia="zh-CN"/>
        </w:rPr>
        <w:t xml:space="preserve">与车辆水箱DN65注水口或消防接口连接方式，且连接方式安全、</w:t>
      </w:r>
      <w:r>
        <w:rPr>
          <w:rFonts w:hint="eastAsia" w:ascii="仿宋" w:hAnsi="仿宋" w:eastAsia="仿宋" w:cs="仿宋"/>
          <w:color w:val="auto"/>
          <w:sz w:val="24"/>
          <w:szCs w:val="24"/>
          <w:highlight w:val="none"/>
          <w:lang w:val="en-US" w:eastAsia="zh-CN"/>
        </w:rPr>
        <w:t xml:space="preserve">快速、</w:t>
      </w:r>
      <w:r>
        <w:rPr>
          <w:rFonts w:hint="eastAsia" w:ascii="仿宋" w:hAnsi="仿宋" w:eastAsia="仿宋" w:cs="仿宋"/>
          <w:color w:val="auto"/>
          <w:sz w:val="24"/>
          <w:szCs w:val="24"/>
          <w:highlight w:val="none"/>
          <w:lang w:eastAsia="zh-CN"/>
        </w:rPr>
        <w:t xml:space="preserve">稳定、便于操作的，得0.6分；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（4）能展示或说明取水、连接、启泵、补水、停止、收纳等基本操作流程，且流程连续、操作安全的，得0.6分；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（5）能展示或说明车辆在初期火灾扑救、夜间照明、简易破拆、水域救援辅助等应急场景下的器材取用、功能配合或操作便利性的，得0.6分。</w:t>
      </w:r>
      <w:r/>
    </w:p>
    <w:p>
      <w:pPr>
        <w:ind w:right="0" w:firstLine="480"/>
        <w:keepLines w:val="0"/>
        <w:keepNext w:val="0"/>
        <w:pageBreakBefore w:val="0"/>
        <w:spacing w:line="4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eastAsia="zh-CN"/>
        </w:rPr>
        <w:t xml:space="preserve">上述任一小项未展示、展示不清晰或与本项目采购需求明显无关的，对应小项不得分。</w:t>
      </w:r>
      <w:r/>
    </w:p>
    <w:p>
      <w:pPr>
        <w:keepLines w:val="0"/>
        <w:keepNext w:val="0"/>
        <w:pageBreakBefore w:val="0"/>
        <w:spacing w:line="420" w:lineRule="exact"/>
        <w:widowControl w:val="off"/>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（十</w:t>
      </w:r>
      <w:r>
        <w:rPr>
          <w:rFonts w:hint="eastAsia" w:ascii="仿宋" w:hAnsi="仿宋" w:eastAsia="仿宋" w:cs="仿宋"/>
          <w:b/>
          <w:color w:val="auto"/>
          <w:sz w:val="24"/>
          <w:szCs w:val="24"/>
          <w:highlight w:val="none"/>
          <w:lang w:val="en-US" w:eastAsia="zh-CN"/>
        </w:rPr>
        <w:t xml:space="preserve">一</w:t>
      </w:r>
      <w:r>
        <w:rPr>
          <w:rFonts w:ascii="仿宋" w:hAnsi="仿宋" w:eastAsia="仿宋" w:cs="仿宋"/>
          <w:b/>
          <w:color w:val="auto"/>
          <w:sz w:val="24"/>
          <w:szCs w:val="24"/>
          <w:highlight w:val="none"/>
          <w:lang w:eastAsia="zh-CN"/>
        </w:rPr>
        <w:t xml:space="preserve">）本项目不接受进口产品参与</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（十</w:t>
      </w:r>
      <w:r>
        <w:rPr>
          <w:rFonts w:hint="eastAsia" w:ascii="仿宋" w:hAnsi="仿宋" w:eastAsia="仿宋" w:cs="仿宋"/>
          <w:b/>
          <w:color w:val="auto"/>
          <w:sz w:val="24"/>
          <w:szCs w:val="24"/>
          <w:highlight w:val="none"/>
          <w:lang w:val="en-US" w:eastAsia="zh-CN"/>
        </w:rPr>
        <w:t xml:space="preserve">二</w:t>
      </w:r>
      <w:r>
        <w:rPr>
          <w:rFonts w:ascii="仿宋" w:hAnsi="仿宋" w:eastAsia="仿宋" w:cs="仿宋"/>
          <w:b/>
          <w:color w:val="auto"/>
          <w:sz w:val="24"/>
          <w:szCs w:val="24"/>
          <w:highlight w:val="none"/>
          <w:lang w:eastAsia="zh-CN"/>
        </w:rPr>
        <w:t xml:space="preserve">）安全责任</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要使用专业人员、专业工具。本项目一切安全责任均由</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负责，</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不承担任何责任。</w:t>
      </w:r>
      <w:r>
        <w:rPr>
          <w:color w:val="auto"/>
          <w:highlight w:val="none"/>
        </w:rPr>
        <w:br w:type="page" w:clear="all"/>
      </w:r>
      <w:r/>
    </w:p>
    <w:p>
      <w:pPr>
        <w:numPr>
          <w:ilvl w:val="0"/>
          <w:numId w:val="0"/>
        </w:numPr>
        <w:jc w:val="center"/>
        <w:keepNext/>
        <w:rPr>
          <w:rFonts w:ascii="仿宋" w:hAnsi="仿宋" w:eastAsia="仿宋" w:cs="仿宋"/>
          <w:bCs/>
          <w:color w:val="auto"/>
          <w:sz w:val="44"/>
          <w:szCs w:val="28"/>
          <w:highlight w:val="none"/>
        </w:rPr>
        <w:outlineLvl w:val="0"/>
      </w:pPr>
      <w:r/>
      <w:bookmarkStart w:id="5" w:name="__RefHeading___Toc8870"/>
      <w:r/>
      <w:bookmarkEnd w:id="5"/>
      <w:r>
        <w:rPr>
          <w:rFonts w:ascii="仿宋" w:hAnsi="仿宋" w:eastAsia="仿宋" w:cs="仿宋"/>
          <w:b/>
          <w:bCs w:val="0"/>
          <w:color w:val="auto"/>
          <w:sz w:val="44"/>
          <w:szCs w:val="28"/>
          <w:highlight w:val="none"/>
        </w:rPr>
        <w:t xml:space="preserve">第五章  评标方法与评标</w:t>
      </w:r>
      <w:r>
        <w:rPr>
          <w:rFonts w:ascii="仿宋" w:hAnsi="仿宋" w:eastAsia="仿宋" w:cs="仿宋"/>
          <w:b/>
          <w:bCs/>
          <w:color w:val="auto"/>
          <w:sz w:val="44"/>
          <w:szCs w:val="28"/>
          <w:highlight w:val="none"/>
        </w:rPr>
        <w:t xml:space="preserve">标准</w:t>
      </w:r>
      <w:r/>
    </w:p>
    <w:p>
      <w:pPr>
        <w:keepLines w:val="0"/>
        <w:keepNext w:val="0"/>
        <w:pageBreakBefore w:val="0"/>
        <w:spacing w:line="440" w:lineRule="exact"/>
        <w:widowControl w:val="off"/>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评审方法：</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评标结果按评审后得分由高到低顺序排列，确定中标候选人名单并按顺序确定中标人。得分相同的，按投标报价由低到高顺序排列</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得分且投标报价相同的并列</w:t>
      </w:r>
      <w:r>
        <w:rPr>
          <w:rFonts w:ascii="仿宋" w:hAnsi="仿宋" w:eastAsia="仿宋" w:cs="仿宋"/>
          <w:color w:val="auto"/>
          <w:sz w:val="24"/>
          <w:szCs w:val="24"/>
          <w:highlight w:val="none"/>
          <w:lang w:val="en-US" w:eastAsia="zh-CN"/>
        </w:rPr>
        <w:t xml:space="preserve">,</w:t>
      </w:r>
      <w:r>
        <w:rPr>
          <w:rFonts w:ascii="仿宋" w:hAnsi="仿宋" w:eastAsia="仿宋" w:cs="仿宋"/>
          <w:color w:val="auto"/>
          <w:sz w:val="24"/>
          <w:szCs w:val="24"/>
          <w:highlight w:val="none"/>
        </w:rPr>
        <w:t xml:space="preserve">按照技术指标优劣顺序推荐。</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二、政府采购政策功能落实</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1、小微型企业价格扣除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（1）本项目对小型和微型企业产品给予10%的扣除价格，用扣除后的价格参与评审</w:t>
      </w:r>
      <w:r>
        <w:rPr>
          <w:rFonts w:ascii="仿宋" w:hAnsi="仿宋" w:eastAsia="仿宋" w:cs="仿宋"/>
          <w:bCs/>
          <w:color w:val="auto"/>
          <w:sz w:val="24"/>
          <w:szCs w:val="24"/>
          <w:highlight w:val="none"/>
          <w:lang w:val="en-US" w:eastAsia="zh-CN"/>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（2）供应商需按照《政府采购促进中小企业发展管理办法》（财库〔202</w:t>
      </w:r>
      <w:r>
        <w:rPr>
          <w:rFonts w:ascii="仿宋" w:hAnsi="仿宋" w:eastAsia="仿宋" w:cs="仿宋"/>
          <w:bCs/>
          <w:color w:val="auto"/>
          <w:sz w:val="24"/>
          <w:szCs w:val="24"/>
          <w:highlight w:val="none"/>
          <w:lang w:val="en-US" w:eastAsia="zh-CN"/>
        </w:rPr>
        <w:t xml:space="preserve">0</w:t>
      </w:r>
      <w:r>
        <w:rPr>
          <w:rFonts w:ascii="仿宋" w:hAnsi="仿宋" w:eastAsia="仿宋" w:cs="仿宋"/>
          <w:bCs/>
          <w:color w:val="auto"/>
          <w:sz w:val="24"/>
          <w:szCs w:val="24"/>
          <w:highlight w:val="none"/>
        </w:rPr>
        <w:t xml:space="preserve">〕46号）的规定提供相应的《中小企业声明函》。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（3）企业标准请参照《关于印发中小企业划型标准规定的通知》（工信部联企业〔20</w:t>
      </w:r>
      <w:r>
        <w:rPr>
          <w:rFonts w:ascii="仿宋" w:hAnsi="仿宋" w:eastAsia="仿宋" w:cs="仿宋"/>
          <w:bCs/>
          <w:color w:val="auto"/>
          <w:sz w:val="24"/>
          <w:szCs w:val="24"/>
          <w:highlight w:val="none"/>
          <w:lang w:val="en-US" w:eastAsia="zh-CN"/>
        </w:rPr>
        <w:t xml:space="preserve">1</w:t>
      </w:r>
      <w:r>
        <w:rPr>
          <w:rFonts w:ascii="仿宋" w:hAnsi="仿宋" w:eastAsia="仿宋" w:cs="仿宋"/>
          <w:bCs/>
          <w:color w:val="auto"/>
          <w:sz w:val="24"/>
          <w:szCs w:val="24"/>
          <w:highlight w:val="none"/>
        </w:rPr>
        <w:t xml:space="preserve">1〕300号）文件规定自行填写。</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本项目对残疾人福利性单位视同小型、微型企业，给予10%的价格扣除，用扣除后的价格参与评审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（2）残疾人福利单位需按照</w:t>
      </w:r>
      <w:r>
        <w:rPr>
          <w:rFonts w:ascii="仿宋" w:hAnsi="仿宋" w:eastAsia="仿宋" w:cs="仿宋"/>
          <w:bCs/>
          <w:color w:val="auto"/>
          <w:sz w:val="24"/>
          <w:szCs w:val="24"/>
          <w:highlight w:val="none"/>
          <w:lang w:eastAsia="zh-CN"/>
        </w:rPr>
        <w:t xml:space="preserve">招标</w:t>
      </w:r>
      <w:r>
        <w:rPr>
          <w:rFonts w:ascii="仿宋" w:hAnsi="仿宋" w:eastAsia="仿宋" w:cs="仿宋"/>
          <w:bCs/>
          <w:color w:val="auto"/>
          <w:sz w:val="24"/>
          <w:szCs w:val="24"/>
          <w:highlight w:val="none"/>
        </w:rPr>
        <w:t xml:space="preserve">文件的要求提供《残疾人福利性单位声明函》。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（3）残疾人福利单位标准请参照《关于促进残疾人就业政府采购政策的通知》（财库〔2017〕141号）。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3、监狱和戒毒企业价格扣除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本项目对监狱和戒毒企业（简称监狱企业）视同小型、微型企业，给予10%的价格扣除，用扣除后的价格参与评审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（3）监狱企业标准请参照《关于政府采购支持监狱企业发展有关问题的通知》（财库〔20</w:t>
      </w:r>
      <w:r>
        <w:rPr>
          <w:rFonts w:ascii="仿宋" w:hAnsi="仿宋" w:eastAsia="仿宋" w:cs="仿宋"/>
          <w:bCs/>
          <w:color w:val="auto"/>
          <w:sz w:val="24"/>
          <w:szCs w:val="24"/>
          <w:highlight w:val="none"/>
          <w:lang w:val="en-US" w:eastAsia="zh-CN"/>
        </w:rPr>
        <w:t xml:space="preserve">14</w:t>
      </w:r>
      <w:r>
        <w:rPr>
          <w:rFonts w:ascii="仿宋" w:hAnsi="仿宋" w:eastAsia="仿宋" w:cs="仿宋"/>
          <w:bCs/>
          <w:color w:val="auto"/>
          <w:sz w:val="24"/>
          <w:szCs w:val="24"/>
          <w:highlight w:val="none"/>
        </w:rPr>
        <w:t xml:space="preserve">〕68号）。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4、残疾人福利单位、监狱企业属于小型、微型企业的，不重复享受政策。</w:t>
      </w:r>
      <w:r/>
    </w:p>
    <w:p>
      <w:pPr>
        <w:ind w:right="0" w:firstLine="570"/>
        <w:keepLines w:val="0"/>
        <w:keepNext w:val="0"/>
        <w:pageBreakBefore w:val="0"/>
        <w:spacing w:line="440" w:lineRule="exact"/>
        <w:widowControl w:val="off"/>
        <w:rPr>
          <w:rFonts w:ascii="仿宋" w:hAnsi="仿宋" w:eastAsia="仿宋" w:cs="仿宋"/>
          <w:b w:val="0"/>
          <w:bCs/>
          <w:color w:val="auto"/>
          <w:sz w:val="24"/>
          <w:szCs w:val="24"/>
          <w:highlight w:val="none"/>
        </w:rPr>
      </w:pPr>
      <w:r>
        <w:rPr>
          <w:rFonts w:ascii="仿宋" w:hAnsi="仿宋" w:eastAsia="仿宋" w:cs="仿宋"/>
          <w:bCs/>
          <w:color w:val="auto"/>
          <w:sz w:val="24"/>
          <w:szCs w:val="24"/>
          <w:highlight w:val="none"/>
        </w:rPr>
        <w:t xml:space="preserve">5、</w:t>
      </w:r>
      <w:r>
        <w:rPr>
          <w:rFonts w:ascii="仿宋" w:hAnsi="仿宋" w:eastAsia="仿宋" w:cs="仿宋"/>
          <w:bCs/>
          <w:color w:val="auto"/>
          <w:sz w:val="24"/>
          <w:szCs w:val="24"/>
          <w:highlight w:val="none"/>
          <w:lang w:val="en-US" w:eastAsia="zh-CN"/>
        </w:rPr>
        <w:t xml:space="preserve">如本项目同意联合体参加投标或同意分包履行合同的，</w:t>
      </w:r>
      <w:r>
        <w:rPr>
          <w:rFonts w:ascii="仿宋" w:hAnsi="仿宋" w:eastAsia="仿宋" w:cs="仿宋"/>
          <w:bCs/>
          <w:color w:val="auto"/>
          <w:sz w:val="24"/>
          <w:szCs w:val="24"/>
          <w:highlight w:val="none"/>
        </w:rPr>
        <w:t xml:space="preserve">大中型企业与小微企业（残疾人福利单位、监狱企业）组成联合体或者大中型企业向</w:t>
      </w:r>
      <w:r>
        <w:rPr>
          <w:rFonts w:ascii="仿宋" w:hAnsi="仿宋" w:eastAsia="仿宋" w:cs="仿宋"/>
          <w:bCs/>
          <w:color w:val="auto"/>
          <w:sz w:val="24"/>
          <w:szCs w:val="24"/>
          <w:highlight w:val="none"/>
          <w:lang w:val="en-US" w:eastAsia="zh-CN"/>
        </w:rPr>
        <w:t xml:space="preserve">一家或多家</w:t>
      </w:r>
      <w:r>
        <w:rPr>
          <w:rFonts w:ascii="仿宋" w:hAnsi="仿宋" w:eastAsia="仿宋" w:cs="仿宋"/>
          <w:bCs/>
          <w:color w:val="auto"/>
          <w:sz w:val="24"/>
          <w:szCs w:val="24"/>
          <w:highlight w:val="none"/>
        </w:rPr>
        <w:t xml:space="preserve">小微企业（残疾人福利单位、监狱企业）分包的，对联合协议或者分包意向协议约定小微企业合同份额占到合同总金额30%以上的，对联合体或者大中型企业的报价给予4%的</w:t>
      </w:r>
      <w:r>
        <w:rPr>
          <w:rFonts w:ascii="仿宋" w:hAnsi="仿宋" w:eastAsia="仿宋" w:cs="仿宋"/>
          <w:bCs/>
          <w:color w:val="auto"/>
          <w:sz w:val="24"/>
          <w:szCs w:val="24"/>
          <w:highlight w:val="none"/>
          <w:lang w:eastAsia="zh-CN"/>
        </w:rPr>
        <w:t xml:space="preserve">价格</w:t>
      </w:r>
      <w:r>
        <w:rPr>
          <w:rFonts w:ascii="仿宋" w:hAnsi="仿宋" w:eastAsia="仿宋" w:cs="仿宋"/>
          <w:bCs/>
          <w:color w:val="auto"/>
          <w:sz w:val="24"/>
          <w:szCs w:val="24"/>
          <w:highlight w:val="none"/>
        </w:rPr>
        <w:t xml:space="preserve">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6、联合体各方均为小型、微型企业（残疾人福利单位、监狱企业）的，联合体享受10%价格扣除，用扣除后的价格参与评审。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7、专门面向中小企业采购的项目或者采购包，不再执行价格评审优惠的扶持政策。</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8、根据《江苏省政府采购信用管理暂行办法》的规定，供应商信用评价结果为三星的扣2分，评价结果为二星的扣3分，评价结果为一星的扣4分。</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9</w:t>
      </w:r>
      <w:r>
        <w:rPr>
          <w:rFonts w:ascii="仿宋" w:hAnsi="仿宋" w:eastAsia="仿宋" w:cs="仿宋"/>
          <w:bCs/>
          <w:color w:val="auto"/>
          <w:sz w:val="24"/>
          <w:szCs w:val="24"/>
          <w:highlight w:val="none"/>
        </w:rPr>
        <w:t xml:space="preserve">、采购本国产品的支持政策</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本项目政府采购活动中既有本国产品又有非本国产品参与竞争的，依法对本国产品给予价格评审优惠，对本国产品的报价给予 20%的价格扣除，用扣除后的价格参与评审。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供应商需按照招标文件的要求提供《关于符合本国产品标准的声明函》（以下简称《声明函》），如不提供将不享受本国产品价格评审优惠。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firstLine="570"/>
        <w:keepLines w:val="0"/>
        <w:keepNext w:val="0"/>
        <w:pageBreakBefore w:val="0"/>
        <w:spacing w:line="440" w:lineRule="exact"/>
        <w:widowControl w:val="off"/>
        <w:rPr>
          <w:color w:val="auto"/>
          <w:highlight w:val="none"/>
        </w:rPr>
      </w:pPr>
      <w:r>
        <w:rPr>
          <w:rFonts w:hint="eastAsia" w:ascii="仿宋" w:hAnsi="仿宋" w:eastAsia="仿宋" w:cs="仿宋"/>
          <w:bCs/>
          <w:color w:val="auto"/>
          <w:sz w:val="24"/>
          <w:szCs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仿宋" w:hAnsi="仿宋" w:eastAsia="仿宋" w:cs="仿宋"/>
          <w:bCs/>
          <w:color w:val="auto"/>
          <w:sz w:val="24"/>
          <w:szCs w:val="24"/>
          <w:highlight w:val="none"/>
          <w:lang w:val="en-US" w:eastAsia="zh-CN"/>
        </w:rPr>
        <w:t xml:space="preserve">。</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三、评标方法与评标标准</w:t>
      </w:r>
      <w:r/>
    </w:p>
    <w:p>
      <w:pPr>
        <w:pStyle w:val="807"/>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本项目</w:t>
      </w: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val="en-US" w:eastAsia="zh-CN"/>
        </w:rPr>
        <w:t xml:space="preserve">评委会将按下列评审因素与评审标准进行评分，</w:t>
      </w:r>
      <w:r>
        <w:rPr>
          <w:rFonts w:ascii="仿宋" w:hAnsi="仿宋" w:eastAsia="仿宋" w:cs="仿宋"/>
          <w:color w:val="auto"/>
          <w:sz w:val="24"/>
          <w:szCs w:val="24"/>
          <w:highlight w:val="none"/>
        </w:rPr>
        <w:t xml:space="preserve">总分值为100分</w:t>
      </w:r>
      <w:r>
        <w:rPr>
          <w:rFonts w:ascii="仿宋" w:hAnsi="仿宋" w:eastAsia="仿宋" w:cs="仿宋"/>
          <w:color w:val="auto"/>
          <w:sz w:val="24"/>
          <w:szCs w:val="24"/>
          <w:highlight w:val="none"/>
          <w:lang w:eastAsia="zh-CN"/>
        </w:rPr>
        <w:t xml:space="preserve">。</w:t>
      </w:r>
      <w:r/>
    </w:p>
    <w:p>
      <w:pPr>
        <w:pStyle w:val="807"/>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（一）投标价格分：</w:t>
      </w:r>
      <w:r>
        <w:rPr>
          <w:rFonts w:ascii="仿宋" w:hAnsi="仿宋" w:eastAsia="仿宋" w:cs="仿宋"/>
          <w:color w:val="auto"/>
          <w:sz w:val="24"/>
          <w:szCs w:val="24"/>
          <w:highlight w:val="none"/>
          <w:lang w:val="en-US" w:eastAsia="zh-CN"/>
        </w:rPr>
        <w:t xml:space="preserve">30</w:t>
      </w:r>
      <w:r>
        <w:rPr>
          <w:rFonts w:ascii="仿宋" w:hAnsi="仿宋" w:eastAsia="仿宋" w:cs="仿宋"/>
          <w:color w:val="auto"/>
          <w:sz w:val="24"/>
          <w:szCs w:val="24"/>
          <w:highlight w:val="none"/>
          <w:lang w:eastAsia="zh-CN"/>
        </w:rPr>
        <w:t xml:space="preserve">分。</w:t>
      </w:r>
      <w:r/>
    </w:p>
    <w:p>
      <w:pPr>
        <w:pStyle w:val="807"/>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价格分统一采用低价优先法计算，即满足招标文件要求且投标价格最低的投标报价为评标基准价，其价格分为满分。其他投标人的价格分统一按照下列公式计算：</w:t>
      </w:r>
      <w:r/>
    </w:p>
    <w:p>
      <w:pPr>
        <w:pStyle w:val="807"/>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投标报价得分=（评标基准价/投标报价）×价格权值×100</w:t>
      </w:r>
      <w:r/>
    </w:p>
    <w:p>
      <w:pPr>
        <w:pStyle w:val="807"/>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（二）商务技术分：70分 </w:t>
      </w:r>
      <w:r/>
    </w:p>
    <w:p>
      <w:pPr>
        <w:pStyle w:val="807"/>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投标人提供的相关证明材料须在有效期内，均应为原件扫描件且清晰可见，否则，投标人自行承担因扫描件模糊等问题导致评委无法辨识的一切后果。</w:t>
      </w:r>
      <w:r/>
    </w:p>
    <w:tbl>
      <w:tblPr>
        <w:tblStyle w:val="724"/>
        <w:tblW w:w="4862" w:type="pct"/>
        <w:jc w:val="center"/>
        <w:tblLayout w:type="fixed"/>
        <w:tblCellMar>
          <w:left w:w="108" w:type="dxa"/>
          <w:top w:w="0" w:type="dxa"/>
          <w:right w:w="108" w:type="dxa"/>
          <w:bottom w:w="0" w:type="dxa"/>
        </w:tblCellMar>
        <w:tblLook w:val="04A0" w:firstRow="1" w:lastRow="0" w:firstColumn="1" w:lastColumn="0" w:noHBand="0" w:noVBand="1"/>
      </w:tblPr>
      <w:tblGrid>
        <w:gridCol w:w="776"/>
        <w:gridCol w:w="1181"/>
        <w:gridCol w:w="743"/>
        <w:gridCol w:w="6709"/>
      </w:tblGrid>
      <w:tr>
        <w:trPr>
          <w:jc w:val="center"/>
          <w:trHeight w:val="451"/>
        </w:trPr>
        <w:tc>
          <w:tcPr>
            <w:gridSpan w:val="2"/>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评分点名称</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shd w:val="clear" w:color="auto" w:fill="auto"/>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rPr>
              <w:t xml:space="preserve">产品性能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根据招标文件“第四章 采购需求”中的技术参数进行评审，</w:t>
            </w:r>
            <w:r>
              <w:rPr>
                <w:rFonts w:hint="eastAsia" w:ascii="仿宋" w:hAnsi="仿宋" w:eastAsia="仿宋" w:cs="仿宋"/>
                <w:color w:val="auto"/>
                <w:sz w:val="24"/>
                <w:szCs w:val="24"/>
                <w:highlight w:val="none"/>
                <w:lang w:val="en-US" w:eastAsia="zh-CN"/>
              </w:rPr>
              <w:t xml:space="preserve">共</w:t>
            </w:r>
            <w:r>
              <w:rPr>
                <w:rFonts w:hint="eastAsia" w:ascii="仿宋" w:hAnsi="仿宋" w:eastAsia="仿宋" w:cs="仿宋"/>
                <w:color w:val="auto"/>
                <w:sz w:val="24"/>
                <w:szCs w:val="24"/>
                <w:highlight w:val="none"/>
              </w:rPr>
              <w:t xml:space="preserve">20分。投标人应按照第四章采购需求的技术参数</w:t>
            </w:r>
            <w:r>
              <w:rPr>
                <w:rFonts w:hint="eastAsia" w:ascii="仿宋" w:hAnsi="仿宋" w:eastAsia="仿宋" w:cs="仿宋"/>
                <w:color w:val="auto"/>
                <w:sz w:val="24"/>
                <w:szCs w:val="24"/>
                <w:highlight w:val="none"/>
                <w:lang w:val="en-US" w:eastAsia="zh-CN"/>
              </w:rPr>
              <w:t xml:space="preserve">进行</w:t>
            </w:r>
            <w:r>
              <w:rPr>
                <w:rFonts w:hint="eastAsia" w:ascii="仿宋" w:hAnsi="仿宋" w:eastAsia="仿宋" w:cs="仿宋"/>
                <w:color w:val="auto"/>
                <w:sz w:val="24"/>
                <w:szCs w:val="24"/>
                <w:highlight w:val="none"/>
              </w:rPr>
              <w:t xml:space="preserve">响应。</w:t>
            </w:r>
            <w:r/>
          </w:p>
          <w:p>
            <w:pPr>
              <w:keepLines w:val="0"/>
              <w:keepNext w:val="0"/>
              <w:pageBreakBefore w:val="0"/>
              <w:spacing w:line="320" w:lineRule="exact"/>
              <w:widowControl w:val="off"/>
              <w:rPr>
                <w:rFonts w:hint="eastAsia"/>
                <w:color w:val="auto"/>
                <w:highlight w:val="none"/>
              </w:rPr>
            </w:pPr>
            <w:r>
              <w:rPr>
                <w:rFonts w:hint="eastAsia" w:ascii="仿宋" w:hAnsi="仿宋" w:eastAsia="仿宋" w:cs="仿宋"/>
                <w:color w:val="auto"/>
                <w:sz w:val="24"/>
                <w:szCs w:val="24"/>
                <w:highlight w:val="none"/>
              </w:rPr>
              <w:t xml:space="preserve">1、技术参数中标注“★”的为实质性要求，投标人必须全部满足，并按照招标文件要求提供有效佐证材料。任一“★”项存在负偏离、未响应、响应不明确，或者未按招标文件要求提供有效佐证材料的，视为未实质性响应招标文件要求，按无效投标处理。</w:t>
            </w:r>
            <w:r/>
          </w:p>
          <w:p>
            <w:pPr>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2、技术参数中标注“▲”的为重要技术参数，以第四章采购需求参数表中标注的“▲”参数为准，投标人应对“▲”参数逐项响应，并提供工信部公告查询截图作为合格响应的佐证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每一项“▲”参数满足采购需求且佐证材料有效的得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最多得20</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存在负偏离、未响应、响应不明确或未提供有效证明材料的，</w:t>
            </w:r>
            <w:r>
              <w:rPr>
                <w:rFonts w:hint="eastAsia" w:ascii="仿宋" w:hAnsi="仿宋" w:eastAsia="仿宋" w:cs="仿宋"/>
                <w:color w:val="auto"/>
                <w:sz w:val="24"/>
                <w:szCs w:val="24"/>
                <w:highlight w:val="none"/>
                <w:lang w:val="en-US" w:eastAsia="zh-CN"/>
              </w:rPr>
              <w:t xml:space="preserve">则</w:t>
            </w:r>
            <w:r>
              <w:rPr>
                <w:rFonts w:hint="eastAsia" w:ascii="仿宋" w:hAnsi="仿宋" w:eastAsia="仿宋" w:cs="仿宋"/>
                <w:color w:val="auto"/>
                <w:sz w:val="24"/>
                <w:szCs w:val="24"/>
                <w:highlight w:val="none"/>
              </w:rPr>
              <w:t xml:space="preserve">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视频演示</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1、车辆结构设计方案（2分）：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视频应围绕所投车辆的整体结构、车辆形式、箱体结构、开门方式、涂装及反光标识进行展示进行评分：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（1）能清晰展示整车外观及整体结构，车辆结构完整、外观协调的，得0.4分；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（2）能清晰展示</w:t>
            </w:r>
            <w:r>
              <w:rPr>
                <w:rFonts w:hint="eastAsia" w:ascii="仿宋" w:hAnsi="仿宋" w:eastAsia="仿宋" w:cs="仿宋"/>
                <w:b w:val="0"/>
                <w:color w:val="auto"/>
                <w:sz w:val="24"/>
                <w:highlight w:val="none"/>
                <w:lang w:val="en-US" w:eastAsia="zh-CN"/>
              </w:rPr>
              <w:t xml:space="preserve">所投车辆公告类型</w:t>
            </w:r>
            <w:r>
              <w:rPr>
                <w:rFonts w:hint="eastAsia" w:ascii="仿宋" w:hAnsi="仿宋" w:eastAsia="仿宋" w:cs="仿宋"/>
                <w:b w:val="0"/>
                <w:color w:val="auto"/>
                <w:sz w:val="24"/>
                <w:highlight w:val="none"/>
              </w:rPr>
              <w:t xml:space="preserve">，车身为2门2座的，得0.4分；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（3）能清晰展示车辆采用全封闭箱体，且箱体顶部封闭</w:t>
            </w:r>
            <w:r>
              <w:rPr>
                <w:rFonts w:hint="eastAsia" w:ascii="仿宋" w:hAnsi="仿宋" w:eastAsia="仿宋" w:cs="仿宋"/>
                <w:b w:val="0"/>
                <w:color w:val="auto"/>
                <w:sz w:val="24"/>
                <w:highlight w:val="none"/>
                <w:lang w:val="en-US" w:eastAsia="zh-CN"/>
              </w:rPr>
              <w:t xml:space="preserve">封闭不可开启</w:t>
            </w:r>
            <w:r>
              <w:rPr>
                <w:rFonts w:hint="eastAsia" w:ascii="仿宋" w:hAnsi="仿宋" w:eastAsia="仿宋" w:cs="仿宋"/>
                <w:b w:val="0"/>
                <w:color w:val="auto"/>
                <w:sz w:val="24"/>
                <w:highlight w:val="none"/>
              </w:rPr>
              <w:t xml:space="preserve">，得0.4分；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（4）能清晰展示箱体侧面采用单开门或整体式上开门、后部采用双开门或整体式上开门的，得0.4分；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（5）能清晰展示车身红色涂装、警示/消防标识及反光标识设置情况的，得0.4分。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2、箱体内部消防器材布置与设计方案演示（2分）：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根据视频展示的车辆上装内部结构、消防器材布置、固定方式及取用便利性进行评分：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（1）能清晰展示上装内部由不锈钢罐体、器材箱、泵室、消防器材存放区域等组成，结构分区明确的，得0.4分；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（2）能清晰展示水箱内设横向、纵向阻浪板或相应防晃结构的，得0.4分；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（3）能清晰展示水箱液位显示装置及DN65注水口或消防接口设置的，得0.4分；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（4）能清晰展示水带、水枪、扳手、灭火器、照明灯、接口、吸水管等随车器材定置定位摆放的，得0.4分；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（5）能清晰展示消防器材采用卡槽、绑带、固定架、限位装置等固定措施，且取放路径清晰、不相互遮挡的，得0.4分。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3、水箱水源供水备选方案和应急处置演示（3分）：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投标人应结合本项目基层应急处置、初期火灾扑救及现场取水条件复杂等使用场景，针对河道距离较远、随车7米吸水管长度不足、现场无外接供电电源等情况，通过视频展示水箱补水备选方案及相关应急处置功能</w:t>
            </w:r>
            <w:r>
              <w:rPr>
                <w:rFonts w:hint="eastAsia" w:ascii="仿宋" w:hAnsi="仿宋" w:eastAsia="仿宋" w:cs="仿宋"/>
                <w:b w:val="0"/>
                <w:color w:val="auto"/>
                <w:sz w:val="24"/>
                <w:highlight w:val="none"/>
                <w:lang w:val="en-US" w:eastAsia="zh-CN"/>
              </w:rPr>
              <w:t xml:space="preserve">进行评分</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（1）能展示或说明不依赖现场外接电源的水源补给方式，得0.6分；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（2）能展示或说明7米吸水管长度不足情况下的远距离补水措施，得0.6分；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（3）能展示或说明</w:t>
            </w:r>
            <w:r>
              <w:rPr>
                <w:rFonts w:hint="eastAsia" w:ascii="仿宋" w:hAnsi="仿宋" w:eastAsia="仿宋" w:cs="仿宋"/>
                <w:b w:val="0"/>
                <w:color w:val="auto"/>
                <w:sz w:val="24"/>
                <w:highlight w:val="none"/>
                <w:lang w:val="en-US" w:eastAsia="zh-CN"/>
              </w:rPr>
              <w:t xml:space="preserve">采用一键电启动</w:t>
            </w:r>
            <w:r>
              <w:rPr>
                <w:rFonts w:hint="eastAsia" w:ascii="仿宋" w:hAnsi="仿宋" w:eastAsia="仿宋" w:cs="仿宋"/>
                <w:b w:val="0"/>
                <w:color w:val="auto"/>
                <w:sz w:val="24"/>
                <w:highlight w:val="none"/>
              </w:rPr>
              <w:t xml:space="preserve">补水装置</w:t>
            </w:r>
            <w:r>
              <w:rPr>
                <w:rFonts w:hint="eastAsia" w:ascii="仿宋" w:hAnsi="仿宋" w:eastAsia="仿宋" w:cs="仿宋"/>
                <w:b w:val="0"/>
                <w:color w:val="auto"/>
                <w:sz w:val="24"/>
                <w:highlight w:val="none"/>
                <w:lang w:val="en-US" w:eastAsia="zh-CN"/>
              </w:rPr>
              <w:t xml:space="preserve">及消防水带</w:t>
            </w:r>
            <w:r>
              <w:rPr>
                <w:rFonts w:hint="eastAsia" w:ascii="仿宋" w:hAnsi="仿宋" w:eastAsia="仿宋" w:cs="仿宋"/>
                <w:b w:val="0"/>
                <w:color w:val="auto"/>
                <w:sz w:val="24"/>
                <w:highlight w:val="none"/>
              </w:rPr>
              <w:t xml:space="preserve">与车辆水箱DN65注水口或消防接口连接方式，且连接方式安全、</w:t>
            </w:r>
            <w:r>
              <w:rPr>
                <w:rFonts w:hint="eastAsia" w:ascii="仿宋" w:hAnsi="仿宋" w:eastAsia="仿宋" w:cs="仿宋"/>
                <w:b w:val="0"/>
                <w:color w:val="auto"/>
                <w:sz w:val="24"/>
                <w:highlight w:val="none"/>
                <w:lang w:val="en-US" w:eastAsia="zh-CN"/>
              </w:rPr>
              <w:t xml:space="preserve">快速、</w:t>
            </w:r>
            <w:r>
              <w:rPr>
                <w:rFonts w:hint="eastAsia" w:ascii="仿宋" w:hAnsi="仿宋" w:eastAsia="仿宋" w:cs="仿宋"/>
                <w:b w:val="0"/>
                <w:color w:val="auto"/>
                <w:sz w:val="24"/>
                <w:highlight w:val="none"/>
              </w:rPr>
              <w:t xml:space="preserve">稳定、便于操作的，得0.6分；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（4）能展示或说明取水、连接、启泵、补水、停止、收纳等基本操作流程，且流程连续、操作安全的，得0.6分；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（5）能展示或说明车辆在初期火灾扑救、夜间照明、简易破拆、水域救援辅助等应急场景下的器材取用、功能配合或操作便利性的，得0.6分。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上述任一小项未展示、展示不清晰或与本项目采购需求明显无关的，对应小项不得分</w:t>
            </w:r>
            <w:r>
              <w:rPr>
                <w:rFonts w:hint="eastAsia" w:ascii="仿宋" w:hAnsi="仿宋" w:eastAsia="仿宋" w:cs="仿宋"/>
                <w:b w:val="0"/>
                <w:color w:val="auto"/>
                <w:sz w:val="24"/>
                <w:highlight w:val="none"/>
              </w:rPr>
              <w:t xml:space="preserve">。</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供货方案</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w:t>
            </w:r>
            <w:r>
              <w:rPr>
                <w:rFonts w:hint="eastAsia" w:ascii="仿宋" w:hAnsi="仿宋" w:eastAsia="仿宋" w:cs="仿宋"/>
                <w:b w:val="0"/>
                <w:color w:val="auto"/>
                <w:sz w:val="24"/>
                <w:highlight w:val="none"/>
                <w:lang w:val="en-US" w:eastAsia="zh-CN"/>
              </w:rPr>
              <w:t xml:space="preserve">提供</w:t>
            </w:r>
            <w:r>
              <w:rPr>
                <w:rFonts w:hint="eastAsia" w:ascii="仿宋" w:hAnsi="仿宋" w:eastAsia="仿宋" w:cs="仿宋"/>
                <w:b w:val="0"/>
                <w:color w:val="auto"/>
                <w:sz w:val="24"/>
                <w:highlight w:val="none"/>
              </w:rPr>
              <w:t xml:space="preserve">的供货方案进行综合评审，方案内容包括：</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1、供货计划及保证措施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应明确供货进度、节点安排、</w:t>
            </w:r>
            <w:r>
              <w:rPr>
                <w:rFonts w:hint="eastAsia" w:ascii="仿宋" w:hAnsi="仿宋" w:eastAsia="仿宋" w:cs="仿宋"/>
                <w:b w:val="0"/>
                <w:color w:val="auto"/>
                <w:sz w:val="24"/>
                <w:highlight w:val="none"/>
                <w:lang w:val="en-US" w:eastAsia="zh-CN"/>
              </w:rPr>
              <w:t xml:space="preserve">人员组织</w:t>
            </w:r>
            <w:r>
              <w:rPr>
                <w:rFonts w:hint="eastAsia" w:ascii="仿宋" w:hAnsi="仿宋" w:eastAsia="仿宋" w:cs="仿宋"/>
                <w:b w:val="0"/>
                <w:color w:val="auto"/>
                <w:sz w:val="24"/>
                <w:highlight w:val="none"/>
              </w:rPr>
              <w:t xml:space="preserve">及</w:t>
            </w:r>
            <w:r>
              <w:rPr>
                <w:rFonts w:hint="eastAsia" w:ascii="仿宋" w:hAnsi="仿宋" w:eastAsia="仿宋" w:cs="仿宋"/>
                <w:b w:val="0"/>
                <w:color w:val="auto"/>
                <w:sz w:val="24"/>
                <w:highlight w:val="none"/>
                <w:lang w:val="en-US" w:eastAsia="zh-CN"/>
              </w:rPr>
              <w:t xml:space="preserve">供货保障</w:t>
            </w:r>
            <w:r>
              <w:rPr>
                <w:rFonts w:hint="eastAsia" w:ascii="仿宋" w:hAnsi="仿宋" w:eastAsia="仿宋" w:cs="仿宋"/>
                <w:b w:val="0"/>
                <w:color w:val="auto"/>
                <w:sz w:val="24"/>
                <w:highlight w:val="none"/>
              </w:rPr>
              <w:t xml:space="preserve">应对措施；</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2、安装、调试方案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应体现车辆安装调试流程或图示及</w:t>
            </w:r>
            <w:r>
              <w:rPr>
                <w:rFonts w:hint="eastAsia" w:ascii="仿宋" w:hAnsi="仿宋" w:eastAsia="仿宋" w:cs="仿宋"/>
                <w:b w:val="0"/>
                <w:color w:val="auto"/>
                <w:sz w:val="24"/>
                <w:highlight w:val="none"/>
                <w:lang w:val="en-US" w:eastAsia="zh-CN"/>
              </w:rPr>
              <w:t xml:space="preserve">常见安装调试问题及应对方法</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3、运输方式、运输风险预防措施、装卸储存方案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应明确运输、装卸、途中防护、到货交接及临时储存要求；</w:t>
            </w:r>
            <w:r/>
          </w:p>
          <w:p>
            <w:pPr>
              <w:keepLines w:val="0"/>
              <w:keepNext w:val="0"/>
              <w:pageBreakBefore w:val="0"/>
              <w:spacing w:before="0" w:after="0" w:line="32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color w:val="auto"/>
                <w:sz w:val="24"/>
                <w:highlight w:val="none"/>
              </w:rPr>
              <w:t xml:space="preserve">4、项目验收方案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应明确验收流程、验收资料、验收配合及整改闭环措施。</w:t>
            </w:r>
            <w:r/>
          </w:p>
          <w:p>
            <w:pPr>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上述4个方面每有一项内容完整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采购需求的得2.5分，本项最高得10分。每有一项内容虽已提供但存在内容不完整、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质量保障措施</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根据投标人编制的质量保障措施进行综合评审，方案内容包括：</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生产线介绍</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应体现</w:t>
            </w:r>
            <w:r>
              <w:rPr>
                <w:rFonts w:hint="eastAsia" w:ascii="仿宋" w:hAnsi="仿宋" w:eastAsia="仿宋" w:cs="仿宋"/>
                <w:b w:val="0"/>
                <w:color w:val="auto"/>
                <w:sz w:val="24"/>
                <w:highlight w:val="none"/>
                <w:lang w:val="en-US" w:eastAsia="zh-CN"/>
              </w:rPr>
              <w:t xml:space="preserve">车辆生产设备，</w:t>
            </w:r>
            <w:r>
              <w:rPr>
                <w:rFonts w:hint="eastAsia" w:ascii="仿宋" w:hAnsi="仿宋" w:eastAsia="仿宋" w:cs="仿宋"/>
                <w:b w:val="0"/>
                <w:color w:val="auto"/>
                <w:sz w:val="24"/>
                <w:highlight w:val="none"/>
              </w:rPr>
              <w:t xml:space="preserve">车辆生产、装配流程或图示；</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所投产品工作空间布局设计解决方案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应结合车辆本体</w:t>
            </w:r>
            <w:r>
              <w:rPr>
                <w:rFonts w:hint="eastAsia" w:ascii="仿宋" w:hAnsi="仿宋" w:eastAsia="仿宋" w:cs="仿宋"/>
                <w:b w:val="0"/>
                <w:color w:val="auto"/>
                <w:sz w:val="24"/>
                <w:highlight w:val="none"/>
                <w:lang w:val="en-US" w:eastAsia="zh-CN"/>
              </w:rPr>
              <w:t xml:space="preserve">建模</w:t>
            </w:r>
            <w:r>
              <w:rPr>
                <w:rFonts w:hint="eastAsia" w:ascii="仿宋" w:hAnsi="仿宋" w:eastAsia="仿宋" w:cs="仿宋"/>
                <w:b w:val="0"/>
                <w:color w:val="auto"/>
                <w:sz w:val="24"/>
                <w:highlight w:val="none"/>
              </w:rPr>
              <w:t xml:space="preserve">、泵室、器材箱及随车器材取放</w:t>
            </w:r>
            <w:r>
              <w:rPr>
                <w:rFonts w:hint="eastAsia" w:ascii="仿宋" w:hAnsi="仿宋" w:eastAsia="仿宋" w:cs="仿宋"/>
                <w:b w:val="0"/>
                <w:color w:val="auto"/>
                <w:sz w:val="24"/>
                <w:highlight w:val="none"/>
                <w:lang w:val="en-US" w:eastAsia="zh-CN"/>
              </w:rPr>
              <w:t xml:space="preserve">设计</w:t>
            </w:r>
            <w:r>
              <w:rPr>
                <w:rFonts w:hint="eastAsia" w:ascii="仿宋" w:hAnsi="仿宋" w:eastAsia="仿宋" w:cs="仿宋"/>
                <w:b w:val="0"/>
                <w:color w:val="auto"/>
                <w:sz w:val="24"/>
                <w:highlight w:val="none"/>
              </w:rPr>
              <w:t xml:space="preserve">便利性进行说明；</w:t>
            </w:r>
            <w:r/>
          </w:p>
          <w:p>
            <w:pPr>
              <w:numPr>
                <w:ilvl w:val="0"/>
                <w:numId w:val="4"/>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所投产品水箱晃荡分析及结构设计解决方案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应说明防晃</w:t>
            </w:r>
            <w:r>
              <w:rPr>
                <w:rFonts w:hint="eastAsia" w:ascii="仿宋" w:hAnsi="仿宋" w:eastAsia="仿宋" w:cs="仿宋"/>
                <w:b w:val="0"/>
                <w:color w:val="auto"/>
                <w:sz w:val="24"/>
                <w:highlight w:val="none"/>
                <w:lang w:val="en-US" w:eastAsia="zh-CN"/>
              </w:rPr>
              <w:t xml:space="preserve">或</w:t>
            </w:r>
            <w:r>
              <w:rPr>
                <w:rFonts w:hint="eastAsia" w:ascii="仿宋" w:hAnsi="仿宋" w:eastAsia="仿宋" w:cs="仿宋"/>
                <w:b w:val="0"/>
                <w:color w:val="auto"/>
                <w:sz w:val="24"/>
                <w:highlight w:val="none"/>
              </w:rPr>
              <w:t xml:space="preserve">防</w:t>
            </w:r>
            <w:r>
              <w:rPr>
                <w:rFonts w:hint="eastAsia" w:ascii="仿宋" w:hAnsi="仿宋" w:eastAsia="仿宋" w:cs="仿宋"/>
                <w:b w:val="0"/>
                <w:color w:val="auto"/>
                <w:sz w:val="24"/>
                <w:highlight w:val="none"/>
                <w:lang w:val="en-US" w:eastAsia="zh-CN"/>
              </w:rPr>
              <w:t xml:space="preserve">浪板设计</w:t>
            </w:r>
            <w:r>
              <w:rPr>
                <w:rFonts w:hint="eastAsia" w:ascii="仿宋" w:hAnsi="仿宋" w:eastAsia="仿宋" w:cs="仿宋"/>
                <w:b w:val="0"/>
                <w:color w:val="auto"/>
                <w:sz w:val="24"/>
                <w:highlight w:val="none"/>
              </w:rPr>
              <w:t xml:space="preserve">措施；</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b w:val="0"/>
                <w:color w:val="auto"/>
                <w:sz w:val="24"/>
                <w:highlight w:val="none"/>
              </w:rPr>
              <w:t xml:space="preserve">4、质量保障措施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w:t>
            </w:r>
            <w:r>
              <w:rPr>
                <w:rFonts w:hint="eastAsia" w:ascii="仿宋" w:hAnsi="仿宋" w:eastAsia="仿宋" w:cs="仿宋"/>
                <w:b w:val="0"/>
                <w:color w:val="auto"/>
                <w:sz w:val="24"/>
                <w:highlight w:val="none"/>
                <w:lang w:val="en-US" w:eastAsia="zh-CN"/>
              </w:rPr>
              <w:t xml:space="preserve">目标、管理措施</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物料控制、管理制度</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上述4个方面每有一项内容完整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采购需求的得2.5分，本项最高得10分。每有一项内容虽已提供但存在内容不完整、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olor w:val="auto"/>
                <w:sz w:val="24"/>
                <w:szCs w:val="24"/>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根据投标人提供的服务承诺及方案进行综合评审，方案内容包括：</w:t>
            </w:r>
            <w:r/>
          </w:p>
          <w:p>
            <w:pPr>
              <w:numPr>
                <w:ilvl w:val="0"/>
                <w:numId w:val="5"/>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故障响应时间及故障解决措施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应急处理</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w:t>
            </w:r>
            <w:r>
              <w:rPr>
                <w:rFonts w:hint="eastAsia" w:ascii="仿宋" w:hAnsi="仿宋" w:eastAsia="仿宋" w:cs="仿宋"/>
                <w:b w:val="0"/>
                <w:color w:val="auto"/>
                <w:sz w:val="24"/>
                <w:highlight w:val="none"/>
                <w:lang w:val="en-US" w:eastAsia="zh-CN"/>
              </w:rPr>
              <w:t xml:space="preserve">服务承诺，</w:t>
            </w:r>
            <w:r>
              <w:rPr>
                <w:rFonts w:hint="eastAsia" w:ascii="仿宋" w:hAnsi="仿宋" w:eastAsia="仿宋" w:cs="仿宋"/>
                <w:b w:val="0"/>
                <w:color w:val="auto"/>
                <w:sz w:val="24"/>
                <w:highlight w:val="none"/>
              </w:rPr>
              <w:t xml:space="preserve">响应时限、到场或远程支持方式及</w:t>
            </w:r>
            <w:r>
              <w:rPr>
                <w:rFonts w:hint="eastAsia" w:ascii="仿宋" w:hAnsi="仿宋" w:eastAsia="仿宋" w:cs="仿宋"/>
                <w:b w:val="0"/>
                <w:color w:val="auto"/>
                <w:sz w:val="24"/>
                <w:highlight w:val="none"/>
                <w:lang w:val="en-US" w:eastAsia="zh-CN"/>
              </w:rPr>
              <w:t xml:space="preserve">服务渠道与措施、</w:t>
            </w:r>
            <w:r>
              <w:rPr>
                <w:rFonts w:hint="eastAsia" w:ascii="仿宋" w:hAnsi="仿宋" w:eastAsia="仿宋" w:cs="仿宋"/>
                <w:b w:val="0"/>
                <w:color w:val="auto"/>
                <w:sz w:val="24"/>
                <w:highlight w:val="none"/>
              </w:rPr>
              <w:t xml:space="preserve">针对故障情形提出</w:t>
            </w:r>
            <w:r>
              <w:rPr>
                <w:rFonts w:hint="eastAsia" w:ascii="仿宋" w:hAnsi="仿宋" w:eastAsia="仿宋" w:cs="仿宋"/>
                <w:b w:val="0"/>
                <w:color w:val="auto"/>
                <w:sz w:val="24"/>
                <w:highlight w:val="none"/>
                <w:lang w:val="en-US" w:eastAsia="zh-CN"/>
              </w:rPr>
              <w:t xml:space="preserve">突发事件紧急处理预案</w:t>
            </w:r>
            <w:r>
              <w:rPr>
                <w:rFonts w:hint="eastAsia" w:ascii="仿宋" w:hAnsi="仿宋" w:eastAsia="仿宋" w:cs="仿宋"/>
                <w:b w:val="0"/>
                <w:color w:val="auto"/>
                <w:sz w:val="24"/>
                <w:highlight w:val="none"/>
              </w:rPr>
              <w:t xml:space="preserve">；</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售后服务技术支持</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售后服务技术支持应明确技术支持方式、服务渠道及问题反馈闭环；</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定期巡检</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保养、</w:t>
            </w:r>
            <w:r>
              <w:rPr>
                <w:rFonts w:hint="eastAsia" w:ascii="仿宋" w:hAnsi="仿宋" w:eastAsia="仿宋" w:cs="仿宋"/>
                <w:b w:val="0"/>
                <w:color w:val="auto"/>
                <w:sz w:val="24"/>
                <w:highlight w:val="none"/>
              </w:rPr>
              <w:t xml:space="preserve">备品备件</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应明确巡检频次、</w:t>
            </w:r>
            <w:r>
              <w:rPr>
                <w:rFonts w:hint="eastAsia" w:ascii="仿宋" w:hAnsi="仿宋" w:eastAsia="仿宋" w:cs="仿宋"/>
                <w:b w:val="0"/>
                <w:color w:val="auto"/>
                <w:sz w:val="24"/>
                <w:highlight w:val="none"/>
                <w:lang w:val="en-US" w:eastAsia="zh-CN"/>
              </w:rPr>
              <w:t xml:space="preserve">巡检</w:t>
            </w:r>
            <w:r>
              <w:rPr>
                <w:rFonts w:hint="eastAsia" w:ascii="仿宋" w:hAnsi="仿宋" w:eastAsia="仿宋" w:cs="仿宋"/>
                <w:b w:val="0"/>
                <w:color w:val="auto"/>
                <w:sz w:val="24"/>
                <w:highlight w:val="none"/>
              </w:rPr>
              <w:t xml:space="preserve">内容、</w:t>
            </w:r>
            <w:r>
              <w:rPr>
                <w:rFonts w:hint="eastAsia" w:ascii="仿宋" w:hAnsi="仿宋" w:eastAsia="仿宋" w:cs="仿宋"/>
                <w:b w:val="0"/>
                <w:color w:val="auto"/>
                <w:sz w:val="24"/>
                <w:highlight w:val="none"/>
                <w:lang w:val="en-US" w:eastAsia="zh-CN"/>
              </w:rPr>
              <w:t xml:space="preserve">保养内容、系统配备、</w:t>
            </w:r>
            <w:r>
              <w:rPr>
                <w:rFonts w:hint="eastAsia" w:ascii="仿宋" w:hAnsi="仿宋" w:eastAsia="仿宋" w:cs="仿宋"/>
                <w:b w:val="0"/>
                <w:color w:val="auto"/>
                <w:sz w:val="24"/>
                <w:highlight w:val="none"/>
              </w:rPr>
              <w:t xml:space="preserve">常用易损件配件保障措施；</w:t>
            </w:r>
            <w:r/>
          </w:p>
          <w:p>
            <w:pPr>
              <w:numPr>
                <w:ilvl w:val="0"/>
                <w:numId w:val="5"/>
              </w:numPr>
              <w:ind w:left="0" w:firstLine="0"/>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本地维修服务</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应说明本地或周边维修服务能力、服务网点</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售后服务人员安排</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color w:val="auto"/>
                <w:sz w:val="24"/>
                <w:highlight w:val="none"/>
                <w:lang w:val="en-US" w:eastAsia="zh-CN"/>
              </w:rPr>
              <w:t xml:space="preserve">5</w:t>
            </w:r>
            <w:r>
              <w:rPr>
                <w:rFonts w:hint="eastAsia" w:ascii="仿宋" w:hAnsi="仿宋" w:eastAsia="仿宋" w:cs="仿宋"/>
                <w:b w:val="0"/>
                <w:color w:val="auto"/>
                <w:sz w:val="24"/>
                <w:highlight w:val="none"/>
              </w:rPr>
              <w:t xml:space="preserve">、培训方案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培训</w:t>
            </w:r>
            <w:r>
              <w:rPr>
                <w:rFonts w:hint="eastAsia" w:ascii="仿宋" w:hAnsi="仿宋" w:eastAsia="仿宋" w:cs="仿宋"/>
                <w:b w:val="0"/>
                <w:color w:val="auto"/>
                <w:sz w:val="24"/>
                <w:highlight w:val="none"/>
                <w:lang w:val="en-US" w:eastAsia="zh-CN"/>
              </w:rPr>
              <w:t xml:space="preserve">计划</w:t>
            </w:r>
            <w:r>
              <w:rPr>
                <w:rFonts w:hint="eastAsia" w:ascii="仿宋" w:hAnsi="仿宋" w:eastAsia="仿宋" w:cs="仿宋"/>
                <w:b w:val="0"/>
                <w:color w:val="auto"/>
                <w:sz w:val="24"/>
                <w:highlight w:val="none"/>
              </w:rPr>
              <w:t xml:space="preserve">、培训内容、</w:t>
            </w:r>
            <w:r>
              <w:rPr>
                <w:rFonts w:hint="eastAsia" w:ascii="仿宋" w:hAnsi="仿宋" w:eastAsia="仿宋" w:cs="仿宋"/>
                <w:b w:val="0"/>
                <w:color w:val="auto"/>
                <w:sz w:val="24"/>
                <w:highlight w:val="none"/>
                <w:lang w:val="en-US" w:eastAsia="zh-CN"/>
              </w:rPr>
              <w:t xml:space="preserve">常见故障及排障方法</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培训时间</w:t>
            </w:r>
            <w:r>
              <w:rPr>
                <w:rFonts w:hint="eastAsia" w:ascii="仿宋" w:hAnsi="仿宋" w:eastAsia="仿宋" w:cs="仿宋"/>
                <w:b w:val="0"/>
                <w:color w:val="auto"/>
                <w:sz w:val="24"/>
                <w:highlight w:val="none"/>
              </w:rPr>
              <w:t xml:space="preserve">及培训</w:t>
            </w:r>
            <w:r>
              <w:rPr>
                <w:rFonts w:hint="eastAsia" w:ascii="仿宋" w:hAnsi="仿宋" w:eastAsia="仿宋" w:cs="仿宋"/>
                <w:b w:val="0"/>
                <w:color w:val="auto"/>
                <w:sz w:val="24"/>
                <w:highlight w:val="none"/>
                <w:lang w:val="en-US" w:eastAsia="zh-CN"/>
              </w:rPr>
              <w:t xml:space="preserve">人员</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个方面每有一项内容完整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方案可行</w:t>
            </w:r>
            <w:r>
              <w:rPr>
                <w:rFonts w:hint="eastAsia" w:ascii="仿宋" w:hAnsi="仿宋" w:eastAsia="仿宋" w:cs="仿宋"/>
                <w:color w:val="auto"/>
                <w:sz w:val="24"/>
                <w:szCs w:val="24"/>
                <w:highlight w:val="none"/>
              </w:rPr>
              <w:t xml:space="preserve">且</w:t>
            </w:r>
            <w:r>
              <w:rPr>
                <w:rFonts w:hint="eastAsia" w:ascii="仿宋" w:hAnsi="仿宋" w:eastAsia="仿宋" w:cs="仿宋"/>
                <w:color w:val="auto"/>
                <w:sz w:val="24"/>
                <w:szCs w:val="24"/>
                <w:highlight w:val="none"/>
                <w:lang w:val="en-US" w:eastAsia="zh-CN"/>
              </w:rPr>
              <w:t xml:space="preserve">满足本项目</w:t>
            </w:r>
            <w:r>
              <w:rPr>
                <w:rFonts w:hint="eastAsia" w:ascii="仿宋" w:hAnsi="仿宋" w:eastAsia="仿宋" w:cs="仿宋"/>
                <w:color w:val="auto"/>
                <w:sz w:val="24"/>
                <w:szCs w:val="24"/>
                <w:highlight w:val="none"/>
              </w:rPr>
              <w:t xml:space="preserve">采购需求的得2分，本项最高得10分。每有一项内容虽已提供但存在内容不完整、</w:t>
            </w:r>
            <w:r>
              <w:rPr>
                <w:rFonts w:hint="eastAsia" w:ascii="仿宋" w:hAnsi="仿宋" w:eastAsia="仿宋" w:cs="仿宋"/>
                <w:color w:val="auto"/>
                <w:sz w:val="24"/>
                <w:szCs w:val="24"/>
                <w:highlight w:val="none"/>
                <w:lang w:val="en-US" w:eastAsia="zh-CN"/>
              </w:rPr>
              <w:t xml:space="preserve">方案不可行、</w:t>
            </w:r>
            <w:r>
              <w:rPr>
                <w:rFonts w:hint="eastAsia" w:ascii="仿宋" w:hAnsi="仿宋" w:eastAsia="仿宋" w:cs="仿宋"/>
                <w:color w:val="auto"/>
                <w:sz w:val="24"/>
                <w:szCs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、照抄采购文件、未提供对应内容的，该项不得分。</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投标人提供</w:t>
            </w:r>
            <w:r>
              <w:rPr>
                <w:rFonts w:hint="eastAsia" w:ascii="仿宋" w:hAnsi="仿宋" w:eastAsia="仿宋" w:cs="仿宋"/>
                <w:color w:val="auto"/>
                <w:sz w:val="24"/>
                <w:szCs w:val="24"/>
                <w:highlight w:val="none"/>
                <w:lang w:val="en-US" w:eastAsia="zh-CN"/>
              </w:rPr>
              <w:t xml:space="preserve">自2023年1月1日</w:t>
            </w:r>
            <w:r>
              <w:rPr>
                <w:rFonts w:hint="eastAsia" w:ascii="仿宋" w:hAnsi="仿宋" w:eastAsia="仿宋" w:cs="仿宋"/>
                <w:color w:val="auto"/>
                <w:sz w:val="24"/>
                <w:szCs w:val="24"/>
                <w:highlight w:val="none"/>
              </w:rPr>
              <w:t xml:space="preserve">以来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以合同签订日期为准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承担的微型消防车（或同类</w:t>
            </w:r>
            <w:r>
              <w:rPr>
                <w:rFonts w:hint="eastAsia" w:ascii="仿宋" w:hAnsi="仿宋" w:eastAsia="仿宋" w:cs="仿宋"/>
                <w:color w:val="auto"/>
                <w:sz w:val="24"/>
                <w:szCs w:val="24"/>
                <w:highlight w:val="none"/>
                <w:lang w:val="en-US" w:eastAsia="zh-CN"/>
              </w:rPr>
              <w:t xml:space="preserve">微型</w:t>
            </w:r>
            <w:r>
              <w:rPr>
                <w:rFonts w:hint="eastAsia" w:ascii="仿宋" w:hAnsi="仿宋" w:eastAsia="仿宋" w:cs="仿宋"/>
                <w:color w:val="auto"/>
                <w:sz w:val="24"/>
                <w:szCs w:val="24"/>
                <w:highlight w:val="none"/>
              </w:rPr>
              <w:t xml:space="preserve">消防车辆）供货业绩，每提供1份有效业绩得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keepLines w:val="0"/>
              <w:keepNext w:val="0"/>
              <w:pageBreakBefore w:val="0"/>
              <w:spacing w:before="0" w:after="0"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注：须提供证明业绩有效的</w:t>
            </w:r>
            <w:r>
              <w:rPr>
                <w:rFonts w:hint="eastAsia" w:ascii="仿宋" w:hAnsi="仿宋" w:eastAsia="仿宋" w:cs="仿宋"/>
                <w:color w:val="auto"/>
                <w:sz w:val="24"/>
                <w:szCs w:val="24"/>
                <w:highlight w:val="none"/>
                <w:lang w:val="en-US" w:eastAsia="zh-CN"/>
              </w:rPr>
              <w:t xml:space="preserve">证明</w:t>
            </w:r>
            <w:r>
              <w:rPr>
                <w:rFonts w:hint="eastAsia" w:ascii="仿宋" w:hAnsi="仿宋" w:eastAsia="仿宋" w:cs="仿宋"/>
                <w:color w:val="auto"/>
                <w:sz w:val="24"/>
                <w:szCs w:val="24"/>
                <w:highlight w:val="none"/>
              </w:rPr>
              <w:t xml:space="preserve">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材料包括：</w:t>
            </w:r>
            <w:r>
              <w:rPr>
                <w:rFonts w:hint="eastAsia" w:ascii="仿宋" w:hAnsi="仿宋" w:eastAsia="仿宋" w:cs="仿宋"/>
                <w:color w:val="auto"/>
                <w:sz w:val="24"/>
                <w:szCs w:val="24"/>
                <w:highlight w:val="none"/>
                <w:lang w:val="en-US" w:eastAsia="zh-CN"/>
              </w:rPr>
              <w:t xml:space="preserve">（1）中标（成交）通知书；（2）</w:t>
            </w:r>
            <w:r>
              <w:rPr>
                <w:rFonts w:hint="eastAsia" w:ascii="仿宋" w:hAnsi="仿宋" w:eastAsia="仿宋" w:cs="仿宋"/>
                <w:color w:val="auto"/>
                <w:sz w:val="24"/>
                <w:szCs w:val="24"/>
                <w:highlight w:val="none"/>
              </w:rPr>
              <w:t xml:space="preserve">供货合同关键页</w:t>
            </w:r>
            <w:r>
              <w:rPr>
                <w:rFonts w:hint="eastAsia" w:ascii="仿宋" w:hAnsi="仿宋" w:eastAsia="仿宋" w:cs="仿宋"/>
                <w:b w:val="0"/>
                <w:color w:val="auto"/>
                <w:sz w:val="24"/>
                <w:highlight w:val="none"/>
              </w:rPr>
              <w:t xml:space="preserve">（至少包含合同首页、标的物页、签字盖章页；合同中无法体现合同金额、数量或供货内容的，应另附供货清单、结算发票、结算单或验收材料之一予以佐证），并提供与该合同对应的用户验收报告、用户出具的履约良好证明或合同项下任一时期结算发票三者之一。证明材料不清晰、无法体现项目内容或无法对应同一业绩的，该业绩不予计分。</w:t>
            </w:r>
            <w:r>
              <w:rPr>
                <w:color w:val="auto"/>
                <w:highlight w:val="none"/>
              </w:rPr>
              <w:br w:type="page" w:clear="all"/>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人员投入</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709" w:type="dxa"/>
            <w:vAlign w:val="center"/>
            <w:textDirection w:val="lrTb"/>
            <w:noWrap w:val="false"/>
          </w:tcPr>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投标人拟投入的项目技术服务负责人（负责本项目供货组织、车辆安装调试、验收配合、培训和售后服务联络等工作）具有机械</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机电等相关专业中级及以上职称证书的，得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ind w:left="0" w:firstLine="0"/>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注：①提供由人力资源和社会保障部门，或经其核准、备案的职称评审机构、行业主管部门按规定评审</w:t>
            </w:r>
            <w:r>
              <w:rPr>
                <w:rFonts w:hint="eastAsia" w:ascii="仿宋" w:hAnsi="仿宋" w:eastAsia="仿宋" w:cs="仿宋"/>
                <w:color w:val="auto"/>
                <w:sz w:val="24"/>
                <w:szCs w:val="24"/>
                <w:highlight w:val="none"/>
                <w:lang w:val="en-US" w:eastAsia="zh-CN"/>
              </w:rPr>
              <w:t xml:space="preserve">所</w:t>
            </w:r>
            <w:r>
              <w:rPr>
                <w:rFonts w:hint="eastAsia" w:ascii="仿宋" w:hAnsi="仿宋" w:eastAsia="仿宋" w:cs="仿宋"/>
                <w:color w:val="auto"/>
                <w:sz w:val="24"/>
                <w:szCs w:val="24"/>
                <w:highlight w:val="none"/>
                <w:lang w:eastAsia="zh-CN"/>
              </w:rPr>
              <w:t xml:space="preserve">取得的职称证书扫描件；</w:t>
            </w: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投标人为其缴纳的2026年7月-2026年9月三个月中至少一个月的的养老保险证明材料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未提供或提供不全不得分</w:t>
            </w:r>
            <w:r>
              <w:rPr>
                <w:rFonts w:hint="eastAsia" w:ascii="仿宋" w:hAnsi="仿宋" w:eastAsia="仿宋" w:cs="仿宋"/>
                <w:color w:val="auto"/>
                <w:sz w:val="24"/>
                <w:szCs w:val="24"/>
                <w:highlight w:val="none"/>
                <w:lang w:eastAsia="zh-CN"/>
              </w:rPr>
              <w:t xml:space="preserve">）</w:t>
            </w:r>
            <w:r/>
          </w:p>
          <w:p>
            <w:pPr>
              <w:numPr>
                <w:ilvl w:val="0"/>
                <w:numId w:val="0"/>
              </w:numPr>
              <w:jc w:val="left"/>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投标人拟投入的车辆调试、维修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售后服务人员具有汽车维修（中级工/四级及以上）职业技能等级证书的，每提供1人得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分，最多得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numPr>
                <w:ilvl w:val="0"/>
                <w:numId w:val="0"/>
              </w:numPr>
              <w:jc w:val="left"/>
              <w:keepLines w:val="0"/>
              <w:keepNext w:val="0"/>
              <w:pageBreakBefore w:val="0"/>
              <w:spacing w:line="32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注：①提供经人力资源和社会保障部门备案的评价机构颁发的职业技能等级证书扫描件；</w:t>
            </w: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eastAsia="zh-CN"/>
              </w:rPr>
              <w:t xml:space="preserve">技能人才评价证书全国联网查询系统查询</w:t>
            </w:r>
            <w:r>
              <w:rPr>
                <w:rFonts w:hint="eastAsia" w:ascii="仿宋" w:hAnsi="仿宋" w:eastAsia="仿宋" w:cs="仿宋"/>
                <w:color w:val="auto"/>
                <w:sz w:val="24"/>
                <w:szCs w:val="24"/>
                <w:highlight w:val="none"/>
                <w:lang w:val="en-US" w:eastAsia="zh-CN"/>
              </w:rPr>
              <w:t xml:space="preserve">的结果</w:t>
            </w:r>
            <w:r>
              <w:rPr>
                <w:rFonts w:hint="eastAsia" w:ascii="仿宋" w:hAnsi="仿宋" w:eastAsia="仿宋" w:cs="仿宋"/>
                <w:color w:val="auto"/>
                <w:sz w:val="24"/>
                <w:szCs w:val="24"/>
                <w:highlight w:val="none"/>
                <w:lang w:eastAsia="zh-CN"/>
              </w:rPr>
              <w:t xml:space="preserve">截图（osta.mohrss.gov.cn）；</w:t>
            </w: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投标人为其缴纳的2026年7月-2026年9月三个月中至少一个月的的养老保险证明材料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未提供或提供不全不得分</w:t>
            </w:r>
            <w:r>
              <w:rPr>
                <w:rFonts w:hint="eastAsia" w:ascii="仿宋" w:hAnsi="仿宋" w:eastAsia="仿宋" w:cs="仿宋"/>
                <w:color w:val="auto"/>
                <w:sz w:val="24"/>
                <w:szCs w:val="24"/>
                <w:highlight w:val="none"/>
                <w:lang w:eastAsia="zh-CN"/>
              </w:rPr>
              <w:t xml:space="preserve">）</w:t>
            </w:r>
            <w:r/>
          </w:p>
        </w:tc>
      </w:tr>
    </w:tbl>
    <w:p>
      <w:pPr>
        <w:rPr>
          <w:color w:val="auto"/>
          <w:highlight w:val="none"/>
          <w:lang w:val="en-US" w:eastAsia="zh-CN"/>
        </w:rPr>
      </w:pPr>
      <w:r>
        <w:rPr>
          <w:color w:val="auto"/>
          <w:highlight w:val="none"/>
          <w:lang w:val="en-US" w:eastAsia="zh-CN"/>
        </w:rPr>
      </w:r>
      <w:r/>
    </w:p>
    <w:p>
      <w:pPr>
        <w:pStyle w:val="73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36"/>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rFonts w:ascii="仿宋" w:hAnsi="仿宋" w:eastAsia="仿宋" w:cs="仿宋"/>
          <w:b/>
          <w:bCs w:val="0"/>
          <w:color w:val="auto"/>
          <w:sz w:val="44"/>
          <w:szCs w:val="28"/>
          <w:highlight w:val="none"/>
        </w:rPr>
      </w:pPr>
      <w:r/>
      <w:bookmarkStart w:id="6" w:name="__RefHeading___Toc5763"/>
      <w:r/>
      <w:r/>
    </w:p>
    <w:p>
      <w:pPr>
        <w:rPr>
          <w:rFonts w:ascii="仿宋" w:hAnsi="仿宋" w:eastAsia="仿宋" w:cs="仿宋"/>
          <w:b/>
          <w:bCs w:val="0"/>
          <w:color w:val="auto"/>
          <w:sz w:val="44"/>
          <w:szCs w:val="28"/>
          <w:highlight w:val="none"/>
        </w:rPr>
      </w:pPr>
      <w:r>
        <w:rPr>
          <w:rFonts w:ascii="仿宋" w:hAnsi="仿宋" w:eastAsia="仿宋" w:cs="仿宋"/>
          <w:b/>
          <w:bCs w:val="0"/>
          <w:color w:val="auto"/>
          <w:sz w:val="44"/>
          <w:szCs w:val="28"/>
          <w:highlight w:val="none"/>
        </w:rPr>
        <w:br w:type="page" w:clear="all"/>
      </w:r>
      <w:r/>
    </w:p>
    <w:p>
      <w:pPr>
        <w:numPr>
          <w:ilvl w:val="0"/>
          <w:numId w:val="0"/>
        </w:numPr>
        <w:jc w:val="center"/>
        <w:keepNext/>
        <w:rPr>
          <w:rFonts w:ascii="仿宋" w:hAnsi="仿宋" w:eastAsia="仿宋" w:cs="仿宋"/>
          <w:b/>
          <w:bCs w:val="0"/>
          <w:color w:val="auto"/>
          <w:sz w:val="44"/>
          <w:szCs w:val="28"/>
          <w:highlight w:val="none"/>
        </w:rPr>
        <w:outlineLvl w:val="0"/>
      </w:pPr>
      <w:r>
        <w:rPr>
          <w:rFonts w:ascii="仿宋" w:hAnsi="仿宋" w:eastAsia="仿宋" w:cs="仿宋"/>
          <w:b/>
          <w:bCs w:val="0"/>
          <w:color w:val="auto"/>
          <w:sz w:val="44"/>
          <w:szCs w:val="28"/>
          <w:highlight w:val="none"/>
        </w:rPr>
      </w:r>
      <w:r/>
    </w:p>
    <w:p>
      <w:pPr>
        <w:numPr>
          <w:ilvl w:val="0"/>
          <w:numId w:val="0"/>
        </w:numPr>
        <w:jc w:val="center"/>
        <w:keepNext/>
        <w:rPr>
          <w:rFonts w:ascii="仿宋" w:hAnsi="仿宋" w:eastAsia="仿宋" w:cs="仿宋"/>
          <w:b/>
          <w:bCs w:val="0"/>
          <w:color w:val="auto"/>
          <w:sz w:val="44"/>
          <w:szCs w:val="28"/>
          <w:highlight w:val="none"/>
        </w:rPr>
        <w:outlineLvl w:val="0"/>
      </w:pPr>
      <w:r>
        <w:rPr>
          <w:rFonts w:ascii="仿宋" w:hAnsi="仿宋" w:eastAsia="仿宋" w:cs="仿宋"/>
          <w:b/>
          <w:bCs w:val="0"/>
          <w:color w:val="auto"/>
          <w:sz w:val="44"/>
          <w:szCs w:val="28"/>
          <w:highlight w:val="none"/>
        </w:rPr>
        <w:t xml:space="preserve">第六章  投标文件格式</w:t>
      </w:r>
      <w:bookmarkEnd w:id="6"/>
      <w:r>
        <w:rPr>
          <w:rFonts w:ascii="仿宋" w:hAnsi="仿宋" w:eastAsia="仿宋" w:cs="仿宋"/>
          <w:b/>
          <w:bCs w:val="0"/>
          <w:color w:val="auto"/>
          <w:sz w:val="44"/>
          <w:szCs w:val="28"/>
          <w:highlight w:val="none"/>
        </w:rPr>
        <w:t xml:space="preserve"> </w:t>
      </w:r>
      <w:r/>
    </w:p>
    <w:p>
      <w:pPr>
        <w:jc w:val="center"/>
        <w:rPr>
          <w:rFonts w:ascii="仿宋" w:hAnsi="仿宋" w:eastAsia="仿宋" w:cs="仿宋"/>
          <w:b/>
          <w:bCs w:val="0"/>
          <w:color w:val="auto"/>
          <w:sz w:val="72"/>
          <w:szCs w:val="21"/>
          <w:highlight w:val="none"/>
        </w:rPr>
      </w:pPr>
      <w:r>
        <w:rPr>
          <w:rFonts w:ascii="仿宋" w:hAnsi="仿宋" w:eastAsia="仿宋" w:cs="仿宋"/>
          <w:b/>
          <w:bCs w:val="0"/>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t xml:space="preserve">投  标  文  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right="0" w:firstLine="1084"/>
        <w:rPr>
          <w:rFonts w:ascii="仿宋" w:hAnsi="仿宋" w:eastAsia="仿宋" w:cs="仿宋"/>
          <w:b/>
          <w:color w:val="auto"/>
          <w:sz w:val="36"/>
          <w:szCs w:val="21"/>
          <w:highlight w:val="none"/>
        </w:rPr>
      </w:pPr>
      <w:r>
        <w:rPr>
          <w:rFonts w:ascii="仿宋" w:hAnsi="仿宋" w:eastAsia="仿宋" w:cs="仿宋"/>
          <w:b/>
          <w:color w:val="auto"/>
          <w:sz w:val="36"/>
          <w:szCs w:val="21"/>
          <w:highlight w:val="none"/>
        </w:rPr>
        <w:t xml:space="preserve">项 目 名 称：</w:t>
      </w:r>
      <w:r>
        <w:rPr>
          <w:rFonts w:ascii="仿宋" w:hAnsi="仿宋" w:eastAsia="仿宋" w:cs="仿宋"/>
          <w:b/>
          <w:color w:val="auto"/>
          <w:sz w:val="36"/>
          <w:szCs w:val="21"/>
          <w:highlight w:val="none"/>
          <w:u w:val="single"/>
        </w:rPr>
        <w:t xml:space="preserve">               </w:t>
      </w:r>
      <w:r/>
    </w:p>
    <w:p>
      <w:pPr>
        <w:ind w:right="0" w:firstLine="1084"/>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项 目 编 号：</w:t>
      </w:r>
      <w:r>
        <w:rPr>
          <w:rFonts w:ascii="仿宋" w:hAnsi="仿宋" w:eastAsia="仿宋" w:cs="仿宋"/>
          <w:b/>
          <w:color w:val="auto"/>
          <w:sz w:val="36"/>
          <w:szCs w:val="21"/>
          <w:highlight w:val="none"/>
          <w:u w:val="single"/>
        </w:rPr>
        <w:t xml:space="preserve">               </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投标人名称 ：</w:t>
      </w:r>
      <w:r>
        <w:rPr>
          <w:rFonts w:ascii="仿宋" w:hAnsi="仿宋" w:eastAsia="仿宋" w:cs="仿宋"/>
          <w:b/>
          <w:color w:val="auto"/>
          <w:sz w:val="36"/>
          <w:szCs w:val="21"/>
          <w:highlight w:val="none"/>
          <w:u w:val="single"/>
        </w:rPr>
        <w:t xml:space="preserve">（加盖CA电子公章）</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日      期 ：</w:t>
      </w:r>
      <w:r>
        <w:rPr>
          <w:rFonts w:ascii="仿宋" w:hAnsi="仿宋" w:eastAsia="仿宋" w:cs="仿宋"/>
          <w:b/>
          <w:color w:val="auto"/>
          <w:sz w:val="36"/>
          <w:szCs w:val="21"/>
          <w:highlight w:val="none"/>
          <w:u w:val="single"/>
        </w:rPr>
        <w:t xml:space="preserve">               </w:t>
      </w:r>
      <w:r/>
    </w:p>
    <w:p>
      <w:pPr>
        <w:jc w:val="center"/>
        <w:spacing w:line="440" w:lineRule="exact"/>
        <w:rPr>
          <w:rFonts w:ascii="仿宋" w:hAnsi="仿宋" w:eastAsia="仿宋" w:cs="仿宋"/>
          <w:b/>
          <w:bCs/>
          <w:color w:val="auto"/>
          <w:sz w:val="32"/>
          <w:szCs w:val="32"/>
          <w:highlight w:val="none"/>
          <w:u w:val="single"/>
        </w:rPr>
      </w:pPr>
      <w:r>
        <w:rPr>
          <w:rFonts w:ascii="仿宋" w:hAnsi="仿宋" w:eastAsia="仿宋" w:cs="仿宋"/>
          <w:b/>
          <w:bCs/>
          <w:color w:val="auto"/>
          <w:sz w:val="32"/>
          <w:szCs w:val="32"/>
          <w:highlight w:val="none"/>
          <w:u w:val="single"/>
        </w:rPr>
      </w:r>
      <w:r/>
    </w:p>
    <w:p>
      <w:pPr>
        <w:spacing w:line="440" w:lineRule="exact"/>
        <w:rPr>
          <w:rFonts w:ascii="仿宋" w:hAnsi="仿宋" w:eastAsia="仿宋" w:cs="仿宋"/>
          <w:b/>
          <w:bCs/>
          <w:color w:val="auto"/>
          <w:sz w:val="32"/>
          <w:szCs w:val="21"/>
          <w:highlight w:val="none"/>
        </w:rPr>
      </w:pPr>
      <w:r>
        <w:rPr>
          <w:color w:val="auto"/>
          <w:highlight w:val="none"/>
        </w:rPr>
        <w:br w:type="page" w:clear="all"/>
      </w:r>
      <w:r/>
    </w:p>
    <w:p>
      <w:pPr>
        <w:ind w:right="0"/>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投标文件的组成</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一、基本目录</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1.开标一览表（格式见附件1）</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分项报价表（格式见附件2）</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二、资格审查内容</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1.投标人符合《中华人民共和国政府采购法》第二十二条规定条件的声明函</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格式见附件</w:t>
      </w: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法定代表人身份证明（格式见附件</w:t>
      </w: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法定代表人的身份证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法人授权书（格式见附件</w:t>
      </w:r>
      <w:r>
        <w:rPr>
          <w:rFonts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en-US" w:eastAsia="zh-CN"/>
        </w:rPr>
        <w:t xml:space="preserve">被授权</w:t>
      </w:r>
      <w:r>
        <w:rPr>
          <w:rFonts w:ascii="仿宋" w:hAnsi="仿宋" w:eastAsia="仿宋" w:cs="仿宋"/>
          <w:color w:val="auto"/>
          <w:sz w:val="24"/>
          <w:szCs w:val="21"/>
          <w:highlight w:val="none"/>
          <w:lang w:val="zh-CN"/>
        </w:rPr>
        <w:t xml:space="preserve">人身份证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.投标函（格式见附件</w:t>
      </w:r>
      <w:r>
        <w:rPr>
          <w:rFonts w:ascii="仿宋" w:hAnsi="仿宋" w:eastAsia="仿宋" w:cs="仿宋"/>
          <w:color w:val="auto"/>
          <w:sz w:val="24"/>
          <w:szCs w:val="21"/>
          <w:highlight w:val="none"/>
          <w:lang w:val="en-US" w:eastAsia="zh-CN"/>
        </w:rPr>
        <w:t xml:space="preserve">6</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zh-CN" w:eastAsia="zh-CN"/>
        </w:rPr>
      </w:pPr>
      <w:r>
        <w:rPr>
          <w:rFonts w:hint="eastAsia"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lang w:val="zh-CN" w:eastAsia="zh-CN"/>
        </w:rPr>
        <w:t xml:space="preserve">.其它需要提交的资格审查证明材料。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三、符合性审查内容</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1</w:t>
      </w:r>
      <w:r>
        <w:rPr>
          <w:rFonts w:ascii="仿宋" w:hAnsi="仿宋" w:eastAsia="仿宋" w:cs="仿宋"/>
          <w:color w:val="auto"/>
          <w:sz w:val="24"/>
          <w:szCs w:val="21"/>
          <w:highlight w:val="none"/>
        </w:rPr>
        <w:t xml:space="preserve">.技术</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10</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.商务</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11</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实质性要求响应及偏离表（格式见附件1</w:t>
      </w: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必须对技术要求和商务要求中加斜体下划线的实质性要求做出响应，并按照</w:t>
      </w:r>
      <w:r>
        <w:rPr>
          <w:rFonts w:ascii="仿宋" w:hAnsi="仿宋" w:eastAsia="仿宋" w:cs="仿宋"/>
          <w:color w:val="auto"/>
          <w:sz w:val="24"/>
          <w:szCs w:val="21"/>
          <w:highlight w:val="none"/>
          <w:lang w:eastAsia="zh-CN"/>
        </w:rPr>
        <w:t xml:space="preserve">招标</w:t>
      </w:r>
      <w:r>
        <w:rPr>
          <w:rFonts w:ascii="仿宋" w:hAnsi="仿宋" w:eastAsia="仿宋" w:cs="仿宋"/>
          <w:color w:val="auto"/>
          <w:sz w:val="24"/>
          <w:szCs w:val="21"/>
          <w:highlight w:val="none"/>
        </w:rPr>
        <w:t xml:space="preserve">文件要求提供证明材料，否则做无效响应处理。</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四、</w:t>
      </w:r>
      <w:r>
        <w:rPr>
          <w:rFonts w:ascii="仿宋" w:hAnsi="仿宋" w:eastAsia="仿宋" w:cs="仿宋"/>
          <w:b/>
          <w:color w:val="auto"/>
          <w:sz w:val="24"/>
          <w:szCs w:val="21"/>
          <w:highlight w:val="none"/>
          <w:lang w:val="zh-CN" w:eastAsia="zh-CN"/>
        </w:rPr>
        <w:t xml:space="preserve">商务技术</w:t>
      </w:r>
      <w:r>
        <w:rPr>
          <w:rFonts w:ascii="仿宋" w:hAnsi="仿宋" w:eastAsia="仿宋" w:cs="仿宋"/>
          <w:b/>
          <w:color w:val="auto"/>
          <w:sz w:val="24"/>
          <w:szCs w:val="21"/>
          <w:highlight w:val="none"/>
          <w:lang w:eastAsia="zh-CN"/>
        </w:rPr>
        <w:t xml:space="preserve">内容</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rPr>
        <w:t xml:space="preserve">商务技术评分标准中须提供的相关得分佐证材料</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rPr>
        <w:t xml:space="preserve">投标人认为需要提交的其他商务技术材料。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五、价格扣除证明文件</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1.中小企业声明函（格式见附件</w:t>
      </w:r>
      <w:r>
        <w:rPr>
          <w:rFonts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2.残疾人福利性单位声明函（格式见附件</w:t>
      </w:r>
      <w:r>
        <w:rPr>
          <w:rFonts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en-US" w:eastAsia="zh-CN"/>
        </w:rPr>
        <w:t xml:space="preserve">3.监狱和戒毒企业证明材料</w:t>
      </w:r>
      <w:r>
        <w:rPr>
          <w:rFonts w:ascii="仿宋" w:hAnsi="仿宋" w:eastAsia="仿宋" w:cs="仿宋"/>
          <w:color w:val="auto"/>
          <w:sz w:val="24"/>
          <w:szCs w:val="24"/>
          <w:highlight w:val="none"/>
          <w:lang w:val="zh-CN"/>
        </w:rPr>
        <w:t xml:space="preserve">（格式见附件</w:t>
      </w:r>
      <w:r>
        <w:rPr>
          <w:rFonts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zh-CN"/>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4.关于符合本国产品标准的声明函（格式见附件14）</w:t>
      </w:r>
      <w:r/>
    </w:p>
    <w:p>
      <w:pPr>
        <w:ind w:left="480" w:right="0"/>
        <w:rPr>
          <w:rFonts w:ascii="仿宋" w:hAnsi="仿宋" w:eastAsia="仿宋" w:cs="仿宋"/>
          <w:b/>
          <w:color w:val="auto"/>
          <w:sz w:val="24"/>
          <w:szCs w:val="21"/>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开标一览表</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投标人全称（加盖CA电子签章）：</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                                   </w:t>
      </w:r>
      <w:r/>
    </w:p>
    <w:tbl>
      <w:tblPr>
        <w:tblStyle w:val="724"/>
        <w:tblW w:w="8886" w:type="dxa"/>
        <w:tblInd w:w="108" w:type="dxa"/>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投标总报价</w:t>
            </w:r>
            <w:r/>
          </w:p>
        </w:tc>
      </w:tr>
      <w:tr>
        <w:trPr>
          <w:cantSplit/>
          <w:trHeight w:val="612"/>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jc w:val="left"/>
              <w:spacing w:line="5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大写：</w:t>
            </w:r>
            <w:r/>
          </w:p>
          <w:p>
            <w:pPr>
              <w:jc w:val="left"/>
              <w:spacing w:line="5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小写：                             （人民币：元）</w:t>
            </w:r>
            <w:r/>
          </w:p>
        </w:tc>
      </w:tr>
      <w:tr>
        <w:trPr>
          <w:cantSplit/>
          <w:trHeight w:val="612"/>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投标分项报价表</w:t>
      </w:r>
      <w:r/>
    </w:p>
    <w:tbl>
      <w:tblPr>
        <w:tblStyle w:val="72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产品</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规格</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投标总报价（人民币：元）</w:t>
            </w:r>
            <w:r/>
          </w:p>
        </w:tc>
        <w:tc>
          <w:tcPr>
            <w:tcW w:w="966"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gridSpan w:val="10"/>
            <w:tcW w:w="9263"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0" w:right="0" w:firstLine="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2.“投标分项报价表”中“投标总报价”数额应当与“开标一览表”中“投标总报价”数额一致。</w:t>
      </w:r>
      <w:r/>
    </w:p>
    <w:p>
      <w:pPr>
        <w:ind w:right="0" w:firstLine="218"/>
        <w:spacing w:line="400" w:lineRule="exact"/>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.投标人需认真填写本报价表，尤其注意规格型号的准确填写</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否则视为无效投标。</w:t>
      </w:r>
      <w:r/>
    </w:p>
    <w:p>
      <w:pPr>
        <w:ind w:right="0" w:firstLine="218"/>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仿宋" w:hAnsi="仿宋" w:eastAsia="仿宋" w:cs="仿宋"/>
          <w:color w:val="auto"/>
          <w:sz w:val="24"/>
          <w:szCs w:val="21"/>
          <w:highlight w:val="none"/>
        </w:rPr>
        <w:t xml:space="preserve">。</w:t>
      </w:r>
      <w:r/>
    </w:p>
    <w:p>
      <w:pPr>
        <w:spacing w:line="0" w:lineRule="atLeast"/>
        <w:rPr>
          <w:rFonts w:ascii="仿宋" w:hAnsi="仿宋" w:eastAsia="仿宋" w:cs="仿宋"/>
          <w:caps w:val="0"/>
          <w:smallCaps w:val="0"/>
          <w:color w:val="auto"/>
          <w:sz w:val="24"/>
          <w:szCs w:val="24"/>
          <w:highlight w:val="none"/>
          <w:lang w:val="en-US" w:eastAsia="zh-CN" w:bidi="ar-SA"/>
        </w:rPr>
      </w:pPr>
      <w:r>
        <w:rPr>
          <w:rFonts w:ascii="仿宋" w:hAnsi="仿宋" w:eastAsia="仿宋" w:cs="仿宋"/>
          <w:caps w:val="0"/>
          <w:smallCaps w:val="0"/>
          <w:color w:val="auto"/>
          <w:sz w:val="24"/>
          <w:szCs w:val="24"/>
          <w:highlight w:val="none"/>
          <w:lang w:val="en-US" w:eastAsia="zh-CN" w:bidi="ar-SA"/>
        </w:rPr>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480" w:right="0"/>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3</w:t>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t xml:space="preserve">投标人符合《中华人民共和国政府采购法》第二十二条规定条件的声明函</w:t>
      </w:r>
      <w:r/>
    </w:p>
    <w:p>
      <w:pPr>
        <w:spacing w:line="460" w:lineRule="exact"/>
        <w:rPr>
          <w:rFonts w:ascii="仿宋" w:hAnsi="仿宋" w:eastAsia="仿宋" w:cs="仿宋"/>
          <w:b/>
          <w:bCs/>
          <w:color w:val="auto"/>
          <w:sz w:val="44"/>
          <w:szCs w:val="44"/>
          <w:highlight w:val="none"/>
        </w:rPr>
      </w:pPr>
      <w:r>
        <w:rPr>
          <w:rFonts w:ascii="仿宋" w:hAnsi="仿宋" w:eastAsia="仿宋" w:cs="仿宋"/>
          <w:b/>
          <w:bCs/>
          <w:color w:val="auto"/>
          <w:sz w:val="24"/>
          <w:szCs w:val="21"/>
          <w:highlight w:val="none"/>
        </w:rPr>
        <w:t xml:space="preserve">                       </w:t>
      </w:r>
      <w:r>
        <w:rPr>
          <w:rFonts w:ascii="仿宋" w:hAnsi="仿宋" w:eastAsia="仿宋" w:cs="仿宋"/>
          <w:b/>
          <w:bCs/>
          <w:color w:val="auto"/>
          <w:sz w:val="44"/>
          <w:szCs w:val="44"/>
          <w:highlight w:val="none"/>
        </w:rPr>
        <w:t xml:space="preserve">   </w:t>
      </w:r>
      <w:r/>
    </w:p>
    <w:p>
      <w:pPr>
        <w:ind w:right="0" w:firstLine="480"/>
        <w:spacing w:line="520" w:lineRule="exact"/>
        <w:rPr>
          <w:rFonts w:ascii="仿宋" w:hAnsi="仿宋" w:eastAsia="仿宋" w:cs="仿宋"/>
          <w:b/>
          <w:bCs/>
          <w:color w:val="auto"/>
          <w:sz w:val="24"/>
          <w:highlight w:val="none"/>
        </w:rPr>
      </w:pPr>
      <w:r>
        <w:rPr>
          <w:rFonts w:ascii="仿宋" w:hAnsi="仿宋" w:eastAsia="仿宋" w:cs="仿宋"/>
          <w:bCs/>
          <w:color w:val="auto"/>
          <w:sz w:val="24"/>
          <w:highlight w:val="none"/>
        </w:rPr>
        <w:t xml:space="preserve">我单位参加</w:t>
      </w:r>
      <w:r>
        <w:rPr>
          <w:rFonts w:ascii="仿宋" w:hAnsi="仿宋" w:eastAsia="仿宋" w:cs="仿宋"/>
          <w:bCs/>
          <w:color w:val="auto"/>
          <w:sz w:val="24"/>
          <w:szCs w:val="21"/>
          <w:highlight w:val="none"/>
          <w:u w:val="none"/>
        </w:rPr>
        <w:t xml:space="preserve">________________（</w:t>
      </w:r>
      <w:r>
        <w:rPr>
          <w:rFonts w:ascii="仿宋" w:hAnsi="仿宋" w:eastAsia="仿宋" w:cs="仿宋"/>
          <w:bCs/>
          <w:color w:val="auto"/>
          <w:sz w:val="24"/>
          <w:szCs w:val="21"/>
          <w:highlight w:val="none"/>
        </w:rPr>
        <w:t xml:space="preserve">项目名称），</w:t>
      </w:r>
      <w:r>
        <w:rPr>
          <w:rFonts w:ascii="仿宋" w:hAnsi="仿宋" w:eastAsia="仿宋" w:cs="仿宋"/>
          <w:bCs/>
          <w:color w:val="auto"/>
          <w:sz w:val="24"/>
          <w:szCs w:val="21"/>
          <w:highlight w:val="none"/>
          <w:u w:val="none"/>
        </w:rPr>
        <w:t xml:space="preserve">_________</w:t>
      </w:r>
      <w:r>
        <w:rPr>
          <w:rFonts w:ascii="仿宋" w:hAnsi="仿宋" w:eastAsia="仿宋" w:cs="仿宋"/>
          <w:bCs/>
          <w:color w:val="auto"/>
          <w:sz w:val="24"/>
          <w:szCs w:val="21"/>
          <w:highlight w:val="none"/>
        </w:rPr>
        <w:t xml:space="preserve">（项目编号）投标活动。针对《中华人民共和国政府采购法》第二十二条规定做出如下声明：</w:t>
      </w:r>
      <w:r/>
    </w:p>
    <w:p>
      <w:pPr>
        <w:ind w:right="0" w:firstLine="482"/>
        <w:spacing w:line="520" w:lineRule="exact"/>
        <w:rPr>
          <w:rFonts w:ascii="仿宋" w:hAnsi="仿宋" w:eastAsia="仿宋" w:cs="仿宋"/>
          <w:color w:val="auto"/>
          <w:sz w:val="24"/>
          <w:highlight w:val="none"/>
        </w:rPr>
      </w:pPr>
      <w:r>
        <w:rPr>
          <w:rFonts w:ascii="仿宋" w:hAnsi="仿宋" w:eastAsia="仿宋" w:cs="仿宋"/>
          <w:bCs/>
          <w:color w:val="auto"/>
          <w:sz w:val="24"/>
          <w:szCs w:val="21"/>
          <w:highlight w:val="none"/>
        </w:rPr>
        <w:t xml:space="preserve">1.我单位具有独立承担民事责任的能力；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2.我单位具有良好的商业信誉和健全的财务会计制度；</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3.我单位具有履行合同所必需的设备和专业技术能力；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4.我单位有依法缴纳税收和社会保障资金的良好记录；</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6.我单位满足法律、行政法规规定的其他条件。</w:t>
      </w:r>
      <w:r/>
    </w:p>
    <w:p>
      <w:pPr>
        <w:ind w:right="0" w:firstLine="482"/>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cente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承诺人名称（</w:t>
      </w:r>
      <w:r>
        <w:rPr>
          <w:rFonts w:ascii="仿宋" w:hAnsi="仿宋" w:eastAsia="仿宋" w:cs="仿宋"/>
          <w:bCs/>
          <w:color w:val="auto"/>
          <w:sz w:val="24"/>
          <w:szCs w:val="21"/>
          <w:highlight w:val="none"/>
          <w:lang w:eastAsia="zh-CN"/>
        </w:rPr>
        <w:t xml:space="preserve">加盖</w:t>
      </w:r>
      <w:r>
        <w:rPr>
          <w:rFonts w:ascii="仿宋" w:hAnsi="仿宋" w:eastAsia="仿宋" w:cs="仿宋"/>
          <w:bCs/>
          <w:color w:val="auto"/>
          <w:sz w:val="24"/>
          <w:szCs w:val="21"/>
          <w:highlight w:val="none"/>
          <w:lang w:val="en-US" w:eastAsia="zh-CN"/>
        </w:rPr>
        <w:t xml:space="preserve">CA电子</w:t>
      </w:r>
      <w:r>
        <w:rPr>
          <w:rFonts w:ascii="仿宋" w:hAnsi="仿宋" w:eastAsia="仿宋" w:cs="仿宋"/>
          <w:bCs/>
          <w:color w:val="auto"/>
          <w:sz w:val="24"/>
          <w:szCs w:val="21"/>
          <w:highlight w:val="none"/>
        </w:rPr>
        <w:t xml:space="preserve">公章）：</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日期：</w:t>
      </w:r>
      <w:r>
        <w:rPr>
          <w:rFonts w:ascii="仿宋" w:hAnsi="仿宋" w:eastAsia="仿宋" w:cs="仿宋"/>
          <w:bCs/>
          <w:color w:val="auto"/>
          <w:sz w:val="24"/>
          <w:szCs w:val="21"/>
          <w:highlight w:val="none"/>
          <w:u w:val="single"/>
          <w:lang w:val="en-US" w:eastAsia="zh-CN"/>
        </w:rPr>
        <w:t xml:space="preserve">      </w:t>
      </w:r>
      <w:r>
        <w:rPr>
          <w:rFonts w:ascii="仿宋" w:hAnsi="仿宋" w:eastAsia="仿宋" w:cs="仿宋"/>
          <w:bCs/>
          <w:color w:val="auto"/>
          <w:sz w:val="24"/>
          <w:szCs w:val="21"/>
          <w:highlight w:val="none"/>
        </w:rPr>
        <w:t xml:space="preserve">年</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月</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日</w:t>
      </w:r>
      <w:r>
        <w:rPr>
          <w:color w:val="auto"/>
          <w:highlight w:val="none"/>
        </w:rPr>
        <w:br w:type="page" w:clear="all"/>
      </w:r>
      <w:r/>
    </w:p>
    <w:p>
      <w:pPr>
        <w:jc w:val="both"/>
        <w:spacing w:line="560" w:lineRule="exac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val="en-US" w:eastAsia="zh-CN"/>
        </w:rPr>
        <w:t xml:space="preserve">附件4            </w:t>
      </w:r>
      <w:r/>
    </w:p>
    <w:p>
      <w:pPr>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法定代表人身份证明</w:t>
      </w:r>
      <w:r/>
    </w:p>
    <w:p>
      <w:pPr>
        <w:spacing w:line="48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right="0"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先生/女士： 现任我单位</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职务，为法定代表人，特此证明。</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身份证号码：</w:t>
      </w:r>
      <w:r>
        <w:rPr>
          <w:rFonts w:ascii="仿宋" w:hAnsi="仿宋" w:eastAsia="仿宋" w:cs="仿宋"/>
          <w:color w:val="auto"/>
          <w:sz w:val="24"/>
          <w:szCs w:val="24"/>
          <w:highlight w:val="none"/>
          <w:u w:val="single"/>
        </w:rPr>
        <w:t xml:space="preserve">                                               </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right="0" w:firstLine="480"/>
        <w:spacing w:line="4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注：提供法定代表人的身份证</w:t>
      </w:r>
      <w:r>
        <w:rPr>
          <w:rFonts w:ascii="仿宋" w:hAnsi="仿宋" w:eastAsia="仿宋" w:cs="仿宋"/>
          <w:b/>
          <w:color w:val="auto"/>
          <w:sz w:val="24"/>
          <w:szCs w:val="24"/>
          <w:highlight w:val="none"/>
          <w:lang w:val="en-US" w:eastAsia="zh-CN"/>
        </w:rPr>
        <w:t xml:space="preserve">扫描件</w:t>
      </w:r>
      <w:r>
        <w:rPr>
          <w:rFonts w:ascii="仿宋" w:hAnsi="仿宋" w:eastAsia="仿宋" w:cs="仿宋"/>
          <w:bCs/>
          <w:color w:val="auto"/>
          <w:sz w:val="24"/>
          <w:szCs w:val="21"/>
          <w:highlight w:val="none"/>
        </w:rPr>
        <w:t xml:space="preserve">（加盖CA电子公章）</w:t>
      </w:r>
      <w:r>
        <w:rPr>
          <w:color w:val="auto"/>
          <w:highlight w:val="none"/>
        </w:rPr>
        <w:br w:type="page" w:clear="all"/>
      </w:r>
      <w:r/>
    </w:p>
    <w:p>
      <w:pPr>
        <w:ind w:right="0"/>
        <w:spacing w:line="4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5</w:t>
      </w:r>
      <w:r>
        <w:rPr>
          <w:rFonts w:ascii="仿宋" w:hAnsi="仿宋" w:eastAsia="仿宋" w:cs="仿宋"/>
          <w:b/>
          <w:color w:val="auto"/>
          <w:sz w:val="24"/>
          <w:szCs w:val="21"/>
          <w:highlight w:val="none"/>
        </w:rPr>
        <w:t xml:space="preserve">            </w:t>
      </w:r>
      <w:r/>
    </w:p>
    <w:p>
      <w:pPr>
        <w:ind w:right="0"/>
        <w:jc w:val="center"/>
        <w:spacing w:line="460" w:lineRule="exact"/>
        <w:rPr>
          <w:rFonts w:ascii="仿宋" w:hAnsi="仿宋" w:eastAsia="仿宋" w:cs="仿宋"/>
          <w:bCs/>
          <w:color w:val="auto"/>
          <w:sz w:val="24"/>
          <w:szCs w:val="21"/>
          <w:highlight w:val="none"/>
        </w:rPr>
      </w:pPr>
      <w:r>
        <w:rPr>
          <w:rFonts w:ascii="仿宋" w:hAnsi="仿宋" w:eastAsia="仿宋" w:cs="仿宋"/>
          <w:b/>
          <w:color w:val="auto"/>
          <w:sz w:val="24"/>
          <w:szCs w:val="21"/>
          <w:highlight w:val="none"/>
        </w:rPr>
        <w:t xml:space="preserve">法人授权书</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本授权书声明：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（投标人名称）授权</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（被授权人的姓名）为我方就</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号项目采购活动的合法代理人，以本单位名义全权处理一切与该项目采购有关的事务。</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本授权书于______年____月____日起生效，特此声明。</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被授权人身份证号码：</w:t>
      </w:r>
      <w:r>
        <w:rPr>
          <w:rFonts w:ascii="仿宋" w:hAnsi="仿宋" w:eastAsia="仿宋" w:cs="仿宋"/>
          <w:color w:val="auto"/>
          <w:sz w:val="24"/>
          <w:szCs w:val="24"/>
          <w:highlight w:val="none"/>
          <w:u w:val="single"/>
        </w:rPr>
        <w:t xml:space="preserve">                              </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被授权人联系电话：（手机）</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授权单位名称：</w:t>
      </w:r>
      <w:r>
        <w:rPr>
          <w:rFonts w:ascii="仿宋" w:hAnsi="仿宋" w:eastAsia="仿宋" w:cs="仿宋"/>
          <w:color w:val="auto"/>
          <w:sz w:val="24"/>
          <w:szCs w:val="24"/>
          <w:highlight w:val="none"/>
          <w:u w:val="single"/>
        </w:rPr>
        <w:t xml:space="preserve">（加盖CA电子公章）</w:t>
      </w:r>
      <w:r/>
    </w:p>
    <w:p>
      <w:pPr>
        <w:ind w:right="0" w:firstLine="480"/>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单位地址：</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w:t>
      </w:r>
      <w:bookmarkStart w:id="7" w:name="_格式3__银行出具的资信证明"/>
      <w:r/>
      <w:bookmarkEnd w:id="7"/>
      <w:r>
        <w:rPr>
          <w:rFonts w:ascii="仿宋" w:hAnsi="仿宋" w:eastAsia="仿宋" w:cs="仿宋"/>
          <w:color w:val="auto"/>
          <w:sz w:val="24"/>
          <w:szCs w:val="24"/>
          <w:highlight w:val="none"/>
          <w:u w:val="single"/>
        </w:rPr>
        <w:t xml:space="preserve">                                         </w:t>
      </w:r>
      <w:r/>
    </w:p>
    <w:p>
      <w:pPr>
        <w:keepLines/>
        <w:keepNext/>
        <w:spacing w:before="260" w:after="260" w:line="415" w:lineRule="auto"/>
        <w:rPr>
          <w:rFonts w:ascii="仿宋" w:hAnsi="仿宋" w:eastAsia="仿宋" w:cs="仿宋"/>
          <w:b/>
          <w:color w:val="auto"/>
          <w:sz w:val="24"/>
          <w:szCs w:val="44"/>
          <w:highlight w:val="none"/>
        </w:rPr>
      </w:pPr>
      <w:r>
        <w:rPr>
          <w:rFonts w:ascii="仿宋" w:hAnsi="仿宋" w:eastAsia="仿宋" w:cs="仿宋"/>
          <w:b/>
          <w:color w:val="auto"/>
          <w:sz w:val="24"/>
          <w:szCs w:val="44"/>
          <w:highlight w:val="none"/>
        </w:rPr>
      </w:r>
      <w:r/>
    </w:p>
    <w:p>
      <w:pPr>
        <w:keepLines/>
        <w:keepNext/>
        <w:spacing w:before="260" w:after="260" w:line="415" w:lineRule="auto"/>
        <w:rPr>
          <w:rFonts w:ascii="仿宋" w:hAnsi="仿宋" w:eastAsia="仿宋" w:cs="仿宋"/>
          <w:b w:val="0"/>
          <w:bCs/>
          <w:color w:val="auto"/>
          <w:sz w:val="24"/>
          <w:szCs w:val="44"/>
          <w:highlight w:val="none"/>
        </w:rPr>
      </w:pPr>
      <w:r>
        <w:rPr>
          <w:rFonts w:ascii="仿宋" w:hAnsi="仿宋" w:eastAsia="仿宋" w:cs="仿宋"/>
          <w:b w:val="0"/>
          <w:bCs/>
          <w:color w:val="auto"/>
          <w:sz w:val="24"/>
          <w:szCs w:val="44"/>
          <w:highlight w:val="none"/>
        </w:rPr>
        <w:t xml:space="preserve">注：提供被授权人身份证</w:t>
      </w:r>
      <w:r>
        <w:rPr>
          <w:rFonts w:ascii="仿宋" w:hAnsi="仿宋" w:eastAsia="仿宋" w:cs="仿宋"/>
          <w:b w:val="0"/>
          <w:bCs/>
          <w:color w:val="auto"/>
          <w:sz w:val="24"/>
          <w:szCs w:val="44"/>
          <w:highlight w:val="none"/>
          <w:lang w:eastAsia="zh-CN"/>
        </w:rPr>
        <w:t xml:space="preserve">扫描</w:t>
      </w:r>
      <w:r>
        <w:rPr>
          <w:rFonts w:ascii="仿宋" w:hAnsi="仿宋" w:eastAsia="仿宋" w:cs="仿宋"/>
          <w:b w:val="0"/>
          <w:bCs/>
          <w:color w:val="auto"/>
          <w:sz w:val="24"/>
          <w:szCs w:val="44"/>
          <w:highlight w:val="none"/>
        </w:rPr>
        <w:t xml:space="preserve">件（加盖CA电子公章）</w:t>
      </w:r>
      <w:r>
        <w:rPr>
          <w:color w:val="auto"/>
          <w:highlight w:val="none"/>
        </w:rPr>
        <w:br w:type="page" w:clear="all"/>
      </w:r>
      <w:r/>
    </w:p>
    <w:p>
      <w:pPr>
        <w:keepLines/>
        <w:keepNext/>
        <w:spacing w:before="260" w:after="260" w:line="415" w:lineRule="auto"/>
        <w:rPr>
          <w:rFonts w:ascii="仿宋" w:hAnsi="仿宋" w:eastAsia="仿宋" w:cs="仿宋"/>
          <w:b/>
          <w:i/>
          <w:color w:val="auto"/>
          <w:sz w:val="32"/>
          <w:szCs w:val="32"/>
          <w:highlight w:val="none"/>
          <w:u w:val="singl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6</w:t>
      </w:r>
      <w:r>
        <w:rPr>
          <w:rFonts w:ascii="仿宋" w:hAnsi="仿宋" w:eastAsia="仿宋" w:cs="仿宋"/>
          <w:b/>
          <w:color w:val="auto"/>
          <w:sz w:val="24"/>
          <w:szCs w:val="21"/>
          <w:highlight w:val="none"/>
        </w:rPr>
        <w:t xml:space="preserve">                             投标函</w:t>
      </w:r>
      <w:r/>
    </w:p>
    <w:p>
      <w:pPr>
        <w:jc w:val="left"/>
        <w:spacing w:line="420" w:lineRule="exact"/>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rPr>
        <w:t xml:space="preserve">致：</w:t>
      </w:r>
      <w:r>
        <w:rPr>
          <w:rFonts w:ascii="仿宋" w:hAnsi="仿宋" w:eastAsia="仿宋" w:cs="仿宋"/>
          <w:color w:val="auto"/>
          <w:sz w:val="24"/>
          <w:szCs w:val="21"/>
          <w:highlight w:val="none"/>
          <w:lang w:val="en-US" w:eastAsia="zh-CN"/>
        </w:rPr>
        <w:t xml:space="preserve">如东县应急管理局</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根据贵方的</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号招标文件，正式授权下述</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人_____(姓名)代表我方_______（投标人的名称），全权处理本次项目投标的有关事宜。</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据此函，</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人_____(姓名)兹宣布同意如下：</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1.按招标文件规定的各项要求，向买方提供所需货物（包含与货物相关的服务）。</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2.我们完全理解贵方不一定将合同授予最低报价的投标人。</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3.我们已详细审核全部招标文件及其有效补充文件，我们知道必须放弃提出含糊不清或误解问题的权利。</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4.我们同意从规定的开标日期起遵循本投标文件，并在规定的投标有效期期满之前均具有约束力。</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5.同意向贵方提供贵方可能另外要求的与投标有关的任何证据或资料，并保证我方已提供和将要提供的文件是真实的、准确的。</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right="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7.与本投标有关的正式通讯地址为：</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地          址：</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邮          编：</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电          话：</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传          真：</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投标人开户行：</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账          号：</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日           期：_____年____月____日</w:t>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1"/>
        <w:jc w:val="center"/>
        <w:spacing w:line="560" w:lineRule="exact"/>
        <w:rPr>
          <w:rFonts w:ascii="仿宋" w:hAnsi="仿宋" w:eastAsia="仿宋" w:cs="仿宋"/>
          <w:b/>
          <w:bCs/>
          <w:color w:val="auto"/>
          <w:sz w:val="24"/>
          <w:szCs w:val="21"/>
          <w:highlight w:val="none"/>
        </w:rPr>
      </w:pP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7</w:t>
      </w:r>
      <w:r>
        <w:rPr>
          <w:rFonts w:ascii="仿宋" w:hAnsi="仿宋" w:eastAsia="仿宋" w:cs="仿宋"/>
          <w:b/>
          <w:color w:val="auto"/>
          <w:sz w:val="24"/>
          <w:szCs w:val="21"/>
          <w:highlight w:val="none"/>
        </w:rPr>
        <w:t xml:space="preserve">  </w:t>
      </w:r>
      <w:r/>
    </w:p>
    <w:p>
      <w:pPr>
        <w:jc w:val="center"/>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中小企业声明函（货物）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本公司（联合体）郑重声明，根据《政府采购促进中小企业发展管理办法》（财库〔202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rPr>
        <w:t xml:space="preserve">〕46 号）的规定，本公司</w:t>
      </w:r>
      <w:r>
        <w:rPr>
          <w:rFonts w:ascii="仿宋" w:hAnsi="仿宋" w:eastAsia="仿宋" w:cs="仿宋"/>
          <w:color w:val="auto"/>
          <w:sz w:val="24"/>
          <w:szCs w:val="24"/>
          <w:highlight w:val="none"/>
          <w:u w:val="none"/>
        </w:rPr>
        <w:t xml:space="preserve">（联合体）</w:t>
      </w:r>
      <w:r>
        <w:rPr>
          <w:rFonts w:ascii="仿宋" w:hAnsi="仿宋" w:eastAsia="仿宋" w:cs="仿宋"/>
          <w:color w:val="auto"/>
          <w:sz w:val="24"/>
          <w:szCs w:val="24"/>
          <w:highlight w:val="none"/>
        </w:rPr>
        <w:t xml:space="preserve">参加</w:t>
      </w:r>
      <w:r>
        <w:rPr>
          <w:rFonts w:ascii="仿宋" w:hAnsi="仿宋" w:eastAsia="仿宋" w:cs="仿宋"/>
          <w:color w:val="auto"/>
          <w:sz w:val="24"/>
          <w:szCs w:val="24"/>
          <w:highlight w:val="none"/>
          <w:u w:val="single"/>
        </w:rPr>
        <w:t xml:space="preserve">（单位名称）</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（项目名称）</w:t>
      </w:r>
      <w:r>
        <w:rPr>
          <w:rFonts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微型企业）；</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□微型企业）；</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right="0" w:firstLine="36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本企业对上述声明内容的真实性负责。如有虚假，将依法承担相应责任</w:t>
      </w:r>
      <w:r>
        <w:rPr>
          <w:rFonts w:ascii="仿宋" w:hAnsi="仿宋" w:eastAsia="仿宋" w:cs="仿宋"/>
          <w:color w:val="auto"/>
          <w:sz w:val="24"/>
          <w:szCs w:val="24"/>
          <w:highlight w:val="none"/>
          <w:lang w:eastAsia="zh-CN"/>
        </w:rPr>
        <w:t xml:space="preserve">。</w:t>
      </w:r>
      <w:r/>
    </w:p>
    <w:p>
      <w:pPr>
        <w:ind w:right="72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ind w:right="180" w:firstLine="360"/>
        <w:jc w:val="right"/>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供应商全称（加盖CA电子公章）：</w:t>
      </w:r>
      <w:r/>
    </w:p>
    <w:p>
      <w:pPr>
        <w:ind w:right="480" w:firstLine="564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  期：</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从业人员、营业收入、资产总额填报上一年度数据，无上一年度数据的新成立企业可不填报。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如不提供此声明函，则不能通过资格审查；非专门面向中小微型企业采购的项目，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如不提供此声明函，价格将不做相应扣除。</w:t>
      </w:r>
      <w:r/>
    </w:p>
    <w:p>
      <w:pPr>
        <w:ind w:right="0" w:firstLine="480"/>
        <w:spacing w:line="4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自行勾选</w:t>
      </w:r>
      <w:r>
        <w:rPr>
          <w:rFonts w:ascii="仿宋" w:hAnsi="仿宋" w:eastAsia="仿宋" w:cs="仿宋"/>
          <w:color w:val="auto"/>
          <w:sz w:val="24"/>
          <w:szCs w:val="24"/>
          <w:highlight w:val="none"/>
        </w:rPr>
        <w:t xml:space="preserve">制造商的企业规模类型。</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right="0" w:hanging="120"/>
        <w:spacing w:line="400" w:lineRule="exact"/>
        <w:rPr>
          <w:rFonts w:ascii="仿宋" w:hAnsi="仿宋" w:eastAsia="仿宋" w:cs="仿宋"/>
          <w:b/>
          <w:color w:val="auto"/>
          <w:sz w:val="32"/>
          <w:szCs w:val="32"/>
          <w:highlight w:val="none"/>
        </w:rPr>
      </w:pPr>
      <w:r>
        <w:rPr>
          <w:rFonts w:ascii="仿宋" w:hAnsi="仿宋" w:eastAsia="仿宋" w:cs="仿宋"/>
          <w:color w:val="auto"/>
          <w:sz w:val="24"/>
          <w:szCs w:val="24"/>
          <w:highlight w:val="none"/>
        </w:rPr>
        <w:t xml:space="preserve">                                        </w:t>
      </w: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8</w:t>
      </w:r>
      <w:r>
        <w:rPr>
          <w:rFonts w:ascii="仿宋" w:hAnsi="仿宋" w:eastAsia="仿宋" w:cs="仿宋"/>
          <w:b/>
          <w:color w:val="auto"/>
          <w:sz w:val="24"/>
          <w:szCs w:val="21"/>
          <w:highlight w:val="none"/>
        </w:rPr>
        <w:t xml:space="preserve">  </w:t>
      </w:r>
      <w:r/>
    </w:p>
    <w:p>
      <w:pPr>
        <w:ind w:left="0" w:right="0" w:firstLine="0"/>
        <w:jc w:val="center"/>
        <w:spacing w:line="400" w:lineRule="exact"/>
        <w:tabs>
          <w:tab w:val="left" w:pos="0" w:leader="none"/>
        </w:tabs>
        <w:rPr>
          <w:rFonts w:ascii="仿宋" w:hAnsi="仿宋" w:eastAsia="仿宋" w:cs="仿宋"/>
          <w:color w:val="auto"/>
          <w:sz w:val="24"/>
          <w:szCs w:val="21"/>
          <w:highlight w:val="none"/>
        </w:rPr>
      </w:pPr>
      <w:r>
        <w:rPr>
          <w:rFonts w:ascii="仿宋" w:hAnsi="仿宋" w:eastAsia="仿宋" w:cs="仿宋"/>
          <w:b/>
          <w:color w:val="auto"/>
          <w:sz w:val="24"/>
          <w:szCs w:val="24"/>
          <w:highlight w:val="none"/>
        </w:rPr>
        <w:t xml:space="preserve">残疾人福利性单位声明函（货物）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 项目采购活动提供本单位制造的货物，或者提供其他残疾人福利性单位制造的货物（不包括使用非残疾人福利性单位注册商标的货物）。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本单位对上述声明的真实性负责。如有虚假，将依法承担相应责任。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为残疾人福利性单位并提供本单位制造的货物，或者提供其他残疾人福利性单位制造的货物，必须提供此声明函，否则将不能通过资格审查。</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如不提供此声明函，价格将不做相应扣除。</w:t>
      </w:r>
      <w:r/>
    </w:p>
    <w:p>
      <w:pPr>
        <w:ind w:right="0" w:firstLine="480"/>
        <w:spacing w:line="0" w:lineRule="atLeast"/>
        <w:rPr>
          <w:rFonts w:ascii="仿宋" w:hAnsi="仿宋" w:eastAsia="仿宋" w:cs="仿宋"/>
          <w:color w:val="auto"/>
          <w:sz w:val="24"/>
          <w:szCs w:val="21"/>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highlight w:val="none"/>
          <w:lang w:eastAsia="zh-CN"/>
        </w:rPr>
        <w:t xml:space="preserve">中标人</w:t>
      </w:r>
      <w:r>
        <w:rPr>
          <w:rFonts w:ascii="仿宋" w:hAnsi="仿宋" w:eastAsia="仿宋" w:cs="仿宋"/>
          <w:color w:val="auto"/>
          <w:sz w:val="24"/>
          <w:szCs w:val="21"/>
          <w:highlight w:val="none"/>
        </w:rPr>
        <w:t xml:space="preserve">为残疾人福利性单位的，此声明函将随</w:t>
      </w:r>
      <w:r>
        <w:rPr>
          <w:rFonts w:ascii="仿宋" w:hAnsi="仿宋" w:eastAsia="仿宋" w:cs="仿宋"/>
          <w:color w:val="auto"/>
          <w:sz w:val="24"/>
          <w:highlight w:val="none"/>
          <w:lang w:eastAsia="zh-CN"/>
        </w:rPr>
        <w:t xml:space="preserve">中标</w:t>
      </w:r>
      <w:r>
        <w:rPr>
          <w:rFonts w:ascii="仿宋" w:hAnsi="仿宋" w:eastAsia="仿宋" w:cs="仿宋"/>
          <w:color w:val="auto"/>
          <w:sz w:val="24"/>
          <w:szCs w:val="21"/>
          <w:highlight w:val="none"/>
        </w:rPr>
        <w:t xml:space="preserve">结果同时公告，接受社会监督</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eastAsia="zh-CN"/>
        </w:rPr>
      </w:pPr>
      <w:r>
        <w:rPr>
          <w:rFonts w:ascii="仿宋" w:hAnsi="仿宋" w:eastAsia="仿宋" w:cs="仿宋"/>
          <w:color w:val="auto"/>
          <w:sz w:val="24"/>
          <w:szCs w:val="21"/>
          <w:highlight w:val="none"/>
          <w:lang w:eastAsia="zh-CN"/>
        </w:rPr>
      </w:r>
      <w:r/>
    </w:p>
    <w:p>
      <w:pPr>
        <w:ind w:right="0" w:firstLine="624"/>
        <w:spacing w:line="588" w:lineRule="exact"/>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pacing w:val="6"/>
          <w:sz w:val="30"/>
          <w:szCs w:val="30"/>
          <w:highlight w:val="none"/>
        </w:rPr>
        <w:t xml:space="preserve">             </w:t>
      </w:r>
      <w:r>
        <w:rPr>
          <w:rFonts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        日  期：</w:t>
      </w:r>
      <w:r>
        <w:rPr>
          <w:color w:val="auto"/>
          <w:highlight w:val="none"/>
        </w:rPr>
        <w:br w:type="page" w:clear="all"/>
      </w:r>
      <w:r/>
    </w:p>
    <w:p>
      <w:pPr>
        <w:jc w:val="both"/>
        <w:spacing w:line="420" w:lineRule="exact"/>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9</w:t>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监狱和戒毒企业证明材料</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（格式自拟）</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，则不能通过资格审查；非专门面向中小微型企业采购的项目，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，价格将不做相应扣除。</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2、中标</w:t>
      </w:r>
      <w:r>
        <w:rPr>
          <w:rFonts w:ascii="仿宋" w:hAnsi="仿宋" w:eastAsia="仿宋" w:cs="仿宋"/>
          <w:color w:val="auto"/>
          <w:sz w:val="24"/>
          <w:szCs w:val="21"/>
          <w:highlight w:val="none"/>
          <w:lang w:eastAsia="zh-CN"/>
        </w:rPr>
        <w:t xml:space="preserve">人</w:t>
      </w:r>
      <w:r>
        <w:rPr>
          <w:rFonts w:ascii="仿宋" w:hAnsi="仿宋" w:eastAsia="仿宋" w:cs="仿宋"/>
          <w:color w:val="auto"/>
          <w:sz w:val="24"/>
          <w:szCs w:val="21"/>
          <w:highlight w:val="none"/>
        </w:rPr>
        <w:t xml:space="preserve">为监狱</w:t>
      </w:r>
      <w:r>
        <w:rPr>
          <w:rFonts w:ascii="仿宋" w:hAnsi="仿宋" w:eastAsia="仿宋" w:cs="仿宋"/>
          <w:color w:val="auto"/>
          <w:sz w:val="24"/>
          <w:szCs w:val="21"/>
          <w:highlight w:val="none"/>
          <w:lang w:eastAsia="zh-CN"/>
        </w:rPr>
        <w:t xml:space="preserve">和戒毒</w:t>
      </w:r>
      <w:r>
        <w:rPr>
          <w:rFonts w:ascii="仿宋" w:hAnsi="仿宋" w:eastAsia="仿宋" w:cs="仿宋"/>
          <w:color w:val="auto"/>
          <w:sz w:val="24"/>
          <w:szCs w:val="21"/>
          <w:highlight w:val="none"/>
        </w:rPr>
        <w:t xml:space="preserve">企业的，此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将随中标结果同时公告，接受社会监督。</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提供</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内容不实的，属于提供虚假材料谋取中标、成交，依照《中华人民共和国政府采购法》等国家有关规定追究相应责任。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10</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技术要求响应及偏离表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据实填写，表格不够自行添加）</w:t>
      </w:r>
      <w:r/>
    </w:p>
    <w:tbl>
      <w:tblPr>
        <w:tblStyle w:val="72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招标</w:t>
            </w:r>
            <w:r>
              <w:rPr>
                <w:rFonts w:ascii="仿宋" w:hAnsi="仿宋" w:eastAsia="仿宋" w:cs="仿宋"/>
                <w:color w:val="auto"/>
                <w:sz w:val="24"/>
                <w:szCs w:val="24"/>
                <w:highlight w:val="none"/>
              </w:rPr>
              <w:t xml:space="preserve">文件要求的技术要求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10</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numPr>
          <w:ilvl w:val="0"/>
          <w:numId w:val="0"/>
        </w:numPr>
        <w:contextualSpacing/>
        <w:ind w:left="0" w:firstLine="0"/>
        <w:spacing w:before="0" w:after="0" w:line="300" w:lineRule="auto"/>
        <w:rPr>
          <w:rFonts w:ascii="仿宋" w:hAnsi="仿宋" w:eastAsia="仿宋" w:cs="仿宋"/>
          <w:b/>
          <w:bCs/>
          <w:color w:val="auto"/>
          <w:sz w:val="24"/>
          <w:highlight w:val="none"/>
        </w:rPr>
      </w:pPr>
      <w:r>
        <w:rPr>
          <w:rFonts w:ascii="仿宋" w:hAnsi="仿宋" w:eastAsia="仿宋" w:cs="仿宋"/>
          <w:color w:val="auto"/>
          <w:sz w:val="24"/>
          <w:highlight w:val="none"/>
          <w:lang w:val="en-US" w:eastAsia="zh-CN"/>
        </w:rPr>
        <w:t xml:space="preserve">1.</w:t>
      </w:r>
      <w:r>
        <w:rPr>
          <w:rFonts w:ascii="仿宋" w:hAnsi="仿宋" w:eastAsia="仿宋" w:cs="仿宋"/>
          <w:color w:val="auto"/>
          <w:sz w:val="24"/>
          <w:highlight w:val="none"/>
        </w:rPr>
        <w:t xml:space="preserve"> </w:t>
      </w:r>
      <w:r>
        <w:rPr>
          <w:rFonts w:ascii="仿宋" w:hAnsi="仿宋" w:eastAsia="仿宋" w:cs="仿宋"/>
          <w:color w:val="auto"/>
          <w:sz w:val="24"/>
          <w:highlight w:val="none"/>
          <w:lang w:eastAsia="zh-CN"/>
        </w:rPr>
        <w:t xml:space="preserve">投标人</w:t>
      </w:r>
      <w:r>
        <w:rPr>
          <w:rFonts w:ascii="仿宋" w:hAnsi="仿宋" w:eastAsia="仿宋" w:cs="仿宋"/>
          <w:color w:val="auto"/>
          <w:sz w:val="24"/>
          <w:highlight w:val="none"/>
        </w:rPr>
        <w:t xml:space="preserve">提交的</w:t>
      </w:r>
      <w:r>
        <w:rPr>
          <w:rFonts w:ascii="仿宋" w:hAnsi="仿宋" w:eastAsia="仿宋" w:cs="仿宋"/>
          <w:color w:val="auto"/>
          <w:sz w:val="24"/>
          <w:highlight w:val="none"/>
          <w:lang w:eastAsia="zh-CN"/>
        </w:rPr>
        <w:t xml:space="preserve">投标</w:t>
      </w:r>
      <w:r>
        <w:rPr>
          <w:rFonts w:ascii="仿宋" w:hAnsi="仿宋" w:eastAsia="仿宋" w:cs="仿宋"/>
          <w:color w:val="auto"/>
          <w:sz w:val="24"/>
          <w:highlight w:val="none"/>
        </w:rPr>
        <w:t xml:space="preserve">文件中与</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文件第</w:t>
      </w:r>
      <w:r>
        <w:rPr>
          <w:rFonts w:ascii="仿宋" w:hAnsi="仿宋" w:eastAsia="仿宋" w:cs="仿宋"/>
          <w:color w:val="auto"/>
          <w:sz w:val="24"/>
          <w:highlight w:val="none"/>
          <w:lang w:val="en-US" w:eastAsia="zh-CN"/>
        </w:rPr>
        <w:t xml:space="preserve">四章</w:t>
      </w:r>
      <w:r>
        <w:rPr>
          <w:rFonts w:ascii="仿宋" w:hAnsi="仿宋" w:eastAsia="仿宋" w:cs="仿宋"/>
          <w:color w:val="auto"/>
          <w:sz w:val="24"/>
          <w:highlight w:val="none"/>
        </w:rPr>
        <w:t xml:space="preserve">“</w:t>
      </w:r>
      <w:r>
        <w:rPr>
          <w:rFonts w:ascii="仿宋" w:hAnsi="仿宋" w:eastAsia="仿宋" w:cs="仿宋"/>
          <w:color w:val="auto"/>
          <w:sz w:val="24"/>
          <w:highlight w:val="none"/>
          <w:lang w:val="en-US" w:eastAsia="zh-CN"/>
        </w:rPr>
        <w:t xml:space="preserve">采购</w:t>
      </w:r>
      <w:r>
        <w:rPr>
          <w:rFonts w:ascii="仿宋" w:hAnsi="仿宋" w:eastAsia="仿宋" w:cs="仿宋"/>
          <w:color w:val="auto"/>
          <w:sz w:val="24"/>
          <w:highlight w:val="none"/>
        </w:rPr>
        <w:t xml:space="preserve">需求”中的技术要求</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lang w:val="en-US" w:eastAsia="zh-CN"/>
        </w:rPr>
        <w:t xml:space="preserve">未加斜体下划线的非实质性内容</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如有偏离的，应逐条填列在偏离表中。</w:t>
      </w:r>
      <w:r>
        <w:rPr>
          <w:rFonts w:ascii="仿宋" w:hAnsi="仿宋" w:eastAsia="仿宋" w:cs="仿宋"/>
          <w:b/>
          <w:bCs/>
          <w:color w:val="auto"/>
          <w:sz w:val="24"/>
          <w:szCs w:val="24"/>
          <w:highlight w:val="none"/>
        </w:rPr>
        <w:t xml:space="preserve">如果</w:t>
      </w:r>
      <w:r>
        <w:rPr>
          <w:rFonts w:ascii="仿宋" w:hAnsi="仿宋" w:eastAsia="仿宋" w:cs="仿宋"/>
          <w:b/>
          <w:bCs/>
          <w:color w:val="auto"/>
          <w:sz w:val="24"/>
          <w:szCs w:val="24"/>
          <w:highlight w:val="none"/>
          <w:lang w:eastAsia="zh-CN"/>
        </w:rPr>
        <w:t xml:space="preserve">招标</w:t>
      </w:r>
      <w:r>
        <w:rPr>
          <w:rFonts w:ascii="仿宋" w:hAnsi="仿宋" w:eastAsia="仿宋" w:cs="仿宋"/>
          <w:b/>
          <w:bCs/>
          <w:color w:val="auto"/>
          <w:sz w:val="24"/>
          <w:szCs w:val="24"/>
          <w:highlight w:val="none"/>
        </w:rPr>
        <w:t xml:space="preserve">文件要求提供证明材料，</w:t>
      </w:r>
      <w:r>
        <w:rPr>
          <w:rFonts w:ascii="仿宋" w:hAnsi="仿宋" w:eastAsia="仿宋" w:cs="仿宋"/>
          <w:b/>
          <w:bCs/>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需将证明材料列于该表之下</w:t>
      </w:r>
      <w:r>
        <w:rPr>
          <w:rFonts w:hint="eastAsia" w:ascii="仿宋" w:hAnsi="仿宋" w:eastAsia="仿宋" w:cs="仿宋"/>
          <w:b/>
          <w:bCs/>
          <w:color w:val="auto"/>
          <w:sz w:val="24"/>
          <w:szCs w:val="24"/>
          <w:highlight w:val="none"/>
          <w:lang w:eastAsia="zh-CN"/>
        </w:rPr>
        <w:t xml:space="preserve">（打“▲”、“★”和文件中另有规定的除外）</w:t>
      </w:r>
      <w:r>
        <w:rPr>
          <w:rFonts w:ascii="仿宋" w:hAnsi="仿宋" w:eastAsia="仿宋" w:cs="仿宋"/>
          <w:b/>
          <w:bCs/>
          <w:color w:val="auto"/>
          <w:sz w:val="24"/>
          <w:szCs w:val="24"/>
          <w:highlight w:val="none"/>
        </w:rPr>
        <w:t xml:space="preserve">。</w:t>
      </w:r>
      <w:r/>
    </w:p>
    <w:p>
      <w:pPr>
        <w:numPr>
          <w:ilvl w:val="0"/>
          <w:numId w:val="0"/>
        </w:numPr>
        <w:contextualSpacing/>
        <w:ind w:left="0" w:firstLine="0"/>
        <w:spacing w:before="0" w:after="0" w:line="300" w:lineRule="auto"/>
        <w:rPr>
          <w:rFonts w:ascii="仿宋" w:hAnsi="仿宋" w:eastAsia="仿宋" w:cs="仿宋"/>
          <w:color w:val="auto"/>
          <w:sz w:val="24"/>
          <w:highlight w:val="none"/>
        </w:rPr>
      </w:pPr>
      <w:r>
        <w:rPr>
          <w:rFonts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“偏离说明”一栏选择“正偏离”、“无偏离”、“负偏离”进行填写。未填写的内容视为完全响应本</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文件要求。正偏离、无偏离的确认和负偏离是否响应</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文件，由</w:t>
      </w:r>
      <w:r>
        <w:rPr>
          <w:rFonts w:ascii="仿宋" w:hAnsi="仿宋" w:eastAsia="仿宋" w:cs="仿宋"/>
          <w:color w:val="auto"/>
          <w:sz w:val="24"/>
          <w:highlight w:val="none"/>
          <w:lang w:val="en-US" w:eastAsia="zh-CN"/>
        </w:rPr>
        <w:t xml:space="preserve">评委会</w:t>
      </w:r>
      <w:r>
        <w:rPr>
          <w:rFonts w:ascii="仿宋" w:hAnsi="仿宋" w:eastAsia="仿宋" w:cs="仿宋"/>
          <w:color w:val="auto"/>
          <w:sz w:val="24"/>
          <w:highlight w:val="none"/>
        </w:rPr>
        <w:t xml:space="preserve">认定。</w:t>
      </w:r>
      <w:r/>
    </w:p>
    <w:p>
      <w:pPr>
        <w:pStyle w:val="807"/>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11</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商务要求响应及偏离表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（由投标人据实填写，表格不够自行添加）</w:t>
      </w:r>
      <w:r/>
    </w:p>
    <w:tbl>
      <w:tblPr>
        <w:tblStyle w:val="72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招标文件要求的商务</w:t>
            </w:r>
            <w:r>
              <w:rPr>
                <w:rFonts w:ascii="仿宋" w:hAnsi="仿宋" w:eastAsia="仿宋" w:cs="仿宋"/>
                <w:color w:val="auto"/>
                <w:sz w:val="24"/>
                <w:szCs w:val="24"/>
                <w:highlight w:val="none"/>
                <w:lang w:eastAsia="zh-CN"/>
              </w:rPr>
              <w:t xml:space="preserve">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11</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提交的</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文件中与</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文件第</w:t>
      </w:r>
      <w:r>
        <w:rPr>
          <w:rFonts w:ascii="仿宋" w:hAnsi="仿宋" w:eastAsia="仿宋" w:cs="仿宋"/>
          <w:color w:val="auto"/>
          <w:sz w:val="24"/>
          <w:szCs w:val="24"/>
          <w:highlight w:val="none"/>
          <w:lang w:val="en-US" w:eastAsia="zh-CN"/>
        </w:rPr>
        <w:t xml:space="preserve">四章</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lang w:val="en-US" w:eastAsia="zh-CN"/>
        </w:rPr>
        <w:t xml:space="preserve">采购</w:t>
      </w:r>
      <w:r>
        <w:rPr>
          <w:rFonts w:ascii="仿宋" w:hAnsi="仿宋" w:eastAsia="仿宋" w:cs="仿宋"/>
          <w:color w:val="auto"/>
          <w:sz w:val="24"/>
          <w:szCs w:val="24"/>
          <w:highlight w:val="none"/>
        </w:rPr>
        <w:t xml:space="preserve">需求”中的商务要求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未加斜体下划线的非实质性内容</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如有偏离的，应逐条填列在偏离表中。如果</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文件要求提供证明材料，</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需将证明材料列于该表之下。</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“偏离说明”一栏选择“正偏离”、“无偏离”、“负偏离”进行填写。未填写的内容视为完全响应本</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文件要求。正偏离、无偏离的确认和负偏离是否响应</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文件，由</w:t>
      </w:r>
      <w:r>
        <w:rPr>
          <w:rFonts w:ascii="仿宋" w:hAnsi="仿宋" w:eastAsia="仿宋" w:cs="仿宋"/>
          <w:color w:val="auto"/>
          <w:sz w:val="24"/>
          <w:szCs w:val="24"/>
          <w:highlight w:val="none"/>
          <w:lang w:val="en-US" w:eastAsia="zh-CN"/>
        </w:rPr>
        <w:t xml:space="preserve">评委会</w:t>
      </w:r>
      <w:r>
        <w:rPr>
          <w:rFonts w:ascii="仿宋" w:hAnsi="仿宋" w:eastAsia="仿宋" w:cs="仿宋"/>
          <w:color w:val="auto"/>
          <w:sz w:val="24"/>
          <w:szCs w:val="24"/>
          <w:highlight w:val="none"/>
        </w:rPr>
        <w:t xml:space="preserve">认定。</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jc w:val="cente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实质性要求响应及偏离表</w:t>
      </w:r>
      <w:r/>
    </w:p>
    <w:tbl>
      <w:tblPr>
        <w:tblStyle w:val="724"/>
        <w:tblW w:w="9133" w:type="dxa"/>
        <w:jc w:val="center"/>
        <w:tblLayout w:type="fixed"/>
        <w:tblCellMar>
          <w:left w:w="108" w:type="dxa"/>
          <w:top w:w="0" w:type="dxa"/>
          <w:right w:w="108" w:type="dxa"/>
          <w:bottom w:w="0" w:type="dxa"/>
        </w:tblCellMar>
        <w:tblLook w:val="04A0" w:firstRow="1" w:lastRow="0" w:firstColumn="1" w:lastColumn="0" w:noHBand="0" w:noVBand="1"/>
      </w:tblPr>
      <w:tblGrid>
        <w:gridCol w:w="545"/>
        <w:gridCol w:w="3951"/>
        <w:gridCol w:w="2975"/>
        <w:gridCol w:w="1662"/>
      </w:tblGrid>
      <w:tr>
        <w:trPr>
          <w:cantSplit/>
          <w:jc w:val="center"/>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招标文件</w:t>
            </w:r>
            <w:r>
              <w:rPr>
                <w:rFonts w:ascii="仿宋" w:hAnsi="仿宋" w:eastAsia="仿宋" w:cs="仿宋"/>
                <w:color w:val="auto"/>
                <w:sz w:val="24"/>
                <w:szCs w:val="24"/>
                <w:highlight w:val="none"/>
              </w:rPr>
              <w:t xml:space="preserve">技术要求和商务要求中的实质性要求</w:t>
            </w:r>
            <w:r>
              <w:rPr>
                <w:rFonts w:ascii="仿宋" w:hAnsi="仿宋" w:eastAsia="仿宋" w:cs="仿宋"/>
                <w:i/>
                <w:color w:val="auto"/>
                <w:sz w:val="24"/>
                <w:szCs w:val="24"/>
                <w:highlight w:val="none"/>
                <w:u w:val="single"/>
              </w:rPr>
              <w:t xml:space="preserve">（加斜体下划线内容）</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正偏离</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无偏离、负偏离</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附件12-1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2.如果采购文件要求提供证明材料，供应商必须将证明材料列于该表之下，否则作无效响应处理。</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24"/>
          <w:szCs w:val="24"/>
          <w:highlight w:val="none"/>
          <w:lang w:eastAsia="zh-CN"/>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13</w:t>
      </w:r>
      <w:r/>
    </w:p>
    <w:p>
      <w:pPr>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质疑函范本</w:t>
      </w:r>
      <w:r/>
    </w:p>
    <w:p>
      <w:pPr>
        <w:spacing w:before="290" w:after="0"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质疑供应商：</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授权代表：</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质疑项目的编号：</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包号：</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采购人名称：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采购文件获取日期：</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质疑事项1：</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事实依据：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法律依据：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质疑事项2</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四、与质疑事项相关的质疑请求</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请求：</w:t>
      </w:r>
      <w:r>
        <w:rPr>
          <w:rFonts w:ascii="仿宋" w:hAnsi="仿宋" w:eastAsia="仿宋" w:cs="仿宋"/>
          <w:color w:val="auto"/>
          <w:sz w:val="24"/>
          <w:szCs w:val="24"/>
          <w:highlight w:val="none"/>
          <w:u w:val="single"/>
        </w:rPr>
        <w:t xml:space="preserve">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签字(签章)：                   公章：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    </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质疑函制作说明：</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1.供应商提出质疑时，应提交质疑函和必要的证明材料。</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2.质疑供应商若委托代理人进行质疑的，质疑函应按要求列明“授权代表”的有关内容，并在附件中提交由质疑</w:t>
      </w:r>
      <w:r>
        <w:rPr>
          <w:rFonts w:ascii="仿宋" w:hAnsi="仿宋" w:eastAsia="仿宋" w:cs="仿宋"/>
          <w:color w:val="auto"/>
          <w:sz w:val="24"/>
          <w:szCs w:val="24"/>
          <w:highlight w:val="none"/>
        </w:rPr>
        <w:t xml:space="preserve">供应商签署的授权委托书。授权委托书应载明代理人的姓名或者名称、代理事项、具体权限、期限和相关事项。</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3.质疑供应商若对项目的某一分包进行质疑，质疑函中应列明具体分包号。</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4.质疑函的质疑事项应具体、明确，并有必要的事实依据和法律依据。</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5.质疑函的质疑请求应与质疑事项相关。</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8"/>
          <w:szCs w:val="28"/>
          <w:highlight w:val="none"/>
          <w:lang w:val="en-US" w:eastAsia="zh-CN" w:bidi="ar"/>
        </w:rPr>
      </w:pPr>
      <w:r>
        <w:rPr>
          <w:rFonts w:ascii="仿宋" w:hAnsi="仿宋" w:eastAsia="仿宋" w:cs="仿宋"/>
          <w:color w:val="auto"/>
          <w:sz w:val="28"/>
          <w:szCs w:val="28"/>
          <w:highlight w:val="none"/>
          <w:lang w:val="en-US" w:eastAsia="zh-CN" w:bidi="ar"/>
        </w:rPr>
        <w:br w:type="page" w:clear="all"/>
      </w:r>
      <w:r/>
    </w:p>
    <w:p>
      <w:pPr>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rPr>
          <w:rFonts w:hint="eastAsia" w:ascii="仿宋" w:hAnsi="仿宋" w:eastAsia="仿宋" w:cs="仿宋"/>
          <w:b/>
          <w:color w:val="auto"/>
          <w:sz w:val="28"/>
          <w:szCs w:val="28"/>
          <w:highlight w:val="none"/>
          <w:lang w:val="en-US" w:eastAsia="zh-CN"/>
        </w:rPr>
        <w:t xml:space="preserve">14</w:t>
      </w:r>
      <w:r>
        <w:rPr>
          <w:rFonts w:hint="eastAsia"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关于符合本国产品标准的声明函（采购包号：**）</w:t>
      </w:r>
      <w:r/>
    </w:p>
    <w:p>
      <w:pPr>
        <w:pStyle w:val="743"/>
        <w:ind w:firstLine="420"/>
        <w:spacing w:before="0" w:beforeAutospacing="0" w:after="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3097530</wp:posOffset>
                </wp:positionH>
                <wp:positionV relativeFrom="paragraph">
                  <wp:posOffset>297180</wp:posOffset>
                </wp:positionV>
                <wp:extent cx="816610" cy="76200"/>
                <wp:effectExtent l="635" t="4445" r="1905" b="5080"/>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43.9pt;mso-position-horizontal:absolute;mso-position-vertical-relative:text;margin-top:23.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1680845</wp:posOffset>
                </wp:positionH>
                <wp:positionV relativeFrom="paragraph">
                  <wp:posOffset>502920</wp:posOffset>
                </wp:positionV>
                <wp:extent cx="816610" cy="147320"/>
                <wp:effectExtent l="635" t="4445" r="1905" b="1016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32.3pt;mso-position-horizontal:absolute;mso-position-vertical-relative:text;margin-top:39.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460375</wp:posOffset>
                </wp:positionH>
                <wp:positionV relativeFrom="paragraph">
                  <wp:posOffset>458470</wp:posOffset>
                </wp:positionV>
                <wp:extent cx="876300" cy="120015"/>
                <wp:effectExtent l="635" t="4445" r="8890" b="889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36.2pt;mso-position-horizontal:absolute;mso-position-vertical-relative:text;margin-top:36.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4209415</wp:posOffset>
                </wp:positionH>
                <wp:positionV relativeFrom="paragraph">
                  <wp:posOffset>288290</wp:posOffset>
                </wp:positionV>
                <wp:extent cx="816610" cy="103505"/>
                <wp:effectExtent l="635" t="4445" r="1905" b="6350"/>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31.4pt;mso-position-horizontal:absolute;mso-position-vertical-relative:text;margin-top:22.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2244090</wp:posOffset>
                </wp:positionH>
                <wp:positionV relativeFrom="paragraph">
                  <wp:posOffset>262255</wp:posOffset>
                </wp:positionV>
                <wp:extent cx="364490" cy="97790"/>
                <wp:effectExtent l="1270" t="4445" r="5715" b="12065"/>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176.7pt;mso-position-horizontal:absolute;mso-position-vertical-relative:text;margin-top:20.6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shd w:val="clear" w:color="auto" w:fill="ffffff"/>
        </w:rPr>
        <w:t xml:space="preserve">1.</w:t>
      </w:r>
      <w:r>
        <w:rPr>
          <w:rStyle w:val="750"/>
          <w:rFonts w:hint="eastAsia" w:ascii="仿宋" w:hAnsi="仿宋" w:eastAsia="仿宋" w:cs="仿宋"/>
          <w:i w:val="0"/>
          <w:color w:val="auto"/>
          <w:highlight w:val="none"/>
          <w:u w:val="single"/>
          <w:shd w:val="clear" w:color="auto" w:fill="ffffff"/>
        </w:rPr>
        <w:t xml:space="preserve">（产品名称1）</w:t>
      </w:r>
      <w:r>
        <w:rPr>
          <w:rStyle w:val="750"/>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50"/>
          <w:rFonts w:hint="eastAsia" w:ascii="仿宋" w:hAnsi="仿宋" w:eastAsia="仿宋" w:cs="仿宋"/>
          <w:i w:val="0"/>
          <w:color w:val="auto"/>
          <w:highlight w:val="none"/>
          <w:u w:val="single"/>
          <w:shd w:val="clear" w:color="auto" w:fill="ffffff"/>
        </w:rPr>
        <w:t xml:space="preserve">（厂名）</w:t>
      </w:r>
      <w:r>
        <w:rPr>
          <w:rStyle w:val="750"/>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50"/>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50"/>
          <w:rFonts w:hint="eastAsia" w:ascii="仿宋" w:hAnsi="仿宋" w:eastAsia="仿宋" w:cs="仿宋"/>
          <w:i w:val="0"/>
          <w:color w:val="auto"/>
          <w:highlight w:val="none"/>
          <w:u w:val="single"/>
          <w:shd w:val="clear" w:color="auto" w:fill="ffffff"/>
        </w:rPr>
        <w:t xml:space="preserve">（产品名称1） </w:t>
      </w:r>
      <w:r>
        <w:rPr>
          <w:rFonts w:hint="eastAsia" w:ascii="仿宋" w:hAnsi="仿宋" w:eastAsia="仿宋" w:cs="仿宋"/>
          <w:color w:val="auto"/>
          <w:highlight w:val="none"/>
          <w:shd w:val="clear" w:color="auto" w:fill="ffffff"/>
        </w:rPr>
        <w:t xml:space="preserve">的中国境内生产的组件成本占比≥</w:t>
      </w:r>
      <w:r>
        <w:rPr>
          <w:rStyle w:val="750"/>
          <w:rFonts w:hint="eastAsia" w:ascii="仿宋" w:hAnsi="仿宋" w:eastAsia="仿宋" w:cs="仿宋"/>
          <w:i w:val="0"/>
          <w:color w:val="auto"/>
          <w:highlight w:val="none"/>
          <w:u w:val="single"/>
          <w:shd w:val="clear" w:color="auto" w:fill="ffffff"/>
        </w:rPr>
        <w:t xml:space="preserve">（规定比例）</w:t>
      </w:r>
      <w:r>
        <w:rPr>
          <w:rStyle w:val="750"/>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50"/>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750"/>
          <w:rFonts w:hint="eastAsia" w:ascii="仿宋" w:hAnsi="仿宋" w:eastAsia="仿宋" w:cs="仿宋"/>
          <w:i w:val="0"/>
          <w:color w:val="auto"/>
          <w:highlight w:val="none"/>
          <w:u w:val="single"/>
          <w:shd w:val="clear" w:color="auto" w:fill="ffffff"/>
        </w:rPr>
        <w:t xml:space="preserve">（关键组件）</w:t>
      </w:r>
      <w:r>
        <w:rPr>
          <w:rStyle w:val="750"/>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50"/>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750"/>
          <w:rFonts w:hint="eastAsia" w:ascii="仿宋" w:hAnsi="仿宋" w:eastAsia="仿宋" w:cs="仿宋"/>
          <w:i w:val="0"/>
          <w:color w:val="auto"/>
          <w:highlight w:val="none"/>
          <w:u w:val="single"/>
          <w:shd w:val="clear" w:color="auto" w:fill="ffffff"/>
        </w:rPr>
        <w:t xml:space="preserve">（关键工序）</w:t>
      </w:r>
      <w:r>
        <w:rPr>
          <w:rStyle w:val="750"/>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43"/>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4153535</wp:posOffset>
                </wp:positionH>
                <wp:positionV relativeFrom="paragraph">
                  <wp:posOffset>311150</wp:posOffset>
                </wp:positionV>
                <wp:extent cx="462280" cy="147320"/>
                <wp:effectExtent l="1270" t="4445" r="3175" b="1016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27.1pt;mso-position-horizontal:absolute;mso-position-vertical-relative:text;margin-top:24.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2846070</wp:posOffset>
                </wp:positionH>
                <wp:positionV relativeFrom="paragraph">
                  <wp:posOffset>277495</wp:posOffset>
                </wp:positionV>
                <wp:extent cx="849630" cy="120015"/>
                <wp:effectExtent l="635" t="4445" r="6985" b="8890"/>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24.1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1863725</wp:posOffset>
                </wp:positionH>
                <wp:positionV relativeFrom="paragraph">
                  <wp:posOffset>255905</wp:posOffset>
                </wp:positionV>
                <wp:extent cx="843915" cy="125730"/>
                <wp:effectExtent l="635" t="4445" r="3175" b="1270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46.8pt;mso-position-horizontal:absolute;mso-position-vertical-relative:text;margin-top:20.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924560</wp:posOffset>
                </wp:positionH>
                <wp:positionV relativeFrom="paragraph">
                  <wp:posOffset>467360</wp:posOffset>
                </wp:positionV>
                <wp:extent cx="908685" cy="140970"/>
                <wp:effectExtent l="635" t="4445" r="5080" b="698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72.8pt;mso-position-horizontal:absolute;mso-position-vertical-relative:text;margin-top:36.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highlight w:val="none"/>
          <w:shd w:val="clear" w:color="auto" w:fill="ffffff"/>
        </w:rPr>
        <w:t xml:space="preserve">2.</w:t>
      </w:r>
      <w:r>
        <w:rPr>
          <w:rStyle w:val="750"/>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50"/>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50"/>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50"/>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的中国境内生产的组件成本占比≥</w:t>
      </w:r>
      <w:r>
        <w:rPr>
          <w:rStyle w:val="750"/>
          <w:rFonts w:hint="eastAsia" w:ascii="仿宋" w:hAnsi="仿宋" w:eastAsia="仿宋" w:cs="仿宋"/>
          <w:i w:val="0"/>
          <w:color w:val="auto"/>
          <w:highlight w:val="none"/>
          <w:u w:val="single"/>
          <w:shd w:val="clear" w:color="auto" w:fill="ffffff"/>
        </w:rPr>
        <w:t xml:space="preserve">（规定比例）</w:t>
      </w:r>
      <w:r>
        <w:rPr>
          <w:rFonts w:hint="eastAsia" w:ascii="仿宋" w:hAnsi="仿宋" w:eastAsia="仿宋" w:cs="仿宋"/>
          <w:color w:val="auto"/>
          <w:highlight w:val="none"/>
          <w:shd w:val="clear" w:color="auto" w:fill="ffffff"/>
        </w:rPr>
        <w:t xml:space="preserve">。</w:t>
      </w:r>
      <w:r>
        <w:rPr>
          <w:rStyle w:val="750"/>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w:t>
      </w:r>
      <w:r>
        <w:rPr>
          <w:rStyle w:val="750"/>
          <w:rFonts w:hint="eastAsia" w:ascii="仿宋" w:hAnsi="仿宋" w:eastAsia="仿宋" w:cs="仿宋"/>
          <w:i w:val="0"/>
          <w:color w:val="auto"/>
          <w:highlight w:val="none"/>
          <w:u w:val="single"/>
          <w:shd w:val="clear" w:color="auto" w:fill="ffffff"/>
        </w:rPr>
        <w:t xml:space="preserve">（关键组件）</w:t>
      </w:r>
      <w:r>
        <w:rPr>
          <w:rFonts w:hint="eastAsia" w:ascii="仿宋" w:hAnsi="仿宋" w:eastAsia="仿宋" w:cs="仿宋"/>
          <w:color w:val="auto"/>
          <w:highlight w:val="none"/>
          <w:shd w:val="clear" w:color="auto" w:fill="ffffff"/>
        </w:rPr>
        <w:t xml:space="preserve">在中国境内生产。</w:t>
      </w:r>
      <w:r>
        <w:rPr>
          <w:rStyle w:val="750"/>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750"/>
          <w:rFonts w:hint="eastAsia" w:ascii="仿宋" w:hAnsi="仿宋" w:eastAsia="仿宋" w:cs="仿宋"/>
          <w:i w:val="0"/>
          <w:color w:val="auto"/>
          <w:highlight w:val="none"/>
          <w:u w:val="single"/>
          <w:shd w:val="clear" w:color="auto" w:fill="ffffff"/>
        </w:rPr>
        <w:t xml:space="preserve">（关键工序）</w:t>
      </w:r>
      <w:r>
        <w:rPr>
          <w:rFonts w:hint="eastAsia" w:ascii="仿宋" w:hAnsi="仿宋" w:eastAsia="仿宋" w:cs="仿宋"/>
          <w:color w:val="auto"/>
          <w:highlight w:val="none"/>
          <w:shd w:val="clear" w:color="auto" w:fill="ffffff"/>
        </w:rPr>
        <w:t xml:space="preserve">在中国境内完成。</w:t>
      </w:r>
      <w:r/>
    </w:p>
    <w:p>
      <w:pPr>
        <w:pStyle w:val="743"/>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43"/>
        <w:ind w:firstLine="420"/>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本采购包中提供的符合本国产品标准的产品成本之和占该采购包提供的全部产品成本之和的比例为***%。</w:t>
      </w:r>
      <w:r/>
    </w:p>
    <w:p>
      <w:pPr>
        <w:pStyle w:val="743"/>
        <w:ind w:firstLine="420"/>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43"/>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43"/>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3"/>
        <w:ind w:right="480" w:firstLine="37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公司（单位）名称（盖章）：　        </w:t>
      </w:r>
      <w:r/>
    </w:p>
    <w:p>
      <w:pPr>
        <w:pStyle w:val="743"/>
        <w:jc w:val="center"/>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                               </w:t>
      </w:r>
      <w:r/>
    </w:p>
    <w:p>
      <w:pPr>
        <w:pStyle w:val="743"/>
        <w:jc w:val="center"/>
        <w:spacing w:before="30" w:beforeAutospacing="0" w:after="30" w:afterAutospacing="0" w:line="0" w:lineRule="atLeas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lang w:val="en-US" w:eastAsia="zh-CN"/>
        </w:rPr>
        <w:t xml:space="preserve">             </w:t>
      </w:r>
      <w:r>
        <w:rPr>
          <w:rFonts w:hint="eastAsia" w:ascii="仿宋" w:hAnsi="仿宋" w:eastAsia="仿宋" w:cs="仿宋"/>
          <w:color w:val="auto"/>
          <w:highlight w:val="none"/>
          <w:shd w:val="clear" w:color="auto" w:fill="ffffff"/>
        </w:rPr>
        <w:t xml:space="preserve"> 日期：　   年　  月　  日  </w:t>
      </w:r>
      <w:r/>
    </w:p>
    <w:p>
      <w:pPr>
        <w:pStyle w:val="743"/>
        <w:jc w:val="left"/>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lang w:val="en-US" w:eastAsia="zh-CN"/>
        </w:rPr>
        <w:t xml:space="preserve">注：</w:t>
      </w:r>
      <w:r>
        <w:rPr>
          <w:rFonts w:hint="eastAsia" w:ascii="仿宋" w:hAnsi="仿宋" w:eastAsia="仿宋" w:cs="仿宋"/>
          <w:color w:val="auto"/>
          <w:highlight w:val="none"/>
          <w:shd w:val="clear" w:color="auto" w:fill="ffffff"/>
        </w:rPr>
        <w:t xml:space="preserve">       </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1.产品如有型号，请在“产品名称”栏一并填写。</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2.生产厂名与厂址应与生产厂营业执照载明的相关信息保持一致。</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3.该产品的中国境内生产的组件成本占比相关要求实施前，“规定比例”栏可不填，下同。</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4.该产品的关键组件要求实施前，“关键组件”栏可不填，下同。</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5.该产品的关键工序要求实施前，“关键工序”栏可不填，下同。</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6.用斜线划除的地方无需填写。</w:t>
      </w:r>
      <w:r/>
    </w:p>
    <w:p>
      <w:pPr>
        <w:ind w:right="0"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供应商需按照招标文件的要求提供《关于符合本国产品标准的声明函》，</w:t>
      </w:r>
      <w:r>
        <w:rPr>
          <w:rFonts w:hint="eastAsia" w:ascii="仿宋" w:hAnsi="仿宋" w:eastAsia="仿宋" w:cs="仿宋"/>
          <w:b/>
          <w:bCs/>
          <w:color w:val="auto"/>
          <w:sz w:val="24"/>
          <w:szCs w:val="24"/>
          <w:highlight w:val="none"/>
        </w:rPr>
        <w:t xml:space="preserve">如不提供将不享受本国产品价格评审优惠。</w:t>
      </w:r>
      <w:r/>
    </w:p>
    <w:p>
      <w:pPr>
        <w:ind w:right="0" w:firstLine="480"/>
        <w:jc w:val="left"/>
        <w:spacing w:line="400" w:lineRule="exact"/>
        <w:widowControl/>
        <w:rPr>
          <w:rFonts w:ascii="仿宋" w:hAnsi="仿宋" w:eastAsia="仿宋" w:cs="仿宋"/>
          <w:color w:val="auto"/>
          <w:sz w:val="28"/>
          <w:szCs w:val="28"/>
          <w:highlight w:val="none"/>
          <w:lang w:val="en-US" w:eastAsia="zh-CN" w:bidi="ar"/>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供应商需在《声明函》中逐一、准确填写产品名称、厂名、生产厂址三项信息</w:t>
      </w:r>
      <w:r>
        <w:rPr>
          <w:rFonts w:hint="eastAsia" w:ascii="仿宋" w:hAnsi="仿宋" w:eastAsia="仿宋" w:cs="仿宋"/>
          <w:color w:val="auto"/>
          <w:sz w:val="24"/>
          <w:szCs w:val="24"/>
          <w:highlight w:val="none"/>
        </w:rPr>
        <w:t xml:space="preserve">（《声明函》中用斜线划除的地方无需填写），三项信息中任意一项未填写的视为该项产品不符合本国产品标准，</w:t>
      </w:r>
      <w:r>
        <w:rPr>
          <w:rFonts w:hint="eastAsia" w:ascii="仿宋" w:hAnsi="仿宋" w:eastAsia="仿宋" w:cs="仿宋"/>
          <w:b/>
          <w:bCs/>
          <w:color w:val="auto"/>
          <w:sz w:val="24"/>
          <w:szCs w:val="24"/>
          <w:highlight w:val="none"/>
        </w:rPr>
        <w:t xml:space="preserve">不享受本国产品价格评审优惠。</w:t>
      </w:r>
      <w:r>
        <w:rPr>
          <w:rFonts w:ascii="仿宋" w:hAnsi="仿宋" w:eastAsia="仿宋" w:cs="仿宋"/>
          <w:color w:val="auto"/>
          <w:sz w:val="28"/>
          <w:szCs w:val="28"/>
          <w:highlight w:val="none"/>
          <w:lang w:val="en-US" w:eastAsia="zh-CN" w:bidi="ar"/>
        </w:rPr>
        <w:br w:type="page" w:clear="all"/>
      </w:r>
      <w:r/>
    </w:p>
    <w:p>
      <w:pPr>
        <w:jc w:val="left"/>
        <w:keepLines w:val="0"/>
        <w:keepNext w:val="0"/>
        <w:pageBreakBefore w:val="0"/>
        <w:spacing w:line="700" w:lineRule="exact"/>
        <w:widowControl/>
        <w:rPr>
          <w:rFonts w:hint="default"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t xml:space="preserve">附件</w:t>
      </w:r>
      <w:r>
        <w:rPr>
          <w:rFonts w:hint="eastAsia" w:ascii="仿宋" w:hAnsi="仿宋" w:eastAsia="仿宋" w:cs="仿宋"/>
          <w:color w:val="auto"/>
          <w:sz w:val="28"/>
          <w:szCs w:val="28"/>
          <w:highlight w:val="none"/>
          <w:lang w:val="en-US" w:eastAsia="zh-CN" w:bidi="ar"/>
        </w:rPr>
        <w:t xml:space="preserve">15</w:t>
      </w:r>
      <w:r/>
    </w:p>
    <w:p>
      <w:pPr>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办理政采贷和履约保函（保险）告知函</w:t>
      </w:r>
      <w:r/>
    </w:p>
    <w:p>
      <w:pPr>
        <w:rPr>
          <w:rFonts w:ascii="Times New Roman" w:hAnsi="Times New Roman" w:eastAsia="仿宋_GB2312;仿宋" w:cs="Times New Roman"/>
          <w:b/>
          <w:bCs/>
          <w:color w:val="auto"/>
          <w:sz w:val="32"/>
          <w:szCs w:val="28"/>
          <w:highlight w:val="none"/>
        </w:rPr>
      </w:pPr>
      <w:r>
        <w:rPr>
          <w:rFonts w:ascii="Times New Roman" w:hAnsi="Times New Roman" w:eastAsia="仿宋_GB2312;仿宋" w:cs="Times New Roman"/>
          <w:b/>
          <w:bCs/>
          <w:color w:val="auto"/>
          <w:sz w:val="32"/>
          <w:szCs w:val="28"/>
          <w:highlight w:val="none"/>
        </w:rPr>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各政府采购供应商：</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欢迎贵公司参与南通市政府采购活动！</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ascii="仿宋" w:hAnsi="仿宋" w:eastAsia="仿宋" w:cs="仿宋"/>
          <w:color w:val="auto"/>
          <w:sz w:val="24"/>
          <w:szCs w:val="24"/>
          <w:highlight w:val="none"/>
          <w:lang w:val="en-US" w:eastAsia="zh-CN"/>
        </w:rPr>
        <w:t xml:space="preserve">57</w:t>
      </w:r>
      <w:r>
        <w:rPr>
          <w:rFonts w:ascii="仿宋" w:hAnsi="仿宋" w:eastAsia="仿宋" w:cs="仿宋"/>
          <w:color w:val="auto"/>
          <w:sz w:val="24"/>
          <w:szCs w:val="24"/>
          <w:highlight w:val="none"/>
        </w:rPr>
        <w:t xml:space="preserve">号）和《关于深入开展南通市政府采购线上合同信用融资业务的通知》（通财购〔2022〕68号），按照双方自愿的原则提供便捷、优惠的服务。</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contextualSpacing/>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contextualSpacing/>
        <w:ind w:right="0" w:firstLine="562"/>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sectPr>
      <w:headerReference w:type="default" r:id="rId11"/>
      <w:headerReference w:type="first" r:id="rId12"/>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Tahoma">
    <w:panose1 w:val="020B0604030504040204"/>
  </w:font>
  <w:font w:name="方正小标宋_GBK;微软雅黑">
    <w:panose1 w:val="020B0503020202020204"/>
  </w:font>
  <w:font w:name="Noto Sans CJK SC">
    <w:panose1 w:val="020B0503020202020204"/>
  </w:font>
  <w:font w:name="Wingdings">
    <w:panose1 w:val="05000000000000000000"/>
  </w:font>
  <w:font w:name="Liberation Sans">
    <w:panose1 w:val="020B0604020202020204"/>
  </w:font>
  <w:font w:name="Calibri">
    <w:panose1 w:val="020F0502020204030204"/>
  </w:font>
  <w:font w:name="仿宋_GB2312;仿宋">
    <w:panose1 w:val="02010609060101010101"/>
  </w:font>
  <w:font w:name="Lohit Devanagari">
    <w:panose1 w:val="020B0600000000000000"/>
  </w:font>
  <w:font w:name="Courier New">
    <w:panose1 w:val="02070309020205020404"/>
  </w:font>
  <w:font w:name="方正黑体_GBK;微软雅黑">
    <w:panose1 w:val="020B0503020202020204"/>
  </w:font>
  <w:font w:name="Verdana">
    <w:panose1 w:val="020B0604030504040204"/>
  </w:font>
  <w:font w:name="黑体">
    <w:panose1 w:val="02010609060101010101"/>
  </w:font>
  <w:font w:name="幼圆;宋体">
    <w:panose1 w:val="02010509060101010101"/>
  </w:font>
  <w:font w:name="楷体_GB2312;楷体">
    <w:panose1 w:val="02010609060101010101"/>
  </w:font>
  <w:font w:name="Arial">
    <w:panose1 w:val="020B0604020202020204"/>
  </w:font>
  <w:font w:name="Arial Unicode MS;宋体">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eastAsia="Times New Roman"/>
        <w:b/>
        <w:i/>
        <w:sz w:val="20"/>
      </w:rPr>
    </w:pPr>
    <w:r>
      <w:rPr>
        <w:rFonts w:eastAsia="Times New Roman"/>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eastAsia="Times New Roman"/>
        <w:b/>
        <w:i/>
        <w:sz w:val="20"/>
      </w:rPr>
    </w:pPr>
    <w:r>
      <w:rPr>
        <w:rFonts w:eastAsia="Times New Roman"/>
        <w:b/>
        <w:i/>
        <w:sz w:val="20"/>
      </w:rPr>
      <w:t xml:space="preserve"> </w:t>
    </w:r>
    <w: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0" allowOverlap="1">
              <wp:simplePos x="0" y="0"/>
              <wp:positionH relativeFrom="margin">
                <wp:align>center</wp:align>
              </wp:positionH>
              <wp:positionV relativeFrom="paragraph">
                <wp:posOffset>635</wp:posOffset>
              </wp:positionV>
              <wp:extent cx="132080" cy="156845"/>
              <wp:effectExtent l="0" t="0" r="0" b="0"/>
              <wp:wrapNone/>
              <wp:docPr id="1" name="Frame2"/>
              <wp:cNvGraphicFramePr/>
              <a:graphic xmlns:a="http://schemas.openxmlformats.org/drawingml/2006/main">
                <a:graphicData uri="http://schemas.microsoft.com/office/word/2010/wordprocessingShape">
                  <wps:wsp>
                    <wps:cNvPr id="0" name=""/>
                    <wps:cNvSpPr txBox="1"/>
                    <wps:spPr bwMode="auto">
                      <a:xfrm>
                        <a:off x="0" y="0"/>
                        <a:ext cx="132080" cy="156845"/>
                      </a:xfrm>
                      <a:prstGeom prst="rect">
                        <a:avLst/>
                      </a:prstGeom>
                      <a:solidFill>
                        <a:srgbClr val="FFFFFF">
                          <a:alpha val="0"/>
                        </a:srgbClr>
                      </a:solidFill>
                    </wps:spPr>
                    <wps:txbx>
                      <w:txbxContent>
                        <w:p>
                          <w:pPr>
                            <w:pStyle w:val="734"/>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wps:txbx>
                    <wps:bodyPr lIns="635" tIns="635" rIns="635" bIns="635" anchor="t">
                      <a:spAutoFit/>
                    </wps:bodyPr>
                  </wps:wsp>
                </a:graphicData>
              </a:graphic>
            </wp:anchor>
          </w:drawing>
        </mc:Choice>
        <mc:Fallback>
          <w:pict>
            <v:shape id="shape 0" o:spid="_x0000_s0" o:spt="202" type="#_x0000_t202" style="position:absolute;z-index:-251660288;o:allowoverlap:true;o:allowincell:false;mso-position-horizontal-relative:margin;mso-position-horizontal:center;mso-position-vertical-relative:text;margin-top:0.0pt;mso-position-vertical:absolute;width:10.4pt;height:12.3pt;mso-wrap-distance-left:9.0pt;mso-wrap-distance-top:0.0pt;mso-wrap-distance-right:9.0pt;mso-wrap-distance-bottom:0.0pt;v-text-anchor:top;visibility:visible;" fillcolor="#FFFFFF">
              <v:fill opacity="100f"/>
              <v:textbox inset="0,0,0,0">
                <w:txbxContent>
                  <w:p>
                    <w:pPr>
                      <w:pStyle w:val="734"/>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11"/>
      <w:isLgl w:val="false"/>
      <w:suff w:val="tab"/>
      <w:lvlText w:val="附录%1."/>
      <w:lvlJc w:val="left"/>
      <w:pPr>
        <w:ind w:left="907" w:hanging="907"/>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719"/>
      <w:isLgl w:val="false"/>
      <w:suff w:val="nothing"/>
      <w:lvlText w:val=""/>
      <w:lvlJc w:val="left"/>
      <w:pPr>
        <w:ind w:left="0" w:firstLine="0"/>
        <w:tabs>
          <w:tab w:val="left" w:pos="0" w:leader="none"/>
        </w:tabs>
      </w:pPr>
    </w:lvl>
    <w:lvl w:ilvl="6">
      <w:start w:val="1"/>
      <w:numFmt w:val="none"/>
      <w:pStyle w:val="720"/>
      <w:isLgl w:val="false"/>
      <w:suff w:val="nothing"/>
      <w:lvlText w:val=""/>
      <w:lvlJc w:val="left"/>
      <w:pPr>
        <w:ind w:left="0" w:firstLine="0"/>
        <w:tabs>
          <w:tab w:val="left" w:pos="0" w:leader="none"/>
        </w:tabs>
      </w:pPr>
    </w:lvl>
    <w:lvl w:ilvl="7">
      <w:start w:val="1"/>
      <w:numFmt w:val="none"/>
      <w:pStyle w:val="721"/>
      <w:isLgl w:val="false"/>
      <w:suff w:val="nothing"/>
      <w:lvlText w:val=""/>
      <w:lvlJc w:val="left"/>
      <w:pPr>
        <w:ind w:left="0" w:firstLine="0"/>
        <w:tabs>
          <w:tab w:val="left" w:pos="0" w:leader="none"/>
        </w:tabs>
      </w:pPr>
    </w:lvl>
    <w:lvl w:ilvl="8">
      <w:start w:val="1"/>
      <w:numFmt w:val="none"/>
      <w:pStyle w:val="722"/>
      <w:isLgl w:val="false"/>
      <w:suff w:val="nothing"/>
      <w:lvlText w:val=""/>
      <w:lvlJc w:val="left"/>
      <w:pPr>
        <w:ind w:left="0" w:firstLine="0"/>
        <w:tabs>
          <w:tab w:val="left" w:pos="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7"/>
      <w:isLgl w:val="false"/>
      <w:suff w:val="tab"/>
      <w:lvlText w:val="%1."/>
      <w:lvlJc w:val="left"/>
      <w:pPr>
        <w:ind w:left="709" w:hanging="709"/>
        <w:tabs>
          <w:tab w:val="left" w:pos="0" w:leader="none"/>
        </w:tabs>
      </w:pPr>
    </w:lvl>
    <w:lvl w:ilvl="1">
      <w:start w:val="1"/>
      <w:numFmt w:val="decimal"/>
      <w:isLgl w:val="false"/>
      <w:suff w:val="tab"/>
      <w:lvlText w:val="%1.%2"/>
      <w:lvlJc w:val="left"/>
      <w:pPr>
        <w:ind w:left="709" w:hanging="709"/>
        <w:tabs>
          <w:tab w:val="left" w:pos="0" w:leader="none"/>
        </w:tabs>
      </w:pPr>
    </w:lvl>
    <w:lvl w:ilvl="2">
      <w:start w:val="1"/>
      <w:numFmt w:val="decimal"/>
      <w:isLgl w:val="false"/>
      <w:suff w:val="tab"/>
      <w:lvlText w:val="%1.%2.%3."/>
      <w:lvlJc w:val="left"/>
      <w:pPr>
        <w:ind w:left="425" w:hanging="425"/>
        <w:tabs>
          <w:tab w:val="left" w:pos="0" w:leader="none"/>
        </w:tabs>
      </w:pPr>
    </w:lvl>
    <w:lvl w:ilvl="3">
      <w:start w:val="1"/>
      <w:numFmt w:val="decimal"/>
      <w:isLgl w:val="false"/>
      <w:suff w:val="tab"/>
      <w:lvlText w:val="%1.%2.%3.%4."/>
      <w:lvlJc w:val="left"/>
      <w:pPr>
        <w:ind w:left="851" w:hanging="851"/>
        <w:tabs>
          <w:tab w:val="left" w:pos="0" w:leader="none"/>
        </w:tabs>
      </w:pPr>
    </w:lvl>
    <w:lvl w:ilvl="4">
      <w:start w:val="1"/>
      <w:numFmt w:val="decimal"/>
      <w:isLgl w:val="false"/>
      <w:suff w:val="tab"/>
      <w:lvlText w:val="%1.%2.%3.%4.%5."/>
      <w:lvlJc w:val="left"/>
      <w:pPr>
        <w:ind w:left="992" w:hanging="992"/>
        <w:tabs>
          <w:tab w:val="left" w:pos="0" w:leader="none"/>
        </w:tabs>
      </w:pPr>
    </w:lvl>
    <w:lvl w:ilvl="5">
      <w:start w:val="1"/>
      <w:numFmt w:val="decimal"/>
      <w:isLgl w:val="false"/>
      <w:suff w:val="tab"/>
      <w:lvlText w:val="%1.%2.%3.%4.%5.%6."/>
      <w:lvlJc w:val="left"/>
      <w:pPr>
        <w:ind w:left="1134" w:hanging="1134"/>
        <w:tabs>
          <w:tab w:val="left" w:pos="0" w:leader="none"/>
        </w:tabs>
      </w:pPr>
    </w:lvl>
    <w:lvl w:ilvl="6">
      <w:start w:val="1"/>
      <w:numFmt w:val="decimal"/>
      <w:isLgl w:val="false"/>
      <w:suff w:val="tab"/>
      <w:lvlText w:val="%1.%2.%3.%4.%5.%6.%7."/>
      <w:lvlJc w:val="left"/>
      <w:pPr>
        <w:ind w:left="1276" w:hanging="1276"/>
        <w:tabs>
          <w:tab w:val="left" w:pos="0" w:leader="none"/>
        </w:tabs>
      </w:pPr>
    </w:lvl>
    <w:lvl w:ilvl="7">
      <w:start w:val="1"/>
      <w:numFmt w:val="decimal"/>
      <w:isLgl w:val="false"/>
      <w:suff w:val="tab"/>
      <w:lvlText w:val="%1.%2.%3.%4.%5.%6.%7.%8."/>
      <w:lvlJc w:val="left"/>
      <w:pPr>
        <w:ind w:left="1418" w:hanging="1418"/>
        <w:tabs>
          <w:tab w:val="left" w:pos="0" w:leader="none"/>
        </w:tabs>
      </w:pPr>
    </w:lvl>
    <w:lvl w:ilvl="8">
      <w:start w:val="1"/>
      <w:numFmt w:val="decimal"/>
      <w:isLgl w:val="false"/>
      <w:suff w:val="tab"/>
      <w:lvlText w:val="%1.%2.%3.%4.%5.%6.%7.%8.%9."/>
      <w:lvlJc w:val="left"/>
      <w:pPr>
        <w:ind w:left="1559" w:hanging="1559"/>
        <w:tabs>
          <w:tab w:val="left" w:pos="0" w:leader="none"/>
        </w:tabs>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3"/>
    <w:link w:val="714"/>
    <w:uiPriority w:val="9"/>
    <w:rPr>
      <w:rFonts w:ascii="Arial" w:hAnsi="Arial" w:eastAsia="Arial" w:cs="Arial"/>
      <w:sz w:val="40"/>
      <w:szCs w:val="40"/>
    </w:rPr>
  </w:style>
  <w:style w:type="character" w:styleId="15">
    <w:name w:val="Heading 2 Char"/>
    <w:basedOn w:val="723"/>
    <w:link w:val="715"/>
    <w:uiPriority w:val="9"/>
    <w:rPr>
      <w:rFonts w:ascii="Arial" w:hAnsi="Arial" w:eastAsia="Arial" w:cs="Arial"/>
      <w:sz w:val="34"/>
    </w:rPr>
  </w:style>
  <w:style w:type="character" w:styleId="17">
    <w:name w:val="Heading 3 Char"/>
    <w:basedOn w:val="723"/>
    <w:link w:val="716"/>
    <w:uiPriority w:val="9"/>
    <w:rPr>
      <w:rFonts w:ascii="Arial" w:hAnsi="Arial" w:eastAsia="Arial" w:cs="Arial"/>
      <w:sz w:val="30"/>
      <w:szCs w:val="30"/>
    </w:rPr>
  </w:style>
  <w:style w:type="character" w:styleId="19">
    <w:name w:val="Heading 4 Char"/>
    <w:basedOn w:val="723"/>
    <w:link w:val="717"/>
    <w:uiPriority w:val="9"/>
    <w:rPr>
      <w:rFonts w:ascii="Arial" w:hAnsi="Arial" w:eastAsia="Arial" w:cs="Arial"/>
      <w:b/>
      <w:bCs/>
      <w:sz w:val="26"/>
      <w:szCs w:val="26"/>
    </w:rPr>
  </w:style>
  <w:style w:type="character" w:styleId="21">
    <w:name w:val="Heading 5 Char"/>
    <w:basedOn w:val="723"/>
    <w:link w:val="718"/>
    <w:uiPriority w:val="9"/>
    <w:rPr>
      <w:rFonts w:ascii="Arial" w:hAnsi="Arial" w:eastAsia="Arial" w:cs="Arial"/>
      <w:b/>
      <w:bCs/>
      <w:sz w:val="24"/>
      <w:szCs w:val="24"/>
    </w:rPr>
  </w:style>
  <w:style w:type="character" w:styleId="23">
    <w:name w:val="Heading 6 Char"/>
    <w:basedOn w:val="723"/>
    <w:link w:val="719"/>
    <w:uiPriority w:val="9"/>
    <w:rPr>
      <w:rFonts w:ascii="Arial" w:hAnsi="Arial" w:eastAsia="Arial" w:cs="Arial"/>
      <w:b/>
      <w:bCs/>
      <w:sz w:val="22"/>
      <w:szCs w:val="22"/>
    </w:rPr>
  </w:style>
  <w:style w:type="character" w:styleId="25">
    <w:name w:val="Heading 7 Char"/>
    <w:basedOn w:val="723"/>
    <w:link w:val="720"/>
    <w:uiPriority w:val="9"/>
    <w:rPr>
      <w:rFonts w:ascii="Arial" w:hAnsi="Arial" w:eastAsia="Arial" w:cs="Arial"/>
      <w:b/>
      <w:bCs/>
      <w:i/>
      <w:iCs/>
      <w:sz w:val="22"/>
      <w:szCs w:val="22"/>
    </w:rPr>
  </w:style>
  <w:style w:type="character" w:styleId="27">
    <w:name w:val="Heading 8 Char"/>
    <w:basedOn w:val="723"/>
    <w:link w:val="721"/>
    <w:uiPriority w:val="9"/>
    <w:rPr>
      <w:rFonts w:ascii="Arial" w:hAnsi="Arial" w:eastAsia="Arial" w:cs="Arial"/>
      <w:i/>
      <w:iCs/>
      <w:sz w:val="22"/>
      <w:szCs w:val="22"/>
    </w:rPr>
  </w:style>
  <w:style w:type="character" w:styleId="29">
    <w:name w:val="Heading 9 Char"/>
    <w:basedOn w:val="723"/>
    <w:link w:val="722"/>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723"/>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723"/>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3"/>
    <w:link w:val="735"/>
    <w:uiPriority w:val="99"/>
  </w:style>
  <w:style w:type="character" w:styleId="44">
    <w:name w:val="Footer Char"/>
    <w:basedOn w:val="723"/>
    <w:link w:val="734"/>
    <w:uiPriority w:val="99"/>
  </w:style>
  <w:style w:type="character" w:styleId="46">
    <w:name w:val="Caption Char"/>
    <w:basedOn w:val="727"/>
    <w:link w:val="734"/>
    <w:uiPriority w:val="99"/>
  </w:style>
  <w:style w:type="table" w:styleId="47">
    <w:name w:val="Table Grid"/>
    <w:basedOn w:val="72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5fdbc" w:themeFill="accent1" w:themeFillTint="32"/>
      </w:tcPr>
    </w:tblStylePr>
    <w:tblStylePr w:type="band1Vert">
      <w:rPr>
        <w:rFonts w:ascii="Arial" w:hAnsi="Arial"/>
        <w:color w:val="404040"/>
        <w:sz w:val="22"/>
      </w:rPr>
      <w:tcPr>
        <w:shd w:val="clear" w:color="ffffff" w:themeColor="accent1" w:themeTint="32" w:fill="c5fdbc"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ebe03"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43c0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c99c00"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c9211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3fdba" w:themeFill="accent1" w:themeFillTint="34"/>
    </w:tblPr>
    <w:tblStylePr w:type="band1Horz">
      <w:tcPr>
        <w:shd w:val="clear" w:color="ffffff" w:themeColor="accent1" w:themeTint="75" w:fill="79fb64" w:themeFill="accent1" w:themeFillTint="75"/>
      </w:tcPr>
    </w:tblStylePr>
    <w:tblStylePr w:type="band1Vert">
      <w:tcPr>
        <w:shd w:val="clear" w:color="ffffff" w:themeColor="accent1" w:themeTint="75" w:fill="79fb64" w:themeFill="accent1" w:themeFillTint="75"/>
      </w:tcPr>
    </w:tblStylePr>
    <w:tblStylePr w:type="firstCol">
      <w:rPr>
        <w:rFonts w:ascii="Arial" w:hAnsi="Arial"/>
        <w:b/>
        <w:color w:val="ffffff"/>
        <w:sz w:val="22"/>
      </w:rPr>
      <w:tcPr>
        <w:shd w:val="clear" w:color="ffffff" w:themeColor="accent1" w:fill="18a303" w:themeFill="accent1"/>
      </w:tcPr>
    </w:tblStylePr>
    <w:tblStylePr w:type="firstRow">
      <w:rPr>
        <w:rFonts w:ascii="Arial" w:hAnsi="Arial"/>
        <w:b/>
        <w:color w:val="ffffff"/>
        <w:sz w:val="22"/>
      </w:rPr>
      <w:tcPr>
        <w:shd w:val="clear" w:color="ffffff" w:themeColor="accent1" w:fill="18a303" w:themeFill="accent1"/>
      </w:tcPr>
    </w:tblStylePr>
    <w:tblStylePr w:type="lastCol">
      <w:rPr>
        <w:rFonts w:ascii="Arial" w:hAnsi="Arial"/>
        <w:b/>
        <w:color w:val="ffffff"/>
        <w:sz w:val="22"/>
      </w:rPr>
      <w:tcPr>
        <w:shd w:val="clear" w:color="ffffff" w:themeColor="accent1" w:fill="18a303" w:themeFill="accent1"/>
      </w:tcPr>
    </w:tblStylePr>
    <w:tblStylePr w:type="lastRow">
      <w:rPr>
        <w:rFonts w:ascii="Arial" w:hAnsi="Arial"/>
        <w:b/>
        <w:color w:val="ffffff"/>
        <w:sz w:val="22"/>
      </w:rPr>
      <w:tcPr>
        <w:shd w:val="clear" w:color="ffffff" w:themeColor="accent1" w:fill="18a303" w:themeFill="accent1"/>
        <w:tcBorders>
          <w:top w:val="single" w:color="000000" w:themeColor="light1" w:sz="4" w:space="0"/>
        </w:tcBorders>
      </w:tcPr>
    </w:tblStylePr>
  </w:style>
  <w:style w:type="table" w:styleId="84">
    <w:name w:val="Grid Table 5 Dark - Accent 2"/>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bce7fd" w:themeFill="accent2" w:themeFillTint="32"/>
    </w:tblPr>
    <w:tblStylePr w:type="band1Horz">
      <w:tcPr>
        <w:shd w:val="clear" w:color="ffffff" w:themeColor="accent2" w:themeTint="75" w:fill="64c8fb" w:themeFill="accent2" w:themeFillTint="75"/>
      </w:tcPr>
    </w:tblStylePr>
    <w:tblStylePr w:type="band1Vert">
      <w:tcPr>
        <w:shd w:val="clear" w:color="ffffff" w:themeColor="accent2" w:themeTint="75" w:fill="64c8fb" w:themeFill="accent2" w:themeFillTint="75"/>
      </w:tcPr>
    </w:tblStylePr>
    <w:tblStylePr w:type="firstCol">
      <w:rPr>
        <w:rFonts w:ascii="Arial" w:hAnsi="Arial"/>
        <w:b/>
        <w:color w:val="ffffff"/>
        <w:sz w:val="22"/>
      </w:rPr>
      <w:tcPr>
        <w:shd w:val="clear" w:color="ffffff" w:themeColor="accent2" w:fill="0369a3" w:themeFill="accent2"/>
      </w:tcPr>
    </w:tblStylePr>
    <w:tblStylePr w:type="firstRow">
      <w:rPr>
        <w:rFonts w:ascii="Arial" w:hAnsi="Arial"/>
        <w:b/>
        <w:color w:val="ffffff"/>
        <w:sz w:val="22"/>
      </w:rPr>
      <w:tcPr>
        <w:shd w:val="clear" w:color="ffffff" w:themeColor="accent2" w:fill="0369a3" w:themeFill="accent2"/>
      </w:tcPr>
    </w:tblStylePr>
    <w:tblStylePr w:type="lastCol">
      <w:rPr>
        <w:rFonts w:ascii="Arial" w:hAnsi="Arial"/>
        <w:b/>
        <w:color w:val="ffffff"/>
        <w:sz w:val="22"/>
      </w:rPr>
      <w:tcPr>
        <w:shd w:val="clear" w:color="ffffff" w:themeColor="accent2" w:fill="0369a3" w:themeFill="accent2"/>
      </w:tcPr>
    </w:tblStylePr>
    <w:tblStylePr w:type="lastRow">
      <w:rPr>
        <w:rFonts w:ascii="Arial" w:hAnsi="Arial"/>
        <w:b/>
        <w:color w:val="ffffff"/>
        <w:sz w:val="22"/>
      </w:rPr>
      <w:tcPr>
        <w:shd w:val="clear" w:color="ffffff" w:themeColor="accent2" w:fill="0369a3" w:themeFill="accent2"/>
        <w:tcBorders>
          <w:top w:val="single" w:color="000000" w:themeColor="light1" w:sz="4" w:space="0"/>
        </w:tcBorders>
      </w:tcPr>
    </w:tblStylePr>
  </w:style>
  <w:style w:type="table" w:styleId="85">
    <w:name w:val="Grid Table 5 Dark - Accent 3"/>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dd2ba" w:themeFill="accent3" w:themeFillTint="34"/>
    </w:tblPr>
    <w:tblStylePr w:type="band1Horz">
      <w:tcPr>
        <w:shd w:val="clear" w:color="ffffff" w:themeColor="accent3" w:themeTint="75" w:fill="fb9964" w:themeFill="accent3" w:themeFillTint="75"/>
      </w:tcPr>
    </w:tblStylePr>
    <w:tblStylePr w:type="band1Vert">
      <w:tcPr>
        <w:shd w:val="clear" w:color="ffffff" w:themeColor="accent3" w:themeTint="75" w:fill="fb9964" w:themeFill="accent3" w:themeFillTint="75"/>
      </w:tcPr>
    </w:tblStylePr>
    <w:tblStylePr w:type="firstCol">
      <w:rPr>
        <w:rFonts w:ascii="Arial" w:hAnsi="Arial"/>
        <w:b/>
        <w:color w:val="ffffff"/>
        <w:sz w:val="22"/>
      </w:rPr>
      <w:tcPr>
        <w:shd w:val="clear" w:color="ffffff" w:themeColor="accent3" w:fill="a33e03" w:themeFill="accent3"/>
      </w:tcPr>
    </w:tblStylePr>
    <w:tblStylePr w:type="firstRow">
      <w:rPr>
        <w:rFonts w:ascii="Arial" w:hAnsi="Arial"/>
        <w:b/>
        <w:color w:val="ffffff"/>
        <w:sz w:val="22"/>
      </w:rPr>
      <w:tcPr>
        <w:shd w:val="clear" w:color="ffffff" w:themeColor="accent3" w:fill="a33e03" w:themeFill="accent3"/>
      </w:tcPr>
    </w:tblStylePr>
    <w:tblStylePr w:type="lastCol">
      <w:rPr>
        <w:rFonts w:ascii="Arial" w:hAnsi="Arial"/>
        <w:b/>
        <w:color w:val="ffffff"/>
        <w:sz w:val="22"/>
      </w:rPr>
      <w:tcPr>
        <w:shd w:val="clear" w:color="ffffff" w:themeColor="accent3" w:fill="a33e03" w:themeFill="accent3"/>
      </w:tcPr>
    </w:tblStylePr>
    <w:tblStylePr w:type="lastRow">
      <w:rPr>
        <w:rFonts w:ascii="Arial" w:hAnsi="Arial"/>
        <w:b/>
        <w:color w:val="ffffff"/>
        <w:sz w:val="22"/>
      </w:rPr>
      <w:tcPr>
        <w:shd w:val="clear" w:color="ffffff" w:themeColor="accent3" w:fill="a33e03" w:themeFill="accent3"/>
        <w:tcBorders>
          <w:top w:val="single" w:color="000000" w:themeColor="light1" w:sz="4" w:space="0"/>
        </w:tcBorders>
      </w:tcPr>
    </w:tblStylePr>
  </w:style>
  <w:style w:type="table" w:styleId="86">
    <w:name w:val="Grid Table 5 Dark- Accent 4"/>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3bafd" w:themeFill="accent4" w:themeFillTint="34"/>
    </w:tblPr>
    <w:tblStylePr w:type="band1Horz">
      <w:tcPr>
        <w:shd w:val="clear" w:color="ffffff" w:themeColor="accent4" w:themeTint="75" w:fill="e464fb" w:themeFill="accent4" w:themeFillTint="75"/>
      </w:tcPr>
    </w:tblStylePr>
    <w:tblStylePr w:type="band1Vert">
      <w:tcPr>
        <w:shd w:val="clear" w:color="ffffff" w:themeColor="accent4" w:themeTint="75" w:fill="e464fb" w:themeFill="accent4" w:themeFillTint="75"/>
      </w:tcPr>
    </w:tblStylePr>
    <w:tblStylePr w:type="firstCol">
      <w:rPr>
        <w:rFonts w:ascii="Arial" w:hAnsi="Arial"/>
        <w:b/>
        <w:color w:val="ffffff"/>
        <w:sz w:val="22"/>
      </w:rPr>
      <w:tcPr>
        <w:shd w:val="clear" w:color="ffffff" w:themeColor="accent4" w:fill="8e03a3" w:themeFill="accent4"/>
      </w:tcPr>
    </w:tblStylePr>
    <w:tblStylePr w:type="firstRow">
      <w:rPr>
        <w:rFonts w:ascii="Arial" w:hAnsi="Arial"/>
        <w:b/>
        <w:color w:val="ffffff"/>
        <w:sz w:val="22"/>
      </w:rPr>
      <w:tcPr>
        <w:shd w:val="clear" w:color="ffffff" w:themeColor="accent4" w:fill="8e03a3" w:themeFill="accent4"/>
      </w:tcPr>
    </w:tblStylePr>
    <w:tblStylePr w:type="lastCol">
      <w:rPr>
        <w:rFonts w:ascii="Arial" w:hAnsi="Arial"/>
        <w:b/>
        <w:color w:val="ffffff"/>
        <w:sz w:val="22"/>
      </w:rPr>
      <w:tcPr>
        <w:shd w:val="clear" w:color="ffffff" w:themeColor="accent4" w:fill="8e03a3" w:themeFill="accent4"/>
      </w:tcPr>
    </w:tblStylePr>
    <w:tblStylePr w:type="lastRow">
      <w:rPr>
        <w:rFonts w:ascii="Arial" w:hAnsi="Arial"/>
        <w:b/>
        <w:color w:val="ffffff"/>
        <w:sz w:val="22"/>
      </w:rPr>
      <w:tcPr>
        <w:shd w:val="clear" w:color="ffffff" w:themeColor="accent4" w:fill="8e03a3" w:themeFill="accent4"/>
        <w:tcBorders>
          <w:top w:val="single" w:color="000000" w:themeColor="light1" w:sz="4" w:space="0"/>
        </w:tcBorders>
      </w:tcPr>
    </w:tblStylePr>
  </w:style>
  <w:style w:type="table" w:styleId="87">
    <w:name w:val="Grid Table 5 Dark - Accent 5"/>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fefbf" w:themeFill="accent5" w:themeFillTint="34"/>
    </w:tblPr>
    <w:tblStylePr w:type="band1Horz">
      <w:tcPr>
        <w:shd w:val="clear" w:color="ffffff" w:themeColor="accent5" w:themeTint="75" w:fill="ffdb71" w:themeFill="accent5" w:themeFillTint="75"/>
      </w:tcPr>
    </w:tblStylePr>
    <w:tblStylePr w:type="band1Vert">
      <w:tcPr>
        <w:shd w:val="clear" w:color="ffffff" w:themeColor="accent5" w:themeTint="75" w:fill="ffdb71" w:themeFill="accent5" w:themeFillTint="75"/>
      </w:tcPr>
    </w:tblStylePr>
    <w:tblStylePr w:type="firstCol">
      <w:rPr>
        <w:rFonts w:ascii="Arial" w:hAnsi="Arial"/>
        <w:b/>
        <w:color w:val="ffffff"/>
        <w:sz w:val="22"/>
      </w:rPr>
      <w:tcPr>
        <w:shd w:val="clear" w:color="ffffff" w:themeColor="accent5" w:fill="c99c00" w:themeFill="accent5"/>
      </w:tcPr>
    </w:tblStylePr>
    <w:tblStylePr w:type="firstRow">
      <w:rPr>
        <w:rFonts w:ascii="Arial" w:hAnsi="Arial"/>
        <w:b/>
        <w:color w:val="ffffff"/>
        <w:sz w:val="22"/>
      </w:rPr>
      <w:tcPr>
        <w:shd w:val="clear" w:color="ffffff" w:themeColor="accent5" w:fill="c99c00" w:themeFill="accent5"/>
      </w:tcPr>
    </w:tblStylePr>
    <w:tblStylePr w:type="lastCol">
      <w:rPr>
        <w:rFonts w:ascii="Arial" w:hAnsi="Arial"/>
        <w:b/>
        <w:color w:val="ffffff"/>
        <w:sz w:val="22"/>
      </w:rPr>
      <w:tcPr>
        <w:shd w:val="clear" w:color="ffffff" w:themeColor="accent5" w:fill="c99c00" w:themeFill="accent5"/>
      </w:tcPr>
    </w:tblStylePr>
    <w:tblStylePr w:type="lastRow">
      <w:rPr>
        <w:rFonts w:ascii="Arial" w:hAnsi="Arial"/>
        <w:b/>
        <w:color w:val="ffffff"/>
        <w:sz w:val="22"/>
      </w:rPr>
      <w:tcPr>
        <w:shd w:val="clear" w:color="ffffff" w:themeColor="accent5" w:fill="c99c00" w:themeFill="accent5"/>
        <w:tcBorders>
          <w:top w:val="single" w:color="000000" w:themeColor="light1" w:sz="4" w:space="0"/>
        </w:tcBorders>
      </w:tcPr>
    </w:tblStylePr>
  </w:style>
  <w:style w:type="table" w:styleId="88">
    <w:name w:val="Grid Table 5 Dark - Accent 6"/>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7cccc" w:themeFill="accent6" w:themeFillTint="34"/>
    </w:tblPr>
    <w:tblStylePr w:type="band1Horz">
      <w:tcPr>
        <w:shd w:val="clear" w:color="ffffff" w:themeColor="accent6" w:themeTint="75" w:fill="ee8f8f" w:themeFill="accent6" w:themeFillTint="75"/>
      </w:tcPr>
    </w:tblStylePr>
    <w:tblStylePr w:type="band1Vert">
      <w:tcPr>
        <w:shd w:val="clear" w:color="ffffff" w:themeColor="accent6" w:themeTint="75" w:fill="ee8f8f" w:themeFill="accent6" w:themeFillTint="75"/>
      </w:tcPr>
    </w:tblStylePr>
    <w:tblStylePr w:type="firstCol">
      <w:rPr>
        <w:rFonts w:ascii="Arial" w:hAnsi="Arial"/>
        <w:b/>
        <w:color w:val="ffffff"/>
        <w:sz w:val="22"/>
      </w:rPr>
      <w:tcPr>
        <w:shd w:val="clear" w:color="ffffff" w:themeColor="accent6" w:fill="c9211e" w:themeFill="accent6"/>
      </w:tcPr>
    </w:tblStylePr>
    <w:tblStylePr w:type="firstRow">
      <w:rPr>
        <w:rFonts w:ascii="Arial" w:hAnsi="Arial"/>
        <w:b/>
        <w:color w:val="ffffff"/>
        <w:sz w:val="22"/>
      </w:rPr>
      <w:tcPr>
        <w:shd w:val="clear" w:color="ffffff" w:themeColor="accent6" w:fill="c9211e" w:themeFill="accent6"/>
      </w:tcPr>
    </w:tblStylePr>
    <w:tblStylePr w:type="lastCol">
      <w:rPr>
        <w:rFonts w:ascii="Arial" w:hAnsi="Arial"/>
        <w:b/>
        <w:color w:val="ffffff"/>
        <w:sz w:val="22"/>
      </w:rPr>
      <w:tcPr>
        <w:shd w:val="clear" w:color="ffffff" w:themeColor="accent6" w:fill="c9211e" w:themeFill="accent6"/>
      </w:tcPr>
    </w:tblStylePr>
    <w:tblStylePr w:type="lastRow">
      <w:rPr>
        <w:rFonts w:ascii="Arial" w:hAnsi="Arial"/>
        <w:b/>
        <w:color w:val="ffffff"/>
        <w:sz w:val="22"/>
      </w:rPr>
      <w:tcPr>
        <w:shd w:val="clear" w:color="ffffff" w:themeColor="accent6" w:fill="c9211e" w:themeFill="accent6"/>
        <w:tcBorders>
          <w:top w:val="single" w:color="000000" w:themeColor="light1" w:sz="4" w:space="0"/>
        </w:tcBorders>
      </w:tcPr>
    </w:tblStylePr>
  </w:style>
  <w:style w:type="table" w:styleId="89">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404040" w:themeColor="accent1" w:themeTint="80" w:themeShade="95"/>
        <w:sz w:val="22"/>
      </w:rPr>
    </w:tblStylePr>
    <w:tblStylePr w:type="firstCol">
      <w:rPr>
        <w:b/>
        <w:color w:val="1ebf04" w:themeColor="accent1" w:themeTint="80" w:themeShade="95"/>
      </w:rPr>
    </w:tblStylePr>
    <w:tblStylePr w:type="firstRow">
      <w:rPr>
        <w:b/>
        <w:color w:val="1ebf04" w:themeColor="accent1" w:themeTint="80" w:themeShade="95"/>
      </w:rPr>
      <w:tcPr>
        <w:tcBorders>
          <w:bottom w:val="single" w:color="000000" w:themeColor="accent1" w:themeTint="80" w:sz="12" w:space="0"/>
        </w:tcBorders>
      </w:tcPr>
    </w:tblStylePr>
    <w:tblStylePr w:type="lastCol">
      <w:rPr>
        <w:b/>
        <w:color w:val="1ebf04" w:themeColor="accent1" w:themeTint="80" w:themeShade="95"/>
      </w:rPr>
    </w:tblStylePr>
    <w:tblStylePr w:type="lastRow">
      <w:rPr>
        <w:b/>
        <w:color w:val="1ebf0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12" w:space="0"/>
        </w:tcBorders>
      </w:tcPr>
    </w:tblStylePr>
    <w:tblStylePr w:type="lastCol">
      <w:rPr>
        <w:b/>
        <w:color w:val="0378ae" w:themeColor="accent2" w:themeTint="97" w:themeShade="95"/>
      </w:rPr>
    </w:tblStylePr>
    <w:tblStylePr w:type="lastRow">
      <w:rPr>
        <w:b/>
        <w:color w:val="0378ae"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404040" w:themeColor="accent3" w:themeTint="FE" w:themeShade="95"/>
        <w:sz w:val="22"/>
      </w:rPr>
    </w:tblStylePr>
    <w:tblStylePr w:type="firstCol">
      <w:rPr>
        <w:b/>
        <w:color w:val="5e2201" w:themeColor="accent3" w:themeTint="FE" w:themeShade="95"/>
      </w:rPr>
    </w:tblStylePr>
    <w:tblStylePr w:type="firstRow">
      <w:rPr>
        <w:b/>
        <w:color w:val="5e2201" w:themeColor="accent3" w:themeTint="FE" w:themeShade="95"/>
      </w:rPr>
      <w:tcPr>
        <w:tcBorders>
          <w:bottom w:val="single" w:color="000000" w:themeColor="accent3" w:themeTint="FE" w:sz="12" w:space="0"/>
        </w:tcBorders>
      </w:tcPr>
    </w:tblStylePr>
    <w:tblStylePr w:type="lastCol">
      <w:rPr>
        <w:b/>
        <w:color w:val="5e2201" w:themeColor="accent3" w:themeTint="FE" w:themeShade="95"/>
      </w:rPr>
    </w:tblStylePr>
    <w:tblStylePr w:type="lastRow">
      <w:rPr>
        <w:b/>
        <w:color w:val="5e22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12" w:space="0"/>
        </w:tcBorders>
      </w:tcPr>
    </w:tblStylePr>
    <w:tblStylePr w:type="lastCol">
      <w:rPr>
        <w:b/>
        <w:color w:val="9104ab" w:themeColor="accent4" w:themeTint="9A" w:themeShade="95"/>
      </w:rPr>
    </w:tblStylePr>
    <w:tblStylePr w:type="lastRow">
      <w:rPr>
        <w:b/>
        <w:color w:val="9104ab"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5"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6"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96">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ebf04"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1ebf04" w:themeColor="accent1" w:themeTint="80" w:themeShade="95"/>
        <w:sz w:val="22"/>
      </w:rPr>
    </w:tblStylePr>
    <w:tblStylePr w:type="firstCol">
      <w:rPr>
        <w:rFonts w:ascii="Arial" w:hAnsi="Arial"/>
        <w:i/>
        <w:color w:val="1ebf0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ebf0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ebf0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ebf0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0378ae"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0378ae"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0378ae"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e2201"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5e2201" w:themeColor="accent3" w:themeTint="FE" w:themeShade="95"/>
        <w:sz w:val="22"/>
      </w:rPr>
    </w:tblStylePr>
    <w:tblStylePr w:type="firstCol">
      <w:rPr>
        <w:rFonts w:ascii="Arial" w:hAnsi="Arial"/>
        <w:i/>
        <w:color w:val="5e22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e22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e22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e22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9104ab"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9104ab"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9104ab"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74570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745700" w:themeColor="accent5" w:themeShade="95"/>
        <w:sz w:val="22"/>
      </w:rPr>
    </w:tblStylePr>
    <w:tblStylePr w:type="firstCol">
      <w:rPr>
        <w:rFonts w:ascii="Arial" w:hAnsi="Arial"/>
        <w:i/>
        <w:color w:val="745700"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745700"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745700"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745700"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741111" w:themeColor="accent6"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741111" w:themeColor="accent6" w:themeShade="95"/>
        <w:sz w:val="22"/>
      </w:rPr>
    </w:tblStylePr>
    <w:tblStylePr w:type="firstCol">
      <w:rPr>
        <w:rFonts w:ascii="Arial" w:hAnsi="Arial"/>
        <w:i/>
        <w:color w:val="741111"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741111"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741111"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741111"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4"/>
    <w:uiPriority w:val="99"/>
    <w:pPr>
      <w:spacing w:after="0" w:line="240" w:lineRule="auto"/>
    </w:pPr>
    <w:tblPr>
      <w:tblStyleRowBandSize w:val="1"/>
      <w:tblStyleColBandSize w:val="1"/>
      <w:tblInd w:w="0" w:type="dxa"/>
    </w:tblPr>
    <w:tblStylePr w:type="band1Horz">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4"/>
    <w:uiPriority w:val="99"/>
    <w:pPr>
      <w:spacing w:after="0" w:line="240" w:lineRule="auto"/>
    </w:pPr>
    <w:tblPr>
      <w:tblStyleRowBandSize w:val="1"/>
      <w:tblStyleColBandSize w:val="1"/>
      <w:tblInd w:w="0" w:type="dxa"/>
    </w:tblPr>
    <w:tblStylePr w:type="band1Horz">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4"/>
    <w:uiPriority w:val="99"/>
    <w:pPr>
      <w:spacing w:after="0" w:line="240" w:lineRule="auto"/>
    </w:pPr>
    <w:tblPr>
      <w:tblStyleRowBandSize w:val="1"/>
      <w:tblStyleColBandSize w:val="1"/>
      <w:tblInd w:w="0" w:type="dxa"/>
    </w:tblPr>
    <w:tblStylePr w:type="band1Horz">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4"/>
    <w:uiPriority w:val="99"/>
    <w:pPr>
      <w:spacing w:after="0" w:line="240" w:lineRule="auto"/>
    </w:pPr>
    <w:tblPr>
      <w:tblStyleRowBandSize w:val="1"/>
      <w:tblStyleColBandSize w:val="1"/>
      <w:tblInd w:w="0" w:type="dxa"/>
    </w:tblPr>
    <w:tblStylePr w:type="band1Horz">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4"/>
    <w:uiPriority w:val="99"/>
    <w:pPr>
      <w:spacing w:after="0" w:line="240" w:lineRule="auto"/>
    </w:pPr>
    <w:tblPr>
      <w:tblStyleRowBandSize w:val="1"/>
      <w:tblStyleColBandSize w:val="1"/>
      <w:tblInd w:w="0" w:type="dxa"/>
    </w:tblPr>
    <w:tblStylePr w:type="band1Horz">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4"/>
    <w:uiPriority w:val="99"/>
    <w:pPr>
      <w:spacing w:after="0" w:line="240" w:lineRule="auto"/>
    </w:pPr>
    <w:tblPr>
      <w:tblStyleRowBandSize w:val="1"/>
      <w:tblStyleColBandSize w:val="1"/>
      <w:tblInd w:w="0" w:type="dxa"/>
    </w:tblPr>
    <w:tblStylePr w:type="band1Horz">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119">
    <w:name w:val="List Table 3 - Accent 2"/>
    <w:basedOn w:val="7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Pr>
    </w:tblStylePr>
    <w:tblStylePr w:type="lastCol">
      <w:rPr>
        <w:b/>
        <w:color w:val="404040"/>
      </w:rPr>
    </w:tblStylePr>
    <w:tblStylePr w:type="lastRow">
      <w:rPr>
        <w:b/>
        <w:color w:val="404040"/>
      </w:rPr>
    </w:tblStylePr>
  </w:style>
  <w:style w:type="table" w:styleId="120">
    <w:name w:val="List Table 3 - Accent 3"/>
    <w:basedOn w:val="7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a7a35" w:themeFill="accent3" w:themeFillTint="98"/>
      </w:tcPr>
    </w:tblStylePr>
    <w:tblStylePr w:type="lastCol">
      <w:rPr>
        <w:b/>
        <w:color w:val="404040"/>
      </w:rPr>
    </w:tblStylePr>
    <w:tblStylePr w:type="lastRow">
      <w:rPr>
        <w:b/>
        <w:color w:val="404040"/>
      </w:rPr>
    </w:tblStylePr>
  </w:style>
  <w:style w:type="table" w:styleId="121">
    <w:name w:val="List Table 3 - Accent 4"/>
    <w:basedOn w:val="7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Pr>
    </w:tblStylePr>
    <w:tblStylePr w:type="lastCol">
      <w:rPr>
        <w:b/>
        <w:color w:val="404040"/>
      </w:rPr>
    </w:tblStylePr>
    <w:tblStylePr w:type="lastRow">
      <w:rPr>
        <w:b/>
        <w:color w:val="404040"/>
      </w:rPr>
    </w:tblStylePr>
  </w:style>
  <w:style w:type="table" w:styleId="122">
    <w:name w:val="List Table 3 - Accent 5"/>
    <w:basedOn w:val="7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ffd042" w:themeFill="accent5" w:themeFillTint="9A"/>
      </w:tcPr>
    </w:tblStylePr>
    <w:tblStylePr w:type="lastCol">
      <w:rPr>
        <w:b/>
        <w:color w:val="404040"/>
      </w:rPr>
    </w:tblStylePr>
    <w:tblStylePr w:type="lastRow">
      <w:rPr>
        <w:b/>
        <w:color w:val="404040"/>
      </w:rPr>
    </w:tblStylePr>
  </w:style>
  <w:style w:type="table" w:styleId="123">
    <w:name w:val="List Table 3 - Accent 6"/>
    <w:basedOn w:val="7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96e6e" w:themeFill="accent6" w:themeFillTint="98"/>
      </w:tcPr>
    </w:tblStylePr>
    <w:tblStylePr w:type="lastCol">
      <w:rPr>
        <w:b/>
        <w:color w:val="404040"/>
      </w:rPr>
    </w:tblStylePr>
    <w:tblStylePr w:type="lastRow">
      <w:rPr>
        <w:b/>
        <w:color w:val="404040"/>
      </w:rPr>
    </w:tblStylePr>
  </w:style>
  <w:style w:type="table" w:styleId="124">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126">
    <w:name w:val="List Table 4 - Accent 2"/>
    <w:basedOn w:val="7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0369a3" w:themeFill="accent2"/>
      </w:tcPr>
    </w:tblStylePr>
    <w:tblStylePr w:type="lastCol">
      <w:rPr>
        <w:b/>
        <w:color w:val="404040"/>
      </w:rPr>
    </w:tblStylePr>
    <w:tblStylePr w:type="lastRow">
      <w:rPr>
        <w:b/>
        <w:color w:val="404040"/>
      </w:rPr>
    </w:tblStylePr>
  </w:style>
  <w:style w:type="table" w:styleId="127">
    <w:name w:val="List Table 4 - Accent 3"/>
    <w:basedOn w:val="7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33e03" w:themeFill="accent3"/>
      </w:tcPr>
    </w:tblStylePr>
    <w:tblStylePr w:type="lastCol">
      <w:rPr>
        <w:b/>
        <w:color w:val="404040"/>
      </w:rPr>
    </w:tblStylePr>
    <w:tblStylePr w:type="lastRow">
      <w:rPr>
        <w:b/>
        <w:color w:val="404040"/>
      </w:rPr>
    </w:tblStylePr>
  </w:style>
  <w:style w:type="table" w:styleId="128">
    <w:name w:val="List Table 4 - Accent 4"/>
    <w:basedOn w:val="7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e03a3" w:themeFill="accent4"/>
      </w:tcPr>
    </w:tblStylePr>
    <w:tblStylePr w:type="lastCol">
      <w:rPr>
        <w:b/>
        <w:color w:val="404040"/>
      </w:rPr>
    </w:tblStylePr>
    <w:tblStylePr w:type="lastRow">
      <w:rPr>
        <w:b/>
        <w:color w:val="404040"/>
      </w:rPr>
    </w:tblStylePr>
  </w:style>
  <w:style w:type="table" w:styleId="129">
    <w:name w:val="List Table 4 - Accent 5"/>
    <w:basedOn w:val="7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c99c00" w:themeFill="accent5"/>
      </w:tcPr>
    </w:tblStylePr>
    <w:tblStylePr w:type="lastCol">
      <w:rPr>
        <w:b/>
        <w:color w:val="404040"/>
      </w:rPr>
    </w:tblStylePr>
    <w:tblStylePr w:type="lastRow">
      <w:rPr>
        <w:b/>
        <w:color w:val="404040"/>
      </w:rPr>
    </w:tblStylePr>
  </w:style>
  <w:style w:type="table" w:styleId="130">
    <w:name w:val="List Table 4 - Accent 6"/>
    <w:basedOn w:val="7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c9211e" w:themeFill="accent6"/>
      </w:tcPr>
    </w:tblStylePr>
    <w:tblStylePr w:type="lastCol">
      <w:rPr>
        <w:b/>
        <w:color w:val="404040"/>
      </w:rPr>
    </w:tblStylePr>
    <w:tblStylePr w:type="lastRow">
      <w:rPr>
        <w:b/>
        <w:color w:val="404040"/>
      </w:rPr>
    </w:tblStylePr>
  </w:style>
  <w:style w:type="table" w:styleId="131">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8a303" w:themeFill="accent1"/>
    </w:tblPr>
    <w:tblStylePr w:type="band1Horz">
      <w:tcPr>
        <w:shd w:val="clear" w:color="ffffff" w:themeColor="accent1" w:fill="18a303" w:themeFill="accent1"/>
        <w:tcBorders>
          <w:top w:val="single" w:color="000000" w:themeColor="light1" w:sz="4" w:space="0"/>
          <w:bottom w:val="single" w:color="000000" w:themeColor="light1" w:sz="4" w:space="0"/>
        </w:tcBorders>
      </w:tcPr>
    </w:tblStylePr>
    <w:tblStylePr w:type="band1Vert">
      <w:tcPr>
        <w:shd w:val="clear" w:color="ffffff" w:themeColor="accent1" w:fill="18a303" w:themeFill="accent1"/>
        <w:tcBorders>
          <w:left w:val="single" w:color="000000" w:themeColor="light1" w:sz="4" w:space="0"/>
          <w:right w:val="single" w:color="000000" w:themeColor="light1" w:sz="4" w:space="0"/>
        </w:tcBorders>
      </w:tcPr>
    </w:tblStylePr>
    <w:tblStylePr w:type="band2Horz">
      <w:tcPr>
        <w:shd w:val="clear" w:color="ffffff" w:themeColor="accent1" w:fill="18a303"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8a303"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36b8fb" w:themeFill="accent2" w:themeFillTint="97"/>
    </w:tblPr>
    <w:tblStylePr w:type="band1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36b8fb"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36b8fb"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a7a35" w:themeFill="accent3" w:themeFillTint="98"/>
    </w:tblPr>
    <w:tblStylePr w:type="band1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a7a35"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a7a35"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dc33fa" w:themeFill="accent4" w:themeFillTint="9A"/>
    </w:tblPr>
    <w:tblStylePr w:type="band1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dc33fa"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dc33fa"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ffd042" w:themeFill="accent5" w:themeFillTint="9A"/>
    </w:tblPr>
    <w:tblStylePr w:type="band1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ffd042"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ffd042"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96e6e" w:themeFill="accent6" w:themeFillTint="98"/>
    </w:tblPr>
    <w:tblStylePr w:type="band1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96e6e"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96e6e"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404040" w:themeColor="accent1" w:themeShade="95"/>
        <w:sz w:val="22"/>
      </w:rPr>
    </w:tblStylePr>
    <w:tblStylePr w:type="firstCol">
      <w:rPr>
        <w:b/>
        <w:color w:val="0e5e01" w:themeColor="accent1" w:themeShade="95"/>
      </w:rPr>
    </w:tblStylePr>
    <w:tblStylePr w:type="firstRow">
      <w:rPr>
        <w:b/>
        <w:color w:val="0e5e01" w:themeColor="accent1" w:themeShade="95"/>
      </w:rPr>
      <w:tcPr>
        <w:tcBorders>
          <w:bottom w:val="single" w:color="000000" w:themeColor="accent1" w:sz="4" w:space="0"/>
        </w:tcBorders>
      </w:tcPr>
    </w:tblStylePr>
    <w:tblStylePr w:type="lastCol">
      <w:rPr>
        <w:b/>
        <w:color w:val="0e5e01" w:themeColor="accent1" w:themeShade="95"/>
      </w:rPr>
    </w:tblStylePr>
    <w:tblStylePr w:type="lastRow">
      <w:rPr>
        <w:b/>
        <w:color w:val="0e5e01" w:themeColor="accent1" w:themeShade="95"/>
      </w:rPr>
      <w:tcPr>
        <w:tcBorders>
          <w:top w:val="single" w:color="000000" w:themeColor="accent1" w:sz="4" w:space="0"/>
        </w:tcBorders>
      </w:tcPr>
    </w:tblStylePr>
  </w:style>
  <w:style w:type="table" w:styleId="140">
    <w:name w:val="List Table 6 Colorful - Accent 2"/>
    <w:basedOn w:val="7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4" w:space="0"/>
        </w:tcBorders>
      </w:tcPr>
    </w:tblStylePr>
    <w:tblStylePr w:type="lastCol">
      <w:rPr>
        <w:b/>
        <w:color w:val="0378ae" w:themeColor="accent2" w:themeTint="97" w:themeShade="95"/>
      </w:rPr>
    </w:tblStylePr>
    <w:tblStylePr w:type="lastRow">
      <w:rPr>
        <w:b/>
        <w:color w:val="0378ae" w:themeColor="accent2" w:themeTint="97" w:themeShade="95"/>
      </w:rPr>
      <w:tcPr>
        <w:tcBorders>
          <w:top w:val="single" w:color="000000" w:themeColor="accent2" w:themeTint="97" w:sz="4" w:space="0"/>
        </w:tcBorders>
      </w:tcPr>
    </w:tblStylePr>
  </w:style>
  <w:style w:type="table" w:styleId="141">
    <w:name w:val="List Table 6 Colorful - Accent 3"/>
    <w:basedOn w:val="7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404040" w:themeColor="accent3" w:themeTint="98" w:themeShade="95"/>
        <w:sz w:val="22"/>
      </w:rPr>
    </w:tblStylePr>
    <w:tblStylePr w:type="firstCol">
      <w:rPr>
        <w:b/>
        <w:color w:val="ab3b04" w:themeColor="accent3" w:themeTint="98" w:themeShade="95"/>
      </w:rPr>
    </w:tblStylePr>
    <w:tblStylePr w:type="firstRow">
      <w:rPr>
        <w:b/>
        <w:color w:val="ab3b04" w:themeColor="accent3" w:themeTint="98" w:themeShade="95"/>
      </w:rPr>
      <w:tcPr>
        <w:tcBorders>
          <w:bottom w:val="single" w:color="000000" w:themeColor="accent3" w:themeTint="98" w:sz="4" w:space="0"/>
        </w:tcBorders>
      </w:tcPr>
    </w:tblStylePr>
    <w:tblStylePr w:type="lastCol">
      <w:rPr>
        <w:b/>
        <w:color w:val="ab3b04" w:themeColor="accent3" w:themeTint="98" w:themeShade="95"/>
      </w:rPr>
    </w:tblStylePr>
    <w:tblStylePr w:type="lastRow">
      <w:rPr>
        <w:b/>
        <w:color w:val="ab3b04" w:themeColor="accent3" w:themeTint="98" w:themeShade="95"/>
      </w:rPr>
      <w:tcPr>
        <w:tcBorders>
          <w:top w:val="single" w:color="000000" w:themeColor="accent3" w:themeTint="98" w:sz="4" w:space="0"/>
        </w:tcBorders>
      </w:tcPr>
    </w:tblStylePr>
  </w:style>
  <w:style w:type="table" w:styleId="142">
    <w:name w:val="List Table 6 Colorful - Accent 4"/>
    <w:basedOn w:val="7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4" w:space="0"/>
        </w:tcBorders>
      </w:tcPr>
    </w:tblStylePr>
    <w:tblStylePr w:type="lastCol">
      <w:rPr>
        <w:b/>
        <w:color w:val="9104ab" w:themeColor="accent4" w:themeTint="9A" w:themeShade="95"/>
      </w:rPr>
    </w:tblStylePr>
    <w:tblStylePr w:type="lastRow">
      <w:rPr>
        <w:b/>
        <w:color w:val="9104ab" w:themeColor="accent4" w:themeTint="9A" w:themeShade="95"/>
      </w:rPr>
      <w:tcPr>
        <w:tcBorders>
          <w:top w:val="single" w:color="000000" w:themeColor="accent4" w:themeTint="9A" w:sz="4" w:space="0"/>
        </w:tcBorders>
      </w:tcPr>
    </w:tblStylePr>
  </w:style>
  <w:style w:type="table" w:styleId="143">
    <w:name w:val="List Table 6 Colorful - Accent 5"/>
    <w:basedOn w:val="7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404040" w:themeColor="accent5" w:themeTint="9A" w:themeShade="95"/>
        <w:sz w:val="22"/>
      </w:rPr>
    </w:tblStylePr>
    <w:tblStylePr w:type="firstCol">
      <w:rPr>
        <w:b/>
        <w:color w:val="ba8700" w:themeColor="accent5" w:themeTint="9A" w:themeShade="95"/>
      </w:rPr>
    </w:tblStylePr>
    <w:tblStylePr w:type="firstRow">
      <w:rPr>
        <w:b/>
        <w:color w:val="ba8700" w:themeColor="accent5" w:themeTint="9A" w:themeShade="95"/>
      </w:rPr>
      <w:tcPr>
        <w:tcBorders>
          <w:bottom w:val="single" w:color="000000" w:themeColor="accent5" w:themeTint="9A" w:sz="4" w:space="0"/>
        </w:tcBorders>
      </w:tcPr>
    </w:tblStylePr>
    <w:tblStylePr w:type="lastCol">
      <w:rPr>
        <w:b/>
        <w:color w:val="ba8700" w:themeColor="accent5" w:themeTint="9A" w:themeShade="95"/>
      </w:rPr>
    </w:tblStylePr>
    <w:tblStylePr w:type="lastRow">
      <w:rPr>
        <w:b/>
        <w:color w:val="ba8700" w:themeColor="accent5" w:themeTint="9A" w:themeShade="95"/>
      </w:rPr>
      <w:tcPr>
        <w:tcBorders>
          <w:top w:val="single" w:color="000000" w:themeColor="accent5" w:themeTint="9A" w:sz="4" w:space="0"/>
        </w:tcBorders>
      </w:tcPr>
    </w:tblStylePr>
  </w:style>
  <w:style w:type="table" w:styleId="144">
    <w:name w:val="List Table 6 Colorful - Accent 6"/>
    <w:basedOn w:val="7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404040" w:themeColor="accent6" w:themeTint="98" w:themeShade="95"/>
        <w:sz w:val="22"/>
      </w:rPr>
    </w:tblStylePr>
    <w:tblStylePr w:type="firstCol">
      <w:rPr>
        <w:b/>
        <w:color w:val="ad1a1a" w:themeColor="accent6" w:themeTint="98" w:themeShade="95"/>
      </w:rPr>
    </w:tblStylePr>
    <w:tblStylePr w:type="firstRow">
      <w:rPr>
        <w:b/>
        <w:color w:val="ad1a1a" w:themeColor="accent6" w:themeTint="98" w:themeShade="95"/>
      </w:rPr>
      <w:tcPr>
        <w:tcBorders>
          <w:bottom w:val="single" w:color="000000" w:themeColor="accent6" w:themeTint="98" w:sz="4" w:space="0"/>
        </w:tcBorders>
      </w:tcPr>
    </w:tblStylePr>
    <w:tblStylePr w:type="lastCol">
      <w:rPr>
        <w:b/>
        <w:color w:val="ad1a1a" w:themeColor="accent6" w:themeTint="98" w:themeShade="95"/>
      </w:rPr>
    </w:tblStylePr>
    <w:tblStylePr w:type="lastRow">
      <w:rPr>
        <w:b/>
        <w:color w:val="ad1a1a" w:themeColor="accent6" w:themeTint="98" w:themeShade="95"/>
      </w:rPr>
      <w:tcPr>
        <w:tcBorders>
          <w:top w:val="single" w:color="000000" w:themeColor="accent6" w:themeTint="98" w:sz="4" w:space="0"/>
        </w:tcBorders>
      </w:tcPr>
    </w:tblStylePr>
  </w:style>
  <w:style w:type="table" w:styleId="145">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e5e01"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0e5e01" w:themeColor="accent1" w:themeShade="95"/>
        <w:sz w:val="22"/>
      </w:rPr>
    </w:tblStylePr>
    <w:tblStylePr w:type="firstCol">
      <w:rPr>
        <w:rFonts w:ascii="Arial" w:hAnsi="Arial"/>
        <w:i/>
        <w:color w:val="0e5e0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e5e0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e5e0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e5e0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e5e01" w:themeColor="accent1" w:themeShade="95"/>
        <w:sz w:val="22"/>
      </w:rPr>
    </w:tblStylePr>
  </w:style>
  <w:style w:type="table" w:styleId="147">
    <w:name w:val="List Table 7 Colorful - Accent 2"/>
    <w:basedOn w:val="7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0378ae"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0378ae"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0378ae"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0378ae" w:themeColor="accent2" w:themeTint="97" w:themeShade="95"/>
        <w:sz w:val="22"/>
      </w:rPr>
    </w:tblStylePr>
  </w:style>
  <w:style w:type="table" w:styleId="148">
    <w:name w:val="List Table 7 Colorful - Accent 3"/>
    <w:basedOn w:val="7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ab3b04"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ab3b04" w:themeColor="accent3" w:themeTint="98" w:themeShade="95"/>
        <w:sz w:val="22"/>
      </w:rPr>
    </w:tblStylePr>
    <w:tblStylePr w:type="firstCol">
      <w:rPr>
        <w:rFonts w:ascii="Arial" w:hAnsi="Arial"/>
        <w:i/>
        <w:color w:val="ab3b04"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ab3b04"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ab3b04"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ab3b04"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ab3b04" w:themeColor="accent3" w:themeTint="98" w:themeShade="95"/>
        <w:sz w:val="22"/>
      </w:rPr>
    </w:tblStylePr>
  </w:style>
  <w:style w:type="table" w:styleId="149">
    <w:name w:val="List Table 7 Colorful - Accent 4"/>
    <w:basedOn w:val="7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9104ab"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9104ab"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9104ab"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9104ab" w:themeColor="accent4" w:themeTint="9A" w:themeShade="95"/>
        <w:sz w:val="22"/>
      </w:rPr>
    </w:tblStylePr>
  </w:style>
  <w:style w:type="table" w:styleId="150">
    <w:name w:val="List Table 7 Colorful - Accent 5"/>
    <w:basedOn w:val="7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ba870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ba8700" w:themeColor="accent5" w:themeTint="9A" w:themeShade="95"/>
        <w:sz w:val="22"/>
      </w:rPr>
    </w:tblStylePr>
    <w:tblStylePr w:type="firstCol">
      <w:rPr>
        <w:rFonts w:ascii="Arial" w:hAnsi="Arial"/>
        <w:i/>
        <w:color w:val="ba870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ba870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ba870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ba870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ba8700" w:themeColor="accent5" w:themeTint="9A" w:themeShade="95"/>
        <w:sz w:val="22"/>
      </w:rPr>
    </w:tblStylePr>
  </w:style>
  <w:style w:type="table" w:styleId="151">
    <w:name w:val="List Table 7 Colorful - Accent 6"/>
    <w:basedOn w:val="7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ad1a1a"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ad1a1a" w:themeColor="accent6" w:themeTint="98" w:themeShade="95"/>
        <w:sz w:val="22"/>
      </w:rPr>
    </w:tblStylePr>
    <w:tblStylePr w:type="firstCol">
      <w:rPr>
        <w:rFonts w:ascii="Arial" w:hAnsi="Arial"/>
        <w:i/>
        <w:color w:val="ad1a1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ad1a1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ad1a1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ad1a1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ad1a1a" w:themeColor="accent6" w:themeTint="98" w:themeShade="95"/>
        <w:sz w:val="22"/>
      </w:rPr>
    </w:tblStylePr>
  </w:style>
  <w:style w:type="table" w:styleId="152">
    <w:name w:val="Lined - Accent"/>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154">
    <w:name w:val="Lined - Accent 2"/>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155">
    <w:name w:val="Lined - Accent 3"/>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156">
    <w:name w:val="Lined - Accent 4"/>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157">
    <w:name w:val="Lined - Accent 5"/>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158">
    <w:name w:val="Lined - Accent 6"/>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159">
    <w:name w:val="Bordered &amp; Lined - Accent"/>
    <w:basedOn w:val="7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161">
    <w:name w:val="Bordered &amp; Lined - Accent 2"/>
    <w:basedOn w:val="7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162">
    <w:name w:val="Bordered &amp; Lined - Accent 3"/>
    <w:basedOn w:val="7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163">
    <w:name w:val="Bordered &amp; Lined - Accent 4"/>
    <w:basedOn w:val="7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164">
    <w:name w:val="Bordered &amp; Lined - Accent 5"/>
    <w:basedOn w:val="7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165">
    <w:name w:val="Bordered &amp; Lined - Accent 6"/>
    <w:basedOn w:val="7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166">
    <w:name w:val="Bordered"/>
    <w:basedOn w:val="7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9"/>
    <w:uiPriority w:val="99"/>
    <w:rPr>
      <w:sz w:val="18"/>
    </w:rPr>
  </w:style>
  <w:style w:type="character" w:styleId="176">
    <w:name w:val="footnote reference"/>
    <w:basedOn w:val="723"/>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3"/>
    <w:uiPriority w:val="99"/>
    <w:semiHidden/>
    <w:unhideWhenUsed/>
    <w:rPr>
      <w:vertAlign w:val="superscript"/>
    </w:r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link w:val="850"/>
    <w:uiPriority w:val="0"/>
    <w:qFormat/>
    <w:pPr>
      <w:jc w:val="both"/>
      <w:widowControl w:val="off"/>
    </w:pPr>
    <w:rPr>
      <w:rFonts w:ascii="Times New Roman" w:hAnsi="Times New Roman" w:eastAsia="宋体" w:cs="Times New Roman"/>
      <w:color w:val="auto"/>
      <w:sz w:val="21"/>
      <w:szCs w:val="22"/>
      <w:lang w:val="en-US" w:eastAsia="zh-CN" w:bidi="ar-SA"/>
    </w:rPr>
  </w:style>
  <w:style w:type="paragraph" w:styleId="714">
    <w:name w:val="Heading 1"/>
    <w:basedOn w:val="713"/>
    <w:next w:val="713"/>
    <w:uiPriority w:val="0"/>
    <w:qFormat/>
    <w:pPr>
      <w:jc w:val="center"/>
      <w:keepNext/>
      <w:outlineLvl w:val="0"/>
    </w:pPr>
    <w:rPr>
      <w:rFonts w:ascii="楷体_GB2312;楷体" w:hAnsi="楷体_GB2312;楷体" w:eastAsia="楷体_GB2312;楷体" w:cs="Times New Roman"/>
      <w:sz w:val="28"/>
      <w:szCs w:val="28"/>
    </w:rPr>
  </w:style>
  <w:style w:type="paragraph" w:styleId="715">
    <w:name w:val="Heading 2"/>
    <w:basedOn w:val="713"/>
    <w:next w:val="725"/>
    <w:uiPriority w:val="0"/>
    <w:qFormat/>
    <w:pPr>
      <w:jc w:val="center"/>
      <w:keepLines/>
      <w:keepNext/>
      <w:spacing w:before="260" w:after="260" w:line="415" w:lineRule="auto"/>
      <w:outlineLvl w:val="1"/>
    </w:pPr>
    <w:rPr>
      <w:rFonts w:ascii="Arial" w:hAnsi="Arial" w:eastAsia="幼圆;宋体" w:cs="Arial"/>
      <w:b/>
      <w:bCs/>
      <w:sz w:val="44"/>
      <w:szCs w:val="44"/>
    </w:rPr>
  </w:style>
  <w:style w:type="paragraph" w:styleId="716">
    <w:name w:val="Heading 3"/>
    <w:basedOn w:val="713"/>
    <w:next w:val="725"/>
    <w:uiPriority w:val="0"/>
    <w:qFormat/>
    <w:pPr>
      <w:keepLines/>
      <w:keepNext/>
      <w:spacing w:before="260" w:after="260" w:line="415" w:lineRule="auto"/>
      <w:outlineLvl w:val="2"/>
    </w:pPr>
    <w:rPr>
      <w:rFonts w:ascii="Times New Roman" w:hAnsi="Times New Roman" w:eastAsia="宋体" w:cs="Times New Roman"/>
      <w:b/>
      <w:bCs/>
      <w:sz w:val="32"/>
      <w:szCs w:val="32"/>
    </w:rPr>
  </w:style>
  <w:style w:type="paragraph" w:styleId="717">
    <w:name w:val="Heading 4"/>
    <w:basedOn w:val="713"/>
    <w:next w:val="713"/>
    <w:uiPriority w:val="0"/>
    <w:qFormat/>
    <w:pPr>
      <w:keepLines/>
      <w:keepNext/>
      <w:spacing w:before="280" w:after="290" w:line="374" w:lineRule="auto"/>
      <w:outlineLvl w:val="3"/>
    </w:pPr>
    <w:rPr>
      <w:rFonts w:ascii="Arial" w:hAnsi="Arial" w:eastAsia="黑体" w:cs="Arial"/>
      <w:b/>
      <w:bCs/>
      <w:sz w:val="28"/>
      <w:szCs w:val="28"/>
    </w:rPr>
  </w:style>
  <w:style w:type="paragraph" w:styleId="718">
    <w:name w:val="Heading 5"/>
    <w:basedOn w:val="713"/>
    <w:next w:val="725"/>
    <w:uiPriority w:val="0"/>
    <w:qFormat/>
    <w:pPr>
      <w:keepNext/>
      <w:outlineLvl w:val="4"/>
    </w:pPr>
    <w:rPr>
      <w:rFonts w:ascii="宋体" w:hAnsi="宋体" w:eastAsia="宋体" w:cs="Times New Roman"/>
      <w:color w:val="000000"/>
      <w:sz w:val="28"/>
      <w:szCs w:val="28"/>
    </w:rPr>
  </w:style>
  <w:style w:type="paragraph" w:styleId="719">
    <w:name w:val="Heading 6"/>
    <w:basedOn w:val="713"/>
    <w:next w:val="713"/>
    <w:uiPriority w:val="0"/>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720">
    <w:name w:val="Heading 7"/>
    <w:basedOn w:val="713"/>
    <w:next w:val="713"/>
    <w:uiPriority w:val="0"/>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721">
    <w:name w:val="Heading 8"/>
    <w:basedOn w:val="713"/>
    <w:next w:val="713"/>
    <w:uiPriority w:val="0"/>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722">
    <w:name w:val="Heading 9"/>
    <w:basedOn w:val="713"/>
    <w:next w:val="713"/>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723" w:default="1">
    <w:name w:val="Default Paragraph Font"/>
    <w:uiPriority w:val="0"/>
    <w:semiHidden/>
    <w:qFormat/>
  </w:style>
  <w:style w:type="table" w:styleId="724" w:default="1">
    <w:name w:val="Normal Table"/>
    <w:uiPriority w:val="0"/>
    <w:semiHidden/>
    <w:qFormat/>
    <w:tblPr>
      <w:tblCellMar>
        <w:left w:w="108" w:type="dxa"/>
        <w:top w:w="0" w:type="dxa"/>
        <w:right w:w="108" w:type="dxa"/>
        <w:bottom w:w="0" w:type="dxa"/>
      </w:tblCellMar>
    </w:tblPr>
  </w:style>
  <w:style w:type="paragraph" w:styleId="725" w:customStyle="1">
    <w:name w:val="正文缩进11"/>
    <w:basedOn w:val="713"/>
    <w:uiPriority w:val="0"/>
    <w:qFormat/>
    <w:pPr>
      <w:ind w:left="0" w:right="0" w:firstLine="420"/>
    </w:pPr>
    <w:rPr>
      <w:szCs w:val="21"/>
    </w:rPr>
  </w:style>
  <w:style w:type="paragraph" w:styleId="726">
    <w:name w:val="toc 7"/>
    <w:basedOn w:val="713"/>
    <w:next w:val="713"/>
    <w:uiPriority w:val="0"/>
    <w:qFormat/>
    <w:pPr>
      <w:ind w:left="1260" w:right="0" w:firstLine="0"/>
      <w:jc w:val="left"/>
    </w:pPr>
    <w:rPr>
      <w:rFonts w:ascii="Times New Roman" w:hAnsi="Times New Roman" w:eastAsia="宋体" w:cs="Times New Roman"/>
      <w:szCs w:val="21"/>
    </w:rPr>
  </w:style>
  <w:style w:type="paragraph" w:styleId="727">
    <w:name w:val="Caption"/>
    <w:basedOn w:val="713"/>
    <w:next w:val="713"/>
    <w:uiPriority w:val="0"/>
    <w:qFormat/>
    <w:pPr>
      <w:spacing w:before="120" w:after="120"/>
      <w:suppressLineNumbers/>
    </w:pPr>
    <w:rPr>
      <w:rFonts w:cs="Lohit Devanagari"/>
      <w:i/>
      <w:iCs/>
      <w:sz w:val="24"/>
      <w:szCs w:val="24"/>
    </w:rPr>
  </w:style>
  <w:style w:type="paragraph" w:styleId="728">
    <w:name w:val="Body Text"/>
    <w:basedOn w:val="713"/>
    <w:next w:val="713"/>
    <w:uiPriority w:val="0"/>
    <w:qFormat/>
    <w:rPr>
      <w:rFonts w:ascii="楷体_GB2312;楷体" w:hAnsi="楷体_GB2312;楷体" w:eastAsia="楷体_GB2312;楷体" w:cs="Times New Roman"/>
      <w:sz w:val="28"/>
      <w:szCs w:val="28"/>
    </w:rPr>
  </w:style>
  <w:style w:type="paragraph" w:styleId="729">
    <w:name w:val="Body Text Indent"/>
    <w:basedOn w:val="713"/>
    <w:next w:val="730"/>
    <w:uiPriority w:val="0"/>
    <w:qFormat/>
    <w:pPr>
      <w:ind w:left="420" w:right="0" w:firstLine="0"/>
      <w:spacing w:before="0" w:after="120"/>
    </w:pPr>
  </w:style>
  <w:style w:type="paragraph" w:styleId="730">
    <w:name w:val="envelope return"/>
    <w:basedOn w:val="713"/>
    <w:uiPriority w:val="0"/>
    <w:qFormat/>
    <w:rPr>
      <w:rFonts w:ascii="Arial" w:hAnsi="Arial" w:cs="Arial"/>
    </w:rPr>
  </w:style>
  <w:style w:type="paragraph" w:styleId="731">
    <w:name w:val="toc 5"/>
    <w:basedOn w:val="713"/>
    <w:next w:val="713"/>
    <w:uiPriority w:val="0"/>
    <w:qFormat/>
    <w:pPr>
      <w:ind w:left="840" w:right="0" w:firstLine="0"/>
      <w:jc w:val="left"/>
    </w:pPr>
    <w:rPr>
      <w:rFonts w:ascii="Times New Roman" w:hAnsi="Times New Roman" w:eastAsia="宋体" w:cs="Times New Roman"/>
      <w:szCs w:val="21"/>
    </w:rPr>
  </w:style>
  <w:style w:type="paragraph" w:styleId="732">
    <w:name w:val="toc 3"/>
    <w:basedOn w:val="713"/>
    <w:next w:val="713"/>
    <w:uiPriority w:val="0"/>
    <w:qFormat/>
    <w:pPr>
      <w:ind w:left="420" w:right="0" w:firstLine="0"/>
      <w:jc w:val="left"/>
    </w:pPr>
    <w:rPr>
      <w:rFonts w:ascii="Times New Roman" w:hAnsi="Times New Roman" w:eastAsia="宋体" w:cs="Times New Roman"/>
      <w:i/>
      <w:iCs/>
      <w:szCs w:val="24"/>
    </w:rPr>
  </w:style>
  <w:style w:type="paragraph" w:styleId="733">
    <w:name w:val="toc 8"/>
    <w:basedOn w:val="713"/>
    <w:next w:val="713"/>
    <w:uiPriority w:val="0"/>
    <w:qFormat/>
    <w:pPr>
      <w:ind w:left="1470" w:right="0" w:firstLine="0"/>
      <w:jc w:val="left"/>
    </w:pPr>
    <w:rPr>
      <w:rFonts w:ascii="Times New Roman" w:hAnsi="Times New Roman" w:eastAsia="宋体" w:cs="Times New Roman"/>
      <w:szCs w:val="21"/>
    </w:rPr>
  </w:style>
  <w:style w:type="paragraph" w:styleId="734">
    <w:name w:val="Footer"/>
    <w:basedOn w:val="71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35">
    <w:name w:val="Header"/>
    <w:basedOn w:val="71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36">
    <w:name w:val="toc 1"/>
    <w:basedOn w:val="713"/>
    <w:next w:val="713"/>
    <w:uiPriority w:val="0"/>
    <w:qFormat/>
    <w:pPr>
      <w:jc w:val="left"/>
      <w:spacing w:before="120" w:after="120" w:line="400" w:lineRule="exact"/>
      <w:tabs>
        <w:tab w:val="right" w:pos="8720" w:leader="dot"/>
      </w:tabs>
    </w:pPr>
    <w:rPr>
      <w:rFonts w:ascii="宋体" w:hAnsi="宋体" w:eastAsia="宋体" w:cs="Times New Roman"/>
      <w:caps/>
      <w:sz w:val="24"/>
      <w:szCs w:val="24"/>
      <w:lang w:val="en-US" w:eastAsia="en-US"/>
    </w:rPr>
  </w:style>
  <w:style w:type="paragraph" w:styleId="737">
    <w:name w:val="toc 4"/>
    <w:basedOn w:val="713"/>
    <w:next w:val="713"/>
    <w:uiPriority w:val="0"/>
    <w:qFormat/>
    <w:pPr>
      <w:ind w:left="630" w:right="0" w:firstLine="0"/>
      <w:jc w:val="left"/>
    </w:pPr>
    <w:rPr>
      <w:rFonts w:ascii="Times New Roman" w:hAnsi="Times New Roman" w:eastAsia="宋体" w:cs="Times New Roman"/>
      <w:szCs w:val="21"/>
    </w:rPr>
  </w:style>
  <w:style w:type="paragraph" w:styleId="738">
    <w:name w:val="List"/>
    <w:basedOn w:val="713"/>
    <w:uiPriority w:val="0"/>
    <w:qFormat/>
    <w:pPr>
      <w:ind w:left="200" w:right="0" w:hanging="200"/>
    </w:pPr>
    <w:rPr>
      <w:rFonts w:ascii="Times New Roman" w:hAnsi="Times New Roman" w:eastAsia="宋体" w:cs="Times New Roman"/>
      <w:szCs w:val="21"/>
    </w:rPr>
  </w:style>
  <w:style w:type="paragraph" w:styleId="739">
    <w:name w:val="footnote text"/>
    <w:basedOn w:val="713"/>
    <w:uiPriority w:val="0"/>
    <w:qFormat/>
    <w:pPr>
      <w:jc w:val="left"/>
    </w:pPr>
    <w:rPr>
      <w:sz w:val="18"/>
      <w:szCs w:val="18"/>
    </w:rPr>
  </w:style>
  <w:style w:type="paragraph" w:styleId="740">
    <w:name w:val="toc 6"/>
    <w:basedOn w:val="713"/>
    <w:next w:val="713"/>
    <w:uiPriority w:val="0"/>
    <w:qFormat/>
    <w:pPr>
      <w:ind w:left="1050" w:right="0" w:firstLine="0"/>
      <w:jc w:val="left"/>
    </w:pPr>
    <w:rPr>
      <w:rFonts w:ascii="Times New Roman" w:hAnsi="Times New Roman" w:eastAsia="宋体" w:cs="Times New Roman"/>
      <w:szCs w:val="21"/>
    </w:rPr>
  </w:style>
  <w:style w:type="paragraph" w:styleId="741">
    <w:name w:val="toc 2"/>
    <w:basedOn w:val="713"/>
    <w:next w:val="713"/>
    <w:uiPriority w:val="0"/>
    <w:qFormat/>
    <w:pPr>
      <w:ind w:left="210" w:right="0" w:firstLine="0"/>
      <w:jc w:val="left"/>
    </w:pPr>
    <w:rPr>
      <w:rFonts w:ascii="Times New Roman" w:hAnsi="Times New Roman" w:eastAsia="宋体" w:cs="Times New Roman"/>
      <w:smallCaps/>
      <w:szCs w:val="24"/>
    </w:rPr>
  </w:style>
  <w:style w:type="paragraph" w:styleId="742">
    <w:name w:val="toc 9"/>
    <w:basedOn w:val="713"/>
    <w:next w:val="713"/>
    <w:uiPriority w:val="0"/>
    <w:qFormat/>
    <w:pPr>
      <w:ind w:left="1680" w:right="0" w:firstLine="0"/>
      <w:jc w:val="left"/>
    </w:pPr>
    <w:rPr>
      <w:rFonts w:ascii="Times New Roman" w:hAnsi="Times New Roman" w:eastAsia="宋体" w:cs="Times New Roman"/>
      <w:szCs w:val="21"/>
    </w:rPr>
  </w:style>
  <w:style w:type="paragraph" w:styleId="743">
    <w:name w:val="Normal (Web)"/>
    <w:basedOn w:val="713"/>
    <w:uiPriority w:val="99"/>
    <w:qFormat/>
    <w:pPr>
      <w:jc w:val="left"/>
      <w:spacing w:before="100" w:beforeAutospacing="1" w:after="100" w:afterAutospacing="1"/>
      <w:widowControl/>
    </w:pPr>
    <w:rPr>
      <w:rFonts w:ascii="宋体" w:hAnsi="宋体" w:cs="宋体"/>
      <w:sz w:val="24"/>
      <w:szCs w:val="24"/>
    </w:rPr>
  </w:style>
  <w:style w:type="paragraph" w:styleId="744">
    <w:name w:val="index 1"/>
    <w:basedOn w:val="713"/>
    <w:next w:val="713"/>
    <w:uiPriority w:val="0"/>
    <w:qFormat/>
    <w:pPr>
      <w:spacing w:line="240" w:lineRule="atLeast"/>
    </w:pPr>
    <w:rPr>
      <w:rFonts w:ascii="Times New Roman" w:hAnsi="Times New Roman" w:eastAsia="宋体" w:cs="Times New Roman"/>
      <w:b/>
      <w:bCs/>
      <w:szCs w:val="21"/>
    </w:rPr>
  </w:style>
  <w:style w:type="paragraph" w:styleId="745">
    <w:name w:val="Body Text First Indent 2"/>
    <w:basedOn w:val="729"/>
    <w:next w:val="713"/>
    <w:uiPriority w:val="0"/>
    <w:qFormat/>
    <w:pPr>
      <w:ind w:firstLine="420"/>
      <w:spacing w:line="360" w:lineRule="auto"/>
    </w:pPr>
    <w:rPr>
      <w:rFonts w:ascii="宋体" w:hAnsi="宋体" w:eastAsia="宋体"/>
      <w:sz w:val="21"/>
      <w:szCs w:val="20"/>
    </w:rPr>
  </w:style>
  <w:style w:type="character" w:styleId="746">
    <w:name w:val="Strong"/>
    <w:basedOn w:val="747"/>
    <w:uiPriority w:val="0"/>
    <w:qFormat/>
    <w:rPr>
      <w:b/>
      <w:bCs/>
    </w:rPr>
  </w:style>
  <w:style w:type="character" w:styleId="747" w:customStyle="1">
    <w:name w:val="默认段落字体1"/>
    <w:link w:val="713"/>
    <w:uiPriority w:val="0"/>
    <w:qFormat/>
  </w:style>
  <w:style w:type="character" w:styleId="748">
    <w:name w:val="page number"/>
    <w:uiPriority w:val="0"/>
    <w:qFormat/>
  </w:style>
  <w:style w:type="character" w:styleId="749">
    <w:name w:val="FollowedHyperlink"/>
    <w:uiPriority w:val="0"/>
    <w:qFormat/>
    <w:rPr>
      <w:color w:val="800080"/>
      <w:u w:val="single"/>
    </w:rPr>
  </w:style>
  <w:style w:type="character" w:styleId="750">
    <w:name w:val="Emphasis"/>
    <w:uiPriority w:val="0"/>
    <w:qFormat/>
    <w:rPr>
      <w:i/>
    </w:rPr>
  </w:style>
  <w:style w:type="character" w:styleId="751">
    <w:name w:val="Hyperlink"/>
    <w:uiPriority w:val="0"/>
    <w:qFormat/>
    <w:rPr>
      <w:color w:val="0000ff"/>
      <w:u w:val="single"/>
    </w:rPr>
  </w:style>
  <w:style w:type="character" w:styleId="752" w:customStyle="1">
    <w:name w:val="WW8Num1z0"/>
    <w:uiPriority w:val="0"/>
    <w:qFormat/>
  </w:style>
  <w:style w:type="character" w:styleId="753" w:customStyle="1">
    <w:name w:val="WW8Num2z0"/>
    <w:uiPriority w:val="0"/>
    <w:qFormat/>
  </w:style>
  <w:style w:type="character" w:styleId="754" w:customStyle="1">
    <w:name w:val="WW8Num4z0"/>
    <w:uiPriority w:val="0"/>
    <w:qFormat/>
  </w:style>
  <w:style w:type="character" w:styleId="755" w:customStyle="1">
    <w:name w:val="标题 1 Char"/>
    <w:uiPriority w:val="0"/>
    <w:qFormat/>
    <w:rPr>
      <w:rFonts w:ascii="楷体_GB2312;楷体" w:hAnsi="楷体_GB2312;楷体" w:eastAsia="楷体_GB2312;楷体" w:cs="Times New Roman"/>
      <w:sz w:val="28"/>
      <w:szCs w:val="28"/>
    </w:rPr>
  </w:style>
  <w:style w:type="character" w:styleId="756" w:customStyle="1">
    <w:name w:val="标题 2 Char"/>
    <w:uiPriority w:val="0"/>
    <w:qFormat/>
    <w:rPr>
      <w:rFonts w:ascii="Arial" w:hAnsi="Arial" w:eastAsia="幼圆;宋体" w:cs="Arial"/>
      <w:b/>
      <w:bCs/>
      <w:sz w:val="44"/>
      <w:szCs w:val="44"/>
    </w:rPr>
  </w:style>
  <w:style w:type="character" w:styleId="757" w:customStyle="1">
    <w:name w:val="正文缩进 Char"/>
    <w:uiPriority w:val="0"/>
    <w:qFormat/>
    <w:rPr>
      <w:szCs w:val="21"/>
    </w:rPr>
  </w:style>
  <w:style w:type="character" w:styleId="758" w:customStyle="1">
    <w:name w:val="标题 3 Char"/>
    <w:uiPriority w:val="0"/>
    <w:qFormat/>
    <w:rPr>
      <w:rFonts w:ascii="Times New Roman" w:hAnsi="Times New Roman" w:eastAsia="宋体" w:cs="Times New Roman"/>
      <w:b/>
      <w:bCs/>
      <w:sz w:val="32"/>
      <w:szCs w:val="32"/>
    </w:rPr>
  </w:style>
  <w:style w:type="character" w:styleId="759" w:customStyle="1">
    <w:name w:val="标题 4 Char"/>
    <w:uiPriority w:val="0"/>
    <w:qFormat/>
    <w:rPr>
      <w:rFonts w:ascii="Arial" w:hAnsi="Arial" w:eastAsia="黑体" w:cs="Arial"/>
      <w:b/>
      <w:bCs/>
      <w:sz w:val="28"/>
      <w:szCs w:val="28"/>
    </w:rPr>
  </w:style>
  <w:style w:type="character" w:styleId="760" w:customStyle="1">
    <w:name w:val="标题 5 Char"/>
    <w:uiPriority w:val="0"/>
    <w:qFormat/>
    <w:rPr>
      <w:rFonts w:ascii="宋体" w:hAnsi="宋体" w:eastAsia="宋体" w:cs="Times New Roman"/>
      <w:color w:val="000000"/>
      <w:sz w:val="28"/>
      <w:szCs w:val="28"/>
    </w:rPr>
  </w:style>
  <w:style w:type="character" w:styleId="761" w:customStyle="1">
    <w:name w:val="标题 6 Char"/>
    <w:uiPriority w:val="0"/>
    <w:qFormat/>
    <w:rPr>
      <w:rFonts w:ascii="Arial" w:hAnsi="Arial" w:eastAsia="黑体" w:cs="Times New Roman"/>
      <w:b/>
      <w:bCs/>
      <w:sz w:val="24"/>
      <w:szCs w:val="24"/>
    </w:rPr>
  </w:style>
  <w:style w:type="character" w:styleId="762" w:customStyle="1">
    <w:name w:val="标题 7 Char"/>
    <w:uiPriority w:val="0"/>
    <w:qFormat/>
    <w:rPr>
      <w:rFonts w:ascii="Times New Roman" w:hAnsi="Times New Roman" w:eastAsia="宋体" w:cs="Times New Roman"/>
      <w:b/>
      <w:bCs/>
      <w:sz w:val="24"/>
      <w:szCs w:val="24"/>
    </w:rPr>
  </w:style>
  <w:style w:type="character" w:styleId="763" w:customStyle="1">
    <w:name w:val="标题 8 Char"/>
    <w:uiPriority w:val="0"/>
    <w:qFormat/>
    <w:rPr>
      <w:rFonts w:ascii="Arial" w:hAnsi="Arial" w:eastAsia="黑体" w:cs="Times New Roman"/>
      <w:sz w:val="24"/>
      <w:szCs w:val="24"/>
    </w:rPr>
  </w:style>
  <w:style w:type="character" w:styleId="764" w:customStyle="1">
    <w:name w:val="标题 9 Char"/>
    <w:uiPriority w:val="0"/>
    <w:qFormat/>
    <w:rPr>
      <w:rFonts w:ascii="Arial" w:hAnsi="Arial" w:eastAsia="黑体" w:cs="Times New Roman"/>
      <w:szCs w:val="21"/>
    </w:rPr>
  </w:style>
  <w:style w:type="character" w:styleId="765" w:customStyle="1">
    <w:name w:val="文档结构图 Char"/>
    <w:uiPriority w:val="0"/>
    <w:qFormat/>
    <w:rPr>
      <w:rFonts w:ascii="Times New Roman" w:hAnsi="Times New Roman" w:eastAsia="宋体" w:cs="Times New Roman"/>
      <w:szCs w:val="21"/>
      <w:shd w:val="clear" w:color="auto" w:fill="000080"/>
    </w:rPr>
  </w:style>
  <w:style w:type="character" w:styleId="766" w:customStyle="1">
    <w:name w:val="批注文字 Char"/>
    <w:basedOn w:val="747"/>
    <w:uiPriority w:val="0"/>
    <w:qFormat/>
  </w:style>
  <w:style w:type="character" w:styleId="767" w:customStyle="1">
    <w:name w:val="正文文本 3 Char"/>
    <w:uiPriority w:val="0"/>
    <w:qFormat/>
    <w:rPr>
      <w:rFonts w:ascii="仿宋_GB2312;仿宋" w:hAnsi="仿宋_GB2312;仿宋" w:eastAsia="仿宋_GB2312;仿宋" w:cs="Times New Roman"/>
      <w:sz w:val="32"/>
      <w:szCs w:val="32"/>
    </w:rPr>
  </w:style>
  <w:style w:type="character" w:styleId="768" w:customStyle="1">
    <w:name w:val="正文文本 Char"/>
    <w:uiPriority w:val="0"/>
    <w:qFormat/>
    <w:rPr>
      <w:rFonts w:ascii="楷体_GB2312;楷体" w:hAnsi="楷体_GB2312;楷体" w:eastAsia="楷体_GB2312;楷体" w:cs="Times New Roman"/>
      <w:sz w:val="28"/>
      <w:szCs w:val="28"/>
    </w:rPr>
  </w:style>
  <w:style w:type="character" w:styleId="769" w:customStyle="1">
    <w:name w:val="正文文本缩进 Char"/>
    <w:basedOn w:val="747"/>
    <w:uiPriority w:val="0"/>
    <w:qFormat/>
  </w:style>
  <w:style w:type="character" w:styleId="770" w:customStyle="1">
    <w:name w:val="纯文本 Char"/>
    <w:uiPriority w:val="0"/>
    <w:qFormat/>
    <w:rPr>
      <w:rFonts w:ascii="宋体" w:hAnsi="宋体" w:eastAsia="宋体" w:cs="Courier New"/>
      <w:szCs w:val="21"/>
    </w:rPr>
  </w:style>
  <w:style w:type="character" w:styleId="771" w:customStyle="1">
    <w:name w:val="日期 Char"/>
    <w:uiPriority w:val="0"/>
    <w:qFormat/>
    <w:rPr>
      <w:rFonts w:ascii="Times New Roman" w:hAnsi="Times New Roman" w:eastAsia="宋体" w:cs="Times New Roman"/>
      <w:sz w:val="24"/>
      <w:szCs w:val="24"/>
    </w:rPr>
  </w:style>
  <w:style w:type="character" w:styleId="772" w:customStyle="1">
    <w:name w:val="正文文本缩进 2 Char"/>
    <w:uiPriority w:val="0"/>
    <w:qFormat/>
    <w:rPr>
      <w:rFonts w:ascii="Arial" w:hAnsi="Arial" w:eastAsia="仿宋_GB2312;仿宋" w:cs="Arial"/>
      <w:sz w:val="32"/>
      <w:szCs w:val="32"/>
    </w:rPr>
  </w:style>
  <w:style w:type="character" w:styleId="773" w:customStyle="1">
    <w:name w:val="批注框文本 Char"/>
    <w:uiPriority w:val="0"/>
    <w:qFormat/>
    <w:rPr>
      <w:rFonts w:ascii="Times New Roman" w:hAnsi="Times New Roman" w:eastAsia="宋体" w:cs="Times New Roman"/>
      <w:sz w:val="18"/>
      <w:szCs w:val="18"/>
    </w:rPr>
  </w:style>
  <w:style w:type="character" w:styleId="774" w:customStyle="1">
    <w:name w:val="页脚 Char"/>
    <w:uiPriority w:val="0"/>
    <w:qFormat/>
    <w:rPr>
      <w:rFonts w:ascii="Times New Roman" w:hAnsi="Times New Roman" w:eastAsia="宋体" w:cs="Times New Roman"/>
      <w:sz w:val="18"/>
      <w:szCs w:val="18"/>
    </w:rPr>
  </w:style>
  <w:style w:type="character" w:styleId="775" w:customStyle="1">
    <w:name w:val="页眉 Char"/>
    <w:uiPriority w:val="0"/>
    <w:qFormat/>
    <w:rPr>
      <w:rFonts w:ascii="Times New Roman" w:hAnsi="Times New Roman" w:eastAsia="宋体" w:cs="Times New Roman"/>
      <w:sz w:val="18"/>
      <w:szCs w:val="18"/>
    </w:rPr>
  </w:style>
  <w:style w:type="character" w:styleId="776" w:customStyle="1">
    <w:name w:val="正文文本缩进 3 Char"/>
    <w:uiPriority w:val="0"/>
    <w:qFormat/>
    <w:rPr>
      <w:rFonts w:ascii="Arial" w:hAnsi="Arial" w:eastAsia="仿宋_GB2312;仿宋" w:cs="Arial"/>
      <w:color w:val="ffff00"/>
      <w:sz w:val="32"/>
      <w:szCs w:val="32"/>
    </w:rPr>
  </w:style>
  <w:style w:type="character" w:styleId="777" w:customStyle="1">
    <w:name w:val="正文文本 2 Char"/>
    <w:uiPriority w:val="0"/>
    <w:qFormat/>
    <w:rPr>
      <w:rFonts w:ascii="楷体_GB2312;楷体" w:hAnsi="楷体_GB2312;楷体" w:eastAsia="楷体_GB2312;楷体" w:cs="Times New Roman"/>
      <w:sz w:val="28"/>
      <w:szCs w:val="28"/>
    </w:rPr>
  </w:style>
  <w:style w:type="character" w:styleId="778" w:customStyle="1">
    <w:name w:val="批注主题 Char"/>
    <w:uiPriority w:val="0"/>
    <w:qFormat/>
    <w:rPr>
      <w:rFonts w:ascii="Times New Roman" w:hAnsi="Times New Roman" w:eastAsia="宋体" w:cs="Times New Roman"/>
      <w:b/>
      <w:bCs/>
      <w:szCs w:val="21"/>
    </w:rPr>
  </w:style>
  <w:style w:type="character" w:styleId="779" w:customStyle="1">
    <w:name w:val="正文首行缩进 Char"/>
    <w:uiPriority w:val="0"/>
    <w:qFormat/>
    <w:rPr>
      <w:rFonts w:ascii="仿宋_GB2312;仿宋" w:hAnsi="仿宋_GB2312;仿宋" w:eastAsia="仿宋_GB2312;仿宋" w:cs="Times New Roman"/>
      <w:sz w:val="30"/>
      <w:szCs w:val="30"/>
    </w:rPr>
  </w:style>
  <w:style w:type="character" w:styleId="780" w:customStyle="1">
    <w:name w:val="正文首行缩进 2 Char"/>
    <w:uiPriority w:val="0"/>
    <w:qFormat/>
    <w:rPr>
      <w:rFonts w:ascii="宋体" w:hAnsi="宋体" w:eastAsia="宋体" w:cs="Times New Roman"/>
      <w:szCs w:val="20"/>
    </w:rPr>
  </w:style>
  <w:style w:type="character" w:styleId="781" w:customStyle="1">
    <w:name w:val="批注引用1"/>
    <w:uiPriority w:val="0"/>
    <w:qFormat/>
    <w:rPr>
      <w:sz w:val="21"/>
      <w:szCs w:val="21"/>
    </w:rPr>
  </w:style>
  <w:style w:type="character" w:styleId="782" w:customStyle="1">
    <w:name w:val="font5 Char"/>
    <w:uiPriority w:val="0"/>
    <w:qFormat/>
    <w:rPr>
      <w:rFonts w:ascii="宋体" w:hAnsi="宋体" w:eastAsia="宋体" w:cs="宋体"/>
      <w:sz w:val="28"/>
      <w:szCs w:val="28"/>
      <w:lang w:val="en-US" w:eastAsia="zh-CN" w:bidi="ar-SA"/>
    </w:rPr>
  </w:style>
  <w:style w:type="character" w:styleId="783" w:customStyle="1">
    <w:name w:val="二级目录 Char"/>
    <w:uiPriority w:val="0"/>
    <w:qFormat/>
    <w:rPr>
      <w:b/>
      <w:sz w:val="30"/>
      <w:szCs w:val="28"/>
    </w:rPr>
  </w:style>
  <w:style w:type="character" w:styleId="784" w:customStyle="1">
    <w:name w:val="列出段落 Char"/>
    <w:uiPriority w:val="0"/>
    <w:qFormat/>
    <w:rPr>
      <w:rFonts w:ascii="Calibri" w:hAnsi="Calibri" w:cs="Calibri"/>
      <w:sz w:val="24"/>
      <w:szCs w:val="24"/>
      <w:lang w:eastAsia="en-US" w:bidi="en-US"/>
    </w:rPr>
  </w:style>
  <w:style w:type="character" w:styleId="785" w:customStyle="1">
    <w:name w:val="font11"/>
    <w:basedOn w:val="747"/>
    <w:uiPriority w:val="0"/>
    <w:qFormat/>
    <w:rPr>
      <w:rFonts w:ascii="宋体" w:hAnsi="宋体" w:eastAsia="宋体" w:cs="宋体"/>
      <w:color w:val="000000"/>
      <w:sz w:val="28"/>
      <w:szCs w:val="28"/>
      <w:u w:val="none"/>
    </w:rPr>
  </w:style>
  <w:style w:type="character" w:styleId="786" w:customStyle="1">
    <w:name w:val="font91"/>
    <w:basedOn w:val="747"/>
    <w:uiPriority w:val="0"/>
    <w:qFormat/>
    <w:rPr>
      <w:rFonts w:ascii="宋体" w:hAnsi="宋体" w:eastAsia="宋体" w:cs="宋体"/>
      <w:color w:val="000000"/>
      <w:sz w:val="28"/>
      <w:szCs w:val="28"/>
      <w:u w:val="none"/>
    </w:rPr>
  </w:style>
  <w:style w:type="character" w:styleId="787" w:customStyle="1">
    <w:name w:val="font81"/>
    <w:basedOn w:val="747"/>
    <w:uiPriority w:val="0"/>
    <w:qFormat/>
    <w:rPr>
      <w:rFonts w:ascii="宋体" w:hAnsi="宋体" w:eastAsia="宋体" w:cs="宋体"/>
      <w:color w:val="ff0000"/>
      <w:sz w:val="28"/>
      <w:szCs w:val="28"/>
      <w:u w:val="none"/>
    </w:rPr>
  </w:style>
  <w:style w:type="character" w:styleId="788" w:customStyle="1">
    <w:name w:val="Index Link"/>
    <w:uiPriority w:val="0"/>
    <w:qFormat/>
  </w:style>
  <w:style w:type="paragraph" w:styleId="789" w:customStyle="1">
    <w:name w:val="Heading"/>
    <w:basedOn w:val="713"/>
    <w:next w:val="728"/>
    <w:uiPriority w:val="0"/>
    <w:qFormat/>
    <w:pPr>
      <w:keepNext/>
      <w:spacing w:before="240" w:after="120"/>
    </w:pPr>
    <w:rPr>
      <w:rFonts w:ascii="Liberation Sans" w:hAnsi="Liberation Sans" w:eastAsia="Noto Sans CJK SC" w:cs="Lohit Devanagari"/>
      <w:sz w:val="28"/>
      <w:szCs w:val="28"/>
    </w:rPr>
  </w:style>
  <w:style w:type="paragraph" w:styleId="790" w:customStyle="1">
    <w:name w:val="Index"/>
    <w:basedOn w:val="713"/>
    <w:uiPriority w:val="0"/>
    <w:qFormat/>
    <w:pPr>
      <w:suppressLineNumbers/>
    </w:pPr>
    <w:rPr>
      <w:rFonts w:cs="Lohit Devanagari"/>
    </w:rPr>
  </w:style>
  <w:style w:type="paragraph" w:styleId="791" w:customStyle="1">
    <w:name w:val="列表 31"/>
    <w:basedOn w:val="713"/>
    <w:uiPriority w:val="0"/>
    <w:qFormat/>
    <w:pPr>
      <w:ind w:left="100" w:right="0" w:hanging="200"/>
    </w:pPr>
    <w:rPr>
      <w:rFonts w:ascii="Times New Roman" w:hAnsi="Times New Roman" w:eastAsia="宋体" w:cs="Times New Roman"/>
      <w:szCs w:val="21"/>
    </w:rPr>
  </w:style>
  <w:style w:type="paragraph" w:styleId="792" w:customStyle="1">
    <w:name w:val="文档结构图1"/>
    <w:basedOn w:val="713"/>
    <w:uiPriority w:val="0"/>
    <w:qFormat/>
    <w:pPr>
      <w:shd w:val="clear" w:color="auto" w:fill="000080"/>
    </w:pPr>
    <w:rPr>
      <w:rFonts w:ascii="Times New Roman" w:hAnsi="Times New Roman" w:eastAsia="宋体" w:cs="Times New Roman"/>
      <w:szCs w:val="21"/>
    </w:rPr>
  </w:style>
  <w:style w:type="paragraph" w:styleId="793" w:customStyle="1">
    <w:name w:val="批注文字1"/>
    <w:basedOn w:val="713"/>
    <w:uiPriority w:val="0"/>
    <w:qFormat/>
    <w:pPr>
      <w:jc w:val="left"/>
    </w:pPr>
  </w:style>
  <w:style w:type="paragraph" w:styleId="794" w:customStyle="1">
    <w:name w:val="正文文本 31"/>
    <w:basedOn w:val="713"/>
    <w:uiPriority w:val="0"/>
    <w:qFormat/>
    <w:rPr>
      <w:rFonts w:ascii="仿宋_GB2312;仿宋" w:hAnsi="仿宋_GB2312;仿宋" w:eastAsia="仿宋_GB2312;仿宋" w:cs="Times New Roman"/>
      <w:sz w:val="32"/>
      <w:szCs w:val="32"/>
    </w:rPr>
  </w:style>
  <w:style w:type="paragraph" w:styleId="795" w:customStyle="1">
    <w:name w:val="列表 21"/>
    <w:basedOn w:val="713"/>
    <w:uiPriority w:val="0"/>
    <w:qFormat/>
    <w:pPr>
      <w:ind w:left="100" w:right="0" w:hanging="200"/>
    </w:pPr>
    <w:rPr>
      <w:rFonts w:ascii="Times New Roman" w:hAnsi="Times New Roman" w:eastAsia="宋体" w:cs="Times New Roman"/>
      <w:szCs w:val="21"/>
    </w:rPr>
  </w:style>
  <w:style w:type="paragraph" w:styleId="796" w:customStyle="1">
    <w:name w:val="纯文本1"/>
    <w:basedOn w:val="713"/>
    <w:uiPriority w:val="0"/>
    <w:qFormat/>
    <w:rPr>
      <w:rFonts w:ascii="宋体" w:hAnsi="宋体" w:eastAsia="宋体" w:cs="Courier New"/>
      <w:szCs w:val="21"/>
    </w:rPr>
  </w:style>
  <w:style w:type="paragraph" w:styleId="797" w:customStyle="1">
    <w:name w:val="日期1"/>
    <w:basedOn w:val="713"/>
    <w:next w:val="713"/>
    <w:uiPriority w:val="0"/>
    <w:qFormat/>
    <w:rPr>
      <w:rFonts w:ascii="Times New Roman" w:hAnsi="Times New Roman" w:eastAsia="宋体" w:cs="Times New Roman"/>
      <w:sz w:val="24"/>
      <w:szCs w:val="24"/>
    </w:rPr>
  </w:style>
  <w:style w:type="paragraph" w:styleId="798" w:customStyle="1">
    <w:name w:val="正文文本缩进 21"/>
    <w:basedOn w:val="713"/>
    <w:uiPriority w:val="0"/>
    <w:qFormat/>
    <w:pPr>
      <w:ind w:left="630" w:right="0" w:firstLine="645"/>
    </w:pPr>
    <w:rPr>
      <w:rFonts w:ascii="Arial" w:hAnsi="Arial" w:eastAsia="仿宋_GB2312;仿宋" w:cs="Arial"/>
      <w:sz w:val="32"/>
      <w:szCs w:val="32"/>
    </w:rPr>
  </w:style>
  <w:style w:type="paragraph" w:styleId="799" w:customStyle="1">
    <w:name w:val="批注框文本1"/>
    <w:basedOn w:val="713"/>
    <w:uiPriority w:val="0"/>
    <w:qFormat/>
    <w:rPr>
      <w:rFonts w:ascii="Times New Roman" w:hAnsi="Times New Roman" w:eastAsia="宋体" w:cs="Times New Roman"/>
      <w:sz w:val="18"/>
      <w:szCs w:val="18"/>
    </w:rPr>
  </w:style>
  <w:style w:type="paragraph" w:styleId="800" w:customStyle="1">
    <w:name w:val="Header and Footer"/>
    <w:basedOn w:val="713"/>
    <w:uiPriority w:val="0"/>
    <w:qFormat/>
    <w:pPr>
      <w:tabs>
        <w:tab w:val="center" w:pos="4819" w:leader="none"/>
        <w:tab w:val="right" w:pos="9638" w:leader="none"/>
      </w:tabs>
      <w:suppressLineNumbers/>
    </w:pPr>
  </w:style>
  <w:style w:type="paragraph" w:styleId="801" w:customStyle="1">
    <w:name w:val="正文文本缩进 31"/>
    <w:basedOn w:val="713"/>
    <w:uiPriority w:val="0"/>
    <w:qFormat/>
    <w:pPr>
      <w:ind w:left="645" w:right="0" w:firstLine="645"/>
    </w:pPr>
    <w:rPr>
      <w:rFonts w:ascii="Arial" w:hAnsi="Arial" w:eastAsia="仿宋_GB2312;仿宋" w:cs="Arial"/>
      <w:color w:val="ffff00"/>
      <w:sz w:val="32"/>
      <w:szCs w:val="32"/>
    </w:rPr>
  </w:style>
  <w:style w:type="paragraph" w:styleId="802" w:customStyle="1">
    <w:name w:val="图表目录1"/>
    <w:basedOn w:val="713"/>
    <w:next w:val="713"/>
    <w:uiPriority w:val="0"/>
    <w:qFormat/>
    <w:pPr>
      <w:ind w:left="840" w:right="0" w:hanging="420"/>
    </w:pPr>
    <w:rPr>
      <w:rFonts w:ascii="Times New Roman" w:hAnsi="Times New Roman" w:eastAsia="宋体" w:cs="Times New Roman"/>
      <w:szCs w:val="21"/>
    </w:rPr>
  </w:style>
  <w:style w:type="paragraph" w:styleId="803" w:customStyle="1">
    <w:name w:val="正文文本 21"/>
    <w:basedOn w:val="713"/>
    <w:uiPriority w:val="0"/>
    <w:qFormat/>
    <w:pPr>
      <w:jc w:val="center"/>
      <w:widowControl/>
    </w:pPr>
    <w:rPr>
      <w:rFonts w:ascii="楷体_GB2312;楷体" w:hAnsi="楷体_GB2312;楷体" w:eastAsia="楷体_GB2312;楷体" w:cs="Times New Roman"/>
      <w:sz w:val="28"/>
      <w:szCs w:val="28"/>
    </w:rPr>
  </w:style>
  <w:style w:type="paragraph" w:styleId="804" w:customStyle="1">
    <w:name w:val="普通(网站)1"/>
    <w:basedOn w:val="713"/>
    <w:uiPriority w:val="0"/>
    <w:qFormat/>
    <w:pPr>
      <w:jc w:val="left"/>
      <w:spacing w:before="100" w:after="100"/>
      <w:widowControl/>
    </w:pPr>
    <w:rPr>
      <w:rFonts w:ascii="宋体" w:hAnsi="宋体" w:eastAsia="宋体" w:cs="宋体"/>
      <w:sz w:val="24"/>
      <w:szCs w:val="24"/>
    </w:rPr>
  </w:style>
  <w:style w:type="paragraph" w:styleId="805" w:customStyle="1">
    <w:name w:val="批注主题1"/>
    <w:basedOn w:val="793"/>
    <w:next w:val="793"/>
    <w:uiPriority w:val="0"/>
    <w:qFormat/>
    <w:rPr>
      <w:rFonts w:ascii="Times New Roman" w:hAnsi="Times New Roman" w:eastAsia="宋体" w:cs="Times New Roman"/>
      <w:b/>
      <w:bCs/>
      <w:szCs w:val="21"/>
    </w:rPr>
  </w:style>
  <w:style w:type="paragraph" w:styleId="806" w:customStyle="1">
    <w:name w:val="正文首行缩进1"/>
    <w:basedOn w:val="728"/>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807" w:customStyle="1">
    <w:name w:val="正文首行缩进 21"/>
    <w:basedOn w:val="729"/>
    <w:next w:val="713"/>
    <w:uiPriority w:val="0"/>
    <w:qFormat/>
    <w:pPr>
      <w:ind w:left="0" w:right="0" w:firstLine="420"/>
      <w:spacing w:before="0" w:after="0" w:line="360" w:lineRule="auto"/>
    </w:pPr>
    <w:rPr>
      <w:rFonts w:ascii="宋体" w:hAnsi="宋体" w:eastAsia="宋体" w:cs="Times New Roman"/>
      <w:szCs w:val="20"/>
    </w:rPr>
  </w:style>
  <w:style w:type="paragraph" w:styleId="808" w:customStyle="1">
    <w:name w:val="正文文本1"/>
    <w:basedOn w:val="713"/>
    <w:next w:val="713"/>
    <w:uiPriority w:val="0"/>
    <w:qFormat/>
    <w:rPr>
      <w:rFonts w:ascii="楷体_GB2312;楷体" w:hAnsi="楷体_GB2312;楷体" w:eastAsia="楷体_GB2312;楷体" w:cs="Arial"/>
      <w:sz w:val="28"/>
      <w:szCs w:val="28"/>
      <w:lang w:val="en-US" w:eastAsia="en-US"/>
    </w:rPr>
  </w:style>
  <w:style w:type="paragraph" w:styleId="809" w:customStyle="1">
    <w:name w:val="正文首行缩进11"/>
    <w:basedOn w:val="808"/>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81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11" w:customStyle="1">
    <w:name w:val="二级目录"/>
    <w:next w:val="713"/>
    <w:uiPriority w:val="0"/>
    <w:qFormat/>
    <w:pPr>
      <w:numPr>
        <w:ilvl w:val="0"/>
        <w:numId w:val="2"/>
      </w:numPr>
      <w:widowControl/>
      <w:tabs>
        <w:tab w:val="left" w:pos="907" w:leader="none"/>
        <w:tab w:val="left" w:pos="1145" w:leader="none"/>
      </w:tabs>
      <w:outlineLvl w:val="1"/>
    </w:pPr>
    <w:rPr>
      <w:rFonts w:ascii="Times New Roman" w:hAnsi="Times New Roman" w:eastAsia="宋体" w:cs="Times New Roman"/>
      <w:b/>
      <w:color w:val="auto"/>
      <w:sz w:val="30"/>
      <w:szCs w:val="28"/>
      <w:lang w:val="en-US" w:eastAsia="zh-CN" w:bidi="ar-SA"/>
    </w:rPr>
  </w:style>
  <w:style w:type="paragraph" w:styleId="812" w:customStyle="1">
    <w:name w:val="列出段落1"/>
    <w:basedOn w:val="713"/>
    <w:uiPriority w:val="0"/>
    <w:qFormat/>
    <w:pPr>
      <w:contextualSpacing/>
      <w:ind w:left="720" w:right="0" w:firstLine="0"/>
      <w:jc w:val="left"/>
      <w:spacing w:before="0" w:after="0"/>
      <w:widowControl/>
    </w:pPr>
    <w:rPr>
      <w:rFonts w:ascii="Calibri" w:hAnsi="Calibri" w:cs="Calibri"/>
      <w:sz w:val="24"/>
      <w:szCs w:val="24"/>
      <w:lang w:eastAsia="en-US" w:bidi="en-US"/>
    </w:rPr>
  </w:style>
  <w:style w:type="paragraph" w:styleId="813" w:customStyle="1">
    <w:name w:val="Body Text(ch)"/>
    <w:basedOn w:val="713"/>
    <w:next w:val="728"/>
    <w:uiPriority w:val="0"/>
    <w:qFormat/>
    <w:pPr>
      <w:spacing w:before="0" w:after="120"/>
    </w:pPr>
    <w:rPr>
      <w:rFonts w:ascii="宋体" w:hAnsi="宋体" w:eastAsia="宋体" w:cs="Times New Roman"/>
      <w:bCs/>
      <w:iCs/>
      <w:szCs w:val="24"/>
    </w:rPr>
  </w:style>
  <w:style w:type="paragraph" w:styleId="814" w:customStyle="1">
    <w:name w:val="xl27"/>
    <w:basedOn w:val="713"/>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5" w:customStyle="1">
    <w:name w:val="xl26"/>
    <w:basedOn w:val="713"/>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6" w:customStyle="1">
    <w:name w:val="Char"/>
    <w:basedOn w:val="713"/>
    <w:uiPriority w:val="0"/>
    <w:qFormat/>
    <w:pPr>
      <w:ind w:left="0" w:right="0" w:firstLine="200"/>
      <w:tabs>
        <w:tab w:val="left" w:pos="360" w:leader="none"/>
      </w:tabs>
    </w:pPr>
    <w:rPr>
      <w:rFonts w:ascii="Times New Roman" w:hAnsi="Times New Roman" w:eastAsia="宋体" w:cs="Times New Roman"/>
      <w:sz w:val="28"/>
      <w:szCs w:val="30"/>
    </w:rPr>
  </w:style>
  <w:style w:type="paragraph" w:styleId="817" w:customStyle="1">
    <w:name w:val=" Char"/>
    <w:basedOn w:val="792"/>
    <w:uiPriority w:val="0"/>
    <w:qFormat/>
    <w:rPr>
      <w:rFonts w:ascii="Tahoma" w:hAnsi="Tahoma" w:cs="Tahoma"/>
      <w:sz w:val="24"/>
      <w:szCs w:val="24"/>
    </w:rPr>
  </w:style>
  <w:style w:type="paragraph" w:styleId="818" w:customStyle="1">
    <w:name w:val="普通正文"/>
    <w:basedOn w:val="713"/>
    <w:uiPriority w:val="0"/>
    <w:qFormat/>
    <w:pPr>
      <w:ind w:left="0" w:right="0" w:firstLine="480"/>
      <w:jc w:val="left"/>
      <w:spacing w:before="120" w:after="120" w:line="360" w:lineRule="auto"/>
    </w:pPr>
    <w:rPr>
      <w:rFonts w:ascii="Arial" w:hAnsi="Arial" w:eastAsia="宋体" w:cs="Times New Roman"/>
      <w:sz w:val="24"/>
      <w:szCs w:val="24"/>
    </w:rPr>
  </w:style>
  <w:style w:type="paragraph" w:styleId="819" w:customStyle="1">
    <w:name w:val="table_lines"/>
    <w:basedOn w:val="713"/>
    <w:uiPriority w:val="0"/>
    <w:qFormat/>
    <w:pPr>
      <w:jc w:val="left"/>
      <w:widowControl/>
    </w:pPr>
    <w:rPr>
      <w:rFonts w:ascii="Times New Roman" w:hAnsi="Times New Roman" w:eastAsia="宋体" w:cs="Times New Roman"/>
      <w:sz w:val="20"/>
      <w:szCs w:val="20"/>
      <w:lang w:val="de-DE" w:eastAsia="de-DE"/>
    </w:rPr>
  </w:style>
  <w:style w:type="paragraph" w:styleId="820" w:customStyle="1">
    <w:name w:val="附录1"/>
    <w:uiPriority w:val="0"/>
    <w:qFormat/>
    <w:pPr>
      <w:numPr>
        <w:ilvl w:val="0"/>
        <w:numId w:val="2"/>
      </w:numPr>
      <w:spacing w:before="240" w:after="0" w:line="600" w:lineRule="atLeast"/>
      <w:widowControl/>
      <w:tabs>
        <w:tab w:val="left" w:pos="907" w:leader="none"/>
      </w:tabs>
    </w:pPr>
    <w:rPr>
      <w:rFonts w:ascii="Times New Roman" w:hAnsi="Times New Roman" w:eastAsia="宋体" w:cs="Times New Roman"/>
      <w:b/>
      <w:i/>
      <w:color w:val="auto"/>
      <w:sz w:val="28"/>
      <w:szCs w:val="20"/>
      <w:lang w:val="en-US" w:eastAsia="zh-CN" w:bidi="ar-SA"/>
    </w:rPr>
  </w:style>
  <w:style w:type="paragraph" w:styleId="821" w:customStyle="1">
    <w:name w:val="font7"/>
    <w:basedOn w:val="713"/>
    <w:uiPriority w:val="0"/>
    <w:qFormat/>
    <w:pPr>
      <w:jc w:val="left"/>
      <w:spacing w:before="100" w:after="100"/>
      <w:widowControl/>
    </w:pPr>
    <w:rPr>
      <w:rFonts w:ascii="宋体" w:hAnsi="宋体" w:eastAsia="宋体" w:cs="Times New Roman"/>
      <w:sz w:val="18"/>
      <w:szCs w:val="18"/>
    </w:rPr>
  </w:style>
  <w:style w:type="paragraph" w:styleId="822" w:customStyle="1">
    <w:name w:val=" Char Char Char Char"/>
    <w:basedOn w:val="792"/>
    <w:uiPriority w:val="0"/>
    <w:qFormat/>
    <w:pPr>
      <w:spacing w:line="360" w:lineRule="auto"/>
    </w:pPr>
    <w:rPr>
      <w:rFonts w:ascii="Tahoma" w:hAnsi="Tahoma" w:cs="Tahoma"/>
      <w:sz w:val="24"/>
      <w:szCs w:val="24"/>
    </w:rPr>
  </w:style>
  <w:style w:type="paragraph" w:styleId="823" w:customStyle="1">
    <w:name w:val="列出段落"/>
    <w:basedOn w:val="713"/>
    <w:uiPriority w:val="0"/>
    <w:qFormat/>
    <w:pPr>
      <w:contextualSpacing/>
      <w:ind w:left="720" w:right="0" w:firstLine="0"/>
      <w:jc w:val="left"/>
      <w:spacing w:before="0" w:after="0"/>
      <w:widowControl/>
    </w:pPr>
    <w:rPr>
      <w:rFonts w:ascii="Calibri" w:hAnsi="Calibri" w:eastAsia="宋体" w:cs="Times New Roman"/>
      <w:sz w:val="24"/>
      <w:szCs w:val="24"/>
      <w:lang w:eastAsia="en-US" w:bidi="en-US"/>
    </w:rPr>
  </w:style>
  <w:style w:type="paragraph" w:styleId="824" w:customStyle="1">
    <w:name w:val="4"/>
    <w:basedOn w:val="713"/>
    <w:next w:val="801"/>
    <w:uiPriority w:val="0"/>
    <w:qFormat/>
    <w:pPr>
      <w:ind w:left="0" w:right="0" w:firstLine="420"/>
      <w:spacing w:line="360" w:lineRule="auto"/>
    </w:pPr>
    <w:rPr>
      <w:rFonts w:ascii="Times New Roman" w:hAnsi="Times New Roman" w:eastAsia="宋体" w:cs="Times New Roman"/>
      <w:color w:val="ff0000"/>
      <w:sz w:val="24"/>
      <w:szCs w:val="24"/>
    </w:rPr>
  </w:style>
  <w:style w:type="paragraph" w:styleId="825" w:customStyle="1">
    <w:name w:val="普通 (Web)"/>
    <w:basedOn w:val="713"/>
    <w:uiPriority w:val="0"/>
    <w:qFormat/>
    <w:pPr>
      <w:jc w:val="left"/>
      <w:spacing w:before="100" w:after="100"/>
      <w:widowControl/>
    </w:pPr>
    <w:rPr>
      <w:rFonts w:ascii="宋体" w:hAnsi="宋体" w:eastAsia="宋体" w:cs="Times New Roman"/>
      <w:sz w:val="24"/>
      <w:szCs w:val="24"/>
    </w:rPr>
  </w:style>
  <w:style w:type="paragraph" w:styleId="826" w:customStyle="1">
    <w:name w:val=" Char Char Char Char Char Char Char Char Char Char"/>
    <w:basedOn w:val="713"/>
    <w:uiPriority w:val="0"/>
    <w:qFormat/>
    <w:pPr>
      <w:spacing w:line="360" w:lineRule="auto"/>
    </w:pPr>
    <w:rPr>
      <w:rFonts w:ascii="Times New Roman" w:hAnsi="Times New Roman" w:eastAsia="宋体" w:cs="Times New Roman"/>
      <w:sz w:val="24"/>
      <w:szCs w:val="20"/>
    </w:rPr>
  </w:style>
  <w:style w:type="paragraph" w:styleId="827" w:customStyle="1">
    <w:name w:val="样式1"/>
    <w:basedOn w:val="713"/>
    <w:uiPriority w:val="0"/>
    <w:qFormat/>
    <w:pPr>
      <w:numPr>
        <w:ilvl w:val="0"/>
        <w:numId w:val="3"/>
      </w:numPr>
      <w:tabs>
        <w:tab w:val="left" w:pos="709" w:leader="none"/>
      </w:tabs>
    </w:pPr>
    <w:rPr>
      <w:rFonts w:ascii="宋体" w:hAnsi="宋体" w:eastAsia="宋体" w:cs="Times New Roman"/>
      <w:szCs w:val="21"/>
    </w:rPr>
  </w:style>
  <w:style w:type="paragraph" w:styleId="828" w:customStyle="1">
    <w:name w:val="font6"/>
    <w:basedOn w:val="713"/>
    <w:uiPriority w:val="0"/>
    <w:qFormat/>
    <w:pPr>
      <w:jc w:val="left"/>
      <w:spacing w:before="100" w:after="100"/>
      <w:widowControl/>
    </w:pPr>
    <w:rPr>
      <w:rFonts w:ascii="宋体" w:hAnsi="宋体" w:eastAsia="宋体" w:cs="Times New Roman"/>
      <w:sz w:val="28"/>
      <w:szCs w:val="28"/>
      <w:u w:val="single"/>
    </w:rPr>
  </w:style>
  <w:style w:type="paragraph" w:styleId="829" w:customStyle="1">
    <w:name w:val="xl25"/>
    <w:basedOn w:val="713"/>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830" w:customStyle="1">
    <w:name w:val="图标"/>
    <w:basedOn w:val="713"/>
    <w:next w:val="713"/>
    <w:uiPriority w:val="0"/>
    <w:qFormat/>
    <w:pPr>
      <w:ind w:left="840" w:right="0" w:hanging="420"/>
      <w:jc w:val="center"/>
      <w:spacing w:before="120" w:after="120" w:line="320" w:lineRule="atLeast"/>
      <w:tabs>
        <w:tab w:val="left" w:pos="567" w:leader="none"/>
        <w:tab w:val="left" w:pos="840" w:leader="none"/>
      </w:tabs>
    </w:pPr>
    <w:rPr>
      <w:rFonts w:ascii="Times New Roman" w:hAnsi="Times New Roman" w:eastAsia="仿宋_GB2312;仿宋" w:cs="Times New Roman"/>
      <w:sz w:val="24"/>
      <w:szCs w:val="20"/>
    </w:rPr>
  </w:style>
  <w:style w:type="paragraph" w:styleId="831" w:customStyle="1">
    <w:name w:val="标题3"/>
    <w:basedOn w:val="713"/>
    <w:next w:val="713"/>
    <w:uiPriority w:val="0"/>
    <w:qFormat/>
    <w:pPr>
      <w:ind w:left="0" w:right="0" w:firstLine="624"/>
      <w:spacing w:line="590" w:lineRule="atLeast"/>
    </w:pPr>
    <w:rPr>
      <w:rFonts w:ascii="方正黑体_GBK;微软雅黑" w:hAnsi="方正黑体_GBK;微软雅黑" w:eastAsia="方正黑体_GBK;微软雅黑" w:cs="Times New Roman"/>
      <w:sz w:val="32"/>
      <w:szCs w:val="32"/>
    </w:rPr>
  </w:style>
  <w:style w:type="paragraph" w:styleId="832" w:customStyle="1">
    <w:name w:val="xl24"/>
    <w:basedOn w:val="713"/>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3" w:customStyle="1">
    <w:name w:val="xl29"/>
    <w:basedOn w:val="713"/>
    <w:uiPriority w:val="0"/>
    <w:qFormat/>
    <w:pPr>
      <w:jc w:val="left"/>
      <w:spacing w:before="100" w:after="100"/>
      <w:widowControl/>
      <w:pBdr>
        <w:left w:val="single" w:color="000000" w:sz="4" w:space="0"/>
        <w:bottom w:val="single" w:color="000000" w:sz="4" w:space="0"/>
      </w:pBdr>
    </w:pPr>
    <w:rPr>
      <w:rFonts w:ascii="宋体" w:hAnsi="宋体" w:eastAsia="宋体" w:cs="Times New Roman"/>
      <w:sz w:val="24"/>
      <w:szCs w:val="24"/>
    </w:rPr>
  </w:style>
  <w:style w:type="paragraph" w:styleId="834" w:customStyle="1">
    <w:name w:val="Char Char Char Char Char Char Char Char"/>
    <w:basedOn w:val="713"/>
    <w:uiPriority w:val="0"/>
    <w:qFormat/>
    <w:pPr>
      <w:jc w:val="left"/>
      <w:spacing w:before="0" w:after="160" w:line="240" w:lineRule="exact"/>
      <w:widowControl/>
    </w:pPr>
    <w:rPr>
      <w:rFonts w:ascii="Verdana" w:hAnsi="Verdana" w:eastAsia="宋体" w:cs="Times New Roman"/>
      <w:sz w:val="20"/>
      <w:szCs w:val="20"/>
      <w:lang w:eastAsia="en-US"/>
    </w:rPr>
  </w:style>
  <w:style w:type="paragraph" w:styleId="835" w:customStyle="1">
    <w:name w:val="xl28"/>
    <w:basedOn w:val="713"/>
    <w:uiPriority w:val="0"/>
    <w:qFormat/>
    <w:pPr>
      <w:jc w:val="left"/>
      <w:spacing w:before="100" w:after="100"/>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6" w:customStyle="1">
    <w:name w:val=" Char Char Char Char Char Char Char Char"/>
    <w:basedOn w:val="713"/>
    <w:uiPriority w:val="0"/>
    <w:qFormat/>
    <w:pPr>
      <w:jc w:val="left"/>
      <w:spacing w:before="0" w:after="160" w:line="240" w:lineRule="exact"/>
      <w:widowControl/>
    </w:pPr>
    <w:rPr>
      <w:rFonts w:ascii="Verdana" w:hAnsi="Verdana" w:eastAsia="宋体" w:cs="Times New Roman"/>
      <w:sz w:val="20"/>
      <w:szCs w:val="20"/>
      <w:lang w:eastAsia="en-US"/>
    </w:rPr>
  </w:style>
  <w:style w:type="paragraph" w:styleId="837" w:customStyle="1">
    <w:name w:val="xl30"/>
    <w:basedOn w:val="713"/>
    <w:uiPriority w:val="0"/>
    <w:qFormat/>
    <w:pPr>
      <w:jc w:val="center"/>
      <w:spacing w:before="100" w:after="100"/>
      <w:widowControl/>
    </w:pPr>
    <w:rPr>
      <w:rFonts w:ascii="宋体" w:hAnsi="宋体" w:eastAsia="宋体" w:cs="Times New Roman"/>
      <w:b/>
      <w:bCs/>
      <w:sz w:val="36"/>
      <w:szCs w:val="36"/>
    </w:rPr>
  </w:style>
  <w:style w:type="paragraph" w:styleId="838" w:customStyle="1">
    <w:name w:val="Char Char Char Char"/>
    <w:basedOn w:val="792"/>
    <w:uiPriority w:val="0"/>
    <w:qFormat/>
    <w:pPr>
      <w:spacing w:line="360" w:lineRule="auto"/>
    </w:pPr>
    <w:rPr>
      <w:rFonts w:ascii="Tahoma" w:hAnsi="Tahoma" w:cs="Tahoma"/>
      <w:sz w:val="24"/>
      <w:szCs w:val="24"/>
    </w:rPr>
  </w:style>
  <w:style w:type="paragraph" w:styleId="839" w:customStyle="1">
    <w:name w:val="table_1stline"/>
    <w:basedOn w:val="713"/>
    <w:uiPriority w:val="0"/>
    <w:qFormat/>
    <w:pPr>
      <w:jc w:val="left"/>
      <w:spacing w:before="120" w:after="0"/>
      <w:widowControl/>
    </w:pPr>
    <w:rPr>
      <w:rFonts w:ascii="Times New Roman" w:hAnsi="Times New Roman" w:eastAsia="宋体" w:cs="Times New Roman"/>
      <w:bCs/>
      <w:sz w:val="20"/>
      <w:szCs w:val="20"/>
      <w:lang w:val="de-DE" w:eastAsia="de-DE"/>
    </w:rPr>
  </w:style>
  <w:style w:type="paragraph" w:styleId="840" w:customStyle="1">
    <w:name w:val="font5"/>
    <w:basedOn w:val="713"/>
    <w:uiPriority w:val="0"/>
    <w:qFormat/>
    <w:pPr>
      <w:jc w:val="left"/>
      <w:spacing w:before="100" w:after="100"/>
      <w:widowControl/>
    </w:pPr>
    <w:rPr>
      <w:rFonts w:ascii="宋体" w:hAnsi="宋体" w:eastAsia="宋体" w:cs="Times New Roman"/>
      <w:sz w:val="28"/>
      <w:szCs w:val="28"/>
    </w:rPr>
  </w:style>
  <w:style w:type="paragraph" w:styleId="841" w:customStyle="1">
    <w:name w:val="标题1"/>
    <w:basedOn w:val="713"/>
    <w:next w:val="713"/>
    <w:uiPriority w:val="0"/>
    <w:qFormat/>
    <w:pPr>
      <w:jc w:val="center"/>
      <w:spacing w:line="700" w:lineRule="atLeast"/>
      <w:tabs>
        <w:tab w:val="left" w:pos="9193" w:leader="none"/>
        <w:tab w:val="left" w:pos="9827" w:leader="none"/>
      </w:tabs>
    </w:pPr>
    <w:rPr>
      <w:rFonts w:ascii="方正小标宋_GBK;微软雅黑" w:hAnsi="方正小标宋_GBK;微软雅黑" w:eastAsia="方正小标宋_GBK;微软雅黑" w:cs="Times New Roman"/>
      <w:sz w:val="44"/>
      <w:szCs w:val="20"/>
    </w:rPr>
  </w:style>
  <w:style w:type="paragraph" w:styleId="842" w:customStyle="1">
    <w:name w:val="修订"/>
    <w:uiPriority w:val="0"/>
    <w:qFormat/>
    <w:pPr>
      <w:widowControl/>
    </w:pPr>
    <w:rPr>
      <w:rFonts w:ascii="Times New Roman" w:hAnsi="Times New Roman" w:eastAsia="宋体" w:cs="Times New Roman"/>
      <w:color w:val="auto"/>
      <w:sz w:val="21"/>
      <w:szCs w:val="21"/>
      <w:lang w:val="en-US" w:eastAsia="zh-CN" w:bidi="ar-SA"/>
    </w:rPr>
  </w:style>
  <w:style w:type="paragraph" w:styleId="843" w:customStyle="1">
    <w:name w:val="无间隔"/>
    <w:uiPriority w:val="0"/>
    <w:qFormat/>
    <w:pPr>
      <w:jc w:val="both"/>
      <w:widowControl w:val="off"/>
    </w:pPr>
    <w:rPr>
      <w:rFonts w:ascii="Times New Roman" w:hAnsi="Times New Roman" w:eastAsia="宋体" w:cs="Times New Roman"/>
      <w:color w:val="auto"/>
      <w:sz w:val="21"/>
      <w:szCs w:val="21"/>
      <w:lang w:val="en-US" w:eastAsia="zh-CN" w:bidi="ar-SA"/>
    </w:rPr>
  </w:style>
  <w:style w:type="paragraph" w:styleId="844" w:customStyle="1">
    <w:name w:val="WPSOffice手动目录 1"/>
    <w:uiPriority w:val="0"/>
    <w:qFormat/>
    <w:pPr>
      <w:widowControl/>
    </w:pPr>
    <w:rPr>
      <w:rFonts w:ascii="Times New Roman" w:hAnsi="Times New Roman" w:eastAsia="宋体" w:cs="Times New Roman"/>
      <w:color w:val="auto"/>
      <w:sz w:val="20"/>
      <w:szCs w:val="20"/>
      <w:lang w:val="en-US" w:eastAsia="zh-CN" w:bidi="hi-IN"/>
    </w:rPr>
  </w:style>
  <w:style w:type="paragraph" w:styleId="845" w:customStyle="1">
    <w:name w:val="正文缩进1"/>
    <w:basedOn w:val="713"/>
    <w:uiPriority w:val="0"/>
    <w:qFormat/>
    <w:pPr>
      <w:ind w:left="0" w:right="0" w:firstLine="420"/>
    </w:pPr>
    <w:rPr>
      <w:sz w:val="20"/>
      <w:lang w:val="en-US" w:eastAsia="en-US"/>
    </w:rPr>
  </w:style>
  <w:style w:type="paragraph" w:styleId="846" w:customStyle="1">
    <w:name w:val="Table Contents"/>
    <w:basedOn w:val="713"/>
    <w:uiPriority w:val="0"/>
    <w:qFormat/>
    <w:pPr>
      <w:widowControl w:val="off"/>
      <w:suppressLineNumbers/>
    </w:pPr>
  </w:style>
  <w:style w:type="paragraph" w:styleId="847" w:customStyle="1">
    <w:name w:val="Table Heading"/>
    <w:basedOn w:val="846"/>
    <w:uiPriority w:val="0"/>
    <w:qFormat/>
    <w:pPr>
      <w:jc w:val="center"/>
      <w:suppressLineNumbers/>
    </w:pPr>
    <w:rPr>
      <w:b/>
      <w:bCs/>
    </w:rPr>
  </w:style>
  <w:style w:type="paragraph" w:styleId="848" w:customStyle="1">
    <w:name w:val="Frame Contents"/>
    <w:basedOn w:val="713"/>
    <w:uiPriority w:val="0"/>
    <w:qFormat/>
  </w:style>
  <w:style w:type="paragraph" w:styleId="849" w:customStyle="1">
    <w:name w:val="普通(网站)11"/>
    <w:basedOn w:val="713"/>
    <w:uiPriority w:val="99"/>
    <w:qFormat/>
    <w:pPr>
      <w:jc w:val="left"/>
      <w:spacing w:before="100" w:beforeAutospacing="1" w:after="100" w:afterAutospacing="1"/>
      <w:widowControl/>
    </w:pPr>
    <w:rPr>
      <w:rFonts w:ascii="宋体" w:hAnsi="宋体" w:eastAsia="宋体" w:cs="宋体"/>
      <w:sz w:val="24"/>
      <w:szCs w:val="24"/>
    </w:rPr>
  </w:style>
  <w:style w:type="character" w:styleId="850" w:customStyle="1">
    <w:name w:val="强调1"/>
    <w:basedOn w:val="747"/>
    <w:link w:val="713"/>
    <w:uiPriority w:val="0"/>
    <w:qFormat/>
    <w:rPr>
      <w:rFonts w:ascii="Times New Roman" w:hAnsi="Times New Roman" w:eastAsia="宋体" w:cs="Times New Roman"/>
      <w:color w:val="auto"/>
      <w:sz w:val="21"/>
      <w:szCs w:val="22"/>
      <w:lang w:val="en-US" w:eastAsia="zh-CN" w:bidi="ar-SA"/>
    </w:rPr>
  </w:style>
  <w:style w:type="numbering" w:styleId="107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如东分公司</cp:lastModifiedBy>
  <cp:revision>107</cp:revision>
  <dcterms:created xsi:type="dcterms:W3CDTF">2023-03-16T02:13:00Z</dcterms:created>
  <dcterms:modified xsi:type="dcterms:W3CDTF">2026-09-16T02:07:22Z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68AA97C91AF34AABBA8249EFA7C37AB8_13</vt:lpwstr>
  </property>
  <property fmtid="{D5CDD505-2E9C-101B-9397-08002B2CF9AE}" pid="3" name="KSOProductBuildVer">
    <vt:lpwstr>2052-12.1.0.28505</vt:lpwstr>
  </property>
  <property fmtid="{D5CDD505-2E9C-101B-9397-08002B2CF9AE}" pid="4" name="KSOTemplateDocerSaveRecord">
    <vt:lpwstr>eyJoZGlkIjoiYzE5NGY3ZDZlOWUzZDFiNjIxYjNhZjlkZGQ0MzVlOTAiLCJ1c2VySWQiOiIxNjc0NjYxMTExIn0=</vt:lpwstr>
  </property>
</Properties>
</file>