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5CC3ED1">
      <w:pPr>
        <w:spacing w:line="360" w:lineRule="auto"/>
        <w:jc w:val="center"/>
        <w:rPr>
          <w:rFonts w:ascii="宋体" w:hAnsi="宋体" w:cs="宋体"/>
          <w:b/>
          <w:bCs/>
          <w:color w:val="auto"/>
          <w:spacing w:val="20"/>
          <w:sz w:val="80"/>
          <w:szCs w:val="80"/>
          <w:highlight w:val="none"/>
        </w:rPr>
      </w:pPr>
    </w:p>
    <w:p w14:paraId="316AA3AD">
      <w:pPr>
        <w:jc w:val="center"/>
        <w:rPr>
          <w:rFonts w:ascii="宋体" w:hAnsi="宋体" w:cs="宋体"/>
          <w:b/>
          <w:bCs/>
          <w:color w:val="auto"/>
          <w:sz w:val="80"/>
          <w:szCs w:val="80"/>
          <w:highlight w:val="none"/>
        </w:rPr>
      </w:pPr>
      <w:r>
        <w:rPr>
          <w:rFonts w:hint="eastAsia" w:ascii="宋体" w:hAnsi="宋体" w:cs="宋体"/>
          <w:b/>
          <w:bCs/>
          <w:color w:val="auto"/>
          <w:sz w:val="80"/>
          <w:szCs w:val="80"/>
          <w:highlight w:val="none"/>
        </w:rPr>
        <w:t>苏州市政府采购</w:t>
      </w:r>
    </w:p>
    <w:p w14:paraId="4C89F00A">
      <w:pPr>
        <w:spacing w:line="360" w:lineRule="auto"/>
        <w:jc w:val="center"/>
        <w:rPr>
          <w:rFonts w:ascii="宋体" w:hAnsi="宋体" w:cs="宋体"/>
          <w:b/>
          <w:bCs/>
          <w:color w:val="auto"/>
          <w:sz w:val="80"/>
          <w:szCs w:val="80"/>
          <w:highlight w:val="none"/>
        </w:rPr>
      </w:pPr>
      <w:r>
        <w:rPr>
          <w:rFonts w:hint="eastAsia" w:ascii="宋体" w:hAnsi="宋体" w:cs="宋体"/>
          <w:b/>
          <w:bCs/>
          <w:color w:val="auto"/>
          <w:sz w:val="80"/>
          <w:szCs w:val="80"/>
          <w:highlight w:val="none"/>
        </w:rPr>
        <w:t>招  标  文  件</w:t>
      </w:r>
    </w:p>
    <w:p w14:paraId="69A5417A">
      <w:pPr>
        <w:spacing w:line="360" w:lineRule="auto"/>
        <w:ind w:firstLine="2040" w:firstLineChars="635"/>
        <w:jc w:val="both"/>
        <w:rPr>
          <w:rFonts w:ascii="宋体" w:hAnsi="宋体" w:cs="宋体"/>
          <w:b/>
          <w:color w:val="auto"/>
          <w:sz w:val="32"/>
          <w:szCs w:val="28"/>
          <w:highlight w:val="none"/>
        </w:rPr>
      </w:pPr>
    </w:p>
    <w:p w14:paraId="27D2A595">
      <w:pPr>
        <w:spacing w:line="360" w:lineRule="auto"/>
        <w:ind w:firstLine="1285" w:firstLineChars="400"/>
        <w:rPr>
          <w:rFonts w:hint="eastAsia" w:ascii="宋体" w:hAnsi="宋体" w:eastAsia="宋体" w:cs="宋体"/>
          <w:b/>
          <w:bCs/>
          <w:color w:val="auto"/>
          <w:sz w:val="32"/>
          <w:szCs w:val="32"/>
          <w:highlight w:val="none"/>
          <w:lang w:eastAsia="zh-CN"/>
        </w:rPr>
      </w:pPr>
      <w:bookmarkStart w:id="0" w:name="_Toc3159"/>
      <w:r>
        <w:rPr>
          <w:rFonts w:hint="eastAsia" w:ascii="宋体" w:hAnsi="宋体" w:cs="宋体"/>
          <w:b/>
          <w:bCs/>
          <w:color w:val="auto"/>
          <w:sz w:val="32"/>
          <w:szCs w:val="32"/>
          <w:highlight w:val="none"/>
        </w:rPr>
        <w:t>项目编号：</w:t>
      </w:r>
      <w:bookmarkEnd w:id="0"/>
      <w:r>
        <w:rPr>
          <w:rFonts w:hint="eastAsia" w:ascii="宋体" w:hAnsi="宋体" w:cs="宋体"/>
          <w:b/>
          <w:bCs/>
          <w:color w:val="auto"/>
          <w:sz w:val="32"/>
          <w:szCs w:val="32"/>
          <w:highlight w:val="none"/>
          <w:lang w:eastAsia="zh-CN"/>
        </w:rPr>
        <w:t>JSZC-320507-ZXGG-G2026-0003</w:t>
      </w:r>
    </w:p>
    <w:p w14:paraId="2BA3DE85">
      <w:pPr>
        <w:spacing w:line="360" w:lineRule="auto"/>
        <w:ind w:firstLine="1285" w:firstLineChars="400"/>
        <w:rPr>
          <w:rFonts w:hint="eastAsia" w:ascii="宋体" w:hAnsi="宋体" w:eastAsia="宋体" w:cs="宋体"/>
          <w:b/>
          <w:bCs/>
          <w:color w:val="auto"/>
          <w:sz w:val="32"/>
          <w:szCs w:val="32"/>
          <w:highlight w:val="none"/>
          <w:lang w:eastAsia="zh-CN"/>
        </w:rPr>
      </w:pPr>
      <w:r>
        <w:rPr>
          <w:rFonts w:hint="eastAsia" w:ascii="宋体" w:hAnsi="宋体" w:cs="宋体"/>
          <w:b/>
          <w:bCs/>
          <w:color w:val="auto"/>
          <w:sz w:val="32"/>
          <w:szCs w:val="32"/>
          <w:highlight w:val="none"/>
        </w:rPr>
        <w:t>采购内容：</w:t>
      </w:r>
      <w:r>
        <w:rPr>
          <w:rFonts w:hint="eastAsia" w:ascii="宋体" w:hAnsi="宋体" w:cs="宋体"/>
          <w:b/>
          <w:bCs/>
          <w:color w:val="auto"/>
          <w:sz w:val="32"/>
          <w:szCs w:val="32"/>
          <w:highlight w:val="none"/>
          <w:lang w:eastAsia="zh-CN"/>
        </w:rPr>
        <w:t>2026-2027年国土空间咨询及土地报批</w:t>
      </w:r>
    </w:p>
    <w:p w14:paraId="588B45CA">
      <w:pPr>
        <w:spacing w:line="360" w:lineRule="auto"/>
        <w:ind w:firstLine="1285" w:firstLineChars="400"/>
        <w:rPr>
          <w:rFonts w:hint="eastAsia" w:ascii="宋体" w:hAnsi="宋体" w:eastAsia="宋体" w:cs="宋体"/>
          <w:b/>
          <w:bCs/>
          <w:color w:val="auto"/>
          <w:sz w:val="32"/>
          <w:szCs w:val="32"/>
          <w:highlight w:val="none"/>
          <w:lang w:eastAsia="zh-CN"/>
        </w:rPr>
      </w:pPr>
      <w:r>
        <w:rPr>
          <w:rFonts w:hint="eastAsia" w:ascii="宋体" w:hAnsi="宋体" w:cs="宋体"/>
          <w:b/>
          <w:bCs/>
          <w:color w:val="auto"/>
          <w:sz w:val="32"/>
          <w:szCs w:val="32"/>
          <w:highlight w:val="none"/>
        </w:rPr>
        <w:t>采购人：</w:t>
      </w:r>
      <w:r>
        <w:rPr>
          <w:rFonts w:hint="eastAsia" w:ascii="宋体" w:hAnsi="宋体" w:cs="宋体"/>
          <w:b/>
          <w:bCs/>
          <w:color w:val="auto"/>
          <w:sz w:val="32"/>
          <w:szCs w:val="32"/>
          <w:highlight w:val="none"/>
          <w:lang w:eastAsia="zh-CN"/>
        </w:rPr>
        <w:t>苏州高铁新城管理委员会</w:t>
      </w:r>
    </w:p>
    <w:p w14:paraId="519C25C2">
      <w:pPr>
        <w:spacing w:line="360" w:lineRule="auto"/>
        <w:ind w:firstLine="1285" w:firstLineChars="400"/>
        <w:rPr>
          <w:rFonts w:hint="eastAsia" w:ascii="宋体" w:hAnsi="宋体" w:cs="宋体"/>
          <w:b/>
          <w:bCs/>
          <w:color w:val="auto"/>
          <w:sz w:val="32"/>
          <w:szCs w:val="32"/>
          <w:highlight w:val="none"/>
        </w:rPr>
      </w:pPr>
      <w:bookmarkStart w:id="1" w:name="_Toc25433"/>
      <w:r>
        <w:rPr>
          <w:rFonts w:hint="eastAsia" w:ascii="宋体" w:hAnsi="宋体" w:cs="宋体"/>
          <w:b/>
          <w:bCs/>
          <w:color w:val="auto"/>
          <w:sz w:val="32"/>
          <w:szCs w:val="32"/>
          <w:highlight w:val="none"/>
        </w:rPr>
        <w:t>采购类别：服务类</w:t>
      </w:r>
      <w:bookmarkEnd w:id="1"/>
      <w:bookmarkStart w:id="2" w:name="_Toc32068"/>
    </w:p>
    <w:bookmarkEnd w:id="2"/>
    <w:p w14:paraId="68695277">
      <w:pPr>
        <w:spacing w:line="360" w:lineRule="auto"/>
        <w:rPr>
          <w:rFonts w:ascii="宋体" w:hAnsi="宋体" w:cs="宋体"/>
          <w:b/>
          <w:bCs/>
          <w:color w:val="auto"/>
          <w:sz w:val="32"/>
          <w:szCs w:val="32"/>
          <w:highlight w:val="none"/>
        </w:rPr>
      </w:pPr>
    </w:p>
    <w:p w14:paraId="39E86A93">
      <w:pPr>
        <w:spacing w:line="360" w:lineRule="auto"/>
        <w:rPr>
          <w:rFonts w:ascii="宋体" w:hAnsi="宋体" w:cs="宋体"/>
          <w:b/>
          <w:bCs/>
          <w:color w:val="auto"/>
          <w:sz w:val="32"/>
          <w:szCs w:val="32"/>
          <w:highlight w:val="none"/>
        </w:rPr>
      </w:pPr>
    </w:p>
    <w:p w14:paraId="27261B12">
      <w:pPr>
        <w:spacing w:line="360" w:lineRule="auto"/>
        <w:rPr>
          <w:rFonts w:ascii="宋体" w:hAnsi="宋体" w:cs="宋体"/>
          <w:b/>
          <w:bCs/>
          <w:color w:val="auto"/>
          <w:sz w:val="32"/>
          <w:szCs w:val="32"/>
          <w:highlight w:val="none"/>
        </w:rPr>
      </w:pPr>
    </w:p>
    <w:p w14:paraId="32353ABD">
      <w:pPr>
        <w:spacing w:line="360" w:lineRule="auto"/>
        <w:rPr>
          <w:rFonts w:ascii="宋体" w:hAnsi="宋体" w:cs="宋体"/>
          <w:b/>
          <w:bCs/>
          <w:color w:val="auto"/>
          <w:sz w:val="32"/>
          <w:szCs w:val="32"/>
          <w:highlight w:val="none"/>
        </w:rPr>
      </w:pPr>
    </w:p>
    <w:p w14:paraId="09F790E0">
      <w:pPr>
        <w:spacing w:line="360" w:lineRule="auto"/>
        <w:jc w:val="center"/>
        <w:rPr>
          <w:rFonts w:hint="eastAsia" w:ascii="宋体" w:hAnsi="宋体" w:eastAsia="宋体" w:cs="宋体"/>
          <w:b/>
          <w:bCs/>
          <w:color w:val="auto"/>
          <w:sz w:val="32"/>
          <w:szCs w:val="32"/>
          <w:highlight w:val="none"/>
          <w:lang w:eastAsia="zh-CN"/>
        </w:rPr>
      </w:pPr>
      <w:r>
        <w:rPr>
          <w:rFonts w:hint="eastAsia" w:ascii="宋体" w:hAnsi="宋体" w:cs="宋体"/>
          <w:b/>
          <w:bCs/>
          <w:color w:val="auto"/>
          <w:sz w:val="32"/>
          <w:szCs w:val="32"/>
          <w:highlight w:val="none"/>
          <w:lang w:eastAsia="zh-CN"/>
        </w:rPr>
        <w:t>众鑫工程管理（苏州）有限公司</w:t>
      </w:r>
    </w:p>
    <w:p w14:paraId="168EDB38">
      <w:pPr>
        <w:spacing w:line="360" w:lineRule="auto"/>
        <w:jc w:val="center"/>
        <w:rPr>
          <w:rFonts w:ascii="宋体" w:hAnsi="宋体" w:cs="宋体"/>
          <w:b/>
          <w:color w:val="auto"/>
          <w:sz w:val="32"/>
          <w:szCs w:val="32"/>
          <w:highlight w:val="none"/>
        </w:rPr>
      </w:pPr>
      <w:bookmarkStart w:id="3" w:name="_Hlk43416079"/>
      <w:r>
        <w:rPr>
          <w:rFonts w:hint="eastAsia" w:ascii="宋体" w:hAnsi="宋体" w:cs="宋体"/>
          <w:b/>
          <w:color w:val="auto"/>
          <w:sz w:val="32"/>
          <w:szCs w:val="32"/>
          <w:highlight w:val="none"/>
        </w:rPr>
        <w:t>二〇</w:t>
      </w:r>
      <w:bookmarkEnd w:id="3"/>
      <w:r>
        <w:rPr>
          <w:rFonts w:hint="eastAsia" w:ascii="宋体" w:hAnsi="宋体" w:cs="宋体"/>
          <w:b/>
          <w:color w:val="auto"/>
          <w:sz w:val="32"/>
          <w:szCs w:val="32"/>
          <w:highlight w:val="none"/>
        </w:rPr>
        <w:t>二六年</w:t>
      </w:r>
      <w:r>
        <w:rPr>
          <w:rFonts w:hint="eastAsia" w:ascii="宋体" w:hAnsi="宋体" w:cs="宋体"/>
          <w:b/>
          <w:color w:val="auto"/>
          <w:sz w:val="32"/>
          <w:szCs w:val="32"/>
          <w:highlight w:val="none"/>
          <w:lang w:val="en-US" w:eastAsia="zh-CN"/>
        </w:rPr>
        <w:t>九</w:t>
      </w:r>
      <w:r>
        <w:rPr>
          <w:rFonts w:hint="eastAsia" w:ascii="宋体" w:hAnsi="宋体" w:cs="宋体"/>
          <w:b/>
          <w:color w:val="auto"/>
          <w:sz w:val="32"/>
          <w:szCs w:val="32"/>
          <w:highlight w:val="none"/>
        </w:rPr>
        <w:t>月</w:t>
      </w:r>
    </w:p>
    <w:p w14:paraId="701A5E2C">
      <w:pPr>
        <w:spacing w:line="360" w:lineRule="auto"/>
        <w:jc w:val="center"/>
        <w:rPr>
          <w:rFonts w:ascii="宋体" w:hAnsi="宋体" w:cs="宋体"/>
          <w:b/>
          <w:color w:val="auto"/>
          <w:sz w:val="32"/>
          <w:szCs w:val="32"/>
          <w:highlight w:val="none"/>
        </w:rPr>
      </w:pPr>
    </w:p>
    <w:p w14:paraId="70F438B4">
      <w:pPr>
        <w:spacing w:line="360" w:lineRule="auto"/>
        <w:jc w:val="center"/>
        <w:rPr>
          <w:rFonts w:ascii="宋体" w:hAnsi="宋体" w:cs="宋体"/>
          <w:b/>
          <w:color w:val="auto"/>
          <w:sz w:val="32"/>
          <w:szCs w:val="32"/>
          <w:highlight w:val="none"/>
        </w:rPr>
      </w:pPr>
    </w:p>
    <w:p w14:paraId="415A34B6">
      <w:pPr>
        <w:spacing w:line="360" w:lineRule="auto"/>
        <w:jc w:val="center"/>
        <w:rPr>
          <w:rFonts w:ascii="宋体" w:hAnsi="宋体" w:cs="宋体"/>
          <w:b/>
          <w:color w:val="auto"/>
          <w:sz w:val="32"/>
          <w:szCs w:val="32"/>
          <w:highlight w:val="none"/>
        </w:rPr>
      </w:pPr>
    </w:p>
    <w:p w14:paraId="48328F8D">
      <w:pPr>
        <w:spacing w:line="360" w:lineRule="auto"/>
        <w:jc w:val="center"/>
        <w:rPr>
          <w:rFonts w:ascii="宋体" w:hAnsi="宋体" w:cs="宋体"/>
          <w:b/>
          <w:color w:val="auto"/>
          <w:sz w:val="32"/>
          <w:szCs w:val="32"/>
          <w:highlight w:val="none"/>
        </w:rPr>
      </w:pPr>
    </w:p>
    <w:p w14:paraId="7AC3E049">
      <w:pPr>
        <w:jc w:val="center"/>
        <w:rPr>
          <w:color w:val="auto"/>
          <w:highlight w:val="none"/>
        </w:rPr>
      </w:pPr>
    </w:p>
    <w:p w14:paraId="4E7A0022">
      <w:pPr>
        <w:pStyle w:val="35"/>
        <w:tabs>
          <w:tab w:val="right" w:leader="dot" w:pos="9752"/>
        </w:tabs>
        <w:spacing w:line="360" w:lineRule="auto"/>
        <w:jc w:val="center"/>
        <w:rPr>
          <w:rFonts w:ascii="宋体" w:hAnsi="宋体" w:cs="宋体"/>
          <w:b/>
          <w:bCs/>
          <w:color w:val="auto"/>
          <w:sz w:val="36"/>
          <w:szCs w:val="36"/>
          <w:highlight w:val="none"/>
        </w:rPr>
      </w:pPr>
    </w:p>
    <w:p w14:paraId="51244E4B">
      <w:pPr>
        <w:rPr>
          <w:highlight w:val="none"/>
        </w:rPr>
      </w:pPr>
    </w:p>
    <w:p w14:paraId="413B3EEF">
      <w:pPr>
        <w:pStyle w:val="35"/>
        <w:tabs>
          <w:tab w:val="right" w:leader="dot" w:pos="9752"/>
        </w:tabs>
        <w:spacing w:line="360" w:lineRule="auto"/>
        <w:jc w:val="center"/>
        <w:rPr>
          <w:rFonts w:ascii="宋体" w:hAnsi="宋体" w:cs="宋体"/>
          <w:b/>
          <w:bCs/>
          <w:color w:val="auto"/>
          <w:sz w:val="36"/>
          <w:szCs w:val="36"/>
          <w:highlight w:val="none"/>
        </w:rPr>
      </w:pPr>
      <w:r>
        <w:rPr>
          <w:rFonts w:hint="eastAsia" w:ascii="宋体" w:hAnsi="宋体" w:cs="宋体"/>
          <w:b/>
          <w:bCs/>
          <w:color w:val="auto"/>
          <w:sz w:val="36"/>
          <w:szCs w:val="36"/>
          <w:highlight w:val="none"/>
        </w:rPr>
        <w:t>总目录</w:t>
      </w:r>
    </w:p>
    <w:p w14:paraId="73D3F2EA">
      <w:pPr>
        <w:pStyle w:val="35"/>
        <w:tabs>
          <w:tab w:val="right" w:leader="dot" w:pos="9752"/>
        </w:tabs>
        <w:spacing w:line="360" w:lineRule="auto"/>
        <w:rPr>
          <w:rFonts w:ascii="宋体" w:hAnsi="宋体" w:cs="宋体"/>
          <w:b/>
          <w:bCs/>
          <w:color w:val="auto"/>
          <w:highlight w:val="none"/>
        </w:rPr>
      </w:pPr>
      <w:r>
        <w:rPr>
          <w:rFonts w:hint="eastAsia" w:ascii="宋体" w:hAnsi="宋体" w:cs="宋体"/>
          <w:b/>
          <w:bCs/>
          <w:color w:val="auto"/>
          <w:highlight w:val="none"/>
        </w:rPr>
        <w:fldChar w:fldCharType="begin"/>
      </w:r>
      <w:r>
        <w:rPr>
          <w:rFonts w:hint="eastAsia" w:ascii="宋体" w:hAnsi="宋体" w:cs="宋体"/>
          <w:b/>
          <w:bCs/>
          <w:color w:val="auto"/>
          <w:highlight w:val="none"/>
        </w:rPr>
        <w:instrText xml:space="preserve">TOC \o "1-1" \h \u </w:instrText>
      </w:r>
      <w:r>
        <w:rPr>
          <w:rFonts w:hint="eastAsia" w:ascii="宋体" w:hAnsi="宋体" w:cs="宋体"/>
          <w:b/>
          <w:bCs/>
          <w:color w:val="auto"/>
          <w:highlight w:val="none"/>
        </w:rPr>
        <w:fldChar w:fldCharType="separate"/>
      </w:r>
      <w:r>
        <w:rPr>
          <w:color w:val="auto"/>
          <w:highlight w:val="none"/>
        </w:rPr>
        <w:fldChar w:fldCharType="begin"/>
      </w:r>
      <w:r>
        <w:rPr>
          <w:color w:val="auto"/>
          <w:highlight w:val="none"/>
        </w:rPr>
        <w:instrText xml:space="preserve"> HYPERLINK \l "_Toc20493" </w:instrText>
      </w:r>
      <w:r>
        <w:rPr>
          <w:color w:val="auto"/>
          <w:highlight w:val="none"/>
        </w:rPr>
        <w:fldChar w:fldCharType="separate"/>
      </w:r>
      <w:r>
        <w:rPr>
          <w:rFonts w:hint="eastAsia" w:ascii="宋体" w:hAnsi="宋体" w:cs="宋体"/>
          <w:b/>
          <w:bCs/>
          <w:color w:val="auto"/>
          <w:szCs w:val="32"/>
          <w:highlight w:val="none"/>
        </w:rPr>
        <w:t>投标人须知前附表</w:t>
      </w:r>
      <w:r>
        <w:rPr>
          <w:rFonts w:hint="eastAsia" w:ascii="宋体" w:hAnsi="宋体" w:cs="宋体"/>
          <w:b/>
          <w:bCs/>
          <w:color w:val="auto"/>
          <w:highlight w:val="none"/>
        </w:rPr>
        <w:tab/>
      </w:r>
      <w:r>
        <w:rPr>
          <w:rFonts w:hint="eastAsia" w:ascii="宋体" w:hAnsi="宋体" w:cs="宋体"/>
          <w:b/>
          <w:bCs/>
          <w:color w:val="auto"/>
          <w:highlight w:val="none"/>
        </w:rPr>
        <w:fldChar w:fldCharType="begin"/>
      </w:r>
      <w:r>
        <w:rPr>
          <w:rFonts w:hint="eastAsia" w:ascii="宋体" w:hAnsi="宋体" w:cs="宋体"/>
          <w:b/>
          <w:bCs/>
          <w:color w:val="auto"/>
          <w:highlight w:val="none"/>
        </w:rPr>
        <w:instrText xml:space="preserve"> PAGEREF _Toc20493 \h </w:instrText>
      </w:r>
      <w:r>
        <w:rPr>
          <w:rFonts w:hint="eastAsia" w:ascii="宋体" w:hAnsi="宋体" w:cs="宋体"/>
          <w:b/>
          <w:bCs/>
          <w:color w:val="auto"/>
          <w:highlight w:val="none"/>
        </w:rPr>
        <w:fldChar w:fldCharType="separate"/>
      </w:r>
      <w:r>
        <w:rPr>
          <w:rFonts w:hint="eastAsia" w:ascii="宋体" w:hAnsi="宋体" w:cs="宋体"/>
          <w:b/>
          <w:bCs/>
          <w:color w:val="auto"/>
          <w:highlight w:val="none"/>
        </w:rPr>
        <w:t>1</w:t>
      </w:r>
      <w:r>
        <w:rPr>
          <w:rFonts w:hint="eastAsia" w:ascii="宋体" w:hAnsi="宋体" w:cs="宋体"/>
          <w:b/>
          <w:bCs/>
          <w:color w:val="auto"/>
          <w:highlight w:val="none"/>
        </w:rPr>
        <w:fldChar w:fldCharType="end"/>
      </w:r>
      <w:r>
        <w:rPr>
          <w:rFonts w:hint="eastAsia" w:ascii="宋体" w:hAnsi="宋体" w:cs="宋体"/>
          <w:b/>
          <w:bCs/>
          <w:color w:val="auto"/>
          <w:highlight w:val="none"/>
        </w:rPr>
        <w:fldChar w:fldCharType="end"/>
      </w:r>
    </w:p>
    <w:p w14:paraId="495727B4">
      <w:pPr>
        <w:pStyle w:val="35"/>
        <w:tabs>
          <w:tab w:val="right" w:leader="dot" w:pos="9752"/>
        </w:tabs>
        <w:spacing w:line="360" w:lineRule="auto"/>
        <w:rPr>
          <w:rFonts w:ascii="宋体" w:hAnsi="宋体" w:cs="宋体"/>
          <w:b/>
          <w:bCs/>
          <w:color w:val="auto"/>
          <w:highlight w:val="none"/>
        </w:rPr>
      </w:pPr>
      <w:r>
        <w:rPr>
          <w:color w:val="auto"/>
          <w:highlight w:val="none"/>
        </w:rPr>
        <w:fldChar w:fldCharType="begin"/>
      </w:r>
      <w:r>
        <w:rPr>
          <w:color w:val="auto"/>
          <w:highlight w:val="none"/>
        </w:rPr>
        <w:instrText xml:space="preserve"> HYPERLINK \l "_Toc24488" </w:instrText>
      </w:r>
      <w:r>
        <w:rPr>
          <w:color w:val="auto"/>
          <w:highlight w:val="none"/>
        </w:rPr>
        <w:fldChar w:fldCharType="separate"/>
      </w:r>
      <w:r>
        <w:rPr>
          <w:rFonts w:hint="eastAsia" w:ascii="宋体" w:hAnsi="宋体" w:cs="宋体"/>
          <w:b/>
          <w:bCs/>
          <w:color w:val="auto"/>
          <w:szCs w:val="32"/>
          <w:highlight w:val="none"/>
        </w:rPr>
        <w:t>第一章 招标公告</w:t>
      </w:r>
      <w:r>
        <w:rPr>
          <w:rFonts w:hint="eastAsia" w:ascii="宋体" w:hAnsi="宋体" w:cs="宋体"/>
          <w:b/>
          <w:bCs/>
          <w:color w:val="auto"/>
          <w:highlight w:val="none"/>
        </w:rPr>
        <w:tab/>
      </w:r>
      <w:r>
        <w:rPr>
          <w:rFonts w:hint="eastAsia" w:ascii="宋体" w:hAnsi="宋体" w:cs="宋体"/>
          <w:b/>
          <w:bCs/>
          <w:color w:val="auto"/>
          <w:highlight w:val="none"/>
        </w:rPr>
        <w:fldChar w:fldCharType="begin"/>
      </w:r>
      <w:r>
        <w:rPr>
          <w:rFonts w:hint="eastAsia" w:ascii="宋体" w:hAnsi="宋体" w:cs="宋体"/>
          <w:b/>
          <w:bCs/>
          <w:color w:val="auto"/>
          <w:highlight w:val="none"/>
        </w:rPr>
        <w:instrText xml:space="preserve"> PAGEREF _Toc24488 \h </w:instrText>
      </w:r>
      <w:r>
        <w:rPr>
          <w:rFonts w:hint="eastAsia" w:ascii="宋体" w:hAnsi="宋体" w:cs="宋体"/>
          <w:b/>
          <w:bCs/>
          <w:color w:val="auto"/>
          <w:highlight w:val="none"/>
        </w:rPr>
        <w:fldChar w:fldCharType="separate"/>
      </w:r>
      <w:r>
        <w:rPr>
          <w:rFonts w:hint="eastAsia" w:ascii="宋体" w:hAnsi="宋体" w:cs="宋体"/>
          <w:b/>
          <w:bCs/>
          <w:color w:val="auto"/>
          <w:highlight w:val="none"/>
        </w:rPr>
        <w:t>3</w:t>
      </w:r>
      <w:r>
        <w:rPr>
          <w:rFonts w:hint="eastAsia" w:ascii="宋体" w:hAnsi="宋体" w:cs="宋体"/>
          <w:b/>
          <w:bCs/>
          <w:color w:val="auto"/>
          <w:highlight w:val="none"/>
        </w:rPr>
        <w:fldChar w:fldCharType="end"/>
      </w:r>
      <w:r>
        <w:rPr>
          <w:rFonts w:hint="eastAsia" w:ascii="宋体" w:hAnsi="宋体" w:cs="宋体"/>
          <w:b/>
          <w:bCs/>
          <w:color w:val="auto"/>
          <w:highlight w:val="none"/>
        </w:rPr>
        <w:fldChar w:fldCharType="end"/>
      </w:r>
    </w:p>
    <w:p w14:paraId="0E8B045C">
      <w:pPr>
        <w:pStyle w:val="35"/>
        <w:tabs>
          <w:tab w:val="right" w:leader="dot" w:pos="9752"/>
        </w:tabs>
        <w:spacing w:line="360" w:lineRule="auto"/>
        <w:rPr>
          <w:rFonts w:ascii="宋体" w:hAnsi="宋体" w:cs="宋体"/>
          <w:b/>
          <w:bCs/>
          <w:color w:val="auto"/>
          <w:highlight w:val="none"/>
        </w:rPr>
      </w:pPr>
      <w:r>
        <w:rPr>
          <w:color w:val="auto"/>
          <w:highlight w:val="none"/>
        </w:rPr>
        <w:fldChar w:fldCharType="begin"/>
      </w:r>
      <w:r>
        <w:rPr>
          <w:color w:val="auto"/>
          <w:highlight w:val="none"/>
        </w:rPr>
        <w:instrText xml:space="preserve"> HYPERLINK \l "_Toc3152" </w:instrText>
      </w:r>
      <w:r>
        <w:rPr>
          <w:color w:val="auto"/>
          <w:highlight w:val="none"/>
        </w:rPr>
        <w:fldChar w:fldCharType="separate"/>
      </w:r>
      <w:r>
        <w:rPr>
          <w:rFonts w:hint="eastAsia" w:ascii="宋体" w:hAnsi="宋体" w:cs="宋体"/>
          <w:b/>
          <w:bCs/>
          <w:color w:val="auto"/>
          <w:szCs w:val="32"/>
          <w:highlight w:val="none"/>
        </w:rPr>
        <w:t>第二章 投标人须知</w:t>
      </w:r>
      <w:r>
        <w:rPr>
          <w:rFonts w:hint="eastAsia" w:ascii="宋体" w:hAnsi="宋体" w:cs="宋体"/>
          <w:b/>
          <w:bCs/>
          <w:color w:val="auto"/>
          <w:highlight w:val="none"/>
        </w:rPr>
        <w:tab/>
      </w:r>
      <w:r>
        <w:rPr>
          <w:rFonts w:hint="eastAsia" w:ascii="宋体" w:hAnsi="宋体" w:cs="宋体"/>
          <w:b/>
          <w:bCs/>
          <w:color w:val="auto"/>
          <w:highlight w:val="none"/>
        </w:rPr>
        <w:fldChar w:fldCharType="begin"/>
      </w:r>
      <w:r>
        <w:rPr>
          <w:rFonts w:hint="eastAsia" w:ascii="宋体" w:hAnsi="宋体" w:cs="宋体"/>
          <w:b/>
          <w:bCs/>
          <w:color w:val="auto"/>
          <w:highlight w:val="none"/>
        </w:rPr>
        <w:instrText xml:space="preserve"> PAGEREF _Toc3152 \h </w:instrText>
      </w:r>
      <w:r>
        <w:rPr>
          <w:rFonts w:hint="eastAsia" w:ascii="宋体" w:hAnsi="宋体" w:cs="宋体"/>
          <w:b/>
          <w:bCs/>
          <w:color w:val="auto"/>
          <w:highlight w:val="none"/>
        </w:rPr>
        <w:fldChar w:fldCharType="separate"/>
      </w:r>
      <w:r>
        <w:rPr>
          <w:rFonts w:hint="eastAsia" w:ascii="宋体" w:hAnsi="宋体" w:cs="宋体"/>
          <w:b/>
          <w:bCs/>
          <w:color w:val="auto"/>
          <w:highlight w:val="none"/>
        </w:rPr>
        <w:t>7</w:t>
      </w:r>
      <w:r>
        <w:rPr>
          <w:rFonts w:hint="eastAsia" w:ascii="宋体" w:hAnsi="宋体" w:cs="宋体"/>
          <w:b/>
          <w:bCs/>
          <w:color w:val="auto"/>
          <w:highlight w:val="none"/>
        </w:rPr>
        <w:fldChar w:fldCharType="end"/>
      </w:r>
      <w:r>
        <w:rPr>
          <w:rFonts w:hint="eastAsia" w:ascii="宋体" w:hAnsi="宋体" w:cs="宋体"/>
          <w:b/>
          <w:bCs/>
          <w:color w:val="auto"/>
          <w:highlight w:val="none"/>
        </w:rPr>
        <w:fldChar w:fldCharType="end"/>
      </w:r>
    </w:p>
    <w:p w14:paraId="0577F1CB">
      <w:pPr>
        <w:pStyle w:val="35"/>
        <w:tabs>
          <w:tab w:val="right" w:leader="dot" w:pos="9752"/>
        </w:tabs>
        <w:spacing w:line="360" w:lineRule="auto"/>
        <w:rPr>
          <w:rFonts w:ascii="宋体" w:hAnsi="宋体" w:cs="宋体"/>
          <w:b/>
          <w:bCs/>
          <w:color w:val="auto"/>
          <w:highlight w:val="none"/>
        </w:rPr>
      </w:pPr>
      <w:r>
        <w:rPr>
          <w:color w:val="auto"/>
          <w:highlight w:val="none"/>
        </w:rPr>
        <w:fldChar w:fldCharType="begin"/>
      </w:r>
      <w:r>
        <w:rPr>
          <w:color w:val="auto"/>
          <w:highlight w:val="none"/>
        </w:rPr>
        <w:instrText xml:space="preserve"> HYPERLINK \l "_Toc12129" </w:instrText>
      </w:r>
      <w:r>
        <w:rPr>
          <w:color w:val="auto"/>
          <w:highlight w:val="none"/>
        </w:rPr>
        <w:fldChar w:fldCharType="separate"/>
      </w:r>
      <w:r>
        <w:rPr>
          <w:rFonts w:hint="eastAsia" w:ascii="宋体" w:hAnsi="宋体" w:cs="宋体"/>
          <w:b/>
          <w:bCs/>
          <w:color w:val="auto"/>
          <w:szCs w:val="32"/>
          <w:highlight w:val="none"/>
        </w:rPr>
        <w:t>第三章 投标文件格式</w:t>
      </w:r>
      <w:r>
        <w:rPr>
          <w:rFonts w:hint="eastAsia" w:ascii="宋体" w:hAnsi="宋体" w:cs="宋体"/>
          <w:b/>
          <w:bCs/>
          <w:color w:val="auto"/>
          <w:highlight w:val="none"/>
        </w:rPr>
        <w:tab/>
      </w:r>
      <w:r>
        <w:rPr>
          <w:rFonts w:hint="eastAsia" w:ascii="宋体" w:hAnsi="宋体" w:cs="宋体"/>
          <w:b/>
          <w:bCs/>
          <w:color w:val="auto"/>
          <w:highlight w:val="none"/>
        </w:rPr>
        <w:fldChar w:fldCharType="begin"/>
      </w:r>
      <w:r>
        <w:rPr>
          <w:rFonts w:hint="eastAsia" w:ascii="宋体" w:hAnsi="宋体" w:cs="宋体"/>
          <w:b/>
          <w:bCs/>
          <w:color w:val="auto"/>
          <w:highlight w:val="none"/>
        </w:rPr>
        <w:instrText xml:space="preserve"> PAGEREF _Toc12129 \h </w:instrText>
      </w:r>
      <w:r>
        <w:rPr>
          <w:rFonts w:hint="eastAsia" w:ascii="宋体" w:hAnsi="宋体" w:cs="宋体"/>
          <w:b/>
          <w:bCs/>
          <w:color w:val="auto"/>
          <w:highlight w:val="none"/>
        </w:rPr>
        <w:fldChar w:fldCharType="separate"/>
      </w:r>
      <w:r>
        <w:rPr>
          <w:rFonts w:hint="eastAsia" w:ascii="宋体" w:hAnsi="宋体" w:cs="宋体"/>
          <w:b/>
          <w:bCs/>
          <w:color w:val="auto"/>
          <w:highlight w:val="none"/>
        </w:rPr>
        <w:t>22</w:t>
      </w:r>
      <w:r>
        <w:rPr>
          <w:rFonts w:hint="eastAsia" w:ascii="宋体" w:hAnsi="宋体" w:cs="宋体"/>
          <w:b/>
          <w:bCs/>
          <w:color w:val="auto"/>
          <w:highlight w:val="none"/>
        </w:rPr>
        <w:fldChar w:fldCharType="end"/>
      </w:r>
      <w:r>
        <w:rPr>
          <w:rFonts w:hint="eastAsia" w:ascii="宋体" w:hAnsi="宋体" w:cs="宋体"/>
          <w:b/>
          <w:bCs/>
          <w:color w:val="auto"/>
          <w:highlight w:val="none"/>
        </w:rPr>
        <w:fldChar w:fldCharType="end"/>
      </w:r>
    </w:p>
    <w:p w14:paraId="402F7A68">
      <w:pPr>
        <w:pStyle w:val="35"/>
        <w:tabs>
          <w:tab w:val="right" w:leader="dot" w:pos="9752"/>
        </w:tabs>
        <w:spacing w:line="360" w:lineRule="auto"/>
        <w:rPr>
          <w:rFonts w:ascii="宋体" w:hAnsi="宋体" w:cs="宋体"/>
          <w:b/>
          <w:bCs/>
          <w:color w:val="auto"/>
          <w:highlight w:val="none"/>
        </w:rPr>
      </w:pPr>
      <w:r>
        <w:rPr>
          <w:color w:val="auto"/>
          <w:highlight w:val="none"/>
        </w:rPr>
        <w:fldChar w:fldCharType="begin"/>
      </w:r>
      <w:r>
        <w:rPr>
          <w:color w:val="auto"/>
          <w:highlight w:val="none"/>
        </w:rPr>
        <w:instrText xml:space="preserve"> HYPERLINK \l "_Toc22726" </w:instrText>
      </w:r>
      <w:r>
        <w:rPr>
          <w:color w:val="auto"/>
          <w:highlight w:val="none"/>
        </w:rPr>
        <w:fldChar w:fldCharType="separate"/>
      </w:r>
      <w:r>
        <w:rPr>
          <w:rFonts w:hint="eastAsia" w:ascii="宋体" w:hAnsi="宋体" w:cs="宋体"/>
          <w:b/>
          <w:bCs/>
          <w:color w:val="auto"/>
          <w:szCs w:val="32"/>
          <w:highlight w:val="none"/>
        </w:rPr>
        <w:t>第四章 招标书</w:t>
      </w:r>
      <w:r>
        <w:rPr>
          <w:rFonts w:hint="eastAsia" w:ascii="宋体" w:hAnsi="宋体" w:cs="宋体"/>
          <w:b/>
          <w:bCs/>
          <w:color w:val="auto"/>
          <w:highlight w:val="none"/>
        </w:rPr>
        <w:tab/>
      </w:r>
      <w:r>
        <w:rPr>
          <w:rFonts w:hint="eastAsia" w:ascii="宋体" w:hAnsi="宋体" w:cs="宋体"/>
          <w:b/>
          <w:bCs/>
          <w:color w:val="auto"/>
          <w:highlight w:val="none"/>
        </w:rPr>
        <w:fldChar w:fldCharType="begin"/>
      </w:r>
      <w:r>
        <w:rPr>
          <w:rFonts w:hint="eastAsia" w:ascii="宋体" w:hAnsi="宋体" w:cs="宋体"/>
          <w:b/>
          <w:bCs/>
          <w:color w:val="auto"/>
          <w:highlight w:val="none"/>
        </w:rPr>
        <w:instrText xml:space="preserve"> PAGEREF _Toc22726 \h </w:instrText>
      </w:r>
      <w:r>
        <w:rPr>
          <w:rFonts w:hint="eastAsia" w:ascii="宋体" w:hAnsi="宋体" w:cs="宋体"/>
          <w:b/>
          <w:bCs/>
          <w:color w:val="auto"/>
          <w:highlight w:val="none"/>
        </w:rPr>
        <w:fldChar w:fldCharType="separate"/>
      </w:r>
      <w:r>
        <w:rPr>
          <w:rFonts w:hint="eastAsia" w:ascii="宋体" w:hAnsi="宋体" w:cs="宋体"/>
          <w:b/>
          <w:bCs/>
          <w:color w:val="auto"/>
          <w:highlight w:val="none"/>
        </w:rPr>
        <w:t>43</w:t>
      </w:r>
      <w:r>
        <w:rPr>
          <w:rFonts w:hint="eastAsia" w:ascii="宋体" w:hAnsi="宋体" w:cs="宋体"/>
          <w:b/>
          <w:bCs/>
          <w:color w:val="auto"/>
          <w:highlight w:val="none"/>
        </w:rPr>
        <w:fldChar w:fldCharType="end"/>
      </w:r>
      <w:r>
        <w:rPr>
          <w:rFonts w:hint="eastAsia" w:ascii="宋体" w:hAnsi="宋体" w:cs="宋体"/>
          <w:b/>
          <w:bCs/>
          <w:color w:val="auto"/>
          <w:highlight w:val="none"/>
        </w:rPr>
        <w:fldChar w:fldCharType="end"/>
      </w:r>
    </w:p>
    <w:p w14:paraId="66CCF77C">
      <w:pPr>
        <w:pStyle w:val="35"/>
        <w:tabs>
          <w:tab w:val="right" w:leader="dot" w:pos="9752"/>
        </w:tabs>
        <w:spacing w:line="360" w:lineRule="auto"/>
        <w:rPr>
          <w:rFonts w:ascii="宋体" w:hAnsi="宋体" w:cs="宋体"/>
          <w:b/>
          <w:bCs/>
          <w:color w:val="auto"/>
          <w:highlight w:val="none"/>
        </w:rPr>
      </w:pPr>
      <w:r>
        <w:rPr>
          <w:color w:val="auto"/>
          <w:highlight w:val="none"/>
        </w:rPr>
        <w:fldChar w:fldCharType="begin"/>
      </w:r>
      <w:r>
        <w:rPr>
          <w:color w:val="auto"/>
          <w:highlight w:val="none"/>
        </w:rPr>
        <w:instrText xml:space="preserve"> HYPERLINK \l "_Toc15293" </w:instrText>
      </w:r>
      <w:r>
        <w:rPr>
          <w:color w:val="auto"/>
          <w:highlight w:val="none"/>
        </w:rPr>
        <w:fldChar w:fldCharType="separate"/>
      </w:r>
      <w:r>
        <w:rPr>
          <w:rFonts w:hint="eastAsia" w:ascii="宋体" w:hAnsi="宋体" w:cs="宋体"/>
          <w:b/>
          <w:bCs/>
          <w:color w:val="auto"/>
          <w:szCs w:val="32"/>
          <w:highlight w:val="none"/>
        </w:rPr>
        <w:t>第五章 合同主要条款</w:t>
      </w:r>
      <w:r>
        <w:rPr>
          <w:rFonts w:hint="eastAsia" w:ascii="宋体" w:hAnsi="宋体" w:cs="宋体"/>
          <w:b/>
          <w:bCs/>
          <w:color w:val="auto"/>
          <w:highlight w:val="none"/>
        </w:rPr>
        <w:tab/>
      </w:r>
      <w:r>
        <w:rPr>
          <w:rFonts w:hint="eastAsia" w:ascii="宋体" w:hAnsi="宋体" w:cs="宋体"/>
          <w:b/>
          <w:bCs/>
          <w:color w:val="auto"/>
          <w:highlight w:val="none"/>
          <w:lang w:val="en-US" w:eastAsia="zh-CN"/>
        </w:rPr>
        <w:t xml:space="preserve"> </w:t>
      </w:r>
      <w:r>
        <w:rPr>
          <w:rFonts w:hint="eastAsia" w:ascii="宋体" w:hAnsi="宋体" w:cs="宋体"/>
          <w:b/>
          <w:bCs/>
          <w:color w:val="auto"/>
          <w:highlight w:val="none"/>
        </w:rPr>
        <w:fldChar w:fldCharType="begin"/>
      </w:r>
      <w:r>
        <w:rPr>
          <w:rFonts w:hint="eastAsia" w:ascii="宋体" w:hAnsi="宋体" w:cs="宋体"/>
          <w:b/>
          <w:bCs/>
          <w:color w:val="auto"/>
          <w:highlight w:val="none"/>
        </w:rPr>
        <w:instrText xml:space="preserve"> PAGEREF _Toc15293 \h </w:instrText>
      </w:r>
      <w:r>
        <w:rPr>
          <w:rFonts w:hint="eastAsia" w:ascii="宋体" w:hAnsi="宋体" w:cs="宋体"/>
          <w:b/>
          <w:bCs/>
          <w:color w:val="auto"/>
          <w:highlight w:val="none"/>
        </w:rPr>
        <w:fldChar w:fldCharType="separate"/>
      </w:r>
      <w:r>
        <w:rPr>
          <w:rFonts w:hint="eastAsia" w:ascii="宋体" w:hAnsi="宋体" w:cs="宋体"/>
          <w:b/>
          <w:bCs/>
          <w:color w:val="auto"/>
          <w:highlight w:val="none"/>
        </w:rPr>
        <w:t>48</w:t>
      </w:r>
      <w:r>
        <w:rPr>
          <w:rFonts w:hint="eastAsia" w:ascii="宋体" w:hAnsi="宋体" w:cs="宋体"/>
          <w:b/>
          <w:bCs/>
          <w:color w:val="auto"/>
          <w:highlight w:val="none"/>
        </w:rPr>
        <w:fldChar w:fldCharType="end"/>
      </w:r>
      <w:r>
        <w:rPr>
          <w:rFonts w:hint="eastAsia" w:ascii="宋体" w:hAnsi="宋体" w:cs="宋体"/>
          <w:b/>
          <w:bCs/>
          <w:color w:val="auto"/>
          <w:highlight w:val="none"/>
        </w:rPr>
        <w:fldChar w:fldCharType="end"/>
      </w:r>
    </w:p>
    <w:p w14:paraId="245B1A6B">
      <w:pPr>
        <w:pStyle w:val="35"/>
        <w:tabs>
          <w:tab w:val="right" w:leader="dot" w:pos="9752"/>
        </w:tabs>
        <w:spacing w:line="360" w:lineRule="auto"/>
        <w:rPr>
          <w:rFonts w:ascii="宋体" w:hAnsi="宋体" w:cs="宋体"/>
          <w:b/>
          <w:bCs/>
          <w:color w:val="auto"/>
          <w:highlight w:val="none"/>
        </w:rPr>
      </w:pPr>
      <w:r>
        <w:rPr>
          <w:color w:val="auto"/>
          <w:highlight w:val="none"/>
        </w:rPr>
        <w:fldChar w:fldCharType="begin"/>
      </w:r>
      <w:r>
        <w:rPr>
          <w:color w:val="auto"/>
          <w:highlight w:val="none"/>
        </w:rPr>
        <w:instrText xml:space="preserve"> HYPERLINK \l "_Toc28824" </w:instrText>
      </w:r>
      <w:r>
        <w:rPr>
          <w:color w:val="auto"/>
          <w:highlight w:val="none"/>
        </w:rPr>
        <w:fldChar w:fldCharType="separate"/>
      </w:r>
      <w:r>
        <w:rPr>
          <w:rFonts w:hint="eastAsia" w:ascii="宋体" w:hAnsi="宋体" w:cs="宋体"/>
          <w:b/>
          <w:bCs/>
          <w:color w:val="auto"/>
          <w:szCs w:val="32"/>
          <w:highlight w:val="none"/>
        </w:rPr>
        <w:t>第六章 评标方法和评分标准</w:t>
      </w:r>
      <w:r>
        <w:rPr>
          <w:rFonts w:hint="eastAsia" w:ascii="宋体" w:hAnsi="宋体" w:cs="宋体"/>
          <w:b/>
          <w:bCs/>
          <w:color w:val="auto"/>
          <w:highlight w:val="none"/>
        </w:rPr>
        <w:tab/>
      </w:r>
      <w:r>
        <w:rPr>
          <w:rFonts w:hint="eastAsia" w:ascii="宋体" w:hAnsi="宋体" w:cs="宋体"/>
          <w:b/>
          <w:bCs/>
          <w:color w:val="auto"/>
          <w:highlight w:val="none"/>
        </w:rPr>
        <w:fldChar w:fldCharType="begin"/>
      </w:r>
      <w:r>
        <w:rPr>
          <w:rFonts w:hint="eastAsia" w:ascii="宋体" w:hAnsi="宋体" w:cs="宋体"/>
          <w:b/>
          <w:bCs/>
          <w:color w:val="auto"/>
          <w:highlight w:val="none"/>
        </w:rPr>
        <w:instrText xml:space="preserve"> PAGEREF _Toc28824 \h </w:instrText>
      </w:r>
      <w:r>
        <w:rPr>
          <w:rFonts w:hint="eastAsia" w:ascii="宋体" w:hAnsi="宋体" w:cs="宋体"/>
          <w:b/>
          <w:bCs/>
          <w:color w:val="auto"/>
          <w:highlight w:val="none"/>
        </w:rPr>
        <w:fldChar w:fldCharType="separate"/>
      </w:r>
      <w:r>
        <w:rPr>
          <w:rFonts w:hint="eastAsia" w:ascii="宋体" w:hAnsi="宋体" w:cs="宋体"/>
          <w:b/>
          <w:bCs/>
          <w:color w:val="auto"/>
          <w:highlight w:val="none"/>
        </w:rPr>
        <w:t>53</w:t>
      </w:r>
      <w:r>
        <w:rPr>
          <w:rFonts w:hint="eastAsia" w:ascii="宋体" w:hAnsi="宋体" w:cs="宋体"/>
          <w:b/>
          <w:bCs/>
          <w:color w:val="auto"/>
          <w:highlight w:val="none"/>
        </w:rPr>
        <w:fldChar w:fldCharType="end"/>
      </w:r>
      <w:r>
        <w:rPr>
          <w:rFonts w:hint="eastAsia" w:ascii="宋体" w:hAnsi="宋体" w:cs="宋体"/>
          <w:b/>
          <w:bCs/>
          <w:color w:val="auto"/>
          <w:highlight w:val="none"/>
        </w:rPr>
        <w:fldChar w:fldCharType="end"/>
      </w:r>
    </w:p>
    <w:p w14:paraId="7581C134">
      <w:pPr>
        <w:spacing w:line="360" w:lineRule="auto"/>
        <w:rPr>
          <w:color w:val="auto"/>
          <w:highlight w:val="none"/>
        </w:rPr>
      </w:pPr>
      <w:r>
        <w:rPr>
          <w:rFonts w:hint="eastAsia" w:ascii="宋体" w:hAnsi="宋体" w:cs="宋体"/>
          <w:b/>
          <w:bCs/>
          <w:color w:val="auto"/>
          <w:highlight w:val="none"/>
        </w:rPr>
        <w:fldChar w:fldCharType="end"/>
      </w:r>
    </w:p>
    <w:p w14:paraId="0C1E104B">
      <w:pPr>
        <w:spacing w:line="360" w:lineRule="auto"/>
        <w:jc w:val="center"/>
        <w:rPr>
          <w:rStyle w:val="255"/>
          <w:color w:val="auto"/>
          <w:sz w:val="32"/>
          <w:szCs w:val="32"/>
          <w:highlight w:val="none"/>
        </w:rPr>
        <w:sectPr>
          <w:headerReference r:id="rId4" w:type="first"/>
          <w:headerReference r:id="rId3" w:type="default"/>
          <w:footerReference r:id="rId5" w:type="default"/>
          <w:footerReference r:id="rId6" w:type="even"/>
          <w:pgSz w:w="11906" w:h="16838"/>
          <w:pgMar w:top="907" w:right="1366" w:bottom="907" w:left="1508" w:header="567" w:footer="675" w:gutter="0"/>
          <w:pgBorders>
            <w:top w:val="none" w:sz="0" w:space="0"/>
            <w:left w:val="none" w:sz="0" w:space="0"/>
            <w:bottom w:val="none" w:sz="0" w:space="0"/>
            <w:right w:val="none" w:sz="0" w:space="0"/>
          </w:pgBorders>
          <w:pgNumType w:start="0"/>
          <w:cols w:space="720" w:num="1"/>
          <w:titlePg/>
          <w:docGrid w:linePitch="360" w:charSpace="0"/>
        </w:sectPr>
      </w:pPr>
      <w:bookmarkStart w:id="4" w:name="_Toc492294162"/>
      <w:bookmarkStart w:id="5" w:name="_Toc20493"/>
      <w:bookmarkStart w:id="6" w:name="_Toc6557"/>
      <w:bookmarkStart w:id="107" w:name="_GoBack"/>
      <w:bookmarkEnd w:id="107"/>
    </w:p>
    <w:p w14:paraId="62F7F10C">
      <w:pPr>
        <w:spacing w:line="360" w:lineRule="auto"/>
        <w:jc w:val="center"/>
        <w:rPr>
          <w:rStyle w:val="255"/>
          <w:color w:val="auto"/>
          <w:sz w:val="32"/>
          <w:szCs w:val="32"/>
          <w:highlight w:val="none"/>
        </w:rPr>
      </w:pPr>
      <w:r>
        <w:rPr>
          <w:rStyle w:val="255"/>
          <w:color w:val="auto"/>
          <w:sz w:val="32"/>
          <w:szCs w:val="32"/>
          <w:highlight w:val="none"/>
        </w:rPr>
        <w:t>投标人须知前附表</w:t>
      </w:r>
      <w:bookmarkEnd w:id="4"/>
    </w:p>
    <w:bookmarkEnd w:id="5"/>
    <w:bookmarkEnd w:id="6"/>
    <w:tbl>
      <w:tblPr>
        <w:tblStyle w:val="52"/>
        <w:tblW w:w="0" w:type="auto"/>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top w:w="0" w:type="dxa"/>
          <w:left w:w="108" w:type="dxa"/>
          <w:bottom w:w="0" w:type="dxa"/>
          <w:right w:w="108" w:type="dxa"/>
        </w:tblCellMar>
      </w:tblPr>
      <w:tblGrid>
        <w:gridCol w:w="660"/>
        <w:gridCol w:w="1770"/>
        <w:gridCol w:w="7538"/>
      </w:tblGrid>
      <w:tr w14:paraId="607CAD08">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jc w:val="center"/>
        </w:trPr>
        <w:tc>
          <w:tcPr>
            <w:tcW w:w="660" w:type="dxa"/>
            <w:tcBorders>
              <w:top w:val="single" w:color="000000" w:sz="6" w:space="0"/>
              <w:left w:val="single" w:color="000000" w:sz="6" w:space="0"/>
              <w:bottom w:val="single" w:color="000000" w:sz="6" w:space="0"/>
              <w:right w:val="single" w:color="000000" w:sz="6" w:space="0"/>
            </w:tcBorders>
            <w:vAlign w:val="center"/>
          </w:tcPr>
          <w:p w14:paraId="1D4E56FF">
            <w:pPr>
              <w:widowControl w:val="0"/>
              <w:spacing w:before="120" w:after="120"/>
              <w:jc w:val="center"/>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序号</w:t>
            </w:r>
          </w:p>
        </w:tc>
        <w:tc>
          <w:tcPr>
            <w:tcW w:w="1770" w:type="dxa"/>
            <w:tcBorders>
              <w:top w:val="single" w:color="000000" w:sz="6" w:space="0"/>
              <w:left w:val="single" w:color="000000" w:sz="6" w:space="0"/>
              <w:bottom w:val="single" w:color="000000" w:sz="6" w:space="0"/>
              <w:right w:val="single" w:color="000000" w:sz="6" w:space="0"/>
            </w:tcBorders>
            <w:vAlign w:val="center"/>
          </w:tcPr>
          <w:p w14:paraId="474C80B6">
            <w:pPr>
              <w:widowControl w:val="0"/>
              <w:spacing w:before="120" w:after="120"/>
              <w:jc w:val="center"/>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名称</w:t>
            </w:r>
          </w:p>
        </w:tc>
        <w:tc>
          <w:tcPr>
            <w:tcW w:w="7538" w:type="dxa"/>
            <w:tcBorders>
              <w:top w:val="single" w:color="000000" w:sz="6" w:space="0"/>
              <w:left w:val="single" w:color="000000" w:sz="6" w:space="0"/>
              <w:bottom w:val="single" w:color="000000" w:sz="6" w:space="0"/>
              <w:right w:val="single" w:color="000000" w:sz="6" w:space="0"/>
            </w:tcBorders>
            <w:vAlign w:val="center"/>
          </w:tcPr>
          <w:p w14:paraId="5E9A97FD">
            <w:pPr>
              <w:widowControl w:val="0"/>
              <w:spacing w:before="120" w:after="120"/>
              <w:jc w:val="center"/>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内容</w:t>
            </w:r>
          </w:p>
        </w:tc>
      </w:tr>
      <w:tr w14:paraId="5B2AF467">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jc w:val="center"/>
        </w:trPr>
        <w:tc>
          <w:tcPr>
            <w:tcW w:w="660" w:type="dxa"/>
            <w:tcBorders>
              <w:top w:val="single" w:color="000000" w:sz="6" w:space="0"/>
              <w:left w:val="single" w:color="000000" w:sz="6" w:space="0"/>
              <w:bottom w:val="single" w:color="000000" w:sz="6" w:space="0"/>
              <w:right w:val="single" w:color="000000" w:sz="6" w:space="0"/>
            </w:tcBorders>
            <w:vAlign w:val="center"/>
          </w:tcPr>
          <w:p w14:paraId="1D9742DD">
            <w:pPr>
              <w:widowControl w:val="0"/>
              <w:spacing w:before="120" w:after="120"/>
              <w:jc w:val="center"/>
              <w:rPr>
                <w:rFonts w:ascii="宋体" w:hAnsi="宋体" w:cs="宋体"/>
                <w:color w:val="auto"/>
                <w:sz w:val="21"/>
                <w:szCs w:val="21"/>
                <w:highlight w:val="none"/>
                <w:lang w:val="zh-CN"/>
              </w:rPr>
            </w:pPr>
            <w:r>
              <w:rPr>
                <w:rFonts w:hint="eastAsia" w:ascii="宋体" w:hAnsi="宋体" w:cs="宋体"/>
                <w:color w:val="auto"/>
                <w:sz w:val="21"/>
                <w:szCs w:val="21"/>
                <w:highlight w:val="none"/>
              </w:rPr>
              <w:t>1</w:t>
            </w:r>
          </w:p>
        </w:tc>
        <w:tc>
          <w:tcPr>
            <w:tcW w:w="1770" w:type="dxa"/>
            <w:tcBorders>
              <w:top w:val="single" w:color="000000" w:sz="6" w:space="0"/>
              <w:left w:val="single" w:color="000000" w:sz="6" w:space="0"/>
              <w:bottom w:val="single" w:color="000000" w:sz="6" w:space="0"/>
              <w:right w:val="single" w:color="000000" w:sz="6" w:space="0"/>
            </w:tcBorders>
            <w:vAlign w:val="center"/>
          </w:tcPr>
          <w:p w14:paraId="6F05C31E">
            <w:pPr>
              <w:widowControl w:val="0"/>
              <w:spacing w:before="120" w:after="120"/>
              <w:jc w:val="both"/>
              <w:rPr>
                <w:rFonts w:ascii="宋体" w:hAnsi="宋体" w:cs="宋体"/>
                <w:color w:val="auto"/>
                <w:sz w:val="21"/>
                <w:szCs w:val="21"/>
                <w:highlight w:val="none"/>
              </w:rPr>
            </w:pPr>
            <w:r>
              <w:rPr>
                <w:rFonts w:hint="eastAsia" w:ascii="宋体" w:hAnsi="宋体" w:cs="宋体"/>
                <w:color w:val="auto"/>
                <w:sz w:val="21"/>
                <w:szCs w:val="21"/>
                <w:highlight w:val="none"/>
                <w:lang w:val="zh-CN"/>
              </w:rPr>
              <w:t>项目编号</w:t>
            </w:r>
          </w:p>
        </w:tc>
        <w:tc>
          <w:tcPr>
            <w:tcW w:w="7538" w:type="dxa"/>
            <w:tcBorders>
              <w:top w:val="single" w:color="000000" w:sz="6" w:space="0"/>
              <w:left w:val="single" w:color="000000" w:sz="6" w:space="0"/>
              <w:bottom w:val="single" w:color="000000" w:sz="6" w:space="0"/>
              <w:right w:val="single" w:color="000000" w:sz="6" w:space="0"/>
            </w:tcBorders>
            <w:vAlign w:val="center"/>
          </w:tcPr>
          <w:p w14:paraId="39D53FC9">
            <w:pPr>
              <w:widowControl w:val="0"/>
              <w:spacing w:before="120" w:after="120"/>
              <w:jc w:val="both"/>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JSZC-320507-ZXGG-G2026-0003</w:t>
            </w:r>
          </w:p>
        </w:tc>
      </w:tr>
      <w:tr w14:paraId="06AA78DE">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jc w:val="center"/>
        </w:trPr>
        <w:tc>
          <w:tcPr>
            <w:tcW w:w="660" w:type="dxa"/>
            <w:tcBorders>
              <w:top w:val="single" w:color="000000" w:sz="6" w:space="0"/>
              <w:left w:val="single" w:color="000000" w:sz="6" w:space="0"/>
              <w:bottom w:val="single" w:color="000000" w:sz="6" w:space="0"/>
              <w:right w:val="single" w:color="000000" w:sz="6" w:space="0"/>
            </w:tcBorders>
            <w:vAlign w:val="center"/>
          </w:tcPr>
          <w:p w14:paraId="794B320E">
            <w:pPr>
              <w:widowControl w:val="0"/>
              <w:spacing w:before="120" w:after="120"/>
              <w:jc w:val="center"/>
              <w:rPr>
                <w:rFonts w:ascii="宋体" w:hAnsi="宋体" w:cs="宋体"/>
                <w:color w:val="auto"/>
                <w:sz w:val="21"/>
                <w:szCs w:val="21"/>
                <w:highlight w:val="none"/>
              </w:rPr>
            </w:pPr>
            <w:r>
              <w:rPr>
                <w:rFonts w:hint="eastAsia" w:ascii="宋体" w:hAnsi="宋体" w:cs="宋体"/>
                <w:color w:val="auto"/>
                <w:sz w:val="21"/>
                <w:szCs w:val="21"/>
                <w:highlight w:val="none"/>
              </w:rPr>
              <w:t>2</w:t>
            </w:r>
          </w:p>
        </w:tc>
        <w:tc>
          <w:tcPr>
            <w:tcW w:w="1770" w:type="dxa"/>
            <w:tcBorders>
              <w:top w:val="single" w:color="000000" w:sz="6" w:space="0"/>
              <w:left w:val="single" w:color="000000" w:sz="6" w:space="0"/>
              <w:bottom w:val="single" w:color="000000" w:sz="6" w:space="0"/>
              <w:right w:val="single" w:color="000000" w:sz="6" w:space="0"/>
            </w:tcBorders>
            <w:vAlign w:val="center"/>
          </w:tcPr>
          <w:p w14:paraId="2F7642B6">
            <w:pPr>
              <w:widowControl w:val="0"/>
              <w:spacing w:before="120" w:after="120"/>
              <w:jc w:val="both"/>
              <w:rPr>
                <w:rFonts w:ascii="宋体" w:hAnsi="宋体" w:cs="宋体"/>
                <w:color w:val="auto"/>
                <w:sz w:val="21"/>
                <w:szCs w:val="21"/>
                <w:highlight w:val="none"/>
              </w:rPr>
            </w:pPr>
            <w:r>
              <w:rPr>
                <w:rFonts w:hint="eastAsia" w:ascii="宋体" w:hAnsi="宋体" w:cs="宋体"/>
                <w:color w:val="auto"/>
                <w:sz w:val="21"/>
                <w:szCs w:val="21"/>
                <w:highlight w:val="none"/>
              </w:rPr>
              <w:t>项目名称</w:t>
            </w:r>
          </w:p>
        </w:tc>
        <w:tc>
          <w:tcPr>
            <w:tcW w:w="7538" w:type="dxa"/>
            <w:tcBorders>
              <w:top w:val="single" w:color="000000" w:sz="6" w:space="0"/>
              <w:left w:val="single" w:color="000000" w:sz="6" w:space="0"/>
              <w:bottom w:val="single" w:color="000000" w:sz="6" w:space="0"/>
              <w:right w:val="single" w:color="000000" w:sz="6" w:space="0"/>
            </w:tcBorders>
            <w:vAlign w:val="center"/>
          </w:tcPr>
          <w:p w14:paraId="3EF11C9B">
            <w:pPr>
              <w:widowControl w:val="0"/>
              <w:spacing w:before="120" w:after="120"/>
              <w:jc w:val="both"/>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2026-2027年国土空间咨询及土地报批</w:t>
            </w:r>
          </w:p>
        </w:tc>
      </w:tr>
      <w:tr w14:paraId="6FE3862B">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jc w:val="center"/>
        </w:trPr>
        <w:tc>
          <w:tcPr>
            <w:tcW w:w="660" w:type="dxa"/>
            <w:tcBorders>
              <w:top w:val="single" w:color="000000" w:sz="6" w:space="0"/>
              <w:left w:val="single" w:color="000000" w:sz="6" w:space="0"/>
              <w:bottom w:val="single" w:color="000000" w:sz="6" w:space="0"/>
              <w:right w:val="single" w:color="000000" w:sz="6" w:space="0"/>
            </w:tcBorders>
            <w:vAlign w:val="center"/>
          </w:tcPr>
          <w:p w14:paraId="2A1919DE">
            <w:pPr>
              <w:widowControl w:val="0"/>
              <w:spacing w:before="120" w:after="12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3</w:t>
            </w:r>
          </w:p>
        </w:tc>
        <w:tc>
          <w:tcPr>
            <w:tcW w:w="1770" w:type="dxa"/>
            <w:tcBorders>
              <w:top w:val="single" w:color="000000" w:sz="6" w:space="0"/>
              <w:left w:val="single" w:color="000000" w:sz="6" w:space="0"/>
              <w:bottom w:val="single" w:color="000000" w:sz="6" w:space="0"/>
              <w:right w:val="single" w:color="000000" w:sz="6" w:space="0"/>
            </w:tcBorders>
            <w:vAlign w:val="center"/>
          </w:tcPr>
          <w:p w14:paraId="5A357483">
            <w:pPr>
              <w:widowControl w:val="0"/>
              <w:spacing w:before="120" w:after="120"/>
              <w:jc w:val="both"/>
              <w:rPr>
                <w:rFonts w:hint="eastAsia" w:ascii="宋体" w:hAnsi="宋体" w:cs="宋体"/>
                <w:color w:val="auto"/>
                <w:sz w:val="21"/>
                <w:szCs w:val="21"/>
                <w:highlight w:val="none"/>
              </w:rPr>
            </w:pPr>
            <w:r>
              <w:rPr>
                <w:rFonts w:hint="eastAsia" w:ascii="宋体" w:hAnsi="宋体" w:cs="宋体"/>
                <w:sz w:val="21"/>
                <w:szCs w:val="21"/>
                <w:highlight w:val="none"/>
              </w:rPr>
              <w:t>标段划分</w:t>
            </w:r>
          </w:p>
        </w:tc>
        <w:tc>
          <w:tcPr>
            <w:tcW w:w="7538" w:type="dxa"/>
            <w:tcBorders>
              <w:top w:val="single" w:color="000000" w:sz="6" w:space="0"/>
              <w:left w:val="single" w:color="000000" w:sz="6" w:space="0"/>
              <w:bottom w:val="single" w:color="000000" w:sz="6" w:space="0"/>
              <w:right w:val="single" w:color="000000" w:sz="6" w:space="0"/>
            </w:tcBorders>
            <w:vAlign w:val="center"/>
          </w:tcPr>
          <w:p w14:paraId="3A8AF666">
            <w:pPr>
              <w:rPr>
                <w:rFonts w:hint="eastAsia" w:ascii="宋体" w:hAnsi="宋体" w:cs="宋体"/>
                <w:color w:val="auto"/>
                <w:sz w:val="21"/>
                <w:szCs w:val="21"/>
                <w:highlight w:val="none"/>
                <w:lang w:eastAsia="zh-CN"/>
              </w:rPr>
            </w:pPr>
            <w:r>
              <w:rPr>
                <w:rFonts w:hint="eastAsia" w:ascii="宋体" w:hAnsi="宋体" w:cs="宋体"/>
                <w:sz w:val="21"/>
                <w:szCs w:val="21"/>
                <w:highlight w:val="none"/>
              </w:rPr>
              <w:t>第一标</w:t>
            </w:r>
            <w:r>
              <w:rPr>
                <w:rFonts w:hint="eastAsia" w:ascii="宋体" w:hAnsi="宋体" w:cs="宋体"/>
                <w:color w:val="auto"/>
                <w:sz w:val="21"/>
                <w:szCs w:val="21"/>
                <w:highlight w:val="none"/>
                <w:lang w:eastAsia="zh-CN"/>
              </w:rPr>
              <w:t>段（分包1）：2026-2027年国土空间咨询及土地报批</w:t>
            </w:r>
            <w:r>
              <w:rPr>
                <w:rFonts w:hint="eastAsia" w:ascii="宋体" w:hAnsi="宋体" w:cs="宋体"/>
                <w:color w:val="auto"/>
                <w:sz w:val="21"/>
                <w:szCs w:val="21"/>
                <w:highlight w:val="none"/>
                <w:lang w:val="en-US" w:eastAsia="zh-CN"/>
              </w:rPr>
              <w:t>-</w:t>
            </w:r>
            <w:r>
              <w:rPr>
                <w:rFonts w:hint="eastAsia" w:ascii="宋体" w:hAnsi="宋体" w:cs="宋体"/>
                <w:color w:val="auto"/>
                <w:sz w:val="21"/>
                <w:szCs w:val="21"/>
                <w:highlight w:val="none"/>
                <w:lang w:eastAsia="zh-CN"/>
              </w:rPr>
              <w:t>中部片区</w:t>
            </w:r>
          </w:p>
          <w:p w14:paraId="023C1FD3">
            <w:pPr>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第二标段（分包</w:t>
            </w:r>
            <w:r>
              <w:rPr>
                <w:rFonts w:hint="eastAsia" w:ascii="宋体" w:hAnsi="宋体" w:cs="宋体"/>
                <w:color w:val="auto"/>
                <w:sz w:val="21"/>
                <w:szCs w:val="21"/>
                <w:highlight w:val="none"/>
                <w:lang w:val="en-US" w:eastAsia="zh-CN"/>
              </w:rPr>
              <w:t>2</w:t>
            </w:r>
            <w:r>
              <w:rPr>
                <w:rFonts w:hint="eastAsia" w:ascii="宋体" w:hAnsi="宋体" w:cs="宋体"/>
                <w:color w:val="auto"/>
                <w:sz w:val="21"/>
                <w:szCs w:val="21"/>
                <w:highlight w:val="none"/>
                <w:lang w:eastAsia="zh-CN"/>
              </w:rPr>
              <w:t>）：2026-2027年国土空间咨询及土地报批</w:t>
            </w:r>
            <w:r>
              <w:rPr>
                <w:rFonts w:hint="eastAsia" w:ascii="宋体" w:hAnsi="宋体" w:cs="宋体"/>
                <w:color w:val="auto"/>
                <w:sz w:val="21"/>
                <w:szCs w:val="21"/>
                <w:highlight w:val="none"/>
                <w:lang w:val="en-US" w:eastAsia="zh-CN"/>
              </w:rPr>
              <w:t>-</w:t>
            </w:r>
            <w:r>
              <w:rPr>
                <w:rFonts w:hint="eastAsia" w:ascii="宋体" w:hAnsi="宋体" w:cs="宋体"/>
                <w:color w:val="auto"/>
                <w:sz w:val="21"/>
                <w:szCs w:val="21"/>
                <w:highlight w:val="none"/>
                <w:lang w:eastAsia="zh-CN"/>
              </w:rPr>
              <w:t>南部片区</w:t>
            </w:r>
          </w:p>
          <w:p w14:paraId="3E27F389">
            <w:pPr>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第三标段（分包</w:t>
            </w:r>
            <w:r>
              <w:rPr>
                <w:rFonts w:hint="eastAsia" w:ascii="宋体" w:hAnsi="宋体" w:cs="宋体"/>
                <w:color w:val="auto"/>
                <w:sz w:val="21"/>
                <w:szCs w:val="21"/>
                <w:highlight w:val="none"/>
                <w:lang w:val="en-US" w:eastAsia="zh-CN"/>
              </w:rPr>
              <w:t>3</w:t>
            </w:r>
            <w:r>
              <w:rPr>
                <w:rFonts w:hint="eastAsia" w:ascii="宋体" w:hAnsi="宋体" w:cs="宋体"/>
                <w:color w:val="auto"/>
                <w:sz w:val="21"/>
                <w:szCs w:val="21"/>
                <w:highlight w:val="none"/>
                <w:lang w:eastAsia="zh-CN"/>
              </w:rPr>
              <w:t>）：2026-2027年国土空间咨询及土地报批</w:t>
            </w:r>
            <w:r>
              <w:rPr>
                <w:rFonts w:hint="eastAsia" w:ascii="宋体" w:hAnsi="宋体" w:cs="宋体"/>
                <w:color w:val="auto"/>
                <w:sz w:val="21"/>
                <w:szCs w:val="21"/>
                <w:highlight w:val="none"/>
                <w:lang w:val="en-US" w:eastAsia="zh-CN"/>
              </w:rPr>
              <w:t>-</w:t>
            </w:r>
            <w:r>
              <w:rPr>
                <w:rFonts w:hint="eastAsia" w:ascii="宋体" w:hAnsi="宋体" w:cs="宋体"/>
                <w:color w:val="auto"/>
                <w:sz w:val="21"/>
                <w:szCs w:val="21"/>
                <w:highlight w:val="none"/>
                <w:lang w:eastAsia="zh-CN"/>
              </w:rPr>
              <w:t>中部片区（G524以西区域）</w:t>
            </w:r>
          </w:p>
          <w:p w14:paraId="60400C5B">
            <w:pPr>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第四标段（分包</w:t>
            </w:r>
            <w:r>
              <w:rPr>
                <w:rFonts w:hint="eastAsia" w:ascii="宋体" w:hAnsi="宋体" w:cs="宋体"/>
                <w:color w:val="auto"/>
                <w:sz w:val="21"/>
                <w:szCs w:val="21"/>
                <w:highlight w:val="none"/>
                <w:lang w:val="en-US" w:eastAsia="zh-CN"/>
              </w:rPr>
              <w:t>4</w:t>
            </w:r>
            <w:r>
              <w:rPr>
                <w:rFonts w:hint="eastAsia" w:ascii="宋体" w:hAnsi="宋体" w:cs="宋体"/>
                <w:color w:val="auto"/>
                <w:sz w:val="21"/>
                <w:szCs w:val="21"/>
                <w:highlight w:val="none"/>
                <w:lang w:eastAsia="zh-CN"/>
              </w:rPr>
              <w:t>）：2026-2027年国土空间咨询及土地报批</w:t>
            </w:r>
            <w:r>
              <w:rPr>
                <w:rFonts w:hint="eastAsia" w:ascii="宋体" w:hAnsi="宋体" w:cs="宋体"/>
                <w:color w:val="auto"/>
                <w:sz w:val="21"/>
                <w:szCs w:val="21"/>
                <w:highlight w:val="none"/>
                <w:lang w:val="en-US" w:eastAsia="zh-CN"/>
              </w:rPr>
              <w:t>-</w:t>
            </w:r>
            <w:r>
              <w:rPr>
                <w:rFonts w:hint="eastAsia" w:ascii="宋体" w:hAnsi="宋体" w:cs="宋体"/>
                <w:color w:val="auto"/>
                <w:sz w:val="21"/>
                <w:szCs w:val="21"/>
                <w:highlight w:val="none"/>
                <w:lang w:eastAsia="zh-CN"/>
              </w:rPr>
              <w:t>南部片区（G524以西区域）</w:t>
            </w:r>
          </w:p>
          <w:p w14:paraId="315002FB">
            <w:pPr>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第五标段（分包</w:t>
            </w:r>
            <w:r>
              <w:rPr>
                <w:rFonts w:hint="eastAsia" w:ascii="宋体" w:hAnsi="宋体" w:cs="宋体"/>
                <w:color w:val="auto"/>
                <w:sz w:val="21"/>
                <w:szCs w:val="21"/>
                <w:highlight w:val="none"/>
                <w:lang w:val="en-US" w:eastAsia="zh-CN"/>
              </w:rPr>
              <w:t>5</w:t>
            </w:r>
            <w:r>
              <w:rPr>
                <w:rFonts w:hint="eastAsia" w:ascii="宋体" w:hAnsi="宋体" w:cs="宋体"/>
                <w:color w:val="auto"/>
                <w:sz w:val="21"/>
                <w:szCs w:val="21"/>
                <w:highlight w:val="none"/>
                <w:lang w:eastAsia="zh-CN"/>
              </w:rPr>
              <w:t>）：2026-2027年国土空间咨询及土地报批</w:t>
            </w:r>
            <w:r>
              <w:rPr>
                <w:rFonts w:hint="eastAsia" w:ascii="宋体" w:hAnsi="宋体" w:cs="宋体"/>
                <w:color w:val="auto"/>
                <w:sz w:val="21"/>
                <w:szCs w:val="21"/>
                <w:highlight w:val="none"/>
                <w:lang w:val="en-US" w:eastAsia="zh-CN"/>
              </w:rPr>
              <w:t>-</w:t>
            </w:r>
            <w:r>
              <w:rPr>
                <w:rFonts w:hint="eastAsia" w:ascii="宋体" w:hAnsi="宋体" w:cs="宋体"/>
                <w:color w:val="auto"/>
                <w:sz w:val="21"/>
                <w:szCs w:val="21"/>
                <w:highlight w:val="none"/>
                <w:lang w:eastAsia="zh-CN"/>
              </w:rPr>
              <w:t>北部片区</w:t>
            </w:r>
          </w:p>
          <w:p w14:paraId="44526C12">
            <w:pPr>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eastAsia="zh-CN"/>
              </w:rPr>
              <w:t>第六标段（分包</w:t>
            </w:r>
            <w:r>
              <w:rPr>
                <w:rFonts w:hint="eastAsia" w:ascii="宋体" w:hAnsi="宋体" w:cs="宋体"/>
                <w:color w:val="auto"/>
                <w:sz w:val="21"/>
                <w:szCs w:val="21"/>
                <w:highlight w:val="none"/>
                <w:lang w:val="en-US" w:eastAsia="zh-CN"/>
              </w:rPr>
              <w:t>6</w:t>
            </w:r>
            <w:r>
              <w:rPr>
                <w:rFonts w:hint="eastAsia" w:ascii="宋体" w:hAnsi="宋体" w:cs="宋体"/>
                <w:color w:val="auto"/>
                <w:sz w:val="21"/>
                <w:szCs w:val="21"/>
                <w:highlight w:val="none"/>
                <w:lang w:eastAsia="zh-CN"/>
              </w:rPr>
              <w:t>）</w:t>
            </w:r>
            <w:r>
              <w:rPr>
                <w:rFonts w:hint="eastAsia" w:ascii="宋体" w:hAnsi="宋体" w:cs="宋体"/>
                <w:sz w:val="21"/>
                <w:szCs w:val="21"/>
                <w:highlight w:val="none"/>
              </w:rPr>
              <w:t>：</w:t>
            </w:r>
            <w:r>
              <w:rPr>
                <w:rFonts w:hint="eastAsia" w:ascii="宋体" w:hAnsi="宋体" w:cs="宋体"/>
                <w:color w:val="auto"/>
                <w:sz w:val="21"/>
                <w:szCs w:val="21"/>
                <w:highlight w:val="none"/>
                <w:lang w:eastAsia="zh-CN"/>
              </w:rPr>
              <w:t>2026-2027年国土空间咨询及土地报批</w:t>
            </w:r>
            <w:r>
              <w:rPr>
                <w:rFonts w:hint="eastAsia" w:ascii="宋体" w:hAnsi="宋体" w:cs="宋体"/>
                <w:color w:val="auto"/>
                <w:sz w:val="21"/>
                <w:szCs w:val="21"/>
                <w:highlight w:val="none"/>
                <w:lang w:val="en-US" w:eastAsia="zh-CN"/>
              </w:rPr>
              <w:t>-</w:t>
            </w:r>
            <w:r>
              <w:rPr>
                <w:rFonts w:hint="eastAsia" w:ascii="宋体" w:hAnsi="宋体" w:cs="宋体"/>
                <w:sz w:val="21"/>
                <w:szCs w:val="21"/>
                <w:highlight w:val="none"/>
              </w:rPr>
              <w:t>北部片区（G524以西区域）</w:t>
            </w:r>
          </w:p>
        </w:tc>
      </w:tr>
      <w:tr w14:paraId="6531418C">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jc w:val="center"/>
        </w:trPr>
        <w:tc>
          <w:tcPr>
            <w:tcW w:w="660" w:type="dxa"/>
            <w:tcBorders>
              <w:top w:val="single" w:color="000000" w:sz="6" w:space="0"/>
              <w:left w:val="single" w:color="000000" w:sz="6" w:space="0"/>
              <w:bottom w:val="single" w:color="000000" w:sz="6" w:space="0"/>
              <w:right w:val="single" w:color="000000" w:sz="6" w:space="0"/>
            </w:tcBorders>
            <w:vAlign w:val="center"/>
          </w:tcPr>
          <w:p w14:paraId="5117E577">
            <w:pPr>
              <w:widowControl w:val="0"/>
              <w:spacing w:before="120" w:after="120"/>
              <w:jc w:val="center"/>
              <w:rPr>
                <w:rFonts w:ascii="宋体" w:hAnsi="宋体" w:cs="宋体"/>
                <w:color w:val="auto"/>
                <w:sz w:val="21"/>
                <w:szCs w:val="21"/>
                <w:highlight w:val="none"/>
              </w:rPr>
            </w:pPr>
            <w:r>
              <w:rPr>
                <w:rFonts w:hint="eastAsia" w:ascii="宋体" w:hAnsi="宋体" w:cs="宋体"/>
                <w:color w:val="auto"/>
                <w:sz w:val="21"/>
                <w:szCs w:val="21"/>
                <w:highlight w:val="none"/>
              </w:rPr>
              <w:t>4</w:t>
            </w:r>
          </w:p>
        </w:tc>
        <w:tc>
          <w:tcPr>
            <w:tcW w:w="1770" w:type="dxa"/>
            <w:tcBorders>
              <w:top w:val="single" w:color="000000" w:sz="6" w:space="0"/>
              <w:left w:val="single" w:color="000000" w:sz="6" w:space="0"/>
              <w:bottom w:val="single" w:color="000000" w:sz="6" w:space="0"/>
              <w:right w:val="single" w:color="000000" w:sz="6" w:space="0"/>
            </w:tcBorders>
            <w:vAlign w:val="center"/>
          </w:tcPr>
          <w:p w14:paraId="7EC8F987">
            <w:pPr>
              <w:widowControl w:val="0"/>
              <w:spacing w:before="120" w:after="120"/>
              <w:jc w:val="both"/>
              <w:rPr>
                <w:rFonts w:ascii="宋体" w:hAnsi="宋体" w:cs="宋体"/>
                <w:color w:val="auto"/>
                <w:sz w:val="21"/>
                <w:szCs w:val="21"/>
                <w:highlight w:val="none"/>
              </w:rPr>
            </w:pPr>
            <w:r>
              <w:rPr>
                <w:rFonts w:hint="eastAsia" w:ascii="宋体" w:hAnsi="宋体" w:cs="宋体"/>
                <w:color w:val="auto"/>
                <w:sz w:val="21"/>
                <w:szCs w:val="21"/>
                <w:highlight w:val="none"/>
                <w:lang w:val="zh-CN"/>
              </w:rPr>
              <w:t>采购</w:t>
            </w:r>
            <w:r>
              <w:rPr>
                <w:rFonts w:hint="eastAsia" w:ascii="宋体" w:hAnsi="宋体" w:cs="宋体"/>
                <w:color w:val="auto"/>
                <w:sz w:val="21"/>
                <w:szCs w:val="21"/>
                <w:highlight w:val="none"/>
              </w:rPr>
              <w:t>代理机构</w:t>
            </w:r>
          </w:p>
        </w:tc>
        <w:tc>
          <w:tcPr>
            <w:tcW w:w="7538" w:type="dxa"/>
            <w:tcBorders>
              <w:top w:val="single" w:color="000000" w:sz="6" w:space="0"/>
              <w:left w:val="single" w:color="000000" w:sz="6" w:space="0"/>
              <w:bottom w:val="single" w:color="000000" w:sz="6" w:space="0"/>
              <w:right w:val="single" w:color="000000" w:sz="6" w:space="0"/>
            </w:tcBorders>
            <w:vAlign w:val="center"/>
          </w:tcPr>
          <w:p w14:paraId="1DB380E9">
            <w:pP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名称：</w:t>
            </w:r>
            <w:r>
              <w:rPr>
                <w:rFonts w:hint="eastAsia" w:ascii="宋体" w:hAnsi="宋体" w:cs="宋体"/>
                <w:color w:val="auto"/>
                <w:sz w:val="21"/>
                <w:szCs w:val="21"/>
                <w:highlight w:val="none"/>
                <w:lang w:eastAsia="zh-CN"/>
              </w:rPr>
              <w:t>众鑫工程管理（苏州）有限公司</w:t>
            </w:r>
          </w:p>
          <w:p w14:paraId="1CCFF842">
            <w:pP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地址：</w:t>
            </w:r>
            <w:r>
              <w:rPr>
                <w:rFonts w:hint="eastAsia" w:ascii="宋体" w:hAnsi="宋体" w:cs="宋体"/>
                <w:color w:val="auto"/>
                <w:sz w:val="21"/>
                <w:szCs w:val="21"/>
                <w:highlight w:val="none"/>
                <w:lang w:eastAsia="zh-CN"/>
              </w:rPr>
              <w:t>苏州市相城区高铁新城南天成路99号启迪大厦23-2311</w:t>
            </w:r>
          </w:p>
          <w:p w14:paraId="79A4FE4F">
            <w:pP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联系人：</w:t>
            </w:r>
            <w:r>
              <w:rPr>
                <w:rFonts w:hint="eastAsia" w:ascii="宋体" w:hAnsi="宋体" w:cs="宋体"/>
                <w:color w:val="auto"/>
                <w:sz w:val="21"/>
                <w:szCs w:val="21"/>
                <w:highlight w:val="none"/>
                <w:lang w:eastAsia="zh-CN"/>
              </w:rPr>
              <w:t>张方华</w:t>
            </w:r>
          </w:p>
          <w:p w14:paraId="7E1C76D4">
            <w:pP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联系电话：</w:t>
            </w:r>
            <w:r>
              <w:rPr>
                <w:rFonts w:hint="eastAsia" w:ascii="宋体" w:hAnsi="宋体" w:cs="宋体"/>
                <w:color w:val="auto"/>
                <w:sz w:val="21"/>
                <w:szCs w:val="21"/>
                <w:highlight w:val="none"/>
                <w:lang w:eastAsia="zh-CN"/>
              </w:rPr>
              <w:t>0512-67281690</w:t>
            </w:r>
          </w:p>
        </w:tc>
      </w:tr>
      <w:tr w14:paraId="1D9979DB">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jc w:val="center"/>
        </w:trPr>
        <w:tc>
          <w:tcPr>
            <w:tcW w:w="660" w:type="dxa"/>
            <w:tcBorders>
              <w:top w:val="single" w:color="000000" w:sz="6" w:space="0"/>
              <w:left w:val="single" w:color="000000" w:sz="6" w:space="0"/>
              <w:bottom w:val="single" w:color="000000" w:sz="6" w:space="0"/>
              <w:right w:val="single" w:color="000000" w:sz="6" w:space="0"/>
            </w:tcBorders>
            <w:vAlign w:val="center"/>
          </w:tcPr>
          <w:p w14:paraId="772C93DB">
            <w:pPr>
              <w:widowControl w:val="0"/>
              <w:spacing w:before="120" w:after="120"/>
              <w:jc w:val="center"/>
              <w:rPr>
                <w:rFonts w:ascii="宋体" w:hAnsi="宋体" w:cs="宋体"/>
                <w:color w:val="auto"/>
                <w:sz w:val="21"/>
                <w:szCs w:val="21"/>
                <w:highlight w:val="none"/>
              </w:rPr>
            </w:pPr>
            <w:r>
              <w:rPr>
                <w:rFonts w:hint="eastAsia" w:ascii="宋体" w:hAnsi="宋体" w:cs="宋体"/>
                <w:color w:val="auto"/>
                <w:sz w:val="21"/>
                <w:szCs w:val="21"/>
                <w:highlight w:val="none"/>
              </w:rPr>
              <w:t>5</w:t>
            </w:r>
          </w:p>
        </w:tc>
        <w:tc>
          <w:tcPr>
            <w:tcW w:w="1770" w:type="dxa"/>
            <w:tcBorders>
              <w:top w:val="single" w:color="000000" w:sz="6" w:space="0"/>
              <w:left w:val="single" w:color="000000" w:sz="6" w:space="0"/>
              <w:bottom w:val="single" w:color="000000" w:sz="6" w:space="0"/>
              <w:right w:val="single" w:color="000000" w:sz="6" w:space="0"/>
            </w:tcBorders>
            <w:vAlign w:val="center"/>
          </w:tcPr>
          <w:p w14:paraId="38F969C3">
            <w:pPr>
              <w:widowControl w:val="0"/>
              <w:spacing w:before="120" w:after="120"/>
              <w:jc w:val="both"/>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采购人</w:t>
            </w:r>
          </w:p>
        </w:tc>
        <w:tc>
          <w:tcPr>
            <w:tcW w:w="7538" w:type="dxa"/>
            <w:tcBorders>
              <w:top w:val="single" w:color="000000" w:sz="6" w:space="0"/>
              <w:left w:val="single" w:color="000000" w:sz="6" w:space="0"/>
              <w:bottom w:val="single" w:color="000000" w:sz="6" w:space="0"/>
              <w:right w:val="single" w:color="000000" w:sz="6" w:space="0"/>
            </w:tcBorders>
            <w:vAlign w:val="center"/>
          </w:tcPr>
          <w:p w14:paraId="7440DFDE">
            <w:pP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名称：</w:t>
            </w:r>
            <w:r>
              <w:rPr>
                <w:rFonts w:hint="eastAsia" w:ascii="宋体" w:hAnsi="宋体" w:cs="宋体"/>
                <w:color w:val="auto"/>
                <w:sz w:val="21"/>
                <w:szCs w:val="21"/>
                <w:highlight w:val="none"/>
                <w:lang w:eastAsia="zh-CN"/>
              </w:rPr>
              <w:t>苏州高铁新城管理委员会</w:t>
            </w:r>
          </w:p>
          <w:p w14:paraId="43182B45">
            <w:pP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地址：</w:t>
            </w:r>
            <w:r>
              <w:rPr>
                <w:rFonts w:hint="eastAsia" w:ascii="宋体" w:hAnsi="宋体" w:cs="宋体"/>
                <w:color w:val="auto"/>
                <w:sz w:val="21"/>
                <w:szCs w:val="21"/>
                <w:highlight w:val="none"/>
                <w:lang w:eastAsia="zh-CN"/>
              </w:rPr>
              <w:t>苏州市高铁新城紫光大厦</w:t>
            </w:r>
          </w:p>
          <w:p w14:paraId="5586D8ED">
            <w:pP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联系人：</w:t>
            </w:r>
            <w:r>
              <w:rPr>
                <w:rFonts w:hint="eastAsia" w:ascii="宋体" w:hAnsi="宋体" w:cs="宋体"/>
                <w:color w:val="auto"/>
                <w:sz w:val="21"/>
                <w:szCs w:val="21"/>
                <w:highlight w:val="none"/>
                <w:lang w:eastAsia="zh-CN"/>
              </w:rPr>
              <w:t>陈俊彦</w:t>
            </w:r>
          </w:p>
          <w:p w14:paraId="7DFC0718">
            <w:pPr>
              <w:rPr>
                <w:rFonts w:hint="eastAsia" w:ascii="宋体" w:hAnsi="宋体" w:eastAsia="宋体" w:cs="宋体"/>
                <w:color w:val="auto"/>
                <w:sz w:val="21"/>
                <w:szCs w:val="21"/>
                <w:highlight w:val="none"/>
                <w:lang w:val="zh-CN" w:eastAsia="zh-CN"/>
              </w:rPr>
            </w:pPr>
            <w:r>
              <w:rPr>
                <w:rFonts w:hint="eastAsia" w:ascii="宋体" w:hAnsi="宋体" w:cs="宋体"/>
                <w:color w:val="auto"/>
                <w:sz w:val="21"/>
                <w:szCs w:val="21"/>
                <w:highlight w:val="none"/>
              </w:rPr>
              <w:t>联系电话：</w:t>
            </w:r>
            <w:r>
              <w:rPr>
                <w:rFonts w:hint="eastAsia" w:ascii="宋体" w:hAnsi="宋体" w:cs="宋体"/>
                <w:color w:val="auto"/>
                <w:sz w:val="21"/>
                <w:szCs w:val="21"/>
                <w:highlight w:val="none"/>
                <w:lang w:eastAsia="zh-CN"/>
              </w:rPr>
              <w:t>0512-66158550</w:t>
            </w:r>
          </w:p>
        </w:tc>
      </w:tr>
      <w:tr w14:paraId="3C3144F3">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jc w:val="center"/>
        </w:trPr>
        <w:tc>
          <w:tcPr>
            <w:tcW w:w="660" w:type="dxa"/>
            <w:tcBorders>
              <w:top w:val="single" w:color="000000" w:sz="6" w:space="0"/>
              <w:left w:val="single" w:color="000000" w:sz="6" w:space="0"/>
              <w:bottom w:val="single" w:color="000000" w:sz="6" w:space="0"/>
              <w:right w:val="single" w:color="000000" w:sz="6" w:space="0"/>
            </w:tcBorders>
            <w:vAlign w:val="center"/>
          </w:tcPr>
          <w:p w14:paraId="4E631446">
            <w:pPr>
              <w:widowControl w:val="0"/>
              <w:spacing w:before="120" w:after="120"/>
              <w:jc w:val="center"/>
              <w:rPr>
                <w:rFonts w:ascii="宋体" w:hAnsi="宋体" w:cs="宋体"/>
                <w:color w:val="auto"/>
                <w:sz w:val="21"/>
                <w:szCs w:val="21"/>
                <w:highlight w:val="none"/>
              </w:rPr>
            </w:pPr>
            <w:r>
              <w:rPr>
                <w:rFonts w:hint="eastAsia" w:ascii="宋体" w:hAnsi="宋体" w:cs="宋体"/>
                <w:color w:val="auto"/>
                <w:sz w:val="21"/>
                <w:szCs w:val="21"/>
                <w:highlight w:val="none"/>
              </w:rPr>
              <w:t>6</w:t>
            </w:r>
          </w:p>
        </w:tc>
        <w:tc>
          <w:tcPr>
            <w:tcW w:w="1770" w:type="dxa"/>
            <w:tcBorders>
              <w:top w:val="single" w:color="000000" w:sz="6" w:space="0"/>
              <w:left w:val="single" w:color="000000" w:sz="6" w:space="0"/>
              <w:bottom w:val="single" w:color="000000" w:sz="6" w:space="0"/>
              <w:right w:val="single" w:color="000000" w:sz="6" w:space="0"/>
            </w:tcBorders>
            <w:vAlign w:val="center"/>
          </w:tcPr>
          <w:p w14:paraId="76D50A87">
            <w:pPr>
              <w:widowControl w:val="0"/>
              <w:spacing w:before="120" w:after="120"/>
              <w:jc w:val="both"/>
              <w:rPr>
                <w:rFonts w:ascii="宋体" w:hAnsi="宋体" w:cs="宋体"/>
                <w:color w:val="auto"/>
                <w:sz w:val="21"/>
                <w:szCs w:val="21"/>
                <w:highlight w:val="none"/>
              </w:rPr>
            </w:pPr>
            <w:r>
              <w:rPr>
                <w:rFonts w:hint="eastAsia" w:ascii="宋体" w:hAnsi="宋体" w:cs="宋体"/>
                <w:color w:val="auto"/>
                <w:sz w:val="21"/>
                <w:szCs w:val="21"/>
                <w:highlight w:val="none"/>
                <w:lang w:val="zh-CN"/>
              </w:rPr>
              <w:t>投标有效期</w:t>
            </w:r>
          </w:p>
        </w:tc>
        <w:tc>
          <w:tcPr>
            <w:tcW w:w="7538" w:type="dxa"/>
            <w:tcBorders>
              <w:top w:val="single" w:color="000000" w:sz="6" w:space="0"/>
              <w:left w:val="single" w:color="000000" w:sz="6" w:space="0"/>
              <w:bottom w:val="single" w:color="000000" w:sz="6" w:space="0"/>
              <w:right w:val="single" w:color="000000" w:sz="6" w:space="0"/>
            </w:tcBorders>
            <w:vAlign w:val="center"/>
          </w:tcPr>
          <w:p w14:paraId="65B12757">
            <w:pPr>
              <w:widowControl w:val="0"/>
              <w:spacing w:before="120" w:after="120"/>
              <w:jc w:val="both"/>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投标截止之日起九十日内</w:t>
            </w:r>
          </w:p>
        </w:tc>
      </w:tr>
      <w:tr w14:paraId="2F2A3CE7">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jc w:val="center"/>
        </w:trPr>
        <w:tc>
          <w:tcPr>
            <w:tcW w:w="660" w:type="dxa"/>
            <w:tcBorders>
              <w:top w:val="single" w:color="000000" w:sz="6" w:space="0"/>
              <w:left w:val="single" w:color="000000" w:sz="6" w:space="0"/>
              <w:bottom w:val="single" w:color="000000" w:sz="6" w:space="0"/>
              <w:right w:val="single" w:color="000000" w:sz="6" w:space="0"/>
            </w:tcBorders>
            <w:vAlign w:val="center"/>
          </w:tcPr>
          <w:p w14:paraId="547CCD34">
            <w:pPr>
              <w:widowControl w:val="0"/>
              <w:spacing w:before="120" w:after="120"/>
              <w:jc w:val="center"/>
              <w:rPr>
                <w:rFonts w:ascii="宋体" w:hAnsi="宋体" w:cs="宋体"/>
                <w:color w:val="auto"/>
                <w:sz w:val="21"/>
                <w:szCs w:val="21"/>
                <w:highlight w:val="none"/>
              </w:rPr>
            </w:pPr>
            <w:r>
              <w:rPr>
                <w:rFonts w:hint="eastAsia" w:ascii="宋体" w:hAnsi="宋体" w:cs="宋体"/>
                <w:color w:val="auto"/>
                <w:sz w:val="21"/>
                <w:szCs w:val="21"/>
                <w:highlight w:val="none"/>
              </w:rPr>
              <w:t>7</w:t>
            </w:r>
          </w:p>
        </w:tc>
        <w:tc>
          <w:tcPr>
            <w:tcW w:w="1770" w:type="dxa"/>
            <w:tcBorders>
              <w:top w:val="single" w:color="000000" w:sz="6" w:space="0"/>
              <w:left w:val="single" w:color="000000" w:sz="6" w:space="0"/>
              <w:bottom w:val="single" w:color="000000" w:sz="6" w:space="0"/>
              <w:right w:val="single" w:color="000000" w:sz="6" w:space="0"/>
            </w:tcBorders>
            <w:vAlign w:val="center"/>
          </w:tcPr>
          <w:p w14:paraId="29D8E811">
            <w:pPr>
              <w:widowControl w:val="0"/>
              <w:spacing w:before="120" w:after="120"/>
              <w:jc w:val="both"/>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投标保证金</w:t>
            </w:r>
          </w:p>
        </w:tc>
        <w:tc>
          <w:tcPr>
            <w:tcW w:w="7538" w:type="dxa"/>
            <w:tcBorders>
              <w:top w:val="single" w:color="000000" w:sz="6" w:space="0"/>
              <w:left w:val="single" w:color="000000" w:sz="6" w:space="0"/>
              <w:bottom w:val="single" w:color="000000" w:sz="6" w:space="0"/>
              <w:right w:val="single" w:color="000000" w:sz="6" w:space="0"/>
            </w:tcBorders>
            <w:vAlign w:val="center"/>
          </w:tcPr>
          <w:p w14:paraId="3C43AC4B">
            <w:pPr>
              <w:pStyle w:val="29"/>
              <w:widowControl w:val="0"/>
              <w:spacing w:before="120" w:after="120"/>
              <w:ind w:left="0"/>
              <w:jc w:val="both"/>
              <w:rPr>
                <w:rFonts w:ascii="宋体" w:hAnsi="宋体" w:cs="宋体"/>
                <w:color w:val="auto"/>
                <w:sz w:val="21"/>
                <w:szCs w:val="21"/>
                <w:highlight w:val="none"/>
                <w:lang w:val="zh-CN"/>
              </w:rPr>
            </w:pPr>
            <w:r>
              <w:rPr>
                <w:rFonts w:hint="eastAsia" w:ascii="宋体" w:hAnsi="宋体" w:cs="宋体"/>
                <w:b/>
                <w:bCs/>
                <w:color w:val="auto"/>
                <w:sz w:val="21"/>
                <w:szCs w:val="21"/>
                <w:highlight w:val="none"/>
                <w:lang w:val="zh-CN"/>
              </w:rPr>
              <w:t>本项目不收取投标保证金，但须在投标文件中提供投标保证承诺书，格式见招标文件第</w:t>
            </w:r>
            <w:r>
              <w:rPr>
                <w:rFonts w:hint="eastAsia" w:ascii="宋体" w:hAnsi="宋体" w:cs="宋体"/>
                <w:b/>
                <w:bCs/>
                <w:color w:val="auto"/>
                <w:sz w:val="21"/>
                <w:szCs w:val="21"/>
                <w:highlight w:val="none"/>
              </w:rPr>
              <w:t>三</w:t>
            </w:r>
            <w:r>
              <w:rPr>
                <w:rFonts w:hint="eastAsia" w:ascii="宋体" w:hAnsi="宋体" w:cs="宋体"/>
                <w:b/>
                <w:bCs/>
                <w:color w:val="auto"/>
                <w:sz w:val="21"/>
                <w:szCs w:val="21"/>
                <w:highlight w:val="none"/>
                <w:lang w:val="zh-CN"/>
              </w:rPr>
              <w:t>章。</w:t>
            </w:r>
          </w:p>
        </w:tc>
      </w:tr>
      <w:tr w14:paraId="2D506453">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jc w:val="center"/>
        </w:trPr>
        <w:tc>
          <w:tcPr>
            <w:tcW w:w="660" w:type="dxa"/>
            <w:tcBorders>
              <w:top w:val="single" w:color="000000" w:sz="6" w:space="0"/>
              <w:left w:val="single" w:color="000000" w:sz="6" w:space="0"/>
              <w:bottom w:val="single" w:color="000000" w:sz="6" w:space="0"/>
              <w:right w:val="single" w:color="000000" w:sz="6" w:space="0"/>
            </w:tcBorders>
            <w:vAlign w:val="center"/>
          </w:tcPr>
          <w:p w14:paraId="1F54BA0B">
            <w:pPr>
              <w:widowControl w:val="0"/>
              <w:spacing w:before="120" w:after="120"/>
              <w:jc w:val="center"/>
              <w:rPr>
                <w:rFonts w:ascii="宋体" w:hAnsi="宋体" w:cs="宋体"/>
                <w:color w:val="auto"/>
                <w:sz w:val="21"/>
                <w:szCs w:val="21"/>
                <w:highlight w:val="none"/>
              </w:rPr>
            </w:pPr>
            <w:r>
              <w:rPr>
                <w:rFonts w:hint="eastAsia" w:ascii="宋体" w:hAnsi="宋体" w:cs="宋体"/>
                <w:color w:val="auto"/>
                <w:sz w:val="21"/>
                <w:szCs w:val="21"/>
                <w:highlight w:val="none"/>
              </w:rPr>
              <w:t>8</w:t>
            </w:r>
          </w:p>
        </w:tc>
        <w:tc>
          <w:tcPr>
            <w:tcW w:w="1770" w:type="dxa"/>
            <w:tcBorders>
              <w:top w:val="single" w:color="000000" w:sz="6" w:space="0"/>
              <w:left w:val="single" w:color="000000" w:sz="6" w:space="0"/>
              <w:bottom w:val="single" w:color="000000" w:sz="6" w:space="0"/>
              <w:right w:val="single" w:color="000000" w:sz="6" w:space="0"/>
            </w:tcBorders>
            <w:vAlign w:val="center"/>
          </w:tcPr>
          <w:p w14:paraId="20409C22">
            <w:pPr>
              <w:widowControl w:val="0"/>
              <w:spacing w:before="120" w:after="120"/>
              <w:jc w:val="both"/>
              <w:rPr>
                <w:rFonts w:ascii="宋体" w:hAnsi="宋体" w:cs="宋体"/>
                <w:color w:val="auto"/>
                <w:sz w:val="21"/>
                <w:szCs w:val="21"/>
                <w:highlight w:val="none"/>
              </w:rPr>
            </w:pPr>
            <w:r>
              <w:rPr>
                <w:rFonts w:hint="eastAsia" w:ascii="宋体" w:hAnsi="宋体" w:cs="宋体"/>
                <w:color w:val="auto"/>
                <w:sz w:val="21"/>
                <w:szCs w:val="21"/>
                <w:highlight w:val="none"/>
                <w:lang w:val="zh-CN"/>
              </w:rPr>
              <w:t>投标文件要求</w:t>
            </w:r>
          </w:p>
        </w:tc>
        <w:tc>
          <w:tcPr>
            <w:tcW w:w="7538" w:type="dxa"/>
            <w:tcBorders>
              <w:top w:val="single" w:color="000000" w:sz="6" w:space="0"/>
              <w:left w:val="single" w:color="000000" w:sz="6" w:space="0"/>
              <w:bottom w:val="single" w:color="000000" w:sz="6" w:space="0"/>
              <w:right w:val="single" w:color="000000" w:sz="6" w:space="0"/>
            </w:tcBorders>
            <w:vAlign w:val="center"/>
          </w:tcPr>
          <w:p w14:paraId="62172C6E">
            <w:pPr>
              <w:widowControl w:val="0"/>
              <w:spacing w:before="120" w:after="120"/>
              <w:jc w:val="both"/>
              <w:rPr>
                <w:rFonts w:ascii="宋体" w:hAnsi="宋体" w:cs="宋体"/>
                <w:color w:val="auto"/>
                <w:sz w:val="21"/>
                <w:szCs w:val="21"/>
                <w:highlight w:val="none"/>
              </w:rPr>
            </w:pPr>
            <w:r>
              <w:rPr>
                <w:rFonts w:hint="eastAsia" w:ascii="宋体" w:hAnsi="宋体" w:cs="宋体"/>
                <w:color w:val="auto"/>
                <w:sz w:val="21"/>
                <w:szCs w:val="21"/>
                <w:highlight w:val="none"/>
              </w:rPr>
              <w:t>本项目采用网上电子招投标形式，请投标人按照《苏采云系统</w:t>
            </w:r>
            <w:r>
              <w:rPr>
                <w:rFonts w:hint="eastAsia" w:ascii="宋体" w:hAnsi="宋体" w:cs="宋体"/>
                <w:color w:val="auto"/>
                <w:sz w:val="21"/>
                <w:szCs w:val="21"/>
                <w:highlight w:val="none"/>
                <w:lang w:eastAsia="zh-CN"/>
              </w:rPr>
              <w:t>投标人</w:t>
            </w:r>
            <w:r>
              <w:rPr>
                <w:rFonts w:hint="eastAsia" w:ascii="宋体" w:hAnsi="宋体" w:cs="宋体"/>
                <w:color w:val="auto"/>
                <w:sz w:val="21"/>
                <w:szCs w:val="21"/>
                <w:highlight w:val="none"/>
              </w:rPr>
              <w:t>操作手册》（以下简称“操作手册”）进行制作、上传电子投标文件。</w:t>
            </w:r>
          </w:p>
          <w:p w14:paraId="7DE31EE4">
            <w:pPr>
              <w:widowControl w:val="0"/>
              <w:spacing w:before="120" w:after="120"/>
              <w:jc w:val="both"/>
              <w:rPr>
                <w:rFonts w:ascii="宋体" w:hAnsi="宋体" w:cs="宋体"/>
                <w:color w:val="auto"/>
                <w:sz w:val="21"/>
                <w:szCs w:val="21"/>
                <w:highlight w:val="none"/>
              </w:rPr>
            </w:pPr>
            <w:r>
              <w:rPr>
                <w:rFonts w:hint="eastAsia" w:ascii="宋体" w:hAnsi="宋体" w:cs="宋体"/>
                <w:color w:val="auto"/>
                <w:sz w:val="21"/>
                <w:szCs w:val="21"/>
                <w:highlight w:val="none"/>
              </w:rPr>
              <w:t>电子投标文件制作完成后请于投标文件提交的截止时间前成功上传至“苏采云”系统，否则视为放弃参加本项目招标活动。</w:t>
            </w:r>
          </w:p>
        </w:tc>
      </w:tr>
      <w:tr w14:paraId="488850C1">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jc w:val="center"/>
        </w:trPr>
        <w:tc>
          <w:tcPr>
            <w:tcW w:w="660" w:type="dxa"/>
            <w:tcBorders>
              <w:top w:val="single" w:color="000000" w:sz="6" w:space="0"/>
              <w:left w:val="single" w:color="000000" w:sz="6" w:space="0"/>
              <w:bottom w:val="single" w:color="000000" w:sz="6" w:space="0"/>
              <w:right w:val="single" w:color="000000" w:sz="6" w:space="0"/>
            </w:tcBorders>
            <w:vAlign w:val="center"/>
          </w:tcPr>
          <w:p w14:paraId="6BE373BF">
            <w:pPr>
              <w:widowControl w:val="0"/>
              <w:spacing w:before="120" w:after="120"/>
              <w:jc w:val="center"/>
              <w:rPr>
                <w:rFonts w:ascii="宋体" w:hAnsi="宋体" w:cs="宋体"/>
                <w:color w:val="auto"/>
                <w:sz w:val="21"/>
                <w:szCs w:val="21"/>
                <w:highlight w:val="none"/>
                <w:lang w:val="zh-CN"/>
              </w:rPr>
            </w:pPr>
            <w:r>
              <w:rPr>
                <w:rFonts w:hint="eastAsia" w:ascii="宋体" w:hAnsi="宋体" w:cs="宋体"/>
                <w:color w:val="auto"/>
                <w:sz w:val="21"/>
                <w:szCs w:val="21"/>
                <w:highlight w:val="none"/>
              </w:rPr>
              <w:t>9</w:t>
            </w:r>
          </w:p>
        </w:tc>
        <w:tc>
          <w:tcPr>
            <w:tcW w:w="1770" w:type="dxa"/>
            <w:tcBorders>
              <w:top w:val="single" w:color="000000" w:sz="6" w:space="0"/>
              <w:left w:val="single" w:color="000000" w:sz="6" w:space="0"/>
              <w:bottom w:val="single" w:color="000000" w:sz="6" w:space="0"/>
              <w:right w:val="single" w:color="000000" w:sz="6" w:space="0"/>
            </w:tcBorders>
            <w:vAlign w:val="center"/>
          </w:tcPr>
          <w:p w14:paraId="22976A52">
            <w:pPr>
              <w:jc w:val="both"/>
              <w:rPr>
                <w:rFonts w:ascii="宋体" w:hAnsi="宋体" w:cs="宋体"/>
                <w:color w:val="auto"/>
                <w:sz w:val="21"/>
                <w:szCs w:val="21"/>
                <w:highlight w:val="none"/>
              </w:rPr>
            </w:pPr>
            <w:r>
              <w:rPr>
                <w:rFonts w:hint="eastAsia" w:ascii="宋体" w:hAnsi="宋体" w:cs="宋体"/>
                <w:color w:val="auto"/>
                <w:sz w:val="21"/>
                <w:szCs w:val="21"/>
                <w:highlight w:val="none"/>
              </w:rPr>
              <w:t>投标文件网上</w:t>
            </w:r>
          </w:p>
          <w:p w14:paraId="3AA7A609">
            <w:pPr>
              <w:rPr>
                <w:rFonts w:ascii="宋体" w:hAnsi="宋体" w:cs="宋体"/>
                <w:color w:val="auto"/>
                <w:sz w:val="21"/>
                <w:szCs w:val="21"/>
                <w:highlight w:val="none"/>
              </w:rPr>
            </w:pPr>
            <w:r>
              <w:rPr>
                <w:rFonts w:hint="eastAsia" w:ascii="宋体" w:hAnsi="宋体" w:cs="宋体"/>
                <w:color w:val="auto"/>
                <w:sz w:val="21"/>
                <w:szCs w:val="21"/>
                <w:highlight w:val="none"/>
              </w:rPr>
              <w:t>提交（上传）截止时间</w:t>
            </w:r>
          </w:p>
        </w:tc>
        <w:tc>
          <w:tcPr>
            <w:tcW w:w="7538" w:type="dxa"/>
            <w:tcBorders>
              <w:top w:val="single" w:color="000000" w:sz="6" w:space="0"/>
              <w:left w:val="single" w:color="000000" w:sz="6" w:space="0"/>
              <w:bottom w:val="single" w:color="000000" w:sz="6" w:space="0"/>
              <w:right w:val="single" w:color="000000" w:sz="6" w:space="0"/>
            </w:tcBorders>
            <w:vAlign w:val="center"/>
          </w:tcPr>
          <w:p w14:paraId="44D0936D">
            <w:pPr>
              <w:rPr>
                <w:rFonts w:ascii="宋体" w:hAnsi="宋体" w:cs="宋体"/>
                <w:color w:val="auto"/>
                <w:sz w:val="21"/>
                <w:szCs w:val="21"/>
                <w:highlight w:val="none"/>
              </w:rPr>
            </w:pPr>
            <w:r>
              <w:rPr>
                <w:rFonts w:hint="eastAsia" w:ascii="宋体" w:hAnsi="宋体" w:cs="宋体"/>
                <w:color w:val="auto"/>
                <w:sz w:val="21"/>
                <w:szCs w:val="21"/>
                <w:highlight w:val="none"/>
              </w:rPr>
              <w:t>2026年</w:t>
            </w:r>
            <w:r>
              <w:rPr>
                <w:rFonts w:hint="eastAsia" w:ascii="宋体" w:hAnsi="宋体" w:cs="宋体"/>
                <w:color w:val="auto"/>
                <w:sz w:val="21"/>
                <w:szCs w:val="21"/>
                <w:highlight w:val="none"/>
                <w:lang w:val="en-US" w:eastAsia="zh-CN"/>
              </w:rPr>
              <w:t>10</w:t>
            </w:r>
            <w:r>
              <w:rPr>
                <w:rFonts w:hint="eastAsia" w:ascii="宋体" w:hAnsi="宋体" w:cs="宋体"/>
                <w:color w:val="auto"/>
                <w:sz w:val="21"/>
                <w:szCs w:val="21"/>
                <w:highlight w:val="none"/>
              </w:rPr>
              <w:t>月</w:t>
            </w:r>
            <w:r>
              <w:rPr>
                <w:rFonts w:hint="eastAsia" w:ascii="宋体" w:hAnsi="宋体" w:cs="宋体"/>
                <w:color w:val="auto"/>
                <w:sz w:val="21"/>
                <w:szCs w:val="21"/>
                <w:highlight w:val="none"/>
                <w:lang w:val="en-US" w:eastAsia="zh-CN"/>
              </w:rPr>
              <w:t>12</w:t>
            </w:r>
            <w:r>
              <w:rPr>
                <w:rFonts w:hint="eastAsia" w:ascii="宋体" w:hAnsi="宋体" w:cs="宋体"/>
                <w:color w:val="auto"/>
                <w:sz w:val="21"/>
                <w:szCs w:val="21"/>
                <w:highlight w:val="none"/>
              </w:rPr>
              <w:t>日</w:t>
            </w:r>
            <w:r>
              <w:rPr>
                <w:rFonts w:hint="eastAsia" w:ascii="宋体" w:hAnsi="宋体" w:cs="宋体"/>
                <w:color w:val="auto"/>
                <w:sz w:val="21"/>
                <w:szCs w:val="21"/>
                <w:highlight w:val="none"/>
                <w:lang w:val="en-US" w:eastAsia="zh-CN"/>
              </w:rPr>
              <w:t>9</w:t>
            </w:r>
            <w:r>
              <w:rPr>
                <w:rFonts w:hint="eastAsia" w:ascii="宋体" w:hAnsi="宋体" w:cs="宋体"/>
                <w:color w:val="auto"/>
                <w:sz w:val="21"/>
                <w:szCs w:val="21"/>
                <w:highlight w:val="none"/>
              </w:rPr>
              <w:t>点30分（北京时间）</w:t>
            </w:r>
            <w:r>
              <w:rPr>
                <w:rFonts w:hint="eastAsia" w:ascii="宋体" w:hAnsi="宋体" w:cs="宋体"/>
                <w:color w:val="auto"/>
                <w:sz w:val="21"/>
                <w:szCs w:val="21"/>
                <w:highlight w:val="none"/>
              </w:rPr>
              <w:t xml:space="preserve"> </w:t>
            </w:r>
          </w:p>
        </w:tc>
      </w:tr>
      <w:tr w14:paraId="7DD21334">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1358" w:hRule="atLeast"/>
          <w:jc w:val="center"/>
        </w:trPr>
        <w:tc>
          <w:tcPr>
            <w:tcW w:w="660" w:type="dxa"/>
            <w:tcBorders>
              <w:top w:val="single" w:color="000000" w:sz="6" w:space="0"/>
              <w:left w:val="single" w:color="000000" w:sz="6" w:space="0"/>
              <w:bottom w:val="single" w:color="000000" w:sz="6" w:space="0"/>
              <w:right w:val="single" w:color="000000" w:sz="6" w:space="0"/>
            </w:tcBorders>
            <w:vAlign w:val="center"/>
          </w:tcPr>
          <w:p w14:paraId="139CA5B3">
            <w:pPr>
              <w:widowControl w:val="0"/>
              <w:spacing w:before="120" w:after="120"/>
              <w:jc w:val="center"/>
              <w:rPr>
                <w:rFonts w:ascii="宋体" w:hAnsi="宋体" w:cs="宋体"/>
                <w:color w:val="auto"/>
                <w:sz w:val="21"/>
                <w:szCs w:val="21"/>
                <w:highlight w:val="none"/>
                <w:lang w:val="zh-CN"/>
              </w:rPr>
            </w:pPr>
            <w:r>
              <w:rPr>
                <w:rFonts w:hint="eastAsia" w:ascii="宋体" w:hAnsi="宋体" w:cs="宋体"/>
                <w:color w:val="auto"/>
                <w:sz w:val="21"/>
                <w:szCs w:val="21"/>
                <w:highlight w:val="none"/>
              </w:rPr>
              <w:t>10</w:t>
            </w:r>
          </w:p>
        </w:tc>
        <w:tc>
          <w:tcPr>
            <w:tcW w:w="1770" w:type="dxa"/>
            <w:tcBorders>
              <w:top w:val="single" w:color="000000" w:sz="6" w:space="0"/>
              <w:left w:val="single" w:color="000000" w:sz="6" w:space="0"/>
              <w:bottom w:val="single" w:color="000000" w:sz="6" w:space="0"/>
              <w:right w:val="single" w:color="000000" w:sz="6" w:space="0"/>
            </w:tcBorders>
            <w:vAlign w:val="center"/>
          </w:tcPr>
          <w:p w14:paraId="08CCD139">
            <w:pPr>
              <w:jc w:val="both"/>
              <w:rPr>
                <w:rFonts w:ascii="宋体" w:hAnsi="宋体" w:cs="宋体"/>
                <w:color w:val="auto"/>
                <w:sz w:val="21"/>
                <w:szCs w:val="21"/>
                <w:highlight w:val="none"/>
              </w:rPr>
            </w:pPr>
            <w:r>
              <w:rPr>
                <w:rFonts w:hint="eastAsia" w:ascii="宋体" w:hAnsi="宋体" w:cs="宋体"/>
                <w:color w:val="auto"/>
                <w:sz w:val="21"/>
                <w:szCs w:val="21"/>
                <w:highlight w:val="none"/>
              </w:rPr>
              <w:t>开标时间</w:t>
            </w:r>
          </w:p>
          <w:p w14:paraId="32FE7BE5">
            <w:pPr>
              <w:widowControl w:val="0"/>
              <w:spacing w:before="120" w:after="120"/>
              <w:jc w:val="both"/>
              <w:rPr>
                <w:rFonts w:ascii="宋体" w:hAnsi="宋体" w:cs="宋体"/>
                <w:color w:val="auto"/>
                <w:sz w:val="21"/>
                <w:szCs w:val="21"/>
                <w:highlight w:val="none"/>
                <w:lang w:val="zh-CN"/>
              </w:rPr>
            </w:pPr>
            <w:r>
              <w:rPr>
                <w:rFonts w:hint="eastAsia" w:ascii="宋体" w:hAnsi="宋体" w:cs="宋体"/>
                <w:color w:val="auto"/>
                <w:sz w:val="21"/>
                <w:szCs w:val="21"/>
                <w:highlight w:val="none"/>
              </w:rPr>
              <w:t>开标地点</w:t>
            </w:r>
          </w:p>
        </w:tc>
        <w:tc>
          <w:tcPr>
            <w:tcW w:w="7538" w:type="dxa"/>
            <w:tcBorders>
              <w:top w:val="single" w:color="000000" w:sz="6" w:space="0"/>
              <w:left w:val="single" w:color="000000" w:sz="6" w:space="0"/>
              <w:bottom w:val="single" w:color="000000" w:sz="6" w:space="0"/>
              <w:right w:val="single" w:color="000000" w:sz="6" w:space="0"/>
            </w:tcBorders>
            <w:vAlign w:val="center"/>
          </w:tcPr>
          <w:p w14:paraId="5A1A2182">
            <w:pPr>
              <w:widowControl w:val="0"/>
              <w:spacing w:before="120" w:after="120"/>
              <w:jc w:val="both"/>
              <w:rPr>
                <w:rFonts w:ascii="宋体" w:hAnsi="宋体" w:cs="宋体"/>
                <w:color w:val="auto"/>
                <w:sz w:val="21"/>
                <w:szCs w:val="21"/>
                <w:highlight w:val="none"/>
              </w:rPr>
            </w:pPr>
            <w:r>
              <w:rPr>
                <w:rFonts w:hint="eastAsia" w:ascii="宋体" w:hAnsi="宋体" w:cs="宋体"/>
                <w:color w:val="auto"/>
                <w:sz w:val="21"/>
                <w:szCs w:val="21"/>
                <w:highlight w:val="none"/>
              </w:rPr>
              <w:t>2026年</w:t>
            </w:r>
            <w:r>
              <w:rPr>
                <w:rFonts w:hint="eastAsia" w:ascii="宋体" w:hAnsi="宋体" w:cs="宋体"/>
                <w:color w:val="auto"/>
                <w:sz w:val="21"/>
                <w:szCs w:val="21"/>
                <w:highlight w:val="none"/>
                <w:lang w:val="en-US" w:eastAsia="zh-CN"/>
              </w:rPr>
              <w:t>10</w:t>
            </w:r>
            <w:r>
              <w:rPr>
                <w:rFonts w:hint="eastAsia" w:ascii="宋体" w:hAnsi="宋体" w:cs="宋体"/>
                <w:color w:val="auto"/>
                <w:sz w:val="21"/>
                <w:szCs w:val="21"/>
                <w:highlight w:val="none"/>
              </w:rPr>
              <w:t>月</w:t>
            </w:r>
            <w:r>
              <w:rPr>
                <w:rFonts w:hint="eastAsia" w:ascii="宋体" w:hAnsi="宋体" w:cs="宋体"/>
                <w:color w:val="auto"/>
                <w:sz w:val="21"/>
                <w:szCs w:val="21"/>
                <w:highlight w:val="none"/>
                <w:lang w:val="en-US" w:eastAsia="zh-CN"/>
              </w:rPr>
              <w:t>12</w:t>
            </w:r>
            <w:r>
              <w:rPr>
                <w:rFonts w:hint="eastAsia" w:ascii="宋体" w:hAnsi="宋体" w:cs="宋体"/>
                <w:color w:val="auto"/>
                <w:sz w:val="21"/>
                <w:szCs w:val="21"/>
                <w:highlight w:val="none"/>
              </w:rPr>
              <w:t>日</w:t>
            </w:r>
            <w:r>
              <w:rPr>
                <w:rFonts w:hint="eastAsia" w:ascii="宋体" w:hAnsi="宋体" w:cs="宋体"/>
                <w:color w:val="auto"/>
                <w:sz w:val="21"/>
                <w:szCs w:val="21"/>
                <w:highlight w:val="none"/>
                <w:lang w:val="en-US" w:eastAsia="zh-CN"/>
              </w:rPr>
              <w:t>9</w:t>
            </w:r>
            <w:r>
              <w:rPr>
                <w:rFonts w:hint="eastAsia" w:ascii="宋体" w:hAnsi="宋体" w:cs="宋体"/>
                <w:color w:val="auto"/>
                <w:sz w:val="21"/>
                <w:szCs w:val="21"/>
                <w:highlight w:val="none"/>
              </w:rPr>
              <w:t xml:space="preserve">点30分（北京时间） </w:t>
            </w:r>
          </w:p>
          <w:p w14:paraId="6C8F5DCC">
            <w:pPr>
              <w:widowControl w:val="0"/>
              <w:spacing w:before="120" w:after="120"/>
              <w:jc w:val="both"/>
              <w:rPr>
                <w:rFonts w:ascii="宋体" w:hAnsi="宋体" w:cs="宋体"/>
                <w:color w:val="auto"/>
                <w:sz w:val="21"/>
                <w:szCs w:val="21"/>
                <w:highlight w:val="none"/>
              </w:rPr>
            </w:pPr>
            <w:r>
              <w:rPr>
                <w:rFonts w:hint="eastAsia" w:ascii="宋体" w:hAnsi="宋体" w:cs="宋体"/>
                <w:color w:val="auto"/>
                <w:sz w:val="21"/>
                <w:szCs w:val="21"/>
                <w:highlight w:val="none"/>
              </w:rPr>
              <w:t>“苏采云”系统（网址：</w:t>
            </w:r>
            <w:r>
              <w:rPr>
                <w:color w:val="auto"/>
                <w:highlight w:val="none"/>
              </w:rPr>
              <w:fldChar w:fldCharType="begin"/>
            </w:r>
            <w:r>
              <w:rPr>
                <w:color w:val="auto"/>
                <w:highlight w:val="none"/>
              </w:rPr>
              <w:instrText xml:space="preserve"> HYPERLINK "http://jszfcg.jsczt.cn/）" </w:instrText>
            </w:r>
            <w:r>
              <w:rPr>
                <w:color w:val="auto"/>
                <w:highlight w:val="none"/>
              </w:rPr>
              <w:fldChar w:fldCharType="separate"/>
            </w:r>
            <w:r>
              <w:rPr>
                <w:rStyle w:val="64"/>
                <w:rFonts w:hint="eastAsia" w:ascii="宋体" w:hAnsi="宋体" w:cs="宋体"/>
                <w:color w:val="auto"/>
                <w:sz w:val="21"/>
                <w:szCs w:val="21"/>
                <w:highlight w:val="none"/>
              </w:rPr>
              <w:t>http://jszfcg.jsczt.cn/）</w:t>
            </w:r>
            <w:r>
              <w:rPr>
                <w:rStyle w:val="64"/>
                <w:rFonts w:hint="eastAsia" w:ascii="宋体" w:hAnsi="宋体" w:cs="宋体"/>
                <w:color w:val="auto"/>
                <w:sz w:val="21"/>
                <w:szCs w:val="21"/>
                <w:highlight w:val="none"/>
              </w:rPr>
              <w:fldChar w:fldCharType="end"/>
            </w:r>
          </w:p>
          <w:p w14:paraId="4E5B850F">
            <w:pPr>
              <w:widowControl w:val="0"/>
              <w:spacing w:before="120" w:after="120"/>
              <w:jc w:val="both"/>
              <w:rPr>
                <w:rFonts w:ascii="宋体" w:hAnsi="宋体" w:cs="宋体"/>
                <w:color w:val="auto"/>
                <w:sz w:val="21"/>
                <w:szCs w:val="21"/>
                <w:highlight w:val="none"/>
              </w:rPr>
            </w:pPr>
            <w:r>
              <w:rPr>
                <w:rFonts w:hint="eastAsia" w:ascii="宋体" w:hAnsi="宋体"/>
                <w:b/>
                <w:color w:val="auto"/>
                <w:sz w:val="21"/>
                <w:szCs w:val="21"/>
                <w:highlight w:val="none"/>
              </w:rPr>
              <w:t>本项目为不见面开标项目，开启阶段投标人在【解密环节】必须使用CA证书解密电子投标文件，如在“苏采云”系统规定的时间（投标文件提交截止时间后30分钟）内未能成功解密的视为放弃参与本项目，投标无效。</w:t>
            </w:r>
          </w:p>
        </w:tc>
      </w:tr>
      <w:tr w14:paraId="490B5C26">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jc w:val="center"/>
        </w:trPr>
        <w:tc>
          <w:tcPr>
            <w:tcW w:w="660" w:type="dxa"/>
            <w:tcBorders>
              <w:top w:val="single" w:color="000000" w:sz="6" w:space="0"/>
              <w:left w:val="single" w:color="000000" w:sz="6" w:space="0"/>
              <w:bottom w:val="single" w:color="000000" w:sz="6" w:space="0"/>
              <w:right w:val="single" w:color="000000" w:sz="6" w:space="0"/>
            </w:tcBorders>
            <w:vAlign w:val="center"/>
          </w:tcPr>
          <w:p w14:paraId="52C9E73D">
            <w:pPr>
              <w:widowControl w:val="0"/>
              <w:spacing w:before="120" w:after="120"/>
              <w:jc w:val="center"/>
              <w:rPr>
                <w:rFonts w:ascii="宋体" w:hAnsi="宋体" w:cs="宋体"/>
                <w:color w:val="auto"/>
                <w:sz w:val="21"/>
                <w:szCs w:val="21"/>
                <w:highlight w:val="none"/>
              </w:rPr>
            </w:pPr>
            <w:r>
              <w:rPr>
                <w:rFonts w:hint="eastAsia" w:ascii="宋体" w:hAnsi="宋体" w:cs="宋体"/>
                <w:color w:val="auto"/>
                <w:sz w:val="21"/>
                <w:szCs w:val="21"/>
                <w:highlight w:val="none"/>
              </w:rPr>
              <w:t>11</w:t>
            </w:r>
          </w:p>
        </w:tc>
        <w:tc>
          <w:tcPr>
            <w:tcW w:w="1770" w:type="dxa"/>
            <w:tcBorders>
              <w:top w:val="single" w:color="000000" w:sz="6" w:space="0"/>
              <w:left w:val="single" w:color="000000" w:sz="6" w:space="0"/>
              <w:bottom w:val="single" w:color="000000" w:sz="6" w:space="0"/>
              <w:right w:val="single" w:color="000000" w:sz="6" w:space="0"/>
            </w:tcBorders>
            <w:vAlign w:val="center"/>
          </w:tcPr>
          <w:p w14:paraId="4E233CE7">
            <w:pPr>
              <w:widowControl w:val="0"/>
              <w:spacing w:before="120" w:after="120"/>
              <w:jc w:val="both"/>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评分标准及评标方法</w:t>
            </w:r>
          </w:p>
        </w:tc>
        <w:tc>
          <w:tcPr>
            <w:tcW w:w="7538" w:type="dxa"/>
            <w:tcBorders>
              <w:top w:val="single" w:color="000000" w:sz="6" w:space="0"/>
              <w:left w:val="single" w:color="000000" w:sz="6" w:space="0"/>
              <w:bottom w:val="single" w:color="000000" w:sz="6" w:space="0"/>
              <w:right w:val="single" w:color="000000" w:sz="6" w:space="0"/>
            </w:tcBorders>
            <w:vAlign w:val="center"/>
          </w:tcPr>
          <w:p w14:paraId="1902CF66">
            <w:pPr>
              <w:widowControl w:val="0"/>
              <w:spacing w:before="120" w:after="120"/>
              <w:jc w:val="both"/>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综合评分法</w:t>
            </w:r>
            <w:r>
              <w:rPr>
                <w:rFonts w:hint="eastAsia" w:ascii="宋体" w:hAnsi="宋体" w:cs="宋体"/>
                <w:color w:val="auto"/>
                <w:sz w:val="21"/>
                <w:szCs w:val="21"/>
                <w:highlight w:val="none"/>
              </w:rPr>
              <w:t>，是指投标文件满足招标文件全部实质性要求，且按照评审因素的量化指标评审得分最高的投标人作为排名第一的中标候选人的评标方法</w:t>
            </w:r>
            <w:r>
              <w:rPr>
                <w:rFonts w:hint="eastAsia" w:ascii="宋体" w:hAnsi="宋体" w:cs="宋体"/>
                <w:color w:val="auto"/>
                <w:sz w:val="21"/>
                <w:szCs w:val="21"/>
                <w:highlight w:val="none"/>
                <w:lang w:val="zh-CN"/>
              </w:rPr>
              <w:t>，详见招标文件第七章。</w:t>
            </w:r>
          </w:p>
        </w:tc>
      </w:tr>
      <w:tr w14:paraId="31DB3520">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794" w:hRule="atLeast"/>
          <w:jc w:val="center"/>
        </w:trPr>
        <w:tc>
          <w:tcPr>
            <w:tcW w:w="660" w:type="dxa"/>
            <w:tcBorders>
              <w:top w:val="single" w:color="000000" w:sz="6" w:space="0"/>
              <w:left w:val="single" w:color="000000" w:sz="6" w:space="0"/>
              <w:bottom w:val="single" w:color="000000" w:sz="6" w:space="0"/>
              <w:right w:val="single" w:color="000000" w:sz="6" w:space="0"/>
            </w:tcBorders>
            <w:vAlign w:val="center"/>
          </w:tcPr>
          <w:p w14:paraId="78220FE6">
            <w:pPr>
              <w:widowControl w:val="0"/>
              <w:spacing w:before="120" w:after="120"/>
              <w:jc w:val="center"/>
              <w:rPr>
                <w:rFonts w:ascii="宋体" w:hAnsi="宋体" w:cs="宋体"/>
                <w:color w:val="auto"/>
                <w:sz w:val="21"/>
                <w:szCs w:val="21"/>
                <w:highlight w:val="none"/>
              </w:rPr>
            </w:pPr>
            <w:r>
              <w:rPr>
                <w:rFonts w:hint="eastAsia" w:ascii="宋体" w:hAnsi="宋体" w:cs="宋体"/>
                <w:color w:val="auto"/>
                <w:sz w:val="21"/>
                <w:szCs w:val="21"/>
                <w:highlight w:val="none"/>
              </w:rPr>
              <w:t>12</w:t>
            </w:r>
          </w:p>
        </w:tc>
        <w:tc>
          <w:tcPr>
            <w:tcW w:w="1770" w:type="dxa"/>
            <w:tcBorders>
              <w:top w:val="single" w:color="000000" w:sz="6" w:space="0"/>
              <w:left w:val="single" w:color="000000" w:sz="6" w:space="0"/>
              <w:bottom w:val="single" w:color="000000" w:sz="6" w:space="0"/>
              <w:right w:val="single" w:color="000000" w:sz="6" w:space="0"/>
            </w:tcBorders>
            <w:vAlign w:val="center"/>
          </w:tcPr>
          <w:p w14:paraId="22D9710D">
            <w:pPr>
              <w:widowControl w:val="0"/>
              <w:spacing w:before="120" w:after="120"/>
              <w:jc w:val="both"/>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中标（未中标）通知书</w:t>
            </w:r>
          </w:p>
        </w:tc>
        <w:tc>
          <w:tcPr>
            <w:tcW w:w="7538" w:type="dxa"/>
            <w:tcBorders>
              <w:top w:val="single" w:color="000000" w:sz="6" w:space="0"/>
              <w:left w:val="single" w:color="000000" w:sz="6" w:space="0"/>
              <w:bottom w:val="single" w:color="000000" w:sz="6" w:space="0"/>
              <w:right w:val="single" w:color="000000" w:sz="6" w:space="0"/>
            </w:tcBorders>
            <w:vAlign w:val="center"/>
          </w:tcPr>
          <w:p w14:paraId="3856D70A">
            <w:pPr>
              <w:rPr>
                <w:rFonts w:ascii="宋体" w:hAnsi="宋体" w:cs="宋体"/>
                <w:color w:val="auto"/>
                <w:sz w:val="21"/>
                <w:szCs w:val="21"/>
                <w:highlight w:val="none"/>
              </w:rPr>
            </w:pPr>
            <w:r>
              <w:rPr>
                <w:rFonts w:hint="eastAsia" w:ascii="宋体" w:hAnsi="宋体" w:cs="宋体"/>
                <w:color w:val="auto"/>
                <w:sz w:val="21"/>
                <w:szCs w:val="21"/>
                <w:highlight w:val="none"/>
              </w:rPr>
              <w:t>确定出中标人后，采购代理机构在法定时间内向中标人发出中标通知书。中标通知书将成为合同的组成部分。</w:t>
            </w:r>
          </w:p>
          <w:p w14:paraId="322C0CBB">
            <w:pPr>
              <w:rPr>
                <w:rFonts w:ascii="宋体" w:hAnsi="宋体" w:cs="宋体"/>
                <w:b/>
                <w:bCs/>
                <w:color w:val="auto"/>
                <w:sz w:val="21"/>
                <w:szCs w:val="21"/>
                <w:highlight w:val="none"/>
              </w:rPr>
            </w:pPr>
            <w:r>
              <w:rPr>
                <w:rFonts w:hint="eastAsia" w:ascii="宋体" w:hAnsi="宋体" w:cs="宋体"/>
                <w:b/>
                <w:bCs/>
                <w:color w:val="auto"/>
                <w:sz w:val="21"/>
                <w:szCs w:val="21"/>
                <w:highlight w:val="none"/>
              </w:rPr>
              <w:t>请中标人在中标结果公告届满之日起30日内,使用CA证书登录“苏采云”系统及时下载中标通知书。</w:t>
            </w:r>
          </w:p>
          <w:p w14:paraId="545BB027">
            <w:pPr>
              <w:rPr>
                <w:rFonts w:ascii="宋体" w:hAnsi="宋体" w:cs="宋体"/>
                <w:color w:val="auto"/>
                <w:sz w:val="21"/>
                <w:szCs w:val="21"/>
                <w:highlight w:val="none"/>
              </w:rPr>
            </w:pPr>
            <w:r>
              <w:rPr>
                <w:rFonts w:hint="eastAsia" w:ascii="宋体" w:hAnsi="宋体" w:cs="宋体"/>
                <w:color w:val="auto"/>
                <w:sz w:val="21"/>
                <w:szCs w:val="21"/>
                <w:highlight w:val="none"/>
              </w:rPr>
              <w:t>采购代理机构向未中标人以电子邮件形式发放未中标通知书，电子邮箱以投标人提交的投标函中登记注明的电子邮箱为准，投标人未登记注明电子邮箱的，视为自动放弃获知相关信息权利并承担相应后果。</w:t>
            </w:r>
          </w:p>
        </w:tc>
      </w:tr>
      <w:tr w14:paraId="4EE87BF6">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476" w:hRule="atLeast"/>
          <w:jc w:val="center"/>
        </w:trPr>
        <w:tc>
          <w:tcPr>
            <w:tcW w:w="660" w:type="dxa"/>
            <w:tcBorders>
              <w:top w:val="single" w:color="000000" w:sz="6" w:space="0"/>
              <w:left w:val="single" w:color="000000" w:sz="6" w:space="0"/>
              <w:bottom w:val="single" w:color="000000" w:sz="6" w:space="0"/>
              <w:right w:val="single" w:color="000000" w:sz="6" w:space="0"/>
            </w:tcBorders>
            <w:vAlign w:val="center"/>
          </w:tcPr>
          <w:p w14:paraId="39AEC859">
            <w:pPr>
              <w:widowControl w:val="0"/>
              <w:spacing w:before="120" w:after="120"/>
              <w:jc w:val="center"/>
              <w:rPr>
                <w:rFonts w:ascii="宋体" w:hAnsi="宋体" w:cs="宋体"/>
                <w:color w:val="auto"/>
                <w:sz w:val="21"/>
                <w:szCs w:val="21"/>
                <w:highlight w:val="none"/>
              </w:rPr>
            </w:pPr>
            <w:r>
              <w:rPr>
                <w:rFonts w:hint="eastAsia" w:ascii="宋体" w:hAnsi="宋体" w:cs="宋体"/>
                <w:color w:val="auto"/>
                <w:sz w:val="21"/>
                <w:szCs w:val="21"/>
                <w:highlight w:val="none"/>
              </w:rPr>
              <w:t>13</w:t>
            </w:r>
          </w:p>
        </w:tc>
        <w:tc>
          <w:tcPr>
            <w:tcW w:w="1770" w:type="dxa"/>
            <w:tcBorders>
              <w:top w:val="single" w:color="000000" w:sz="6" w:space="0"/>
              <w:left w:val="single" w:color="000000" w:sz="6" w:space="0"/>
              <w:bottom w:val="single" w:color="000000" w:sz="6" w:space="0"/>
              <w:right w:val="single" w:color="000000" w:sz="6" w:space="0"/>
            </w:tcBorders>
            <w:vAlign w:val="center"/>
          </w:tcPr>
          <w:p w14:paraId="55EC9764">
            <w:pPr>
              <w:widowControl w:val="0"/>
              <w:spacing w:before="120" w:after="120"/>
              <w:jc w:val="both"/>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代理服务费</w:t>
            </w:r>
          </w:p>
        </w:tc>
        <w:tc>
          <w:tcPr>
            <w:tcW w:w="7538" w:type="dxa"/>
            <w:tcBorders>
              <w:top w:val="single" w:color="000000" w:sz="6" w:space="0"/>
              <w:left w:val="single" w:color="000000" w:sz="6" w:space="0"/>
              <w:bottom w:val="single" w:color="000000" w:sz="6" w:space="0"/>
              <w:right w:val="single" w:color="000000" w:sz="6" w:space="0"/>
            </w:tcBorders>
            <w:vAlign w:val="center"/>
          </w:tcPr>
          <w:p w14:paraId="44E52FD1">
            <w:pPr>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本项目代理服务费由采购人支付。</w:t>
            </w:r>
          </w:p>
          <w:p w14:paraId="1F304119">
            <w:pPr>
              <w:rPr>
                <w:rFonts w:ascii="宋体" w:hAnsi="宋体" w:cs="宋体"/>
                <w:color w:val="auto"/>
                <w:sz w:val="21"/>
                <w:szCs w:val="21"/>
                <w:highlight w:val="none"/>
              </w:rPr>
            </w:pPr>
            <w:r>
              <w:rPr>
                <w:rFonts w:hint="eastAsia" w:ascii="宋体" w:hAnsi="宋体" w:cs="宋体"/>
                <w:color w:val="auto"/>
                <w:sz w:val="21"/>
                <w:szCs w:val="21"/>
                <w:highlight w:val="none"/>
              </w:rPr>
              <w:t>具体收费以如下比例按差额定率累进法进行计算：</w:t>
            </w:r>
          </w:p>
          <w:p w14:paraId="05CD53F0">
            <w:pPr>
              <w:rPr>
                <w:rFonts w:ascii="宋体" w:hAnsi="宋体" w:cs="宋体"/>
                <w:color w:val="auto"/>
                <w:sz w:val="21"/>
                <w:szCs w:val="21"/>
                <w:highlight w:val="none"/>
              </w:rPr>
            </w:pPr>
            <w:r>
              <w:rPr>
                <w:rFonts w:hint="eastAsia" w:ascii="宋体" w:hAnsi="宋体" w:cs="宋体"/>
                <w:color w:val="auto"/>
                <w:sz w:val="21"/>
                <w:szCs w:val="21"/>
                <w:highlight w:val="none"/>
              </w:rPr>
              <w:t>预算金额100万元以下部分按该部分预算金额的1.5%计算；</w:t>
            </w:r>
          </w:p>
          <w:p w14:paraId="133E602B">
            <w:pPr>
              <w:rPr>
                <w:rFonts w:ascii="宋体" w:hAnsi="宋体" w:cs="宋体"/>
                <w:color w:val="auto"/>
                <w:sz w:val="21"/>
                <w:szCs w:val="21"/>
                <w:highlight w:val="none"/>
              </w:rPr>
            </w:pPr>
            <w:r>
              <w:rPr>
                <w:rFonts w:hint="eastAsia" w:ascii="宋体" w:hAnsi="宋体" w:cs="宋体"/>
                <w:color w:val="auto"/>
                <w:sz w:val="21"/>
                <w:szCs w:val="21"/>
                <w:highlight w:val="none"/>
              </w:rPr>
              <w:t>预算金额100（含）～500万元部分按该部分预算金额的1.1%计算；</w:t>
            </w:r>
          </w:p>
          <w:p w14:paraId="6B1FEB2C">
            <w:pPr>
              <w:rPr>
                <w:rFonts w:ascii="宋体" w:hAnsi="宋体" w:cs="宋体"/>
                <w:color w:val="auto"/>
                <w:sz w:val="21"/>
                <w:szCs w:val="21"/>
                <w:highlight w:val="none"/>
              </w:rPr>
            </w:pPr>
            <w:r>
              <w:rPr>
                <w:rFonts w:hint="eastAsia" w:ascii="宋体" w:hAnsi="宋体" w:cs="宋体"/>
                <w:color w:val="auto"/>
                <w:sz w:val="21"/>
                <w:szCs w:val="21"/>
                <w:highlight w:val="none"/>
              </w:rPr>
              <w:t>预算金额500（含）～1000万元部分按该部分预算金额的0.8%计算；</w:t>
            </w:r>
          </w:p>
          <w:p w14:paraId="4E64AB78">
            <w:pPr>
              <w:rPr>
                <w:rFonts w:ascii="宋体" w:hAnsi="宋体" w:cs="宋体"/>
                <w:color w:val="auto"/>
                <w:sz w:val="21"/>
                <w:szCs w:val="21"/>
                <w:highlight w:val="none"/>
              </w:rPr>
            </w:pPr>
            <w:r>
              <w:rPr>
                <w:rFonts w:hint="eastAsia" w:ascii="宋体" w:hAnsi="宋体" w:cs="宋体"/>
                <w:color w:val="auto"/>
                <w:sz w:val="21"/>
                <w:szCs w:val="21"/>
                <w:highlight w:val="none"/>
              </w:rPr>
              <w:t>预算金额1000（含）～5000万元部分按该部分预算金额的0.5%计算；</w:t>
            </w:r>
          </w:p>
          <w:p w14:paraId="32CC5996">
            <w:pPr>
              <w:rPr>
                <w:rFonts w:ascii="宋体" w:hAnsi="宋体" w:cs="宋体"/>
                <w:color w:val="auto"/>
                <w:sz w:val="21"/>
                <w:szCs w:val="21"/>
                <w:highlight w:val="none"/>
              </w:rPr>
            </w:pPr>
            <w:r>
              <w:rPr>
                <w:rFonts w:hint="eastAsia" w:ascii="宋体" w:hAnsi="宋体" w:cs="宋体"/>
                <w:color w:val="auto"/>
                <w:sz w:val="21"/>
                <w:szCs w:val="21"/>
                <w:highlight w:val="none"/>
              </w:rPr>
              <w:t>预算金额5000万元以上部分按该部分预算金额的0.25%计算；</w:t>
            </w:r>
          </w:p>
          <w:p w14:paraId="2C6F72D1">
            <w:pPr>
              <w:rPr>
                <w:rFonts w:ascii="宋体" w:hAnsi="宋体" w:cs="宋体"/>
                <w:color w:val="auto"/>
                <w:sz w:val="21"/>
                <w:szCs w:val="21"/>
                <w:highlight w:val="none"/>
              </w:rPr>
            </w:pPr>
            <w:r>
              <w:rPr>
                <w:rFonts w:hint="eastAsia" w:ascii="宋体" w:hAnsi="宋体" w:cs="宋体"/>
                <w:color w:val="auto"/>
                <w:sz w:val="21"/>
                <w:szCs w:val="21"/>
                <w:highlight w:val="none"/>
              </w:rPr>
              <w:t>如按上述方法计算的金额低于人民币3000元的，则代理服务费按人民币3000元计取。本项目代理服务费</w:t>
            </w:r>
            <w:r>
              <w:rPr>
                <w:rFonts w:hint="eastAsia" w:ascii="宋体" w:hAnsi="宋体" w:cs="宋体"/>
                <w:color w:val="auto"/>
                <w:sz w:val="21"/>
                <w:szCs w:val="21"/>
                <w:highlight w:val="none"/>
                <w:lang w:val="en-US" w:eastAsia="zh-CN"/>
              </w:rPr>
              <w:t>折扣后</w:t>
            </w:r>
            <w:r>
              <w:rPr>
                <w:rFonts w:hint="eastAsia" w:ascii="宋体" w:hAnsi="宋体" w:cs="宋体"/>
                <w:color w:val="auto"/>
                <w:sz w:val="21"/>
                <w:szCs w:val="21"/>
                <w:highlight w:val="none"/>
              </w:rPr>
              <w:t>为51600元。</w:t>
            </w:r>
          </w:p>
          <w:p w14:paraId="571D7CE5">
            <w:pPr>
              <w:rPr>
                <w:rFonts w:ascii="宋体" w:hAnsi="宋体" w:cs="宋体"/>
                <w:color w:val="auto"/>
                <w:sz w:val="21"/>
                <w:szCs w:val="21"/>
                <w:highlight w:val="none"/>
              </w:rPr>
            </w:pPr>
            <w:r>
              <w:rPr>
                <w:rFonts w:hint="eastAsia" w:ascii="宋体" w:hAnsi="宋体" w:cs="宋体"/>
                <w:color w:val="auto"/>
                <w:sz w:val="21"/>
                <w:szCs w:val="21"/>
                <w:highlight w:val="none"/>
              </w:rPr>
              <w:t>收款单位：</w:t>
            </w:r>
            <w:r>
              <w:rPr>
                <w:rFonts w:hint="eastAsia" w:ascii="宋体" w:hAnsi="宋体" w:cs="宋体"/>
                <w:color w:val="auto"/>
                <w:sz w:val="21"/>
                <w:szCs w:val="21"/>
                <w:highlight w:val="none"/>
                <w:lang w:eastAsia="zh-CN"/>
              </w:rPr>
              <w:t>众鑫工程管理（苏州）有限公司</w:t>
            </w:r>
          </w:p>
          <w:p w14:paraId="4B9E7561">
            <w:pPr>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rPr>
              <w:t>银行账号：</w:t>
            </w:r>
            <w:r>
              <w:rPr>
                <w:rFonts w:hint="eastAsia" w:ascii="宋体" w:hAnsi="宋体" w:cs="宋体"/>
                <w:color w:val="auto"/>
                <w:sz w:val="21"/>
                <w:szCs w:val="21"/>
                <w:highlight w:val="none"/>
                <w:lang w:val="en-US" w:eastAsia="zh-CN"/>
              </w:rPr>
              <w:t>32201988740051501317</w:t>
            </w:r>
          </w:p>
          <w:p w14:paraId="21531D64">
            <w:pPr>
              <w:rPr>
                <w:rFonts w:ascii="宋体" w:hAnsi="宋体" w:cs="宋体"/>
                <w:color w:val="auto"/>
                <w:sz w:val="21"/>
                <w:szCs w:val="21"/>
                <w:highlight w:val="none"/>
              </w:rPr>
            </w:pPr>
            <w:r>
              <w:rPr>
                <w:rFonts w:hint="eastAsia" w:ascii="宋体" w:hAnsi="宋体" w:cs="宋体"/>
                <w:color w:val="auto"/>
                <w:sz w:val="21"/>
                <w:szCs w:val="21"/>
                <w:highlight w:val="none"/>
              </w:rPr>
              <w:t>开户银行</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建行苏州三香路支行</w:t>
            </w:r>
          </w:p>
        </w:tc>
      </w:tr>
      <w:tr w14:paraId="4CDB3CFF">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1348" w:hRule="atLeast"/>
          <w:jc w:val="center"/>
        </w:trPr>
        <w:tc>
          <w:tcPr>
            <w:tcW w:w="660" w:type="dxa"/>
            <w:tcBorders>
              <w:top w:val="single" w:color="000000" w:sz="6" w:space="0"/>
              <w:left w:val="single" w:color="000000" w:sz="6" w:space="0"/>
              <w:bottom w:val="single" w:color="000000" w:sz="6" w:space="0"/>
              <w:right w:val="single" w:color="000000" w:sz="6" w:space="0"/>
            </w:tcBorders>
            <w:vAlign w:val="center"/>
          </w:tcPr>
          <w:p w14:paraId="6DCBB298">
            <w:pPr>
              <w:widowControl w:val="0"/>
              <w:spacing w:before="120" w:after="120"/>
              <w:jc w:val="center"/>
              <w:rPr>
                <w:rFonts w:ascii="宋体" w:hAnsi="宋体" w:cs="宋体"/>
                <w:color w:val="auto"/>
                <w:sz w:val="21"/>
                <w:szCs w:val="21"/>
                <w:highlight w:val="none"/>
              </w:rPr>
            </w:pPr>
            <w:r>
              <w:rPr>
                <w:rFonts w:hint="eastAsia" w:ascii="宋体" w:hAnsi="宋体" w:cs="宋体"/>
                <w:color w:val="auto"/>
                <w:sz w:val="21"/>
                <w:szCs w:val="21"/>
                <w:highlight w:val="none"/>
              </w:rPr>
              <w:t>14</w:t>
            </w:r>
          </w:p>
        </w:tc>
        <w:tc>
          <w:tcPr>
            <w:tcW w:w="1770" w:type="dxa"/>
            <w:tcBorders>
              <w:top w:val="single" w:color="000000" w:sz="6" w:space="0"/>
              <w:left w:val="single" w:color="000000" w:sz="6" w:space="0"/>
              <w:bottom w:val="single" w:color="000000" w:sz="6" w:space="0"/>
              <w:right w:val="single" w:color="000000" w:sz="6" w:space="0"/>
            </w:tcBorders>
            <w:vAlign w:val="center"/>
          </w:tcPr>
          <w:p w14:paraId="4D0E1F38">
            <w:pPr>
              <w:widowControl w:val="0"/>
              <w:spacing w:before="120" w:after="120"/>
              <w:jc w:val="both"/>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导致废标因素</w:t>
            </w:r>
          </w:p>
        </w:tc>
        <w:tc>
          <w:tcPr>
            <w:tcW w:w="7538" w:type="dxa"/>
            <w:tcBorders>
              <w:top w:val="single" w:color="000000" w:sz="6" w:space="0"/>
              <w:left w:val="single" w:color="000000" w:sz="6" w:space="0"/>
              <w:bottom w:val="single" w:color="000000" w:sz="6" w:space="0"/>
              <w:right w:val="single" w:color="000000" w:sz="6" w:space="0"/>
            </w:tcBorders>
            <w:vAlign w:val="center"/>
          </w:tcPr>
          <w:p w14:paraId="2C0FAD64">
            <w:pPr>
              <w:rPr>
                <w:rFonts w:ascii="宋体" w:hAnsi="宋体" w:cs="宋体"/>
                <w:color w:val="auto"/>
                <w:sz w:val="21"/>
                <w:szCs w:val="21"/>
                <w:highlight w:val="none"/>
                <w:lang w:val="zh-CN"/>
              </w:rPr>
            </w:pPr>
            <w:r>
              <w:rPr>
                <w:rFonts w:hint="eastAsia" w:ascii="宋体" w:hAnsi="宋体"/>
                <w:b/>
                <w:bCs/>
                <w:color w:val="auto"/>
                <w:sz w:val="21"/>
                <w:szCs w:val="21"/>
                <w:highlight w:val="none"/>
                <w:lang w:val="zh-CN"/>
              </w:rPr>
              <w:t>在招标过程中，出现下列</w:t>
            </w:r>
            <w:r>
              <w:rPr>
                <w:rFonts w:hint="eastAsia" w:ascii="宋体" w:hAnsi="宋体"/>
                <w:b/>
                <w:bCs/>
                <w:color w:val="auto"/>
                <w:sz w:val="21"/>
                <w:szCs w:val="21"/>
                <w:highlight w:val="none"/>
              </w:rPr>
              <w:t>情形</w:t>
            </w:r>
            <w:r>
              <w:rPr>
                <w:rFonts w:hint="eastAsia" w:ascii="宋体" w:hAnsi="宋体"/>
                <w:b/>
                <w:bCs/>
                <w:color w:val="auto"/>
                <w:sz w:val="21"/>
                <w:szCs w:val="21"/>
                <w:highlight w:val="none"/>
                <w:lang w:val="zh-CN"/>
              </w:rPr>
              <w:t>之一的，应予废标：</w:t>
            </w:r>
          </w:p>
          <w:p w14:paraId="7621013A">
            <w:pPr>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w:t>
            </w:r>
            <w:r>
              <w:rPr>
                <w:rFonts w:hint="eastAsia" w:ascii="宋体" w:hAnsi="宋体" w:cs="宋体"/>
                <w:color w:val="auto"/>
                <w:sz w:val="21"/>
                <w:szCs w:val="21"/>
                <w:highlight w:val="none"/>
              </w:rPr>
              <w:t>1</w:t>
            </w:r>
            <w:r>
              <w:rPr>
                <w:rFonts w:hint="eastAsia" w:ascii="宋体" w:hAnsi="宋体" w:cs="宋体"/>
                <w:color w:val="auto"/>
                <w:sz w:val="21"/>
                <w:szCs w:val="21"/>
                <w:highlight w:val="none"/>
                <w:lang w:val="zh-CN"/>
              </w:rPr>
              <w:t>）符合专业条件的投标人或者对招标文件作实质响应的投标人不足三家的；</w:t>
            </w:r>
          </w:p>
          <w:p w14:paraId="4182AC02">
            <w:pPr>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w:t>
            </w:r>
            <w:r>
              <w:rPr>
                <w:rFonts w:hint="eastAsia" w:ascii="宋体" w:hAnsi="宋体" w:cs="宋体"/>
                <w:color w:val="auto"/>
                <w:sz w:val="21"/>
                <w:szCs w:val="21"/>
                <w:highlight w:val="none"/>
              </w:rPr>
              <w:t>2</w:t>
            </w:r>
            <w:r>
              <w:rPr>
                <w:rFonts w:hint="eastAsia" w:ascii="宋体" w:hAnsi="宋体" w:cs="宋体"/>
                <w:color w:val="auto"/>
                <w:sz w:val="21"/>
                <w:szCs w:val="21"/>
                <w:highlight w:val="none"/>
                <w:lang w:val="zh-CN"/>
              </w:rPr>
              <w:t>）出现影响采购公正的违法、违规行为的；</w:t>
            </w:r>
          </w:p>
          <w:p w14:paraId="6739A267">
            <w:pPr>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w:t>
            </w:r>
            <w:r>
              <w:rPr>
                <w:rFonts w:hint="eastAsia" w:ascii="宋体" w:hAnsi="宋体" w:cs="宋体"/>
                <w:color w:val="auto"/>
                <w:sz w:val="21"/>
                <w:szCs w:val="21"/>
                <w:highlight w:val="none"/>
              </w:rPr>
              <w:t>3</w:t>
            </w:r>
            <w:r>
              <w:rPr>
                <w:rFonts w:hint="eastAsia" w:ascii="宋体" w:hAnsi="宋体" w:cs="宋体"/>
                <w:color w:val="auto"/>
                <w:sz w:val="21"/>
                <w:szCs w:val="21"/>
                <w:highlight w:val="none"/>
                <w:lang w:val="zh-CN"/>
              </w:rPr>
              <w:t>）投标人的报价均超过了</w:t>
            </w:r>
            <w:r>
              <w:rPr>
                <w:rFonts w:hint="eastAsia" w:ascii="宋体" w:hAnsi="宋体" w:cs="宋体"/>
                <w:color w:val="auto"/>
                <w:sz w:val="21"/>
                <w:szCs w:val="21"/>
                <w:highlight w:val="none"/>
              </w:rPr>
              <w:t>预算金额/最高限价</w:t>
            </w:r>
            <w:r>
              <w:rPr>
                <w:rFonts w:hint="eastAsia" w:ascii="宋体" w:hAnsi="宋体" w:cs="宋体"/>
                <w:color w:val="auto"/>
                <w:sz w:val="21"/>
                <w:szCs w:val="21"/>
                <w:highlight w:val="none"/>
                <w:lang w:val="zh-CN"/>
              </w:rPr>
              <w:t>，采购人不能支付的；</w:t>
            </w:r>
          </w:p>
          <w:p w14:paraId="6BB0866D">
            <w:pPr>
              <w:rPr>
                <w:rFonts w:ascii="宋体" w:hAnsi="宋体" w:cs="宋体"/>
                <w:color w:val="auto"/>
                <w:sz w:val="21"/>
                <w:szCs w:val="21"/>
                <w:highlight w:val="none"/>
              </w:rPr>
            </w:pPr>
            <w:r>
              <w:rPr>
                <w:rFonts w:hint="eastAsia" w:ascii="宋体" w:hAnsi="宋体" w:cs="宋体"/>
                <w:color w:val="auto"/>
                <w:sz w:val="21"/>
                <w:szCs w:val="21"/>
                <w:highlight w:val="none"/>
                <w:lang w:val="zh-CN"/>
              </w:rPr>
              <w:t>（</w:t>
            </w:r>
            <w:r>
              <w:rPr>
                <w:rFonts w:hint="eastAsia" w:ascii="宋体" w:hAnsi="宋体" w:cs="宋体"/>
                <w:color w:val="auto"/>
                <w:sz w:val="21"/>
                <w:szCs w:val="21"/>
                <w:highlight w:val="none"/>
              </w:rPr>
              <w:t>4</w:t>
            </w:r>
            <w:r>
              <w:rPr>
                <w:rFonts w:hint="eastAsia" w:ascii="宋体" w:hAnsi="宋体" w:cs="宋体"/>
                <w:color w:val="auto"/>
                <w:sz w:val="21"/>
                <w:szCs w:val="21"/>
                <w:highlight w:val="none"/>
                <w:lang w:val="zh-CN"/>
              </w:rPr>
              <w:t>）因重大变故，采购任务取消的。</w:t>
            </w:r>
          </w:p>
        </w:tc>
      </w:tr>
      <w:tr w14:paraId="6FC0077E">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4945" w:hRule="atLeast"/>
          <w:jc w:val="center"/>
        </w:trPr>
        <w:tc>
          <w:tcPr>
            <w:tcW w:w="660" w:type="dxa"/>
            <w:tcBorders>
              <w:top w:val="single" w:color="000000" w:sz="6" w:space="0"/>
              <w:left w:val="single" w:color="000000" w:sz="6" w:space="0"/>
              <w:bottom w:val="single" w:color="000000" w:sz="6" w:space="0"/>
              <w:right w:val="single" w:color="000000" w:sz="6" w:space="0"/>
            </w:tcBorders>
            <w:vAlign w:val="center"/>
          </w:tcPr>
          <w:p w14:paraId="5F0839E8">
            <w:pPr>
              <w:widowControl w:val="0"/>
              <w:spacing w:before="120" w:after="120"/>
              <w:jc w:val="cente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1</w:t>
            </w:r>
            <w:r>
              <w:rPr>
                <w:rFonts w:hint="eastAsia" w:ascii="宋体" w:hAnsi="宋体" w:cs="宋体"/>
                <w:color w:val="auto"/>
                <w:sz w:val="21"/>
                <w:szCs w:val="21"/>
                <w:highlight w:val="none"/>
                <w:lang w:val="en-US" w:eastAsia="zh-CN"/>
              </w:rPr>
              <w:t>5</w:t>
            </w:r>
          </w:p>
        </w:tc>
        <w:tc>
          <w:tcPr>
            <w:tcW w:w="1770" w:type="dxa"/>
            <w:tcBorders>
              <w:top w:val="single" w:color="000000" w:sz="6" w:space="0"/>
              <w:left w:val="single" w:color="000000" w:sz="6" w:space="0"/>
              <w:bottom w:val="single" w:color="000000" w:sz="6" w:space="0"/>
              <w:right w:val="single" w:color="000000" w:sz="6" w:space="0"/>
            </w:tcBorders>
            <w:vAlign w:val="center"/>
          </w:tcPr>
          <w:p w14:paraId="36196BA8">
            <w:pPr>
              <w:widowControl w:val="0"/>
              <w:spacing w:before="120" w:after="120"/>
              <w:jc w:val="both"/>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导致无效标因素</w:t>
            </w:r>
          </w:p>
        </w:tc>
        <w:tc>
          <w:tcPr>
            <w:tcW w:w="7538" w:type="dxa"/>
            <w:tcBorders>
              <w:top w:val="single" w:color="000000" w:sz="6" w:space="0"/>
              <w:left w:val="single" w:color="000000" w:sz="6" w:space="0"/>
              <w:bottom w:val="single" w:color="000000" w:sz="6" w:space="0"/>
              <w:right w:val="single" w:color="000000" w:sz="6" w:space="0"/>
            </w:tcBorders>
            <w:vAlign w:val="center"/>
          </w:tcPr>
          <w:p w14:paraId="5375C54C">
            <w:pPr>
              <w:rPr>
                <w:rFonts w:ascii="宋体" w:hAnsi="宋体" w:cs="宋体"/>
                <w:color w:val="auto"/>
                <w:sz w:val="21"/>
                <w:szCs w:val="21"/>
                <w:highlight w:val="none"/>
                <w:lang w:val="zh-CN"/>
              </w:rPr>
            </w:pPr>
            <w:r>
              <w:rPr>
                <w:rFonts w:hint="eastAsia" w:ascii="宋体" w:hAnsi="宋体"/>
                <w:b/>
                <w:bCs/>
                <w:color w:val="auto"/>
                <w:sz w:val="21"/>
                <w:szCs w:val="21"/>
                <w:highlight w:val="none"/>
                <w:lang w:val="zh-CN"/>
              </w:rPr>
              <w:t>有下列情形之一的投标文件，作无效处理</w:t>
            </w:r>
            <w:r>
              <w:rPr>
                <w:rFonts w:hint="eastAsia" w:ascii="宋体" w:hAnsi="宋体" w:cs="宋体"/>
                <w:color w:val="auto"/>
                <w:sz w:val="21"/>
                <w:szCs w:val="21"/>
                <w:highlight w:val="none"/>
                <w:lang w:val="zh-CN"/>
              </w:rPr>
              <w:t>：</w:t>
            </w:r>
          </w:p>
          <w:p w14:paraId="4AC9372B">
            <w:pPr>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w:t>
            </w:r>
            <w:r>
              <w:rPr>
                <w:rFonts w:hint="eastAsia" w:ascii="宋体" w:hAnsi="宋体" w:cs="宋体"/>
                <w:color w:val="auto"/>
                <w:sz w:val="21"/>
                <w:szCs w:val="21"/>
                <w:highlight w:val="none"/>
              </w:rPr>
              <w:t>1</w:t>
            </w:r>
            <w:r>
              <w:rPr>
                <w:rFonts w:hint="eastAsia" w:ascii="宋体" w:hAnsi="宋体" w:cs="宋体"/>
                <w:color w:val="auto"/>
                <w:sz w:val="21"/>
                <w:szCs w:val="21"/>
                <w:highlight w:val="none"/>
                <w:lang w:val="zh-CN"/>
              </w:rPr>
              <w:t>）</w:t>
            </w:r>
            <w:r>
              <w:rPr>
                <w:rFonts w:hint="eastAsia" w:ascii="宋体" w:hAnsi="宋体"/>
                <w:color w:val="auto"/>
                <w:sz w:val="21"/>
                <w:szCs w:val="21"/>
                <w:highlight w:val="none"/>
                <w:lang w:val="zh-CN"/>
              </w:rPr>
              <w:t>投标文件未按照</w:t>
            </w:r>
            <w:r>
              <w:rPr>
                <w:rFonts w:hint="eastAsia" w:ascii="宋体" w:hAnsi="宋体"/>
                <w:color w:val="auto"/>
                <w:sz w:val="21"/>
                <w:szCs w:val="21"/>
                <w:highlight w:val="none"/>
              </w:rPr>
              <w:t>投标人</w:t>
            </w:r>
            <w:r>
              <w:rPr>
                <w:rFonts w:hint="eastAsia" w:ascii="宋体" w:hAnsi="宋体"/>
                <w:color w:val="auto"/>
                <w:sz w:val="21"/>
                <w:szCs w:val="21"/>
                <w:highlight w:val="none"/>
                <w:lang w:val="zh-CN"/>
              </w:rPr>
              <w:t>须知规定制作</w:t>
            </w:r>
            <w:r>
              <w:rPr>
                <w:rFonts w:hint="eastAsia" w:ascii="宋体" w:hAnsi="宋体" w:cs="宋体"/>
                <w:color w:val="auto"/>
                <w:sz w:val="21"/>
                <w:szCs w:val="21"/>
                <w:highlight w:val="none"/>
                <w:lang w:val="zh-CN"/>
              </w:rPr>
              <w:t>；</w:t>
            </w:r>
          </w:p>
          <w:p w14:paraId="7D727A9B">
            <w:pPr>
              <w:rPr>
                <w:rFonts w:ascii="宋体" w:hAnsi="宋体"/>
                <w:color w:val="auto"/>
                <w:sz w:val="21"/>
                <w:szCs w:val="21"/>
                <w:highlight w:val="none"/>
                <w:lang w:val="zh-CN"/>
              </w:rPr>
            </w:pPr>
            <w:r>
              <w:rPr>
                <w:rFonts w:hint="eastAsia" w:ascii="宋体" w:hAnsi="宋体" w:cs="宋体"/>
                <w:color w:val="auto"/>
                <w:sz w:val="21"/>
                <w:szCs w:val="21"/>
                <w:highlight w:val="none"/>
                <w:lang w:val="zh-CN"/>
              </w:rPr>
              <w:t>（</w:t>
            </w:r>
            <w:r>
              <w:rPr>
                <w:rFonts w:hint="eastAsia" w:ascii="宋体" w:hAnsi="宋体" w:cs="宋体"/>
                <w:color w:val="auto"/>
                <w:sz w:val="21"/>
                <w:szCs w:val="21"/>
                <w:highlight w:val="none"/>
              </w:rPr>
              <w:t>2</w:t>
            </w:r>
            <w:r>
              <w:rPr>
                <w:rFonts w:hint="eastAsia" w:ascii="宋体" w:hAnsi="宋体" w:cs="宋体"/>
                <w:color w:val="auto"/>
                <w:sz w:val="21"/>
                <w:szCs w:val="21"/>
                <w:highlight w:val="none"/>
                <w:lang w:val="zh-CN"/>
              </w:rPr>
              <w:t>）机器码检查中，不同投标人使用同一台电脑编制投标文件的</w:t>
            </w:r>
            <w:r>
              <w:rPr>
                <w:rFonts w:hint="eastAsia" w:ascii="宋体" w:hAnsi="宋体"/>
                <w:color w:val="auto"/>
                <w:sz w:val="21"/>
                <w:szCs w:val="21"/>
                <w:highlight w:val="none"/>
                <w:lang w:val="zh-CN"/>
              </w:rPr>
              <w:t>；</w:t>
            </w:r>
          </w:p>
          <w:p w14:paraId="452C85AC">
            <w:pPr>
              <w:rPr>
                <w:rFonts w:ascii="宋体" w:hAnsi="宋体" w:cs="宋体"/>
                <w:color w:val="auto"/>
                <w:sz w:val="21"/>
                <w:szCs w:val="21"/>
                <w:highlight w:val="none"/>
                <w:lang w:val="zh-CN"/>
              </w:rPr>
            </w:pPr>
            <w:r>
              <w:rPr>
                <w:rFonts w:hint="eastAsia" w:ascii="宋体" w:hAnsi="宋体" w:cs="宋体"/>
                <w:color w:val="auto"/>
                <w:sz w:val="21"/>
                <w:szCs w:val="21"/>
                <w:highlight w:val="none"/>
              </w:rPr>
              <w:t>（3）与招标文件有重大偏离</w:t>
            </w:r>
            <w:r>
              <w:rPr>
                <w:rFonts w:hint="eastAsia" w:ascii="宋体" w:hAnsi="宋体" w:cs="宋体"/>
                <w:color w:val="auto"/>
                <w:sz w:val="21"/>
                <w:szCs w:val="21"/>
                <w:highlight w:val="none"/>
                <w:lang w:val="zh-CN"/>
              </w:rPr>
              <w:t>；</w:t>
            </w:r>
          </w:p>
          <w:p w14:paraId="434B02DE">
            <w:pPr>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w:t>
            </w:r>
            <w:r>
              <w:rPr>
                <w:rFonts w:hint="eastAsia" w:ascii="宋体" w:hAnsi="宋体" w:cs="宋体"/>
                <w:color w:val="auto"/>
                <w:sz w:val="21"/>
                <w:szCs w:val="21"/>
                <w:highlight w:val="none"/>
              </w:rPr>
              <w:t>4</w:t>
            </w:r>
            <w:r>
              <w:rPr>
                <w:rFonts w:hint="eastAsia" w:ascii="宋体" w:hAnsi="宋体" w:cs="宋体"/>
                <w:color w:val="auto"/>
                <w:sz w:val="21"/>
                <w:szCs w:val="21"/>
                <w:highlight w:val="none"/>
                <w:lang w:val="zh-CN"/>
              </w:rPr>
              <w:t>）</w:t>
            </w:r>
            <w:r>
              <w:rPr>
                <w:rFonts w:hint="eastAsia" w:ascii="宋体" w:hAnsi="宋体"/>
                <w:color w:val="auto"/>
                <w:sz w:val="21"/>
                <w:szCs w:val="21"/>
                <w:highlight w:val="none"/>
                <w:lang w:val="zh-CN"/>
              </w:rPr>
              <w:t>投标有效期不满足招标文件要求的</w:t>
            </w:r>
            <w:r>
              <w:rPr>
                <w:rFonts w:hint="eastAsia" w:ascii="宋体" w:hAnsi="宋体" w:cs="宋体"/>
                <w:color w:val="auto"/>
                <w:sz w:val="21"/>
                <w:szCs w:val="21"/>
                <w:highlight w:val="none"/>
                <w:lang w:val="zh-CN"/>
              </w:rPr>
              <w:t>；</w:t>
            </w:r>
          </w:p>
          <w:p w14:paraId="4454EA55">
            <w:pPr>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w:t>
            </w:r>
            <w:r>
              <w:rPr>
                <w:rFonts w:hint="eastAsia" w:ascii="宋体" w:hAnsi="宋体" w:cs="宋体"/>
                <w:color w:val="auto"/>
                <w:sz w:val="21"/>
                <w:szCs w:val="21"/>
                <w:highlight w:val="none"/>
              </w:rPr>
              <w:t>5</w:t>
            </w:r>
            <w:r>
              <w:rPr>
                <w:rFonts w:hint="eastAsia" w:ascii="宋体" w:hAnsi="宋体" w:cs="宋体"/>
                <w:color w:val="auto"/>
                <w:sz w:val="21"/>
                <w:szCs w:val="21"/>
                <w:highlight w:val="none"/>
                <w:lang w:val="zh-CN"/>
              </w:rPr>
              <w:t>）</w:t>
            </w:r>
            <w:r>
              <w:rPr>
                <w:rFonts w:hint="eastAsia" w:ascii="宋体" w:hAnsi="宋体"/>
                <w:color w:val="auto"/>
                <w:sz w:val="21"/>
                <w:szCs w:val="21"/>
                <w:highlight w:val="none"/>
                <w:lang w:val="zh-CN"/>
              </w:rPr>
              <w:t>不具备招标文件中规定的资格要求的</w:t>
            </w:r>
            <w:r>
              <w:rPr>
                <w:rFonts w:hint="eastAsia" w:ascii="宋体" w:hAnsi="宋体" w:cs="宋体"/>
                <w:color w:val="auto"/>
                <w:sz w:val="21"/>
                <w:szCs w:val="21"/>
                <w:highlight w:val="none"/>
                <w:lang w:val="zh-CN"/>
              </w:rPr>
              <w:t>；</w:t>
            </w:r>
          </w:p>
          <w:p w14:paraId="48A62867">
            <w:pPr>
              <w:rPr>
                <w:rFonts w:ascii="宋体" w:hAnsi="宋体"/>
                <w:color w:val="auto"/>
                <w:sz w:val="21"/>
                <w:szCs w:val="21"/>
                <w:highlight w:val="none"/>
                <w:lang w:val="zh-CN"/>
              </w:rPr>
            </w:pPr>
            <w:r>
              <w:rPr>
                <w:rFonts w:hint="eastAsia" w:ascii="宋体" w:hAnsi="宋体" w:cs="宋体"/>
                <w:color w:val="auto"/>
                <w:sz w:val="21"/>
                <w:szCs w:val="21"/>
                <w:highlight w:val="none"/>
                <w:lang w:val="zh-CN"/>
              </w:rPr>
              <w:t>（</w:t>
            </w:r>
            <w:r>
              <w:rPr>
                <w:rFonts w:hint="eastAsia" w:ascii="宋体" w:hAnsi="宋体" w:cs="宋体"/>
                <w:color w:val="auto"/>
                <w:sz w:val="21"/>
                <w:szCs w:val="21"/>
                <w:highlight w:val="none"/>
              </w:rPr>
              <w:t>6</w:t>
            </w:r>
            <w:r>
              <w:rPr>
                <w:rFonts w:hint="eastAsia" w:ascii="宋体" w:hAnsi="宋体" w:cs="宋体"/>
                <w:color w:val="auto"/>
                <w:sz w:val="21"/>
                <w:szCs w:val="21"/>
                <w:highlight w:val="none"/>
                <w:lang w:val="zh-CN"/>
              </w:rPr>
              <w:t>）</w:t>
            </w:r>
            <w:r>
              <w:rPr>
                <w:rFonts w:hint="eastAsia" w:ascii="宋体" w:hAnsi="宋体"/>
                <w:color w:val="auto"/>
                <w:sz w:val="21"/>
                <w:szCs w:val="21"/>
                <w:highlight w:val="none"/>
                <w:lang w:val="zh-CN"/>
              </w:rPr>
              <w:t>未通过符合性审查的；</w:t>
            </w:r>
          </w:p>
          <w:p w14:paraId="05975354">
            <w:pPr>
              <w:rPr>
                <w:rFonts w:ascii="宋体" w:hAnsi="宋体"/>
                <w:color w:val="auto"/>
                <w:sz w:val="21"/>
                <w:szCs w:val="21"/>
                <w:highlight w:val="none"/>
                <w:lang w:val="zh-CN"/>
              </w:rPr>
            </w:pPr>
            <w:r>
              <w:rPr>
                <w:rFonts w:hint="eastAsia" w:ascii="宋体" w:hAnsi="宋体"/>
                <w:color w:val="auto"/>
                <w:sz w:val="21"/>
                <w:szCs w:val="21"/>
                <w:highlight w:val="none"/>
                <w:lang w:val="zh-CN"/>
              </w:rPr>
              <w:t>（</w:t>
            </w:r>
            <w:r>
              <w:rPr>
                <w:rFonts w:hint="eastAsia" w:ascii="宋体" w:hAnsi="宋体"/>
                <w:color w:val="auto"/>
                <w:sz w:val="21"/>
                <w:szCs w:val="21"/>
                <w:highlight w:val="none"/>
              </w:rPr>
              <w:t>7</w:t>
            </w:r>
            <w:r>
              <w:rPr>
                <w:rFonts w:hint="eastAsia" w:ascii="宋体" w:hAnsi="宋体"/>
                <w:color w:val="auto"/>
                <w:sz w:val="21"/>
                <w:szCs w:val="21"/>
                <w:highlight w:val="none"/>
                <w:lang w:val="zh-CN"/>
              </w:rPr>
              <w:t>）不符合招标文件中规定的实质性要求的；</w:t>
            </w:r>
          </w:p>
          <w:p w14:paraId="3E967958">
            <w:pPr>
              <w:rPr>
                <w:rFonts w:ascii="宋体" w:hAnsi="宋体"/>
                <w:color w:val="auto"/>
                <w:sz w:val="21"/>
                <w:szCs w:val="21"/>
                <w:highlight w:val="none"/>
                <w:lang w:val="zh-CN"/>
              </w:rPr>
            </w:pPr>
            <w:r>
              <w:rPr>
                <w:rFonts w:hint="eastAsia" w:ascii="宋体" w:hAnsi="宋体"/>
                <w:color w:val="auto"/>
                <w:sz w:val="21"/>
                <w:szCs w:val="21"/>
                <w:highlight w:val="none"/>
                <w:lang w:val="zh-CN"/>
              </w:rPr>
              <w:t>（</w:t>
            </w:r>
            <w:r>
              <w:rPr>
                <w:rFonts w:hint="eastAsia" w:ascii="宋体" w:hAnsi="宋体"/>
                <w:color w:val="auto"/>
                <w:sz w:val="21"/>
                <w:szCs w:val="21"/>
                <w:highlight w:val="none"/>
              </w:rPr>
              <w:t>8</w:t>
            </w:r>
            <w:r>
              <w:rPr>
                <w:rFonts w:hint="eastAsia" w:ascii="宋体" w:hAnsi="宋体"/>
                <w:color w:val="auto"/>
                <w:sz w:val="21"/>
                <w:szCs w:val="21"/>
                <w:highlight w:val="none"/>
                <w:lang w:val="zh-CN"/>
              </w:rPr>
              <w:t>）投标人的报价是选择性的；</w:t>
            </w:r>
          </w:p>
          <w:p w14:paraId="221A9647">
            <w:pPr>
              <w:rPr>
                <w:rFonts w:ascii="宋体" w:hAnsi="宋体"/>
                <w:color w:val="auto"/>
                <w:sz w:val="21"/>
                <w:szCs w:val="21"/>
                <w:highlight w:val="none"/>
                <w:lang w:val="zh-CN"/>
              </w:rPr>
            </w:pPr>
            <w:r>
              <w:rPr>
                <w:rFonts w:hint="eastAsia" w:ascii="宋体" w:hAnsi="宋体"/>
                <w:color w:val="auto"/>
                <w:sz w:val="21"/>
                <w:szCs w:val="21"/>
                <w:highlight w:val="none"/>
                <w:lang w:val="zh-CN"/>
              </w:rPr>
              <w:t>（</w:t>
            </w:r>
            <w:r>
              <w:rPr>
                <w:rFonts w:hint="eastAsia" w:ascii="宋体" w:hAnsi="宋体"/>
                <w:color w:val="auto"/>
                <w:sz w:val="21"/>
                <w:szCs w:val="21"/>
                <w:highlight w:val="none"/>
              </w:rPr>
              <w:t>9</w:t>
            </w:r>
            <w:r>
              <w:rPr>
                <w:rFonts w:hint="eastAsia" w:ascii="宋体" w:hAnsi="宋体"/>
                <w:color w:val="auto"/>
                <w:sz w:val="21"/>
                <w:szCs w:val="21"/>
                <w:highlight w:val="none"/>
                <w:lang w:val="zh-CN"/>
              </w:rPr>
              <w:t>）投标人的报价只投了部分内容；</w:t>
            </w:r>
          </w:p>
          <w:p w14:paraId="23AFD061">
            <w:pPr>
              <w:rPr>
                <w:rFonts w:ascii="宋体" w:hAnsi="宋体"/>
                <w:color w:val="auto"/>
                <w:sz w:val="21"/>
                <w:szCs w:val="21"/>
                <w:highlight w:val="none"/>
                <w:lang w:val="zh-CN"/>
              </w:rPr>
            </w:pPr>
            <w:r>
              <w:rPr>
                <w:rFonts w:hint="eastAsia" w:ascii="宋体" w:hAnsi="宋体"/>
                <w:color w:val="auto"/>
                <w:sz w:val="21"/>
                <w:szCs w:val="21"/>
                <w:highlight w:val="none"/>
                <w:lang w:val="zh-CN"/>
              </w:rPr>
              <w:t>（</w:t>
            </w:r>
            <w:r>
              <w:rPr>
                <w:rFonts w:hint="eastAsia" w:ascii="宋体" w:hAnsi="宋体"/>
                <w:color w:val="auto"/>
                <w:sz w:val="21"/>
                <w:szCs w:val="21"/>
                <w:highlight w:val="none"/>
              </w:rPr>
              <w:t>10</w:t>
            </w:r>
            <w:r>
              <w:rPr>
                <w:rFonts w:hint="eastAsia" w:ascii="宋体" w:hAnsi="宋体"/>
                <w:color w:val="auto"/>
                <w:sz w:val="21"/>
                <w:szCs w:val="21"/>
                <w:highlight w:val="none"/>
                <w:lang w:val="zh-CN"/>
              </w:rPr>
              <w:t>）投标报价超过预算金额/最高限价，采购人无法接受的；</w:t>
            </w:r>
          </w:p>
          <w:p w14:paraId="740D92CF">
            <w:pPr>
              <w:rPr>
                <w:rFonts w:ascii="宋体" w:hAnsi="宋体"/>
                <w:color w:val="auto"/>
                <w:sz w:val="21"/>
                <w:szCs w:val="21"/>
                <w:highlight w:val="none"/>
                <w:lang w:val="zh-CN"/>
              </w:rPr>
            </w:pPr>
            <w:r>
              <w:rPr>
                <w:rFonts w:hint="eastAsia" w:ascii="宋体" w:hAnsi="宋体"/>
                <w:color w:val="auto"/>
                <w:sz w:val="21"/>
                <w:szCs w:val="21"/>
                <w:highlight w:val="none"/>
                <w:lang w:val="zh-CN"/>
              </w:rPr>
              <w:t>（</w:t>
            </w:r>
            <w:r>
              <w:rPr>
                <w:rFonts w:hint="eastAsia" w:ascii="宋体" w:hAnsi="宋体"/>
                <w:color w:val="auto"/>
                <w:sz w:val="21"/>
                <w:szCs w:val="21"/>
                <w:highlight w:val="none"/>
              </w:rPr>
              <w:t>11</w:t>
            </w:r>
            <w:r>
              <w:rPr>
                <w:rFonts w:hint="eastAsia" w:ascii="宋体" w:hAnsi="宋体"/>
                <w:color w:val="auto"/>
                <w:sz w:val="21"/>
                <w:szCs w:val="21"/>
                <w:highlight w:val="none"/>
                <w:lang w:val="zh-CN"/>
              </w:rPr>
              <w:t>）投标人拒绝修正错误；</w:t>
            </w:r>
          </w:p>
          <w:p w14:paraId="32D2DB05">
            <w:pPr>
              <w:rPr>
                <w:rFonts w:ascii="宋体" w:hAnsi="宋体"/>
                <w:color w:val="auto"/>
                <w:sz w:val="21"/>
                <w:szCs w:val="21"/>
                <w:highlight w:val="none"/>
                <w:lang w:val="zh-CN"/>
              </w:rPr>
            </w:pPr>
            <w:r>
              <w:rPr>
                <w:rFonts w:hint="eastAsia" w:ascii="宋体" w:hAnsi="宋体"/>
                <w:color w:val="auto"/>
                <w:sz w:val="21"/>
                <w:szCs w:val="21"/>
                <w:highlight w:val="none"/>
                <w:lang w:val="zh-CN"/>
              </w:rPr>
              <w:t>（</w:t>
            </w:r>
            <w:r>
              <w:rPr>
                <w:rFonts w:hint="eastAsia" w:ascii="宋体" w:hAnsi="宋体"/>
                <w:color w:val="auto"/>
                <w:sz w:val="21"/>
                <w:szCs w:val="21"/>
                <w:highlight w:val="none"/>
              </w:rPr>
              <w:t>12</w:t>
            </w:r>
            <w:r>
              <w:rPr>
                <w:rFonts w:hint="eastAsia" w:ascii="宋体" w:hAnsi="宋体"/>
                <w:color w:val="auto"/>
                <w:sz w:val="21"/>
                <w:szCs w:val="21"/>
                <w:highlight w:val="none"/>
                <w:lang w:val="zh-CN"/>
              </w:rPr>
              <w:t>）投标人的投标文件出现了评标委员会认为不应当雷同的情况；</w:t>
            </w:r>
          </w:p>
          <w:p w14:paraId="6057F640">
            <w:pPr>
              <w:rPr>
                <w:rFonts w:ascii="宋体" w:hAnsi="宋体"/>
                <w:color w:val="auto"/>
                <w:sz w:val="21"/>
                <w:szCs w:val="21"/>
                <w:highlight w:val="none"/>
                <w:lang w:val="zh-CN"/>
              </w:rPr>
            </w:pPr>
            <w:r>
              <w:rPr>
                <w:rFonts w:hint="eastAsia" w:ascii="宋体" w:hAnsi="宋体"/>
                <w:color w:val="auto"/>
                <w:sz w:val="21"/>
                <w:szCs w:val="21"/>
                <w:highlight w:val="none"/>
                <w:lang w:val="zh-CN"/>
              </w:rPr>
              <w:t>（</w:t>
            </w:r>
            <w:r>
              <w:rPr>
                <w:rFonts w:hint="eastAsia" w:ascii="宋体" w:hAnsi="宋体"/>
                <w:color w:val="auto"/>
                <w:sz w:val="21"/>
                <w:szCs w:val="21"/>
                <w:highlight w:val="none"/>
              </w:rPr>
              <w:t>13</w:t>
            </w:r>
            <w:r>
              <w:rPr>
                <w:rFonts w:hint="eastAsia" w:ascii="宋体" w:hAnsi="宋体"/>
                <w:color w:val="auto"/>
                <w:sz w:val="21"/>
                <w:szCs w:val="21"/>
                <w:highlight w:val="none"/>
                <w:lang w:val="zh-CN"/>
              </w:rPr>
              <w:t>）</w:t>
            </w:r>
            <w:r>
              <w:rPr>
                <w:rFonts w:hint="eastAsia" w:ascii="宋体" w:hAnsi="宋体"/>
                <w:color w:val="auto"/>
                <w:sz w:val="21"/>
                <w:szCs w:val="21"/>
                <w:highlight w:val="none"/>
              </w:rPr>
              <w:t>评标委员会</w:t>
            </w:r>
            <w:r>
              <w:rPr>
                <w:rFonts w:hint="eastAsia" w:ascii="宋体" w:hAnsi="宋体"/>
                <w:color w:val="auto"/>
                <w:sz w:val="21"/>
                <w:szCs w:val="21"/>
                <w:highlight w:val="none"/>
                <w:lang w:val="zh-CN"/>
              </w:rPr>
              <w:t>按照本招标文件规定对投标人进行异常低价投标审查后，认为投标人不能证明其报价合理性的；</w:t>
            </w:r>
          </w:p>
          <w:p w14:paraId="4E8F8A84">
            <w:pPr>
              <w:rPr>
                <w:rFonts w:ascii="宋体" w:hAnsi="宋体"/>
                <w:color w:val="auto"/>
                <w:sz w:val="21"/>
                <w:szCs w:val="21"/>
                <w:highlight w:val="none"/>
                <w:lang w:val="zh-CN"/>
              </w:rPr>
            </w:pPr>
            <w:r>
              <w:rPr>
                <w:rFonts w:hint="eastAsia" w:ascii="宋体" w:hAnsi="宋体"/>
                <w:color w:val="auto"/>
                <w:sz w:val="21"/>
                <w:szCs w:val="21"/>
                <w:highlight w:val="none"/>
                <w:lang w:val="zh-CN"/>
              </w:rPr>
              <w:t>（</w:t>
            </w:r>
            <w:r>
              <w:rPr>
                <w:rFonts w:hint="eastAsia" w:ascii="宋体" w:hAnsi="宋体"/>
                <w:color w:val="auto"/>
                <w:sz w:val="21"/>
                <w:szCs w:val="21"/>
                <w:highlight w:val="none"/>
              </w:rPr>
              <w:t>14</w:t>
            </w:r>
            <w:r>
              <w:rPr>
                <w:rFonts w:hint="eastAsia" w:ascii="宋体" w:hAnsi="宋体"/>
                <w:color w:val="auto"/>
                <w:sz w:val="21"/>
                <w:szCs w:val="21"/>
                <w:highlight w:val="none"/>
                <w:lang w:val="zh-CN"/>
              </w:rPr>
              <w:t>）投标文件中含有采购人不能接受的附加条件的；</w:t>
            </w:r>
          </w:p>
          <w:p w14:paraId="257D5E7E">
            <w:pPr>
              <w:rPr>
                <w:rFonts w:ascii="宋体" w:hAnsi="宋体"/>
                <w:color w:val="auto"/>
                <w:sz w:val="21"/>
                <w:szCs w:val="21"/>
                <w:highlight w:val="none"/>
                <w:lang w:val="zh-CN"/>
              </w:rPr>
            </w:pPr>
            <w:r>
              <w:rPr>
                <w:rFonts w:hint="eastAsia" w:ascii="宋体" w:hAnsi="宋体"/>
                <w:color w:val="auto"/>
                <w:sz w:val="21"/>
                <w:szCs w:val="21"/>
                <w:highlight w:val="none"/>
                <w:lang w:val="zh-CN"/>
              </w:rPr>
              <w:t>（</w:t>
            </w:r>
            <w:r>
              <w:rPr>
                <w:rFonts w:hint="eastAsia" w:ascii="宋体" w:hAnsi="宋体"/>
                <w:color w:val="auto"/>
                <w:sz w:val="21"/>
                <w:szCs w:val="21"/>
                <w:highlight w:val="none"/>
              </w:rPr>
              <w:t>15</w:t>
            </w:r>
            <w:r>
              <w:rPr>
                <w:rFonts w:hint="eastAsia" w:ascii="宋体" w:hAnsi="宋体"/>
                <w:color w:val="auto"/>
                <w:sz w:val="21"/>
                <w:szCs w:val="21"/>
                <w:highlight w:val="none"/>
                <w:lang w:val="zh-CN"/>
              </w:rPr>
              <w:t>）</w:t>
            </w:r>
            <w:r>
              <w:rPr>
                <w:rFonts w:hint="eastAsia" w:ascii="宋体" w:hAnsi="宋体" w:cs="宋体"/>
                <w:color w:val="auto"/>
                <w:sz w:val="21"/>
                <w:szCs w:val="21"/>
                <w:highlight w:val="none"/>
                <w:lang w:val="zh-CN"/>
              </w:rPr>
              <w:t>法律、法规和</w:t>
            </w:r>
            <w:r>
              <w:rPr>
                <w:rFonts w:hint="eastAsia" w:ascii="宋体" w:hAnsi="宋体"/>
                <w:color w:val="auto"/>
                <w:sz w:val="21"/>
                <w:szCs w:val="21"/>
                <w:highlight w:val="none"/>
                <w:lang w:val="zh-CN"/>
              </w:rPr>
              <w:t>招标文件明确规定无效的其他情形；</w:t>
            </w:r>
          </w:p>
          <w:p w14:paraId="706F6F0E">
            <w:pPr>
              <w:rPr>
                <w:rFonts w:ascii="宋体" w:hAnsi="宋体" w:cs="宋体"/>
                <w:color w:val="auto"/>
                <w:sz w:val="21"/>
                <w:szCs w:val="21"/>
                <w:highlight w:val="none"/>
              </w:rPr>
            </w:pPr>
            <w:r>
              <w:rPr>
                <w:rFonts w:hint="eastAsia" w:ascii="宋体" w:hAnsi="宋体"/>
                <w:color w:val="auto"/>
                <w:sz w:val="21"/>
                <w:szCs w:val="21"/>
                <w:highlight w:val="none"/>
                <w:lang w:val="zh-CN"/>
              </w:rPr>
              <w:t>（</w:t>
            </w:r>
            <w:r>
              <w:rPr>
                <w:rFonts w:hint="eastAsia" w:ascii="宋体" w:hAnsi="宋体"/>
                <w:color w:val="auto"/>
                <w:sz w:val="21"/>
                <w:szCs w:val="21"/>
                <w:highlight w:val="none"/>
              </w:rPr>
              <w:t>16</w:t>
            </w:r>
            <w:r>
              <w:rPr>
                <w:rFonts w:hint="eastAsia" w:ascii="宋体" w:hAnsi="宋体"/>
                <w:color w:val="auto"/>
                <w:sz w:val="21"/>
                <w:szCs w:val="21"/>
                <w:highlight w:val="none"/>
                <w:lang w:val="zh-CN"/>
              </w:rPr>
              <w:t>）</w:t>
            </w:r>
            <w:r>
              <w:rPr>
                <w:rFonts w:hint="eastAsia" w:ascii="宋体" w:hAnsi="宋体" w:cs="宋体"/>
                <w:color w:val="auto"/>
                <w:sz w:val="21"/>
                <w:szCs w:val="21"/>
                <w:highlight w:val="none"/>
              </w:rPr>
              <w:t>其他被评标委员会认定无效的情况。</w:t>
            </w:r>
          </w:p>
        </w:tc>
      </w:tr>
      <w:tr w14:paraId="48903CAC">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jc w:val="center"/>
        </w:trPr>
        <w:tc>
          <w:tcPr>
            <w:tcW w:w="660" w:type="dxa"/>
            <w:tcBorders>
              <w:top w:val="single" w:color="000000" w:sz="6" w:space="0"/>
              <w:left w:val="single" w:color="000000" w:sz="6" w:space="0"/>
              <w:bottom w:val="single" w:color="000000" w:sz="6" w:space="0"/>
              <w:right w:val="single" w:color="000000" w:sz="6" w:space="0"/>
            </w:tcBorders>
            <w:vAlign w:val="center"/>
          </w:tcPr>
          <w:p w14:paraId="08A2CFC7">
            <w:pPr>
              <w:widowControl w:val="0"/>
              <w:spacing w:before="120" w:after="120"/>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16</w:t>
            </w:r>
          </w:p>
        </w:tc>
        <w:tc>
          <w:tcPr>
            <w:tcW w:w="1770" w:type="dxa"/>
            <w:tcBorders>
              <w:top w:val="single" w:color="000000" w:sz="6" w:space="0"/>
              <w:left w:val="single" w:color="000000" w:sz="6" w:space="0"/>
              <w:bottom w:val="single" w:color="000000" w:sz="6" w:space="0"/>
              <w:right w:val="single" w:color="000000" w:sz="6" w:space="0"/>
            </w:tcBorders>
            <w:vAlign w:val="center"/>
          </w:tcPr>
          <w:p w14:paraId="5E740C5F">
            <w:pPr>
              <w:widowControl w:val="0"/>
              <w:jc w:val="center"/>
              <w:rPr>
                <w:rFonts w:hint="eastAsia" w:ascii="宋体" w:hAnsi="宋体" w:cs="宋体"/>
                <w:color w:val="auto"/>
                <w:sz w:val="21"/>
                <w:szCs w:val="21"/>
                <w:highlight w:val="none"/>
                <w:lang w:val="zh-CN"/>
              </w:rPr>
            </w:pPr>
            <w:r>
              <w:rPr>
                <w:rFonts w:hint="eastAsia" w:ascii="宋体" w:hAnsi="宋体" w:cs="宋体"/>
                <w:b/>
                <w:bCs/>
                <w:sz w:val="21"/>
                <w:szCs w:val="21"/>
                <w:highlight w:val="none"/>
              </w:rPr>
              <w:t>其他说明</w:t>
            </w:r>
          </w:p>
        </w:tc>
        <w:tc>
          <w:tcPr>
            <w:tcW w:w="7538" w:type="dxa"/>
            <w:tcBorders>
              <w:top w:val="single" w:color="000000" w:sz="6" w:space="0"/>
              <w:left w:val="single" w:color="000000" w:sz="6" w:space="0"/>
              <w:bottom w:val="single" w:color="000000" w:sz="6" w:space="0"/>
              <w:right w:val="single" w:color="000000" w:sz="6" w:space="0"/>
            </w:tcBorders>
            <w:vAlign w:val="center"/>
          </w:tcPr>
          <w:p w14:paraId="7968EECC">
            <w:pPr>
              <w:widowControl w:val="0"/>
              <w:rPr>
                <w:rFonts w:hint="eastAsia" w:ascii="宋体" w:hAnsi="宋体" w:cs="宋体"/>
                <w:b/>
                <w:bCs/>
                <w:sz w:val="21"/>
                <w:szCs w:val="21"/>
                <w:highlight w:val="none"/>
              </w:rPr>
            </w:pPr>
            <w:r>
              <w:rPr>
                <w:rFonts w:hint="eastAsia" w:ascii="宋体" w:hAnsi="宋体" w:cs="宋体"/>
                <w:b/>
                <w:bCs/>
                <w:sz w:val="21"/>
                <w:szCs w:val="21"/>
                <w:highlight w:val="none"/>
              </w:rPr>
              <w:t>本次采购分为</w:t>
            </w:r>
            <w:r>
              <w:rPr>
                <w:rFonts w:hint="eastAsia" w:ascii="宋体" w:hAnsi="宋体" w:cs="宋体"/>
                <w:b/>
                <w:bCs/>
                <w:sz w:val="21"/>
                <w:szCs w:val="21"/>
                <w:highlight w:val="none"/>
                <w:lang w:val="en-US" w:eastAsia="zh-CN"/>
              </w:rPr>
              <w:t>六</w:t>
            </w:r>
            <w:r>
              <w:rPr>
                <w:rFonts w:hint="eastAsia" w:ascii="宋体" w:hAnsi="宋体" w:cs="宋体"/>
                <w:b/>
                <w:bCs/>
                <w:sz w:val="21"/>
                <w:szCs w:val="21"/>
                <w:highlight w:val="none"/>
              </w:rPr>
              <w:t>个标段，每个标段须单独制作</w:t>
            </w:r>
            <w:r>
              <w:rPr>
                <w:rFonts w:hint="eastAsia" w:ascii="宋体" w:hAnsi="宋体" w:cs="宋体"/>
                <w:b/>
                <w:bCs/>
                <w:sz w:val="21"/>
                <w:szCs w:val="21"/>
                <w:highlight w:val="none"/>
                <w:lang w:val="en-US" w:eastAsia="zh-CN"/>
              </w:rPr>
              <w:t>投标</w:t>
            </w:r>
            <w:r>
              <w:rPr>
                <w:rFonts w:hint="eastAsia" w:ascii="宋体" w:hAnsi="宋体" w:cs="宋体"/>
                <w:b/>
                <w:bCs/>
                <w:sz w:val="21"/>
                <w:szCs w:val="21"/>
                <w:highlight w:val="none"/>
              </w:rPr>
              <w:t>文件。</w:t>
            </w:r>
          </w:p>
          <w:p w14:paraId="64C3DB70">
            <w:pPr>
              <w:widowControl w:val="0"/>
              <w:numPr>
                <w:ilvl w:val="0"/>
                <w:numId w:val="0"/>
              </w:numPr>
              <w:rPr>
                <w:rFonts w:hint="eastAsia" w:ascii="宋体" w:hAnsi="宋体" w:cs="宋体"/>
                <w:b/>
                <w:bCs/>
                <w:sz w:val="21"/>
                <w:szCs w:val="21"/>
                <w:highlight w:val="none"/>
              </w:rPr>
            </w:pPr>
            <w:r>
              <w:rPr>
                <w:rFonts w:hint="eastAsia" w:ascii="宋体" w:hAnsi="宋体" w:eastAsia="宋体" w:cs="宋体"/>
                <w:b/>
                <w:bCs/>
                <w:sz w:val="21"/>
                <w:szCs w:val="21"/>
                <w:highlight w:val="none"/>
                <w:lang w:val="en-US" w:eastAsia="zh-CN" w:bidi="ar-SA"/>
              </w:rPr>
              <w:t>1.</w:t>
            </w:r>
            <w:r>
              <w:rPr>
                <w:rFonts w:hint="eastAsia" w:ascii="宋体" w:hAnsi="宋体" w:cs="宋体"/>
                <w:b/>
                <w:bCs/>
                <w:sz w:val="21"/>
                <w:szCs w:val="21"/>
                <w:highlight w:val="none"/>
                <w:lang w:val="en-US" w:eastAsia="zh-CN"/>
              </w:rPr>
              <w:t>六</w:t>
            </w:r>
            <w:r>
              <w:rPr>
                <w:rFonts w:hint="eastAsia" w:ascii="宋体" w:hAnsi="宋体" w:cs="宋体"/>
                <w:b/>
                <w:bCs/>
                <w:sz w:val="21"/>
                <w:szCs w:val="21"/>
                <w:highlight w:val="none"/>
              </w:rPr>
              <w:t>个标段同时开启，授权委托人（如有授权）可为同一授权委托人。</w:t>
            </w:r>
          </w:p>
          <w:p w14:paraId="5A429A75">
            <w:pPr>
              <w:widowControl w:val="0"/>
              <w:numPr>
                <w:ilvl w:val="0"/>
                <w:numId w:val="0"/>
              </w:numPr>
              <w:rPr>
                <w:rFonts w:hint="eastAsia" w:ascii="宋体" w:hAnsi="宋体"/>
                <w:color w:val="auto"/>
                <w:sz w:val="21"/>
                <w:szCs w:val="21"/>
                <w:highlight w:val="none"/>
                <w:lang w:val="zh-CN"/>
              </w:rPr>
            </w:pPr>
            <w:r>
              <w:rPr>
                <w:rFonts w:hint="eastAsia" w:ascii="宋体" w:hAnsi="宋体" w:cs="宋体"/>
                <w:b/>
                <w:bCs/>
                <w:sz w:val="21"/>
                <w:szCs w:val="21"/>
                <w:highlight w:val="none"/>
              </w:rPr>
              <w:t>2.</w:t>
            </w:r>
            <w:r>
              <w:rPr>
                <w:rFonts w:hint="eastAsia" w:ascii="宋体" w:hAnsi="宋体" w:cs="宋体"/>
                <w:b/>
                <w:bCs/>
                <w:sz w:val="21"/>
                <w:szCs w:val="21"/>
                <w:highlight w:val="none"/>
                <w:lang w:eastAsia="zh-CN"/>
              </w:rPr>
              <w:t>中标</w:t>
            </w:r>
            <w:r>
              <w:rPr>
                <w:rFonts w:hint="eastAsia" w:ascii="宋体" w:hAnsi="宋体" w:cs="宋体"/>
                <w:b/>
                <w:bCs/>
                <w:sz w:val="21"/>
                <w:szCs w:val="21"/>
                <w:highlight w:val="none"/>
              </w:rPr>
              <w:t>原则：按照第一标段至第</w:t>
            </w:r>
            <w:r>
              <w:rPr>
                <w:rFonts w:hint="eastAsia" w:ascii="宋体" w:hAnsi="宋体" w:cs="宋体"/>
                <w:b/>
                <w:bCs/>
                <w:sz w:val="21"/>
                <w:szCs w:val="21"/>
                <w:highlight w:val="none"/>
                <w:lang w:val="en-US" w:eastAsia="zh-CN"/>
              </w:rPr>
              <w:t>六</w:t>
            </w:r>
            <w:r>
              <w:rPr>
                <w:rFonts w:hint="eastAsia" w:ascii="宋体" w:hAnsi="宋体" w:cs="宋体"/>
                <w:b/>
                <w:bCs/>
                <w:sz w:val="21"/>
                <w:szCs w:val="21"/>
                <w:highlight w:val="none"/>
              </w:rPr>
              <w:t>标段的顺序依次</w:t>
            </w:r>
            <w:r>
              <w:rPr>
                <w:rFonts w:hint="eastAsia" w:ascii="宋体" w:hAnsi="宋体" w:cs="宋体"/>
                <w:b/>
                <w:bCs/>
                <w:sz w:val="21"/>
                <w:szCs w:val="21"/>
                <w:highlight w:val="none"/>
                <w:lang w:val="en-US" w:eastAsia="zh-CN"/>
              </w:rPr>
              <w:t>评标</w:t>
            </w:r>
            <w:r>
              <w:rPr>
                <w:rFonts w:hint="eastAsia" w:ascii="宋体" w:hAnsi="宋体" w:cs="宋体"/>
                <w:b/>
                <w:bCs/>
                <w:sz w:val="21"/>
                <w:szCs w:val="21"/>
                <w:highlight w:val="none"/>
              </w:rPr>
              <w:t>。</w:t>
            </w:r>
            <w:r>
              <w:rPr>
                <w:rFonts w:hint="eastAsia" w:ascii="宋体" w:hAnsi="宋体" w:cs="宋体"/>
                <w:b/>
                <w:bCs/>
                <w:sz w:val="21"/>
                <w:szCs w:val="21"/>
                <w:highlight w:val="none"/>
                <w:lang w:eastAsia="zh-CN"/>
              </w:rPr>
              <w:t>投标人</w:t>
            </w:r>
            <w:r>
              <w:rPr>
                <w:rFonts w:hint="eastAsia" w:ascii="宋体" w:hAnsi="宋体" w:cs="宋体"/>
                <w:b/>
                <w:bCs/>
                <w:sz w:val="21"/>
                <w:szCs w:val="21"/>
                <w:highlight w:val="none"/>
              </w:rPr>
              <w:t>可以选择其中一个标段或多个标段进行</w:t>
            </w:r>
            <w:r>
              <w:rPr>
                <w:rFonts w:hint="eastAsia" w:ascii="宋体" w:hAnsi="宋体" w:cs="宋体"/>
                <w:b/>
                <w:bCs/>
                <w:sz w:val="21"/>
                <w:szCs w:val="21"/>
                <w:highlight w:val="none"/>
                <w:lang w:val="en-US" w:eastAsia="zh-CN"/>
              </w:rPr>
              <w:t>投标</w:t>
            </w:r>
            <w:r>
              <w:rPr>
                <w:rFonts w:hint="eastAsia" w:ascii="宋体" w:hAnsi="宋体" w:cs="宋体"/>
                <w:b/>
                <w:bCs/>
                <w:sz w:val="21"/>
                <w:szCs w:val="21"/>
                <w:highlight w:val="none"/>
              </w:rPr>
              <w:t>；</w:t>
            </w:r>
            <w:r>
              <w:rPr>
                <w:rFonts w:hint="eastAsia" w:ascii="宋体" w:hAnsi="宋体" w:cs="宋体"/>
                <w:b/>
                <w:bCs/>
                <w:sz w:val="21"/>
                <w:szCs w:val="21"/>
                <w:highlight w:val="none"/>
                <w:lang w:val="en-US" w:eastAsia="zh-CN"/>
              </w:rPr>
              <w:t>投标</w:t>
            </w:r>
            <w:r>
              <w:rPr>
                <w:rFonts w:hint="eastAsia" w:ascii="宋体" w:hAnsi="宋体" w:cs="宋体"/>
                <w:b/>
                <w:bCs/>
                <w:sz w:val="21"/>
                <w:szCs w:val="21"/>
                <w:highlight w:val="none"/>
              </w:rPr>
              <w:t>时，</w:t>
            </w:r>
            <w:r>
              <w:rPr>
                <w:rFonts w:hint="eastAsia" w:ascii="宋体" w:hAnsi="宋体" w:cs="宋体"/>
                <w:b/>
                <w:bCs/>
                <w:sz w:val="21"/>
                <w:szCs w:val="21"/>
                <w:highlight w:val="none"/>
                <w:lang w:eastAsia="zh-CN"/>
              </w:rPr>
              <w:t>投标人</w:t>
            </w:r>
            <w:r>
              <w:rPr>
                <w:rFonts w:hint="eastAsia" w:ascii="宋体" w:hAnsi="宋体" w:cs="宋体"/>
                <w:b/>
                <w:bCs/>
                <w:sz w:val="21"/>
                <w:szCs w:val="21"/>
                <w:highlight w:val="none"/>
              </w:rPr>
              <w:t>仅可在其获取</w:t>
            </w:r>
            <w:r>
              <w:rPr>
                <w:rFonts w:hint="eastAsia" w:ascii="宋体" w:hAnsi="宋体" w:cs="宋体"/>
                <w:b/>
                <w:bCs/>
                <w:sz w:val="21"/>
                <w:szCs w:val="21"/>
                <w:highlight w:val="none"/>
                <w:lang w:eastAsia="zh-CN"/>
              </w:rPr>
              <w:t>招标文件</w:t>
            </w:r>
            <w:r>
              <w:rPr>
                <w:rFonts w:hint="eastAsia" w:ascii="宋体" w:hAnsi="宋体" w:cs="宋体"/>
                <w:b/>
                <w:bCs/>
                <w:sz w:val="21"/>
                <w:szCs w:val="21"/>
                <w:highlight w:val="none"/>
              </w:rPr>
              <w:t>时选择确定的标段范围内进行</w:t>
            </w:r>
            <w:r>
              <w:rPr>
                <w:rFonts w:hint="eastAsia" w:ascii="宋体" w:hAnsi="宋体" w:cs="宋体"/>
                <w:b/>
                <w:bCs/>
                <w:sz w:val="21"/>
                <w:szCs w:val="21"/>
                <w:highlight w:val="none"/>
                <w:lang w:val="en-US" w:eastAsia="zh-CN"/>
              </w:rPr>
              <w:t>投标</w:t>
            </w:r>
            <w:r>
              <w:rPr>
                <w:rFonts w:hint="eastAsia" w:ascii="宋体" w:hAnsi="宋体" w:cs="宋体"/>
                <w:b/>
                <w:bCs/>
                <w:sz w:val="21"/>
                <w:szCs w:val="21"/>
                <w:highlight w:val="none"/>
              </w:rPr>
              <w:t>。</w:t>
            </w:r>
            <w:r>
              <w:rPr>
                <w:rFonts w:hint="eastAsia" w:ascii="宋体" w:hAnsi="宋体" w:cs="宋体"/>
                <w:b/>
                <w:bCs/>
                <w:sz w:val="21"/>
                <w:szCs w:val="21"/>
                <w:highlight w:val="none"/>
                <w:lang w:eastAsia="zh-CN"/>
              </w:rPr>
              <w:t>中标投标人</w:t>
            </w:r>
            <w:r>
              <w:rPr>
                <w:rFonts w:hint="eastAsia" w:ascii="宋体" w:hAnsi="宋体" w:cs="宋体"/>
                <w:b/>
                <w:bCs/>
                <w:sz w:val="21"/>
                <w:szCs w:val="21"/>
                <w:highlight w:val="none"/>
              </w:rPr>
              <w:t>数量：每个标段1家，</w:t>
            </w:r>
            <w:r>
              <w:rPr>
                <w:rFonts w:hint="eastAsia" w:ascii="宋体" w:hAnsi="宋体" w:eastAsia="宋体" w:cs="宋体"/>
                <w:b/>
                <w:bCs/>
                <w:color w:val="auto"/>
                <w:sz w:val="21"/>
                <w:szCs w:val="21"/>
                <w:highlight w:val="none"/>
                <w:lang w:val="en-US" w:eastAsia="zh-CN"/>
              </w:rPr>
              <w:t>本项目每个投标人累计中标标段数量不得超过1个。</w:t>
            </w:r>
            <w:r>
              <w:rPr>
                <w:rFonts w:hint="eastAsia" w:ascii="宋体" w:hAnsi="宋体" w:cs="宋体"/>
                <w:b/>
                <w:bCs/>
                <w:sz w:val="21"/>
                <w:szCs w:val="21"/>
                <w:highlight w:val="none"/>
                <w:lang w:val="en-US" w:eastAsia="zh-CN"/>
              </w:rPr>
              <w:t>评标</w:t>
            </w:r>
            <w:r>
              <w:rPr>
                <w:rFonts w:hint="eastAsia" w:ascii="宋体" w:hAnsi="宋体" w:eastAsia="宋体" w:cs="宋体"/>
                <w:b/>
                <w:bCs/>
                <w:color w:val="auto"/>
                <w:sz w:val="21"/>
                <w:szCs w:val="21"/>
                <w:highlight w:val="none"/>
                <w:lang w:val="en-US" w:eastAsia="zh-CN"/>
              </w:rPr>
              <w:t>时，依</w:t>
            </w:r>
            <w:r>
              <w:rPr>
                <w:rFonts w:hint="eastAsia" w:ascii="宋体" w:hAnsi="宋体" w:cs="宋体"/>
                <w:b/>
                <w:bCs/>
                <w:sz w:val="21"/>
                <w:szCs w:val="21"/>
                <w:highlight w:val="none"/>
                <w:lang w:val="en-US" w:eastAsia="zh-CN"/>
              </w:rPr>
              <w:t>评标</w:t>
            </w:r>
            <w:r>
              <w:rPr>
                <w:rFonts w:hint="eastAsia" w:ascii="宋体" w:hAnsi="宋体" w:eastAsia="宋体" w:cs="宋体"/>
                <w:b/>
                <w:bCs/>
                <w:color w:val="auto"/>
                <w:sz w:val="21"/>
                <w:szCs w:val="21"/>
                <w:highlight w:val="none"/>
                <w:lang w:val="en-US" w:eastAsia="zh-CN"/>
              </w:rPr>
              <w:t>顺序，按先开先</w:t>
            </w:r>
            <w:r>
              <w:rPr>
                <w:rFonts w:hint="eastAsia" w:ascii="宋体" w:hAnsi="宋体" w:cs="宋体"/>
                <w:b/>
                <w:bCs/>
                <w:sz w:val="21"/>
                <w:szCs w:val="21"/>
                <w:highlight w:val="none"/>
                <w:lang w:eastAsia="zh-CN"/>
              </w:rPr>
              <w:t>中标</w:t>
            </w:r>
            <w:r>
              <w:rPr>
                <w:rFonts w:hint="eastAsia" w:ascii="宋体" w:hAnsi="宋体" w:eastAsia="宋体" w:cs="宋体"/>
                <w:b/>
                <w:bCs/>
                <w:color w:val="auto"/>
                <w:sz w:val="21"/>
                <w:szCs w:val="21"/>
                <w:highlight w:val="none"/>
                <w:lang w:val="en-US" w:eastAsia="zh-CN"/>
              </w:rPr>
              <w:t>的原则，确定每标段的</w:t>
            </w:r>
            <w:r>
              <w:rPr>
                <w:rFonts w:hint="eastAsia" w:ascii="宋体" w:hAnsi="宋体" w:cs="宋体"/>
                <w:b/>
                <w:bCs/>
                <w:sz w:val="21"/>
                <w:szCs w:val="21"/>
                <w:highlight w:val="none"/>
                <w:lang w:eastAsia="zh-CN"/>
              </w:rPr>
              <w:t>中标</w:t>
            </w:r>
            <w:r>
              <w:rPr>
                <w:rFonts w:hint="eastAsia" w:ascii="宋体" w:hAnsi="宋体" w:cs="宋体"/>
                <w:b/>
                <w:bCs/>
                <w:sz w:val="21"/>
                <w:szCs w:val="21"/>
                <w:highlight w:val="none"/>
                <w:lang w:val="en-US" w:eastAsia="zh-CN"/>
              </w:rPr>
              <w:t>人</w:t>
            </w:r>
            <w:r>
              <w:rPr>
                <w:rFonts w:hint="eastAsia" w:ascii="宋体" w:hAnsi="宋体" w:eastAsia="宋体" w:cs="宋体"/>
                <w:b/>
                <w:bCs/>
                <w:color w:val="auto"/>
                <w:sz w:val="21"/>
                <w:szCs w:val="21"/>
                <w:highlight w:val="none"/>
                <w:lang w:val="en-US" w:eastAsia="zh-CN"/>
              </w:rPr>
              <w:t>。已在本项目先开标段</w:t>
            </w:r>
            <w:r>
              <w:rPr>
                <w:rFonts w:hint="eastAsia" w:ascii="宋体" w:hAnsi="宋体" w:cs="宋体"/>
                <w:b/>
                <w:bCs/>
                <w:sz w:val="21"/>
                <w:szCs w:val="21"/>
                <w:highlight w:val="none"/>
                <w:lang w:val="en-US" w:eastAsia="zh-CN"/>
              </w:rPr>
              <w:t>评标中中标</w:t>
            </w:r>
            <w:r>
              <w:rPr>
                <w:rFonts w:hint="eastAsia" w:ascii="宋体" w:hAnsi="宋体" w:eastAsia="宋体" w:cs="宋体"/>
                <w:b/>
                <w:bCs/>
                <w:color w:val="auto"/>
                <w:sz w:val="21"/>
                <w:szCs w:val="21"/>
                <w:highlight w:val="none"/>
                <w:lang w:val="en-US" w:eastAsia="zh-CN"/>
              </w:rPr>
              <w:t>的投标人，不再具有本项目其余标段的得标权且不计入其余标段的实质性投标人数量。若某标段因质疑等事项导致中标结果改变的，不影响其他标段的中标结果</w:t>
            </w:r>
            <w:r>
              <w:rPr>
                <w:rFonts w:hint="eastAsia" w:ascii="宋体" w:hAnsi="宋体" w:eastAsia="宋体" w:cs="宋体"/>
                <w:b/>
                <w:bCs/>
                <w:color w:val="auto"/>
                <w:sz w:val="21"/>
                <w:szCs w:val="21"/>
                <w:highlight w:val="none"/>
              </w:rPr>
              <w:t>。</w:t>
            </w:r>
          </w:p>
        </w:tc>
      </w:tr>
    </w:tbl>
    <w:p w14:paraId="50F6FF3B">
      <w:pPr>
        <w:spacing w:line="30" w:lineRule="atLeast"/>
        <w:jc w:val="center"/>
        <w:rPr>
          <w:rFonts w:ascii="宋体" w:hAnsi="宋体" w:cs="宋体"/>
          <w:bCs/>
          <w:color w:val="auto"/>
          <w:highlight w:val="none"/>
        </w:rPr>
      </w:pPr>
      <w:r>
        <w:rPr>
          <w:rFonts w:hint="eastAsia" w:ascii="宋体" w:hAnsi="宋体" w:cs="宋体"/>
          <w:color w:val="auto"/>
          <w:highlight w:val="none"/>
        </w:rPr>
        <w:br w:type="page" w:clear="all"/>
      </w:r>
    </w:p>
    <w:p w14:paraId="00BD1ECB">
      <w:pPr>
        <w:spacing w:line="480" w:lineRule="auto"/>
        <w:jc w:val="center"/>
        <w:outlineLvl w:val="0"/>
        <w:rPr>
          <w:rFonts w:ascii="宋体" w:hAnsi="宋体" w:cs="宋体"/>
          <w:color w:val="auto"/>
          <w:highlight w:val="none"/>
        </w:rPr>
      </w:pPr>
      <w:bookmarkStart w:id="7" w:name="_Toc2521"/>
      <w:bookmarkStart w:id="8" w:name="_Toc30061"/>
      <w:bookmarkStart w:id="9" w:name="_Toc871"/>
      <w:bookmarkStart w:id="10" w:name="_Toc24488"/>
      <w:r>
        <w:rPr>
          <w:rFonts w:hint="eastAsia" w:ascii="宋体" w:hAnsi="宋体" w:cs="宋体"/>
          <w:b/>
          <w:bCs/>
          <w:color w:val="auto"/>
          <w:sz w:val="32"/>
          <w:szCs w:val="32"/>
          <w:highlight w:val="none"/>
        </w:rPr>
        <w:t>第一章 招标公告</w:t>
      </w:r>
      <w:bookmarkEnd w:id="7"/>
      <w:bookmarkEnd w:id="8"/>
      <w:bookmarkEnd w:id="9"/>
      <w:bookmarkEnd w:id="10"/>
    </w:p>
    <w:p w14:paraId="283B5F68">
      <w:pPr>
        <w:pBdr>
          <w:top w:val="single" w:color="000000" w:sz="4" w:space="1"/>
          <w:left w:val="single" w:color="000000" w:sz="4" w:space="4"/>
          <w:bottom w:val="single" w:color="000000" w:sz="4" w:space="1"/>
          <w:right w:val="single" w:color="000000" w:sz="4" w:space="4"/>
        </w:pBdr>
        <w:ind w:firstLine="480"/>
        <w:jc w:val="both"/>
        <w:rPr>
          <w:rFonts w:ascii="宋体" w:hAnsi="宋体" w:cs="宋体"/>
          <w:color w:val="auto"/>
          <w:highlight w:val="none"/>
        </w:rPr>
      </w:pPr>
      <w:bookmarkStart w:id="11" w:name="_Hlk16005278"/>
      <w:r>
        <w:rPr>
          <w:rFonts w:hint="eastAsia" w:ascii="宋体" w:hAnsi="宋体" w:cs="宋体"/>
          <w:color w:val="auto"/>
          <w:highlight w:val="none"/>
        </w:rPr>
        <w:t>项目概况</w:t>
      </w:r>
    </w:p>
    <w:p w14:paraId="27395439">
      <w:pPr>
        <w:pBdr>
          <w:top w:val="single" w:color="000000" w:sz="4" w:space="1"/>
          <w:left w:val="single" w:color="000000" w:sz="4" w:space="4"/>
          <w:bottom w:val="single" w:color="000000" w:sz="4" w:space="1"/>
          <w:right w:val="single" w:color="000000" w:sz="4" w:space="4"/>
        </w:pBdr>
        <w:ind w:firstLine="480"/>
        <w:jc w:val="both"/>
        <w:rPr>
          <w:rFonts w:ascii="宋体" w:hAnsi="宋体" w:cs="宋体"/>
          <w:color w:val="auto"/>
          <w:highlight w:val="none"/>
        </w:rPr>
      </w:pPr>
      <w:r>
        <w:rPr>
          <w:rFonts w:hint="eastAsia" w:ascii="宋体" w:hAnsi="宋体" w:cs="宋体"/>
          <w:color w:val="auto"/>
          <w:highlight w:val="none"/>
          <w:lang w:eastAsia="zh-CN"/>
        </w:rPr>
        <w:t>2026-2027年国土空间咨询及土地报批JSZC-320507-ZXGG-G2026-0003</w:t>
      </w:r>
      <w:r>
        <w:rPr>
          <w:rFonts w:hint="eastAsia" w:ascii="宋体" w:hAnsi="宋体" w:cs="宋体"/>
          <w:color w:val="auto"/>
          <w:highlight w:val="none"/>
        </w:rPr>
        <w:t>招标项目的潜在投标人应在“苏采云”系统（网址：http://jszfcg.jsczt.cn/）获取招标文件，</w:t>
      </w:r>
      <w:r>
        <w:rPr>
          <w:rFonts w:hint="eastAsia" w:ascii="宋体" w:hAnsi="宋体" w:cs="宋体"/>
          <w:color w:val="auto"/>
          <w:highlight w:val="none"/>
        </w:rPr>
        <w:t>并于2026-</w:t>
      </w:r>
      <w:r>
        <w:rPr>
          <w:rFonts w:hint="eastAsia" w:ascii="宋体" w:hAnsi="宋体" w:cs="宋体"/>
          <w:color w:val="auto"/>
          <w:highlight w:val="none"/>
          <w:lang w:val="en-US" w:eastAsia="zh-CN"/>
        </w:rPr>
        <w:t>10</w:t>
      </w:r>
      <w:r>
        <w:rPr>
          <w:rFonts w:hint="eastAsia" w:ascii="宋体" w:hAnsi="宋体" w:cs="宋体"/>
          <w:color w:val="auto"/>
          <w:highlight w:val="none"/>
        </w:rPr>
        <w:t>-</w:t>
      </w:r>
      <w:r>
        <w:rPr>
          <w:rFonts w:hint="eastAsia" w:ascii="宋体" w:hAnsi="宋体" w:cs="宋体"/>
          <w:color w:val="auto"/>
          <w:highlight w:val="none"/>
          <w:lang w:val="en-US" w:eastAsia="zh-CN"/>
        </w:rPr>
        <w:t>12</w:t>
      </w:r>
      <w:r>
        <w:rPr>
          <w:rFonts w:hint="eastAsia" w:ascii="宋体" w:hAnsi="宋体" w:cs="宋体"/>
          <w:color w:val="auto"/>
          <w:highlight w:val="none"/>
        </w:rPr>
        <w:t xml:space="preserve"> </w:t>
      </w:r>
      <w:r>
        <w:rPr>
          <w:rFonts w:hint="eastAsia" w:ascii="宋体" w:hAnsi="宋体" w:cs="宋体"/>
          <w:color w:val="auto"/>
          <w:highlight w:val="none"/>
          <w:lang w:val="en-US" w:eastAsia="zh-CN"/>
        </w:rPr>
        <w:t>09</w:t>
      </w:r>
      <w:r>
        <w:rPr>
          <w:rFonts w:hint="eastAsia" w:ascii="宋体" w:hAnsi="宋体" w:cs="宋体"/>
          <w:color w:val="auto"/>
          <w:highlight w:val="none"/>
        </w:rPr>
        <w:t>：30（</w:t>
      </w:r>
      <w:r>
        <w:rPr>
          <w:rFonts w:hint="eastAsia" w:ascii="宋体" w:hAnsi="宋体" w:cs="宋体"/>
          <w:color w:val="auto"/>
          <w:highlight w:val="none"/>
        </w:rPr>
        <w:t>北京时间）前递交投标文件。</w:t>
      </w:r>
    </w:p>
    <w:p w14:paraId="19A21AB5">
      <w:pPr>
        <w:rPr>
          <w:rFonts w:ascii="宋体" w:hAnsi="宋体" w:cs="宋体"/>
          <w:b/>
          <w:bCs/>
          <w:color w:val="auto"/>
          <w:highlight w:val="none"/>
        </w:rPr>
      </w:pPr>
      <w:bookmarkStart w:id="12" w:name="_Toc35393629"/>
      <w:bookmarkStart w:id="13" w:name="_Toc28359012"/>
      <w:bookmarkStart w:id="14" w:name="_Toc35393798"/>
      <w:bookmarkStart w:id="15" w:name="_Toc28359089"/>
      <w:r>
        <w:rPr>
          <w:rFonts w:hint="eastAsia" w:ascii="宋体" w:hAnsi="宋体" w:cs="宋体"/>
          <w:b/>
          <w:bCs/>
          <w:color w:val="auto"/>
          <w:highlight w:val="none"/>
        </w:rPr>
        <w:t>一、项目基本情况</w:t>
      </w:r>
      <w:bookmarkEnd w:id="12"/>
      <w:bookmarkEnd w:id="13"/>
      <w:bookmarkEnd w:id="14"/>
      <w:bookmarkEnd w:id="15"/>
    </w:p>
    <w:p w14:paraId="4D6C8E2C">
      <w:pPr>
        <w:ind w:firstLine="480"/>
        <w:rPr>
          <w:rFonts w:hint="eastAsia" w:ascii="宋体" w:hAnsi="宋体" w:eastAsia="宋体" w:cs="宋体"/>
          <w:color w:val="auto"/>
          <w:highlight w:val="none"/>
          <w:lang w:eastAsia="zh-CN"/>
        </w:rPr>
      </w:pPr>
      <w:r>
        <w:rPr>
          <w:rFonts w:hint="eastAsia" w:ascii="宋体" w:hAnsi="宋体" w:cs="宋体"/>
          <w:color w:val="auto"/>
          <w:highlight w:val="none"/>
        </w:rPr>
        <w:t>项目编号：</w:t>
      </w:r>
      <w:r>
        <w:rPr>
          <w:rFonts w:hint="eastAsia" w:ascii="宋体" w:hAnsi="宋体" w:cs="宋体"/>
          <w:color w:val="auto"/>
          <w:highlight w:val="none"/>
          <w:lang w:eastAsia="zh-CN"/>
        </w:rPr>
        <w:t>JSZC-320507-ZXGG-G2026-0003</w:t>
      </w:r>
    </w:p>
    <w:p w14:paraId="7DC67D25">
      <w:pPr>
        <w:ind w:firstLine="480"/>
        <w:rPr>
          <w:rFonts w:hint="eastAsia" w:ascii="宋体" w:hAnsi="宋体" w:eastAsia="宋体" w:cs="宋体"/>
          <w:color w:val="auto"/>
          <w:highlight w:val="none"/>
          <w:lang w:eastAsia="zh-CN"/>
        </w:rPr>
      </w:pPr>
      <w:r>
        <w:rPr>
          <w:rFonts w:hint="eastAsia" w:ascii="宋体" w:hAnsi="宋体" w:cs="宋体"/>
          <w:color w:val="auto"/>
          <w:highlight w:val="none"/>
        </w:rPr>
        <w:t>项目名称：</w:t>
      </w:r>
      <w:r>
        <w:rPr>
          <w:rFonts w:hint="eastAsia" w:ascii="宋体" w:hAnsi="宋体" w:cs="宋体"/>
          <w:color w:val="auto"/>
          <w:highlight w:val="none"/>
          <w:lang w:eastAsia="zh-CN"/>
        </w:rPr>
        <w:t>2026-2027年国土空间咨询及土地报批</w:t>
      </w:r>
    </w:p>
    <w:p w14:paraId="3B2F3961">
      <w:pPr>
        <w:ind w:firstLine="480"/>
        <w:rPr>
          <w:rFonts w:ascii="宋体" w:hAnsi="宋体" w:cs="宋体"/>
          <w:color w:val="auto"/>
          <w:highlight w:val="none"/>
        </w:rPr>
      </w:pPr>
      <w:r>
        <w:rPr>
          <w:rFonts w:hint="eastAsia" w:ascii="宋体" w:hAnsi="宋体" w:cs="宋体"/>
          <w:color w:val="auto"/>
          <w:highlight w:val="none"/>
        </w:rPr>
        <w:t>预算金额：</w:t>
      </w:r>
      <w:r>
        <w:rPr>
          <w:rFonts w:hint="eastAsia" w:ascii="宋体" w:hAnsi="宋体" w:cs="宋体"/>
          <w:color w:val="auto"/>
          <w:highlight w:val="none"/>
          <w:lang w:eastAsia="zh-CN"/>
        </w:rPr>
        <w:t>550.000000</w:t>
      </w:r>
      <w:r>
        <w:rPr>
          <w:rFonts w:hint="eastAsia" w:ascii="宋体" w:hAnsi="宋体" w:cs="宋体"/>
          <w:color w:val="auto"/>
          <w:highlight w:val="none"/>
        </w:rPr>
        <w:t>万元</w:t>
      </w:r>
    </w:p>
    <w:p w14:paraId="7ED80185">
      <w:pPr>
        <w:ind w:firstLine="480"/>
        <w:rPr>
          <w:rFonts w:hint="eastAsia" w:ascii="宋体" w:hAnsi="宋体" w:cs="宋体"/>
          <w:color w:val="auto"/>
          <w:highlight w:val="none"/>
        </w:rPr>
      </w:pPr>
      <w:r>
        <w:rPr>
          <w:rFonts w:hint="eastAsia" w:ascii="宋体" w:hAnsi="宋体" w:cs="宋体"/>
          <w:color w:val="auto"/>
          <w:highlight w:val="none"/>
        </w:rPr>
        <w:t>最高限价：</w:t>
      </w:r>
      <w:r>
        <w:rPr>
          <w:rFonts w:hint="eastAsia" w:ascii="宋体" w:hAnsi="宋体" w:cs="宋体"/>
          <w:color w:val="auto"/>
          <w:highlight w:val="none"/>
          <w:lang w:eastAsia="zh-CN"/>
        </w:rPr>
        <w:t>550.000000</w:t>
      </w:r>
      <w:r>
        <w:rPr>
          <w:rFonts w:hint="eastAsia" w:ascii="宋体" w:hAnsi="宋体" w:cs="宋体"/>
          <w:color w:val="auto"/>
          <w:highlight w:val="none"/>
        </w:rPr>
        <w:t>万元</w:t>
      </w:r>
    </w:p>
    <w:p w14:paraId="4B2C68E7">
      <w:pPr>
        <w:ind w:firstLine="480"/>
        <w:rPr>
          <w:rFonts w:hint="default" w:ascii="宋体" w:hAnsi="宋体" w:cs="宋体"/>
          <w:color w:val="auto"/>
          <w:highlight w:val="none"/>
          <w:lang w:val="en-US" w:eastAsia="zh-CN"/>
        </w:rPr>
      </w:pPr>
      <w:r>
        <w:rPr>
          <w:rFonts w:hint="eastAsia" w:ascii="宋体" w:hAnsi="宋体" w:cs="宋体"/>
          <w:color w:val="auto"/>
          <w:highlight w:val="none"/>
          <w:lang w:val="en-US" w:eastAsia="zh-CN"/>
        </w:rPr>
        <w:t>其中：第一标段：250.</w:t>
      </w:r>
      <w:r>
        <w:rPr>
          <w:rFonts w:hint="eastAsia" w:ascii="宋体" w:hAnsi="宋体" w:cs="宋体"/>
          <w:color w:val="auto"/>
          <w:highlight w:val="none"/>
          <w:lang w:eastAsia="zh-CN"/>
        </w:rPr>
        <w:t>000000</w:t>
      </w:r>
      <w:r>
        <w:rPr>
          <w:rFonts w:hint="eastAsia" w:ascii="宋体" w:hAnsi="宋体" w:cs="宋体"/>
          <w:color w:val="auto"/>
          <w:highlight w:val="none"/>
        </w:rPr>
        <w:t>万元</w:t>
      </w:r>
    </w:p>
    <w:p w14:paraId="123FC592">
      <w:pPr>
        <w:ind w:firstLine="1200" w:firstLineChars="500"/>
        <w:rPr>
          <w:rFonts w:hint="default" w:ascii="宋体" w:hAnsi="宋体" w:cs="宋体"/>
          <w:color w:val="auto"/>
          <w:highlight w:val="none"/>
          <w:lang w:val="en-US" w:eastAsia="zh-CN"/>
        </w:rPr>
      </w:pPr>
      <w:r>
        <w:rPr>
          <w:rFonts w:hint="eastAsia" w:ascii="宋体" w:hAnsi="宋体" w:cs="宋体"/>
          <w:color w:val="auto"/>
          <w:highlight w:val="none"/>
          <w:lang w:val="en-US" w:eastAsia="zh-CN"/>
        </w:rPr>
        <w:t>第二标段：85.5</w:t>
      </w:r>
      <w:r>
        <w:rPr>
          <w:rFonts w:hint="eastAsia" w:ascii="宋体" w:hAnsi="宋体" w:cs="宋体"/>
          <w:color w:val="auto"/>
          <w:highlight w:val="none"/>
          <w:lang w:eastAsia="zh-CN"/>
        </w:rPr>
        <w:t>00000</w:t>
      </w:r>
      <w:r>
        <w:rPr>
          <w:rFonts w:hint="eastAsia" w:ascii="宋体" w:hAnsi="宋体" w:cs="宋体"/>
          <w:color w:val="auto"/>
          <w:highlight w:val="none"/>
        </w:rPr>
        <w:t>万元</w:t>
      </w:r>
    </w:p>
    <w:p w14:paraId="519F44EB">
      <w:pPr>
        <w:ind w:firstLine="1200" w:firstLineChars="500"/>
        <w:rPr>
          <w:rFonts w:hint="default" w:ascii="宋体" w:hAnsi="宋体" w:cs="宋体"/>
          <w:color w:val="auto"/>
          <w:highlight w:val="none"/>
          <w:lang w:val="en-US" w:eastAsia="zh-CN"/>
        </w:rPr>
      </w:pPr>
      <w:r>
        <w:rPr>
          <w:rFonts w:hint="eastAsia" w:ascii="宋体" w:hAnsi="宋体" w:cs="宋体"/>
          <w:color w:val="auto"/>
          <w:highlight w:val="none"/>
          <w:lang w:val="en-US" w:eastAsia="zh-CN"/>
        </w:rPr>
        <w:t>第三标段：75.</w:t>
      </w:r>
      <w:r>
        <w:rPr>
          <w:rFonts w:hint="eastAsia" w:ascii="宋体" w:hAnsi="宋体" w:cs="宋体"/>
          <w:color w:val="auto"/>
          <w:highlight w:val="none"/>
          <w:lang w:eastAsia="zh-CN"/>
        </w:rPr>
        <w:t>000000</w:t>
      </w:r>
      <w:r>
        <w:rPr>
          <w:rFonts w:hint="eastAsia" w:ascii="宋体" w:hAnsi="宋体" w:cs="宋体"/>
          <w:color w:val="auto"/>
          <w:highlight w:val="none"/>
        </w:rPr>
        <w:t>万元</w:t>
      </w:r>
    </w:p>
    <w:p w14:paraId="25180B09">
      <w:pPr>
        <w:ind w:firstLine="1200" w:firstLineChars="500"/>
        <w:rPr>
          <w:rFonts w:hint="default" w:ascii="宋体" w:hAnsi="宋体" w:cs="宋体"/>
          <w:color w:val="auto"/>
          <w:highlight w:val="none"/>
          <w:lang w:val="en-US" w:eastAsia="zh-CN"/>
        </w:rPr>
      </w:pPr>
      <w:r>
        <w:rPr>
          <w:rFonts w:hint="eastAsia" w:ascii="宋体" w:hAnsi="宋体" w:cs="宋体"/>
          <w:color w:val="auto"/>
          <w:highlight w:val="none"/>
          <w:lang w:val="en-US" w:eastAsia="zh-CN"/>
        </w:rPr>
        <w:t>第四标段：49.</w:t>
      </w:r>
      <w:r>
        <w:rPr>
          <w:rFonts w:hint="eastAsia" w:ascii="宋体" w:hAnsi="宋体" w:cs="宋体"/>
          <w:color w:val="auto"/>
          <w:highlight w:val="none"/>
          <w:lang w:eastAsia="zh-CN"/>
        </w:rPr>
        <w:t>000000</w:t>
      </w:r>
      <w:r>
        <w:rPr>
          <w:rFonts w:hint="eastAsia" w:ascii="宋体" w:hAnsi="宋体" w:cs="宋体"/>
          <w:color w:val="auto"/>
          <w:highlight w:val="none"/>
        </w:rPr>
        <w:t>万元</w:t>
      </w:r>
    </w:p>
    <w:p w14:paraId="4BF893D9">
      <w:pPr>
        <w:ind w:firstLine="1200" w:firstLineChars="500"/>
        <w:rPr>
          <w:rFonts w:hint="default" w:ascii="宋体" w:hAnsi="宋体" w:cs="宋体"/>
          <w:color w:val="auto"/>
          <w:highlight w:val="none"/>
          <w:lang w:val="en-US" w:eastAsia="zh-CN"/>
        </w:rPr>
      </w:pPr>
      <w:r>
        <w:rPr>
          <w:rFonts w:hint="eastAsia" w:ascii="宋体" w:hAnsi="宋体" w:cs="宋体"/>
          <w:color w:val="auto"/>
          <w:highlight w:val="none"/>
          <w:lang w:val="en-US" w:eastAsia="zh-CN"/>
        </w:rPr>
        <w:t>第五标段：47.5</w:t>
      </w:r>
      <w:r>
        <w:rPr>
          <w:rFonts w:hint="eastAsia" w:ascii="宋体" w:hAnsi="宋体" w:cs="宋体"/>
          <w:color w:val="auto"/>
          <w:highlight w:val="none"/>
          <w:lang w:eastAsia="zh-CN"/>
        </w:rPr>
        <w:t>00000</w:t>
      </w:r>
      <w:r>
        <w:rPr>
          <w:rFonts w:hint="eastAsia" w:ascii="宋体" w:hAnsi="宋体" w:cs="宋体"/>
          <w:color w:val="auto"/>
          <w:highlight w:val="none"/>
        </w:rPr>
        <w:t>万元</w:t>
      </w:r>
    </w:p>
    <w:p w14:paraId="26F44367">
      <w:pPr>
        <w:ind w:firstLine="1200" w:firstLineChars="500"/>
        <w:rPr>
          <w:rFonts w:hint="default" w:ascii="宋体" w:hAnsi="宋体" w:cs="宋体"/>
          <w:color w:val="auto"/>
          <w:highlight w:val="none"/>
          <w:lang w:val="en-US" w:eastAsia="zh-CN"/>
        </w:rPr>
      </w:pPr>
      <w:r>
        <w:rPr>
          <w:rFonts w:hint="eastAsia" w:ascii="宋体" w:hAnsi="宋体" w:cs="宋体"/>
          <w:color w:val="auto"/>
          <w:highlight w:val="none"/>
          <w:lang w:val="en-US" w:eastAsia="zh-CN"/>
        </w:rPr>
        <w:t>第六标段：43.</w:t>
      </w:r>
      <w:r>
        <w:rPr>
          <w:rFonts w:hint="eastAsia" w:ascii="宋体" w:hAnsi="宋体" w:cs="宋体"/>
          <w:color w:val="auto"/>
          <w:highlight w:val="none"/>
          <w:lang w:eastAsia="zh-CN"/>
        </w:rPr>
        <w:t>000000</w:t>
      </w:r>
      <w:r>
        <w:rPr>
          <w:rFonts w:hint="eastAsia" w:ascii="宋体" w:hAnsi="宋体" w:cs="宋体"/>
          <w:color w:val="auto"/>
          <w:highlight w:val="none"/>
        </w:rPr>
        <w:t>万元</w:t>
      </w:r>
    </w:p>
    <w:p w14:paraId="27A487F6">
      <w:pPr>
        <w:ind w:firstLine="480"/>
        <w:jc w:val="both"/>
        <w:rPr>
          <w:rFonts w:hint="eastAsia" w:ascii="宋体" w:hAnsi="宋体" w:eastAsia="宋体"/>
          <w:sz w:val="24"/>
          <w:highlight w:val="none"/>
          <w:lang w:eastAsia="zh-CN"/>
        </w:rPr>
      </w:pPr>
      <w:r>
        <w:rPr>
          <w:rFonts w:hint="eastAsia" w:ascii="宋体" w:hAnsi="宋体" w:cs="宋体"/>
          <w:color w:val="auto"/>
          <w:highlight w:val="none"/>
        </w:rPr>
        <w:t>采购需求：</w:t>
      </w:r>
      <w:bookmarkStart w:id="16" w:name="_Toc28359013"/>
      <w:bookmarkStart w:id="17" w:name="_Toc35393630"/>
      <w:bookmarkStart w:id="18" w:name="_Toc35393799"/>
      <w:bookmarkStart w:id="19" w:name="_Toc28359090"/>
      <w:r>
        <w:rPr>
          <w:rFonts w:hint="eastAsia" w:ascii="宋体" w:hAnsi="宋体"/>
          <w:sz w:val="24"/>
          <w:highlight w:val="none"/>
        </w:rPr>
        <w:t>2026-2027年国土空间咨询及土地报批</w:t>
      </w:r>
      <w:r>
        <w:rPr>
          <w:rFonts w:hint="eastAsia" w:ascii="宋体" w:hAnsi="宋体"/>
          <w:sz w:val="24"/>
          <w:highlight w:val="none"/>
          <w:lang w:eastAsia="zh-CN"/>
        </w:rPr>
        <w:t>：</w:t>
      </w:r>
    </w:p>
    <w:p w14:paraId="645CF096">
      <w:pPr>
        <w:ind w:firstLine="480"/>
        <w:jc w:val="both"/>
        <w:rPr>
          <w:rFonts w:hint="eastAsia" w:ascii="宋体" w:hAnsi="宋体" w:cs="宋体"/>
          <w:color w:val="auto"/>
          <w:highlight w:val="none"/>
        </w:rPr>
      </w:pPr>
      <w:r>
        <w:rPr>
          <w:rFonts w:hint="eastAsia" w:ascii="宋体" w:hAnsi="宋体" w:cs="宋体"/>
          <w:color w:val="auto"/>
          <w:highlight w:val="none"/>
        </w:rPr>
        <w:t>第一标段（分包1）：2026-2027年国土空间咨询及土地报批-中部片区</w:t>
      </w:r>
    </w:p>
    <w:p w14:paraId="28ACE3E7">
      <w:pPr>
        <w:ind w:firstLine="480"/>
        <w:jc w:val="both"/>
        <w:rPr>
          <w:rFonts w:hint="eastAsia" w:ascii="宋体" w:hAnsi="宋体" w:cs="宋体"/>
          <w:color w:val="auto"/>
          <w:highlight w:val="none"/>
        </w:rPr>
      </w:pPr>
      <w:r>
        <w:rPr>
          <w:rFonts w:hint="eastAsia" w:ascii="宋体" w:hAnsi="宋体" w:cs="宋体"/>
          <w:color w:val="auto"/>
          <w:highlight w:val="none"/>
        </w:rPr>
        <w:t>第二标段（分包2）：2026-2027年国土空间咨询及土地报批-南部片区</w:t>
      </w:r>
    </w:p>
    <w:p w14:paraId="1A0AFC78">
      <w:pPr>
        <w:ind w:firstLine="480"/>
        <w:jc w:val="both"/>
        <w:rPr>
          <w:rFonts w:hint="eastAsia" w:ascii="宋体" w:hAnsi="宋体" w:cs="宋体"/>
          <w:color w:val="auto"/>
          <w:highlight w:val="none"/>
        </w:rPr>
      </w:pPr>
      <w:r>
        <w:rPr>
          <w:rFonts w:hint="eastAsia" w:ascii="宋体" w:hAnsi="宋体" w:cs="宋体"/>
          <w:color w:val="auto"/>
          <w:highlight w:val="none"/>
        </w:rPr>
        <w:t>第三标段（分包3）：2026-2027年国土空间咨询及土地报批-中部片区（G524以西区域）</w:t>
      </w:r>
    </w:p>
    <w:p w14:paraId="33F4C673">
      <w:pPr>
        <w:ind w:firstLine="480"/>
        <w:jc w:val="both"/>
        <w:rPr>
          <w:rFonts w:hint="eastAsia" w:ascii="宋体" w:hAnsi="宋体" w:cs="宋体"/>
          <w:color w:val="auto"/>
          <w:highlight w:val="none"/>
        </w:rPr>
      </w:pPr>
      <w:r>
        <w:rPr>
          <w:rFonts w:hint="eastAsia" w:ascii="宋体" w:hAnsi="宋体" w:cs="宋体"/>
          <w:color w:val="auto"/>
          <w:highlight w:val="none"/>
        </w:rPr>
        <w:t>第四标段（分包4）：2026-2027年国土空间咨询及土地报批-南部片区（G524以西区域）</w:t>
      </w:r>
    </w:p>
    <w:p w14:paraId="4402682B">
      <w:pPr>
        <w:ind w:firstLine="480"/>
        <w:jc w:val="both"/>
        <w:rPr>
          <w:rFonts w:hint="eastAsia" w:ascii="宋体" w:hAnsi="宋体" w:cs="宋体"/>
          <w:color w:val="auto"/>
          <w:highlight w:val="none"/>
        </w:rPr>
      </w:pPr>
      <w:r>
        <w:rPr>
          <w:rFonts w:hint="eastAsia" w:ascii="宋体" w:hAnsi="宋体" w:cs="宋体"/>
          <w:color w:val="auto"/>
          <w:highlight w:val="none"/>
        </w:rPr>
        <w:t>第五标段（分包</w:t>
      </w:r>
      <w:r>
        <w:rPr>
          <w:rFonts w:hint="eastAsia" w:ascii="宋体" w:hAnsi="宋体" w:cs="宋体"/>
          <w:color w:val="auto"/>
          <w:highlight w:val="none"/>
          <w:lang w:val="en-US" w:eastAsia="zh-CN"/>
        </w:rPr>
        <w:t>5</w:t>
      </w:r>
      <w:r>
        <w:rPr>
          <w:rFonts w:hint="eastAsia" w:ascii="宋体" w:hAnsi="宋体" w:cs="宋体"/>
          <w:color w:val="auto"/>
          <w:highlight w:val="none"/>
        </w:rPr>
        <w:t>）：2026-2027年国土空间咨询及土地报批-北部片区</w:t>
      </w:r>
    </w:p>
    <w:p w14:paraId="28D0C6BD">
      <w:pPr>
        <w:ind w:firstLine="480"/>
        <w:jc w:val="both"/>
        <w:rPr>
          <w:rFonts w:hint="eastAsia" w:ascii="宋体" w:hAnsi="宋体" w:cs="宋体"/>
          <w:color w:val="auto"/>
          <w:highlight w:val="none"/>
        </w:rPr>
      </w:pPr>
      <w:r>
        <w:rPr>
          <w:rFonts w:hint="eastAsia" w:ascii="宋体" w:hAnsi="宋体" w:cs="宋体"/>
          <w:color w:val="auto"/>
          <w:highlight w:val="none"/>
        </w:rPr>
        <w:t>第六标段（分包6）：2026-2027年国土空间咨询及土地报批-北部片区（G524以西区域）</w:t>
      </w:r>
    </w:p>
    <w:p w14:paraId="68CB7030">
      <w:pPr>
        <w:ind w:firstLine="480"/>
        <w:jc w:val="both"/>
        <w:rPr>
          <w:rFonts w:hint="eastAsia" w:ascii="宋体" w:hAnsi="宋体" w:cs="宋体"/>
          <w:b/>
          <w:bCs/>
          <w:color w:val="auto"/>
          <w:highlight w:val="none"/>
        </w:rPr>
      </w:pPr>
      <w:r>
        <w:rPr>
          <w:rFonts w:hint="eastAsia" w:ascii="宋体" w:hAnsi="宋体" w:cs="宋体"/>
          <w:b/>
          <w:bCs/>
          <w:color w:val="auto"/>
          <w:highlight w:val="none"/>
          <w:lang w:val="en-US" w:eastAsia="zh-CN"/>
        </w:rPr>
        <w:t>注：区域划分以采购人实际情况安排为准，</w:t>
      </w:r>
      <w:r>
        <w:rPr>
          <w:rFonts w:hint="eastAsia" w:ascii="宋体" w:hAnsi="宋体" w:cs="宋体"/>
          <w:b/>
          <w:bCs/>
          <w:color w:val="auto"/>
          <w:highlight w:val="none"/>
        </w:rPr>
        <w:t>具体内容及要求详见招标文件。</w:t>
      </w:r>
    </w:p>
    <w:p w14:paraId="4029C8DC">
      <w:pPr>
        <w:ind w:firstLine="480"/>
        <w:rPr>
          <w:rFonts w:ascii="宋体" w:hAnsi="宋体" w:cs="宋体"/>
          <w:color w:val="auto"/>
          <w:highlight w:val="none"/>
        </w:rPr>
      </w:pPr>
      <w:bookmarkStart w:id="20" w:name="OLE_LINK39"/>
      <w:r>
        <w:rPr>
          <w:rFonts w:hint="eastAsia" w:ascii="宋体" w:hAnsi="宋体" w:cs="宋体"/>
          <w:color w:val="auto"/>
          <w:highlight w:val="none"/>
        </w:rPr>
        <w:t>合同履行期限：</w:t>
      </w:r>
      <w:bookmarkEnd w:id="20"/>
      <w:r>
        <w:rPr>
          <w:rFonts w:hint="eastAsia" w:ascii="宋体" w:hAnsi="宋体" w:cs="宋体"/>
          <w:color w:val="auto"/>
          <w:highlight w:val="none"/>
          <w:lang w:eastAsia="zh-CN"/>
        </w:rPr>
        <w:t>自政府采购合同签订生效后一年（具体时间以采购人通知为准），或累计结算金额达到各标段预算金额为止（以二者先达到者为准）</w:t>
      </w:r>
    </w:p>
    <w:p w14:paraId="3B977EFB">
      <w:pPr>
        <w:ind w:firstLine="480"/>
        <w:rPr>
          <w:rFonts w:ascii="宋体" w:hAnsi="宋体" w:cs="宋体"/>
          <w:color w:val="auto"/>
          <w:highlight w:val="none"/>
        </w:rPr>
      </w:pPr>
      <w:r>
        <w:rPr>
          <w:rFonts w:hint="eastAsia" w:ascii="宋体" w:hAnsi="宋体" w:cs="宋体"/>
          <w:color w:val="auto"/>
          <w:highlight w:val="none"/>
        </w:rPr>
        <w:t>本项目（是/否）接受联合体投标：否</w:t>
      </w:r>
    </w:p>
    <w:p w14:paraId="0CEFF3CE">
      <w:pPr>
        <w:rPr>
          <w:rFonts w:ascii="宋体" w:hAnsi="宋体" w:cs="宋体"/>
          <w:b/>
          <w:bCs/>
          <w:color w:val="auto"/>
          <w:highlight w:val="none"/>
        </w:rPr>
      </w:pPr>
      <w:r>
        <w:rPr>
          <w:rFonts w:hint="eastAsia" w:ascii="宋体" w:hAnsi="宋体" w:cs="宋体"/>
          <w:b/>
          <w:bCs/>
          <w:color w:val="auto"/>
          <w:highlight w:val="none"/>
        </w:rPr>
        <w:t>二、申请人的资格要求</w:t>
      </w:r>
      <w:bookmarkEnd w:id="16"/>
      <w:bookmarkEnd w:id="17"/>
      <w:bookmarkEnd w:id="18"/>
      <w:bookmarkEnd w:id="19"/>
      <w:bookmarkStart w:id="21" w:name="_Toc28359014"/>
      <w:bookmarkStart w:id="22" w:name="_Toc28359091"/>
    </w:p>
    <w:p w14:paraId="03EB205C">
      <w:pPr>
        <w:ind w:firstLine="480"/>
        <w:rPr>
          <w:rFonts w:ascii="宋体" w:hAnsi="宋体" w:cs="宋体"/>
          <w:color w:val="auto"/>
          <w:highlight w:val="none"/>
        </w:rPr>
      </w:pPr>
      <w:r>
        <w:rPr>
          <w:rFonts w:hint="eastAsia" w:ascii="宋体" w:hAnsi="宋体" w:cs="宋体"/>
          <w:color w:val="auto"/>
          <w:highlight w:val="none"/>
        </w:rPr>
        <w:t>（一）满足《中华人民共和国政府采购法》第二十二条规定：</w:t>
      </w:r>
    </w:p>
    <w:p w14:paraId="7B3FC0AE">
      <w:pPr>
        <w:ind w:firstLine="480"/>
        <w:rPr>
          <w:rFonts w:ascii="宋体" w:hAnsi="宋体" w:cs="宋体"/>
          <w:color w:val="auto"/>
          <w:highlight w:val="none"/>
        </w:rPr>
      </w:pPr>
      <w:r>
        <w:rPr>
          <w:rFonts w:hint="eastAsia" w:ascii="宋体" w:hAnsi="宋体" w:cs="宋体"/>
          <w:color w:val="auto"/>
          <w:highlight w:val="none"/>
        </w:rPr>
        <w:t>1.具有独立承担民事责任的能力；</w:t>
      </w:r>
    </w:p>
    <w:p w14:paraId="1C19408A">
      <w:pPr>
        <w:ind w:firstLine="480"/>
        <w:rPr>
          <w:rFonts w:ascii="宋体" w:hAnsi="宋体" w:cs="宋体"/>
          <w:color w:val="auto"/>
          <w:highlight w:val="none"/>
        </w:rPr>
      </w:pPr>
      <w:r>
        <w:rPr>
          <w:rFonts w:hint="eastAsia" w:ascii="宋体" w:hAnsi="宋体" w:cs="宋体"/>
          <w:color w:val="auto"/>
          <w:highlight w:val="none"/>
        </w:rPr>
        <w:t>2.具有良好的商业信誉和健全的财务会计制度；</w:t>
      </w:r>
    </w:p>
    <w:p w14:paraId="530A38D1">
      <w:pPr>
        <w:ind w:firstLine="480"/>
        <w:rPr>
          <w:rFonts w:ascii="宋体" w:hAnsi="宋体" w:cs="宋体"/>
          <w:color w:val="auto"/>
          <w:highlight w:val="none"/>
        </w:rPr>
      </w:pPr>
      <w:r>
        <w:rPr>
          <w:rFonts w:hint="eastAsia" w:ascii="宋体" w:hAnsi="宋体" w:cs="宋体"/>
          <w:color w:val="auto"/>
          <w:highlight w:val="none"/>
        </w:rPr>
        <w:t>3.具有履行合同所必需的设备和专业技术能力；</w:t>
      </w:r>
    </w:p>
    <w:p w14:paraId="14872B7D">
      <w:pPr>
        <w:ind w:firstLine="480"/>
        <w:rPr>
          <w:rFonts w:ascii="宋体" w:hAnsi="宋体" w:cs="宋体"/>
          <w:color w:val="auto"/>
          <w:highlight w:val="none"/>
        </w:rPr>
      </w:pPr>
      <w:r>
        <w:rPr>
          <w:rFonts w:hint="eastAsia" w:ascii="宋体" w:hAnsi="宋体" w:cs="宋体"/>
          <w:color w:val="auto"/>
          <w:highlight w:val="none"/>
        </w:rPr>
        <w:t>4.有依法缴纳税收和社会保障资金的良好记录；</w:t>
      </w:r>
    </w:p>
    <w:p w14:paraId="3E9BE87E">
      <w:pPr>
        <w:ind w:firstLine="480"/>
        <w:rPr>
          <w:rFonts w:ascii="宋体" w:hAnsi="宋体" w:cs="宋体"/>
          <w:color w:val="auto"/>
          <w:highlight w:val="none"/>
        </w:rPr>
      </w:pPr>
      <w:r>
        <w:rPr>
          <w:rFonts w:hint="eastAsia" w:ascii="宋体" w:hAnsi="宋体" w:cs="宋体"/>
          <w:color w:val="auto"/>
          <w:highlight w:val="none"/>
        </w:rPr>
        <w:t>5.参加政府采购活动前三年内，在经营活动中没有重大违法记录；</w:t>
      </w:r>
    </w:p>
    <w:p w14:paraId="3E649E0C">
      <w:pPr>
        <w:ind w:firstLine="480"/>
        <w:rPr>
          <w:rFonts w:ascii="宋体" w:hAnsi="宋体" w:cs="宋体"/>
          <w:color w:val="auto"/>
          <w:highlight w:val="none"/>
        </w:rPr>
      </w:pPr>
      <w:r>
        <w:rPr>
          <w:rFonts w:hint="eastAsia" w:ascii="宋体" w:hAnsi="宋体" w:cs="宋体"/>
          <w:color w:val="auto"/>
          <w:highlight w:val="none"/>
        </w:rPr>
        <w:t>6.</w:t>
      </w:r>
      <w:bookmarkStart w:id="23" w:name="_Toc35393631"/>
      <w:bookmarkStart w:id="24" w:name="_Toc35393800"/>
      <w:r>
        <w:rPr>
          <w:rFonts w:hint="eastAsia" w:ascii="宋体" w:hAnsi="宋体" w:cs="宋体"/>
          <w:color w:val="auto"/>
          <w:highlight w:val="none"/>
        </w:rPr>
        <w:t>法律、行政法规规定的其他条件。</w:t>
      </w:r>
    </w:p>
    <w:p w14:paraId="0850CCC6">
      <w:pPr>
        <w:ind w:firstLine="480"/>
        <w:rPr>
          <w:rFonts w:hint="eastAsia" w:ascii="宋体" w:hAnsi="宋体" w:cs="宋体"/>
          <w:color w:val="auto"/>
          <w:highlight w:val="none"/>
          <w:lang w:val="en-US" w:eastAsia="zh-CN"/>
        </w:rPr>
      </w:pPr>
      <w:r>
        <w:rPr>
          <w:rFonts w:hint="eastAsia" w:ascii="宋体" w:hAnsi="宋体" w:cs="宋体"/>
          <w:color w:val="auto"/>
          <w:highlight w:val="none"/>
        </w:rPr>
        <w:t>（二）落实政府采购政策需满足的资格要求：本项目专门面向中小企业，所属行业为</w:t>
      </w:r>
      <w:r>
        <w:rPr>
          <w:rFonts w:hint="eastAsia" w:ascii="宋体" w:hAnsi="宋体" w:cs="宋体"/>
          <w:color w:val="auto"/>
          <w:highlight w:val="none"/>
          <w:lang w:val="en-US" w:eastAsia="zh-CN"/>
        </w:rPr>
        <w:t>其他未列明行业</w:t>
      </w:r>
      <w:r>
        <w:rPr>
          <w:rFonts w:hint="eastAsia" w:ascii="宋体" w:hAnsi="宋体" w:cs="宋体"/>
          <w:color w:val="auto"/>
          <w:highlight w:val="none"/>
        </w:rPr>
        <w:t>，供应商应为中小微企业或监狱企业或残疾人福利性单位。</w:t>
      </w:r>
    </w:p>
    <w:p w14:paraId="5B24F1C5">
      <w:pPr>
        <w:ind w:firstLine="480"/>
        <w:rPr>
          <w:rFonts w:ascii="宋体" w:hAnsi="宋体" w:cs="宋体"/>
          <w:bCs/>
          <w:color w:val="auto"/>
          <w:highlight w:val="none"/>
        </w:rPr>
      </w:pPr>
      <w:r>
        <w:rPr>
          <w:rFonts w:hint="eastAsia" w:ascii="宋体" w:hAnsi="宋体" w:cs="宋体"/>
          <w:bCs/>
          <w:color w:val="auto"/>
          <w:highlight w:val="none"/>
        </w:rPr>
        <w:t>（三）本项目的特定资格要求：</w:t>
      </w:r>
    </w:p>
    <w:p w14:paraId="697BE053">
      <w:pPr>
        <w:ind w:firstLine="480"/>
        <w:rPr>
          <w:rFonts w:ascii="宋体" w:hAnsi="宋体" w:cs="宋体"/>
          <w:bCs/>
          <w:color w:val="auto"/>
          <w:highlight w:val="none"/>
        </w:rPr>
      </w:pPr>
      <w:r>
        <w:rPr>
          <w:rFonts w:hint="eastAsia" w:ascii="宋体" w:hAnsi="宋体" w:cs="宋体"/>
          <w:color w:val="auto"/>
          <w:highlight w:val="none"/>
          <w:shd w:val="clear" w:color="auto" w:fill="FFFFFF"/>
          <w:lang w:val="en-US" w:eastAsia="zh-CN"/>
        </w:rPr>
        <w:t>1.</w:t>
      </w:r>
      <w:r>
        <w:rPr>
          <w:rFonts w:hint="eastAsia" w:ascii="宋体" w:hAnsi="宋体" w:cs="宋体"/>
          <w:color w:val="auto"/>
          <w:highlight w:val="none"/>
          <w:shd w:val="clear" w:color="auto" w:fill="FFFFFF"/>
        </w:rPr>
        <w:t>未被“信用中国”网站（www.creditchina.gov.cn）列入失信被执行人、重大税收违法案件当事人名单、政府采购严重失信行为记录名单</w:t>
      </w:r>
      <w:r>
        <w:rPr>
          <w:rFonts w:hint="eastAsia" w:ascii="宋体" w:hAnsi="宋体" w:cs="宋体"/>
          <w:bCs/>
          <w:color w:val="auto"/>
          <w:highlight w:val="none"/>
        </w:rPr>
        <w:t>。</w:t>
      </w:r>
    </w:p>
    <w:p w14:paraId="56F1B9B7">
      <w:pPr>
        <w:rPr>
          <w:rFonts w:ascii="宋体" w:hAnsi="宋体" w:cs="宋体"/>
          <w:b/>
          <w:bCs/>
          <w:color w:val="auto"/>
          <w:highlight w:val="none"/>
        </w:rPr>
      </w:pPr>
      <w:r>
        <w:rPr>
          <w:rFonts w:hint="eastAsia" w:ascii="宋体" w:hAnsi="宋体" w:cs="宋体"/>
          <w:b/>
          <w:bCs/>
          <w:color w:val="auto"/>
          <w:highlight w:val="none"/>
        </w:rPr>
        <w:t>三、获取</w:t>
      </w:r>
      <w:bookmarkEnd w:id="21"/>
      <w:bookmarkEnd w:id="22"/>
      <w:bookmarkEnd w:id="23"/>
      <w:bookmarkEnd w:id="24"/>
      <w:r>
        <w:rPr>
          <w:rFonts w:hint="eastAsia" w:ascii="宋体" w:hAnsi="宋体" w:cs="宋体"/>
          <w:b/>
          <w:bCs/>
          <w:color w:val="auto"/>
          <w:highlight w:val="none"/>
        </w:rPr>
        <w:t>招标文件</w:t>
      </w:r>
    </w:p>
    <w:p w14:paraId="27818C84">
      <w:pPr>
        <w:ind w:firstLine="480"/>
        <w:rPr>
          <w:rFonts w:ascii="宋体" w:hAnsi="宋体" w:cs="宋体"/>
          <w:color w:val="auto"/>
          <w:highlight w:val="none"/>
          <w:shd w:val="clear" w:color="auto" w:fill="FFFFFF"/>
        </w:rPr>
      </w:pPr>
      <w:r>
        <w:rPr>
          <w:rFonts w:hint="eastAsia" w:ascii="宋体" w:hAnsi="宋体" w:cs="宋体"/>
          <w:color w:val="auto"/>
          <w:highlight w:val="none"/>
          <w:shd w:val="clear" w:color="auto" w:fill="FFFFFF"/>
        </w:rPr>
        <w:t>时间：自招标文件公告发布之日起5个工作日</w:t>
      </w:r>
    </w:p>
    <w:p w14:paraId="5CD0F087">
      <w:pPr>
        <w:ind w:firstLine="480"/>
        <w:rPr>
          <w:rFonts w:ascii="宋体" w:hAnsi="宋体" w:cs="宋体"/>
          <w:color w:val="auto"/>
          <w:highlight w:val="none"/>
          <w:shd w:val="clear" w:color="auto" w:fill="FFFFFF"/>
        </w:rPr>
      </w:pPr>
      <w:r>
        <w:rPr>
          <w:rFonts w:hint="eastAsia" w:ascii="宋体" w:hAnsi="宋体" w:cs="宋体"/>
          <w:color w:val="auto"/>
          <w:highlight w:val="none"/>
          <w:shd w:val="clear" w:color="auto" w:fill="FFFFFF"/>
        </w:rPr>
        <w:t>地点：“苏采云”系统（网址：http://jszfcg.jsczt.</w:t>
      </w:r>
      <w:r>
        <w:rPr>
          <w:rFonts w:hint="eastAsia" w:ascii="宋体" w:hAnsi="宋体" w:cs="宋体"/>
          <w:color w:val="auto"/>
          <w:highlight w:val="none"/>
        </w:rPr>
        <w:t>cn/）</w:t>
      </w:r>
    </w:p>
    <w:p w14:paraId="5E1B22C5">
      <w:pPr>
        <w:ind w:firstLine="480"/>
        <w:rPr>
          <w:rFonts w:ascii="宋体" w:hAnsi="宋体" w:cs="宋体"/>
          <w:color w:val="auto"/>
          <w:highlight w:val="none"/>
          <w:shd w:val="clear" w:color="auto" w:fill="FFFFFF"/>
        </w:rPr>
      </w:pPr>
      <w:r>
        <w:rPr>
          <w:rFonts w:hint="eastAsia" w:ascii="宋体" w:hAnsi="宋体" w:cs="宋体"/>
          <w:color w:val="auto"/>
          <w:highlight w:val="none"/>
          <w:shd w:val="clear" w:color="auto" w:fill="FFFFFF"/>
        </w:rPr>
        <w:t>方式：投标人在“苏采</w:t>
      </w:r>
      <w:r>
        <w:rPr>
          <w:rFonts w:hint="eastAsia" w:ascii="宋体" w:hAnsi="宋体" w:cs="宋体"/>
          <w:color w:val="auto"/>
          <w:highlight w:val="none"/>
        </w:rPr>
        <w:t>云”系统自行下载招标文件。</w:t>
      </w:r>
    </w:p>
    <w:p w14:paraId="5A6C1F6B">
      <w:pPr>
        <w:ind w:firstLine="480"/>
        <w:rPr>
          <w:rFonts w:ascii="宋体" w:hAnsi="宋体" w:cs="宋体"/>
          <w:color w:val="auto"/>
          <w:highlight w:val="none"/>
          <w:shd w:val="clear" w:color="auto" w:fill="FFFFFF"/>
        </w:rPr>
      </w:pPr>
      <w:r>
        <w:rPr>
          <w:rFonts w:hint="eastAsia" w:ascii="宋体" w:hAnsi="宋体" w:cs="宋体"/>
          <w:color w:val="auto"/>
          <w:highlight w:val="none"/>
          <w:shd w:val="clear" w:color="auto" w:fill="FFFFFF"/>
        </w:rPr>
        <w:t>售价：0.00元 </w:t>
      </w:r>
      <w:bookmarkEnd w:id="11"/>
    </w:p>
    <w:p w14:paraId="114A69AA">
      <w:pPr>
        <w:rPr>
          <w:rFonts w:ascii="宋体" w:hAnsi="宋体" w:cs="宋体"/>
          <w:b/>
          <w:bCs/>
          <w:color w:val="auto"/>
          <w:highlight w:val="none"/>
        </w:rPr>
      </w:pPr>
      <w:r>
        <w:rPr>
          <w:rFonts w:hint="eastAsia" w:ascii="宋体" w:hAnsi="宋体" w:cs="宋体"/>
          <w:b/>
          <w:bCs/>
          <w:color w:val="auto"/>
          <w:highlight w:val="none"/>
        </w:rPr>
        <w:t>四、提交投标文件截止时间、开标时间和地点</w:t>
      </w:r>
    </w:p>
    <w:p w14:paraId="1FFB8049">
      <w:pPr>
        <w:ind w:firstLine="480"/>
        <w:rPr>
          <w:rFonts w:ascii="宋体" w:hAnsi="宋体" w:cs="宋体"/>
          <w:color w:val="auto"/>
          <w:highlight w:val="none"/>
        </w:rPr>
      </w:pPr>
      <w:r>
        <w:rPr>
          <w:rFonts w:hint="eastAsia" w:ascii="宋体" w:hAnsi="宋体" w:cs="宋体"/>
          <w:color w:val="auto"/>
          <w:highlight w:val="none"/>
        </w:rPr>
        <w:t>2026-</w:t>
      </w:r>
      <w:r>
        <w:rPr>
          <w:rFonts w:hint="eastAsia" w:ascii="宋体" w:hAnsi="宋体" w:cs="宋体"/>
          <w:color w:val="auto"/>
          <w:highlight w:val="none"/>
          <w:lang w:val="en-US" w:eastAsia="zh-CN"/>
        </w:rPr>
        <w:t>10</w:t>
      </w:r>
      <w:r>
        <w:rPr>
          <w:rFonts w:hint="eastAsia" w:ascii="宋体" w:hAnsi="宋体" w:cs="宋体"/>
          <w:color w:val="auto"/>
          <w:highlight w:val="none"/>
        </w:rPr>
        <w:t>-</w:t>
      </w:r>
      <w:r>
        <w:rPr>
          <w:rFonts w:hint="eastAsia" w:ascii="宋体" w:hAnsi="宋体" w:cs="宋体"/>
          <w:color w:val="auto"/>
          <w:highlight w:val="none"/>
          <w:lang w:val="en-US" w:eastAsia="zh-CN"/>
        </w:rPr>
        <w:t xml:space="preserve">12 </w:t>
      </w:r>
      <w:r>
        <w:rPr>
          <w:rFonts w:hint="eastAsia" w:ascii="宋体" w:hAnsi="宋体" w:cs="宋体"/>
          <w:color w:val="auto"/>
          <w:highlight w:val="none"/>
        </w:rPr>
        <w:t xml:space="preserve"> </w:t>
      </w:r>
      <w:r>
        <w:rPr>
          <w:rFonts w:hint="eastAsia" w:ascii="宋体" w:hAnsi="宋体" w:cs="宋体"/>
          <w:color w:val="auto"/>
          <w:highlight w:val="none"/>
          <w:lang w:val="en-US" w:eastAsia="zh-CN"/>
        </w:rPr>
        <w:t>09</w:t>
      </w:r>
      <w:r>
        <w:rPr>
          <w:rFonts w:hint="eastAsia" w:ascii="宋体" w:hAnsi="宋体" w:cs="宋体"/>
          <w:color w:val="auto"/>
          <w:highlight w:val="none"/>
        </w:rPr>
        <w:t>：30（北京时间）</w:t>
      </w:r>
    </w:p>
    <w:p w14:paraId="48157579">
      <w:pPr>
        <w:ind w:firstLine="480"/>
        <w:rPr>
          <w:rFonts w:ascii="宋体" w:hAnsi="宋体" w:cs="宋体"/>
          <w:b/>
          <w:color w:val="auto"/>
          <w:highlight w:val="none"/>
        </w:rPr>
      </w:pPr>
      <w:r>
        <w:rPr>
          <w:rFonts w:hint="eastAsia" w:ascii="宋体" w:hAnsi="宋体" w:cs="宋体"/>
          <w:color w:val="auto"/>
          <w:highlight w:val="none"/>
        </w:rPr>
        <w:t>地点：“苏采云”系统（网址：http://jszfcg.jsczt.cn/）</w:t>
      </w:r>
    </w:p>
    <w:p w14:paraId="29B7F08A">
      <w:pPr>
        <w:rPr>
          <w:rFonts w:ascii="宋体" w:hAnsi="宋体" w:cs="宋体"/>
          <w:b/>
          <w:bCs/>
          <w:color w:val="auto"/>
          <w:highlight w:val="none"/>
        </w:rPr>
      </w:pPr>
      <w:r>
        <w:rPr>
          <w:rFonts w:hint="eastAsia" w:ascii="宋体" w:hAnsi="宋体" w:cs="宋体"/>
          <w:b/>
          <w:bCs/>
          <w:color w:val="auto"/>
          <w:highlight w:val="none"/>
        </w:rPr>
        <w:t>五、公告期限</w:t>
      </w:r>
    </w:p>
    <w:p w14:paraId="7606C440">
      <w:pPr>
        <w:ind w:firstLine="480"/>
        <w:rPr>
          <w:rFonts w:ascii="宋体" w:hAnsi="宋体" w:cs="宋体"/>
          <w:b/>
          <w:color w:val="auto"/>
          <w:highlight w:val="none"/>
        </w:rPr>
      </w:pPr>
      <w:r>
        <w:rPr>
          <w:rFonts w:hint="eastAsia" w:ascii="宋体" w:hAnsi="宋体" w:cs="宋体"/>
          <w:color w:val="auto"/>
          <w:highlight w:val="none"/>
        </w:rPr>
        <w:t>自本公告发布之日起5个工作日。</w:t>
      </w:r>
    </w:p>
    <w:p w14:paraId="5A5DCA21">
      <w:pPr>
        <w:rPr>
          <w:rFonts w:ascii="宋体" w:hAnsi="宋体" w:cs="宋体"/>
          <w:b/>
          <w:bCs/>
          <w:color w:val="auto"/>
          <w:highlight w:val="none"/>
        </w:rPr>
      </w:pPr>
      <w:r>
        <w:rPr>
          <w:rFonts w:hint="eastAsia" w:ascii="宋体" w:hAnsi="宋体" w:cs="宋体"/>
          <w:b/>
          <w:bCs/>
          <w:color w:val="auto"/>
          <w:highlight w:val="none"/>
        </w:rPr>
        <w:t>六、其他补充事宜</w:t>
      </w:r>
    </w:p>
    <w:p w14:paraId="6D46E8EC">
      <w:pPr>
        <w:ind w:firstLine="480"/>
        <w:rPr>
          <w:rFonts w:ascii="宋体" w:hAnsi="宋体" w:cs="宋体"/>
          <w:color w:val="auto"/>
          <w:highlight w:val="none"/>
        </w:rPr>
      </w:pPr>
      <w:r>
        <w:rPr>
          <w:rFonts w:hint="eastAsia" w:ascii="宋体" w:hAnsi="宋体" w:cs="宋体"/>
          <w:color w:val="auto"/>
          <w:highlight w:val="none"/>
        </w:rPr>
        <w:t>1.政府采购监管部门监督电话：</w:t>
      </w:r>
      <w:r>
        <w:rPr>
          <w:rFonts w:hint="eastAsia" w:ascii="宋体" w:hAnsi="宋体" w:eastAsia="宋体"/>
          <w:color w:val="000000"/>
          <w:sz w:val="24"/>
          <w:highlight w:val="none"/>
        </w:rPr>
        <w:t>0512-67591005、0512-67591006</w:t>
      </w:r>
      <w:r>
        <w:rPr>
          <w:rFonts w:hint="eastAsia" w:ascii="宋体" w:hAnsi="宋体" w:cs="宋体"/>
          <w:color w:val="auto"/>
          <w:highlight w:val="none"/>
        </w:rPr>
        <w:t>。</w:t>
      </w:r>
    </w:p>
    <w:p w14:paraId="27ED4172">
      <w:pPr>
        <w:ind w:firstLine="480"/>
        <w:rPr>
          <w:rFonts w:ascii="宋体" w:hAnsi="宋体" w:cs="宋体"/>
          <w:b/>
          <w:color w:val="auto"/>
          <w:highlight w:val="none"/>
        </w:rPr>
      </w:pPr>
      <w:r>
        <w:rPr>
          <w:rFonts w:hint="eastAsia" w:ascii="宋体" w:hAnsi="宋体" w:cs="宋体"/>
          <w:color w:val="auto"/>
          <w:highlight w:val="none"/>
        </w:rPr>
        <w:t>2.本次采购的有关信息将在中国政府采购网、江苏政府采购网、苏州市政府采购网上发布，敬请留意。</w:t>
      </w:r>
    </w:p>
    <w:p w14:paraId="19B00191">
      <w:pPr>
        <w:ind w:firstLine="480"/>
        <w:rPr>
          <w:rFonts w:ascii="宋体" w:hAnsi="宋体" w:cs="宋体"/>
          <w:color w:val="auto"/>
          <w:highlight w:val="none"/>
        </w:rPr>
      </w:pPr>
      <w:r>
        <w:rPr>
          <w:rFonts w:hint="eastAsia" w:ascii="宋体" w:hAnsi="宋体" w:cs="宋体"/>
          <w:color w:val="auto"/>
          <w:highlight w:val="none"/>
        </w:rPr>
        <w:t>3.拒绝下述投标人参加本次采购活动：</w:t>
      </w:r>
    </w:p>
    <w:p w14:paraId="1D66D989">
      <w:pPr>
        <w:ind w:firstLine="480"/>
        <w:rPr>
          <w:rFonts w:ascii="宋体" w:hAnsi="宋体" w:cs="宋体"/>
          <w:color w:val="auto"/>
          <w:highlight w:val="none"/>
        </w:rPr>
      </w:pPr>
      <w:r>
        <w:rPr>
          <w:rFonts w:hint="eastAsia" w:ascii="宋体" w:hAnsi="宋体" w:cs="宋体"/>
          <w:color w:val="auto"/>
          <w:highlight w:val="none"/>
        </w:rPr>
        <w:t>（1）单位负责人为同一人或者存在直接控股、管理关系的不同投标人，不得参加同一合同项下的政府采购活动。</w:t>
      </w:r>
    </w:p>
    <w:p w14:paraId="22F7F36E">
      <w:pPr>
        <w:ind w:firstLine="480"/>
        <w:rPr>
          <w:rFonts w:ascii="宋体" w:hAnsi="宋体" w:cs="宋体"/>
          <w:color w:val="auto"/>
          <w:highlight w:val="none"/>
        </w:rPr>
      </w:pPr>
      <w:r>
        <w:rPr>
          <w:rFonts w:hint="eastAsia" w:ascii="宋体" w:hAnsi="宋体" w:cs="宋体"/>
          <w:bCs/>
          <w:color w:val="auto"/>
          <w:highlight w:val="none"/>
        </w:rPr>
        <w:t>（2）凡为采购项目提供整体设计、规范编制或者项目管理、监理、检测等服务的</w:t>
      </w:r>
      <w:r>
        <w:rPr>
          <w:rFonts w:hint="eastAsia" w:ascii="宋体" w:hAnsi="宋体" w:cs="宋体"/>
          <w:color w:val="auto"/>
          <w:highlight w:val="none"/>
        </w:rPr>
        <w:t>投标人</w:t>
      </w:r>
      <w:r>
        <w:rPr>
          <w:rFonts w:hint="eastAsia" w:ascii="宋体" w:hAnsi="宋体" w:cs="宋体"/>
          <w:bCs/>
          <w:color w:val="auto"/>
          <w:highlight w:val="none"/>
        </w:rPr>
        <w:t>，不得再参加本项目的招标活动。</w:t>
      </w:r>
    </w:p>
    <w:p w14:paraId="50904DFC">
      <w:pPr>
        <w:ind w:firstLine="480"/>
        <w:rPr>
          <w:rFonts w:ascii="宋体" w:hAnsi="宋体" w:cs="宋体"/>
          <w:color w:val="auto"/>
          <w:highlight w:val="none"/>
        </w:rPr>
      </w:pPr>
      <w:r>
        <w:rPr>
          <w:rFonts w:hint="eastAsia" w:ascii="宋体" w:hAnsi="宋体" w:cs="宋体"/>
          <w:bCs/>
          <w:color w:val="auto"/>
          <w:highlight w:val="none"/>
        </w:rPr>
        <w:t>（3）拒绝签订本政府采购合同的中标人不得参加对该项目重新开展的招标活动。</w:t>
      </w:r>
    </w:p>
    <w:p w14:paraId="01291987">
      <w:pPr>
        <w:ind w:firstLine="480"/>
        <w:rPr>
          <w:rFonts w:ascii="宋体" w:hAnsi="宋体" w:cs="宋体"/>
          <w:color w:val="auto"/>
          <w:highlight w:val="none"/>
        </w:rPr>
      </w:pPr>
      <w:r>
        <w:rPr>
          <w:rFonts w:hint="eastAsia" w:ascii="宋体" w:hAnsi="宋体" w:cs="宋体"/>
          <w:bCs/>
          <w:color w:val="auto"/>
          <w:highlight w:val="none"/>
        </w:rPr>
        <w:t>（4）根据政府采购法及相关法规，以及苏州市财政局《关于印发苏州市市级政府采购信用记录查询和使用工作试行办法的通知》（苏财购〔2017〕11号）、〈财政部关于《中华人民共和国政府采购法实施条例》第十九条第一款“较大数额罚款”具体适用问题的意见〉（财库〔2022〕3号）文件的规定，采购人或采购代理机构将对投标人进行信用查询。对列入失信被执行人名单、重大税收违法案件当事人名单、政府采购严重违法失信行为记录名单以及其他有关部门、单位认定的不良信用记录的投标人，拒绝其参与政府采购活动。</w:t>
      </w:r>
    </w:p>
    <w:p w14:paraId="5C540B31">
      <w:pPr>
        <w:ind w:firstLine="480"/>
        <w:rPr>
          <w:rFonts w:ascii="宋体" w:hAnsi="宋体" w:cs="宋体"/>
          <w:color w:val="auto"/>
          <w:highlight w:val="none"/>
        </w:rPr>
      </w:pPr>
      <w:r>
        <w:rPr>
          <w:rFonts w:hint="eastAsia" w:ascii="宋体" w:hAnsi="宋体" w:cs="宋体"/>
          <w:color w:val="auto"/>
          <w:highlight w:val="none"/>
        </w:rPr>
        <w:t>4.招标文件的获取方式：</w:t>
      </w:r>
    </w:p>
    <w:p w14:paraId="47E054A9">
      <w:pPr>
        <w:ind w:firstLine="480"/>
        <w:rPr>
          <w:rFonts w:ascii="宋体" w:hAnsi="宋体" w:cs="宋体"/>
          <w:color w:val="auto"/>
          <w:highlight w:val="none"/>
        </w:rPr>
      </w:pPr>
      <w:r>
        <w:rPr>
          <w:rFonts w:hint="eastAsia" w:ascii="宋体" w:hAnsi="宋体" w:cs="宋体"/>
          <w:color w:val="auto"/>
          <w:highlight w:val="none"/>
        </w:rPr>
        <w:t>（1）CA办理</w:t>
      </w:r>
    </w:p>
    <w:p w14:paraId="7200231D">
      <w:pPr>
        <w:ind w:firstLine="480"/>
        <w:rPr>
          <w:rFonts w:ascii="宋体" w:hAnsi="宋体" w:cs="宋体"/>
          <w:b/>
          <w:bCs/>
          <w:color w:val="auto"/>
          <w:highlight w:val="none"/>
        </w:rPr>
      </w:pPr>
      <w:r>
        <w:rPr>
          <w:rFonts w:hint="eastAsia" w:ascii="宋体" w:hAnsi="宋体" w:cs="宋体"/>
          <w:color w:val="auto"/>
          <w:highlight w:val="none"/>
        </w:rPr>
        <w:t>投标人通过江苏省政府采购一体化平台“苏采云”系统（以下简称“苏采云”系统，网址：http://jszfcg.jsczt.cn/）参与政府采购活动，需办理江苏省电子政务证书认证中心CA证书和方正国际软件（北京）有限公司电子签章。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cs="宋体"/>
          <w:b/>
          <w:bCs/>
          <w:color w:val="auto"/>
          <w:highlight w:val="none"/>
        </w:rPr>
        <w:t>苏州现场办理地址：苏州高新区邓尉路105号狮山科技馆1楼服务大厅，咨询电话：0512-65737699。</w:t>
      </w:r>
    </w:p>
    <w:p w14:paraId="63395A7C">
      <w:pPr>
        <w:ind w:firstLine="480"/>
        <w:rPr>
          <w:rFonts w:ascii="宋体" w:hAnsi="宋体" w:cs="宋体"/>
          <w:color w:val="auto"/>
          <w:highlight w:val="none"/>
        </w:rPr>
      </w:pPr>
      <w:r>
        <w:rPr>
          <w:rFonts w:hint="eastAsia" w:ascii="宋体" w:hAnsi="宋体" w:cs="宋体"/>
          <w:color w:val="auto"/>
          <w:highlight w:val="none"/>
        </w:rPr>
        <w:t>（2）依法获取招标文件</w:t>
      </w:r>
    </w:p>
    <w:p w14:paraId="6AC454BF">
      <w:pPr>
        <w:ind w:firstLine="480"/>
        <w:rPr>
          <w:rFonts w:ascii="宋体" w:hAnsi="宋体" w:cs="宋体"/>
          <w:color w:val="auto"/>
          <w:highlight w:val="none"/>
        </w:rPr>
      </w:pPr>
      <w:r>
        <w:rPr>
          <w:rFonts w:hint="eastAsia" w:ascii="宋体" w:hAnsi="宋体" w:cs="宋体"/>
          <w:color w:val="auto"/>
          <w:highlight w:val="none"/>
        </w:rPr>
        <w:t>投标人插入CA证书登陆“苏采云”系统后选择具体项目，点击“我要参与”并签章提交《投标</w:t>
      </w:r>
      <w:r>
        <w:rPr>
          <w:rFonts w:hint="eastAsia" w:ascii="宋体" w:hAnsi="宋体" w:cs="宋体"/>
          <w:color w:val="auto"/>
          <w:highlight w:val="none"/>
          <w:lang w:eastAsia="zh-CN"/>
        </w:rPr>
        <w:t>投标人</w:t>
      </w:r>
      <w:r>
        <w:rPr>
          <w:rFonts w:hint="eastAsia" w:ascii="宋体" w:hAnsi="宋体" w:cs="宋体"/>
          <w:color w:val="auto"/>
          <w:highlight w:val="none"/>
        </w:rPr>
        <w:t>确认函》，确认参与后自行免费下载招标文件，提交《投标</w:t>
      </w:r>
      <w:r>
        <w:rPr>
          <w:rFonts w:hint="eastAsia" w:ascii="宋体" w:hAnsi="宋体" w:cs="宋体"/>
          <w:color w:val="auto"/>
          <w:highlight w:val="none"/>
          <w:lang w:eastAsia="zh-CN"/>
        </w:rPr>
        <w:t>投标人</w:t>
      </w:r>
      <w:r>
        <w:rPr>
          <w:rFonts w:hint="eastAsia" w:ascii="宋体" w:hAnsi="宋体" w:cs="宋体"/>
          <w:color w:val="auto"/>
          <w:highlight w:val="none"/>
        </w:rPr>
        <w:t>确认函》日期视同为依法获取招标文件日期。投标人须打印、保留《投标</w:t>
      </w:r>
      <w:r>
        <w:rPr>
          <w:rFonts w:hint="eastAsia" w:ascii="宋体" w:hAnsi="宋体" w:cs="宋体"/>
          <w:color w:val="auto"/>
          <w:highlight w:val="none"/>
          <w:lang w:eastAsia="zh-CN"/>
        </w:rPr>
        <w:t>投标人</w:t>
      </w:r>
      <w:r>
        <w:rPr>
          <w:rFonts w:hint="eastAsia" w:ascii="宋体" w:hAnsi="宋体" w:cs="宋体"/>
          <w:color w:val="auto"/>
          <w:highlight w:val="none"/>
        </w:rPr>
        <w:t>确认函》，质疑时《投标</w:t>
      </w:r>
      <w:r>
        <w:rPr>
          <w:rFonts w:hint="eastAsia" w:ascii="宋体" w:hAnsi="宋体" w:cs="宋体"/>
          <w:color w:val="auto"/>
          <w:highlight w:val="none"/>
          <w:lang w:eastAsia="zh-CN"/>
        </w:rPr>
        <w:t>投标人</w:t>
      </w:r>
      <w:r>
        <w:rPr>
          <w:rFonts w:hint="eastAsia" w:ascii="宋体" w:hAnsi="宋体" w:cs="宋体"/>
          <w:color w:val="auto"/>
          <w:highlight w:val="none"/>
        </w:rPr>
        <w:t>确认函》与质疑函一并提交。</w:t>
      </w:r>
    </w:p>
    <w:p w14:paraId="394DB6A4">
      <w:pPr>
        <w:ind w:firstLine="482"/>
        <w:rPr>
          <w:rFonts w:ascii="宋体" w:hAnsi="宋体" w:cs="宋体"/>
          <w:b/>
          <w:color w:val="auto"/>
          <w:highlight w:val="none"/>
        </w:rPr>
      </w:pPr>
      <w:r>
        <w:rPr>
          <w:rFonts w:hint="eastAsia" w:ascii="宋体" w:hAnsi="宋体" w:cs="宋体"/>
          <w:b/>
          <w:color w:val="auto"/>
          <w:highlight w:val="none"/>
        </w:rPr>
        <w:t>未依照招标公告要求提交《投标</w:t>
      </w:r>
      <w:r>
        <w:rPr>
          <w:rFonts w:hint="eastAsia" w:ascii="宋体" w:hAnsi="宋体" w:cs="宋体"/>
          <w:b/>
          <w:color w:val="auto"/>
          <w:highlight w:val="none"/>
          <w:lang w:eastAsia="zh-CN"/>
        </w:rPr>
        <w:t>投标人</w:t>
      </w:r>
      <w:r>
        <w:rPr>
          <w:rFonts w:hint="eastAsia" w:ascii="宋体" w:hAnsi="宋体" w:cs="宋体"/>
          <w:b/>
          <w:color w:val="auto"/>
          <w:highlight w:val="none"/>
        </w:rPr>
        <w:t>确认函》的投标人，视为未参与该项政府采购活动，不具备对该政府采购项目提出质疑的法定权利，但因投标人资格条件或获取招标文件时间设定不符合有关法律法规规定等原因使投标人权益受损的除外。</w:t>
      </w:r>
    </w:p>
    <w:p w14:paraId="6F336F2A">
      <w:pPr>
        <w:ind w:firstLine="482"/>
        <w:rPr>
          <w:rFonts w:ascii="宋体" w:hAnsi="宋体" w:cs="宋体"/>
          <w:b/>
          <w:color w:val="auto"/>
          <w:highlight w:val="none"/>
        </w:rPr>
      </w:pPr>
      <w:r>
        <w:rPr>
          <w:rFonts w:hint="eastAsia" w:ascii="宋体" w:hAnsi="宋体" w:cs="宋体"/>
          <w:b/>
          <w:color w:val="auto"/>
          <w:highlight w:val="none"/>
        </w:rPr>
        <w:t>考虑到熟悉“苏采云”系统、办理CA证书都需要一定的时间，请提早准备以免耽误招标采购活动。</w:t>
      </w:r>
    </w:p>
    <w:p w14:paraId="5378983C">
      <w:pPr>
        <w:pStyle w:val="308"/>
        <w:rPr>
          <w:rFonts w:ascii="宋体" w:hAnsi="宋体" w:cs="宋体"/>
          <w:color w:val="auto"/>
          <w:sz w:val="24"/>
          <w:szCs w:val="24"/>
          <w:highlight w:val="none"/>
        </w:rPr>
      </w:pPr>
      <w:r>
        <w:rPr>
          <w:rStyle w:val="309"/>
          <w:rFonts w:hint="eastAsia" w:ascii="宋体" w:hAnsi="宋体" w:cs="宋体"/>
          <w:color w:val="auto"/>
          <w:sz w:val="24"/>
          <w:szCs w:val="24"/>
          <w:highlight w:val="none"/>
        </w:rPr>
        <w:t>（3）</w:t>
      </w:r>
      <w:r>
        <w:rPr>
          <w:rFonts w:hint="eastAsia" w:ascii="宋体" w:hAnsi="宋体" w:cs="宋体"/>
          <w:color w:val="auto"/>
          <w:sz w:val="24"/>
          <w:szCs w:val="24"/>
          <w:highlight w:val="none"/>
        </w:rPr>
        <w:t>电子投标准备</w:t>
      </w:r>
    </w:p>
    <w:p w14:paraId="30AD3831">
      <w:pPr>
        <w:pStyle w:val="308"/>
        <w:rPr>
          <w:rFonts w:ascii="宋体" w:hAnsi="宋体" w:cs="宋体"/>
          <w:color w:val="auto"/>
          <w:sz w:val="24"/>
          <w:szCs w:val="24"/>
          <w:highlight w:val="none"/>
        </w:rPr>
      </w:pPr>
      <w:r>
        <w:rPr>
          <w:rFonts w:hint="eastAsia" w:ascii="宋体" w:hAnsi="宋体" w:cs="宋体"/>
          <w:color w:val="auto"/>
          <w:sz w:val="24"/>
          <w:szCs w:val="24"/>
          <w:highlight w:val="none"/>
        </w:rPr>
        <w:t>投标人在“苏采云”系统中操作成功参与项目后，必须在“已参与项目”界面中下载电子招标文件（后缀名为“.kedt”）并导入政府采购客户端工具后方可进行投标文件制作和提交</w:t>
      </w:r>
      <w:r>
        <w:rPr>
          <w:rFonts w:hint="eastAsia" w:ascii="宋体" w:hAnsi="宋体" w:cs="宋体"/>
          <w:b/>
          <w:color w:val="auto"/>
          <w:sz w:val="24"/>
          <w:szCs w:val="24"/>
          <w:highlight w:val="none"/>
        </w:rPr>
        <w:t>（具体详见《苏采云系统</w:t>
      </w:r>
      <w:r>
        <w:rPr>
          <w:rFonts w:hint="eastAsia" w:ascii="宋体" w:hAnsi="宋体" w:cs="宋体"/>
          <w:b/>
          <w:color w:val="auto"/>
          <w:sz w:val="24"/>
          <w:szCs w:val="24"/>
          <w:highlight w:val="none"/>
          <w:lang w:eastAsia="zh-CN"/>
        </w:rPr>
        <w:t>投标人</w:t>
      </w:r>
      <w:r>
        <w:rPr>
          <w:rFonts w:hint="eastAsia" w:ascii="宋体" w:hAnsi="宋体" w:cs="宋体"/>
          <w:b/>
          <w:color w:val="auto"/>
          <w:sz w:val="24"/>
          <w:szCs w:val="24"/>
          <w:highlight w:val="none"/>
        </w:rPr>
        <w:t>操作手册》，网址链接https://czju.suzhou.gov.cn/zfcg/html/content/20231220161910031.shtml）</w:t>
      </w:r>
      <w:r>
        <w:rPr>
          <w:rFonts w:hint="eastAsia" w:ascii="宋体" w:hAnsi="宋体" w:cs="宋体"/>
          <w:color w:val="auto"/>
          <w:sz w:val="24"/>
          <w:szCs w:val="24"/>
          <w:highlight w:val="none"/>
        </w:rPr>
        <w:t>。</w:t>
      </w:r>
    </w:p>
    <w:p w14:paraId="687D9B8F">
      <w:pPr>
        <w:ind w:firstLine="480"/>
        <w:rPr>
          <w:rFonts w:ascii="宋体" w:hAnsi="宋体" w:cs="宋体"/>
          <w:color w:val="auto"/>
          <w:highlight w:val="none"/>
        </w:rPr>
      </w:pPr>
      <w:r>
        <w:rPr>
          <w:rStyle w:val="309"/>
          <w:rFonts w:hint="eastAsia" w:ascii="宋体" w:hAnsi="宋体" w:cs="宋体"/>
          <w:color w:val="auto"/>
          <w:highlight w:val="none"/>
        </w:rPr>
        <w:t>在系统操作过程中如有疑问，请按以下方式联系：</w:t>
      </w:r>
    </w:p>
    <w:p w14:paraId="2D807F1E">
      <w:pPr>
        <w:ind w:firstLine="480"/>
        <w:rPr>
          <w:rFonts w:ascii="宋体" w:hAnsi="宋体" w:cs="宋体"/>
          <w:color w:val="auto"/>
          <w:highlight w:val="none"/>
        </w:rPr>
      </w:pPr>
      <w:r>
        <w:rPr>
          <w:rFonts w:hint="eastAsia" w:ascii="宋体" w:hAnsi="宋体" w:cs="宋体"/>
          <w:color w:val="auto"/>
          <w:highlight w:val="none"/>
        </w:rPr>
        <w:t>注册咨询：18261002950；</w:t>
      </w:r>
    </w:p>
    <w:p w14:paraId="2F40941D">
      <w:pPr>
        <w:ind w:firstLine="480"/>
        <w:rPr>
          <w:rFonts w:ascii="宋体" w:hAnsi="宋体" w:cs="宋体"/>
          <w:color w:val="auto"/>
          <w:highlight w:val="none"/>
        </w:rPr>
      </w:pPr>
      <w:r>
        <w:rPr>
          <w:rFonts w:hint="eastAsia" w:ascii="宋体" w:hAnsi="宋体" w:cs="宋体"/>
          <w:color w:val="auto"/>
          <w:highlight w:val="none"/>
        </w:rPr>
        <w:t>政务CA技术咨询服务电话：400-608-6099</w:t>
      </w:r>
    </w:p>
    <w:p w14:paraId="2A0F821F">
      <w:pPr>
        <w:ind w:firstLine="480"/>
        <w:rPr>
          <w:rFonts w:ascii="宋体" w:hAnsi="宋体" w:cs="宋体"/>
          <w:color w:val="auto"/>
          <w:highlight w:val="none"/>
        </w:rPr>
      </w:pPr>
      <w:r>
        <w:rPr>
          <w:rFonts w:hint="eastAsia" w:ascii="宋体" w:hAnsi="宋体" w:cs="宋体"/>
          <w:color w:val="auto"/>
          <w:highlight w:val="none"/>
        </w:rPr>
        <w:t>方正电子签章使用问题：025-83633811、025-83633812、15380932027、13675197356；</w:t>
      </w:r>
    </w:p>
    <w:p w14:paraId="545BEB70">
      <w:pPr>
        <w:ind w:firstLine="480"/>
        <w:rPr>
          <w:rFonts w:ascii="宋体" w:hAnsi="宋体" w:cs="宋体"/>
          <w:color w:val="auto"/>
          <w:highlight w:val="none"/>
        </w:rPr>
      </w:pPr>
      <w:r>
        <w:rPr>
          <w:rFonts w:hint="eastAsia" w:ascii="宋体" w:hAnsi="宋体" w:cs="宋体"/>
          <w:color w:val="auto"/>
          <w:highlight w:val="none"/>
        </w:rPr>
        <w:t>“苏采云”系统使用指导与咨询：联系电话：13914088964、18261002950、0519-86722802；QQ：3048755361、1315179389、895706745；智能客服：登录苏采云系统后，联系系统右下方智能客服图标进行咨询。</w:t>
      </w:r>
    </w:p>
    <w:p w14:paraId="5A464CDA">
      <w:pPr>
        <w:ind w:firstLine="480"/>
        <w:rPr>
          <w:rFonts w:ascii="宋体" w:hAnsi="宋体" w:cs="宋体"/>
          <w:color w:val="auto"/>
          <w:highlight w:val="none"/>
        </w:rPr>
      </w:pPr>
      <w:r>
        <w:rPr>
          <w:rFonts w:hint="eastAsia" w:ascii="宋体" w:hAnsi="宋体" w:cs="宋体"/>
          <w:color w:val="auto"/>
          <w:highlight w:val="none"/>
        </w:rPr>
        <w:t>5.本项目获取招标文件截止日期之后仍可以下载招标文件，但截止日期之后下载的招标文件，视为非有效方式且不作为投标人权益受到损害的证明材料和依据。</w:t>
      </w:r>
    </w:p>
    <w:p w14:paraId="6F767CD1">
      <w:pPr>
        <w:ind w:firstLine="480"/>
        <w:rPr>
          <w:rFonts w:ascii="宋体" w:hAnsi="宋体" w:cs="宋体"/>
          <w:b/>
          <w:color w:val="auto"/>
          <w:highlight w:val="none"/>
        </w:rPr>
      </w:pPr>
      <w:r>
        <w:rPr>
          <w:rFonts w:hint="eastAsia" w:ascii="宋体" w:hAnsi="宋体" w:cs="宋体"/>
          <w:color w:val="auto"/>
          <w:highlight w:val="none"/>
        </w:rPr>
        <w:t>6.</w:t>
      </w:r>
      <w:r>
        <w:rPr>
          <w:rFonts w:hint="eastAsia" w:ascii="宋体" w:hAnsi="宋体" w:cs="宋体"/>
          <w:b/>
          <w:color w:val="auto"/>
          <w:highlight w:val="none"/>
        </w:rPr>
        <w:t>未依照招标公告要求获取招标文件的投标人，视为未参加该项政府采购活动，不具备对该政府采购项目提出质疑的法定权利。</w:t>
      </w:r>
    </w:p>
    <w:p w14:paraId="775C1AFC">
      <w:pPr>
        <w:ind w:firstLine="480"/>
        <w:rPr>
          <w:rFonts w:ascii="宋体" w:hAnsi="宋体" w:cs="宋体"/>
          <w:b/>
          <w:color w:val="auto"/>
          <w:highlight w:val="none"/>
        </w:rPr>
      </w:pPr>
      <w:r>
        <w:rPr>
          <w:rFonts w:hint="eastAsia" w:ascii="宋体" w:hAnsi="宋体" w:cs="宋体"/>
          <w:color w:val="auto"/>
          <w:highlight w:val="none"/>
        </w:rPr>
        <w:t>7.制作电子投标文件：本项目采用电子投标形式，请投标人按照《苏采云系统</w:t>
      </w:r>
      <w:r>
        <w:rPr>
          <w:rFonts w:hint="eastAsia" w:ascii="宋体" w:hAnsi="宋体" w:cs="宋体"/>
          <w:color w:val="auto"/>
          <w:highlight w:val="none"/>
          <w:lang w:eastAsia="zh-CN"/>
        </w:rPr>
        <w:t>投标人</w:t>
      </w:r>
      <w:r>
        <w:rPr>
          <w:rFonts w:hint="eastAsia" w:ascii="宋体" w:hAnsi="宋体" w:cs="宋体"/>
          <w:color w:val="auto"/>
          <w:highlight w:val="none"/>
        </w:rPr>
        <w:t>操作手册》、招标文件要求进行制作、上传电子投标文件，投标人无需提供纸质投标文件。电子投标文件制作完成后请于投标文件递交截止时间前成功上传至“苏采云”系统，否则视为放弃参加该采购项目。</w:t>
      </w:r>
      <w:r>
        <w:rPr>
          <w:rFonts w:hint="eastAsia" w:ascii="宋体" w:hAnsi="宋体" w:cs="宋体"/>
          <w:b/>
          <w:color w:val="auto"/>
          <w:highlight w:val="none"/>
        </w:rPr>
        <w:t>投标人应充分考虑到网络环境、网络带宽等风险因素，如因投标人自身原因造成的电子投标文件上传不成功由投标人自行承担全部责任。</w:t>
      </w:r>
    </w:p>
    <w:p w14:paraId="6D92DD07">
      <w:pPr>
        <w:ind w:firstLine="480"/>
        <w:rPr>
          <w:rFonts w:ascii="宋体" w:hAnsi="宋体" w:cs="宋体"/>
          <w:color w:val="auto"/>
          <w:highlight w:val="none"/>
        </w:rPr>
      </w:pPr>
      <w:r>
        <w:rPr>
          <w:rFonts w:hint="eastAsia" w:ascii="宋体" w:hAnsi="宋体" w:cs="宋体"/>
          <w:color w:val="auto"/>
          <w:highlight w:val="none"/>
        </w:rPr>
        <w:t>8.更正公告及附件的获取：投标人应及时关注政府采购信息发布媒体上发布的更正公告，同时在“苏采云”系统中下载更正（补充）资料，</w:t>
      </w:r>
      <w:r>
        <w:rPr>
          <w:rFonts w:hint="eastAsia" w:ascii="宋体" w:hAnsi="宋体" w:cs="宋体"/>
          <w:b/>
          <w:bCs/>
          <w:color w:val="auto"/>
          <w:highlight w:val="none"/>
        </w:rPr>
        <w:t>如有遗漏（包括但不限于文件未下载或下载不完整），可能无法解密投标文件，由此所造成的投标失败或损失由投标人自行负责。</w:t>
      </w:r>
    </w:p>
    <w:p w14:paraId="0AFFE9DE">
      <w:pPr>
        <w:ind w:firstLine="480"/>
        <w:rPr>
          <w:rFonts w:ascii="宋体" w:hAnsi="宋体" w:cs="宋体"/>
          <w:b/>
          <w:color w:val="auto"/>
          <w:highlight w:val="none"/>
        </w:rPr>
      </w:pPr>
      <w:r>
        <w:rPr>
          <w:rFonts w:hint="eastAsia" w:ascii="宋体" w:hAnsi="宋体" w:cs="宋体"/>
          <w:color w:val="auto"/>
          <w:highlight w:val="none"/>
        </w:rPr>
        <w:t>9.</w:t>
      </w:r>
      <w:r>
        <w:rPr>
          <w:rFonts w:hint="eastAsia" w:ascii="宋体" w:hAnsi="宋体" w:cs="宋体"/>
          <w:color w:val="auto"/>
          <w:highlight w:val="none"/>
          <w:shd w:val="clear" w:color="auto" w:fill="FFFFFF"/>
        </w:rPr>
        <w:t>线上参加开标会方式：投标人</w:t>
      </w:r>
      <w:r>
        <w:rPr>
          <w:rFonts w:hint="eastAsia" w:ascii="宋体" w:hAnsi="宋体" w:cs="宋体"/>
          <w:color w:val="auto"/>
          <w:highlight w:val="none"/>
        </w:rPr>
        <w:t>登录“苏采云”系统在平台首页点击“开标大厅”，进入江苏省政府采购一体化不见面开标（采购）大厅，在今日项目列表，点击项目，进入不见面开标系统</w:t>
      </w:r>
      <w:r>
        <w:rPr>
          <w:rFonts w:hint="eastAsia" w:ascii="宋体" w:hAnsi="宋体" w:cs="宋体"/>
          <w:color w:val="auto"/>
          <w:highlight w:val="none"/>
          <w:shd w:val="clear" w:color="auto" w:fill="FFFFFF"/>
        </w:rPr>
        <w:t>。 </w:t>
      </w:r>
    </w:p>
    <w:p w14:paraId="31CFEF04">
      <w:pPr>
        <w:ind w:firstLine="482"/>
        <w:rPr>
          <w:rFonts w:ascii="宋体" w:hAnsi="宋体" w:cs="宋体"/>
          <w:b/>
          <w:color w:val="auto"/>
          <w:highlight w:val="none"/>
        </w:rPr>
      </w:pPr>
      <w:r>
        <w:rPr>
          <w:rFonts w:hint="eastAsia" w:ascii="宋体" w:hAnsi="宋体" w:cs="宋体"/>
          <w:b/>
          <w:color w:val="auto"/>
          <w:highlight w:val="none"/>
          <w:shd w:val="clear" w:color="auto" w:fill="FFFFFF"/>
        </w:rPr>
        <w:t>本项目为不见面开标项目，开启阶段投标人在【解密环节】必须使用CA证书解密电子投标文件，如在“苏采云”系统规定的时间内</w:t>
      </w:r>
      <w:r>
        <w:rPr>
          <w:rFonts w:hint="eastAsia" w:ascii="宋体" w:hAnsi="宋体" w:cs="宋体"/>
          <w:b/>
          <w:color w:val="auto"/>
          <w:highlight w:val="none"/>
        </w:rPr>
        <w:t>（投标文件提交截止时间后30分钟）</w:t>
      </w:r>
      <w:r>
        <w:rPr>
          <w:rFonts w:hint="eastAsia" w:ascii="宋体" w:hAnsi="宋体" w:cs="宋体"/>
          <w:b/>
          <w:color w:val="auto"/>
          <w:highlight w:val="none"/>
          <w:shd w:val="clear" w:color="auto" w:fill="FFFFFF"/>
        </w:rPr>
        <w:t>未能成功解密的视为放弃参与本项目，投标无效。 </w:t>
      </w:r>
    </w:p>
    <w:p w14:paraId="5FF538CB">
      <w:pPr>
        <w:ind w:firstLine="482"/>
        <w:rPr>
          <w:rFonts w:ascii="宋体" w:hAnsi="宋体" w:cs="宋体"/>
          <w:b/>
          <w:color w:val="auto"/>
          <w:highlight w:val="none"/>
        </w:rPr>
      </w:pPr>
      <w:r>
        <w:rPr>
          <w:rFonts w:hint="eastAsia" w:ascii="宋体" w:hAnsi="宋体" w:cs="宋体"/>
          <w:b/>
          <w:color w:val="auto"/>
          <w:highlight w:val="none"/>
          <w:shd w:val="clear" w:color="auto" w:fill="FFFFFF"/>
        </w:rPr>
        <w:t>请投标人确保电脑、系统及其他设备（视频输入输出设备等）无误，且开标直至项目结束始终保持系统在线状态。 </w:t>
      </w:r>
    </w:p>
    <w:p w14:paraId="0AF2DD92">
      <w:pPr>
        <w:ind w:firstLine="480"/>
        <w:rPr>
          <w:rFonts w:ascii="宋体" w:hAnsi="宋体" w:cs="宋体"/>
          <w:b/>
          <w:color w:val="auto"/>
          <w:highlight w:val="none"/>
          <w:shd w:val="clear" w:color="auto" w:fill="FFFFFF"/>
        </w:rPr>
      </w:pPr>
      <w:r>
        <w:rPr>
          <w:rFonts w:hint="eastAsia" w:ascii="宋体" w:hAnsi="宋体" w:cs="宋体"/>
          <w:bCs/>
          <w:color w:val="auto"/>
          <w:highlight w:val="none"/>
          <w:shd w:val="clear" w:color="auto" w:fill="FFFFFF"/>
        </w:rPr>
        <w:t>开评标过程中如有问题采购代理机构工作人员会及时通过《投标</w:t>
      </w:r>
      <w:r>
        <w:rPr>
          <w:rFonts w:hint="eastAsia" w:ascii="宋体" w:hAnsi="宋体" w:cs="宋体"/>
          <w:bCs/>
          <w:color w:val="auto"/>
          <w:highlight w:val="none"/>
          <w:shd w:val="clear" w:color="auto" w:fill="FFFFFF"/>
          <w:lang w:eastAsia="zh-CN"/>
        </w:rPr>
        <w:t>投标人</w:t>
      </w:r>
      <w:r>
        <w:rPr>
          <w:rFonts w:hint="eastAsia" w:ascii="宋体" w:hAnsi="宋体" w:cs="宋体"/>
          <w:bCs/>
          <w:color w:val="auto"/>
          <w:highlight w:val="none"/>
          <w:shd w:val="clear" w:color="auto" w:fill="FFFFFF"/>
        </w:rPr>
        <w:t>确认函》留存的手机号或投标函留存的手机号（如有）与投标人联系。</w:t>
      </w:r>
      <w:r>
        <w:rPr>
          <w:rFonts w:hint="eastAsia" w:ascii="宋体" w:hAnsi="宋体" w:cs="宋体"/>
          <w:b/>
          <w:color w:val="auto"/>
          <w:highlight w:val="none"/>
          <w:shd w:val="clear" w:color="auto" w:fill="FFFFFF"/>
        </w:rPr>
        <w:t>请投标人确保系统在线状态且手机号开标当日通讯畅通，否则导致的不利后果由投标人自行承担。</w:t>
      </w:r>
    </w:p>
    <w:p w14:paraId="69486935">
      <w:pPr>
        <w:ind w:firstLine="480"/>
        <w:rPr>
          <w:rFonts w:ascii="宋体" w:hAnsi="宋体" w:cs="宋体"/>
          <w:color w:val="auto"/>
          <w:highlight w:val="none"/>
        </w:rPr>
      </w:pPr>
      <w:r>
        <w:rPr>
          <w:rFonts w:hint="eastAsia" w:ascii="宋体" w:hAnsi="宋体" w:cs="宋体"/>
          <w:color w:val="auto"/>
          <w:highlight w:val="none"/>
        </w:rPr>
        <w:t>10.政府采购信用融资政策：中标人可凭政府采购合同办理融资贷款，详情请见江苏政府采购网“政采贷”专栏。</w:t>
      </w:r>
    </w:p>
    <w:p w14:paraId="4811C2B7">
      <w:pPr>
        <w:ind w:firstLine="480"/>
        <w:rPr>
          <w:rFonts w:ascii="宋体" w:hAnsi="宋体" w:cs="宋体"/>
          <w:bCs/>
          <w:color w:val="auto"/>
          <w:highlight w:val="none"/>
        </w:rPr>
      </w:pPr>
      <w:r>
        <w:rPr>
          <w:rFonts w:hint="eastAsia" w:ascii="宋体" w:hAnsi="宋体" w:cs="宋体"/>
          <w:color w:val="auto"/>
          <w:highlight w:val="none"/>
        </w:rPr>
        <w:t>11.政府采购履约资金扶持政策：依据《关于在全省政府采购领域推行电子履约保函（保险）的通知》（苏财购〔2023〕150号），中标人可通过江苏政府采购网“政府采购电子履约保函（保险）综合服务平台”线上办理履约保函（保险）。</w:t>
      </w:r>
    </w:p>
    <w:p w14:paraId="299AA8AE">
      <w:pPr>
        <w:rPr>
          <w:rFonts w:ascii="宋体" w:hAnsi="宋体" w:cs="宋体"/>
          <w:b/>
          <w:bCs/>
          <w:color w:val="auto"/>
          <w:highlight w:val="none"/>
        </w:rPr>
      </w:pPr>
      <w:r>
        <w:rPr>
          <w:rFonts w:hint="eastAsia" w:ascii="宋体" w:hAnsi="宋体" w:cs="宋体"/>
          <w:b/>
          <w:bCs/>
          <w:color w:val="auto"/>
          <w:highlight w:val="none"/>
        </w:rPr>
        <w:t>七、对本次招标提出询问，请按以下方式联系</w:t>
      </w:r>
    </w:p>
    <w:p w14:paraId="390BE5B1">
      <w:pPr>
        <w:ind w:firstLine="480"/>
        <w:rPr>
          <w:rFonts w:ascii="宋体" w:hAnsi="宋体" w:cs="宋体"/>
          <w:b/>
          <w:color w:val="auto"/>
          <w:highlight w:val="none"/>
        </w:rPr>
      </w:pPr>
      <w:r>
        <w:rPr>
          <w:rFonts w:hint="eastAsia" w:ascii="宋体" w:hAnsi="宋体" w:cs="宋体"/>
          <w:color w:val="auto"/>
          <w:highlight w:val="none"/>
        </w:rPr>
        <w:t>1.采购人信息</w:t>
      </w:r>
    </w:p>
    <w:p w14:paraId="6DDC536D">
      <w:pPr>
        <w:ind w:firstLine="480"/>
        <w:rPr>
          <w:rFonts w:hint="eastAsia" w:ascii="宋体" w:hAnsi="宋体" w:eastAsia="宋体" w:cs="宋体"/>
          <w:b/>
          <w:color w:val="auto"/>
          <w:highlight w:val="none"/>
          <w:lang w:eastAsia="zh-CN"/>
        </w:rPr>
      </w:pPr>
      <w:r>
        <w:rPr>
          <w:rFonts w:hint="eastAsia" w:ascii="宋体" w:hAnsi="宋体" w:cs="宋体"/>
          <w:color w:val="auto"/>
          <w:highlight w:val="none"/>
        </w:rPr>
        <w:t>名    称：</w:t>
      </w:r>
      <w:r>
        <w:rPr>
          <w:rFonts w:hint="eastAsia" w:ascii="宋体" w:hAnsi="宋体" w:cs="宋体"/>
          <w:color w:val="auto"/>
          <w:highlight w:val="none"/>
          <w:lang w:eastAsia="zh-CN"/>
        </w:rPr>
        <w:t>苏州高铁新城管理委员会</w:t>
      </w:r>
    </w:p>
    <w:p w14:paraId="719082D2">
      <w:pPr>
        <w:ind w:firstLine="480"/>
        <w:rPr>
          <w:rFonts w:hint="eastAsia" w:ascii="宋体" w:hAnsi="宋体" w:eastAsia="宋体" w:cs="宋体"/>
          <w:b/>
          <w:color w:val="auto"/>
          <w:highlight w:val="none"/>
          <w:lang w:eastAsia="zh-CN"/>
        </w:rPr>
      </w:pPr>
      <w:r>
        <w:rPr>
          <w:rFonts w:hint="eastAsia" w:ascii="宋体" w:hAnsi="宋体" w:cs="宋体"/>
          <w:color w:val="auto"/>
          <w:highlight w:val="none"/>
        </w:rPr>
        <w:t>地    址：</w:t>
      </w:r>
      <w:r>
        <w:rPr>
          <w:rFonts w:hint="eastAsia" w:ascii="宋体" w:hAnsi="宋体" w:cs="宋体"/>
          <w:color w:val="auto"/>
          <w:highlight w:val="none"/>
          <w:lang w:eastAsia="zh-CN"/>
        </w:rPr>
        <w:t>苏州市高铁新城紫光大厦</w:t>
      </w:r>
    </w:p>
    <w:p w14:paraId="2AD5D93B">
      <w:pPr>
        <w:ind w:firstLine="480"/>
        <w:rPr>
          <w:rFonts w:hint="eastAsia" w:ascii="宋体" w:hAnsi="宋体" w:eastAsia="宋体" w:cs="宋体"/>
          <w:color w:val="auto"/>
          <w:highlight w:val="none"/>
          <w:lang w:eastAsia="zh-CN"/>
        </w:rPr>
      </w:pPr>
      <w:r>
        <w:rPr>
          <w:rFonts w:hint="eastAsia" w:ascii="宋体" w:hAnsi="宋体" w:cs="宋体"/>
          <w:color w:val="auto"/>
          <w:highlight w:val="none"/>
        </w:rPr>
        <w:t>联 系 人：</w:t>
      </w:r>
      <w:r>
        <w:rPr>
          <w:rFonts w:hint="eastAsia" w:ascii="宋体" w:hAnsi="宋体" w:cs="宋体"/>
          <w:color w:val="auto"/>
          <w:highlight w:val="none"/>
          <w:lang w:eastAsia="zh-CN"/>
        </w:rPr>
        <w:t>陈俊彦</w:t>
      </w:r>
    </w:p>
    <w:p w14:paraId="0E7BBF47">
      <w:pPr>
        <w:ind w:firstLine="480"/>
        <w:rPr>
          <w:rFonts w:hint="eastAsia" w:ascii="宋体" w:hAnsi="宋体" w:eastAsia="宋体" w:cs="宋体"/>
          <w:b/>
          <w:color w:val="auto"/>
          <w:highlight w:val="none"/>
          <w:lang w:eastAsia="zh-CN"/>
        </w:rPr>
      </w:pPr>
      <w:r>
        <w:rPr>
          <w:rFonts w:hint="eastAsia" w:ascii="宋体" w:hAnsi="宋体" w:cs="宋体"/>
          <w:color w:val="auto"/>
          <w:highlight w:val="none"/>
        </w:rPr>
        <w:t>联系电话：</w:t>
      </w:r>
      <w:r>
        <w:rPr>
          <w:rFonts w:hint="eastAsia" w:ascii="宋体" w:hAnsi="宋体" w:cs="宋体"/>
          <w:color w:val="auto"/>
          <w:highlight w:val="none"/>
          <w:lang w:eastAsia="zh-CN"/>
        </w:rPr>
        <w:t>0512-66158550</w:t>
      </w:r>
    </w:p>
    <w:p w14:paraId="0F429A1A">
      <w:pPr>
        <w:ind w:firstLine="480"/>
        <w:rPr>
          <w:rFonts w:ascii="宋体" w:hAnsi="宋体" w:cs="宋体"/>
          <w:b/>
          <w:color w:val="auto"/>
          <w:highlight w:val="none"/>
        </w:rPr>
      </w:pPr>
      <w:r>
        <w:rPr>
          <w:rFonts w:hint="eastAsia" w:ascii="宋体" w:hAnsi="宋体" w:cs="宋体"/>
          <w:color w:val="auto"/>
          <w:highlight w:val="none"/>
        </w:rPr>
        <w:t>2.采购代理机构信息</w:t>
      </w:r>
    </w:p>
    <w:p w14:paraId="649B1AE6">
      <w:pPr>
        <w:ind w:firstLine="480"/>
        <w:rPr>
          <w:rFonts w:hint="eastAsia" w:ascii="宋体" w:hAnsi="宋体" w:eastAsia="宋体" w:cs="宋体"/>
          <w:b/>
          <w:color w:val="auto"/>
          <w:highlight w:val="none"/>
          <w:lang w:eastAsia="zh-CN"/>
        </w:rPr>
      </w:pPr>
      <w:r>
        <w:rPr>
          <w:rFonts w:hint="eastAsia" w:ascii="宋体" w:hAnsi="宋体" w:cs="宋体"/>
          <w:color w:val="auto"/>
          <w:highlight w:val="none"/>
        </w:rPr>
        <w:t>名    称：</w:t>
      </w:r>
      <w:r>
        <w:rPr>
          <w:rFonts w:hint="eastAsia" w:ascii="宋体" w:hAnsi="宋体" w:cs="宋体"/>
          <w:color w:val="auto"/>
          <w:highlight w:val="none"/>
          <w:lang w:eastAsia="zh-CN"/>
        </w:rPr>
        <w:t>众鑫工程管理（苏州）有限公司</w:t>
      </w:r>
    </w:p>
    <w:p w14:paraId="3D49D0E4">
      <w:pPr>
        <w:ind w:firstLine="480"/>
        <w:rPr>
          <w:rFonts w:hint="eastAsia" w:ascii="宋体" w:hAnsi="宋体" w:eastAsia="宋体" w:cs="宋体"/>
          <w:b/>
          <w:color w:val="auto"/>
          <w:highlight w:val="none"/>
          <w:lang w:eastAsia="zh-CN"/>
        </w:rPr>
      </w:pPr>
      <w:r>
        <w:rPr>
          <w:rFonts w:hint="eastAsia" w:ascii="宋体" w:hAnsi="宋体" w:cs="宋体"/>
          <w:color w:val="auto"/>
          <w:highlight w:val="none"/>
        </w:rPr>
        <w:t>地    址：</w:t>
      </w:r>
      <w:r>
        <w:rPr>
          <w:rFonts w:hint="eastAsia" w:ascii="宋体" w:hAnsi="宋体" w:cs="宋体"/>
          <w:color w:val="auto"/>
          <w:highlight w:val="none"/>
          <w:lang w:eastAsia="zh-CN"/>
        </w:rPr>
        <w:t>苏州市相城区高铁新城南天成路99号启迪大厦23-2311</w:t>
      </w:r>
    </w:p>
    <w:p w14:paraId="640AD2F9">
      <w:pPr>
        <w:ind w:firstLine="480"/>
        <w:rPr>
          <w:rFonts w:hint="eastAsia" w:ascii="宋体" w:hAnsi="宋体" w:eastAsia="宋体" w:cs="宋体"/>
          <w:color w:val="auto"/>
          <w:highlight w:val="none"/>
          <w:lang w:eastAsia="zh-CN"/>
        </w:rPr>
      </w:pPr>
      <w:r>
        <w:rPr>
          <w:rFonts w:hint="eastAsia" w:ascii="宋体" w:hAnsi="宋体" w:cs="宋体"/>
          <w:color w:val="auto"/>
          <w:highlight w:val="none"/>
        </w:rPr>
        <w:t>联 系 人：</w:t>
      </w:r>
      <w:r>
        <w:rPr>
          <w:rFonts w:hint="eastAsia" w:ascii="宋体" w:hAnsi="宋体" w:cs="宋体"/>
          <w:color w:val="auto"/>
          <w:highlight w:val="none"/>
          <w:lang w:eastAsia="zh-CN"/>
        </w:rPr>
        <w:t>张方华</w:t>
      </w:r>
    </w:p>
    <w:p w14:paraId="51B93CE0">
      <w:pPr>
        <w:ind w:firstLine="480"/>
        <w:rPr>
          <w:rFonts w:hint="eastAsia" w:ascii="宋体" w:hAnsi="宋体" w:eastAsia="宋体" w:cs="宋体"/>
          <w:b/>
          <w:color w:val="auto"/>
          <w:highlight w:val="none"/>
          <w:lang w:eastAsia="zh-CN"/>
        </w:rPr>
      </w:pPr>
      <w:r>
        <w:rPr>
          <w:rFonts w:hint="eastAsia" w:ascii="宋体" w:hAnsi="宋体" w:cs="宋体"/>
          <w:color w:val="auto"/>
          <w:highlight w:val="none"/>
        </w:rPr>
        <w:t>联系电话：</w:t>
      </w:r>
      <w:r>
        <w:rPr>
          <w:rFonts w:hint="eastAsia" w:ascii="宋体" w:hAnsi="宋体" w:cs="宋体"/>
          <w:color w:val="auto"/>
          <w:highlight w:val="none"/>
          <w:lang w:eastAsia="zh-CN"/>
        </w:rPr>
        <w:t>0512-67281690</w:t>
      </w:r>
    </w:p>
    <w:p w14:paraId="3FB7943A">
      <w:pPr>
        <w:ind w:firstLine="480"/>
        <w:rPr>
          <w:rFonts w:ascii="宋体" w:hAnsi="宋体" w:cs="宋体"/>
          <w:b/>
          <w:color w:val="auto"/>
          <w:highlight w:val="none"/>
        </w:rPr>
      </w:pPr>
      <w:r>
        <w:rPr>
          <w:rFonts w:hint="eastAsia" w:ascii="宋体" w:hAnsi="宋体" w:cs="宋体"/>
          <w:color w:val="auto"/>
          <w:highlight w:val="none"/>
        </w:rPr>
        <w:t>3.项目联系方式</w:t>
      </w:r>
    </w:p>
    <w:p w14:paraId="60B161A8">
      <w:pPr>
        <w:ind w:firstLine="480"/>
        <w:rPr>
          <w:rFonts w:hint="eastAsia" w:ascii="宋体" w:hAnsi="宋体" w:eastAsia="宋体" w:cs="宋体"/>
          <w:b/>
          <w:color w:val="auto"/>
          <w:highlight w:val="none"/>
          <w:lang w:eastAsia="zh-CN"/>
        </w:rPr>
      </w:pPr>
      <w:r>
        <w:rPr>
          <w:rFonts w:hint="eastAsia" w:ascii="宋体" w:hAnsi="宋体" w:cs="宋体"/>
          <w:color w:val="auto"/>
          <w:highlight w:val="none"/>
        </w:rPr>
        <w:t>项目联系人：</w:t>
      </w:r>
      <w:r>
        <w:rPr>
          <w:rFonts w:hint="eastAsia" w:ascii="宋体" w:hAnsi="宋体" w:cs="宋体"/>
          <w:color w:val="auto"/>
          <w:highlight w:val="none"/>
          <w:lang w:eastAsia="zh-CN"/>
        </w:rPr>
        <w:t>张方华</w:t>
      </w:r>
    </w:p>
    <w:p w14:paraId="7579FD9D">
      <w:pPr>
        <w:ind w:firstLine="480"/>
        <w:rPr>
          <w:rFonts w:hint="eastAsia" w:ascii="宋体" w:hAnsi="宋体" w:eastAsia="宋体" w:cs="宋体"/>
          <w:color w:val="auto"/>
          <w:highlight w:val="none"/>
          <w:lang w:eastAsia="zh-CN"/>
        </w:rPr>
      </w:pPr>
      <w:r>
        <w:rPr>
          <w:rFonts w:hint="eastAsia" w:ascii="宋体" w:hAnsi="宋体" w:cs="宋体"/>
          <w:color w:val="auto"/>
          <w:highlight w:val="none"/>
        </w:rPr>
        <w:t>联系电话：</w:t>
      </w:r>
      <w:r>
        <w:rPr>
          <w:rFonts w:hint="eastAsia" w:ascii="宋体" w:hAnsi="宋体" w:cs="宋体"/>
          <w:color w:val="auto"/>
          <w:highlight w:val="none"/>
          <w:lang w:eastAsia="zh-CN"/>
        </w:rPr>
        <w:t>0512-67281690</w:t>
      </w:r>
    </w:p>
    <w:p w14:paraId="49D62DD1">
      <w:pPr>
        <w:ind w:firstLine="480"/>
        <w:rPr>
          <w:rFonts w:hint="eastAsia" w:ascii="宋体" w:hAnsi="宋体" w:cs="宋体"/>
          <w:color w:val="auto"/>
          <w:highlight w:val="none"/>
        </w:rPr>
      </w:pPr>
    </w:p>
    <w:p w14:paraId="3AB0941A">
      <w:pPr>
        <w:spacing w:line="360" w:lineRule="auto"/>
        <w:jc w:val="center"/>
        <w:outlineLvl w:val="0"/>
        <w:rPr>
          <w:rFonts w:hint="eastAsia" w:ascii="宋体" w:hAnsi="宋体" w:cs="宋体"/>
          <w:b/>
          <w:bCs/>
          <w:color w:val="auto"/>
          <w:sz w:val="32"/>
          <w:szCs w:val="32"/>
          <w:highlight w:val="none"/>
        </w:rPr>
      </w:pPr>
      <w:bookmarkStart w:id="25" w:name="_Toc584"/>
      <w:bookmarkStart w:id="26" w:name="_Toc14955"/>
      <w:bookmarkStart w:id="27" w:name="_Toc29839"/>
      <w:bookmarkStart w:id="28" w:name="_Toc3152"/>
    </w:p>
    <w:p w14:paraId="22D71678">
      <w:pPr>
        <w:spacing w:line="360" w:lineRule="auto"/>
        <w:jc w:val="center"/>
        <w:outlineLvl w:val="0"/>
        <w:rPr>
          <w:rFonts w:hint="eastAsia" w:ascii="宋体" w:hAnsi="宋体" w:cs="宋体"/>
          <w:b/>
          <w:bCs/>
          <w:color w:val="auto"/>
          <w:sz w:val="32"/>
          <w:szCs w:val="32"/>
          <w:highlight w:val="none"/>
        </w:rPr>
      </w:pPr>
    </w:p>
    <w:p w14:paraId="5E17AEFB">
      <w:pPr>
        <w:spacing w:line="360" w:lineRule="auto"/>
        <w:jc w:val="center"/>
        <w:outlineLvl w:val="0"/>
        <w:rPr>
          <w:rFonts w:hint="eastAsia" w:ascii="宋体" w:hAnsi="宋体" w:cs="宋体"/>
          <w:b/>
          <w:bCs/>
          <w:color w:val="auto"/>
          <w:sz w:val="32"/>
          <w:szCs w:val="32"/>
          <w:highlight w:val="none"/>
        </w:rPr>
      </w:pPr>
    </w:p>
    <w:p w14:paraId="0276B556">
      <w:pPr>
        <w:spacing w:line="360" w:lineRule="auto"/>
        <w:jc w:val="center"/>
        <w:outlineLvl w:val="0"/>
        <w:rPr>
          <w:rFonts w:hint="eastAsia" w:ascii="宋体" w:hAnsi="宋体" w:cs="宋体"/>
          <w:b/>
          <w:bCs/>
          <w:color w:val="auto"/>
          <w:sz w:val="32"/>
          <w:szCs w:val="32"/>
          <w:highlight w:val="none"/>
        </w:rPr>
      </w:pPr>
    </w:p>
    <w:p w14:paraId="3C4919BE">
      <w:pPr>
        <w:spacing w:line="360" w:lineRule="auto"/>
        <w:jc w:val="center"/>
        <w:outlineLvl w:val="0"/>
        <w:rPr>
          <w:rFonts w:hint="eastAsia" w:ascii="宋体" w:hAnsi="宋体" w:cs="宋体"/>
          <w:b/>
          <w:bCs/>
          <w:color w:val="auto"/>
          <w:sz w:val="32"/>
          <w:szCs w:val="32"/>
          <w:highlight w:val="none"/>
        </w:rPr>
      </w:pPr>
    </w:p>
    <w:p w14:paraId="5F30A8E5">
      <w:pPr>
        <w:spacing w:line="360" w:lineRule="auto"/>
        <w:jc w:val="center"/>
        <w:outlineLvl w:val="0"/>
        <w:rPr>
          <w:rFonts w:hint="eastAsia" w:ascii="宋体" w:hAnsi="宋体" w:cs="宋体"/>
          <w:b/>
          <w:bCs/>
          <w:color w:val="auto"/>
          <w:sz w:val="32"/>
          <w:szCs w:val="32"/>
          <w:highlight w:val="none"/>
        </w:rPr>
      </w:pPr>
    </w:p>
    <w:p w14:paraId="212BE1B0">
      <w:pPr>
        <w:spacing w:line="360" w:lineRule="auto"/>
        <w:jc w:val="center"/>
        <w:outlineLvl w:val="0"/>
        <w:rPr>
          <w:rFonts w:hint="eastAsia" w:ascii="宋体" w:hAnsi="宋体" w:cs="宋体"/>
          <w:b/>
          <w:bCs/>
          <w:color w:val="auto"/>
          <w:sz w:val="32"/>
          <w:szCs w:val="32"/>
          <w:highlight w:val="none"/>
        </w:rPr>
      </w:pPr>
    </w:p>
    <w:p w14:paraId="7C405DC6">
      <w:pPr>
        <w:spacing w:line="360" w:lineRule="auto"/>
        <w:jc w:val="center"/>
        <w:outlineLvl w:val="0"/>
        <w:rPr>
          <w:rFonts w:hint="eastAsia" w:ascii="宋体" w:hAnsi="宋体" w:cs="宋体"/>
          <w:b/>
          <w:bCs/>
          <w:color w:val="auto"/>
          <w:sz w:val="32"/>
          <w:szCs w:val="32"/>
          <w:highlight w:val="none"/>
        </w:rPr>
      </w:pPr>
    </w:p>
    <w:p w14:paraId="19CCFA7A">
      <w:pPr>
        <w:spacing w:line="360" w:lineRule="auto"/>
        <w:jc w:val="center"/>
        <w:outlineLvl w:val="0"/>
        <w:rPr>
          <w:rFonts w:hint="eastAsia" w:ascii="宋体" w:hAnsi="宋体" w:cs="宋体"/>
          <w:b/>
          <w:bCs/>
          <w:color w:val="auto"/>
          <w:sz w:val="32"/>
          <w:szCs w:val="32"/>
          <w:highlight w:val="none"/>
        </w:rPr>
      </w:pPr>
    </w:p>
    <w:p w14:paraId="62B95071">
      <w:pPr>
        <w:spacing w:line="360" w:lineRule="auto"/>
        <w:jc w:val="center"/>
        <w:outlineLvl w:val="0"/>
        <w:rPr>
          <w:rFonts w:hint="eastAsia" w:ascii="宋体" w:hAnsi="宋体" w:cs="宋体"/>
          <w:b/>
          <w:bCs/>
          <w:color w:val="auto"/>
          <w:sz w:val="32"/>
          <w:szCs w:val="32"/>
          <w:highlight w:val="none"/>
        </w:rPr>
      </w:pPr>
    </w:p>
    <w:p w14:paraId="5605D842">
      <w:pPr>
        <w:spacing w:line="360" w:lineRule="auto"/>
        <w:jc w:val="center"/>
        <w:outlineLvl w:val="0"/>
        <w:rPr>
          <w:rFonts w:hint="eastAsia" w:ascii="宋体" w:hAnsi="宋体" w:cs="宋体"/>
          <w:b/>
          <w:bCs/>
          <w:color w:val="auto"/>
          <w:sz w:val="32"/>
          <w:szCs w:val="32"/>
          <w:highlight w:val="none"/>
        </w:rPr>
      </w:pPr>
    </w:p>
    <w:p w14:paraId="6809ECD3">
      <w:pPr>
        <w:spacing w:line="360" w:lineRule="auto"/>
        <w:jc w:val="center"/>
        <w:outlineLvl w:val="0"/>
        <w:rPr>
          <w:rFonts w:hint="eastAsia" w:ascii="宋体" w:hAnsi="宋体" w:cs="宋体"/>
          <w:b/>
          <w:bCs/>
          <w:color w:val="auto"/>
          <w:sz w:val="32"/>
          <w:szCs w:val="32"/>
          <w:highlight w:val="none"/>
        </w:rPr>
      </w:pPr>
    </w:p>
    <w:p w14:paraId="010A02E8">
      <w:pPr>
        <w:spacing w:line="360" w:lineRule="auto"/>
        <w:jc w:val="center"/>
        <w:outlineLvl w:val="0"/>
        <w:rPr>
          <w:rFonts w:hint="eastAsia" w:ascii="宋体" w:hAnsi="宋体" w:cs="宋体"/>
          <w:b/>
          <w:bCs/>
          <w:color w:val="auto"/>
          <w:sz w:val="32"/>
          <w:szCs w:val="32"/>
          <w:highlight w:val="none"/>
        </w:rPr>
      </w:pPr>
    </w:p>
    <w:p w14:paraId="7FC6F922">
      <w:pPr>
        <w:spacing w:line="360" w:lineRule="auto"/>
        <w:jc w:val="center"/>
        <w:outlineLvl w:val="0"/>
        <w:rPr>
          <w:rFonts w:hint="eastAsia" w:ascii="宋体" w:hAnsi="宋体" w:cs="宋体"/>
          <w:b/>
          <w:bCs/>
          <w:color w:val="auto"/>
          <w:sz w:val="32"/>
          <w:szCs w:val="32"/>
          <w:highlight w:val="none"/>
        </w:rPr>
      </w:pPr>
    </w:p>
    <w:p w14:paraId="6AE078B2">
      <w:pPr>
        <w:spacing w:line="360" w:lineRule="auto"/>
        <w:jc w:val="center"/>
        <w:outlineLvl w:val="0"/>
        <w:rPr>
          <w:rFonts w:hint="eastAsia" w:ascii="宋体" w:hAnsi="宋体" w:cs="宋体"/>
          <w:b/>
          <w:bCs/>
          <w:color w:val="auto"/>
          <w:sz w:val="32"/>
          <w:szCs w:val="32"/>
          <w:highlight w:val="none"/>
        </w:rPr>
      </w:pPr>
    </w:p>
    <w:p w14:paraId="3EE9497B">
      <w:pPr>
        <w:spacing w:line="360" w:lineRule="auto"/>
        <w:jc w:val="center"/>
        <w:outlineLvl w:val="0"/>
        <w:rPr>
          <w:rFonts w:hint="eastAsia" w:ascii="宋体" w:hAnsi="宋体" w:cs="宋体"/>
          <w:b/>
          <w:bCs/>
          <w:color w:val="auto"/>
          <w:sz w:val="32"/>
          <w:szCs w:val="32"/>
          <w:highlight w:val="none"/>
        </w:rPr>
      </w:pPr>
    </w:p>
    <w:p w14:paraId="2CE0F57C">
      <w:pPr>
        <w:spacing w:line="360" w:lineRule="auto"/>
        <w:jc w:val="center"/>
        <w:outlineLvl w:val="0"/>
        <w:rPr>
          <w:rFonts w:hint="eastAsia" w:ascii="宋体" w:hAnsi="宋体" w:cs="宋体"/>
          <w:b/>
          <w:bCs/>
          <w:color w:val="auto"/>
          <w:sz w:val="32"/>
          <w:szCs w:val="32"/>
          <w:highlight w:val="none"/>
        </w:rPr>
      </w:pPr>
    </w:p>
    <w:p w14:paraId="34E77780">
      <w:pPr>
        <w:spacing w:line="360" w:lineRule="auto"/>
        <w:jc w:val="center"/>
        <w:outlineLvl w:val="0"/>
        <w:rPr>
          <w:rFonts w:hint="eastAsia" w:ascii="宋体" w:hAnsi="宋体" w:cs="宋体"/>
          <w:b/>
          <w:bCs/>
          <w:color w:val="auto"/>
          <w:sz w:val="32"/>
          <w:szCs w:val="32"/>
          <w:highlight w:val="none"/>
        </w:rPr>
      </w:pPr>
    </w:p>
    <w:p w14:paraId="31005B7B">
      <w:pPr>
        <w:spacing w:line="360" w:lineRule="auto"/>
        <w:jc w:val="center"/>
        <w:outlineLvl w:val="0"/>
        <w:rPr>
          <w:rFonts w:hint="eastAsia" w:ascii="宋体" w:hAnsi="宋体" w:cs="宋体"/>
          <w:b/>
          <w:bCs/>
          <w:color w:val="auto"/>
          <w:sz w:val="32"/>
          <w:szCs w:val="32"/>
          <w:highlight w:val="none"/>
        </w:rPr>
      </w:pPr>
    </w:p>
    <w:p w14:paraId="1B84AFB2">
      <w:pPr>
        <w:spacing w:line="360" w:lineRule="auto"/>
        <w:jc w:val="center"/>
        <w:outlineLvl w:val="0"/>
        <w:rPr>
          <w:rFonts w:hint="eastAsia" w:ascii="宋体" w:hAnsi="宋体" w:cs="宋体"/>
          <w:b/>
          <w:bCs/>
          <w:color w:val="auto"/>
          <w:sz w:val="32"/>
          <w:szCs w:val="32"/>
          <w:highlight w:val="none"/>
        </w:rPr>
      </w:pPr>
    </w:p>
    <w:p w14:paraId="3CFAC84E">
      <w:pPr>
        <w:spacing w:line="360" w:lineRule="auto"/>
        <w:jc w:val="center"/>
        <w:outlineLvl w:val="0"/>
        <w:rPr>
          <w:rFonts w:hint="eastAsia" w:ascii="宋体" w:hAnsi="宋体" w:cs="宋体"/>
          <w:b/>
          <w:bCs/>
          <w:color w:val="auto"/>
          <w:sz w:val="32"/>
          <w:szCs w:val="32"/>
          <w:highlight w:val="none"/>
        </w:rPr>
      </w:pPr>
    </w:p>
    <w:p w14:paraId="2F68CECF">
      <w:pPr>
        <w:spacing w:line="360" w:lineRule="auto"/>
        <w:jc w:val="center"/>
        <w:outlineLvl w:val="0"/>
        <w:rPr>
          <w:rStyle w:val="55"/>
          <w:rFonts w:ascii="宋体" w:hAnsi="宋体" w:cs="宋体"/>
          <w:color w:val="auto"/>
          <w:sz w:val="43"/>
          <w:szCs w:val="43"/>
          <w:highlight w:val="none"/>
        </w:rPr>
      </w:pPr>
      <w:r>
        <w:rPr>
          <w:rFonts w:hint="eastAsia" w:ascii="宋体" w:hAnsi="宋体" w:cs="宋体"/>
          <w:b/>
          <w:bCs/>
          <w:color w:val="auto"/>
          <w:sz w:val="32"/>
          <w:szCs w:val="32"/>
          <w:highlight w:val="none"/>
        </w:rPr>
        <w:t>第二章 投标人须知</w:t>
      </w:r>
      <w:bookmarkEnd w:id="25"/>
      <w:bookmarkEnd w:id="26"/>
      <w:bookmarkEnd w:id="27"/>
      <w:bookmarkEnd w:id="28"/>
    </w:p>
    <w:p w14:paraId="735DCE9D">
      <w:pPr>
        <w:rPr>
          <w:rFonts w:ascii="宋体" w:hAnsi="宋体" w:cs="宋体"/>
          <w:b/>
          <w:bCs/>
          <w:color w:val="auto"/>
          <w:sz w:val="21"/>
          <w:szCs w:val="21"/>
          <w:highlight w:val="none"/>
        </w:rPr>
      </w:pPr>
      <w:bookmarkStart w:id="29" w:name="_Toc492294165"/>
      <w:r>
        <w:rPr>
          <w:rFonts w:hint="eastAsia" w:ascii="宋体" w:hAnsi="宋体" w:cs="宋体"/>
          <w:b/>
          <w:bCs/>
          <w:color w:val="auto"/>
          <w:sz w:val="21"/>
          <w:szCs w:val="21"/>
          <w:highlight w:val="none"/>
        </w:rPr>
        <w:t>一、说明和释义</w:t>
      </w:r>
      <w:bookmarkEnd w:id="29"/>
    </w:p>
    <w:p w14:paraId="72BB0F20">
      <w:pPr>
        <w:widowControl w:val="0"/>
        <w:spacing w:line="360" w:lineRule="auto"/>
        <w:jc w:val="both"/>
        <w:rPr>
          <w:rFonts w:ascii="宋体" w:hAnsi="宋体" w:cs="宋体"/>
          <w:b/>
          <w:color w:val="auto"/>
          <w:sz w:val="21"/>
          <w:szCs w:val="21"/>
          <w:highlight w:val="none"/>
        </w:rPr>
      </w:pPr>
      <w:bookmarkStart w:id="30" w:name="_Toc492294166"/>
      <w:r>
        <w:rPr>
          <w:rFonts w:hint="eastAsia" w:ascii="宋体" w:hAnsi="宋体" w:cs="宋体"/>
          <w:b/>
          <w:color w:val="auto"/>
          <w:sz w:val="21"/>
          <w:szCs w:val="21"/>
          <w:highlight w:val="none"/>
        </w:rPr>
        <w:t>1.说明</w:t>
      </w:r>
      <w:bookmarkEnd w:id="30"/>
    </w:p>
    <w:p w14:paraId="438D0E9F">
      <w:pPr>
        <w:pStyle w:val="40"/>
        <w:spacing w:line="360" w:lineRule="auto"/>
        <w:ind w:firstLine="420"/>
        <w:jc w:val="both"/>
        <w:rPr>
          <w:rFonts w:ascii="宋体" w:hAnsi="宋体" w:cs="宋体"/>
          <w:color w:val="auto"/>
          <w:sz w:val="21"/>
          <w:szCs w:val="21"/>
          <w:highlight w:val="none"/>
        </w:rPr>
      </w:pPr>
      <w:r>
        <w:rPr>
          <w:rFonts w:hint="eastAsia" w:ascii="宋体" w:hAnsi="宋体" w:cs="宋体"/>
          <w:color w:val="auto"/>
          <w:sz w:val="21"/>
          <w:szCs w:val="21"/>
          <w:highlight w:val="none"/>
        </w:rPr>
        <w:t>1.1本招标文件仅适用于</w:t>
      </w:r>
      <w:r>
        <w:rPr>
          <w:rFonts w:hint="eastAsia" w:ascii="宋体" w:hAnsi="宋体" w:cs="宋体"/>
          <w:color w:val="auto"/>
          <w:sz w:val="21"/>
          <w:szCs w:val="21"/>
          <w:highlight w:val="none"/>
          <w:lang w:eastAsia="zh-CN"/>
        </w:rPr>
        <w:t>众鑫工程管理（苏州）有限公司</w:t>
      </w:r>
      <w:r>
        <w:rPr>
          <w:rFonts w:hint="eastAsia" w:ascii="宋体" w:hAnsi="宋体" w:cs="宋体"/>
          <w:color w:val="auto"/>
          <w:sz w:val="21"/>
          <w:szCs w:val="21"/>
          <w:highlight w:val="none"/>
        </w:rPr>
        <w:t>组织的采购活动。</w:t>
      </w:r>
    </w:p>
    <w:p w14:paraId="506AA7B1">
      <w:pPr>
        <w:pStyle w:val="40"/>
        <w:spacing w:line="360" w:lineRule="auto"/>
        <w:ind w:firstLine="420"/>
        <w:jc w:val="both"/>
        <w:rPr>
          <w:rFonts w:ascii="宋体" w:hAnsi="宋体" w:cs="宋体"/>
          <w:color w:val="auto"/>
          <w:sz w:val="21"/>
          <w:szCs w:val="21"/>
          <w:highlight w:val="none"/>
        </w:rPr>
      </w:pPr>
      <w:r>
        <w:rPr>
          <w:rFonts w:hint="eastAsia" w:ascii="宋体" w:hAnsi="宋体" w:cs="宋体"/>
          <w:color w:val="auto"/>
          <w:sz w:val="21"/>
          <w:szCs w:val="21"/>
          <w:highlight w:val="none"/>
        </w:rPr>
        <w:t>1.2本次招标活动及因本次招标产生的合同受中国法律制约和保护。</w:t>
      </w:r>
    </w:p>
    <w:p w14:paraId="6873EDAE">
      <w:pPr>
        <w:pStyle w:val="40"/>
        <w:spacing w:line="360" w:lineRule="auto"/>
        <w:ind w:firstLine="420"/>
        <w:jc w:val="both"/>
        <w:rPr>
          <w:rFonts w:ascii="宋体" w:hAnsi="宋体" w:cs="宋体"/>
          <w:color w:val="auto"/>
          <w:sz w:val="21"/>
          <w:szCs w:val="21"/>
          <w:highlight w:val="none"/>
        </w:rPr>
      </w:pPr>
      <w:r>
        <w:rPr>
          <w:rFonts w:hint="eastAsia" w:ascii="宋体" w:hAnsi="宋体" w:cs="宋体"/>
          <w:color w:val="auto"/>
          <w:sz w:val="21"/>
          <w:szCs w:val="21"/>
          <w:highlight w:val="none"/>
        </w:rPr>
        <w:t>1.3本招标文件的解释权属于</w:t>
      </w:r>
      <w:r>
        <w:rPr>
          <w:rFonts w:hint="eastAsia" w:ascii="宋体" w:hAnsi="宋体" w:cs="宋体"/>
          <w:color w:val="auto"/>
          <w:sz w:val="21"/>
          <w:szCs w:val="21"/>
          <w:highlight w:val="none"/>
          <w:lang w:eastAsia="zh-CN"/>
        </w:rPr>
        <w:t>众鑫工程管理（苏州）有限公司</w:t>
      </w:r>
      <w:r>
        <w:rPr>
          <w:rFonts w:hint="eastAsia" w:ascii="宋体" w:hAnsi="宋体" w:cs="宋体"/>
          <w:color w:val="auto"/>
          <w:sz w:val="21"/>
          <w:szCs w:val="21"/>
          <w:highlight w:val="none"/>
        </w:rPr>
        <w:t>。</w:t>
      </w:r>
      <w:bookmarkStart w:id="31" w:name="_Toc492294167"/>
    </w:p>
    <w:p w14:paraId="18B05590">
      <w:pPr>
        <w:widowControl w:val="0"/>
        <w:spacing w:line="360" w:lineRule="auto"/>
        <w:jc w:val="both"/>
        <w:rPr>
          <w:rFonts w:ascii="宋体" w:hAnsi="宋体" w:cs="宋体"/>
          <w:b/>
          <w:color w:val="auto"/>
          <w:sz w:val="21"/>
          <w:szCs w:val="21"/>
          <w:highlight w:val="none"/>
        </w:rPr>
      </w:pPr>
      <w:r>
        <w:rPr>
          <w:rFonts w:hint="eastAsia" w:ascii="宋体" w:hAnsi="宋体" w:cs="宋体"/>
          <w:b/>
          <w:color w:val="auto"/>
          <w:sz w:val="21"/>
          <w:szCs w:val="21"/>
          <w:highlight w:val="none"/>
        </w:rPr>
        <w:t>2.词语释义</w:t>
      </w:r>
      <w:bookmarkEnd w:id="31"/>
    </w:p>
    <w:p w14:paraId="1BD2266F">
      <w:pPr>
        <w:pStyle w:val="40"/>
        <w:spacing w:line="360" w:lineRule="auto"/>
        <w:ind w:firstLine="420"/>
        <w:jc w:val="both"/>
        <w:rPr>
          <w:rFonts w:ascii="宋体" w:hAnsi="宋体" w:cs="宋体"/>
          <w:color w:val="auto"/>
          <w:sz w:val="21"/>
          <w:szCs w:val="21"/>
          <w:highlight w:val="none"/>
        </w:rPr>
      </w:pPr>
      <w:r>
        <w:rPr>
          <w:rFonts w:hint="eastAsia" w:ascii="宋体" w:hAnsi="宋体" w:cs="宋体"/>
          <w:color w:val="auto"/>
          <w:sz w:val="21"/>
          <w:szCs w:val="21"/>
          <w:highlight w:val="none"/>
        </w:rPr>
        <w:t>2.1采购人：指依法进行政府采购的国家机关、事业单位、团体组织。</w:t>
      </w:r>
    </w:p>
    <w:p w14:paraId="7A7D2ECB">
      <w:pPr>
        <w:pStyle w:val="40"/>
        <w:spacing w:line="360" w:lineRule="auto"/>
        <w:ind w:firstLine="420"/>
        <w:jc w:val="both"/>
        <w:rPr>
          <w:rFonts w:ascii="宋体" w:hAnsi="宋体" w:cs="宋体"/>
          <w:color w:val="auto"/>
          <w:sz w:val="21"/>
          <w:szCs w:val="21"/>
          <w:highlight w:val="none"/>
        </w:rPr>
      </w:pPr>
      <w:r>
        <w:rPr>
          <w:rFonts w:hint="eastAsia" w:ascii="宋体" w:hAnsi="宋体" w:cs="宋体"/>
          <w:color w:val="auto"/>
          <w:sz w:val="21"/>
          <w:szCs w:val="21"/>
          <w:highlight w:val="none"/>
        </w:rPr>
        <w:t>2.2采购代理机构：指依法接受采购人委托，从事货物、工程和服务等政府采购代理业务的社会中介机构；本项目的采购代理机构为</w:t>
      </w:r>
      <w:r>
        <w:rPr>
          <w:rFonts w:hint="eastAsia" w:ascii="宋体" w:hAnsi="宋体" w:cs="宋体"/>
          <w:color w:val="auto"/>
          <w:sz w:val="21"/>
          <w:szCs w:val="21"/>
          <w:highlight w:val="none"/>
          <w:lang w:eastAsia="zh-CN"/>
        </w:rPr>
        <w:t>众鑫工程管理（苏州）有限公司</w:t>
      </w:r>
      <w:r>
        <w:rPr>
          <w:rFonts w:hint="eastAsia" w:ascii="宋体" w:hAnsi="宋体" w:cs="宋体"/>
          <w:color w:val="auto"/>
          <w:sz w:val="21"/>
          <w:szCs w:val="21"/>
          <w:highlight w:val="none"/>
        </w:rPr>
        <w:t>。</w:t>
      </w:r>
    </w:p>
    <w:p w14:paraId="18D8E9B7">
      <w:pPr>
        <w:pStyle w:val="40"/>
        <w:spacing w:line="360" w:lineRule="auto"/>
        <w:ind w:firstLine="420"/>
        <w:jc w:val="both"/>
        <w:rPr>
          <w:rFonts w:ascii="宋体" w:hAnsi="宋体" w:cs="宋体"/>
          <w:color w:val="auto"/>
          <w:sz w:val="21"/>
          <w:szCs w:val="21"/>
          <w:highlight w:val="none"/>
        </w:rPr>
      </w:pPr>
      <w:r>
        <w:rPr>
          <w:rFonts w:hint="eastAsia" w:ascii="宋体" w:hAnsi="宋体" w:cs="宋体"/>
          <w:color w:val="auto"/>
          <w:sz w:val="21"/>
          <w:szCs w:val="21"/>
          <w:highlight w:val="none"/>
        </w:rPr>
        <w:t>2.3投标人：响应招标、参加投标竞争的法人、其他组织或者自然人。</w:t>
      </w:r>
    </w:p>
    <w:p w14:paraId="5C5D6242">
      <w:pPr>
        <w:pStyle w:val="310"/>
        <w:spacing w:line="360" w:lineRule="auto"/>
        <w:ind w:firstLine="420"/>
        <w:jc w:val="both"/>
        <w:rPr>
          <w:rFonts w:ascii="宋体" w:hAnsi="宋体" w:cs="宋体"/>
          <w:color w:val="auto"/>
          <w:sz w:val="21"/>
          <w:szCs w:val="21"/>
          <w:highlight w:val="none"/>
        </w:rPr>
      </w:pPr>
      <w:r>
        <w:rPr>
          <w:rFonts w:hint="eastAsia" w:ascii="宋体" w:hAnsi="宋体" w:cs="宋体"/>
          <w:color w:val="auto"/>
          <w:sz w:val="21"/>
          <w:szCs w:val="21"/>
          <w:highlight w:val="none"/>
        </w:rPr>
        <w:t>2.4招标（采购）：是指以合同方式有偿取得货物、工程和服务的行为，包括购买、租赁、委托、雇用等。</w:t>
      </w:r>
    </w:p>
    <w:p w14:paraId="1A4886A7">
      <w:pPr>
        <w:pStyle w:val="40"/>
        <w:spacing w:line="360" w:lineRule="auto"/>
        <w:ind w:firstLine="420"/>
        <w:jc w:val="both"/>
        <w:rPr>
          <w:rFonts w:ascii="宋体" w:hAnsi="宋体" w:cs="宋体"/>
          <w:color w:val="auto"/>
          <w:sz w:val="21"/>
          <w:szCs w:val="21"/>
          <w:highlight w:val="none"/>
        </w:rPr>
      </w:pPr>
      <w:r>
        <w:rPr>
          <w:rFonts w:hint="eastAsia" w:ascii="宋体" w:hAnsi="宋体" w:cs="宋体"/>
          <w:color w:val="auto"/>
          <w:sz w:val="21"/>
          <w:szCs w:val="21"/>
          <w:highlight w:val="none"/>
        </w:rPr>
        <w:t>2.5投标（响应）：投标人根据采购人或采购代理机构发布的招标文件，编制投标文件并按规定投标的行为。</w:t>
      </w:r>
    </w:p>
    <w:p w14:paraId="5D48DCF8">
      <w:pPr>
        <w:pStyle w:val="40"/>
        <w:spacing w:line="360" w:lineRule="auto"/>
        <w:ind w:firstLine="420"/>
        <w:jc w:val="both"/>
        <w:rPr>
          <w:rFonts w:ascii="宋体" w:hAnsi="宋体" w:cs="宋体"/>
          <w:color w:val="auto"/>
          <w:sz w:val="21"/>
          <w:szCs w:val="21"/>
          <w:highlight w:val="none"/>
        </w:rPr>
      </w:pPr>
      <w:r>
        <w:rPr>
          <w:rFonts w:hint="eastAsia" w:ascii="宋体" w:hAnsi="宋体" w:cs="宋体"/>
          <w:color w:val="auto"/>
          <w:sz w:val="21"/>
          <w:szCs w:val="21"/>
          <w:highlight w:val="none"/>
        </w:rPr>
        <w:t>2.6合同：甲乙双方根据招标文件和中标的投标文件及中标通知书规定的内容签署的以书面形式所达成的协议，包括所有的附件、附录和构成协议的所有文件。</w:t>
      </w:r>
    </w:p>
    <w:p w14:paraId="4EE6E761">
      <w:pPr>
        <w:pStyle w:val="40"/>
        <w:spacing w:line="360" w:lineRule="auto"/>
        <w:ind w:firstLine="420"/>
        <w:jc w:val="both"/>
        <w:rPr>
          <w:rFonts w:ascii="宋体" w:hAnsi="宋体" w:cs="宋体"/>
          <w:color w:val="auto"/>
          <w:sz w:val="21"/>
          <w:szCs w:val="21"/>
          <w:highlight w:val="none"/>
        </w:rPr>
      </w:pPr>
      <w:r>
        <w:rPr>
          <w:rFonts w:hint="eastAsia" w:ascii="宋体" w:hAnsi="宋体" w:cs="宋体"/>
          <w:color w:val="auto"/>
          <w:sz w:val="21"/>
          <w:szCs w:val="21"/>
          <w:highlight w:val="none"/>
        </w:rPr>
        <w:t>2.7甲方（采购人）：指招标文件中载明的，依法进行政府采购的国家机关、事业单位和团体组织。</w:t>
      </w:r>
    </w:p>
    <w:p w14:paraId="7E7ECD7D">
      <w:pPr>
        <w:pStyle w:val="40"/>
        <w:spacing w:line="360" w:lineRule="auto"/>
        <w:ind w:firstLine="420"/>
        <w:jc w:val="both"/>
        <w:rPr>
          <w:rFonts w:ascii="宋体" w:hAnsi="宋体" w:cs="宋体"/>
          <w:color w:val="auto"/>
          <w:sz w:val="21"/>
          <w:szCs w:val="21"/>
          <w:highlight w:val="none"/>
        </w:rPr>
      </w:pPr>
      <w:r>
        <w:rPr>
          <w:rFonts w:hint="eastAsia" w:ascii="宋体" w:hAnsi="宋体" w:cs="宋体"/>
          <w:color w:val="auto"/>
          <w:sz w:val="21"/>
          <w:szCs w:val="21"/>
          <w:highlight w:val="none"/>
        </w:rPr>
        <w:t>2.8乙方（中标人）：合同中规定的向采购人提供服务的法人、其他组织或者自然人。</w:t>
      </w:r>
    </w:p>
    <w:p w14:paraId="7FE50C2B">
      <w:pPr>
        <w:pStyle w:val="40"/>
        <w:spacing w:line="360" w:lineRule="auto"/>
        <w:ind w:firstLine="420"/>
        <w:jc w:val="both"/>
        <w:rPr>
          <w:rFonts w:ascii="宋体" w:hAnsi="宋体" w:cs="宋体"/>
          <w:color w:val="auto"/>
          <w:sz w:val="21"/>
          <w:szCs w:val="21"/>
          <w:highlight w:val="none"/>
        </w:rPr>
      </w:pPr>
      <w:r>
        <w:rPr>
          <w:rFonts w:hint="eastAsia" w:ascii="宋体" w:hAnsi="宋体"/>
          <w:color w:val="auto"/>
          <w:sz w:val="21"/>
          <w:szCs w:val="21"/>
          <w:highlight w:val="none"/>
        </w:rPr>
        <w:t>2.9</w:t>
      </w:r>
      <w:r>
        <w:rPr>
          <w:rFonts w:hint="eastAsia" w:ascii="宋体" w:hAnsi="宋体" w:cs="宋体"/>
          <w:color w:val="auto"/>
          <w:sz w:val="21"/>
          <w:szCs w:val="21"/>
          <w:highlight w:val="none"/>
        </w:rPr>
        <w:t>服务：系指本招标文件规定乙方应承担的合同中规定中标方应承担的专业服务等相关义务。</w:t>
      </w:r>
    </w:p>
    <w:p w14:paraId="79658279">
      <w:pPr>
        <w:pStyle w:val="40"/>
        <w:spacing w:line="360" w:lineRule="auto"/>
        <w:ind w:firstLine="420"/>
        <w:jc w:val="both"/>
        <w:rPr>
          <w:rFonts w:ascii="宋体" w:hAnsi="宋体" w:cs="宋体"/>
          <w:color w:val="auto"/>
          <w:sz w:val="21"/>
          <w:szCs w:val="21"/>
          <w:highlight w:val="none"/>
        </w:rPr>
      </w:pPr>
      <w:r>
        <w:rPr>
          <w:rFonts w:hint="eastAsia" w:ascii="宋体" w:hAnsi="宋体" w:cs="宋体"/>
          <w:color w:val="auto"/>
          <w:sz w:val="21"/>
          <w:szCs w:val="21"/>
          <w:highlight w:val="none"/>
        </w:rPr>
        <w:t>2.10知识产权：指专利权、商标权、著作权等无形财产专有权的统称。</w:t>
      </w:r>
    </w:p>
    <w:p w14:paraId="170592B6">
      <w:pPr>
        <w:pStyle w:val="40"/>
        <w:spacing w:line="360" w:lineRule="auto"/>
        <w:ind w:firstLine="420"/>
        <w:jc w:val="both"/>
        <w:rPr>
          <w:rFonts w:ascii="宋体" w:hAnsi="宋体" w:cs="宋体"/>
          <w:color w:val="auto"/>
          <w:sz w:val="21"/>
          <w:szCs w:val="21"/>
          <w:highlight w:val="none"/>
        </w:rPr>
      </w:pPr>
      <w:r>
        <w:rPr>
          <w:rFonts w:hint="eastAsia" w:ascii="宋体" w:hAnsi="宋体" w:cs="宋体"/>
          <w:color w:val="auto"/>
          <w:sz w:val="21"/>
          <w:szCs w:val="21"/>
          <w:highlight w:val="none"/>
        </w:rPr>
        <w:t>2.11天：日历日。</w:t>
      </w:r>
    </w:p>
    <w:p w14:paraId="5EBF695E">
      <w:pPr>
        <w:pStyle w:val="40"/>
        <w:spacing w:line="360" w:lineRule="auto"/>
        <w:ind w:firstLine="420"/>
        <w:jc w:val="both"/>
        <w:rPr>
          <w:rFonts w:ascii="宋体" w:hAnsi="宋体" w:cs="宋体"/>
          <w:color w:val="auto"/>
          <w:sz w:val="21"/>
          <w:szCs w:val="21"/>
          <w:highlight w:val="none"/>
        </w:rPr>
      </w:pPr>
      <w:r>
        <w:rPr>
          <w:rFonts w:hint="eastAsia" w:ascii="宋体" w:hAnsi="宋体" w:cs="宋体"/>
          <w:color w:val="auto"/>
          <w:sz w:val="21"/>
          <w:szCs w:val="21"/>
          <w:highlight w:val="none"/>
        </w:rPr>
        <w:t>2.12时间：除特别说明，均指北京时间。</w:t>
      </w:r>
    </w:p>
    <w:p w14:paraId="36A95A89">
      <w:pPr>
        <w:pStyle w:val="40"/>
        <w:spacing w:line="360" w:lineRule="auto"/>
        <w:ind w:firstLine="420"/>
        <w:jc w:val="both"/>
        <w:rPr>
          <w:rFonts w:ascii="宋体" w:hAnsi="宋体" w:cs="宋体"/>
          <w:color w:val="auto"/>
          <w:sz w:val="21"/>
          <w:szCs w:val="21"/>
          <w:highlight w:val="none"/>
        </w:rPr>
      </w:pPr>
      <w:r>
        <w:rPr>
          <w:rFonts w:hint="eastAsia" w:ascii="宋体" w:hAnsi="宋体" w:cs="宋体"/>
          <w:color w:val="auto"/>
          <w:sz w:val="21"/>
          <w:szCs w:val="21"/>
          <w:highlight w:val="none"/>
        </w:rPr>
        <w:t>2.13履行地点：合同中明确约定的乙方履行服务的地点。</w:t>
      </w:r>
    </w:p>
    <w:p w14:paraId="4C7E4DFC">
      <w:pPr>
        <w:pStyle w:val="40"/>
        <w:spacing w:line="360" w:lineRule="auto"/>
        <w:ind w:firstLine="420"/>
        <w:jc w:val="both"/>
        <w:rPr>
          <w:rFonts w:ascii="宋体" w:hAnsi="宋体" w:cs="宋体"/>
          <w:color w:val="auto"/>
          <w:sz w:val="21"/>
          <w:szCs w:val="21"/>
          <w:highlight w:val="none"/>
        </w:rPr>
      </w:pPr>
      <w:r>
        <w:rPr>
          <w:rFonts w:hint="eastAsia" w:ascii="宋体" w:hAnsi="宋体" w:cs="宋体"/>
          <w:color w:val="auto"/>
          <w:sz w:val="21"/>
          <w:szCs w:val="21"/>
          <w:highlight w:val="none"/>
        </w:rPr>
        <w:t>2.14合同价款：根据合同规定，乙方在正确地履行合同义务后甲方应支付乙方的价款。</w:t>
      </w:r>
    </w:p>
    <w:p w14:paraId="40F75B71">
      <w:pPr>
        <w:pStyle w:val="40"/>
        <w:spacing w:line="360" w:lineRule="auto"/>
        <w:ind w:firstLine="420"/>
        <w:jc w:val="both"/>
        <w:rPr>
          <w:rFonts w:ascii="宋体" w:hAnsi="宋体" w:cs="宋体"/>
          <w:color w:val="auto"/>
          <w:sz w:val="21"/>
          <w:szCs w:val="21"/>
          <w:highlight w:val="none"/>
        </w:rPr>
      </w:pPr>
      <w:r>
        <w:rPr>
          <w:rFonts w:hint="eastAsia" w:ascii="宋体" w:hAnsi="宋体" w:cs="宋体"/>
          <w:color w:val="auto"/>
          <w:sz w:val="21"/>
          <w:szCs w:val="21"/>
          <w:highlight w:val="none"/>
        </w:rPr>
        <w:t>2.15不可抗力：不能预见、不能避免并且不能克服的客观情况。</w:t>
      </w:r>
    </w:p>
    <w:p w14:paraId="659102B9">
      <w:pPr>
        <w:pStyle w:val="40"/>
        <w:spacing w:line="360" w:lineRule="auto"/>
        <w:ind w:firstLine="420"/>
        <w:jc w:val="both"/>
        <w:rPr>
          <w:rFonts w:ascii="宋体" w:hAnsi="宋体" w:cs="宋体"/>
          <w:color w:val="auto"/>
          <w:sz w:val="21"/>
          <w:szCs w:val="21"/>
          <w:highlight w:val="none"/>
        </w:rPr>
      </w:pPr>
      <w:r>
        <w:rPr>
          <w:rFonts w:hint="eastAsia" w:ascii="宋体" w:hAnsi="宋体" w:cs="宋体"/>
          <w:color w:val="auto"/>
          <w:sz w:val="21"/>
          <w:szCs w:val="21"/>
          <w:highlight w:val="none"/>
        </w:rPr>
        <w:t>2.16实质响应：满足有关本次采购标的、数量、服务质量、价款或者报酬、履行期限、履行地点和方式、违约责任和解决争议方法等要求。</w:t>
      </w:r>
    </w:p>
    <w:p w14:paraId="06641362">
      <w:pPr>
        <w:pStyle w:val="40"/>
        <w:spacing w:line="360" w:lineRule="auto"/>
        <w:ind w:firstLine="420"/>
        <w:jc w:val="both"/>
        <w:rPr>
          <w:rFonts w:ascii="宋体" w:hAnsi="宋体" w:cs="宋体"/>
          <w:color w:val="auto"/>
          <w:sz w:val="21"/>
          <w:szCs w:val="21"/>
          <w:highlight w:val="none"/>
        </w:rPr>
      </w:pPr>
      <w:r>
        <w:rPr>
          <w:rFonts w:hint="eastAsia" w:ascii="宋体" w:hAnsi="宋体" w:cs="宋体"/>
          <w:color w:val="auto"/>
          <w:sz w:val="21"/>
          <w:szCs w:val="21"/>
          <w:highlight w:val="none"/>
        </w:rPr>
        <w:t>2.17书面形式：指书面文字、合同书、信件和传真等可以有形地表现所载内容的形式。</w:t>
      </w:r>
    </w:p>
    <w:p w14:paraId="16B325C9">
      <w:pPr>
        <w:rPr>
          <w:rFonts w:ascii="宋体" w:hAnsi="宋体" w:cs="宋体"/>
          <w:b/>
          <w:bCs/>
          <w:color w:val="auto"/>
          <w:sz w:val="21"/>
          <w:szCs w:val="21"/>
          <w:highlight w:val="none"/>
        </w:rPr>
      </w:pPr>
      <w:bookmarkStart w:id="32" w:name="_Toc492294168"/>
      <w:r>
        <w:rPr>
          <w:rFonts w:hint="eastAsia" w:ascii="宋体" w:hAnsi="宋体" w:cs="宋体"/>
          <w:b/>
          <w:bCs/>
          <w:color w:val="auto"/>
          <w:sz w:val="21"/>
          <w:szCs w:val="21"/>
          <w:highlight w:val="none"/>
        </w:rPr>
        <w:t>二、</w:t>
      </w:r>
      <w:bookmarkEnd w:id="32"/>
      <w:r>
        <w:rPr>
          <w:rFonts w:hint="eastAsia" w:ascii="宋体" w:hAnsi="宋体" w:cs="宋体"/>
          <w:b/>
          <w:bCs/>
          <w:color w:val="auto"/>
          <w:sz w:val="21"/>
          <w:szCs w:val="21"/>
          <w:highlight w:val="none"/>
        </w:rPr>
        <w:t>投标人</w:t>
      </w:r>
    </w:p>
    <w:p w14:paraId="01080430">
      <w:pPr>
        <w:widowControl w:val="0"/>
        <w:spacing w:line="360" w:lineRule="auto"/>
        <w:jc w:val="both"/>
        <w:rPr>
          <w:rFonts w:ascii="宋体" w:hAnsi="宋体" w:cs="宋体"/>
          <w:b/>
          <w:color w:val="auto"/>
          <w:sz w:val="21"/>
          <w:szCs w:val="21"/>
          <w:highlight w:val="none"/>
        </w:rPr>
      </w:pPr>
      <w:bookmarkStart w:id="33" w:name="_Toc492294169"/>
      <w:r>
        <w:rPr>
          <w:rFonts w:hint="eastAsia" w:ascii="宋体" w:hAnsi="宋体" w:cs="宋体"/>
          <w:b/>
          <w:color w:val="auto"/>
          <w:sz w:val="21"/>
          <w:szCs w:val="21"/>
          <w:highlight w:val="none"/>
        </w:rPr>
        <w:t>3</w:t>
      </w:r>
      <w:bookmarkEnd w:id="33"/>
      <w:r>
        <w:rPr>
          <w:rFonts w:hint="eastAsia" w:ascii="宋体" w:hAnsi="宋体" w:cs="宋体"/>
          <w:b/>
          <w:color w:val="auto"/>
          <w:sz w:val="21"/>
          <w:szCs w:val="21"/>
          <w:highlight w:val="none"/>
        </w:rPr>
        <w:t>.合格投标人的资格条件</w:t>
      </w:r>
    </w:p>
    <w:p w14:paraId="2AFC2979">
      <w:pPr>
        <w:spacing w:line="360" w:lineRule="auto"/>
        <w:ind w:firstLine="420"/>
        <w:rPr>
          <w:rFonts w:ascii="宋体" w:hAnsi="宋体" w:cs="宋体"/>
          <w:b/>
          <w:color w:val="auto"/>
          <w:sz w:val="21"/>
          <w:szCs w:val="21"/>
          <w:highlight w:val="none"/>
        </w:rPr>
      </w:pPr>
      <w:r>
        <w:rPr>
          <w:rFonts w:hint="eastAsia" w:ascii="宋体" w:hAnsi="宋体" w:cs="宋体"/>
          <w:bCs/>
          <w:color w:val="auto"/>
          <w:sz w:val="21"/>
          <w:szCs w:val="21"/>
          <w:highlight w:val="none"/>
        </w:rPr>
        <w:t>详见本项目招标公告中的“申请人的资格要求”。</w:t>
      </w:r>
    </w:p>
    <w:p w14:paraId="2AC56649">
      <w:pPr>
        <w:spacing w:line="360" w:lineRule="auto"/>
        <w:jc w:val="both"/>
        <w:rPr>
          <w:rFonts w:ascii="宋体" w:hAnsi="宋体" w:cs="宋体"/>
          <w:b/>
          <w:color w:val="auto"/>
          <w:sz w:val="21"/>
          <w:szCs w:val="21"/>
          <w:highlight w:val="none"/>
        </w:rPr>
      </w:pPr>
      <w:bookmarkStart w:id="34" w:name="_Toc492294170"/>
      <w:r>
        <w:rPr>
          <w:rFonts w:hint="eastAsia" w:ascii="宋体" w:hAnsi="宋体" w:cs="宋体"/>
          <w:b/>
          <w:color w:val="auto"/>
          <w:sz w:val="21"/>
          <w:szCs w:val="21"/>
          <w:highlight w:val="none"/>
        </w:rPr>
        <w:t>4.投标人代表</w:t>
      </w:r>
      <w:bookmarkEnd w:id="34"/>
      <w:r>
        <w:rPr>
          <w:rFonts w:hint="eastAsia" w:ascii="宋体" w:hAnsi="宋体" w:cs="宋体"/>
          <w:b/>
          <w:color w:val="auto"/>
          <w:sz w:val="21"/>
          <w:szCs w:val="21"/>
          <w:highlight w:val="none"/>
        </w:rPr>
        <w:t>（代理人）</w:t>
      </w:r>
    </w:p>
    <w:p w14:paraId="0C43F351">
      <w:pPr>
        <w:pStyle w:val="40"/>
        <w:spacing w:line="360" w:lineRule="auto"/>
        <w:ind w:firstLine="420"/>
        <w:jc w:val="both"/>
        <w:rPr>
          <w:rFonts w:ascii="宋体" w:hAnsi="宋体" w:cs="宋体"/>
          <w:color w:val="auto"/>
          <w:sz w:val="21"/>
          <w:szCs w:val="21"/>
          <w:highlight w:val="none"/>
        </w:rPr>
      </w:pPr>
      <w:r>
        <w:rPr>
          <w:rFonts w:hint="eastAsia" w:ascii="宋体" w:hAnsi="宋体" w:cs="宋体"/>
          <w:color w:val="auto"/>
          <w:sz w:val="21"/>
          <w:szCs w:val="21"/>
          <w:highlight w:val="none"/>
        </w:rPr>
        <w:t>4.1指全权代表投标人参加投标活动并签署投标文件的人，如果投标人代表不是法定代表人，须持有《法定代表人授权委托书》（详见统一格式）。</w:t>
      </w:r>
    </w:p>
    <w:p w14:paraId="2AEC50D4">
      <w:pPr>
        <w:spacing w:line="360" w:lineRule="auto"/>
        <w:rPr>
          <w:rFonts w:ascii="宋体" w:hAnsi="宋体" w:cs="宋体"/>
          <w:b/>
          <w:color w:val="auto"/>
          <w:sz w:val="21"/>
          <w:szCs w:val="21"/>
          <w:highlight w:val="none"/>
        </w:rPr>
      </w:pPr>
      <w:bookmarkStart w:id="35" w:name="_Toc492294171"/>
      <w:r>
        <w:rPr>
          <w:rFonts w:hint="eastAsia" w:ascii="宋体" w:hAnsi="宋体" w:cs="宋体"/>
          <w:b/>
          <w:color w:val="auto"/>
          <w:sz w:val="21"/>
          <w:szCs w:val="21"/>
          <w:highlight w:val="none"/>
        </w:rPr>
        <w:t>5.投标费用</w:t>
      </w:r>
      <w:bookmarkEnd w:id="35"/>
    </w:p>
    <w:p w14:paraId="025BAE16">
      <w:pPr>
        <w:pStyle w:val="310"/>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5.1无论投标过程中的做法和结果如何，投标人自行承担所有与参加投标有关的全部费用。</w:t>
      </w:r>
    </w:p>
    <w:p w14:paraId="12D0F266">
      <w:pPr>
        <w:widowControl w:val="0"/>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6.联合投标及转包、分包</w:t>
      </w:r>
    </w:p>
    <w:p w14:paraId="4AFB995F">
      <w:pPr>
        <w:pStyle w:val="40"/>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6.1本项目不接受联合体投标。</w:t>
      </w:r>
    </w:p>
    <w:p w14:paraId="05BE8143">
      <w:pPr>
        <w:pStyle w:val="310"/>
        <w:spacing w:line="360" w:lineRule="auto"/>
        <w:ind w:firstLine="420"/>
        <w:rPr>
          <w:rFonts w:ascii="宋体" w:hAnsi="宋体" w:cs="宋体"/>
          <w:color w:val="auto"/>
          <w:sz w:val="21"/>
          <w:szCs w:val="21"/>
          <w:highlight w:val="none"/>
        </w:rPr>
      </w:pPr>
      <w:bookmarkStart w:id="36" w:name="_Toc492294172"/>
      <w:r>
        <w:rPr>
          <w:rFonts w:hint="eastAsia" w:ascii="宋体" w:hAnsi="宋体" w:cs="宋体"/>
          <w:color w:val="auto"/>
          <w:sz w:val="21"/>
          <w:szCs w:val="21"/>
          <w:highlight w:val="none"/>
        </w:rPr>
        <w:t>6.2本项目不接受转包。</w:t>
      </w:r>
    </w:p>
    <w:p w14:paraId="0B2B1FBD">
      <w:pPr>
        <w:pStyle w:val="310"/>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6.3投标人根据招标文件的规定和采购项目的实际情况，拟在中标后将中标项目的非主体、非关键性工作分包的，应当在投标文件中载明分包承担主体，分包承担主体应当具备相应资质条件且不得再次分包。</w:t>
      </w:r>
    </w:p>
    <w:p w14:paraId="3518E9EA">
      <w:pPr>
        <w:rPr>
          <w:rFonts w:ascii="宋体" w:hAnsi="宋体" w:cs="宋体"/>
          <w:b/>
          <w:bCs/>
          <w:color w:val="auto"/>
          <w:sz w:val="21"/>
          <w:szCs w:val="21"/>
          <w:highlight w:val="none"/>
        </w:rPr>
      </w:pPr>
      <w:r>
        <w:rPr>
          <w:rFonts w:hint="eastAsia" w:ascii="宋体" w:hAnsi="宋体" w:cs="宋体"/>
          <w:b/>
          <w:bCs/>
          <w:color w:val="auto"/>
          <w:sz w:val="21"/>
          <w:szCs w:val="21"/>
          <w:highlight w:val="none"/>
        </w:rPr>
        <w:t>三、招标文件的说明</w:t>
      </w:r>
      <w:bookmarkEnd w:id="36"/>
    </w:p>
    <w:p w14:paraId="65609410">
      <w:pPr>
        <w:spacing w:line="360" w:lineRule="auto"/>
        <w:rPr>
          <w:rFonts w:ascii="宋体" w:hAnsi="宋体" w:cs="宋体"/>
          <w:b/>
          <w:color w:val="auto"/>
          <w:sz w:val="21"/>
          <w:szCs w:val="21"/>
          <w:highlight w:val="none"/>
        </w:rPr>
      </w:pPr>
      <w:bookmarkStart w:id="37" w:name="_Toc492294173"/>
      <w:r>
        <w:rPr>
          <w:rFonts w:hint="eastAsia" w:ascii="宋体" w:hAnsi="宋体" w:cs="宋体"/>
          <w:b/>
          <w:color w:val="auto"/>
          <w:sz w:val="21"/>
          <w:szCs w:val="21"/>
          <w:highlight w:val="none"/>
        </w:rPr>
        <w:t>7.招标文件</w:t>
      </w:r>
      <w:bookmarkEnd w:id="37"/>
    </w:p>
    <w:p w14:paraId="771754E6">
      <w:pPr>
        <w:pStyle w:val="310"/>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响应，其风险由投标人自行承担，并根据有关条款规定，</w:t>
      </w:r>
      <w:r>
        <w:rPr>
          <w:rFonts w:hint="eastAsia" w:ascii="宋体" w:hAnsi="宋体" w:cs="宋体"/>
          <w:b/>
          <w:bCs/>
          <w:color w:val="auto"/>
          <w:sz w:val="21"/>
          <w:szCs w:val="21"/>
          <w:highlight w:val="none"/>
        </w:rPr>
        <w:t>该电子投标文件将按无效处理</w:t>
      </w:r>
      <w:r>
        <w:rPr>
          <w:rFonts w:hint="eastAsia" w:ascii="宋体" w:hAnsi="宋体" w:cs="宋体"/>
          <w:color w:val="auto"/>
          <w:sz w:val="21"/>
          <w:szCs w:val="21"/>
          <w:highlight w:val="none"/>
        </w:rPr>
        <w:t>。</w:t>
      </w:r>
    </w:p>
    <w:p w14:paraId="6D27824C">
      <w:pPr>
        <w:pStyle w:val="310"/>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7.2招标文件及更正公告不是直接从财政部门指定的政府采购信息发布媒体上下载获得的，采购人或采购代理机构对招标文件及其更正公告的真实性、完整性不承担任何责任。</w:t>
      </w:r>
    </w:p>
    <w:p w14:paraId="68FF13BC">
      <w:pPr>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8.招标文件的澄清和修改</w:t>
      </w:r>
    </w:p>
    <w:p w14:paraId="4C894CF7">
      <w:pPr>
        <w:pStyle w:val="310"/>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8.1采购人或采购代理机构无论出于自己的考虑，还是出于对投标人提问的澄清，均可对招标文件用更正公告的方式进行澄清或者修改，并通过财政部门指定的政府采购信息发布媒体对外进行发布。</w:t>
      </w:r>
    </w:p>
    <w:p w14:paraId="1B244E16">
      <w:pPr>
        <w:pStyle w:val="310"/>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8.2投标人通过“苏采云”系统中自行查看拟投标项目的更正公告。更正公告将作为招标文件的组成部分，对所有投标人有约束力。</w:t>
      </w:r>
    </w:p>
    <w:p w14:paraId="79642C2C">
      <w:pPr>
        <w:pStyle w:val="310"/>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8.3为使投标人有足够的时间按招标文件的修改要求考虑修正投标文件，或出于其他原因，采购人或采购代理机构有权推迟投标截止时间和开标时间，并将此变更通知以更正公告的形式对外发布。</w:t>
      </w:r>
    </w:p>
    <w:p w14:paraId="218036EC">
      <w:pPr>
        <w:pStyle w:val="40"/>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8.4招标文件的澄清、修改、补充等内容均以财政部门指定的政府采购信息发布媒体发布的内容为准。</w:t>
      </w:r>
    </w:p>
    <w:p w14:paraId="3291BFD0">
      <w:pPr>
        <w:spacing w:line="360" w:lineRule="auto"/>
        <w:rPr>
          <w:rFonts w:ascii="宋体" w:hAnsi="宋体" w:cs="宋体"/>
          <w:b/>
          <w:color w:val="auto"/>
          <w:sz w:val="21"/>
          <w:szCs w:val="21"/>
          <w:highlight w:val="none"/>
        </w:rPr>
      </w:pPr>
      <w:bookmarkStart w:id="38" w:name="_Toc492294176"/>
      <w:r>
        <w:rPr>
          <w:rFonts w:hint="eastAsia" w:ascii="宋体" w:hAnsi="宋体" w:cs="宋体"/>
          <w:b/>
          <w:color w:val="auto"/>
          <w:sz w:val="21"/>
          <w:szCs w:val="21"/>
          <w:highlight w:val="none"/>
        </w:rPr>
        <w:t>9.勘查现场及投标答疑</w:t>
      </w:r>
      <w:bookmarkEnd w:id="38"/>
    </w:p>
    <w:p w14:paraId="0724034B">
      <w:pPr>
        <w:pStyle w:val="310"/>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9.1勘查现场</w:t>
      </w:r>
    </w:p>
    <w:p w14:paraId="010E0594">
      <w:pPr>
        <w:pStyle w:val="310"/>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9.1.1根据自身投标需要，投标人可对有关现场和周围环境进行勘查，以获取编制投标文件和签署合同所需的信息。勘查现场所发生的费用由投标人自己承担。</w:t>
      </w:r>
    </w:p>
    <w:p w14:paraId="0B16CE83">
      <w:pPr>
        <w:pStyle w:val="310"/>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9.1.2采购人或采购代理机构向投标人提供的有关现场的资料和数据，是采购人或采购代理机构现有的并认为有可能会被投标人投标使用的资料。投标人由此而做出的推论、理解和结论，采购人或采购代理机构概不负责。</w:t>
      </w:r>
    </w:p>
    <w:p w14:paraId="329BD85E">
      <w:pPr>
        <w:pStyle w:val="310"/>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9.1.3经采购人允许，投标人可因勘查现场目的进入采购人的项目现场。投标人应自行承担勘查现场所引起的所有风险与责任。投标人不得因勘查现场使采购人承担因他人勘查现场所引起的任何风险与责任，同时不得使采购人、现场设施及附着物蒙受损失，否则须向采购人进行全额赔偿。</w:t>
      </w:r>
    </w:p>
    <w:p w14:paraId="2CD14917">
      <w:pPr>
        <w:pStyle w:val="310"/>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9.1.4投标人应在现场勘查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p>
    <w:p w14:paraId="2326AD2F">
      <w:pPr>
        <w:pStyle w:val="40"/>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9.2投标答疑包括采购人或采购代理机构认为可以回答且不会引起投标人误解的相关问题和答复，由于投标答疑而产生的对招标文件内容的修改，由采购人或采购代理机构按照本须知有关规定，以更正公告的方式发出。</w:t>
      </w:r>
    </w:p>
    <w:p w14:paraId="0D18E178">
      <w:pPr>
        <w:rPr>
          <w:rFonts w:ascii="宋体" w:hAnsi="宋体" w:cs="宋体"/>
          <w:b/>
          <w:bCs/>
          <w:color w:val="auto"/>
          <w:sz w:val="21"/>
          <w:szCs w:val="21"/>
          <w:highlight w:val="none"/>
        </w:rPr>
      </w:pPr>
      <w:bookmarkStart w:id="39" w:name="_Toc492294177"/>
      <w:r>
        <w:rPr>
          <w:rFonts w:hint="eastAsia" w:ascii="宋体" w:hAnsi="宋体" w:cs="宋体"/>
          <w:b/>
          <w:bCs/>
          <w:color w:val="auto"/>
          <w:sz w:val="21"/>
          <w:szCs w:val="21"/>
          <w:highlight w:val="none"/>
        </w:rPr>
        <w:t>四、投标文件说明</w:t>
      </w:r>
      <w:bookmarkEnd w:id="39"/>
    </w:p>
    <w:p w14:paraId="0D3473B3">
      <w:pPr>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10.提示与要求</w:t>
      </w:r>
    </w:p>
    <w:p w14:paraId="10331198">
      <w:pPr>
        <w:pStyle w:val="310"/>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10.1</w:t>
      </w:r>
      <w:r>
        <w:rPr>
          <w:rFonts w:hint="eastAsia" w:ascii="宋体" w:hAnsi="宋体" w:cs="宋体"/>
          <w:b/>
          <w:bCs/>
          <w:color w:val="auto"/>
          <w:sz w:val="21"/>
          <w:szCs w:val="21"/>
          <w:highlight w:val="none"/>
        </w:rPr>
        <w:t>投标人应仔细阅读招标文件的所有内容，按招标文件的要求提供投标文件，并保证所提供的全部资料的真实性，以使其投标对招标文件做出实质性响应。否则，根据有关条款规定，其投标文件可能被作无效处理</w:t>
      </w:r>
      <w:r>
        <w:rPr>
          <w:rFonts w:hint="eastAsia" w:ascii="宋体" w:hAnsi="宋体" w:cs="宋体"/>
          <w:color w:val="auto"/>
          <w:sz w:val="21"/>
          <w:szCs w:val="21"/>
          <w:highlight w:val="none"/>
        </w:rPr>
        <w:t>。</w:t>
      </w:r>
    </w:p>
    <w:p w14:paraId="10D1F07A">
      <w:pPr>
        <w:pStyle w:val="310"/>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10.2无论是否提交（上传）投标文件，投标人都应将招标文件及以后的所有通知、文件等视为保密文件。</w:t>
      </w:r>
    </w:p>
    <w:p w14:paraId="4203883F">
      <w:pPr>
        <w:spacing w:line="360" w:lineRule="auto"/>
        <w:rPr>
          <w:rFonts w:ascii="宋体" w:hAnsi="宋体" w:cs="宋体"/>
          <w:b/>
          <w:color w:val="auto"/>
          <w:sz w:val="21"/>
          <w:szCs w:val="21"/>
          <w:highlight w:val="none"/>
        </w:rPr>
      </w:pPr>
      <w:bookmarkStart w:id="40" w:name="_Toc492294178"/>
      <w:r>
        <w:rPr>
          <w:rFonts w:hint="eastAsia" w:ascii="宋体" w:hAnsi="宋体" w:cs="宋体"/>
          <w:b/>
          <w:color w:val="auto"/>
          <w:sz w:val="21"/>
          <w:szCs w:val="21"/>
          <w:highlight w:val="none"/>
        </w:rPr>
        <w:t>11.投标文件计量单位和使用文字</w:t>
      </w:r>
      <w:bookmarkEnd w:id="40"/>
    </w:p>
    <w:p w14:paraId="09C62906">
      <w:pPr>
        <w:pStyle w:val="310"/>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11.1投标文件中所使用的计量单位，除招标文件中有特殊要求外，均应使用中华人民共和国法定计量单位。</w:t>
      </w:r>
    </w:p>
    <w:p w14:paraId="509C2CC8">
      <w:pPr>
        <w:pStyle w:val="310"/>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11.2投标文件应使用中文编制，投标文件中需要使用其他文字的，必须附有相应的中文译本。</w:t>
      </w:r>
      <w:r>
        <w:rPr>
          <w:rFonts w:hint="eastAsia" w:ascii="宋体" w:hAnsi="宋体" w:cs="宋体"/>
          <w:b/>
          <w:bCs/>
          <w:color w:val="auto"/>
          <w:sz w:val="21"/>
          <w:szCs w:val="21"/>
          <w:highlight w:val="none"/>
        </w:rPr>
        <w:t>对于未附有中文译本和中文译本不准确的投标文件可能引起的对投标人不利的后果，由相应投标人自行承担。</w:t>
      </w:r>
    </w:p>
    <w:p w14:paraId="5973BE4C">
      <w:pPr>
        <w:spacing w:line="360" w:lineRule="auto"/>
        <w:rPr>
          <w:rFonts w:ascii="宋体" w:hAnsi="宋体" w:cs="宋体"/>
          <w:b/>
          <w:bCs/>
          <w:color w:val="auto"/>
          <w:sz w:val="21"/>
          <w:szCs w:val="21"/>
          <w:highlight w:val="none"/>
        </w:rPr>
      </w:pPr>
      <w:bookmarkStart w:id="41" w:name="_Toc492394287"/>
      <w:bookmarkStart w:id="42" w:name="_Toc492294179"/>
      <w:r>
        <w:rPr>
          <w:rFonts w:hint="eastAsia" w:ascii="宋体" w:hAnsi="宋体" w:cs="宋体"/>
          <w:b/>
          <w:bCs/>
          <w:color w:val="auto"/>
          <w:sz w:val="21"/>
          <w:szCs w:val="21"/>
          <w:highlight w:val="none"/>
        </w:rPr>
        <w:t>12.投标文件的组成</w:t>
      </w:r>
      <w:bookmarkEnd w:id="41"/>
      <w:bookmarkEnd w:id="42"/>
      <w:r>
        <w:rPr>
          <w:rFonts w:hint="eastAsia" w:ascii="宋体" w:hAnsi="宋体" w:cs="宋体"/>
          <w:b/>
          <w:bCs/>
          <w:color w:val="auto"/>
          <w:sz w:val="21"/>
          <w:szCs w:val="21"/>
          <w:highlight w:val="none"/>
        </w:rPr>
        <w:t>（部分格式见第三章）</w:t>
      </w:r>
    </w:p>
    <w:p w14:paraId="6E8B2701">
      <w:pPr>
        <w:spacing w:line="360" w:lineRule="auto"/>
        <w:ind w:firstLine="422"/>
        <w:rPr>
          <w:rFonts w:ascii="宋体" w:hAnsi="宋体" w:cs="宋体"/>
          <w:b/>
          <w:bCs/>
          <w:color w:val="auto"/>
          <w:sz w:val="21"/>
          <w:szCs w:val="21"/>
          <w:highlight w:val="none"/>
        </w:rPr>
      </w:pPr>
      <w:r>
        <w:rPr>
          <w:rFonts w:hint="eastAsia" w:ascii="宋体" w:hAnsi="宋体" w:cs="宋体"/>
          <w:b/>
          <w:bCs/>
          <w:color w:val="auto"/>
          <w:sz w:val="21"/>
          <w:szCs w:val="21"/>
          <w:highlight w:val="none"/>
        </w:rPr>
        <w:t>12.1封面</w:t>
      </w:r>
    </w:p>
    <w:p w14:paraId="378944DD">
      <w:pPr>
        <w:spacing w:line="360" w:lineRule="auto"/>
        <w:ind w:firstLine="422"/>
        <w:rPr>
          <w:rFonts w:hint="eastAsia" w:ascii="宋体" w:hAnsi="宋体" w:cs="宋体"/>
          <w:b/>
          <w:bCs/>
          <w:color w:val="auto"/>
          <w:sz w:val="21"/>
          <w:szCs w:val="21"/>
          <w:highlight w:val="none"/>
        </w:rPr>
      </w:pPr>
      <w:r>
        <w:rPr>
          <w:rFonts w:hint="eastAsia" w:ascii="宋体" w:hAnsi="宋体" w:cs="宋体"/>
          <w:color w:val="auto"/>
          <w:sz w:val="21"/>
          <w:szCs w:val="21"/>
          <w:highlight w:val="none"/>
        </w:rPr>
        <w:t>★</w:t>
      </w:r>
      <w:r>
        <w:rPr>
          <w:rFonts w:hint="eastAsia" w:ascii="宋体" w:hAnsi="宋体" w:cs="宋体"/>
          <w:b/>
          <w:bCs/>
          <w:color w:val="auto"/>
          <w:sz w:val="21"/>
          <w:szCs w:val="21"/>
          <w:highlight w:val="none"/>
        </w:rPr>
        <w:t>12.2开标一览表</w:t>
      </w:r>
    </w:p>
    <w:p w14:paraId="1BB875B0">
      <w:pPr>
        <w:spacing w:line="360" w:lineRule="auto"/>
        <w:ind w:firstLine="422"/>
        <w:rPr>
          <w:rFonts w:hint="default" w:ascii="宋体" w:hAnsi="宋体" w:eastAsia="宋体" w:cs="宋体"/>
          <w:b/>
          <w:bCs/>
          <w:color w:val="auto"/>
          <w:sz w:val="21"/>
          <w:szCs w:val="21"/>
          <w:highlight w:val="none"/>
          <w:lang w:val="en-US" w:eastAsia="zh-CN"/>
        </w:rPr>
      </w:pPr>
      <w:r>
        <w:rPr>
          <w:rFonts w:hint="eastAsia" w:ascii="宋体" w:hAnsi="宋体" w:cs="宋体"/>
          <w:color w:val="auto"/>
          <w:sz w:val="21"/>
          <w:szCs w:val="21"/>
          <w:highlight w:val="none"/>
        </w:rPr>
        <w:t>★</w:t>
      </w:r>
      <w:r>
        <w:rPr>
          <w:rFonts w:hint="eastAsia" w:ascii="宋体" w:hAnsi="宋体" w:cs="宋体"/>
          <w:b/>
          <w:bCs/>
          <w:color w:val="auto"/>
          <w:sz w:val="21"/>
          <w:szCs w:val="21"/>
          <w:highlight w:val="none"/>
          <w:lang w:val="en-US" w:eastAsia="zh-CN"/>
        </w:rPr>
        <w:t>12.3报价明细表</w:t>
      </w:r>
    </w:p>
    <w:p w14:paraId="068B8070">
      <w:pPr>
        <w:spacing w:line="360" w:lineRule="auto"/>
        <w:ind w:firstLine="422"/>
        <w:rPr>
          <w:rFonts w:ascii="宋体" w:hAnsi="宋体" w:cs="宋体"/>
          <w:b/>
          <w:bCs/>
          <w:color w:val="auto"/>
          <w:sz w:val="21"/>
          <w:szCs w:val="21"/>
          <w:highlight w:val="none"/>
        </w:rPr>
      </w:pPr>
      <w:r>
        <w:rPr>
          <w:rFonts w:hint="eastAsia" w:ascii="宋体" w:hAnsi="宋体" w:cs="宋体"/>
          <w:color w:val="auto"/>
          <w:sz w:val="21"/>
          <w:szCs w:val="21"/>
          <w:highlight w:val="none"/>
        </w:rPr>
        <w:t>★</w:t>
      </w:r>
      <w:r>
        <w:rPr>
          <w:rFonts w:hint="eastAsia" w:ascii="宋体" w:hAnsi="宋体" w:cs="宋体"/>
          <w:b/>
          <w:bCs/>
          <w:color w:val="auto"/>
          <w:sz w:val="21"/>
          <w:szCs w:val="21"/>
          <w:highlight w:val="none"/>
        </w:rPr>
        <w:t>12</w:t>
      </w:r>
      <w:r>
        <w:rPr>
          <w:rFonts w:hint="eastAsia" w:ascii="宋体" w:hAnsi="宋体" w:cs="宋体"/>
          <w:b/>
          <w:color w:val="auto"/>
          <w:sz w:val="21"/>
          <w:szCs w:val="21"/>
          <w:highlight w:val="none"/>
        </w:rPr>
        <w:t>.</w:t>
      </w:r>
      <w:r>
        <w:rPr>
          <w:rFonts w:hint="eastAsia" w:ascii="宋体" w:hAnsi="宋体" w:cs="宋体"/>
          <w:b/>
          <w:color w:val="auto"/>
          <w:sz w:val="21"/>
          <w:szCs w:val="21"/>
          <w:highlight w:val="none"/>
          <w:lang w:val="en-US" w:eastAsia="zh-CN"/>
        </w:rPr>
        <w:t>4</w:t>
      </w:r>
      <w:r>
        <w:rPr>
          <w:rFonts w:hint="eastAsia" w:ascii="宋体" w:hAnsi="宋体" w:cs="宋体"/>
          <w:b/>
          <w:color w:val="auto"/>
          <w:sz w:val="21"/>
          <w:szCs w:val="21"/>
          <w:highlight w:val="none"/>
        </w:rPr>
        <w:t>资格审查文件</w:t>
      </w:r>
    </w:p>
    <w:p w14:paraId="58ED1184">
      <w:pPr>
        <w:pStyle w:val="12"/>
        <w:tabs>
          <w:tab w:val="left" w:pos="0"/>
        </w:tabs>
        <w:spacing w:line="360" w:lineRule="auto"/>
        <w:rPr>
          <w:rFonts w:ascii="宋体" w:hAnsi="宋体" w:cs="宋体"/>
          <w:color w:val="auto"/>
          <w:szCs w:val="21"/>
          <w:highlight w:val="none"/>
        </w:rPr>
      </w:pPr>
      <w:r>
        <w:rPr>
          <w:rFonts w:hint="eastAsia" w:ascii="宋体" w:hAnsi="宋体" w:cs="宋体"/>
          <w:color w:val="auto"/>
          <w:szCs w:val="21"/>
          <w:highlight w:val="none"/>
        </w:rPr>
        <w:t>12.</w:t>
      </w:r>
      <w:r>
        <w:rPr>
          <w:rFonts w:hint="eastAsia" w:ascii="宋体" w:hAnsi="宋体" w:cs="宋体"/>
          <w:color w:val="auto"/>
          <w:szCs w:val="21"/>
          <w:highlight w:val="none"/>
          <w:lang w:val="en-US" w:eastAsia="zh-CN"/>
        </w:rPr>
        <w:t>4</w:t>
      </w:r>
      <w:r>
        <w:rPr>
          <w:rFonts w:hint="eastAsia" w:ascii="宋体" w:hAnsi="宋体" w:cs="宋体"/>
          <w:color w:val="auto"/>
          <w:szCs w:val="21"/>
          <w:highlight w:val="none"/>
        </w:rPr>
        <w:t>.1</w:t>
      </w:r>
      <w:r>
        <w:rPr>
          <w:rFonts w:hint="eastAsia" w:ascii="宋体" w:hAnsi="宋体"/>
          <w:color w:val="auto"/>
          <w:szCs w:val="21"/>
          <w:highlight w:val="none"/>
        </w:rPr>
        <w:t>满足《中华人民共和国政府采购法》第二十二条规定的证明材料</w:t>
      </w:r>
      <w:r>
        <w:rPr>
          <w:rFonts w:hint="eastAsia" w:ascii="宋体" w:hAnsi="宋体" w:cs="宋体"/>
          <w:color w:val="auto"/>
          <w:szCs w:val="21"/>
          <w:highlight w:val="none"/>
        </w:rPr>
        <w:t>：</w:t>
      </w:r>
    </w:p>
    <w:p w14:paraId="07149E8C">
      <w:pPr>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（1）具有独立承担民事责任的能力证明：</w:t>
      </w:r>
      <w:r>
        <w:rPr>
          <w:rFonts w:cs="宋体"/>
          <w:color w:val="auto"/>
          <w:sz w:val="21"/>
          <w:szCs w:val="21"/>
          <w:highlight w:val="none"/>
        </w:rPr>
        <w:t>提供法人或者其他组织的营业执照等证明文件，自然人的身份证明；</w:t>
      </w:r>
    </w:p>
    <w:p w14:paraId="453D4DDB">
      <w:pPr>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（2）具有良好的商业信誉和健全的财务会计制度证明：提供最近一期经审计的财务报告或最近一期财务报表（至少包括资产负债表、利润表和现金流量表）或银行开具的资信证明；</w:t>
      </w:r>
    </w:p>
    <w:p w14:paraId="2B9C4A76">
      <w:pPr>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（3）具有履行合同所必备的设备和专业技术能力的证明材料：根据投标人的实际情况提供明细清单等或承诺；</w:t>
      </w:r>
    </w:p>
    <w:p w14:paraId="3FC09665">
      <w:pPr>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（4）有依法缴纳税收和社会保障资金的良好记录：提供近六个月内任意一个月依法缴纳税收的凭据（专用收据或银行对账单）和近六个月内任意一个月依法缴纳社会保险的凭据（专用收</w:t>
      </w:r>
      <w:r>
        <w:rPr>
          <w:rFonts w:hint="eastAsia" w:ascii="宋体" w:hAnsi="宋体" w:cs="宋体"/>
          <w:color w:val="auto"/>
          <w:szCs w:val="21"/>
          <w:highlight w:val="none"/>
        </w:rPr>
        <w:t>据或银行对账单或社会保险缴纳清单）</w:t>
      </w:r>
      <w:r>
        <w:rPr>
          <w:rFonts w:hint="eastAsia" w:ascii="宋体" w:hAnsi="宋体" w:cs="宋体"/>
          <w:color w:val="auto"/>
          <w:sz w:val="21"/>
          <w:szCs w:val="21"/>
          <w:highlight w:val="none"/>
        </w:rPr>
        <w:t>，</w:t>
      </w:r>
      <w:r>
        <w:rPr>
          <w:rFonts w:hint="eastAsia" w:ascii="宋体" w:hAnsi="宋体" w:cs="宋体"/>
          <w:b/>
          <w:bCs/>
          <w:color w:val="auto"/>
          <w:sz w:val="21"/>
          <w:szCs w:val="21"/>
          <w:highlight w:val="none"/>
        </w:rPr>
        <w:t>投标人如依法享受缓缴、免缴税收、社会保障资金的应提供相关主管部门出具的证明材料</w:t>
      </w:r>
      <w:r>
        <w:rPr>
          <w:rFonts w:hint="eastAsia" w:ascii="宋体" w:hAnsi="宋体" w:cs="宋体"/>
          <w:color w:val="auto"/>
          <w:szCs w:val="21"/>
          <w:highlight w:val="none"/>
        </w:rPr>
        <w:t>；</w:t>
      </w:r>
    </w:p>
    <w:p w14:paraId="5570F2E3">
      <w:pPr>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（5）参加政府采购活动前三年内在经营活动中没有重大违法记录的书面声明函。</w:t>
      </w:r>
    </w:p>
    <w:p w14:paraId="2B42F65E">
      <w:pPr>
        <w:pStyle w:val="308"/>
        <w:tabs>
          <w:tab w:val="left" w:pos="0"/>
        </w:tabs>
        <w:spacing w:line="360" w:lineRule="auto"/>
        <w:rPr>
          <w:rFonts w:ascii="宋体" w:hAnsi="宋体" w:cs="宋体"/>
          <w:color w:val="auto"/>
          <w:szCs w:val="21"/>
          <w:highlight w:val="none"/>
        </w:rPr>
      </w:pPr>
      <w:r>
        <w:rPr>
          <w:rFonts w:hint="eastAsia" w:ascii="宋体" w:hAnsi="宋体" w:cs="宋体"/>
          <w:color w:val="auto"/>
          <w:szCs w:val="21"/>
          <w:highlight w:val="none"/>
        </w:rPr>
        <w:t>（6）法律、行政法规规定的其他条件：</w:t>
      </w:r>
      <w:r>
        <w:rPr>
          <w:rFonts w:ascii="宋体" w:hAnsi="宋体" w:cs="宋体"/>
          <w:color w:val="auto"/>
          <w:szCs w:val="21"/>
          <w:highlight w:val="none"/>
        </w:rPr>
        <w:t>符合法律、行政法规规定的其他条件的证明材料或书面声明</w:t>
      </w:r>
      <w:r>
        <w:rPr>
          <w:rFonts w:hint="eastAsia" w:ascii="宋体" w:hAnsi="宋体" w:cs="宋体"/>
          <w:color w:val="auto"/>
          <w:szCs w:val="21"/>
          <w:highlight w:val="none"/>
        </w:rPr>
        <w:t>。</w:t>
      </w:r>
    </w:p>
    <w:p w14:paraId="522B5B77">
      <w:pPr>
        <w:pStyle w:val="308"/>
        <w:tabs>
          <w:tab w:val="left" w:pos="0"/>
        </w:tabs>
        <w:spacing w:line="360" w:lineRule="auto"/>
        <w:rPr>
          <w:rFonts w:hint="eastAsia" w:ascii="宋体" w:hAnsi="宋体" w:eastAsia="宋体" w:cs="宋体"/>
          <w:color w:val="auto"/>
          <w:szCs w:val="21"/>
          <w:highlight w:val="none"/>
          <w:lang w:eastAsia="zh-CN"/>
        </w:rPr>
      </w:pPr>
      <w:r>
        <w:rPr>
          <w:rFonts w:hint="eastAsia" w:ascii="宋体" w:hAnsi="宋体"/>
          <w:b/>
          <w:bCs/>
          <w:color w:val="auto"/>
          <w:szCs w:val="21"/>
          <w:highlight w:val="none"/>
        </w:rPr>
        <w:t>12.</w:t>
      </w:r>
      <w:r>
        <w:rPr>
          <w:rFonts w:hint="eastAsia" w:ascii="宋体" w:hAnsi="宋体"/>
          <w:b/>
          <w:bCs/>
          <w:color w:val="auto"/>
          <w:szCs w:val="21"/>
          <w:highlight w:val="none"/>
          <w:lang w:val="en-US" w:eastAsia="zh-CN"/>
        </w:rPr>
        <w:t>4</w:t>
      </w:r>
      <w:r>
        <w:rPr>
          <w:rFonts w:hint="eastAsia" w:ascii="宋体" w:hAnsi="宋体"/>
          <w:b/>
          <w:bCs/>
          <w:color w:val="auto"/>
          <w:szCs w:val="21"/>
          <w:highlight w:val="none"/>
        </w:rPr>
        <w:t>.2</w:t>
      </w:r>
      <w:r>
        <w:rPr>
          <w:rFonts w:hint="eastAsia" w:ascii="宋体" w:hAnsi="宋体" w:cs="宋体"/>
          <w:b/>
          <w:bCs/>
          <w:color w:val="auto"/>
          <w:szCs w:val="21"/>
          <w:highlight w:val="none"/>
        </w:rPr>
        <w:t>落实政府采购政策需满足的资格要求的证明材料：</w:t>
      </w:r>
      <w:r>
        <w:rPr>
          <w:rFonts w:hint="eastAsia" w:ascii="宋体" w:hAnsi="宋体" w:cs="宋体"/>
          <w:b/>
          <w:bCs/>
          <w:szCs w:val="21"/>
          <w:highlight w:val="none"/>
        </w:rPr>
        <w:t xml:space="preserve">须提供《中小企业声明函》或《残疾人福利性单位声明函》或由省级以上监狱管理局、戒毒管理局（含新疆生产建设兵团）出具的属于监狱企业的相关证明材料扫描件。（《中小企业声明函》或《残疾人福利性单位声明函》或监狱企业的相关证明材料的上传资料必须为盖有公章的扫描件，否则视为无效响应资料）  </w:t>
      </w:r>
    </w:p>
    <w:p w14:paraId="2B75B1D3">
      <w:pPr>
        <w:pStyle w:val="308"/>
        <w:tabs>
          <w:tab w:val="left" w:pos="0"/>
        </w:tabs>
        <w:spacing w:line="360" w:lineRule="auto"/>
        <w:rPr>
          <w:rFonts w:ascii="宋体" w:hAnsi="宋体" w:cs="宋体"/>
          <w:b/>
          <w:bCs/>
          <w:color w:val="auto"/>
          <w:szCs w:val="21"/>
          <w:highlight w:val="none"/>
        </w:rPr>
      </w:pPr>
      <w:r>
        <w:rPr>
          <w:rFonts w:hint="eastAsia" w:ascii="宋体" w:hAnsi="宋体"/>
          <w:b/>
          <w:bCs/>
          <w:color w:val="auto"/>
          <w:szCs w:val="21"/>
          <w:highlight w:val="none"/>
        </w:rPr>
        <w:t>12.</w:t>
      </w:r>
      <w:r>
        <w:rPr>
          <w:rFonts w:hint="eastAsia" w:ascii="宋体" w:hAnsi="宋体"/>
          <w:b/>
          <w:bCs/>
          <w:color w:val="auto"/>
          <w:szCs w:val="21"/>
          <w:highlight w:val="none"/>
          <w:lang w:val="en-US" w:eastAsia="zh-CN"/>
        </w:rPr>
        <w:t>4</w:t>
      </w:r>
      <w:r>
        <w:rPr>
          <w:rFonts w:hint="eastAsia" w:ascii="宋体" w:hAnsi="宋体"/>
          <w:b/>
          <w:bCs/>
          <w:color w:val="auto"/>
          <w:szCs w:val="21"/>
          <w:highlight w:val="none"/>
        </w:rPr>
        <w:t>.3</w:t>
      </w:r>
      <w:r>
        <w:rPr>
          <w:rFonts w:hint="eastAsia" w:ascii="宋体" w:hAnsi="宋体" w:cs="宋体"/>
          <w:b/>
          <w:bCs/>
          <w:color w:val="auto"/>
          <w:szCs w:val="21"/>
          <w:highlight w:val="none"/>
        </w:rPr>
        <w:t>本项目的特定资格要求的证明材料：</w:t>
      </w:r>
    </w:p>
    <w:p w14:paraId="2E7D6208">
      <w:pPr>
        <w:spacing w:line="360" w:lineRule="auto"/>
        <w:ind w:firstLine="420"/>
        <w:rPr>
          <w:rFonts w:ascii="宋体" w:hAnsi="宋体" w:cs="宋体"/>
          <w:color w:val="auto"/>
          <w:sz w:val="21"/>
          <w:szCs w:val="21"/>
          <w:highlight w:val="none"/>
        </w:rPr>
      </w:pPr>
      <w:r>
        <w:rPr>
          <w:rFonts w:hint="eastAsia" w:ascii="宋体" w:hAnsi="宋体" w:cs="宋体"/>
          <w:bCs/>
          <w:color w:val="auto"/>
          <w:sz w:val="21"/>
          <w:szCs w:val="21"/>
          <w:highlight w:val="none"/>
        </w:rPr>
        <w:t>（</w:t>
      </w:r>
      <w:r>
        <w:rPr>
          <w:rFonts w:hint="eastAsia" w:ascii="宋体" w:hAnsi="宋体" w:cs="宋体"/>
          <w:bCs/>
          <w:color w:val="auto"/>
          <w:sz w:val="21"/>
          <w:szCs w:val="21"/>
          <w:highlight w:val="none"/>
          <w:lang w:val="en-US" w:eastAsia="zh-CN"/>
        </w:rPr>
        <w:t>1</w:t>
      </w:r>
      <w:r>
        <w:rPr>
          <w:rFonts w:hint="eastAsia" w:ascii="宋体" w:hAnsi="宋体" w:cs="宋体"/>
          <w:bCs/>
          <w:color w:val="auto"/>
          <w:sz w:val="21"/>
          <w:szCs w:val="21"/>
          <w:highlight w:val="none"/>
        </w:rPr>
        <w:t>）未被“信用中国”（www.creditchina.gov.cn）等相关网站列入失信被执行人、重大税收违法案件当事人名单、政府采购严重失信行为记录名单：投标人无需提供相关证明资料，由采购代理机构按照招标文件</w:t>
      </w:r>
      <w:r>
        <w:rPr>
          <w:rFonts w:hint="eastAsia" w:ascii="宋体" w:hAnsi="宋体" w:cs="宋体"/>
          <w:b/>
          <w:color w:val="auto"/>
          <w:sz w:val="21"/>
          <w:szCs w:val="21"/>
          <w:highlight w:val="none"/>
        </w:rPr>
        <w:t>第二章“20.信用记录查询”</w:t>
      </w:r>
      <w:r>
        <w:rPr>
          <w:rFonts w:hint="eastAsia" w:ascii="宋体" w:hAnsi="宋体" w:cs="宋体"/>
          <w:bCs/>
          <w:color w:val="auto"/>
          <w:sz w:val="21"/>
          <w:szCs w:val="21"/>
          <w:highlight w:val="none"/>
        </w:rPr>
        <w:t>要求执行</w:t>
      </w:r>
      <w:r>
        <w:rPr>
          <w:rFonts w:hint="eastAsia" w:ascii="宋体" w:hAnsi="宋体"/>
          <w:color w:val="auto"/>
          <w:sz w:val="21"/>
          <w:szCs w:val="21"/>
          <w:highlight w:val="none"/>
        </w:rPr>
        <w:t>。</w:t>
      </w:r>
    </w:p>
    <w:p w14:paraId="0A26C133">
      <w:pPr>
        <w:spacing w:line="360" w:lineRule="auto"/>
        <w:ind w:firstLine="420"/>
        <w:rPr>
          <w:rFonts w:ascii="宋体" w:hAnsi="宋体"/>
          <w:b/>
          <w:bCs/>
          <w:color w:val="auto"/>
          <w:sz w:val="21"/>
          <w:szCs w:val="21"/>
          <w:highlight w:val="none"/>
        </w:rPr>
      </w:pPr>
      <w:r>
        <w:rPr>
          <w:rFonts w:hint="eastAsia" w:ascii="宋体" w:hAnsi="宋体" w:cs="宋体"/>
          <w:b/>
          <w:bCs/>
          <w:color w:val="auto"/>
          <w:sz w:val="21"/>
          <w:szCs w:val="21"/>
          <w:highlight w:val="none"/>
          <w:u w:val="single"/>
        </w:rPr>
        <w:t>以上是资格性审查的要求和必须提供的材料，未按要求提供的，投标无效。</w:t>
      </w:r>
    </w:p>
    <w:p w14:paraId="1D7A8D20">
      <w:pPr>
        <w:spacing w:line="360" w:lineRule="auto"/>
        <w:ind w:firstLine="422"/>
        <w:rPr>
          <w:rFonts w:ascii="宋体" w:hAnsi="宋体"/>
          <w:b/>
          <w:color w:val="auto"/>
          <w:sz w:val="21"/>
          <w:szCs w:val="21"/>
          <w:highlight w:val="none"/>
        </w:rPr>
      </w:pPr>
      <w:r>
        <w:rPr>
          <w:rFonts w:hint="eastAsia" w:ascii="宋体" w:hAnsi="宋体" w:cs="宋体"/>
          <w:b/>
          <w:bCs/>
          <w:color w:val="auto"/>
          <w:sz w:val="21"/>
          <w:szCs w:val="21"/>
          <w:highlight w:val="none"/>
          <w:shd w:val="clear" w:color="auto" w:fill="FFFFFF"/>
        </w:rPr>
        <w:t>★</w:t>
      </w:r>
      <w:r>
        <w:rPr>
          <w:rFonts w:hint="eastAsia" w:ascii="宋体" w:hAnsi="宋体"/>
          <w:b/>
          <w:bCs/>
          <w:color w:val="auto"/>
          <w:sz w:val="21"/>
          <w:szCs w:val="21"/>
          <w:highlight w:val="none"/>
        </w:rPr>
        <w:t>12.</w:t>
      </w:r>
      <w:r>
        <w:rPr>
          <w:rFonts w:hint="eastAsia" w:ascii="宋体" w:hAnsi="宋体"/>
          <w:b/>
          <w:bCs/>
          <w:color w:val="auto"/>
          <w:sz w:val="21"/>
          <w:szCs w:val="21"/>
          <w:highlight w:val="none"/>
          <w:lang w:val="en-US" w:eastAsia="zh-CN"/>
        </w:rPr>
        <w:t>5</w:t>
      </w:r>
      <w:r>
        <w:rPr>
          <w:rFonts w:hint="eastAsia" w:ascii="宋体" w:hAnsi="宋体"/>
          <w:b/>
          <w:bCs/>
          <w:color w:val="auto"/>
          <w:sz w:val="21"/>
          <w:szCs w:val="21"/>
          <w:highlight w:val="none"/>
        </w:rPr>
        <w:t>符合性</w:t>
      </w:r>
      <w:r>
        <w:rPr>
          <w:rFonts w:hint="eastAsia" w:ascii="宋体" w:hAnsi="宋体"/>
          <w:b/>
          <w:color w:val="auto"/>
          <w:sz w:val="21"/>
          <w:szCs w:val="21"/>
          <w:highlight w:val="none"/>
        </w:rPr>
        <w:t>审查文件</w:t>
      </w:r>
    </w:p>
    <w:p w14:paraId="0D179F8A">
      <w:pPr>
        <w:spacing w:line="360" w:lineRule="auto"/>
        <w:ind w:firstLine="420"/>
        <w:rPr>
          <w:rFonts w:ascii="宋体" w:hAnsi="宋体" w:cs="宋体"/>
          <w:b/>
          <w:bCs/>
          <w:color w:val="auto"/>
          <w:sz w:val="21"/>
          <w:szCs w:val="21"/>
          <w:highlight w:val="none"/>
        </w:rPr>
      </w:pPr>
      <w:r>
        <w:rPr>
          <w:rFonts w:hint="eastAsia" w:ascii="宋体" w:hAnsi="宋体" w:cs="宋体"/>
          <w:b/>
          <w:bCs/>
          <w:color w:val="auto"/>
          <w:sz w:val="21"/>
          <w:szCs w:val="21"/>
          <w:highlight w:val="none"/>
        </w:rPr>
        <w:t>12.</w:t>
      </w:r>
      <w:r>
        <w:rPr>
          <w:rFonts w:hint="eastAsia" w:ascii="宋体" w:hAnsi="宋体" w:cs="宋体"/>
          <w:b/>
          <w:bCs/>
          <w:color w:val="auto"/>
          <w:sz w:val="21"/>
          <w:szCs w:val="21"/>
          <w:highlight w:val="none"/>
          <w:lang w:val="en-US" w:eastAsia="zh-CN"/>
        </w:rPr>
        <w:t>5</w:t>
      </w:r>
      <w:r>
        <w:rPr>
          <w:rFonts w:hint="eastAsia" w:ascii="宋体" w:hAnsi="宋体" w:cs="宋体"/>
          <w:b/>
          <w:bCs/>
          <w:color w:val="auto"/>
          <w:sz w:val="21"/>
          <w:szCs w:val="21"/>
          <w:highlight w:val="none"/>
        </w:rPr>
        <w:t>.1报价要求</w:t>
      </w:r>
    </w:p>
    <w:p w14:paraId="40D9D6EE">
      <w:pPr>
        <w:spacing w:line="360" w:lineRule="auto"/>
        <w:ind w:firstLine="420"/>
        <w:rPr>
          <w:rFonts w:ascii="宋体" w:hAnsi="宋体" w:cs="宋体"/>
          <w:color w:val="auto"/>
          <w:sz w:val="21"/>
          <w:szCs w:val="21"/>
          <w:highlight w:val="none"/>
        </w:rPr>
      </w:pPr>
      <w:r>
        <w:rPr>
          <w:rFonts w:hint="eastAsia" w:ascii="宋体" w:hAnsi="宋体" w:cs="宋体"/>
          <w:b/>
          <w:bCs/>
          <w:color w:val="auto"/>
          <w:sz w:val="21"/>
          <w:szCs w:val="21"/>
          <w:highlight w:val="none"/>
        </w:rPr>
        <w:t>12.</w:t>
      </w:r>
      <w:r>
        <w:rPr>
          <w:rFonts w:hint="eastAsia" w:ascii="宋体" w:hAnsi="宋体" w:cs="宋体"/>
          <w:b/>
          <w:bCs/>
          <w:color w:val="auto"/>
          <w:sz w:val="21"/>
          <w:szCs w:val="21"/>
          <w:highlight w:val="none"/>
          <w:lang w:val="en-US" w:eastAsia="zh-CN"/>
        </w:rPr>
        <w:t>5</w:t>
      </w:r>
      <w:r>
        <w:rPr>
          <w:rFonts w:hint="eastAsia" w:ascii="宋体" w:hAnsi="宋体" w:cs="宋体"/>
          <w:b/>
          <w:bCs/>
          <w:color w:val="auto"/>
          <w:sz w:val="21"/>
          <w:szCs w:val="21"/>
          <w:highlight w:val="none"/>
        </w:rPr>
        <w:t>.1.1报价符合性审查：</w:t>
      </w:r>
      <w:r>
        <w:rPr>
          <w:rFonts w:hint="eastAsia" w:ascii="宋体" w:hAnsi="宋体" w:cs="宋体"/>
          <w:color w:val="auto"/>
          <w:sz w:val="21"/>
          <w:szCs w:val="21"/>
          <w:highlight w:val="none"/>
        </w:rPr>
        <w:t>投标人报价出现异常低价时，可在此目录提交相关书面说明及必要的证明材料。</w:t>
      </w:r>
    </w:p>
    <w:p w14:paraId="64D9F89C">
      <w:pPr>
        <w:spacing w:line="360" w:lineRule="auto"/>
        <w:ind w:firstLine="422"/>
        <w:rPr>
          <w:rFonts w:ascii="宋体" w:hAnsi="宋体" w:cs="宋体"/>
          <w:b/>
          <w:bCs/>
          <w:color w:val="auto"/>
          <w:sz w:val="21"/>
          <w:szCs w:val="21"/>
          <w:highlight w:val="none"/>
        </w:rPr>
      </w:pPr>
      <w:r>
        <w:rPr>
          <w:rFonts w:hint="eastAsia" w:ascii="宋体" w:hAnsi="宋体" w:cs="宋体"/>
          <w:b/>
          <w:bCs/>
          <w:color w:val="auto"/>
          <w:sz w:val="21"/>
          <w:szCs w:val="21"/>
          <w:highlight w:val="none"/>
        </w:rPr>
        <w:t>12.</w:t>
      </w:r>
      <w:r>
        <w:rPr>
          <w:rFonts w:hint="eastAsia" w:ascii="宋体" w:hAnsi="宋体" w:cs="宋体"/>
          <w:b/>
          <w:bCs/>
          <w:color w:val="auto"/>
          <w:sz w:val="21"/>
          <w:szCs w:val="21"/>
          <w:highlight w:val="none"/>
          <w:lang w:val="en-US" w:eastAsia="zh-CN"/>
        </w:rPr>
        <w:t>5</w:t>
      </w:r>
      <w:r>
        <w:rPr>
          <w:rFonts w:hint="eastAsia" w:ascii="宋体" w:hAnsi="宋体" w:cs="宋体"/>
          <w:b/>
          <w:bCs/>
          <w:color w:val="auto"/>
          <w:sz w:val="21"/>
          <w:szCs w:val="21"/>
          <w:highlight w:val="none"/>
        </w:rPr>
        <w:t>.2商务要求</w:t>
      </w:r>
    </w:p>
    <w:p w14:paraId="22732F8C">
      <w:pPr>
        <w:spacing w:line="360" w:lineRule="auto"/>
        <w:ind w:firstLine="420"/>
        <w:rPr>
          <w:rFonts w:ascii="宋体" w:hAnsi="宋体"/>
          <w:color w:val="auto"/>
          <w:sz w:val="21"/>
          <w:szCs w:val="21"/>
          <w:highlight w:val="none"/>
        </w:rPr>
      </w:pPr>
      <w:r>
        <w:rPr>
          <w:rFonts w:hint="eastAsia" w:ascii="宋体" w:hAnsi="宋体"/>
          <w:color w:val="auto"/>
          <w:sz w:val="21"/>
          <w:szCs w:val="21"/>
          <w:highlight w:val="none"/>
        </w:rPr>
        <w:t>12.</w:t>
      </w:r>
      <w:r>
        <w:rPr>
          <w:rFonts w:hint="eastAsia" w:ascii="宋体" w:hAnsi="宋体"/>
          <w:color w:val="auto"/>
          <w:sz w:val="21"/>
          <w:szCs w:val="21"/>
          <w:highlight w:val="none"/>
          <w:lang w:val="en-US" w:eastAsia="zh-CN"/>
        </w:rPr>
        <w:t>5</w:t>
      </w:r>
      <w:r>
        <w:rPr>
          <w:rFonts w:hint="eastAsia" w:ascii="宋体" w:hAnsi="宋体"/>
          <w:color w:val="auto"/>
          <w:sz w:val="21"/>
          <w:szCs w:val="21"/>
          <w:highlight w:val="none"/>
        </w:rPr>
        <w:t>.2.1投标函；</w:t>
      </w:r>
    </w:p>
    <w:p w14:paraId="69A72FCA">
      <w:pPr>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12.</w:t>
      </w:r>
      <w:r>
        <w:rPr>
          <w:rFonts w:hint="eastAsia" w:ascii="宋体" w:hAnsi="宋体"/>
          <w:color w:val="auto"/>
          <w:sz w:val="21"/>
          <w:szCs w:val="21"/>
          <w:highlight w:val="none"/>
          <w:lang w:val="en-US" w:eastAsia="zh-CN"/>
        </w:rPr>
        <w:t>5</w:t>
      </w:r>
      <w:r>
        <w:rPr>
          <w:rFonts w:hint="eastAsia" w:ascii="宋体" w:hAnsi="宋体"/>
          <w:color w:val="auto"/>
          <w:sz w:val="21"/>
          <w:szCs w:val="21"/>
          <w:highlight w:val="none"/>
        </w:rPr>
        <w:t>.2.2</w:t>
      </w:r>
      <w:r>
        <w:rPr>
          <w:rFonts w:hint="eastAsia" w:ascii="宋体" w:hAnsi="宋体" w:cs="宋体"/>
          <w:color w:val="auto"/>
          <w:sz w:val="21"/>
          <w:szCs w:val="21"/>
          <w:highlight w:val="none"/>
        </w:rPr>
        <w:t>法定代表人授权委托书（如有授权）；</w:t>
      </w:r>
    </w:p>
    <w:p w14:paraId="46B9168A">
      <w:pPr>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12.</w:t>
      </w:r>
      <w:r>
        <w:rPr>
          <w:rFonts w:hint="eastAsia" w:ascii="宋体" w:hAnsi="宋体"/>
          <w:color w:val="auto"/>
          <w:sz w:val="21"/>
          <w:szCs w:val="21"/>
          <w:highlight w:val="none"/>
          <w:lang w:val="en-US" w:eastAsia="zh-CN"/>
        </w:rPr>
        <w:t>5</w:t>
      </w:r>
      <w:r>
        <w:rPr>
          <w:rFonts w:hint="eastAsia" w:ascii="宋体" w:hAnsi="宋体"/>
          <w:color w:val="auto"/>
          <w:sz w:val="21"/>
          <w:szCs w:val="21"/>
          <w:highlight w:val="none"/>
        </w:rPr>
        <w:t>.2.3</w:t>
      </w:r>
      <w:r>
        <w:rPr>
          <w:rFonts w:hint="eastAsia" w:ascii="宋体" w:hAnsi="宋体" w:cs="宋体"/>
          <w:color w:val="auto"/>
          <w:sz w:val="21"/>
          <w:szCs w:val="21"/>
          <w:highlight w:val="none"/>
        </w:rPr>
        <w:t>法定代表人及委托代理人（如有授权）身份证扫描件；</w:t>
      </w:r>
    </w:p>
    <w:p w14:paraId="63C03603">
      <w:pPr>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12.</w:t>
      </w:r>
      <w:r>
        <w:rPr>
          <w:rFonts w:hint="eastAsia" w:ascii="宋体" w:hAnsi="宋体"/>
          <w:color w:val="auto"/>
          <w:sz w:val="21"/>
          <w:szCs w:val="21"/>
          <w:highlight w:val="none"/>
          <w:lang w:val="en-US" w:eastAsia="zh-CN"/>
        </w:rPr>
        <w:t>5</w:t>
      </w:r>
      <w:r>
        <w:rPr>
          <w:rFonts w:hint="eastAsia" w:ascii="宋体" w:hAnsi="宋体"/>
          <w:color w:val="auto"/>
          <w:sz w:val="21"/>
          <w:szCs w:val="21"/>
          <w:highlight w:val="none"/>
        </w:rPr>
        <w:t>.2.4</w:t>
      </w:r>
      <w:r>
        <w:rPr>
          <w:rFonts w:hint="eastAsia" w:ascii="宋体" w:hAnsi="宋体" w:cs="宋体"/>
          <w:color w:val="auto"/>
          <w:sz w:val="21"/>
          <w:szCs w:val="21"/>
          <w:highlight w:val="none"/>
        </w:rPr>
        <w:t>关于资格文件的声明函；</w:t>
      </w:r>
    </w:p>
    <w:p w14:paraId="7D0D1FBC">
      <w:pPr>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12.</w:t>
      </w:r>
      <w:r>
        <w:rPr>
          <w:rFonts w:hint="eastAsia" w:ascii="宋体" w:hAnsi="宋体"/>
          <w:color w:val="auto"/>
          <w:sz w:val="21"/>
          <w:szCs w:val="21"/>
          <w:highlight w:val="none"/>
          <w:lang w:val="en-US" w:eastAsia="zh-CN"/>
        </w:rPr>
        <w:t>5</w:t>
      </w:r>
      <w:r>
        <w:rPr>
          <w:rFonts w:hint="eastAsia" w:ascii="宋体" w:hAnsi="宋体"/>
          <w:color w:val="auto"/>
          <w:sz w:val="21"/>
          <w:szCs w:val="21"/>
          <w:highlight w:val="none"/>
        </w:rPr>
        <w:t>.2.5</w:t>
      </w:r>
      <w:r>
        <w:rPr>
          <w:rFonts w:hint="eastAsia" w:ascii="宋体" w:hAnsi="宋体" w:cs="宋体"/>
          <w:color w:val="auto"/>
          <w:sz w:val="21"/>
          <w:szCs w:val="21"/>
          <w:highlight w:val="none"/>
        </w:rPr>
        <w:t>投标人情况表；</w:t>
      </w:r>
    </w:p>
    <w:p w14:paraId="5E2900EB">
      <w:pPr>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12.</w:t>
      </w:r>
      <w:r>
        <w:rPr>
          <w:rFonts w:hint="eastAsia" w:ascii="宋体" w:hAnsi="宋体"/>
          <w:color w:val="auto"/>
          <w:sz w:val="21"/>
          <w:szCs w:val="21"/>
          <w:highlight w:val="none"/>
          <w:lang w:val="en-US" w:eastAsia="zh-CN"/>
        </w:rPr>
        <w:t>5</w:t>
      </w:r>
      <w:r>
        <w:rPr>
          <w:rFonts w:hint="eastAsia" w:ascii="宋体" w:hAnsi="宋体"/>
          <w:color w:val="auto"/>
          <w:sz w:val="21"/>
          <w:szCs w:val="21"/>
          <w:highlight w:val="none"/>
        </w:rPr>
        <w:t>.2.6</w:t>
      </w:r>
      <w:r>
        <w:rPr>
          <w:rFonts w:hint="eastAsia" w:ascii="宋体" w:hAnsi="宋体" w:cs="宋体"/>
          <w:color w:val="auto"/>
          <w:sz w:val="21"/>
          <w:szCs w:val="21"/>
          <w:highlight w:val="none"/>
        </w:rPr>
        <w:t>投标人与其他单位存在</w:t>
      </w:r>
      <w:r>
        <w:rPr>
          <w:rFonts w:hint="eastAsia" w:ascii="宋体" w:hAnsi="宋体" w:cs="宋体"/>
          <w:color w:val="auto"/>
          <w:sz w:val="21"/>
          <w:szCs w:val="21"/>
          <w:highlight w:val="none"/>
          <w:lang w:val="en-US" w:eastAsia="zh-CN"/>
        </w:rPr>
        <w:t>直接</w:t>
      </w:r>
      <w:r>
        <w:rPr>
          <w:rFonts w:hint="eastAsia" w:ascii="宋体" w:hAnsi="宋体" w:cs="宋体"/>
          <w:color w:val="auto"/>
          <w:sz w:val="21"/>
          <w:szCs w:val="21"/>
          <w:highlight w:val="none"/>
        </w:rPr>
        <w:t>控股、管理关系情况表；</w:t>
      </w:r>
    </w:p>
    <w:p w14:paraId="7FEA226A">
      <w:pPr>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12.</w:t>
      </w:r>
      <w:r>
        <w:rPr>
          <w:rFonts w:hint="eastAsia" w:ascii="宋体" w:hAnsi="宋体"/>
          <w:color w:val="auto"/>
          <w:sz w:val="21"/>
          <w:szCs w:val="21"/>
          <w:highlight w:val="none"/>
          <w:lang w:val="en-US" w:eastAsia="zh-CN"/>
        </w:rPr>
        <w:t>5</w:t>
      </w:r>
      <w:r>
        <w:rPr>
          <w:rFonts w:hint="eastAsia" w:ascii="宋体" w:hAnsi="宋体"/>
          <w:color w:val="auto"/>
          <w:sz w:val="21"/>
          <w:szCs w:val="21"/>
          <w:highlight w:val="none"/>
        </w:rPr>
        <w:t>.2.7</w:t>
      </w:r>
      <w:r>
        <w:rPr>
          <w:rFonts w:hint="eastAsia" w:ascii="宋体" w:hAnsi="宋体" w:cs="宋体"/>
          <w:color w:val="auto"/>
          <w:sz w:val="21"/>
          <w:szCs w:val="21"/>
          <w:highlight w:val="none"/>
        </w:rPr>
        <w:t>无利害关系声明书；</w:t>
      </w:r>
    </w:p>
    <w:p w14:paraId="59F1C7CF">
      <w:pPr>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12.</w:t>
      </w:r>
      <w:r>
        <w:rPr>
          <w:rFonts w:hint="eastAsia" w:ascii="宋体" w:hAnsi="宋体"/>
          <w:color w:val="auto"/>
          <w:sz w:val="21"/>
          <w:szCs w:val="21"/>
          <w:highlight w:val="none"/>
          <w:lang w:val="en-US" w:eastAsia="zh-CN"/>
        </w:rPr>
        <w:t>5</w:t>
      </w:r>
      <w:r>
        <w:rPr>
          <w:rFonts w:hint="eastAsia" w:ascii="宋体" w:hAnsi="宋体"/>
          <w:color w:val="auto"/>
          <w:sz w:val="21"/>
          <w:szCs w:val="21"/>
          <w:highlight w:val="none"/>
        </w:rPr>
        <w:t>.2.8</w:t>
      </w:r>
      <w:r>
        <w:rPr>
          <w:rFonts w:hint="eastAsia" w:ascii="宋体" w:hAnsi="宋体" w:cs="宋体"/>
          <w:color w:val="auto"/>
          <w:sz w:val="21"/>
          <w:szCs w:val="21"/>
          <w:highlight w:val="none"/>
        </w:rPr>
        <w:t>商务条款偏离表；</w:t>
      </w:r>
    </w:p>
    <w:p w14:paraId="6B064106">
      <w:pPr>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12.</w:t>
      </w:r>
      <w:r>
        <w:rPr>
          <w:rFonts w:hint="eastAsia" w:ascii="宋体" w:hAnsi="宋体"/>
          <w:color w:val="auto"/>
          <w:sz w:val="21"/>
          <w:szCs w:val="21"/>
          <w:highlight w:val="none"/>
          <w:lang w:val="en-US" w:eastAsia="zh-CN"/>
        </w:rPr>
        <w:t>5</w:t>
      </w:r>
      <w:r>
        <w:rPr>
          <w:rFonts w:hint="eastAsia" w:ascii="宋体" w:hAnsi="宋体"/>
          <w:color w:val="auto"/>
          <w:sz w:val="21"/>
          <w:szCs w:val="21"/>
          <w:highlight w:val="none"/>
        </w:rPr>
        <w:t>.2.9</w:t>
      </w:r>
      <w:r>
        <w:rPr>
          <w:rFonts w:hint="eastAsia" w:ascii="宋体" w:hAnsi="宋体" w:cs="宋体"/>
          <w:color w:val="auto"/>
          <w:sz w:val="21"/>
          <w:szCs w:val="21"/>
          <w:highlight w:val="none"/>
        </w:rPr>
        <w:t>投标保证承诺书；</w:t>
      </w:r>
    </w:p>
    <w:p w14:paraId="44BD77BB">
      <w:pPr>
        <w:spacing w:line="360" w:lineRule="auto"/>
        <w:ind w:firstLine="420"/>
        <w:rPr>
          <w:rFonts w:ascii="宋体" w:hAnsi="宋体" w:cs="宋体"/>
          <w:bCs/>
          <w:color w:val="auto"/>
          <w:sz w:val="21"/>
          <w:szCs w:val="21"/>
          <w:highlight w:val="none"/>
        </w:rPr>
      </w:pPr>
      <w:r>
        <w:rPr>
          <w:rFonts w:hint="eastAsia" w:ascii="宋体" w:hAnsi="宋体" w:cs="宋体"/>
          <w:b/>
          <w:bCs/>
          <w:color w:val="auto"/>
          <w:sz w:val="21"/>
          <w:szCs w:val="21"/>
          <w:highlight w:val="none"/>
        </w:rPr>
        <w:t>12.</w:t>
      </w:r>
      <w:r>
        <w:rPr>
          <w:rFonts w:hint="eastAsia" w:ascii="宋体" w:hAnsi="宋体" w:cs="宋体"/>
          <w:b/>
          <w:bCs/>
          <w:color w:val="auto"/>
          <w:sz w:val="21"/>
          <w:szCs w:val="21"/>
          <w:highlight w:val="none"/>
          <w:lang w:val="en-US" w:eastAsia="zh-CN"/>
        </w:rPr>
        <w:t>5</w:t>
      </w:r>
      <w:r>
        <w:rPr>
          <w:rFonts w:hint="eastAsia" w:ascii="宋体" w:hAnsi="宋体" w:cs="宋体"/>
          <w:b/>
          <w:bCs/>
          <w:color w:val="auto"/>
          <w:sz w:val="21"/>
          <w:szCs w:val="21"/>
          <w:highlight w:val="none"/>
        </w:rPr>
        <w:t>.3技术要求</w:t>
      </w:r>
    </w:p>
    <w:p w14:paraId="7AEE8844">
      <w:pPr>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12.</w:t>
      </w:r>
      <w:r>
        <w:rPr>
          <w:rFonts w:hint="eastAsia" w:ascii="宋体" w:hAnsi="宋体" w:cs="宋体"/>
          <w:color w:val="auto"/>
          <w:sz w:val="21"/>
          <w:szCs w:val="21"/>
          <w:highlight w:val="none"/>
          <w:lang w:val="en-US" w:eastAsia="zh-CN"/>
        </w:rPr>
        <w:t>5</w:t>
      </w:r>
      <w:r>
        <w:rPr>
          <w:rFonts w:hint="eastAsia" w:ascii="宋体" w:hAnsi="宋体" w:cs="宋体"/>
          <w:color w:val="auto"/>
          <w:sz w:val="21"/>
          <w:szCs w:val="21"/>
          <w:highlight w:val="none"/>
        </w:rPr>
        <w:t>.3.1服务要求偏离表；</w:t>
      </w:r>
    </w:p>
    <w:p w14:paraId="0119E6F1">
      <w:pPr>
        <w:spacing w:line="360" w:lineRule="auto"/>
        <w:ind w:firstLine="420"/>
        <w:rPr>
          <w:rFonts w:ascii="宋体" w:hAnsi="宋体" w:cs="宋体"/>
          <w:b/>
          <w:bCs/>
          <w:color w:val="auto"/>
          <w:sz w:val="21"/>
          <w:szCs w:val="21"/>
          <w:highlight w:val="none"/>
        </w:rPr>
      </w:pPr>
      <w:r>
        <w:rPr>
          <w:rFonts w:hint="eastAsia" w:ascii="宋体" w:hAnsi="宋体" w:cs="宋体"/>
          <w:color w:val="auto"/>
          <w:sz w:val="21"/>
          <w:szCs w:val="21"/>
          <w:highlight w:val="none"/>
        </w:rPr>
        <w:t>12.</w:t>
      </w:r>
      <w:r>
        <w:rPr>
          <w:rFonts w:hint="eastAsia" w:ascii="宋体" w:hAnsi="宋体" w:cs="宋体"/>
          <w:color w:val="auto"/>
          <w:sz w:val="21"/>
          <w:szCs w:val="21"/>
          <w:highlight w:val="none"/>
          <w:lang w:val="en-US" w:eastAsia="zh-CN"/>
        </w:rPr>
        <w:t>5</w:t>
      </w:r>
      <w:r>
        <w:rPr>
          <w:rFonts w:hint="eastAsia" w:ascii="宋体" w:hAnsi="宋体" w:cs="宋体"/>
          <w:color w:val="auto"/>
          <w:sz w:val="21"/>
          <w:szCs w:val="21"/>
          <w:highlight w:val="none"/>
        </w:rPr>
        <w:t>.3.2采购需求中所涉及到的或投标人认为需加以说明或证明的其他有关符合性证明材料、证明（如有）。</w:t>
      </w:r>
    </w:p>
    <w:p w14:paraId="02C1BF48">
      <w:pPr>
        <w:spacing w:line="360" w:lineRule="auto"/>
        <w:ind w:firstLine="422"/>
        <w:rPr>
          <w:rFonts w:ascii="宋体" w:hAnsi="宋体" w:cs="宋体"/>
          <w:b/>
          <w:bCs/>
          <w:color w:val="auto"/>
          <w:sz w:val="21"/>
          <w:szCs w:val="21"/>
          <w:highlight w:val="none"/>
        </w:rPr>
      </w:pPr>
      <w:r>
        <w:rPr>
          <w:rFonts w:hint="eastAsia" w:ascii="宋体" w:hAnsi="宋体" w:cs="宋体"/>
          <w:b/>
          <w:bCs/>
          <w:color w:val="auto"/>
          <w:sz w:val="21"/>
          <w:szCs w:val="21"/>
          <w:highlight w:val="none"/>
        </w:rPr>
        <w:t>12.</w:t>
      </w:r>
      <w:r>
        <w:rPr>
          <w:rFonts w:hint="eastAsia" w:ascii="宋体" w:hAnsi="宋体" w:cs="宋体"/>
          <w:b/>
          <w:bCs/>
          <w:color w:val="auto"/>
          <w:sz w:val="21"/>
          <w:szCs w:val="21"/>
          <w:highlight w:val="none"/>
          <w:lang w:val="en-US" w:eastAsia="zh-CN"/>
        </w:rPr>
        <w:t>6</w:t>
      </w:r>
      <w:r>
        <w:rPr>
          <w:rFonts w:hint="eastAsia" w:ascii="宋体" w:hAnsi="宋体" w:cs="宋体"/>
          <w:b/>
          <w:bCs/>
          <w:color w:val="auto"/>
          <w:sz w:val="21"/>
          <w:szCs w:val="21"/>
          <w:highlight w:val="none"/>
        </w:rPr>
        <w:t>综合评审文件</w:t>
      </w:r>
    </w:p>
    <w:p w14:paraId="7C8FE4B7">
      <w:pPr>
        <w:spacing w:line="360" w:lineRule="auto"/>
        <w:ind w:firstLine="420"/>
        <w:rPr>
          <w:rFonts w:ascii="宋体" w:hAnsi="宋体"/>
          <w:color w:val="auto"/>
          <w:sz w:val="21"/>
          <w:szCs w:val="21"/>
          <w:highlight w:val="none"/>
        </w:rPr>
      </w:pPr>
      <w:r>
        <w:rPr>
          <w:rFonts w:hint="eastAsia" w:ascii="宋体" w:hAnsi="宋体" w:cs="宋体"/>
          <w:color w:val="auto"/>
          <w:sz w:val="21"/>
          <w:szCs w:val="21"/>
          <w:highlight w:val="none"/>
        </w:rPr>
        <w:t>相关要求详见招标文件</w:t>
      </w:r>
      <w:r>
        <w:rPr>
          <w:rFonts w:hint="eastAsia" w:ascii="宋体" w:hAnsi="宋体" w:cs="宋体"/>
          <w:b/>
          <w:bCs/>
          <w:color w:val="auto"/>
          <w:sz w:val="21"/>
          <w:szCs w:val="21"/>
          <w:highlight w:val="none"/>
        </w:rPr>
        <w:t>第六章 评审方法和评分标准</w:t>
      </w:r>
      <w:r>
        <w:rPr>
          <w:rFonts w:hint="eastAsia" w:ascii="宋体" w:hAnsi="宋体" w:cs="宋体"/>
          <w:bCs/>
          <w:color w:val="auto"/>
          <w:sz w:val="21"/>
          <w:szCs w:val="21"/>
          <w:highlight w:val="none"/>
        </w:rPr>
        <w:t>。</w:t>
      </w:r>
    </w:p>
    <w:p w14:paraId="20DA9344">
      <w:pPr>
        <w:spacing w:line="360" w:lineRule="auto"/>
        <w:ind w:firstLine="422"/>
        <w:rPr>
          <w:rFonts w:ascii="宋体" w:hAnsi="宋体" w:cs="宋体"/>
          <w:b/>
          <w:color w:val="auto"/>
          <w:sz w:val="21"/>
          <w:szCs w:val="21"/>
          <w:highlight w:val="none"/>
        </w:rPr>
      </w:pPr>
      <w:r>
        <w:rPr>
          <w:rFonts w:hint="eastAsia" w:ascii="宋体" w:hAnsi="宋体" w:cs="宋体"/>
          <w:b/>
          <w:color w:val="auto"/>
          <w:sz w:val="21"/>
          <w:szCs w:val="21"/>
          <w:highlight w:val="none"/>
        </w:rPr>
        <w:t>12.</w:t>
      </w:r>
      <w:r>
        <w:rPr>
          <w:rFonts w:hint="eastAsia" w:ascii="宋体" w:hAnsi="宋体" w:cs="宋体"/>
          <w:b/>
          <w:color w:val="auto"/>
          <w:sz w:val="21"/>
          <w:szCs w:val="21"/>
          <w:highlight w:val="none"/>
          <w:lang w:val="en-US" w:eastAsia="zh-CN"/>
        </w:rPr>
        <w:t>7</w:t>
      </w:r>
      <w:r>
        <w:rPr>
          <w:rFonts w:hint="eastAsia" w:ascii="宋体" w:hAnsi="宋体" w:cs="宋体"/>
          <w:b/>
          <w:color w:val="auto"/>
          <w:sz w:val="21"/>
          <w:szCs w:val="21"/>
          <w:highlight w:val="none"/>
        </w:rPr>
        <w:t>企业报价折扣证明</w:t>
      </w:r>
    </w:p>
    <w:p w14:paraId="5B327D0B">
      <w:pPr>
        <w:spacing w:line="360" w:lineRule="auto"/>
        <w:ind w:firstLine="420"/>
        <w:rPr>
          <w:rFonts w:ascii="宋体" w:hAnsi="宋体" w:cs="宋体"/>
          <w:color w:val="auto"/>
          <w:sz w:val="21"/>
          <w:highlight w:val="none"/>
        </w:rPr>
      </w:pPr>
      <w:r>
        <w:rPr>
          <w:rFonts w:hint="eastAsia" w:ascii="宋体" w:hAnsi="宋体" w:cs="宋体"/>
          <w:bCs/>
          <w:color w:val="auto"/>
          <w:sz w:val="21"/>
          <w:szCs w:val="21"/>
          <w:highlight w:val="none"/>
        </w:rPr>
        <w:t>12.</w:t>
      </w:r>
      <w:r>
        <w:rPr>
          <w:rFonts w:hint="eastAsia" w:ascii="宋体" w:hAnsi="宋体" w:cs="宋体"/>
          <w:bCs/>
          <w:color w:val="auto"/>
          <w:sz w:val="21"/>
          <w:szCs w:val="21"/>
          <w:highlight w:val="none"/>
          <w:lang w:val="en-US" w:eastAsia="zh-CN"/>
        </w:rPr>
        <w:t>7</w:t>
      </w:r>
      <w:r>
        <w:rPr>
          <w:rFonts w:hint="eastAsia" w:ascii="宋体" w:hAnsi="宋体" w:cs="宋体"/>
          <w:bCs/>
          <w:color w:val="auto"/>
          <w:sz w:val="21"/>
          <w:szCs w:val="21"/>
          <w:highlight w:val="none"/>
        </w:rPr>
        <w:t>.1《中小企业声明函》或《残疾人福利性单位声明函》或由省级以上监狱管理局、戒毒管理局（含新疆生产建设兵团）出具的属于监狱企业的证明文件</w:t>
      </w:r>
      <w:r>
        <w:rPr>
          <w:rFonts w:hint="eastAsia" w:ascii="宋体" w:hAnsi="宋体" w:cs="宋体"/>
          <w:bCs/>
          <w:color w:val="auto"/>
          <w:szCs w:val="21"/>
          <w:highlight w:val="none"/>
        </w:rPr>
        <w:t>。</w:t>
      </w:r>
    </w:p>
    <w:p w14:paraId="400FB28E">
      <w:pPr>
        <w:spacing w:line="360" w:lineRule="auto"/>
        <w:ind w:firstLine="422"/>
        <w:rPr>
          <w:rFonts w:ascii="宋体" w:hAnsi="宋体" w:cs="宋体"/>
          <w:b/>
          <w:bCs/>
          <w:color w:val="auto"/>
          <w:sz w:val="21"/>
          <w:szCs w:val="21"/>
          <w:highlight w:val="none"/>
        </w:rPr>
      </w:pPr>
      <w:r>
        <w:rPr>
          <w:rFonts w:hint="eastAsia" w:ascii="宋体" w:hAnsi="宋体" w:cs="宋体"/>
          <w:b/>
          <w:color w:val="auto"/>
          <w:sz w:val="21"/>
          <w:szCs w:val="21"/>
          <w:highlight w:val="none"/>
        </w:rPr>
        <w:t>注1：</w:t>
      </w:r>
      <w:r>
        <w:rPr>
          <w:rFonts w:hint="eastAsia" w:ascii="宋体" w:hAnsi="宋体" w:cs="宋体"/>
          <w:b/>
          <w:bCs/>
          <w:color w:val="auto"/>
          <w:sz w:val="21"/>
          <w:szCs w:val="21"/>
          <w:highlight w:val="none"/>
        </w:rPr>
        <w:t>以上</w:t>
      </w:r>
      <w:r>
        <w:rPr>
          <w:rFonts w:ascii="宋体" w:hAnsi="宋体" w:cs="宋体"/>
          <w:b/>
          <w:bCs/>
          <w:color w:val="auto"/>
          <w:sz w:val="21"/>
          <w:szCs w:val="21"/>
          <w:highlight w:val="none"/>
        </w:rPr>
        <w:t>1</w:t>
      </w:r>
      <w:r>
        <w:rPr>
          <w:rFonts w:hint="eastAsia" w:ascii="宋体" w:hAnsi="宋体" w:cs="宋体"/>
          <w:b/>
          <w:bCs/>
          <w:color w:val="auto"/>
          <w:sz w:val="21"/>
          <w:szCs w:val="21"/>
          <w:highlight w:val="none"/>
        </w:rPr>
        <w:t>2</w:t>
      </w:r>
      <w:r>
        <w:rPr>
          <w:rFonts w:ascii="宋体" w:hAnsi="宋体" w:cs="宋体"/>
          <w:b/>
          <w:bCs/>
          <w:color w:val="auto"/>
          <w:sz w:val="21"/>
          <w:szCs w:val="21"/>
          <w:highlight w:val="none"/>
        </w:rPr>
        <w:t>.</w:t>
      </w:r>
      <w:r>
        <w:rPr>
          <w:rFonts w:hint="eastAsia" w:ascii="宋体" w:hAnsi="宋体" w:cs="宋体"/>
          <w:b/>
          <w:bCs/>
          <w:color w:val="auto"/>
          <w:sz w:val="21"/>
          <w:szCs w:val="21"/>
          <w:highlight w:val="none"/>
          <w:lang w:val="en-US" w:eastAsia="zh-CN"/>
        </w:rPr>
        <w:t>4</w:t>
      </w:r>
      <w:r>
        <w:rPr>
          <w:rFonts w:hint="eastAsia" w:ascii="宋体" w:hAnsi="宋体" w:cs="宋体"/>
          <w:b/>
          <w:bCs/>
          <w:color w:val="auto"/>
          <w:sz w:val="21"/>
          <w:szCs w:val="21"/>
          <w:highlight w:val="none"/>
        </w:rPr>
        <w:t>为资格审查要求提供的材料，是作为对投标人资格审查、质疑身份认定的依据，投标人必须提供并加盖电子公章。</w:t>
      </w:r>
    </w:p>
    <w:p w14:paraId="3AEFE084">
      <w:pPr>
        <w:pStyle w:val="289"/>
        <w:spacing w:line="360" w:lineRule="auto"/>
        <w:ind w:firstLine="422"/>
        <w:rPr>
          <w:rFonts w:ascii="宋体" w:hAnsi="宋体" w:cs="宋体"/>
          <w:b/>
          <w:bCs/>
          <w:color w:val="auto"/>
          <w:sz w:val="21"/>
          <w:szCs w:val="21"/>
          <w:highlight w:val="none"/>
        </w:rPr>
      </w:pPr>
      <w:r>
        <w:rPr>
          <w:rFonts w:hint="eastAsia" w:ascii="宋体" w:hAnsi="宋体" w:cs="宋体"/>
          <w:b/>
          <w:color w:val="auto"/>
          <w:sz w:val="21"/>
          <w:szCs w:val="21"/>
          <w:highlight w:val="none"/>
        </w:rPr>
        <w:t>注</w:t>
      </w:r>
      <w:r>
        <w:rPr>
          <w:rFonts w:hint="eastAsia" w:ascii="宋体" w:hAnsi="宋体" w:cs="宋体"/>
          <w:b/>
          <w:bCs/>
          <w:color w:val="auto"/>
          <w:sz w:val="21"/>
          <w:szCs w:val="21"/>
          <w:highlight w:val="none"/>
        </w:rPr>
        <w:t>2：以上</w:t>
      </w:r>
      <w:r>
        <w:rPr>
          <w:rFonts w:ascii="宋体" w:hAnsi="宋体" w:cs="宋体"/>
          <w:b/>
          <w:bCs/>
          <w:color w:val="auto"/>
          <w:sz w:val="21"/>
          <w:szCs w:val="21"/>
          <w:highlight w:val="none"/>
        </w:rPr>
        <w:t>1</w:t>
      </w:r>
      <w:r>
        <w:rPr>
          <w:rFonts w:hint="eastAsia" w:ascii="宋体" w:hAnsi="宋体" w:cs="宋体"/>
          <w:b/>
          <w:bCs/>
          <w:color w:val="auto"/>
          <w:sz w:val="21"/>
          <w:szCs w:val="21"/>
          <w:highlight w:val="none"/>
          <w:lang w:val="en-US"/>
        </w:rPr>
        <w:t>2</w:t>
      </w:r>
      <w:r>
        <w:rPr>
          <w:rFonts w:ascii="宋体" w:hAnsi="宋体" w:cs="宋体"/>
          <w:b/>
          <w:bCs/>
          <w:color w:val="auto"/>
          <w:sz w:val="21"/>
          <w:szCs w:val="21"/>
          <w:highlight w:val="none"/>
        </w:rPr>
        <w:t>.</w:t>
      </w:r>
      <w:r>
        <w:rPr>
          <w:rFonts w:hint="eastAsia" w:ascii="宋体" w:hAnsi="宋体" w:cs="宋体"/>
          <w:b/>
          <w:bCs/>
          <w:color w:val="auto"/>
          <w:sz w:val="21"/>
          <w:szCs w:val="21"/>
          <w:highlight w:val="none"/>
          <w:lang w:val="en-US" w:eastAsia="zh-CN"/>
        </w:rPr>
        <w:t>5</w:t>
      </w:r>
      <w:r>
        <w:rPr>
          <w:rFonts w:hint="eastAsia" w:ascii="宋体" w:hAnsi="宋体" w:cs="宋体"/>
          <w:b/>
          <w:bCs/>
          <w:color w:val="auto"/>
          <w:sz w:val="21"/>
          <w:szCs w:val="21"/>
          <w:highlight w:val="none"/>
        </w:rPr>
        <w:t>为符合性审查须提供的资料，投标人必须提供并加盖电子公章。</w:t>
      </w:r>
    </w:p>
    <w:p w14:paraId="1B99E7E7">
      <w:pPr>
        <w:pStyle w:val="289"/>
        <w:spacing w:line="360" w:lineRule="auto"/>
        <w:ind w:firstLine="422"/>
        <w:rPr>
          <w:rFonts w:ascii="宋体" w:hAnsi="宋体"/>
          <w:b/>
          <w:color w:val="auto"/>
          <w:sz w:val="21"/>
          <w:szCs w:val="21"/>
          <w:highlight w:val="none"/>
        </w:rPr>
      </w:pPr>
      <w:r>
        <w:rPr>
          <w:rFonts w:hint="eastAsia" w:ascii="宋体" w:hAnsi="宋体" w:cs="宋体"/>
          <w:b/>
          <w:color w:val="auto"/>
          <w:sz w:val="21"/>
          <w:szCs w:val="21"/>
          <w:highlight w:val="none"/>
        </w:rPr>
        <w:t>注</w:t>
      </w:r>
      <w:r>
        <w:rPr>
          <w:rFonts w:hint="eastAsia" w:ascii="宋体" w:hAnsi="宋体"/>
          <w:b/>
          <w:color w:val="auto"/>
          <w:sz w:val="21"/>
          <w:szCs w:val="21"/>
          <w:highlight w:val="none"/>
        </w:rPr>
        <w:t>3：</w:t>
      </w:r>
      <w:r>
        <w:rPr>
          <w:rFonts w:hint="eastAsia" w:ascii="宋体" w:hAnsi="宋体" w:cs="宋体"/>
          <w:b/>
          <w:bCs/>
          <w:color w:val="auto"/>
          <w:sz w:val="21"/>
          <w:szCs w:val="21"/>
          <w:highlight w:val="none"/>
        </w:rPr>
        <w:t>以上</w:t>
      </w:r>
      <w:r>
        <w:rPr>
          <w:rFonts w:hint="eastAsia" w:ascii="宋体" w:hAnsi="宋体"/>
          <w:b/>
          <w:color w:val="auto"/>
          <w:sz w:val="21"/>
          <w:szCs w:val="21"/>
          <w:highlight w:val="none"/>
        </w:rPr>
        <w:t>1</w:t>
      </w:r>
      <w:r>
        <w:rPr>
          <w:rFonts w:hint="eastAsia" w:ascii="宋体" w:hAnsi="宋体"/>
          <w:b/>
          <w:color w:val="auto"/>
          <w:sz w:val="21"/>
          <w:szCs w:val="21"/>
          <w:highlight w:val="none"/>
          <w:lang w:val="en-US"/>
        </w:rPr>
        <w:t>2</w:t>
      </w:r>
      <w:r>
        <w:rPr>
          <w:rFonts w:ascii="宋体" w:hAnsi="宋体"/>
          <w:b/>
          <w:color w:val="auto"/>
          <w:sz w:val="21"/>
          <w:szCs w:val="21"/>
          <w:highlight w:val="none"/>
        </w:rPr>
        <w:t>.</w:t>
      </w:r>
      <w:r>
        <w:rPr>
          <w:rFonts w:hint="eastAsia" w:ascii="宋体" w:hAnsi="宋体"/>
          <w:b/>
          <w:color w:val="auto"/>
          <w:sz w:val="21"/>
          <w:szCs w:val="21"/>
          <w:highlight w:val="none"/>
          <w:lang w:val="en-US" w:eastAsia="zh-CN"/>
        </w:rPr>
        <w:t>4</w:t>
      </w:r>
      <w:r>
        <w:rPr>
          <w:rFonts w:ascii="宋体" w:hAnsi="宋体"/>
          <w:b/>
          <w:color w:val="auto"/>
          <w:sz w:val="21"/>
          <w:szCs w:val="21"/>
          <w:highlight w:val="none"/>
        </w:rPr>
        <w:t>-1</w:t>
      </w:r>
      <w:r>
        <w:rPr>
          <w:rFonts w:hint="eastAsia" w:ascii="宋体" w:hAnsi="宋体"/>
          <w:b/>
          <w:color w:val="auto"/>
          <w:sz w:val="21"/>
          <w:szCs w:val="21"/>
          <w:highlight w:val="none"/>
          <w:lang w:val="en-US"/>
        </w:rPr>
        <w:t>2</w:t>
      </w:r>
      <w:r>
        <w:rPr>
          <w:rFonts w:ascii="宋体" w:hAnsi="宋体"/>
          <w:b/>
          <w:color w:val="auto"/>
          <w:sz w:val="21"/>
          <w:szCs w:val="21"/>
          <w:highlight w:val="none"/>
        </w:rPr>
        <w:t>.</w:t>
      </w:r>
      <w:r>
        <w:rPr>
          <w:rFonts w:hint="eastAsia" w:ascii="宋体" w:hAnsi="宋体"/>
          <w:b/>
          <w:color w:val="auto"/>
          <w:sz w:val="21"/>
          <w:szCs w:val="21"/>
          <w:highlight w:val="none"/>
          <w:lang w:val="en-US" w:eastAsia="zh-CN"/>
        </w:rPr>
        <w:t>7</w:t>
      </w:r>
      <w:r>
        <w:rPr>
          <w:rFonts w:hint="eastAsia" w:ascii="宋体" w:hAnsi="宋体"/>
          <w:b/>
          <w:color w:val="auto"/>
          <w:sz w:val="21"/>
          <w:szCs w:val="21"/>
          <w:highlight w:val="none"/>
        </w:rPr>
        <w:t>中不得出现投标总报价。投标人所提交的资料的完整与否，将直接影响投标人的评分。</w:t>
      </w:r>
    </w:p>
    <w:p w14:paraId="2E70A889">
      <w:pPr>
        <w:pStyle w:val="289"/>
        <w:spacing w:line="360" w:lineRule="auto"/>
        <w:ind w:firstLine="422"/>
        <w:rPr>
          <w:rFonts w:ascii="宋体" w:hAnsi="宋体"/>
          <w:b/>
          <w:color w:val="auto"/>
          <w:sz w:val="21"/>
          <w:szCs w:val="21"/>
          <w:highlight w:val="none"/>
        </w:rPr>
      </w:pPr>
      <w:r>
        <w:rPr>
          <w:rFonts w:hint="eastAsia" w:ascii="宋体" w:hAnsi="宋体" w:cs="宋体"/>
          <w:b/>
          <w:color w:val="auto"/>
          <w:sz w:val="21"/>
          <w:szCs w:val="21"/>
          <w:highlight w:val="none"/>
        </w:rPr>
        <w:t>注</w:t>
      </w:r>
      <w:r>
        <w:rPr>
          <w:rFonts w:hint="eastAsia" w:ascii="宋体" w:hAnsi="宋体"/>
          <w:b/>
          <w:color w:val="auto"/>
          <w:sz w:val="21"/>
          <w:szCs w:val="21"/>
          <w:highlight w:val="none"/>
          <w:lang w:val="en-US"/>
        </w:rPr>
        <w:t>4：</w:t>
      </w:r>
      <w:r>
        <w:rPr>
          <w:rFonts w:hint="eastAsia" w:ascii="宋体" w:hAnsi="宋体"/>
          <w:b/>
          <w:color w:val="auto"/>
          <w:sz w:val="21"/>
          <w:szCs w:val="21"/>
          <w:highlight w:val="none"/>
        </w:rPr>
        <w:t>投标人应保证上传的投标文件完整、清晰可辨认，若因上传资料过小或模糊不清等无法辨认的都视为该资料未提供。</w:t>
      </w:r>
    </w:p>
    <w:p w14:paraId="61EE19DB">
      <w:pPr>
        <w:pStyle w:val="289"/>
        <w:spacing w:line="360" w:lineRule="auto"/>
        <w:ind w:firstLine="422"/>
        <w:rPr>
          <w:rFonts w:ascii="宋体" w:hAnsi="宋体"/>
          <w:b/>
          <w:color w:val="auto"/>
          <w:sz w:val="21"/>
          <w:szCs w:val="21"/>
          <w:highlight w:val="none"/>
        </w:rPr>
      </w:pPr>
      <w:r>
        <w:rPr>
          <w:rFonts w:hint="eastAsia" w:ascii="宋体" w:hAnsi="宋体" w:cs="宋体"/>
          <w:b/>
          <w:color w:val="auto"/>
          <w:sz w:val="21"/>
          <w:szCs w:val="21"/>
          <w:highlight w:val="none"/>
        </w:rPr>
        <w:t>注</w:t>
      </w:r>
      <w:r>
        <w:rPr>
          <w:rFonts w:hint="eastAsia" w:ascii="宋体" w:hAnsi="宋体"/>
          <w:b/>
          <w:color w:val="auto"/>
          <w:sz w:val="21"/>
          <w:szCs w:val="21"/>
          <w:highlight w:val="none"/>
          <w:lang w:val="en-US"/>
        </w:rPr>
        <w:t>5</w:t>
      </w:r>
      <w:r>
        <w:rPr>
          <w:rFonts w:hint="eastAsia" w:ascii="宋体" w:hAnsi="宋体"/>
          <w:b/>
          <w:color w:val="auto"/>
          <w:sz w:val="21"/>
          <w:szCs w:val="21"/>
          <w:highlight w:val="none"/>
        </w:rPr>
        <w:t>：投标人必须保证全部投标资料的真实性，如有虚假或对招标文件所要求说明的情况故意隐瞒或虚报，视为不实质性响应招标文件，投标无效</w:t>
      </w:r>
      <w:r>
        <w:rPr>
          <w:rFonts w:hint="eastAsia" w:hAnsi="宋体" w:cs="宋体"/>
          <w:b/>
          <w:color w:val="auto"/>
          <w:sz w:val="21"/>
          <w:szCs w:val="21"/>
          <w:highlight w:val="none"/>
        </w:rPr>
        <w:t>，同时按政府采购相关规定报请政府监管部门处理</w:t>
      </w:r>
      <w:r>
        <w:rPr>
          <w:rFonts w:hint="eastAsia" w:ascii="宋体" w:hAnsi="宋体"/>
          <w:b/>
          <w:color w:val="auto"/>
          <w:sz w:val="21"/>
          <w:szCs w:val="21"/>
          <w:highlight w:val="none"/>
        </w:rPr>
        <w:t>。</w:t>
      </w:r>
    </w:p>
    <w:p w14:paraId="0612E235">
      <w:pPr>
        <w:pStyle w:val="289"/>
        <w:spacing w:line="360" w:lineRule="auto"/>
        <w:ind w:firstLine="422"/>
        <w:rPr>
          <w:rFonts w:ascii="宋体" w:hAnsi="宋体" w:cs="宋体"/>
          <w:b/>
          <w:color w:val="auto"/>
          <w:sz w:val="21"/>
          <w:szCs w:val="21"/>
          <w:highlight w:val="none"/>
        </w:rPr>
      </w:pPr>
      <w:r>
        <w:rPr>
          <w:rFonts w:hint="eastAsia" w:ascii="宋体" w:hAnsi="宋体" w:cs="宋体"/>
          <w:b/>
          <w:color w:val="auto"/>
          <w:sz w:val="21"/>
          <w:szCs w:val="21"/>
          <w:highlight w:val="none"/>
        </w:rPr>
        <w:t>注</w:t>
      </w:r>
      <w:r>
        <w:rPr>
          <w:rFonts w:hint="eastAsia" w:ascii="宋体" w:hAnsi="宋体"/>
          <w:b/>
          <w:color w:val="auto"/>
          <w:sz w:val="21"/>
          <w:szCs w:val="21"/>
          <w:highlight w:val="none"/>
          <w:lang w:val="en-US"/>
        </w:rPr>
        <w:t>6：</w:t>
      </w:r>
      <w:r>
        <w:rPr>
          <w:rFonts w:hint="eastAsia" w:ascii="宋体" w:hAnsi="宋体"/>
          <w:b/>
          <w:color w:val="auto"/>
          <w:sz w:val="21"/>
          <w:szCs w:val="21"/>
          <w:highlight w:val="none"/>
        </w:rPr>
        <w:t>开评标过程中如有问题采购代理机构工作人员会及时通过《投标</w:t>
      </w:r>
      <w:r>
        <w:rPr>
          <w:rFonts w:hint="eastAsia" w:ascii="宋体" w:hAnsi="宋体"/>
          <w:b/>
          <w:color w:val="auto"/>
          <w:sz w:val="21"/>
          <w:szCs w:val="21"/>
          <w:highlight w:val="none"/>
          <w:lang w:eastAsia="zh-CN"/>
        </w:rPr>
        <w:t>投标人</w:t>
      </w:r>
      <w:r>
        <w:rPr>
          <w:rFonts w:hint="eastAsia" w:ascii="宋体" w:hAnsi="宋体"/>
          <w:b/>
          <w:color w:val="auto"/>
          <w:sz w:val="21"/>
          <w:szCs w:val="21"/>
          <w:highlight w:val="none"/>
        </w:rPr>
        <w:t>确认函》留存的手机号或投标函留存的手机号（如有）与</w:t>
      </w:r>
      <w:r>
        <w:rPr>
          <w:rFonts w:hint="eastAsia" w:ascii="宋体" w:hAnsi="宋体"/>
          <w:b/>
          <w:color w:val="auto"/>
          <w:sz w:val="21"/>
          <w:szCs w:val="21"/>
          <w:highlight w:val="none"/>
          <w:lang w:val="en-US"/>
        </w:rPr>
        <w:t>投标人</w:t>
      </w:r>
      <w:r>
        <w:rPr>
          <w:rFonts w:hint="eastAsia" w:ascii="宋体" w:hAnsi="宋体"/>
          <w:b/>
          <w:color w:val="auto"/>
          <w:sz w:val="21"/>
          <w:szCs w:val="21"/>
          <w:highlight w:val="none"/>
        </w:rPr>
        <w:t>联系。请投标人确保系统在线状态且手机号</w:t>
      </w:r>
      <w:r>
        <w:rPr>
          <w:rFonts w:hint="eastAsia" w:ascii="宋体" w:hAnsi="宋体"/>
          <w:b/>
          <w:color w:val="auto"/>
          <w:sz w:val="21"/>
          <w:szCs w:val="21"/>
          <w:highlight w:val="none"/>
          <w:lang w:val="en-US"/>
        </w:rPr>
        <w:t>开标</w:t>
      </w:r>
      <w:r>
        <w:rPr>
          <w:rFonts w:hint="eastAsia" w:ascii="宋体" w:hAnsi="宋体"/>
          <w:b/>
          <w:color w:val="auto"/>
          <w:sz w:val="21"/>
          <w:szCs w:val="21"/>
          <w:highlight w:val="none"/>
        </w:rPr>
        <w:t>当日通讯畅通，否则导致的不利后果由投标人自行承担。</w:t>
      </w:r>
    </w:p>
    <w:p w14:paraId="03733D95">
      <w:pPr>
        <w:pStyle w:val="310"/>
        <w:spacing w:line="360" w:lineRule="auto"/>
        <w:ind w:firstLine="0"/>
        <w:jc w:val="both"/>
        <w:rPr>
          <w:rFonts w:ascii="宋体" w:hAnsi="宋体" w:cs="宋体"/>
          <w:b/>
          <w:color w:val="auto"/>
          <w:sz w:val="21"/>
          <w:szCs w:val="21"/>
          <w:highlight w:val="none"/>
        </w:rPr>
      </w:pPr>
      <w:r>
        <w:rPr>
          <w:rFonts w:hint="eastAsia" w:ascii="宋体" w:hAnsi="宋体" w:cs="宋体"/>
          <w:b/>
          <w:color w:val="auto"/>
          <w:sz w:val="21"/>
          <w:szCs w:val="21"/>
          <w:highlight w:val="none"/>
        </w:rPr>
        <w:t>13.电子投标文件的编制与提交</w:t>
      </w:r>
    </w:p>
    <w:p w14:paraId="7142DCCB">
      <w:pPr>
        <w:tabs>
          <w:tab w:val="left" w:pos="142"/>
          <w:tab w:val="left" w:pos="600"/>
        </w:tabs>
        <w:spacing w:line="360" w:lineRule="auto"/>
        <w:ind w:firstLine="480"/>
        <w:rPr>
          <w:rFonts w:ascii="宋体" w:hAnsi="宋体" w:cs="宋体"/>
          <w:color w:val="auto"/>
          <w:sz w:val="21"/>
          <w:szCs w:val="21"/>
          <w:highlight w:val="none"/>
        </w:rPr>
      </w:pPr>
      <w:r>
        <w:rPr>
          <w:rFonts w:hint="eastAsia" w:ascii="宋体" w:hAnsi="宋体" w:cs="宋体"/>
          <w:color w:val="auto"/>
          <w:sz w:val="21"/>
          <w:szCs w:val="21"/>
          <w:highlight w:val="none"/>
        </w:rPr>
        <w:t>13.1电子投标文件制作：本项目为网上招投标项目，请投标人插入CA证书登录“苏采云”系统下载客户端（参与项目页面可下载客户端及客户端使用说明），在客户端编制电子投标（响应）文件并进行CA加密。操作步骤详见“苏采云”系统页面提示和《操作手册》。</w:t>
      </w:r>
    </w:p>
    <w:p w14:paraId="207FA44A">
      <w:pPr>
        <w:tabs>
          <w:tab w:val="left" w:pos="142"/>
          <w:tab w:val="left" w:pos="600"/>
        </w:tabs>
        <w:spacing w:line="360" w:lineRule="auto"/>
        <w:ind w:firstLine="480"/>
        <w:rPr>
          <w:rFonts w:ascii="宋体" w:hAnsi="宋体" w:cs="宋体"/>
          <w:color w:val="auto"/>
          <w:sz w:val="21"/>
          <w:szCs w:val="21"/>
          <w:highlight w:val="none"/>
        </w:rPr>
      </w:pPr>
      <w:r>
        <w:rPr>
          <w:rFonts w:hint="eastAsia" w:ascii="宋体" w:hAnsi="宋体" w:cs="宋体"/>
          <w:color w:val="auto"/>
          <w:sz w:val="21"/>
          <w:szCs w:val="21"/>
          <w:highlight w:val="none"/>
        </w:rPr>
        <w:t>13.2电子投标文件递交：</w:t>
      </w:r>
      <w:r>
        <w:rPr>
          <w:rFonts w:hint="eastAsia" w:ascii="宋体" w:hAnsi="宋体" w:cs="宋体"/>
          <w:b/>
          <w:bCs/>
          <w:color w:val="auto"/>
          <w:sz w:val="21"/>
          <w:szCs w:val="21"/>
          <w:highlight w:val="none"/>
        </w:rPr>
        <w:t>投标人应当按照《操作手册》指引制作电子投标文件，电子投标文件制作完成后请于投标文件提交截止时间前成功上传至“苏采云”系统，否则视为放弃参加该采购项目。投标人提交投标文件的时间以系统收到上传的电子投标文件时间为准，投标人应充分考虑到网络环境、网络带宽等风险因素，如因投标人自身原因造成的电子投标文件上传不成功由投标人自行承担全部责任。</w:t>
      </w:r>
    </w:p>
    <w:p w14:paraId="4C21297E">
      <w:pPr>
        <w:tabs>
          <w:tab w:val="left" w:pos="142"/>
          <w:tab w:val="left" w:pos="600"/>
        </w:tabs>
        <w:spacing w:line="360" w:lineRule="auto"/>
        <w:ind w:firstLine="480"/>
        <w:rPr>
          <w:rFonts w:ascii="宋体" w:hAnsi="宋体" w:cs="宋体"/>
          <w:b/>
          <w:bCs/>
          <w:color w:val="auto"/>
          <w:sz w:val="21"/>
          <w:szCs w:val="21"/>
          <w:highlight w:val="none"/>
        </w:rPr>
      </w:pPr>
      <w:r>
        <w:rPr>
          <w:rFonts w:hint="eastAsia" w:ascii="宋体" w:hAnsi="宋体" w:cs="宋体"/>
          <w:color w:val="auto"/>
          <w:sz w:val="21"/>
          <w:szCs w:val="21"/>
          <w:highlight w:val="none"/>
        </w:rPr>
        <w:t>注：（1）请投标人务必保管好编制递交电子投标（响应）文件时使用的CA，</w:t>
      </w:r>
      <w:r>
        <w:rPr>
          <w:rFonts w:hint="eastAsia" w:ascii="宋体" w:hAnsi="宋体" w:cs="宋体"/>
          <w:b/>
          <w:bCs/>
          <w:color w:val="auto"/>
          <w:sz w:val="21"/>
          <w:szCs w:val="21"/>
          <w:highlight w:val="none"/>
        </w:rPr>
        <w:t>如因丢失、损坏等原因更换CA锁时，需重新制作电子投标文件并递交，否则可能无法解密，因此导致的投标失败等不利后果由投标人自行承担。</w:t>
      </w:r>
    </w:p>
    <w:p w14:paraId="7EDDC869">
      <w:pPr>
        <w:tabs>
          <w:tab w:val="left" w:pos="142"/>
          <w:tab w:val="left" w:pos="600"/>
        </w:tabs>
        <w:spacing w:line="360" w:lineRule="auto"/>
        <w:ind w:firstLine="480"/>
        <w:rPr>
          <w:rFonts w:ascii="宋体" w:hAnsi="宋体" w:cs="宋体"/>
          <w:b/>
          <w:bCs/>
          <w:color w:val="auto"/>
          <w:sz w:val="21"/>
          <w:szCs w:val="21"/>
          <w:highlight w:val="none"/>
        </w:rPr>
      </w:pPr>
      <w:r>
        <w:rPr>
          <w:rFonts w:hint="eastAsia" w:ascii="宋体" w:hAnsi="宋体" w:cs="宋体"/>
          <w:color w:val="auto"/>
          <w:sz w:val="21"/>
          <w:szCs w:val="21"/>
          <w:highlight w:val="none"/>
        </w:rPr>
        <w:t>（2）</w:t>
      </w:r>
      <w:r>
        <w:rPr>
          <w:rFonts w:hint="eastAsia" w:ascii="宋体" w:hAnsi="宋体" w:cs="宋体"/>
          <w:b/>
          <w:bCs/>
          <w:color w:val="auto"/>
          <w:sz w:val="21"/>
          <w:szCs w:val="21"/>
          <w:highlight w:val="none"/>
        </w:rPr>
        <w:t>如本项目在政府采购信息发布媒体上发布了更正公告，请投标人务必在“苏采云”系统中下载更正资料，根据更正后的招标文件重新编制电子投标文件并递交，否则可能无法解密，因此导致的投标失败等不利后果由投标人自行承担。</w:t>
      </w:r>
    </w:p>
    <w:p w14:paraId="2B2AD7C8">
      <w:pPr>
        <w:pStyle w:val="264"/>
        <w:spacing w:after="0" w:line="360" w:lineRule="auto"/>
        <w:ind w:left="0" w:firstLine="422"/>
        <w:rPr>
          <w:rFonts w:ascii="宋体" w:hAnsi="宋体" w:eastAsia="宋体" w:cs="宋体"/>
          <w:b/>
          <w:bCs/>
          <w:color w:val="auto"/>
          <w:sz w:val="21"/>
          <w:szCs w:val="21"/>
          <w:highlight w:val="none"/>
          <w:shd w:val="clear" w:color="auto" w:fill="FFFFFF"/>
        </w:rPr>
      </w:pPr>
      <w:r>
        <w:rPr>
          <w:rFonts w:hint="eastAsia" w:ascii="宋体" w:hAnsi="宋体" w:eastAsia="宋体" w:cs="宋体"/>
          <w:b/>
          <w:bCs/>
          <w:color w:val="auto"/>
          <w:sz w:val="21"/>
          <w:szCs w:val="21"/>
          <w:highlight w:val="none"/>
          <w:shd w:val="clear" w:color="auto" w:fill="FFFFFF"/>
        </w:rPr>
        <w:t>13.3本招标文件中用带星号（“★”）、“须（必须）”或“应（应当）”等其他文字说明的技术和商务要求为实质性条款要求，投标人对相关内容不得有任何偏离，否则投标无效，按无效标处理。</w:t>
      </w:r>
    </w:p>
    <w:p w14:paraId="1D544397">
      <w:pPr>
        <w:pStyle w:val="40"/>
        <w:spacing w:line="360" w:lineRule="auto"/>
        <w:ind w:firstLine="420"/>
        <w:jc w:val="both"/>
        <w:rPr>
          <w:rFonts w:ascii="宋体" w:hAnsi="宋体" w:cs="宋体"/>
          <w:color w:val="auto"/>
          <w:sz w:val="21"/>
          <w:szCs w:val="21"/>
          <w:highlight w:val="none"/>
        </w:rPr>
      </w:pPr>
      <w:r>
        <w:rPr>
          <w:rFonts w:hint="eastAsia" w:ascii="宋体" w:hAnsi="宋体" w:cs="宋体"/>
          <w:b/>
          <w:bCs/>
          <w:color w:val="auto"/>
          <w:sz w:val="21"/>
          <w:szCs w:val="21"/>
          <w:highlight w:val="none"/>
        </w:rPr>
        <w:t>13.4投标文件未按照招标文件要求加盖CA电子公章的，</w:t>
      </w:r>
      <w:r>
        <w:rPr>
          <w:rFonts w:hint="eastAsia" w:ascii="宋体" w:hAnsi="宋体" w:cs="宋体"/>
          <w:b/>
          <w:bCs/>
          <w:color w:val="auto"/>
          <w:sz w:val="21"/>
          <w:szCs w:val="21"/>
          <w:highlight w:val="none"/>
          <w:shd w:val="clear" w:color="auto" w:fill="FFFFFF"/>
        </w:rPr>
        <w:t>投标无效，按无效标处理</w:t>
      </w:r>
      <w:r>
        <w:rPr>
          <w:rFonts w:hint="eastAsia" w:ascii="宋体" w:hAnsi="宋体" w:cs="宋体"/>
          <w:b/>
          <w:bCs/>
          <w:color w:val="auto"/>
          <w:sz w:val="21"/>
          <w:szCs w:val="21"/>
          <w:highlight w:val="none"/>
        </w:rPr>
        <w:t>。</w:t>
      </w:r>
    </w:p>
    <w:p w14:paraId="4ACA2049">
      <w:pPr>
        <w:pStyle w:val="310"/>
        <w:spacing w:line="360" w:lineRule="auto"/>
        <w:ind w:firstLine="0"/>
        <w:jc w:val="both"/>
        <w:rPr>
          <w:rFonts w:ascii="宋体" w:hAnsi="宋体" w:cs="宋体"/>
          <w:b/>
          <w:color w:val="auto"/>
          <w:sz w:val="21"/>
          <w:szCs w:val="21"/>
          <w:highlight w:val="none"/>
        </w:rPr>
      </w:pPr>
      <w:r>
        <w:rPr>
          <w:rFonts w:hint="eastAsia" w:ascii="宋体" w:hAnsi="宋体" w:cs="宋体"/>
          <w:b/>
          <w:color w:val="auto"/>
          <w:sz w:val="21"/>
          <w:szCs w:val="21"/>
          <w:highlight w:val="none"/>
        </w:rPr>
        <w:t>14.投标截止时间</w:t>
      </w:r>
    </w:p>
    <w:p w14:paraId="56ECEB0E">
      <w:pPr>
        <w:pStyle w:val="310"/>
        <w:spacing w:line="360" w:lineRule="auto"/>
        <w:ind w:firstLine="420"/>
        <w:jc w:val="both"/>
        <w:rPr>
          <w:rFonts w:ascii="宋体" w:hAnsi="宋体" w:cs="宋体"/>
          <w:bCs/>
          <w:color w:val="auto"/>
          <w:sz w:val="21"/>
          <w:szCs w:val="21"/>
          <w:highlight w:val="none"/>
        </w:rPr>
      </w:pPr>
      <w:r>
        <w:rPr>
          <w:rFonts w:hint="eastAsia" w:ascii="宋体" w:hAnsi="宋体" w:cs="宋体"/>
          <w:bCs/>
          <w:color w:val="auto"/>
          <w:sz w:val="21"/>
          <w:szCs w:val="21"/>
          <w:highlight w:val="none"/>
        </w:rPr>
        <w:t>14.1投标人必须在招标文件规定的投标文件提交截止时间之前完成投标文件上传。</w:t>
      </w:r>
    </w:p>
    <w:p w14:paraId="54C0FE9B">
      <w:pPr>
        <w:pStyle w:val="310"/>
        <w:spacing w:line="360" w:lineRule="auto"/>
        <w:ind w:firstLine="420"/>
        <w:jc w:val="both"/>
        <w:rPr>
          <w:rFonts w:ascii="宋体" w:hAnsi="宋体" w:cs="宋体"/>
          <w:bCs/>
          <w:color w:val="auto"/>
          <w:sz w:val="21"/>
          <w:szCs w:val="21"/>
          <w:highlight w:val="none"/>
        </w:rPr>
      </w:pPr>
      <w:r>
        <w:rPr>
          <w:rFonts w:hint="eastAsia" w:ascii="宋体" w:hAnsi="宋体" w:cs="宋体"/>
          <w:bCs/>
          <w:color w:val="auto"/>
          <w:sz w:val="21"/>
          <w:szCs w:val="21"/>
          <w:highlight w:val="none"/>
        </w:rPr>
        <w:t>14.2采购人或采购代理机构推迟投标截止时间时，将在</w:t>
      </w:r>
      <w:r>
        <w:rPr>
          <w:rFonts w:hint="eastAsia" w:ascii="宋体" w:hAnsi="宋体" w:cs="宋体"/>
          <w:color w:val="auto"/>
          <w:sz w:val="21"/>
          <w:szCs w:val="21"/>
          <w:highlight w:val="none"/>
        </w:rPr>
        <w:t>财政部门指定的政府采购信息发布媒体</w:t>
      </w:r>
      <w:r>
        <w:rPr>
          <w:rFonts w:hint="eastAsia" w:ascii="宋体" w:hAnsi="宋体" w:cs="宋体"/>
          <w:bCs/>
          <w:color w:val="auto"/>
          <w:sz w:val="21"/>
          <w:szCs w:val="21"/>
          <w:highlight w:val="none"/>
        </w:rPr>
        <w:t>发布通知，投标人通过</w:t>
      </w:r>
      <w:r>
        <w:rPr>
          <w:rFonts w:hint="eastAsia" w:ascii="宋体" w:hAnsi="宋体" w:cs="宋体"/>
          <w:color w:val="auto"/>
          <w:sz w:val="21"/>
          <w:szCs w:val="21"/>
          <w:highlight w:val="none"/>
        </w:rPr>
        <w:t>财政部门指定的政府采购信息发布媒体</w:t>
      </w:r>
      <w:r>
        <w:rPr>
          <w:rFonts w:hint="eastAsia" w:ascii="宋体" w:hAnsi="宋体" w:cs="宋体"/>
          <w:bCs/>
          <w:color w:val="auto"/>
          <w:sz w:val="21"/>
          <w:szCs w:val="21"/>
          <w:highlight w:val="none"/>
        </w:rPr>
        <w:t>自行查看。在这种情况下，采购人或采购代理机构和投标人的权利和义务将受到新的截止时间的约束。</w:t>
      </w:r>
    </w:p>
    <w:p w14:paraId="2D0E50FA">
      <w:pPr>
        <w:pStyle w:val="40"/>
        <w:spacing w:line="360" w:lineRule="auto"/>
        <w:ind w:firstLine="420"/>
        <w:jc w:val="both"/>
        <w:rPr>
          <w:rFonts w:ascii="宋体" w:hAnsi="宋体" w:cs="宋体"/>
          <w:bCs/>
          <w:color w:val="auto"/>
          <w:sz w:val="21"/>
          <w:szCs w:val="21"/>
          <w:highlight w:val="none"/>
        </w:rPr>
      </w:pPr>
      <w:r>
        <w:rPr>
          <w:rFonts w:hint="eastAsia" w:ascii="宋体" w:hAnsi="宋体" w:cs="宋体"/>
          <w:bCs/>
          <w:color w:val="auto"/>
          <w:sz w:val="21"/>
          <w:szCs w:val="21"/>
          <w:highlight w:val="none"/>
        </w:rPr>
        <w:t>14.3至投标截止时间投标人不足3家的，采购人或采购代理机构有权宣布本次招标失败。</w:t>
      </w:r>
    </w:p>
    <w:p w14:paraId="443B57C1">
      <w:pPr>
        <w:pStyle w:val="310"/>
        <w:spacing w:line="360" w:lineRule="auto"/>
        <w:ind w:firstLine="0"/>
        <w:jc w:val="both"/>
        <w:rPr>
          <w:rFonts w:ascii="宋体" w:hAnsi="宋体" w:cs="宋体"/>
          <w:b/>
          <w:color w:val="auto"/>
          <w:sz w:val="21"/>
          <w:szCs w:val="21"/>
          <w:highlight w:val="none"/>
        </w:rPr>
      </w:pPr>
      <w:bookmarkStart w:id="43" w:name="_Toc492294181"/>
      <w:bookmarkStart w:id="44" w:name="_Toc492294182"/>
      <w:bookmarkStart w:id="45" w:name="_Toc492394288"/>
      <w:r>
        <w:rPr>
          <w:rFonts w:hint="eastAsia" w:ascii="宋体" w:hAnsi="宋体" w:cs="宋体"/>
          <w:b/>
          <w:color w:val="auto"/>
          <w:sz w:val="21"/>
          <w:szCs w:val="21"/>
          <w:highlight w:val="none"/>
        </w:rPr>
        <w:t>15.投标文件的修改和撤回、撤销</w:t>
      </w:r>
    </w:p>
    <w:p w14:paraId="4B56ED55">
      <w:pPr>
        <w:pStyle w:val="310"/>
        <w:spacing w:line="360" w:lineRule="auto"/>
        <w:ind w:firstLine="420"/>
        <w:jc w:val="both"/>
        <w:rPr>
          <w:rFonts w:ascii="宋体" w:hAnsi="宋体" w:cs="宋体"/>
          <w:bCs/>
          <w:color w:val="auto"/>
          <w:sz w:val="21"/>
          <w:szCs w:val="21"/>
          <w:highlight w:val="none"/>
        </w:rPr>
      </w:pPr>
      <w:r>
        <w:rPr>
          <w:rFonts w:hint="eastAsia" w:ascii="宋体" w:hAnsi="宋体" w:cs="宋体"/>
          <w:bCs/>
          <w:color w:val="auto"/>
          <w:sz w:val="21"/>
          <w:szCs w:val="21"/>
          <w:highlight w:val="none"/>
        </w:rPr>
        <w:t>15.1投标人在投标文件网上提交截止时间前，可以对其电子投标文件进行补充、修改，具体操作方法见《苏采云系统</w:t>
      </w:r>
      <w:r>
        <w:rPr>
          <w:rFonts w:hint="eastAsia" w:ascii="宋体" w:hAnsi="宋体" w:cs="宋体"/>
          <w:bCs/>
          <w:color w:val="auto"/>
          <w:sz w:val="21"/>
          <w:szCs w:val="21"/>
          <w:highlight w:val="none"/>
          <w:lang w:eastAsia="zh-CN"/>
        </w:rPr>
        <w:t>投标人</w:t>
      </w:r>
      <w:r>
        <w:rPr>
          <w:rFonts w:hint="eastAsia" w:ascii="宋体" w:hAnsi="宋体" w:cs="宋体"/>
          <w:bCs/>
          <w:color w:val="auto"/>
          <w:sz w:val="21"/>
          <w:szCs w:val="21"/>
          <w:highlight w:val="none"/>
        </w:rPr>
        <w:t>操作手册》。在投标文件网上提交截止时间之后，投标人不得对其电子投标文件作任何修改。</w:t>
      </w:r>
    </w:p>
    <w:p w14:paraId="51C2ACA8">
      <w:pPr>
        <w:pStyle w:val="310"/>
        <w:spacing w:line="360" w:lineRule="auto"/>
        <w:ind w:firstLine="420"/>
        <w:jc w:val="both"/>
        <w:rPr>
          <w:rFonts w:ascii="宋体" w:hAnsi="宋体" w:cs="宋体"/>
          <w:bCs/>
          <w:color w:val="auto"/>
          <w:sz w:val="21"/>
          <w:szCs w:val="21"/>
          <w:highlight w:val="none"/>
        </w:rPr>
      </w:pPr>
      <w:r>
        <w:rPr>
          <w:rFonts w:hint="eastAsia" w:ascii="宋体" w:hAnsi="宋体" w:cs="宋体"/>
          <w:bCs/>
          <w:color w:val="auto"/>
          <w:sz w:val="21"/>
          <w:szCs w:val="21"/>
          <w:highlight w:val="none"/>
        </w:rPr>
        <w:t>15.2投标人在投标文件网上提交截止时间前，可以撤回其电子投标文件，具体操作方法见《苏采云系统</w:t>
      </w:r>
      <w:r>
        <w:rPr>
          <w:rFonts w:hint="eastAsia" w:ascii="宋体" w:hAnsi="宋体" w:cs="宋体"/>
          <w:bCs/>
          <w:color w:val="auto"/>
          <w:sz w:val="21"/>
          <w:szCs w:val="21"/>
          <w:highlight w:val="none"/>
          <w:lang w:eastAsia="zh-CN"/>
        </w:rPr>
        <w:t>投标人</w:t>
      </w:r>
      <w:r>
        <w:rPr>
          <w:rFonts w:hint="eastAsia" w:ascii="宋体" w:hAnsi="宋体" w:cs="宋体"/>
          <w:bCs/>
          <w:color w:val="auto"/>
          <w:sz w:val="21"/>
          <w:szCs w:val="21"/>
          <w:highlight w:val="none"/>
        </w:rPr>
        <w:t>操作手册》。投标人撤回电子投标文件，则认为其不再参与本项目投标活动。</w:t>
      </w:r>
    </w:p>
    <w:p w14:paraId="4965A283">
      <w:pPr>
        <w:pStyle w:val="40"/>
        <w:spacing w:line="360" w:lineRule="auto"/>
        <w:ind w:firstLine="420" w:firstLineChars="200"/>
        <w:rPr>
          <w:rFonts w:ascii="宋体" w:hAnsi="宋体" w:cs="宋体"/>
          <w:bCs/>
          <w:color w:val="auto"/>
          <w:sz w:val="21"/>
          <w:szCs w:val="21"/>
          <w:highlight w:val="none"/>
        </w:rPr>
      </w:pPr>
      <w:r>
        <w:rPr>
          <w:rFonts w:hint="eastAsia" w:ascii="宋体" w:hAnsi="宋体" w:cs="宋体"/>
          <w:bCs/>
          <w:color w:val="auto"/>
          <w:sz w:val="21"/>
          <w:szCs w:val="21"/>
          <w:highlight w:val="none"/>
        </w:rPr>
        <w:t>15.3开标后投标人不得撤销投标。</w:t>
      </w:r>
    </w:p>
    <w:bookmarkEnd w:id="43"/>
    <w:bookmarkEnd w:id="44"/>
    <w:bookmarkEnd w:id="45"/>
    <w:p w14:paraId="0A1BF695">
      <w:pPr>
        <w:pStyle w:val="310"/>
        <w:spacing w:line="360" w:lineRule="auto"/>
        <w:ind w:firstLine="0"/>
        <w:rPr>
          <w:rFonts w:ascii="宋体" w:hAnsi="宋体" w:cs="宋体"/>
          <w:color w:val="auto"/>
          <w:sz w:val="21"/>
          <w:szCs w:val="21"/>
          <w:highlight w:val="none"/>
        </w:rPr>
      </w:pPr>
      <w:r>
        <w:rPr>
          <w:rFonts w:hint="eastAsia" w:ascii="宋体" w:hAnsi="宋体" w:cs="宋体"/>
          <w:b/>
          <w:bCs/>
          <w:color w:val="auto"/>
          <w:sz w:val="21"/>
          <w:szCs w:val="21"/>
          <w:highlight w:val="none"/>
        </w:rPr>
        <w:t>16.投标</w:t>
      </w:r>
      <w:r>
        <w:rPr>
          <w:rFonts w:hint="eastAsia" w:ascii="宋体" w:hAnsi="宋体" w:cs="宋体"/>
          <w:b/>
          <w:bCs/>
          <w:color w:val="auto"/>
          <w:sz w:val="21"/>
          <w:szCs w:val="21"/>
          <w:highlight w:val="none"/>
          <w:lang w:val="zh-TW" w:eastAsia="zh-TW"/>
        </w:rPr>
        <w:t>报价</w:t>
      </w:r>
      <w:r>
        <w:rPr>
          <w:rFonts w:hint="eastAsia" w:ascii="宋体" w:hAnsi="宋体" w:cs="宋体"/>
          <w:b/>
          <w:bCs/>
          <w:color w:val="auto"/>
          <w:sz w:val="21"/>
          <w:szCs w:val="21"/>
          <w:highlight w:val="none"/>
          <w:lang w:val="zh-TW"/>
        </w:rPr>
        <w:t>（</w:t>
      </w:r>
      <w:r>
        <w:rPr>
          <w:rFonts w:hint="eastAsia" w:ascii="宋体" w:hAnsi="宋体" w:cs="宋体"/>
          <w:b/>
          <w:bCs/>
          <w:color w:val="auto"/>
          <w:sz w:val="21"/>
          <w:szCs w:val="21"/>
          <w:highlight w:val="none"/>
          <w:lang w:val="zh-TW" w:eastAsia="zh-TW"/>
        </w:rPr>
        <w:t>编制</w:t>
      </w:r>
      <w:r>
        <w:rPr>
          <w:rFonts w:hint="eastAsia" w:ascii="宋体" w:hAnsi="宋体" w:cs="宋体"/>
          <w:b/>
          <w:bCs/>
          <w:color w:val="auto"/>
          <w:sz w:val="21"/>
          <w:szCs w:val="21"/>
          <w:highlight w:val="none"/>
          <w:lang w:val="zh-TW"/>
        </w:rPr>
        <w:t>）</w:t>
      </w:r>
      <w:r>
        <w:rPr>
          <w:rFonts w:hint="eastAsia" w:ascii="宋体" w:hAnsi="宋体" w:cs="宋体"/>
          <w:b/>
          <w:bCs/>
          <w:color w:val="auto"/>
          <w:sz w:val="21"/>
          <w:szCs w:val="21"/>
          <w:highlight w:val="none"/>
          <w:lang w:val="zh-TW" w:eastAsia="zh-TW"/>
        </w:rPr>
        <w:t>要求的说明</w:t>
      </w:r>
    </w:p>
    <w:p w14:paraId="007D49E2">
      <w:pPr>
        <w:spacing w:line="360" w:lineRule="auto"/>
        <w:ind w:firstLine="482"/>
        <w:rPr>
          <w:rFonts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16.1投标报价包括为履行本项目合同而发生的所有费用。投标报价为最终报价，除非因特殊原因并经买卖双方协商同意，投标人不得再要求追加任何费用。同时，除非合同条款中另有规定，否则，投标人所报价格在合同实施期间不因市场变化因素而变动。</w:t>
      </w:r>
    </w:p>
    <w:p w14:paraId="1FD47CE5">
      <w:pPr>
        <w:spacing w:line="360" w:lineRule="auto"/>
        <w:ind w:firstLine="482"/>
        <w:rPr>
          <w:rFonts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16.2</w:t>
      </w:r>
      <w:r>
        <w:rPr>
          <w:rFonts w:hint="eastAsia" w:ascii="宋体" w:hAnsi="宋体" w:cs="宋体"/>
          <w:b/>
          <w:bCs/>
          <w:color w:val="auto"/>
          <w:sz w:val="21"/>
          <w:szCs w:val="21"/>
          <w:highlight w:val="none"/>
          <w:shd w:val="clear" w:color="auto" w:fill="FFFFFF"/>
        </w:rPr>
        <w:t>投标人应对招标文件内所要采购的全部内容进行报价，只投其中部分内容者，其投标文件将做无效处理。</w:t>
      </w:r>
      <w:r>
        <w:rPr>
          <w:rFonts w:hint="eastAsia" w:ascii="宋体" w:hAnsi="宋体" w:cs="宋体"/>
          <w:color w:val="auto"/>
          <w:sz w:val="21"/>
          <w:szCs w:val="21"/>
          <w:highlight w:val="none"/>
          <w:shd w:val="clear" w:color="auto" w:fill="FFFFFF"/>
        </w:rPr>
        <w:t>但如果招标文件要求分采购包投标的，则投标人可以按招标文件要求有选择地只投其中一个或几个采购包，但各采购包应分别计算填写单价和总价。</w:t>
      </w:r>
    </w:p>
    <w:p w14:paraId="6036463E">
      <w:pPr>
        <w:spacing w:line="360" w:lineRule="auto"/>
        <w:ind w:firstLine="482"/>
        <w:rPr>
          <w:rFonts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16.3一项投标内容只允许一个报价，采购人或采购代理机构不接受任何有选择性的投标报价。</w:t>
      </w:r>
    </w:p>
    <w:p w14:paraId="2377E766">
      <w:pPr>
        <w:spacing w:line="360" w:lineRule="auto"/>
        <w:ind w:firstLine="482"/>
        <w:rPr>
          <w:rFonts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16.4投标文件报价中的单价和总价全部采用人民币表示，除非合同的特殊条款另有规定。</w:t>
      </w:r>
    </w:p>
    <w:p w14:paraId="6A33052F">
      <w:pPr>
        <w:spacing w:line="360" w:lineRule="auto"/>
        <w:jc w:val="both"/>
        <w:rPr>
          <w:rFonts w:ascii="宋体" w:hAnsi="宋体" w:cs="宋体"/>
          <w:color w:val="auto"/>
          <w:sz w:val="21"/>
          <w:szCs w:val="21"/>
          <w:highlight w:val="none"/>
        </w:rPr>
      </w:pPr>
      <w:r>
        <w:rPr>
          <w:rFonts w:hint="eastAsia" w:ascii="宋体" w:hAnsi="宋体" w:cs="宋体"/>
          <w:b/>
          <w:color w:val="auto"/>
          <w:sz w:val="21"/>
          <w:szCs w:val="21"/>
          <w:highlight w:val="none"/>
        </w:rPr>
        <w:t>17.投标保证金</w:t>
      </w:r>
    </w:p>
    <w:p w14:paraId="5BEC5D60">
      <w:pPr>
        <w:pStyle w:val="71"/>
        <w:ind w:firstLine="420"/>
        <w:rPr>
          <w:rFonts w:hAnsi="宋体" w:cs="宋体"/>
          <w:color w:val="auto"/>
          <w:sz w:val="21"/>
          <w:szCs w:val="20"/>
          <w:highlight w:val="none"/>
        </w:rPr>
      </w:pPr>
      <w:r>
        <w:rPr>
          <w:rFonts w:hint="eastAsia" w:hAnsi="宋体" w:cs="宋体"/>
          <w:color w:val="auto"/>
          <w:sz w:val="21"/>
          <w:szCs w:val="20"/>
          <w:highlight w:val="none"/>
        </w:rPr>
        <w:t>根据《关于做好政府采购支持企业发展有关事项的通知》（苏财购〔2020〕52号）及《关于明确投标（响应）保证金有关事项的通知》（苏财购〔2020〕7号），取消投标保证金，投标人应在投标文件中提交《投标保证承诺书》（详见格式）。</w:t>
      </w:r>
    </w:p>
    <w:p w14:paraId="57D7CD39">
      <w:pPr>
        <w:spacing w:line="360" w:lineRule="auto"/>
        <w:jc w:val="both"/>
        <w:rPr>
          <w:rFonts w:ascii="宋体" w:hAnsi="宋体" w:cs="宋体"/>
          <w:color w:val="auto"/>
          <w:sz w:val="21"/>
          <w:szCs w:val="21"/>
          <w:highlight w:val="none"/>
        </w:rPr>
      </w:pPr>
      <w:r>
        <w:rPr>
          <w:rFonts w:hint="eastAsia" w:ascii="宋体" w:hAnsi="宋体" w:cs="宋体"/>
          <w:b/>
          <w:color w:val="auto"/>
          <w:sz w:val="21"/>
          <w:szCs w:val="21"/>
          <w:highlight w:val="none"/>
        </w:rPr>
        <w:t>18.投标文件的有效期</w:t>
      </w:r>
    </w:p>
    <w:p w14:paraId="7B8DDBF3">
      <w:pPr>
        <w:pStyle w:val="310"/>
        <w:spacing w:line="360" w:lineRule="auto"/>
        <w:ind w:firstLine="420"/>
        <w:jc w:val="both"/>
        <w:rPr>
          <w:rFonts w:ascii="宋体" w:hAnsi="宋体" w:cs="宋体"/>
          <w:color w:val="auto"/>
          <w:sz w:val="21"/>
          <w:szCs w:val="21"/>
          <w:highlight w:val="none"/>
        </w:rPr>
      </w:pPr>
      <w:bookmarkStart w:id="46" w:name="_Toc492294187"/>
      <w:r>
        <w:rPr>
          <w:rFonts w:hint="eastAsia" w:ascii="宋体" w:hAnsi="宋体" w:cs="宋体"/>
          <w:color w:val="auto"/>
          <w:sz w:val="21"/>
          <w:szCs w:val="21"/>
          <w:highlight w:val="none"/>
        </w:rPr>
        <w:t>18.1自投标截止日起</w:t>
      </w:r>
      <w:r>
        <w:rPr>
          <w:rFonts w:ascii="宋体" w:hAnsi="宋体" w:cs="宋体"/>
          <w:color w:val="auto"/>
          <w:sz w:val="21"/>
          <w:szCs w:val="21"/>
          <w:highlight w:val="none"/>
        </w:rPr>
        <w:t>9</w:t>
      </w:r>
      <w:r>
        <w:rPr>
          <w:rFonts w:hint="eastAsia" w:ascii="宋体" w:hAnsi="宋体" w:cs="宋体"/>
          <w:color w:val="auto"/>
          <w:sz w:val="21"/>
          <w:szCs w:val="21"/>
          <w:highlight w:val="none"/>
        </w:rPr>
        <w:t>0日内，投标文件应保持有效。</w:t>
      </w:r>
      <w:r>
        <w:rPr>
          <w:rFonts w:hint="eastAsia" w:ascii="宋体" w:hAnsi="宋体" w:cs="宋体"/>
          <w:b/>
          <w:bCs/>
          <w:color w:val="auto"/>
          <w:sz w:val="21"/>
          <w:szCs w:val="21"/>
          <w:highlight w:val="none"/>
        </w:rPr>
        <w:t>投标文件中承诺的投标有效期应当不少于招标文件中载明的投标有效期，否则投标无效。</w:t>
      </w:r>
    </w:p>
    <w:p w14:paraId="67E464CB">
      <w:pPr>
        <w:pStyle w:val="40"/>
        <w:spacing w:line="360" w:lineRule="auto"/>
        <w:ind w:firstLine="420"/>
        <w:jc w:val="both"/>
        <w:rPr>
          <w:rFonts w:ascii="宋体" w:hAnsi="宋体" w:cs="宋体"/>
          <w:color w:val="auto"/>
          <w:sz w:val="21"/>
          <w:szCs w:val="21"/>
          <w:highlight w:val="none"/>
        </w:rPr>
      </w:pPr>
      <w:r>
        <w:rPr>
          <w:rFonts w:hint="eastAsia" w:ascii="宋体" w:hAnsi="宋体" w:cs="宋体"/>
          <w:color w:val="auto"/>
          <w:sz w:val="21"/>
          <w:szCs w:val="21"/>
          <w:highlight w:val="none"/>
        </w:rPr>
        <w:t>18.2在特殊情况下，采购人或采购代理机构可与投标人协商延长投标文件的有效期。这种要求和答复都应以书面形式进行。同意延长有效期的投标人不能修改投标文件，</w:t>
      </w:r>
      <w:r>
        <w:rPr>
          <w:rFonts w:hint="eastAsia" w:ascii="宋体" w:hAnsi="宋体" w:cs="宋体"/>
          <w:bCs/>
          <w:color w:val="auto"/>
          <w:sz w:val="21"/>
          <w:szCs w:val="21"/>
          <w:highlight w:val="none"/>
        </w:rPr>
        <w:t>同时受投标有效期约束的所有权利与义务期限与新的投标有效期一致；</w:t>
      </w:r>
      <w:r>
        <w:rPr>
          <w:rFonts w:hint="eastAsia" w:ascii="宋体" w:hAnsi="宋体" w:cs="宋体"/>
          <w:b/>
          <w:color w:val="auto"/>
          <w:sz w:val="21"/>
          <w:szCs w:val="21"/>
          <w:highlight w:val="none"/>
        </w:rPr>
        <w:t>拒绝延长的，其投标失效</w:t>
      </w:r>
      <w:r>
        <w:rPr>
          <w:rFonts w:hint="eastAsia" w:ascii="宋体" w:hAnsi="宋体" w:cs="宋体"/>
          <w:color w:val="auto"/>
          <w:sz w:val="21"/>
          <w:szCs w:val="21"/>
          <w:highlight w:val="none"/>
        </w:rPr>
        <w:t>。</w:t>
      </w:r>
    </w:p>
    <w:p w14:paraId="2CF5B737">
      <w:pPr>
        <w:pStyle w:val="40"/>
        <w:spacing w:line="360" w:lineRule="auto"/>
        <w:ind w:firstLine="0"/>
        <w:jc w:val="both"/>
        <w:rPr>
          <w:rFonts w:ascii="宋体" w:hAnsi="宋体" w:cs="宋体"/>
          <w:color w:val="auto"/>
          <w:sz w:val="21"/>
          <w:szCs w:val="21"/>
          <w:highlight w:val="none"/>
          <w:lang w:val="zh-TW"/>
        </w:rPr>
      </w:pPr>
      <w:r>
        <w:rPr>
          <w:rFonts w:hint="eastAsia" w:ascii="宋体" w:hAnsi="宋体" w:cs="宋体"/>
          <w:b/>
          <w:color w:val="auto"/>
          <w:sz w:val="21"/>
          <w:szCs w:val="21"/>
          <w:highlight w:val="none"/>
        </w:rPr>
        <w:t>五、</w:t>
      </w:r>
      <w:bookmarkEnd w:id="46"/>
      <w:r>
        <w:rPr>
          <w:rFonts w:hint="eastAsia" w:ascii="宋体" w:hAnsi="宋体" w:cs="宋体"/>
          <w:b/>
          <w:color w:val="auto"/>
          <w:sz w:val="21"/>
          <w:szCs w:val="21"/>
          <w:highlight w:val="none"/>
        </w:rPr>
        <w:t>开标和评标</w:t>
      </w:r>
    </w:p>
    <w:p w14:paraId="54EA4867">
      <w:pPr>
        <w:spacing w:line="360" w:lineRule="auto"/>
        <w:rPr>
          <w:rFonts w:ascii="宋体" w:hAnsi="宋体" w:cs="宋体"/>
          <w:color w:val="auto"/>
          <w:sz w:val="21"/>
          <w:szCs w:val="21"/>
          <w:highlight w:val="none"/>
        </w:rPr>
      </w:pPr>
      <w:bookmarkStart w:id="47" w:name="_Toc492294190"/>
      <w:r>
        <w:rPr>
          <w:rFonts w:hint="eastAsia" w:ascii="宋体" w:hAnsi="宋体" w:cs="宋体"/>
          <w:b/>
          <w:color w:val="auto"/>
          <w:sz w:val="21"/>
          <w:szCs w:val="21"/>
          <w:highlight w:val="none"/>
          <w:shd w:val="clear" w:color="auto" w:fill="FFFFFF"/>
        </w:rPr>
        <w:t>19.开标</w:t>
      </w:r>
    </w:p>
    <w:p w14:paraId="45ABD821">
      <w:pPr>
        <w:spacing w:line="360" w:lineRule="auto"/>
        <w:ind w:firstLine="480"/>
        <w:rPr>
          <w:rFonts w:ascii="宋体" w:hAnsi="宋体" w:cs="宋体"/>
          <w:color w:val="auto"/>
          <w:sz w:val="21"/>
          <w:szCs w:val="21"/>
          <w:highlight w:val="none"/>
        </w:rPr>
      </w:pPr>
      <w:r>
        <w:rPr>
          <w:rFonts w:hint="eastAsia" w:ascii="宋体" w:hAnsi="宋体" w:cs="宋体"/>
          <w:color w:val="auto"/>
          <w:sz w:val="21"/>
          <w:szCs w:val="21"/>
          <w:highlight w:val="none"/>
        </w:rPr>
        <w:t>19.1采购代理机构按本须知规定的时间、地点主持开标。投标人不需到现场参加开标会。</w:t>
      </w:r>
      <w:r>
        <w:rPr>
          <w:rFonts w:hint="eastAsia" w:ascii="宋体" w:hAnsi="宋体" w:cs="宋体"/>
          <w:b/>
          <w:bCs/>
          <w:color w:val="auto"/>
          <w:sz w:val="21"/>
          <w:szCs w:val="21"/>
          <w:highlight w:val="none"/>
        </w:rPr>
        <w:t>投标人应当按照《苏采云系统</w:t>
      </w:r>
      <w:r>
        <w:rPr>
          <w:rFonts w:hint="eastAsia" w:ascii="宋体" w:hAnsi="宋体" w:cs="宋体"/>
          <w:b/>
          <w:bCs/>
          <w:color w:val="auto"/>
          <w:sz w:val="21"/>
          <w:szCs w:val="21"/>
          <w:highlight w:val="none"/>
          <w:lang w:eastAsia="zh-CN"/>
        </w:rPr>
        <w:t>投标人</w:t>
      </w:r>
      <w:r>
        <w:rPr>
          <w:rFonts w:hint="eastAsia" w:ascii="宋体" w:hAnsi="宋体" w:cs="宋体"/>
          <w:b/>
          <w:bCs/>
          <w:color w:val="auto"/>
          <w:sz w:val="21"/>
          <w:szCs w:val="21"/>
          <w:highlight w:val="none"/>
        </w:rPr>
        <w:t>操作手册》规定，参加开标活动和在“苏采云”系统规定的时间内对投标文件进行解密。评标委员会成员不得参加开标活动。</w:t>
      </w:r>
    </w:p>
    <w:p w14:paraId="59E6ABEC">
      <w:pPr>
        <w:spacing w:line="360" w:lineRule="auto"/>
        <w:ind w:firstLine="480"/>
        <w:rPr>
          <w:rFonts w:ascii="宋体" w:hAnsi="宋体" w:cs="宋体"/>
          <w:color w:val="auto"/>
          <w:sz w:val="21"/>
          <w:szCs w:val="21"/>
          <w:highlight w:val="none"/>
        </w:rPr>
      </w:pPr>
      <w:r>
        <w:rPr>
          <w:rFonts w:hint="eastAsia" w:ascii="宋体" w:hAnsi="宋体" w:cs="宋体"/>
          <w:color w:val="auto"/>
          <w:sz w:val="21"/>
          <w:szCs w:val="21"/>
          <w:highlight w:val="none"/>
        </w:rPr>
        <w:t>19.2线上参加开标会方式：投标人登录“苏采云”系统在平台首页点击“开标大厅”，进入江苏省政府采购一体化不见面开标（采购）大厅，在今日项目列表，点击项目，进入不见面开标系统。 </w:t>
      </w:r>
    </w:p>
    <w:p w14:paraId="1FF4787B">
      <w:pPr>
        <w:spacing w:line="360" w:lineRule="auto"/>
        <w:ind w:firstLine="480"/>
        <w:rPr>
          <w:rFonts w:ascii="宋体" w:hAnsi="宋体" w:cs="宋体"/>
          <w:b/>
          <w:bCs/>
          <w:color w:val="auto"/>
          <w:sz w:val="21"/>
          <w:szCs w:val="21"/>
          <w:highlight w:val="none"/>
        </w:rPr>
      </w:pPr>
      <w:r>
        <w:rPr>
          <w:rFonts w:hint="eastAsia" w:ascii="宋体" w:hAnsi="宋体" w:cs="宋体"/>
          <w:b/>
          <w:bCs/>
          <w:color w:val="auto"/>
          <w:sz w:val="21"/>
          <w:szCs w:val="21"/>
          <w:highlight w:val="none"/>
        </w:rPr>
        <w:t>本项目为不见面开标项目，开启阶段投标人在【解密环节】必须使用CA证书解密电子投标文件，如在“苏采云”系统规定的时间内（投标文件提交截止时间后30分钟）未能成功解密的视为放弃参与本项目，投标无效。</w:t>
      </w:r>
    </w:p>
    <w:p w14:paraId="2FC1B5AA">
      <w:pPr>
        <w:spacing w:line="360" w:lineRule="auto"/>
        <w:ind w:firstLine="480"/>
        <w:rPr>
          <w:rFonts w:ascii="宋体" w:hAnsi="宋体" w:cs="宋体"/>
          <w:b/>
          <w:bCs/>
          <w:color w:val="auto"/>
          <w:sz w:val="21"/>
          <w:szCs w:val="21"/>
          <w:highlight w:val="none"/>
        </w:rPr>
      </w:pPr>
      <w:r>
        <w:rPr>
          <w:rFonts w:hint="eastAsia" w:ascii="宋体" w:hAnsi="宋体" w:cs="宋体"/>
          <w:b/>
          <w:bCs/>
          <w:color w:val="auto"/>
          <w:sz w:val="21"/>
          <w:szCs w:val="21"/>
          <w:highlight w:val="none"/>
        </w:rPr>
        <w:t>请投标人确保电脑、系统及其他设备（视频输入输出设备等）无误，且开标直至项目结束始终保持系统在线状态。 </w:t>
      </w:r>
    </w:p>
    <w:p w14:paraId="781E3B20">
      <w:pPr>
        <w:spacing w:line="360" w:lineRule="auto"/>
        <w:ind w:firstLine="480"/>
        <w:rPr>
          <w:rFonts w:ascii="宋体" w:hAnsi="宋体" w:cs="宋体"/>
          <w:color w:val="auto"/>
          <w:sz w:val="21"/>
          <w:szCs w:val="21"/>
          <w:highlight w:val="none"/>
        </w:rPr>
      </w:pPr>
      <w:r>
        <w:rPr>
          <w:rFonts w:hint="eastAsia" w:ascii="宋体" w:hAnsi="宋体" w:cs="宋体"/>
          <w:color w:val="auto"/>
          <w:sz w:val="21"/>
          <w:szCs w:val="21"/>
          <w:highlight w:val="none"/>
        </w:rPr>
        <w:t>19.3开标时，由采购代理机构通过“苏采云”系统在线公布投标人名称、投标价格和招标文件规定的需要宣布的其他内容。如投标人未在线参加开标，视同认可开标结果。</w:t>
      </w:r>
    </w:p>
    <w:p w14:paraId="00AC381B">
      <w:pPr>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19.4开评标过程中如有问题采购代理机构工作人员会及时通过《投标</w:t>
      </w:r>
      <w:r>
        <w:rPr>
          <w:rFonts w:hint="eastAsia" w:ascii="宋体" w:hAnsi="宋体" w:cs="宋体"/>
          <w:color w:val="auto"/>
          <w:sz w:val="21"/>
          <w:szCs w:val="21"/>
          <w:highlight w:val="none"/>
          <w:lang w:eastAsia="zh-CN"/>
        </w:rPr>
        <w:t>投标人</w:t>
      </w:r>
      <w:r>
        <w:rPr>
          <w:rFonts w:hint="eastAsia" w:ascii="宋体" w:hAnsi="宋体" w:cs="宋体"/>
          <w:color w:val="auto"/>
          <w:sz w:val="21"/>
          <w:szCs w:val="21"/>
          <w:highlight w:val="none"/>
        </w:rPr>
        <w:t>确认函》留存的手机号或投标函留存的手机号（如有）与投标人联系。</w:t>
      </w:r>
      <w:r>
        <w:rPr>
          <w:rFonts w:hint="eastAsia" w:ascii="宋体" w:hAnsi="宋体" w:cs="宋体"/>
          <w:b/>
          <w:bCs/>
          <w:color w:val="auto"/>
          <w:sz w:val="21"/>
          <w:szCs w:val="21"/>
          <w:highlight w:val="none"/>
        </w:rPr>
        <w:t>请投标人确保系统在线状态且手机号开标当日通讯畅通，否则导致的不利后果由投标人自行承担。</w:t>
      </w:r>
    </w:p>
    <w:p w14:paraId="55366C7A">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20.信用记录查询</w:t>
      </w:r>
    </w:p>
    <w:p w14:paraId="2DF780BD">
      <w:pPr>
        <w:spacing w:line="360" w:lineRule="auto"/>
        <w:ind w:firstLine="480"/>
        <w:rPr>
          <w:rFonts w:ascii="宋体" w:hAnsi="宋体" w:cs="宋体"/>
          <w:color w:val="auto"/>
          <w:sz w:val="21"/>
          <w:szCs w:val="21"/>
          <w:highlight w:val="none"/>
        </w:rPr>
      </w:pPr>
      <w:r>
        <w:rPr>
          <w:rFonts w:hint="eastAsia" w:ascii="宋体" w:hAnsi="宋体" w:cs="宋体"/>
          <w:color w:val="auto"/>
          <w:sz w:val="21"/>
          <w:szCs w:val="21"/>
          <w:highlight w:val="none"/>
        </w:rPr>
        <w:t>根据政府采购法及相关法规，以及苏州市财政局《关于印发苏州市市级政府采购信用记录查询和使用工作试行办法的通知》（苏财购（2017）11号）文件的规定，采购代理机构将对投标人进行信用查询：</w:t>
      </w:r>
    </w:p>
    <w:p w14:paraId="2047088D">
      <w:pPr>
        <w:spacing w:line="360" w:lineRule="auto"/>
        <w:ind w:firstLine="480"/>
        <w:rPr>
          <w:rFonts w:ascii="宋体" w:hAnsi="宋体" w:cs="宋体"/>
          <w:color w:val="auto"/>
          <w:sz w:val="21"/>
          <w:szCs w:val="21"/>
          <w:highlight w:val="none"/>
        </w:rPr>
      </w:pPr>
      <w:r>
        <w:rPr>
          <w:rFonts w:hint="eastAsia" w:ascii="宋体" w:hAnsi="宋体" w:cs="宋体"/>
          <w:color w:val="auto"/>
          <w:sz w:val="21"/>
          <w:szCs w:val="21"/>
          <w:highlight w:val="none"/>
        </w:rPr>
        <w:t>20.1查询时间：投标文件递交截止时间。</w:t>
      </w:r>
    </w:p>
    <w:p w14:paraId="34CB33C6">
      <w:pPr>
        <w:spacing w:line="360" w:lineRule="auto"/>
        <w:ind w:firstLine="480"/>
        <w:rPr>
          <w:rFonts w:ascii="宋体" w:hAnsi="宋体" w:cs="宋体"/>
          <w:color w:val="auto"/>
          <w:sz w:val="21"/>
          <w:szCs w:val="21"/>
          <w:highlight w:val="none"/>
        </w:rPr>
      </w:pPr>
      <w:r>
        <w:rPr>
          <w:rFonts w:hint="eastAsia" w:ascii="宋体" w:hAnsi="宋体" w:cs="宋体"/>
          <w:color w:val="auto"/>
          <w:sz w:val="21"/>
          <w:szCs w:val="21"/>
          <w:highlight w:val="none"/>
        </w:rPr>
        <w:t>20.2查询渠道：采购代理机构会在投标文件截止时间后，登录信用中国网站（www.creditchina.gov.cn）查询投标人的信用记录。</w:t>
      </w:r>
    </w:p>
    <w:p w14:paraId="76C5B26D">
      <w:pPr>
        <w:spacing w:line="360" w:lineRule="auto"/>
        <w:ind w:firstLine="480"/>
        <w:rPr>
          <w:rFonts w:ascii="宋体" w:hAnsi="宋体" w:cs="宋体"/>
          <w:color w:val="auto"/>
          <w:sz w:val="21"/>
          <w:szCs w:val="21"/>
          <w:highlight w:val="none"/>
        </w:rPr>
      </w:pPr>
      <w:r>
        <w:rPr>
          <w:rFonts w:hint="eastAsia" w:ascii="宋体" w:hAnsi="宋体" w:cs="宋体"/>
          <w:color w:val="auto"/>
          <w:sz w:val="21"/>
          <w:szCs w:val="21"/>
          <w:highlight w:val="none"/>
        </w:rPr>
        <w:t>20.3评标委员会对投标人的不良信用记录逐项甄别确认。按照《中华人民共和国政府采购法》第二十二条规定，下列信用记录属于应依法拒绝投标人参加政府采购的失信信息：</w:t>
      </w:r>
    </w:p>
    <w:p w14:paraId="07790852">
      <w:pPr>
        <w:widowControl w:val="0"/>
        <w:spacing w:line="360" w:lineRule="auto"/>
        <w:ind w:firstLine="420"/>
        <w:jc w:val="both"/>
        <w:rPr>
          <w:rFonts w:ascii="宋体" w:hAnsi="宋体" w:cs="宋体"/>
          <w:bCs/>
          <w:color w:val="auto"/>
          <w:sz w:val="21"/>
          <w:szCs w:val="21"/>
          <w:highlight w:val="none"/>
        </w:rPr>
      </w:pPr>
      <w:r>
        <w:rPr>
          <w:rFonts w:hint="eastAsia" w:ascii="宋体" w:hAnsi="宋体" w:cs="宋体"/>
          <w:bCs/>
          <w:color w:val="auto"/>
          <w:sz w:val="21"/>
          <w:szCs w:val="21"/>
          <w:highlight w:val="none"/>
        </w:rPr>
        <w:t>（一）政府采购严重违法记录，即响应单位被全国各级财政部门列入“政府采购严重违法失信行为记录名单”，且在处罚有效期内的。</w:t>
      </w:r>
    </w:p>
    <w:p w14:paraId="2BB00750">
      <w:pPr>
        <w:widowControl w:val="0"/>
        <w:spacing w:line="360" w:lineRule="auto"/>
        <w:ind w:firstLine="420"/>
        <w:jc w:val="both"/>
        <w:rPr>
          <w:rFonts w:ascii="宋体" w:hAnsi="宋体" w:cs="宋体"/>
          <w:bCs/>
          <w:color w:val="auto"/>
          <w:sz w:val="21"/>
          <w:szCs w:val="21"/>
          <w:highlight w:val="none"/>
        </w:rPr>
      </w:pPr>
      <w:r>
        <w:rPr>
          <w:rFonts w:hint="eastAsia" w:ascii="宋体" w:hAnsi="宋体" w:cs="宋体"/>
          <w:bCs/>
          <w:color w:val="auto"/>
          <w:sz w:val="21"/>
          <w:szCs w:val="21"/>
          <w:highlight w:val="none"/>
        </w:rPr>
        <w:t>（二）财政部门与法院、工商、税务等部门联合惩戒的失信信息，包括：</w:t>
      </w:r>
    </w:p>
    <w:p w14:paraId="3E0DCEDE">
      <w:pPr>
        <w:widowControl w:val="0"/>
        <w:spacing w:line="360" w:lineRule="auto"/>
        <w:ind w:firstLine="420"/>
        <w:jc w:val="both"/>
        <w:rPr>
          <w:rFonts w:ascii="宋体" w:hAnsi="宋体" w:cs="宋体"/>
          <w:bCs/>
          <w:color w:val="auto"/>
          <w:sz w:val="21"/>
          <w:szCs w:val="21"/>
          <w:highlight w:val="none"/>
        </w:rPr>
      </w:pPr>
      <w:r>
        <w:rPr>
          <w:rFonts w:hint="eastAsia" w:ascii="宋体" w:hAnsi="宋体" w:cs="宋体"/>
          <w:bCs/>
          <w:color w:val="auto"/>
          <w:sz w:val="21"/>
          <w:szCs w:val="21"/>
          <w:highlight w:val="none"/>
        </w:rPr>
        <w:t>（1）被列入失信被执行人名单；</w:t>
      </w:r>
    </w:p>
    <w:p w14:paraId="7F8C8EDC">
      <w:pPr>
        <w:widowControl w:val="0"/>
        <w:spacing w:line="360" w:lineRule="auto"/>
        <w:ind w:firstLine="420"/>
        <w:jc w:val="both"/>
        <w:rPr>
          <w:rFonts w:ascii="宋体" w:hAnsi="宋体" w:cs="宋体"/>
          <w:bCs/>
          <w:color w:val="auto"/>
          <w:sz w:val="21"/>
          <w:szCs w:val="21"/>
          <w:highlight w:val="none"/>
        </w:rPr>
      </w:pPr>
      <w:r>
        <w:rPr>
          <w:rFonts w:hint="eastAsia" w:ascii="宋体" w:hAnsi="宋体" w:cs="宋体"/>
          <w:bCs/>
          <w:color w:val="auto"/>
          <w:sz w:val="21"/>
          <w:szCs w:val="21"/>
          <w:highlight w:val="none"/>
        </w:rPr>
        <w:t>（2）被列入重大税收违法案件当事人名单；</w:t>
      </w:r>
    </w:p>
    <w:p w14:paraId="3A06DB73">
      <w:pPr>
        <w:widowControl w:val="0"/>
        <w:spacing w:line="360" w:lineRule="auto"/>
        <w:ind w:firstLine="420"/>
        <w:jc w:val="both"/>
        <w:rPr>
          <w:rFonts w:ascii="宋体" w:hAnsi="宋体" w:cs="宋体"/>
          <w:bCs/>
          <w:color w:val="auto"/>
          <w:sz w:val="21"/>
          <w:szCs w:val="21"/>
          <w:highlight w:val="none"/>
        </w:rPr>
      </w:pPr>
      <w:r>
        <w:rPr>
          <w:rFonts w:hint="eastAsia" w:ascii="宋体" w:hAnsi="宋体" w:cs="宋体"/>
          <w:bCs/>
          <w:color w:val="auto"/>
          <w:sz w:val="21"/>
          <w:szCs w:val="21"/>
          <w:highlight w:val="none"/>
        </w:rPr>
        <w:t>（3）企业经营异常名录中被责令停产停业、暂扣或者吊销许可证或者执照，或者对经营活动中的违法行为处以200万元以上数额罚款</w:t>
      </w:r>
      <w:r>
        <w:rPr>
          <w:rFonts w:hint="eastAsia" w:ascii="宋体" w:hAnsi="宋体" w:cs="宋体"/>
          <w:color w:val="auto"/>
          <w:sz w:val="21"/>
          <w:szCs w:val="21"/>
          <w:highlight w:val="none"/>
        </w:rPr>
        <w:t>（法律、行政法规以及国务院有关部门明确规定相关领域“较大数额罚款”标准高于200万元的，从其规定）</w:t>
      </w:r>
      <w:r>
        <w:rPr>
          <w:rFonts w:hint="eastAsia" w:ascii="宋体" w:hAnsi="宋体" w:cs="宋体"/>
          <w:bCs/>
          <w:color w:val="auto"/>
          <w:sz w:val="21"/>
          <w:szCs w:val="21"/>
          <w:highlight w:val="none"/>
        </w:rPr>
        <w:t>的信用记录。处罚生效日至提交（上传）响应文件日未满三年的。</w:t>
      </w:r>
    </w:p>
    <w:p w14:paraId="58ECCF96">
      <w:pPr>
        <w:spacing w:line="360" w:lineRule="auto"/>
        <w:jc w:val="both"/>
        <w:rPr>
          <w:rFonts w:ascii="宋体" w:hAnsi="宋体" w:cs="宋体"/>
          <w:color w:val="auto"/>
          <w:sz w:val="21"/>
          <w:szCs w:val="21"/>
          <w:highlight w:val="none"/>
        </w:rPr>
      </w:pPr>
      <w:r>
        <w:rPr>
          <w:rFonts w:hint="eastAsia" w:ascii="宋体" w:hAnsi="宋体" w:cs="宋体"/>
          <w:bCs/>
          <w:color w:val="auto"/>
          <w:sz w:val="21"/>
          <w:szCs w:val="21"/>
          <w:highlight w:val="none"/>
        </w:rPr>
        <w:t>其他有关“</w:t>
      </w:r>
      <w:r>
        <w:rPr>
          <w:rFonts w:hint="eastAsia" w:ascii="宋体" w:hAnsi="宋体" w:cs="宋体"/>
          <w:bCs/>
          <w:color w:val="auto"/>
          <w:sz w:val="21"/>
          <w:szCs w:val="21"/>
          <w:highlight w:val="none"/>
          <w:lang w:eastAsia="zh-CN"/>
        </w:rPr>
        <w:t>投标人</w:t>
      </w:r>
      <w:r>
        <w:rPr>
          <w:rFonts w:hint="eastAsia" w:ascii="宋体" w:hAnsi="宋体" w:cs="宋体"/>
          <w:bCs/>
          <w:color w:val="auto"/>
          <w:sz w:val="21"/>
          <w:szCs w:val="21"/>
          <w:highlight w:val="none"/>
        </w:rPr>
        <w:t>信用查询”的规定见苏州市财政局《关于印发苏州市市级政府采购信用记录查询和使用工作试行办法的通知》（苏财购〔2017〕11号）、《财政部关于〈中华人民共和国政府采购法实施条例〉第十九条第一款“较大数额罚款”具体适用问题的意见》（财库 〔2022〕3 号）文件</w:t>
      </w:r>
      <w:r>
        <w:rPr>
          <w:rFonts w:hint="eastAsia" w:ascii="宋体" w:hAnsi="宋体" w:cs="宋体"/>
          <w:color w:val="auto"/>
          <w:sz w:val="21"/>
          <w:szCs w:val="21"/>
          <w:highlight w:val="none"/>
        </w:rPr>
        <w:t>。</w:t>
      </w:r>
    </w:p>
    <w:bookmarkEnd w:id="47"/>
    <w:p w14:paraId="10539D37">
      <w:pPr>
        <w:spacing w:line="360" w:lineRule="auto"/>
        <w:rPr>
          <w:rFonts w:ascii="宋体" w:hAnsi="宋体" w:cs="宋体"/>
          <w:b/>
          <w:color w:val="auto"/>
          <w:sz w:val="21"/>
          <w:szCs w:val="21"/>
          <w:highlight w:val="none"/>
          <w:shd w:val="clear" w:color="auto" w:fill="FFFFFF"/>
        </w:rPr>
      </w:pPr>
      <w:bookmarkStart w:id="48" w:name="_Toc492294191"/>
      <w:r>
        <w:rPr>
          <w:rFonts w:hint="eastAsia" w:ascii="宋体" w:hAnsi="宋体" w:cs="宋体"/>
          <w:b/>
          <w:color w:val="auto"/>
          <w:sz w:val="21"/>
          <w:szCs w:val="21"/>
          <w:highlight w:val="none"/>
          <w:shd w:val="clear" w:color="auto" w:fill="FFFFFF"/>
        </w:rPr>
        <w:t>21.评标委员会</w:t>
      </w:r>
    </w:p>
    <w:p w14:paraId="1E5D1ADD">
      <w:pPr>
        <w:spacing w:line="360" w:lineRule="auto"/>
        <w:ind w:firstLine="480"/>
        <w:rPr>
          <w:rFonts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21.1评标委员会由采购人或采购代理机构依法组建。</w:t>
      </w:r>
    </w:p>
    <w:p w14:paraId="39B44DA8">
      <w:pPr>
        <w:spacing w:line="360" w:lineRule="auto"/>
        <w:ind w:firstLine="480"/>
        <w:rPr>
          <w:rFonts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21.2评标委员会负责具体的评标事务，并独立履行以下职责：</w:t>
      </w:r>
    </w:p>
    <w:p w14:paraId="2047C86A">
      <w:pPr>
        <w:spacing w:line="360" w:lineRule="auto"/>
        <w:ind w:firstLine="480"/>
        <w:rPr>
          <w:rFonts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21.2.1审查每一投标文件是否对招标文件提出的所有实质性要求和条件作出响应。未能在实质上响应的投标，应作无效投标处理；</w:t>
      </w:r>
    </w:p>
    <w:p w14:paraId="69DF6971">
      <w:pPr>
        <w:spacing w:line="360" w:lineRule="auto"/>
        <w:ind w:firstLine="480"/>
        <w:rPr>
          <w:rFonts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21.2.2要求投标人对投标文件有关事项作出澄清或者说明；</w:t>
      </w:r>
    </w:p>
    <w:p w14:paraId="3A26B3AD">
      <w:pPr>
        <w:spacing w:line="360" w:lineRule="auto"/>
        <w:ind w:firstLine="480"/>
        <w:rPr>
          <w:rFonts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21.2.3</w:t>
      </w:r>
      <w:r>
        <w:rPr>
          <w:rFonts w:hint="eastAsia" w:ascii="宋体" w:hAnsi="宋体" w:cs="宋体"/>
          <w:color w:val="auto"/>
          <w:sz w:val="21"/>
          <w:szCs w:val="21"/>
          <w:highlight w:val="none"/>
        </w:rPr>
        <w:t>根据招标文件规定的评标办法和标准，对投标文件进行系统地评审和比较。招标文件中没有规定的办法和标准不得作为评标的依据</w:t>
      </w:r>
      <w:r>
        <w:rPr>
          <w:rFonts w:hint="eastAsia" w:ascii="宋体" w:hAnsi="宋体" w:cs="宋体"/>
          <w:color w:val="auto"/>
          <w:sz w:val="21"/>
          <w:szCs w:val="21"/>
          <w:highlight w:val="none"/>
          <w:shd w:val="clear" w:color="auto" w:fill="FFFFFF"/>
        </w:rPr>
        <w:t>；</w:t>
      </w:r>
    </w:p>
    <w:p w14:paraId="1B208A47">
      <w:pPr>
        <w:spacing w:line="360" w:lineRule="auto"/>
        <w:ind w:firstLine="480"/>
        <w:rPr>
          <w:rFonts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21.2.4</w:t>
      </w:r>
      <w:r>
        <w:rPr>
          <w:rFonts w:hint="eastAsia" w:ascii="宋体" w:hAnsi="宋体" w:cs="宋体"/>
          <w:color w:val="auto"/>
          <w:sz w:val="21"/>
          <w:szCs w:val="21"/>
          <w:highlight w:val="none"/>
          <w:lang w:val="zh-CN"/>
        </w:rPr>
        <w:t>对每一个投标人的投标文件进行评审，招标文件规定的评</w:t>
      </w:r>
      <w:r>
        <w:rPr>
          <w:rFonts w:hint="eastAsia" w:ascii="宋体" w:hAnsi="宋体" w:cs="宋体"/>
          <w:color w:val="auto"/>
          <w:sz w:val="21"/>
          <w:szCs w:val="21"/>
          <w:highlight w:val="none"/>
        </w:rPr>
        <w:t>审方</w:t>
      </w:r>
      <w:r>
        <w:rPr>
          <w:rFonts w:hint="eastAsia" w:ascii="宋体" w:hAnsi="宋体" w:cs="宋体"/>
          <w:color w:val="auto"/>
          <w:sz w:val="21"/>
          <w:szCs w:val="21"/>
          <w:highlight w:val="none"/>
          <w:lang w:val="zh-CN"/>
        </w:rPr>
        <w:t>法和</w:t>
      </w:r>
      <w:r>
        <w:rPr>
          <w:rFonts w:hint="eastAsia" w:ascii="宋体" w:hAnsi="宋体" w:cs="宋体"/>
          <w:color w:val="auto"/>
          <w:sz w:val="21"/>
          <w:szCs w:val="21"/>
          <w:highlight w:val="none"/>
        </w:rPr>
        <w:t>评分</w:t>
      </w:r>
      <w:r>
        <w:rPr>
          <w:rFonts w:hint="eastAsia" w:ascii="宋体" w:hAnsi="宋体" w:cs="宋体"/>
          <w:color w:val="auto"/>
          <w:sz w:val="21"/>
          <w:szCs w:val="21"/>
          <w:highlight w:val="none"/>
          <w:lang w:val="zh-CN"/>
        </w:rPr>
        <w:t>标准进行详细评审后，按照评审得分由高到低顺序推荐3名中标候选人（评审得分相同的，按照最后总报价由低到高的顺序推荐。评审得分且最后总报价相同的，按照技术指标优劣顺序推荐。）</w:t>
      </w:r>
      <w:r>
        <w:rPr>
          <w:rFonts w:hint="eastAsia" w:ascii="宋体" w:hAnsi="宋体" w:cs="宋体"/>
          <w:color w:val="auto"/>
          <w:sz w:val="21"/>
          <w:szCs w:val="21"/>
          <w:highlight w:val="none"/>
          <w:shd w:val="clear" w:color="auto" w:fill="FFFFFF"/>
          <w:lang w:val="zh-CN"/>
        </w:rPr>
        <w:t>；</w:t>
      </w:r>
    </w:p>
    <w:p w14:paraId="6C40FC7B">
      <w:pPr>
        <w:spacing w:line="360" w:lineRule="auto"/>
        <w:ind w:firstLine="480"/>
        <w:rPr>
          <w:rFonts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21.2.5向采购人、采购代理机构或者有关部门报告评标中发现的违法行为；</w:t>
      </w:r>
    </w:p>
    <w:p w14:paraId="104EAE09">
      <w:pPr>
        <w:spacing w:line="360" w:lineRule="auto"/>
        <w:ind w:firstLine="480"/>
        <w:rPr>
          <w:rFonts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21.2.6不得与任何投标人或者与招标结果有利害关系的人进行私下接触，不得收受投标人、中介人、其他利害关系人的财物或者其他好处；</w:t>
      </w:r>
    </w:p>
    <w:p w14:paraId="679A7D3F">
      <w:pPr>
        <w:spacing w:line="360" w:lineRule="auto"/>
        <w:ind w:firstLine="480"/>
        <w:rPr>
          <w:rFonts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21.2.7在评标过程中不得擅离职守影响评标程序正常进行，评审活动未结束，无正当理由不得中途退出评标委员会。</w:t>
      </w:r>
    </w:p>
    <w:p w14:paraId="6D40DEB7">
      <w:pPr>
        <w:spacing w:line="360" w:lineRule="auto"/>
        <w:ind w:firstLine="480"/>
        <w:rPr>
          <w:rFonts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21.3评标委员会成员应当履行下列义务：</w:t>
      </w:r>
    </w:p>
    <w:p w14:paraId="46A2DDBB">
      <w:pPr>
        <w:spacing w:line="360" w:lineRule="auto"/>
        <w:ind w:firstLine="480"/>
        <w:rPr>
          <w:rFonts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21.3.1遵纪守法，客观、公正、廉洁地履行职责；</w:t>
      </w:r>
    </w:p>
    <w:p w14:paraId="59FAE62A">
      <w:pPr>
        <w:spacing w:line="360" w:lineRule="auto"/>
        <w:ind w:firstLine="480"/>
        <w:rPr>
          <w:rFonts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21.3.2按照招标文件规定的评标办法和评标标准进行评标，</w:t>
      </w:r>
      <w:r>
        <w:rPr>
          <w:rFonts w:hint="eastAsia" w:ascii="宋体" w:hAnsi="宋体" w:cs="宋体"/>
          <w:color w:val="auto"/>
          <w:sz w:val="21"/>
          <w:szCs w:val="21"/>
          <w:highlight w:val="none"/>
          <w:shd w:val="clear" w:color="auto" w:fill="FFFFFF"/>
          <w:lang w:val="zh-CN"/>
        </w:rPr>
        <w:t>对所提出的评审意见承担个人责任</w:t>
      </w:r>
      <w:r>
        <w:rPr>
          <w:rFonts w:hint="eastAsia" w:ascii="宋体" w:hAnsi="宋体" w:cs="宋体"/>
          <w:color w:val="auto"/>
          <w:sz w:val="21"/>
          <w:szCs w:val="21"/>
          <w:highlight w:val="none"/>
          <w:shd w:val="clear" w:color="auto" w:fill="FFFFFF"/>
        </w:rPr>
        <w:t>；</w:t>
      </w:r>
    </w:p>
    <w:p w14:paraId="1D6264A9">
      <w:pPr>
        <w:spacing w:line="360" w:lineRule="auto"/>
        <w:ind w:firstLine="480"/>
        <w:rPr>
          <w:rFonts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21.3.3对评标过程和结果，以及</w:t>
      </w:r>
      <w:r>
        <w:rPr>
          <w:rFonts w:hint="eastAsia" w:ascii="宋体" w:hAnsi="宋体" w:cs="宋体"/>
          <w:color w:val="auto"/>
          <w:sz w:val="21"/>
          <w:szCs w:val="21"/>
          <w:highlight w:val="none"/>
          <w:lang w:val="zh-CN"/>
        </w:rPr>
        <w:t>投标人</w:t>
      </w:r>
      <w:r>
        <w:rPr>
          <w:rFonts w:hint="eastAsia" w:ascii="宋体" w:hAnsi="宋体" w:cs="宋体"/>
          <w:color w:val="auto"/>
          <w:sz w:val="21"/>
          <w:szCs w:val="21"/>
          <w:highlight w:val="none"/>
          <w:shd w:val="clear" w:color="auto" w:fill="FFFFFF"/>
        </w:rPr>
        <w:t>的商业秘密保密；</w:t>
      </w:r>
    </w:p>
    <w:p w14:paraId="46B9E80E">
      <w:pPr>
        <w:spacing w:line="360" w:lineRule="auto"/>
        <w:ind w:firstLine="480"/>
        <w:rPr>
          <w:rFonts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21.3.4参与评标报告的起草；</w:t>
      </w:r>
    </w:p>
    <w:p w14:paraId="627EC2B9">
      <w:pPr>
        <w:spacing w:line="360" w:lineRule="auto"/>
        <w:ind w:firstLine="480"/>
        <w:rPr>
          <w:rFonts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21.3.5配合采购人或采购代理机构答复投标人提出的质疑；</w:t>
      </w:r>
    </w:p>
    <w:p w14:paraId="4B73A75D">
      <w:pPr>
        <w:spacing w:line="360" w:lineRule="auto"/>
        <w:ind w:firstLine="480"/>
        <w:rPr>
          <w:rFonts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21.3.6配合相关部门的投诉处理工作；</w:t>
      </w:r>
    </w:p>
    <w:p w14:paraId="0F1583CE">
      <w:pPr>
        <w:spacing w:line="360" w:lineRule="auto"/>
        <w:ind w:firstLine="480"/>
        <w:rPr>
          <w:rFonts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21.3.7法律、法规规定的其他义务。</w:t>
      </w:r>
    </w:p>
    <w:bookmarkEnd w:id="48"/>
    <w:p w14:paraId="65E55A4C">
      <w:pPr>
        <w:spacing w:line="360" w:lineRule="auto"/>
        <w:rPr>
          <w:rFonts w:ascii="宋体" w:hAnsi="宋体" w:cs="宋体"/>
          <w:b/>
          <w:color w:val="auto"/>
          <w:sz w:val="21"/>
          <w:szCs w:val="21"/>
          <w:highlight w:val="none"/>
          <w:shd w:val="clear" w:color="auto" w:fill="FFFFFF"/>
        </w:rPr>
      </w:pPr>
      <w:r>
        <w:rPr>
          <w:rFonts w:hint="eastAsia" w:ascii="宋体" w:hAnsi="宋体" w:cs="宋体"/>
          <w:b/>
          <w:color w:val="auto"/>
          <w:sz w:val="21"/>
          <w:szCs w:val="21"/>
          <w:highlight w:val="none"/>
          <w:shd w:val="clear" w:color="auto" w:fill="FFFFFF"/>
        </w:rPr>
        <w:t>22.评标内容的保密</w:t>
      </w:r>
    </w:p>
    <w:p w14:paraId="0A28C059">
      <w:pPr>
        <w:spacing w:line="360" w:lineRule="auto"/>
        <w:ind w:firstLine="480"/>
        <w:rPr>
          <w:rFonts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22.1公开开标后，直到宣布授予中标人合同为止，凡属于审查、澄清、评价和比较投标的所有资料，有关授予合同的信息都不应向投标人或与评标无关的其他人泄露。</w:t>
      </w:r>
    </w:p>
    <w:p w14:paraId="50F0F06D">
      <w:pPr>
        <w:spacing w:line="360" w:lineRule="auto"/>
        <w:ind w:firstLine="480"/>
        <w:rPr>
          <w:rFonts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22.2在投标文件的审查、澄清、评价和比较以及授予合同的过程中，投标人对采购人或采购代理机构和评标委员会成员施加影响的任何行为，都将取消其中标资格。</w:t>
      </w:r>
    </w:p>
    <w:p w14:paraId="57E53786">
      <w:pPr>
        <w:pStyle w:val="40"/>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shd w:val="clear" w:color="auto" w:fill="FFFFFF"/>
        </w:rPr>
        <w:t>22.3中标人确定后，</w:t>
      </w:r>
      <w:r>
        <w:rPr>
          <w:rFonts w:hint="eastAsia" w:ascii="宋体" w:hAnsi="宋体" w:cs="宋体"/>
          <w:color w:val="auto"/>
          <w:sz w:val="21"/>
          <w:szCs w:val="21"/>
          <w:highlight w:val="none"/>
          <w:shd w:val="clear" w:color="auto" w:fill="FFFFFF"/>
          <w:lang w:eastAsia="zh-CN"/>
        </w:rPr>
        <w:t>采购人</w:t>
      </w:r>
      <w:r>
        <w:rPr>
          <w:rFonts w:hint="eastAsia" w:ascii="宋体" w:hAnsi="宋体" w:cs="宋体"/>
          <w:color w:val="auto"/>
          <w:sz w:val="21"/>
          <w:szCs w:val="21"/>
          <w:highlight w:val="none"/>
          <w:shd w:val="clear" w:color="auto" w:fill="FFFFFF"/>
        </w:rPr>
        <w:t>或招标代理机构不对未中标人就评标过程以及未能中标的原因做出任何解释。未中标人不得向评标委员会成员或其他有关人员索问评标过程的情况和材料。</w:t>
      </w:r>
    </w:p>
    <w:p w14:paraId="0DE4FCEF">
      <w:pPr>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23.对投标文件初审</w:t>
      </w:r>
    </w:p>
    <w:p w14:paraId="01A2BBF2">
      <w:pPr>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23.1投标文件初审分为资格检查和符合性检查。</w:t>
      </w:r>
    </w:p>
    <w:p w14:paraId="395E9210">
      <w:pPr>
        <w:spacing w:line="360" w:lineRule="auto"/>
        <w:ind w:firstLine="420" w:firstLineChars="200"/>
        <w:rPr>
          <w:rFonts w:ascii="宋体" w:hAnsi="宋体" w:cs="宋体"/>
          <w:b/>
          <w:bCs/>
          <w:color w:val="auto"/>
          <w:sz w:val="21"/>
          <w:szCs w:val="21"/>
          <w:highlight w:val="none"/>
        </w:rPr>
      </w:pPr>
      <w:r>
        <w:rPr>
          <w:rFonts w:hint="eastAsia" w:ascii="宋体" w:hAnsi="宋体" w:cs="宋体"/>
          <w:color w:val="auto"/>
          <w:sz w:val="21"/>
          <w:szCs w:val="21"/>
          <w:highlight w:val="none"/>
        </w:rPr>
        <w:t>23.1.1资格检查。依据法律法规和招标文件的规定，公开招标采购项目开标结束后，采购人应当依法对投标人的资格进行审查，</w:t>
      </w:r>
      <w:r>
        <w:rPr>
          <w:rFonts w:hint="eastAsia" w:ascii="宋体" w:hAnsi="宋体" w:cs="宋体"/>
          <w:b/>
          <w:bCs/>
          <w:color w:val="auto"/>
          <w:sz w:val="21"/>
          <w:szCs w:val="21"/>
          <w:highlight w:val="none"/>
        </w:rPr>
        <w:t>未通过资格审查的投标无效。</w:t>
      </w:r>
    </w:p>
    <w:p w14:paraId="1FC3380D">
      <w:pPr>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23.1.2符合性检查。依据招标文件的规定，从投标文件的有效性、完整性和对招标文件的响应程度进行审查，以确定是否对招标文件的实质性要求作出响应。</w:t>
      </w:r>
    </w:p>
    <w:p w14:paraId="6A473949">
      <w:pPr>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23.2开标后，评标委员会将审查投标文件是否实质性响应招标文件的要求、内容是否完整、价格构成有无计算错误、文件签署是否齐全等。</w:t>
      </w:r>
      <w:r>
        <w:rPr>
          <w:rFonts w:hint="eastAsia" w:ascii="宋体" w:hAnsi="宋体" w:cs="宋体"/>
          <w:b/>
          <w:bCs/>
          <w:color w:val="auto"/>
          <w:sz w:val="21"/>
          <w:szCs w:val="21"/>
          <w:highlight w:val="none"/>
        </w:rPr>
        <w:t>投标文件属下列情形之一的，评标委员会将按无效投标处理：</w:t>
      </w:r>
    </w:p>
    <w:p w14:paraId="3904163F">
      <w:pPr>
        <w:pStyle w:val="310"/>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23.2.1投标文件未按照本须知规定制作的；</w:t>
      </w:r>
    </w:p>
    <w:p w14:paraId="5B7687F2">
      <w:pPr>
        <w:pStyle w:val="310"/>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23.2.2</w:t>
      </w:r>
      <w:r>
        <w:rPr>
          <w:rFonts w:hint="eastAsia" w:ascii="宋体" w:hAnsi="宋体" w:cs="宋体"/>
          <w:b/>
          <w:bCs/>
          <w:color w:val="auto"/>
          <w:sz w:val="21"/>
          <w:szCs w:val="21"/>
          <w:highlight w:val="none"/>
        </w:rPr>
        <w:t>机器码检查中，不同投标人使用同一台电脑编制投标文件的；</w:t>
      </w:r>
    </w:p>
    <w:p w14:paraId="4CFD8420">
      <w:pPr>
        <w:pStyle w:val="310"/>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23.2.3与招标文件有重大偏离；</w:t>
      </w:r>
    </w:p>
    <w:p w14:paraId="1530F78D">
      <w:pPr>
        <w:pStyle w:val="310"/>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23.2.4投标有效期不满足招标文件要求的；</w:t>
      </w:r>
    </w:p>
    <w:p w14:paraId="5C2B73B1">
      <w:pPr>
        <w:pStyle w:val="310"/>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23.2.5不具备招标文件中规定的资格要求的；</w:t>
      </w:r>
    </w:p>
    <w:p w14:paraId="7B19EE32">
      <w:pPr>
        <w:pStyle w:val="310"/>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23.2.6</w:t>
      </w:r>
      <w:r>
        <w:rPr>
          <w:rFonts w:hint="eastAsia" w:ascii="宋体" w:hAnsi="宋体" w:cs="宋体"/>
          <w:color w:val="auto"/>
          <w:sz w:val="21"/>
          <w:szCs w:val="21"/>
          <w:highlight w:val="none"/>
          <w:lang w:val="zh-CN"/>
        </w:rPr>
        <w:t>未通过符合性审查的</w:t>
      </w:r>
      <w:r>
        <w:rPr>
          <w:rFonts w:hint="eastAsia" w:ascii="宋体" w:hAnsi="宋体" w:cs="宋体"/>
          <w:color w:val="auto"/>
          <w:sz w:val="21"/>
          <w:szCs w:val="21"/>
          <w:highlight w:val="none"/>
        </w:rPr>
        <w:t>；</w:t>
      </w:r>
    </w:p>
    <w:p w14:paraId="1832CE5A">
      <w:pPr>
        <w:pStyle w:val="310"/>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23.2.7</w:t>
      </w:r>
      <w:r>
        <w:rPr>
          <w:rFonts w:hint="eastAsia" w:ascii="宋体" w:hAnsi="宋体" w:cs="宋体"/>
          <w:color w:val="auto"/>
          <w:sz w:val="21"/>
          <w:szCs w:val="21"/>
          <w:highlight w:val="none"/>
          <w:lang w:val="zh-CN"/>
        </w:rPr>
        <w:t>不符合</w:t>
      </w:r>
      <w:r>
        <w:rPr>
          <w:rFonts w:hint="eastAsia" w:ascii="宋体" w:hAnsi="宋体" w:cs="宋体"/>
          <w:color w:val="auto"/>
          <w:sz w:val="21"/>
          <w:szCs w:val="21"/>
          <w:highlight w:val="none"/>
        </w:rPr>
        <w:t>招标</w:t>
      </w:r>
      <w:r>
        <w:rPr>
          <w:rFonts w:hint="eastAsia" w:ascii="宋体" w:hAnsi="宋体" w:cs="宋体"/>
          <w:color w:val="auto"/>
          <w:sz w:val="21"/>
          <w:szCs w:val="21"/>
          <w:highlight w:val="none"/>
          <w:lang w:val="zh-CN"/>
        </w:rPr>
        <w:t>文件中规定的实质性要求的</w:t>
      </w:r>
      <w:r>
        <w:rPr>
          <w:rFonts w:hint="eastAsia" w:ascii="宋体" w:hAnsi="宋体" w:cs="宋体"/>
          <w:color w:val="auto"/>
          <w:sz w:val="21"/>
          <w:szCs w:val="21"/>
          <w:highlight w:val="none"/>
        </w:rPr>
        <w:t>；</w:t>
      </w:r>
    </w:p>
    <w:p w14:paraId="264FA2ED">
      <w:pPr>
        <w:pStyle w:val="310"/>
        <w:spacing w:line="360" w:lineRule="auto"/>
        <w:ind w:firstLine="420"/>
        <w:rPr>
          <w:rFonts w:ascii="宋体" w:hAnsi="宋体" w:cs="宋体"/>
          <w:color w:val="auto"/>
          <w:sz w:val="21"/>
          <w:szCs w:val="21"/>
          <w:highlight w:val="none"/>
          <w:lang w:val="zh-CN"/>
        </w:rPr>
      </w:pPr>
      <w:r>
        <w:rPr>
          <w:rFonts w:hint="eastAsia" w:ascii="宋体" w:hAnsi="宋体" w:cs="宋体"/>
          <w:color w:val="auto"/>
          <w:sz w:val="21"/>
          <w:szCs w:val="21"/>
          <w:highlight w:val="none"/>
        </w:rPr>
        <w:t>23.2.8</w:t>
      </w:r>
      <w:r>
        <w:rPr>
          <w:rFonts w:hint="eastAsia" w:ascii="宋体" w:hAnsi="宋体" w:cs="宋体"/>
          <w:color w:val="auto"/>
          <w:sz w:val="21"/>
          <w:szCs w:val="21"/>
          <w:highlight w:val="none"/>
          <w:lang w:val="zh-CN"/>
        </w:rPr>
        <w:t>投标人的报价是选择性的；</w:t>
      </w:r>
    </w:p>
    <w:p w14:paraId="34CA59EB">
      <w:pPr>
        <w:pStyle w:val="310"/>
        <w:spacing w:line="360" w:lineRule="auto"/>
        <w:ind w:firstLine="420"/>
        <w:rPr>
          <w:rFonts w:ascii="宋体" w:hAnsi="宋体" w:cs="宋体"/>
          <w:color w:val="auto"/>
          <w:sz w:val="21"/>
          <w:szCs w:val="21"/>
          <w:highlight w:val="none"/>
          <w:lang w:val="zh-CN"/>
        </w:rPr>
      </w:pPr>
      <w:r>
        <w:rPr>
          <w:rFonts w:hint="eastAsia" w:ascii="宋体" w:hAnsi="宋体" w:cs="宋体"/>
          <w:color w:val="auto"/>
          <w:sz w:val="21"/>
          <w:szCs w:val="21"/>
          <w:highlight w:val="none"/>
        </w:rPr>
        <w:t>23.2.9</w:t>
      </w:r>
      <w:r>
        <w:rPr>
          <w:rFonts w:hint="eastAsia" w:ascii="宋体" w:hAnsi="宋体" w:cs="宋体"/>
          <w:color w:val="auto"/>
          <w:sz w:val="21"/>
          <w:szCs w:val="21"/>
          <w:highlight w:val="none"/>
          <w:lang w:val="zh-CN"/>
        </w:rPr>
        <w:t>投标人的报价只投了部分内容；</w:t>
      </w:r>
    </w:p>
    <w:p w14:paraId="512B95B9">
      <w:pPr>
        <w:pStyle w:val="310"/>
        <w:spacing w:line="360" w:lineRule="auto"/>
        <w:ind w:firstLine="420"/>
        <w:rPr>
          <w:rFonts w:ascii="宋体" w:hAnsi="宋体" w:cs="宋体"/>
          <w:color w:val="auto"/>
          <w:sz w:val="21"/>
          <w:szCs w:val="21"/>
          <w:highlight w:val="none"/>
          <w:lang w:val="zh-CN"/>
        </w:rPr>
      </w:pPr>
      <w:r>
        <w:rPr>
          <w:rFonts w:hint="eastAsia" w:ascii="宋体" w:hAnsi="宋体" w:cs="宋体"/>
          <w:color w:val="auto"/>
          <w:sz w:val="21"/>
          <w:szCs w:val="21"/>
          <w:highlight w:val="none"/>
        </w:rPr>
        <w:t>23.2.10</w:t>
      </w:r>
      <w:r>
        <w:rPr>
          <w:rFonts w:hint="eastAsia" w:ascii="宋体" w:hAnsi="宋体" w:cs="宋体"/>
          <w:color w:val="auto"/>
          <w:sz w:val="21"/>
          <w:szCs w:val="21"/>
          <w:highlight w:val="none"/>
          <w:lang w:val="zh-CN"/>
        </w:rPr>
        <w:t>投标报价超过预算金额/最高限价，采购人无法接受的；</w:t>
      </w:r>
    </w:p>
    <w:p w14:paraId="0B49A254">
      <w:pPr>
        <w:pStyle w:val="310"/>
        <w:spacing w:line="360" w:lineRule="auto"/>
        <w:ind w:firstLine="420"/>
        <w:rPr>
          <w:rFonts w:ascii="宋体" w:hAnsi="宋体" w:cs="宋体"/>
          <w:color w:val="auto"/>
          <w:sz w:val="21"/>
          <w:szCs w:val="21"/>
          <w:highlight w:val="none"/>
          <w:lang w:val="zh-CN"/>
        </w:rPr>
      </w:pPr>
      <w:r>
        <w:rPr>
          <w:rFonts w:hint="eastAsia" w:ascii="宋体" w:hAnsi="宋体" w:cs="宋体"/>
          <w:color w:val="auto"/>
          <w:sz w:val="21"/>
          <w:szCs w:val="21"/>
          <w:highlight w:val="none"/>
        </w:rPr>
        <w:t>23.2.11</w:t>
      </w:r>
      <w:r>
        <w:rPr>
          <w:rFonts w:hint="eastAsia" w:ascii="宋体" w:hAnsi="宋体" w:cs="宋体"/>
          <w:color w:val="auto"/>
          <w:sz w:val="21"/>
          <w:szCs w:val="21"/>
          <w:highlight w:val="none"/>
          <w:lang w:val="zh-CN"/>
        </w:rPr>
        <w:t>投标人拒绝修正错误；</w:t>
      </w:r>
    </w:p>
    <w:p w14:paraId="325A4872">
      <w:pPr>
        <w:pStyle w:val="310"/>
        <w:spacing w:line="360" w:lineRule="auto"/>
        <w:ind w:firstLine="420"/>
        <w:rPr>
          <w:rFonts w:ascii="宋体" w:hAnsi="宋体" w:cs="宋体"/>
          <w:color w:val="auto"/>
          <w:sz w:val="21"/>
          <w:szCs w:val="21"/>
          <w:highlight w:val="none"/>
          <w:lang w:val="zh-CN"/>
        </w:rPr>
      </w:pPr>
      <w:r>
        <w:rPr>
          <w:rFonts w:hint="eastAsia" w:ascii="宋体" w:hAnsi="宋体" w:cs="宋体"/>
          <w:color w:val="auto"/>
          <w:sz w:val="21"/>
          <w:szCs w:val="21"/>
          <w:highlight w:val="none"/>
        </w:rPr>
        <w:t>23.2.12</w:t>
      </w:r>
      <w:r>
        <w:rPr>
          <w:rFonts w:hint="eastAsia" w:ascii="宋体" w:hAnsi="宋体" w:cs="宋体"/>
          <w:color w:val="auto"/>
          <w:sz w:val="21"/>
          <w:szCs w:val="21"/>
          <w:highlight w:val="none"/>
          <w:lang w:val="zh-CN"/>
        </w:rPr>
        <w:t>投标人的投标文件出现了评标委员会认为不应当雷同的情况；</w:t>
      </w:r>
    </w:p>
    <w:p w14:paraId="61E3DC64">
      <w:pPr>
        <w:pStyle w:val="310"/>
        <w:spacing w:line="360" w:lineRule="auto"/>
        <w:ind w:firstLine="420"/>
        <w:rPr>
          <w:rFonts w:ascii="宋体" w:hAnsi="宋体" w:cs="宋体"/>
          <w:color w:val="auto"/>
          <w:sz w:val="21"/>
          <w:szCs w:val="21"/>
          <w:highlight w:val="none"/>
          <w:lang w:val="zh-CN"/>
        </w:rPr>
      </w:pPr>
      <w:r>
        <w:rPr>
          <w:rFonts w:hint="eastAsia" w:ascii="宋体" w:hAnsi="宋体" w:cs="宋体"/>
          <w:color w:val="auto"/>
          <w:sz w:val="21"/>
          <w:szCs w:val="21"/>
          <w:highlight w:val="none"/>
        </w:rPr>
        <w:t>23.2.13评标委员会</w:t>
      </w:r>
      <w:r>
        <w:rPr>
          <w:rFonts w:hint="eastAsia" w:ascii="宋体" w:hAnsi="宋体" w:cs="宋体"/>
          <w:color w:val="auto"/>
          <w:sz w:val="21"/>
          <w:szCs w:val="21"/>
          <w:highlight w:val="none"/>
          <w:lang w:val="zh-CN"/>
        </w:rPr>
        <w:t>按照本招标文件规定对投标人进行异常低价投标审查后，认为投标人不能证明其报价合理性的；</w:t>
      </w:r>
    </w:p>
    <w:p w14:paraId="051BCFF5">
      <w:pPr>
        <w:pStyle w:val="310"/>
        <w:spacing w:line="360" w:lineRule="auto"/>
        <w:ind w:firstLine="420"/>
        <w:rPr>
          <w:rFonts w:ascii="宋体" w:hAnsi="宋体" w:cs="宋体"/>
          <w:color w:val="auto"/>
          <w:sz w:val="21"/>
          <w:szCs w:val="21"/>
          <w:highlight w:val="none"/>
          <w:lang w:val="zh-CN"/>
        </w:rPr>
      </w:pPr>
      <w:r>
        <w:rPr>
          <w:rFonts w:hint="eastAsia" w:ascii="宋体" w:hAnsi="宋体" w:cs="宋体"/>
          <w:color w:val="auto"/>
          <w:sz w:val="21"/>
          <w:szCs w:val="21"/>
          <w:highlight w:val="none"/>
        </w:rPr>
        <w:t>23.2.14</w:t>
      </w:r>
      <w:r>
        <w:rPr>
          <w:rFonts w:hint="eastAsia" w:ascii="宋体" w:hAnsi="宋体" w:cs="宋体"/>
          <w:color w:val="auto"/>
          <w:sz w:val="21"/>
          <w:szCs w:val="21"/>
          <w:highlight w:val="none"/>
          <w:lang w:val="zh-CN"/>
        </w:rPr>
        <w:t>投标文件中含有采购人不能接受的附加条件的；</w:t>
      </w:r>
    </w:p>
    <w:p w14:paraId="07DB4499">
      <w:pPr>
        <w:pStyle w:val="310"/>
        <w:spacing w:line="360" w:lineRule="auto"/>
        <w:ind w:firstLine="420"/>
        <w:rPr>
          <w:rFonts w:ascii="宋体" w:hAnsi="宋体" w:cs="宋体"/>
          <w:color w:val="auto"/>
          <w:sz w:val="21"/>
          <w:szCs w:val="21"/>
          <w:highlight w:val="none"/>
          <w:lang w:val="zh-CN"/>
        </w:rPr>
      </w:pPr>
      <w:r>
        <w:rPr>
          <w:rFonts w:hint="eastAsia" w:ascii="宋体" w:hAnsi="宋体" w:cs="宋体"/>
          <w:color w:val="auto"/>
          <w:sz w:val="21"/>
          <w:szCs w:val="21"/>
          <w:highlight w:val="none"/>
        </w:rPr>
        <w:t>23.2.15</w:t>
      </w:r>
      <w:r>
        <w:rPr>
          <w:rFonts w:hint="eastAsia" w:ascii="宋体" w:hAnsi="宋体" w:cs="宋体"/>
          <w:color w:val="auto"/>
          <w:sz w:val="21"/>
          <w:szCs w:val="21"/>
          <w:highlight w:val="none"/>
          <w:lang w:val="zh-CN"/>
        </w:rPr>
        <w:t>法律、法规和招标文件明确规定无效的其他情形；</w:t>
      </w:r>
    </w:p>
    <w:p w14:paraId="69567D1F">
      <w:pPr>
        <w:pStyle w:val="310"/>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23.2.16其他被评标委员会认定无效的情况。</w:t>
      </w:r>
    </w:p>
    <w:p w14:paraId="2D60338D">
      <w:pPr>
        <w:pStyle w:val="310"/>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23.3在详细评标之前，评标委员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人的义务。这些偏离或保留将会对其他实质上响应要求的投标人的竞争地位产生不公正的影响。</w:t>
      </w:r>
    </w:p>
    <w:p w14:paraId="423A1764">
      <w:pPr>
        <w:pStyle w:val="310"/>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23.4招标文件提供的工艺、材料、设备、参考的商标或样本目录号码等仅作为说明并没有限制性，投标人在投标中可以选用替代标准，但这些替代标准要优于或相当于技术规格中要求的标准，以满足采购人的需要。</w:t>
      </w:r>
    </w:p>
    <w:p w14:paraId="70238C5F">
      <w:pPr>
        <w:spacing w:line="360" w:lineRule="auto"/>
        <w:ind w:firstLine="420"/>
        <w:rPr>
          <w:rFonts w:ascii="宋体" w:hAnsi="宋体" w:cs="宋体"/>
          <w:b/>
          <w:bCs/>
          <w:color w:val="auto"/>
          <w:sz w:val="21"/>
          <w:szCs w:val="21"/>
          <w:highlight w:val="none"/>
          <w:lang w:val="zh-TW" w:eastAsia="zh-TW"/>
        </w:rPr>
      </w:pPr>
      <w:r>
        <w:rPr>
          <w:rFonts w:hint="eastAsia" w:ascii="宋体" w:hAnsi="宋体" w:cs="宋体"/>
          <w:color w:val="auto"/>
          <w:sz w:val="21"/>
          <w:szCs w:val="21"/>
          <w:highlight w:val="none"/>
        </w:rPr>
        <w:t>23.5</w:t>
      </w:r>
      <w:r>
        <w:rPr>
          <w:rFonts w:hint="eastAsia" w:ascii="宋体" w:hAnsi="宋体" w:cs="宋体"/>
          <w:color w:val="auto"/>
          <w:sz w:val="21"/>
          <w:szCs w:val="21"/>
          <w:highlight w:val="none"/>
          <w:lang w:val="zh-TW"/>
        </w:rPr>
        <w:t>评标委员会</w:t>
      </w:r>
      <w:r>
        <w:rPr>
          <w:rFonts w:hint="eastAsia" w:ascii="宋体" w:hAnsi="宋体" w:cs="宋体"/>
          <w:color w:val="auto"/>
          <w:sz w:val="21"/>
          <w:szCs w:val="21"/>
          <w:highlight w:val="none"/>
          <w:lang w:val="zh-TW" w:eastAsia="zh-TW"/>
        </w:rPr>
        <w:t>将允许修改投标中不构成重大偏离的</w:t>
      </w:r>
      <w:r>
        <w:rPr>
          <w:rFonts w:hint="eastAsia" w:ascii="宋体" w:hAnsi="宋体" w:cs="宋体"/>
          <w:color w:val="auto"/>
          <w:sz w:val="21"/>
          <w:szCs w:val="21"/>
          <w:highlight w:val="none"/>
          <w:lang w:val="zh-TW"/>
        </w:rPr>
        <w:t>、</w:t>
      </w:r>
      <w:r>
        <w:rPr>
          <w:rFonts w:hint="eastAsia" w:ascii="宋体" w:hAnsi="宋体" w:cs="宋体"/>
          <w:color w:val="auto"/>
          <w:sz w:val="21"/>
          <w:szCs w:val="21"/>
          <w:highlight w:val="none"/>
          <w:lang w:val="zh-TW" w:eastAsia="zh-TW"/>
        </w:rPr>
        <w:t>微小的、非正规、不一致或不规则的地方，但这些修改不能影响任何投标人的名次相应排列。</w:t>
      </w:r>
      <w:r>
        <w:rPr>
          <w:rFonts w:hint="eastAsia" w:ascii="宋体" w:hAnsi="宋体" w:cs="宋体"/>
          <w:b/>
          <w:bCs/>
          <w:color w:val="auto"/>
          <w:sz w:val="21"/>
          <w:szCs w:val="21"/>
          <w:highlight w:val="none"/>
          <w:lang w:val="zh-TW" w:eastAsia="zh-TW"/>
        </w:rPr>
        <w:t>投标人不得对招标文件进行实质性修改，包括但不限于付款方式、付款条件等条款，否则投标文件</w:t>
      </w:r>
      <w:r>
        <w:rPr>
          <w:rFonts w:hint="eastAsia" w:ascii="宋体" w:hAnsi="宋体" w:cs="宋体"/>
          <w:b/>
          <w:bCs/>
          <w:color w:val="auto"/>
          <w:sz w:val="21"/>
          <w:szCs w:val="21"/>
          <w:highlight w:val="none"/>
        </w:rPr>
        <w:t>无效</w:t>
      </w:r>
      <w:r>
        <w:rPr>
          <w:rFonts w:hint="eastAsia" w:ascii="宋体" w:hAnsi="宋体" w:cs="宋体"/>
          <w:b/>
          <w:bCs/>
          <w:color w:val="auto"/>
          <w:sz w:val="21"/>
          <w:szCs w:val="21"/>
          <w:highlight w:val="none"/>
          <w:lang w:val="zh-TW" w:eastAsia="zh-TW"/>
        </w:rPr>
        <w:t>。</w:t>
      </w:r>
    </w:p>
    <w:p w14:paraId="738BF431">
      <w:pPr>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23.6评标委员会将拒绝被确定为非实质性响应的投标，投标人不能通过修正或撤销不符之处而使其投标成为实质性响应的投标。</w:t>
      </w:r>
    </w:p>
    <w:p w14:paraId="7F097665">
      <w:pPr>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23.7</w:t>
      </w:r>
      <w:r>
        <w:rPr>
          <w:rFonts w:hint="eastAsia" w:ascii="宋体" w:hAnsi="宋体" w:cs="宋体"/>
          <w:color w:val="auto"/>
          <w:sz w:val="21"/>
          <w:szCs w:val="21"/>
          <w:highlight w:val="none"/>
          <w:lang w:val="zh-TW"/>
        </w:rPr>
        <w:t>评标委员会</w:t>
      </w:r>
      <w:r>
        <w:rPr>
          <w:rFonts w:hint="eastAsia" w:ascii="宋体" w:hAnsi="宋体" w:cs="宋体"/>
          <w:color w:val="auto"/>
          <w:sz w:val="21"/>
          <w:szCs w:val="21"/>
          <w:highlight w:val="none"/>
          <w:lang w:val="zh-TW" w:eastAsia="zh-TW"/>
        </w:rPr>
        <w:t>将对确定为实质上响应的投标进行审核，看其是否有计算上或累加上的算术错误</w:t>
      </w:r>
      <w:r>
        <w:rPr>
          <w:rFonts w:hint="eastAsia" w:ascii="宋体" w:hAnsi="宋体" w:cs="宋体"/>
          <w:color w:val="auto"/>
          <w:sz w:val="21"/>
          <w:szCs w:val="21"/>
          <w:highlight w:val="none"/>
          <w:lang w:val="zh-TW"/>
        </w:rPr>
        <w:t>。</w:t>
      </w:r>
      <w:r>
        <w:rPr>
          <w:rFonts w:hint="eastAsia" w:ascii="宋体" w:hAnsi="宋体" w:cs="宋体"/>
          <w:color w:val="auto"/>
          <w:sz w:val="21"/>
          <w:szCs w:val="21"/>
          <w:highlight w:val="none"/>
          <w:lang w:val="zh-TW" w:eastAsia="zh-TW"/>
        </w:rPr>
        <w:t>投标文件报价出现前后不一致的，除招标文件另有规定外，按照下列规定</w:t>
      </w:r>
      <w:r>
        <w:rPr>
          <w:rFonts w:hint="eastAsia" w:ascii="宋体" w:hAnsi="宋体" w:cs="宋体"/>
          <w:color w:val="auto"/>
          <w:sz w:val="21"/>
          <w:szCs w:val="21"/>
          <w:highlight w:val="none"/>
          <w:lang w:val="zh-TW"/>
        </w:rPr>
        <w:t>进行</w:t>
      </w:r>
      <w:r>
        <w:rPr>
          <w:rFonts w:hint="eastAsia" w:ascii="宋体" w:hAnsi="宋体" w:cs="宋体"/>
          <w:color w:val="auto"/>
          <w:sz w:val="21"/>
          <w:szCs w:val="21"/>
          <w:highlight w:val="none"/>
          <w:lang w:val="zh-TW" w:eastAsia="zh-TW"/>
        </w:rPr>
        <w:t>修正：</w:t>
      </w:r>
    </w:p>
    <w:p w14:paraId="4DE184D2">
      <w:pPr>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23.7.1投标文件中开标一览表（报价表）内容与投标文件中相应内容不一致的，以开标一览表（报价表）为准</w:t>
      </w:r>
      <w:r>
        <w:rPr>
          <w:rFonts w:hint="eastAsia" w:ascii="宋体" w:hAnsi="宋体" w:cs="宋体"/>
          <w:color w:val="auto"/>
          <w:sz w:val="21"/>
          <w:szCs w:val="21"/>
          <w:highlight w:val="none"/>
          <w:lang w:val="zh-TW" w:eastAsia="zh-TW"/>
        </w:rPr>
        <w:t>；</w:t>
      </w:r>
    </w:p>
    <w:p w14:paraId="2C4C8392">
      <w:pPr>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23.7.2大写金额和小写金额不一致的，以大写金额为准</w:t>
      </w:r>
      <w:r>
        <w:rPr>
          <w:rFonts w:hint="eastAsia" w:ascii="宋体" w:hAnsi="宋体" w:cs="宋体"/>
          <w:color w:val="auto"/>
          <w:sz w:val="21"/>
          <w:szCs w:val="21"/>
          <w:highlight w:val="none"/>
          <w:lang w:val="zh-TW" w:eastAsia="zh-TW"/>
        </w:rPr>
        <w:t>；</w:t>
      </w:r>
    </w:p>
    <w:p w14:paraId="50E732FB">
      <w:pPr>
        <w:spacing w:line="360" w:lineRule="auto"/>
        <w:ind w:firstLine="420"/>
        <w:rPr>
          <w:rFonts w:ascii="宋体" w:hAnsi="宋体" w:cs="宋体"/>
          <w:color w:val="auto"/>
          <w:sz w:val="21"/>
          <w:szCs w:val="21"/>
          <w:highlight w:val="none"/>
          <w:lang w:val="zh-TW" w:eastAsia="zh-TW"/>
        </w:rPr>
      </w:pPr>
      <w:r>
        <w:rPr>
          <w:rFonts w:hint="eastAsia" w:ascii="宋体" w:hAnsi="宋体" w:cs="宋体"/>
          <w:color w:val="auto"/>
          <w:sz w:val="21"/>
          <w:szCs w:val="21"/>
          <w:highlight w:val="none"/>
        </w:rPr>
        <w:t>23.7.3单价金额小数点或者百分比有明显错位的，以开标一览表的总价为准，并修改单价</w:t>
      </w:r>
      <w:r>
        <w:rPr>
          <w:rFonts w:hint="eastAsia" w:ascii="宋体" w:hAnsi="宋体" w:cs="宋体"/>
          <w:color w:val="auto"/>
          <w:sz w:val="21"/>
          <w:szCs w:val="21"/>
          <w:highlight w:val="none"/>
          <w:lang w:val="zh-TW" w:eastAsia="zh-TW"/>
        </w:rPr>
        <w:t>；</w:t>
      </w:r>
    </w:p>
    <w:p w14:paraId="3395457D">
      <w:pPr>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23.7.4总价金额与按单价汇总金额不一致的，以单价金额计算结果为准</w:t>
      </w:r>
      <w:r>
        <w:rPr>
          <w:rFonts w:hint="eastAsia" w:ascii="宋体" w:hAnsi="宋体" w:cs="宋体"/>
          <w:color w:val="auto"/>
          <w:sz w:val="21"/>
          <w:szCs w:val="21"/>
          <w:highlight w:val="none"/>
          <w:lang w:val="zh-TW"/>
        </w:rPr>
        <w:t>；</w:t>
      </w:r>
    </w:p>
    <w:p w14:paraId="45F7E39D">
      <w:pPr>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23.7.5</w:t>
      </w:r>
      <w:r>
        <w:rPr>
          <w:rFonts w:hint="eastAsia" w:ascii="宋体" w:hAnsi="宋体" w:cs="宋体"/>
          <w:color w:val="auto"/>
          <w:sz w:val="21"/>
          <w:szCs w:val="21"/>
          <w:highlight w:val="none"/>
          <w:lang w:val="zh-TW" w:eastAsia="zh-TW"/>
        </w:rPr>
        <w:t>对不同文字文本投标文件的解释发生异议的，以中文文本为准；</w:t>
      </w:r>
    </w:p>
    <w:p w14:paraId="4D2A4EA6">
      <w:pPr>
        <w:spacing w:line="360" w:lineRule="auto"/>
        <w:ind w:firstLine="420"/>
        <w:rPr>
          <w:rFonts w:ascii="宋体" w:hAnsi="宋体" w:cs="宋体"/>
          <w:color w:val="auto"/>
          <w:sz w:val="21"/>
          <w:szCs w:val="21"/>
          <w:highlight w:val="none"/>
          <w:lang w:val="zh-TW"/>
        </w:rPr>
      </w:pPr>
      <w:r>
        <w:rPr>
          <w:rFonts w:hint="eastAsia" w:ascii="宋体" w:hAnsi="宋体" w:cs="宋体"/>
          <w:color w:val="auto"/>
          <w:sz w:val="21"/>
          <w:szCs w:val="21"/>
          <w:highlight w:val="none"/>
          <w:lang w:val="zh-TW"/>
        </w:rPr>
        <w:t>同时出现两种以上不一致的，按照前款规定的顺序进行修正。</w:t>
      </w:r>
    </w:p>
    <w:p w14:paraId="149D36C6">
      <w:pPr>
        <w:spacing w:line="360" w:lineRule="auto"/>
        <w:ind w:firstLine="420"/>
        <w:rPr>
          <w:rFonts w:ascii="宋体" w:hAnsi="宋体" w:cs="宋体"/>
          <w:b/>
          <w:bCs/>
          <w:color w:val="auto"/>
          <w:sz w:val="21"/>
          <w:szCs w:val="21"/>
          <w:highlight w:val="none"/>
          <w:lang w:val="zh-TW"/>
        </w:rPr>
      </w:pPr>
      <w:r>
        <w:rPr>
          <w:rFonts w:hint="eastAsia" w:ascii="宋体" w:hAnsi="宋体" w:cs="宋体"/>
          <w:b/>
          <w:bCs/>
          <w:color w:val="auto"/>
          <w:sz w:val="21"/>
          <w:szCs w:val="21"/>
          <w:highlight w:val="none"/>
          <w:lang w:val="zh-TW"/>
        </w:rPr>
        <w:t>修正后的报价按照《政府采购货物和服务招标投标管理办法》（财政部令第</w:t>
      </w:r>
      <w:r>
        <w:rPr>
          <w:rFonts w:hint="eastAsia" w:ascii="宋体" w:hAnsi="宋体" w:cs="宋体"/>
          <w:b/>
          <w:bCs/>
          <w:color w:val="auto"/>
          <w:sz w:val="21"/>
          <w:szCs w:val="21"/>
          <w:highlight w:val="none"/>
        </w:rPr>
        <w:t>87号</w:t>
      </w:r>
      <w:r>
        <w:rPr>
          <w:rFonts w:hint="eastAsia" w:ascii="宋体" w:hAnsi="宋体" w:cs="宋体"/>
          <w:b/>
          <w:bCs/>
          <w:color w:val="auto"/>
          <w:sz w:val="21"/>
          <w:szCs w:val="21"/>
          <w:highlight w:val="none"/>
          <w:lang w:val="zh-TW"/>
        </w:rPr>
        <w:t>）第五十一条第二款的规定经投标人确认后产生约束力，投标人不确认的，其投标无效。</w:t>
      </w:r>
    </w:p>
    <w:p w14:paraId="7D339251">
      <w:pPr>
        <w:widowControl w:val="0"/>
        <w:pBdr>
          <w:top w:val="none" w:color="000000" w:sz="0" w:space="0"/>
          <w:left w:val="none" w:color="000000" w:sz="0" w:space="0"/>
          <w:bottom w:val="none" w:color="000000" w:sz="0" w:space="0"/>
          <w:right w:val="none" w:color="000000" w:sz="0" w:space="0"/>
        </w:pBdr>
        <w:spacing w:line="360" w:lineRule="auto"/>
        <w:ind w:firstLine="422"/>
        <w:jc w:val="both"/>
        <w:rPr>
          <w:rFonts w:ascii="宋体" w:hAnsi="宋体" w:cs="宋体"/>
          <w:b/>
          <w:bCs/>
          <w:color w:val="auto"/>
          <w:sz w:val="21"/>
          <w:szCs w:val="21"/>
          <w:highlight w:val="none"/>
        </w:rPr>
      </w:pPr>
      <w:r>
        <w:rPr>
          <w:rFonts w:hint="eastAsia" w:ascii="宋体" w:hAnsi="宋体" w:cs="宋体"/>
          <w:b/>
          <w:bCs/>
          <w:color w:val="auto"/>
          <w:sz w:val="21"/>
          <w:szCs w:val="21"/>
          <w:highlight w:val="none"/>
          <w:lang w:val="zh-TW"/>
        </w:rPr>
        <w:t>2</w:t>
      </w:r>
      <w:r>
        <w:rPr>
          <w:rFonts w:hint="eastAsia" w:ascii="宋体" w:hAnsi="宋体" w:cs="宋体"/>
          <w:b/>
          <w:bCs/>
          <w:color w:val="auto"/>
          <w:sz w:val="21"/>
          <w:szCs w:val="21"/>
          <w:highlight w:val="none"/>
        </w:rPr>
        <w:t>3.8政府采购异常低价审查</w:t>
      </w:r>
    </w:p>
    <w:p w14:paraId="4243D6FB">
      <w:pPr>
        <w:widowControl w:val="0"/>
        <w:pBdr>
          <w:top w:val="none" w:color="000000" w:sz="0" w:space="0"/>
          <w:left w:val="none" w:color="000000" w:sz="0" w:space="0"/>
          <w:bottom w:val="none" w:color="000000" w:sz="0" w:space="0"/>
          <w:right w:val="none" w:color="000000" w:sz="0" w:space="0"/>
        </w:pBdr>
        <w:spacing w:line="360" w:lineRule="auto"/>
        <w:ind w:firstLine="422"/>
        <w:jc w:val="both"/>
        <w:rPr>
          <w:rFonts w:ascii="宋体" w:hAnsi="宋体" w:cs="宋体"/>
          <w:bCs/>
          <w:color w:val="auto"/>
          <w:sz w:val="21"/>
          <w:szCs w:val="21"/>
          <w:highlight w:val="none"/>
        </w:rPr>
      </w:pPr>
      <w:r>
        <w:rPr>
          <w:rFonts w:hint="eastAsia" w:ascii="宋体" w:hAnsi="宋体" w:cs="宋体"/>
          <w:bCs/>
          <w:color w:val="auto"/>
          <w:sz w:val="21"/>
          <w:szCs w:val="21"/>
          <w:highlight w:val="none"/>
        </w:rPr>
        <w:t>（一）政府采购评标过程中出现下列情形之一的，评标委员会应当启动异常低价投标审查程序：</w:t>
      </w:r>
    </w:p>
    <w:p w14:paraId="441CDB89">
      <w:pPr>
        <w:widowControl w:val="0"/>
        <w:pBdr>
          <w:top w:val="none" w:color="000000" w:sz="0" w:space="0"/>
          <w:left w:val="none" w:color="000000" w:sz="0" w:space="0"/>
          <w:bottom w:val="none" w:color="000000" w:sz="0" w:space="0"/>
          <w:right w:val="none" w:color="000000" w:sz="0" w:space="0"/>
        </w:pBdr>
        <w:spacing w:line="360" w:lineRule="auto"/>
        <w:ind w:firstLine="422"/>
        <w:jc w:val="both"/>
        <w:rPr>
          <w:rFonts w:ascii="宋体" w:hAnsi="宋体" w:cs="宋体"/>
          <w:bCs/>
          <w:color w:val="auto"/>
          <w:sz w:val="21"/>
          <w:szCs w:val="21"/>
          <w:highlight w:val="none"/>
        </w:rPr>
      </w:pPr>
      <w:r>
        <w:rPr>
          <w:rFonts w:hint="eastAsia" w:ascii="宋体" w:hAnsi="宋体" w:cs="宋体"/>
          <w:bCs/>
          <w:color w:val="auto"/>
          <w:sz w:val="21"/>
          <w:szCs w:val="21"/>
          <w:highlight w:val="none"/>
        </w:rPr>
        <w:t>1.投标报价低于全部通过符合性审查投标人投标报价平均值50%的，即投标报价&lt;全部通过符合性审查投标人投标报价平均值×50%；</w:t>
      </w:r>
    </w:p>
    <w:p w14:paraId="0D3B041C">
      <w:pPr>
        <w:widowControl w:val="0"/>
        <w:pBdr>
          <w:top w:val="none" w:color="000000" w:sz="0" w:space="0"/>
          <w:left w:val="none" w:color="000000" w:sz="0" w:space="0"/>
          <w:bottom w:val="none" w:color="000000" w:sz="0" w:space="0"/>
          <w:right w:val="none" w:color="000000" w:sz="0" w:space="0"/>
        </w:pBdr>
        <w:spacing w:line="360" w:lineRule="auto"/>
        <w:ind w:firstLine="422"/>
        <w:jc w:val="both"/>
        <w:rPr>
          <w:rFonts w:ascii="宋体" w:hAnsi="宋体" w:cs="宋体"/>
          <w:bCs/>
          <w:color w:val="auto"/>
          <w:sz w:val="21"/>
          <w:szCs w:val="21"/>
          <w:highlight w:val="none"/>
        </w:rPr>
      </w:pPr>
      <w:r>
        <w:rPr>
          <w:rFonts w:hint="eastAsia" w:ascii="宋体" w:hAnsi="宋体" w:cs="宋体"/>
          <w:bCs/>
          <w:color w:val="auto"/>
          <w:sz w:val="21"/>
          <w:szCs w:val="21"/>
          <w:highlight w:val="none"/>
        </w:rPr>
        <w:t>2.</w:t>
      </w:r>
      <w:r>
        <w:rPr>
          <w:rFonts w:ascii="宋体" w:hAnsi="宋体" w:cs="宋体"/>
          <w:color w:val="auto"/>
          <w:sz w:val="21"/>
          <w:szCs w:val="21"/>
          <w:highlight w:val="none"/>
        </w:rPr>
        <w:t>投标报价低于通过符合性审查的次低报价投标人投标报价50%的，即投标报价&lt;通过符合性审查的次低报价投标人投标报价×50%</w:t>
      </w:r>
      <w:r>
        <w:rPr>
          <w:rFonts w:hint="eastAsia" w:ascii="宋体" w:hAnsi="宋体" w:cs="宋体"/>
          <w:bCs/>
          <w:color w:val="auto"/>
          <w:sz w:val="21"/>
          <w:szCs w:val="21"/>
          <w:highlight w:val="none"/>
        </w:rPr>
        <w:t>；</w:t>
      </w:r>
    </w:p>
    <w:p w14:paraId="560CCCF3">
      <w:pPr>
        <w:widowControl w:val="0"/>
        <w:pBdr>
          <w:top w:val="none" w:color="000000" w:sz="0" w:space="0"/>
          <w:left w:val="none" w:color="000000" w:sz="0" w:space="0"/>
          <w:bottom w:val="none" w:color="000000" w:sz="0" w:space="0"/>
          <w:right w:val="none" w:color="000000" w:sz="0" w:space="0"/>
        </w:pBdr>
        <w:spacing w:line="360" w:lineRule="auto"/>
        <w:ind w:firstLine="422"/>
        <w:jc w:val="both"/>
        <w:rPr>
          <w:rFonts w:ascii="宋体" w:hAnsi="宋体" w:cs="宋体"/>
          <w:bCs/>
          <w:color w:val="auto"/>
          <w:sz w:val="21"/>
          <w:szCs w:val="21"/>
          <w:highlight w:val="none"/>
        </w:rPr>
      </w:pPr>
      <w:r>
        <w:rPr>
          <w:rFonts w:hint="eastAsia" w:ascii="宋体" w:hAnsi="宋体" w:cs="宋体"/>
          <w:bCs/>
          <w:color w:val="auto"/>
          <w:sz w:val="21"/>
          <w:szCs w:val="21"/>
          <w:highlight w:val="none"/>
        </w:rPr>
        <w:t>3.</w:t>
      </w:r>
      <w:r>
        <w:rPr>
          <w:rFonts w:ascii="宋体" w:hAnsi="宋体" w:cs="宋体"/>
          <w:color w:val="auto"/>
          <w:sz w:val="21"/>
          <w:szCs w:val="21"/>
          <w:highlight w:val="none"/>
        </w:rPr>
        <w:t>投标报价低于采购项目最高限价45%的，即投标报价&lt;采购项目最高限价×45%</w:t>
      </w:r>
      <w:r>
        <w:rPr>
          <w:rFonts w:hint="eastAsia" w:ascii="宋体" w:hAnsi="宋体" w:cs="宋体"/>
          <w:bCs/>
          <w:color w:val="auto"/>
          <w:sz w:val="21"/>
          <w:szCs w:val="21"/>
          <w:highlight w:val="none"/>
        </w:rPr>
        <w:t>；</w:t>
      </w:r>
    </w:p>
    <w:p w14:paraId="7921ED6D">
      <w:pPr>
        <w:widowControl w:val="0"/>
        <w:pBdr>
          <w:top w:val="none" w:color="000000" w:sz="0" w:space="0"/>
          <w:left w:val="none" w:color="000000" w:sz="0" w:space="0"/>
          <w:bottom w:val="none" w:color="000000" w:sz="0" w:space="0"/>
          <w:right w:val="none" w:color="000000" w:sz="0" w:space="0"/>
        </w:pBdr>
        <w:spacing w:line="360" w:lineRule="auto"/>
        <w:ind w:firstLine="422"/>
        <w:jc w:val="both"/>
        <w:rPr>
          <w:rFonts w:ascii="宋体" w:hAnsi="宋体" w:cs="宋体"/>
          <w:bCs/>
          <w:color w:val="auto"/>
          <w:sz w:val="21"/>
          <w:szCs w:val="21"/>
          <w:highlight w:val="none"/>
        </w:rPr>
      </w:pPr>
      <w:r>
        <w:rPr>
          <w:rFonts w:hint="eastAsia" w:ascii="宋体" w:hAnsi="宋体" w:cs="宋体"/>
          <w:bCs/>
          <w:color w:val="auto"/>
          <w:sz w:val="21"/>
          <w:szCs w:val="21"/>
          <w:highlight w:val="none"/>
        </w:rPr>
        <w:t>4.评标委员会</w:t>
      </w:r>
      <w:r>
        <w:rPr>
          <w:rFonts w:ascii="宋体" w:hAnsi="宋体" w:cs="宋体"/>
          <w:color w:val="auto"/>
          <w:sz w:val="21"/>
          <w:szCs w:val="21"/>
          <w:highlight w:val="none"/>
        </w:rPr>
        <w:t>基于专业判断，认为投标人报价过低，有可能影响产品质量或者不能诚信履约的其他情形</w:t>
      </w:r>
      <w:r>
        <w:rPr>
          <w:rFonts w:hint="eastAsia" w:ascii="宋体" w:hAnsi="宋体" w:cs="宋体"/>
          <w:bCs/>
          <w:color w:val="auto"/>
          <w:sz w:val="21"/>
          <w:szCs w:val="21"/>
          <w:highlight w:val="none"/>
        </w:rPr>
        <w:t>。</w:t>
      </w:r>
    </w:p>
    <w:p w14:paraId="43C20FB9">
      <w:pPr>
        <w:widowControl w:val="0"/>
        <w:pBdr>
          <w:top w:val="none" w:color="000000" w:sz="0" w:space="0"/>
          <w:left w:val="none" w:color="000000" w:sz="0" w:space="0"/>
          <w:bottom w:val="none" w:color="000000" w:sz="0" w:space="0"/>
          <w:right w:val="none" w:color="000000" w:sz="0" w:space="0"/>
        </w:pBdr>
        <w:spacing w:line="360" w:lineRule="auto"/>
        <w:ind w:firstLine="422"/>
        <w:jc w:val="both"/>
        <w:rPr>
          <w:rFonts w:ascii="宋体" w:hAnsi="宋体" w:cs="宋体"/>
          <w:bCs/>
          <w:color w:val="auto"/>
          <w:sz w:val="21"/>
          <w:szCs w:val="21"/>
          <w:highlight w:val="none"/>
        </w:rPr>
      </w:pPr>
      <w:r>
        <w:rPr>
          <w:rFonts w:hint="eastAsia" w:ascii="宋体" w:hAnsi="宋体" w:cs="宋体"/>
          <w:bCs/>
          <w:color w:val="auto"/>
          <w:sz w:val="21"/>
          <w:szCs w:val="21"/>
          <w:highlight w:val="none"/>
        </w:rPr>
        <w:t>（二）评标委员会</w:t>
      </w:r>
      <w:r>
        <w:rPr>
          <w:rFonts w:ascii="宋体" w:hAnsi="宋体" w:cs="宋体"/>
          <w:color w:val="auto"/>
          <w:sz w:val="21"/>
          <w:szCs w:val="21"/>
          <w:highlight w:val="none"/>
        </w:rPr>
        <w:t>启动异常低价投标审查后，属于前述第</w:t>
      </w:r>
      <w:r>
        <w:rPr>
          <w:rFonts w:hint="eastAsia" w:ascii="宋体" w:hAnsi="宋体" w:cs="宋体"/>
          <w:color w:val="auto"/>
          <w:sz w:val="21"/>
          <w:szCs w:val="21"/>
          <w:highlight w:val="none"/>
        </w:rPr>
        <w:t>1</w:t>
      </w:r>
      <w:r>
        <w:rPr>
          <w:rFonts w:ascii="宋体" w:hAnsi="宋体" w:cs="宋体"/>
          <w:color w:val="auto"/>
          <w:sz w:val="21"/>
          <w:szCs w:val="21"/>
          <w:highlight w:val="none"/>
        </w:rPr>
        <w:t>项至第</w:t>
      </w:r>
      <w:r>
        <w:rPr>
          <w:rFonts w:hint="eastAsia" w:ascii="宋体" w:hAnsi="宋体" w:cs="宋体"/>
          <w:color w:val="auto"/>
          <w:sz w:val="21"/>
          <w:szCs w:val="21"/>
          <w:highlight w:val="none"/>
        </w:rPr>
        <w:t>4</w:t>
      </w:r>
      <w:r>
        <w:rPr>
          <w:rFonts w:ascii="宋体" w:hAnsi="宋体" w:cs="宋体"/>
          <w:color w:val="auto"/>
          <w:sz w:val="21"/>
          <w:szCs w:val="21"/>
          <w:highlight w:val="none"/>
        </w:rPr>
        <w:t>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w:t>
      </w:r>
      <w:r>
        <w:rPr>
          <w:rFonts w:hint="eastAsia" w:ascii="宋体" w:hAnsi="宋体" w:cs="宋体"/>
          <w:color w:val="auto"/>
          <w:sz w:val="21"/>
          <w:szCs w:val="21"/>
          <w:highlight w:val="none"/>
        </w:rPr>
        <w:t>3</w:t>
      </w:r>
      <w:r>
        <w:rPr>
          <w:rFonts w:ascii="宋体" w:hAnsi="宋体" w:cs="宋体"/>
          <w:color w:val="auto"/>
          <w:sz w:val="21"/>
          <w:szCs w:val="21"/>
          <w:highlight w:val="none"/>
        </w:rPr>
        <w:t>项情形，投标人已随投标文件一并提交相关书面说明及必要的证明材料</w:t>
      </w:r>
      <w:r>
        <w:rPr>
          <w:rFonts w:hint="eastAsia" w:ascii="宋体" w:hAnsi="宋体" w:cs="宋体"/>
          <w:b/>
          <w:color w:val="auto"/>
          <w:sz w:val="21"/>
          <w:szCs w:val="21"/>
          <w:highlight w:val="none"/>
        </w:rPr>
        <w:t>（如：已履约的类似项目合同含合同价格明细及验收证明等</w:t>
      </w:r>
      <w:r>
        <w:rPr>
          <w:rFonts w:hint="eastAsia" w:ascii="宋体" w:hAnsi="宋体" w:cs="宋体"/>
          <w:color w:val="auto"/>
          <w:sz w:val="21"/>
          <w:szCs w:val="21"/>
          <w:highlight w:val="none"/>
        </w:rPr>
        <w:t>）</w:t>
      </w:r>
      <w:r>
        <w:rPr>
          <w:rFonts w:ascii="宋体" w:hAnsi="宋体" w:cs="宋体"/>
          <w:color w:val="auto"/>
          <w:sz w:val="21"/>
          <w:szCs w:val="21"/>
          <w:highlight w:val="none"/>
        </w:rPr>
        <w:t>的，在评标现场可不再重复提交</w:t>
      </w:r>
      <w:r>
        <w:rPr>
          <w:rFonts w:hint="eastAsia" w:ascii="宋体" w:hAnsi="宋体" w:cs="宋体"/>
          <w:bCs/>
          <w:color w:val="auto"/>
          <w:sz w:val="21"/>
          <w:szCs w:val="21"/>
          <w:highlight w:val="none"/>
        </w:rPr>
        <w:t>。</w:t>
      </w:r>
    </w:p>
    <w:p w14:paraId="46681D8F">
      <w:pPr>
        <w:widowControl w:val="0"/>
        <w:pBdr>
          <w:top w:val="none" w:color="000000" w:sz="0" w:space="0"/>
          <w:left w:val="none" w:color="000000" w:sz="0" w:space="0"/>
          <w:bottom w:val="none" w:color="000000" w:sz="0" w:space="0"/>
          <w:right w:val="none" w:color="000000" w:sz="0" w:space="0"/>
        </w:pBdr>
        <w:spacing w:line="360" w:lineRule="auto"/>
        <w:ind w:firstLine="422"/>
        <w:jc w:val="both"/>
        <w:rPr>
          <w:rFonts w:ascii="宋体" w:hAnsi="宋体" w:cs="宋体"/>
          <w:b/>
          <w:color w:val="auto"/>
          <w:sz w:val="21"/>
          <w:szCs w:val="21"/>
          <w:highlight w:val="none"/>
        </w:rPr>
      </w:pPr>
      <w:r>
        <w:rPr>
          <w:rFonts w:hint="eastAsia" w:ascii="宋体" w:hAnsi="宋体" w:cs="宋体"/>
          <w:bCs/>
          <w:color w:val="auto"/>
          <w:sz w:val="21"/>
          <w:szCs w:val="21"/>
          <w:highlight w:val="none"/>
        </w:rPr>
        <w:t>评标委员会依据专业经验，参考同类项目中标价格、类似产品市场价格水平、行业人工费用标准、国家有关部门指导行业协会发布的行业平均成本等情况，对报价合理性进行判断。</w:t>
      </w:r>
      <w:r>
        <w:rPr>
          <w:rFonts w:hint="eastAsia" w:ascii="宋体" w:hAnsi="宋体" w:cs="宋体"/>
          <w:b/>
          <w:color w:val="auto"/>
          <w:sz w:val="21"/>
          <w:szCs w:val="21"/>
          <w:highlight w:val="none"/>
        </w:rPr>
        <w:t>投标人不能提供书面说明、证明材料，或者提供的书面说明、证明材料不能证明其报价合理性的，评标委员会应当将其作为无效投标处理。</w:t>
      </w:r>
    </w:p>
    <w:p w14:paraId="54DEF1D0">
      <w:pPr>
        <w:pStyle w:val="40"/>
        <w:spacing w:line="360" w:lineRule="auto"/>
        <w:ind w:firstLine="420" w:firstLineChars="200"/>
        <w:jc w:val="both"/>
        <w:rPr>
          <w:rFonts w:ascii="宋体" w:hAnsi="宋体" w:cs="宋体"/>
          <w:color w:val="auto"/>
          <w:sz w:val="21"/>
          <w:szCs w:val="21"/>
          <w:highlight w:val="none"/>
        </w:rPr>
      </w:pPr>
      <w:r>
        <w:rPr>
          <w:rFonts w:hint="eastAsia" w:ascii="宋体" w:hAnsi="宋体" w:cs="宋体"/>
          <w:color w:val="auto"/>
          <w:sz w:val="21"/>
          <w:szCs w:val="21"/>
          <w:highlight w:val="none"/>
        </w:rPr>
        <w:t>采购</w:t>
      </w:r>
      <w:r>
        <w:rPr>
          <w:rFonts w:ascii="宋体" w:hAnsi="宋体" w:cs="宋体"/>
          <w:color w:val="auto"/>
          <w:sz w:val="21"/>
          <w:szCs w:val="21"/>
          <w:highlight w:val="none"/>
        </w:rPr>
        <w:t>人、</w:t>
      </w:r>
      <w:r>
        <w:rPr>
          <w:rFonts w:hint="eastAsia" w:ascii="宋体" w:hAnsi="宋体" w:cs="宋体"/>
          <w:color w:val="auto"/>
          <w:sz w:val="21"/>
          <w:szCs w:val="21"/>
          <w:highlight w:val="none"/>
        </w:rPr>
        <w:t>采购</w:t>
      </w:r>
      <w:r>
        <w:rPr>
          <w:rFonts w:ascii="宋体" w:hAnsi="宋体" w:cs="宋体"/>
          <w:color w:val="auto"/>
          <w:sz w:val="21"/>
          <w:szCs w:val="21"/>
          <w:highlight w:val="none"/>
        </w:rPr>
        <w:t>代理机构应当为评标委员会在评标现场及时获取同类项目中标价格、类似产品市场价格水平、行业人工费用标准、国家有关部门指导行业协会发布的行业平均成本等相关信息资料提供便利。评标委员借助互联网等渠道查询相关信息的，应当严格遵守评审工作纪律，不得实施影响评审公正的行为。</w:t>
      </w:r>
    </w:p>
    <w:p w14:paraId="38351E94">
      <w:pPr>
        <w:spacing w:line="360" w:lineRule="auto"/>
        <w:ind w:firstLine="420"/>
        <w:jc w:val="both"/>
        <w:rPr>
          <w:rFonts w:ascii="宋体" w:hAnsi="宋体" w:cs="宋体"/>
          <w:color w:val="auto"/>
          <w:sz w:val="21"/>
          <w:szCs w:val="21"/>
          <w:highlight w:val="none"/>
          <w:lang w:val="zh-TW" w:eastAsia="zh-TW"/>
        </w:rPr>
      </w:pPr>
      <w:r>
        <w:rPr>
          <w:rFonts w:ascii="宋体" w:hAnsi="宋体" w:cs="宋体"/>
          <w:color w:val="auto"/>
          <w:sz w:val="21"/>
          <w:szCs w:val="21"/>
          <w:highlight w:val="none"/>
        </w:rPr>
        <w:t>异常低价投标审查的启动原因、审查意见和审查结果应当在评审报告中记录，并随投标人提供的相关书面说明及证明材料，以及评委会有关互联网浏览、查询历史一并归档</w:t>
      </w:r>
      <w:r>
        <w:rPr>
          <w:rFonts w:hint="eastAsia" w:ascii="宋体" w:hAnsi="宋体" w:cs="宋体"/>
          <w:bCs/>
          <w:color w:val="auto"/>
          <w:sz w:val="21"/>
          <w:szCs w:val="21"/>
          <w:highlight w:val="none"/>
        </w:rPr>
        <w:t>。</w:t>
      </w:r>
    </w:p>
    <w:p w14:paraId="3A7E863B">
      <w:pPr>
        <w:spacing w:line="360" w:lineRule="auto"/>
        <w:ind w:firstLine="420"/>
        <w:rPr>
          <w:rFonts w:ascii="宋体" w:hAnsi="宋体" w:cs="宋体"/>
          <w:color w:val="auto"/>
          <w:sz w:val="21"/>
          <w:szCs w:val="21"/>
          <w:highlight w:val="none"/>
          <w:lang w:val="zh-TW" w:eastAsia="zh-TW"/>
        </w:rPr>
      </w:pPr>
      <w:r>
        <w:rPr>
          <w:rFonts w:hint="eastAsia" w:ascii="宋体" w:hAnsi="宋体" w:cs="宋体"/>
          <w:color w:val="auto"/>
          <w:sz w:val="21"/>
          <w:szCs w:val="21"/>
          <w:highlight w:val="none"/>
          <w:lang w:val="zh-TW"/>
        </w:rPr>
        <w:t>2</w:t>
      </w:r>
      <w:r>
        <w:rPr>
          <w:rFonts w:hint="eastAsia" w:ascii="宋体" w:hAnsi="宋体" w:cs="宋体"/>
          <w:color w:val="auto"/>
          <w:sz w:val="21"/>
          <w:szCs w:val="21"/>
          <w:highlight w:val="none"/>
        </w:rPr>
        <w:t>3.9</w:t>
      </w:r>
      <w:r>
        <w:rPr>
          <w:rFonts w:hint="eastAsia" w:ascii="宋体" w:hAnsi="宋体" w:cs="宋体"/>
          <w:color w:val="auto"/>
          <w:sz w:val="21"/>
          <w:szCs w:val="21"/>
          <w:highlight w:val="none"/>
          <w:lang w:val="zh-TW" w:eastAsia="zh-TW"/>
        </w:rPr>
        <w:t>除上述情形外，对投标文件的判定，只依据投标内容本身，不依靠开标后的任何外来证明。</w:t>
      </w:r>
    </w:p>
    <w:p w14:paraId="7BB506A7">
      <w:pPr>
        <w:spacing w:line="360" w:lineRule="auto"/>
        <w:ind w:firstLine="420"/>
        <w:jc w:val="both"/>
        <w:rPr>
          <w:rFonts w:ascii="宋体" w:hAnsi="宋体" w:cs="宋体"/>
          <w:color w:val="auto"/>
          <w:sz w:val="21"/>
          <w:szCs w:val="21"/>
          <w:highlight w:val="none"/>
          <w:lang w:val="zh-TW" w:eastAsia="zh-TW"/>
        </w:rPr>
      </w:pPr>
      <w:r>
        <w:rPr>
          <w:rFonts w:hint="eastAsia" w:ascii="宋体" w:hAnsi="宋体" w:cs="宋体"/>
          <w:color w:val="auto"/>
          <w:sz w:val="21"/>
          <w:szCs w:val="21"/>
          <w:highlight w:val="none"/>
        </w:rPr>
        <w:t>23.10评标委员会成员对需要共同认定的事项存在争议的，应当按照少数服从多数的原则作出结论。持不同意见的评标委员会成员应当在评标报告上签署不同意见及理由，否则视为同意评标报告。</w:t>
      </w:r>
    </w:p>
    <w:p w14:paraId="07FA5283">
      <w:pPr>
        <w:spacing w:line="360" w:lineRule="auto"/>
        <w:rPr>
          <w:rFonts w:ascii="宋体" w:hAnsi="宋体" w:cs="宋体"/>
          <w:b/>
          <w:color w:val="auto"/>
          <w:sz w:val="21"/>
          <w:szCs w:val="21"/>
          <w:highlight w:val="none"/>
        </w:rPr>
      </w:pPr>
      <w:bookmarkStart w:id="49" w:name="_Toc492294193"/>
      <w:r>
        <w:rPr>
          <w:rFonts w:hint="eastAsia" w:ascii="宋体" w:hAnsi="宋体" w:cs="宋体"/>
          <w:b/>
          <w:color w:val="auto"/>
          <w:sz w:val="21"/>
          <w:szCs w:val="21"/>
          <w:highlight w:val="none"/>
        </w:rPr>
        <w:t>24.</w:t>
      </w:r>
      <w:bookmarkEnd w:id="49"/>
      <w:r>
        <w:rPr>
          <w:rFonts w:hint="eastAsia" w:ascii="宋体" w:hAnsi="宋体" w:cs="宋体"/>
          <w:b/>
          <w:color w:val="auto"/>
          <w:sz w:val="21"/>
          <w:szCs w:val="21"/>
          <w:highlight w:val="none"/>
        </w:rPr>
        <w:t>投标的澄清</w:t>
      </w:r>
    </w:p>
    <w:p w14:paraId="39E15C10">
      <w:pPr>
        <w:spacing w:line="360" w:lineRule="auto"/>
        <w:ind w:firstLine="420"/>
        <w:rPr>
          <w:rFonts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24.1对于投标文件中含义不明确、同类问题表述不一致或者有明显文字和计算错误的内容，评标委员会应当要求投标人作出必要的澄清、说明或者补正。投标人的澄清、说明或者补正不得超出投标文件的范围或者改变投标文件的实质性内容。</w:t>
      </w:r>
    </w:p>
    <w:p w14:paraId="63AF3371">
      <w:pPr>
        <w:spacing w:line="360" w:lineRule="auto"/>
        <w:ind w:firstLine="420"/>
        <w:rPr>
          <w:rFonts w:ascii="宋体" w:hAnsi="宋体" w:cs="宋体"/>
          <w:color w:val="auto"/>
          <w:sz w:val="21"/>
          <w:szCs w:val="21"/>
          <w:highlight w:val="none"/>
          <w:shd w:val="clear" w:color="auto" w:fill="FFFFFF"/>
        </w:rPr>
      </w:pPr>
      <w:bookmarkStart w:id="50" w:name="_Hlk158140503"/>
      <w:bookmarkStart w:id="51" w:name="_Hlk158140452"/>
      <w:bookmarkStart w:id="52" w:name="_Hlk90656398"/>
      <w:r>
        <w:rPr>
          <w:rFonts w:hint="eastAsia" w:ascii="宋体" w:hAnsi="宋体" w:cs="宋体"/>
          <w:color w:val="auto"/>
          <w:sz w:val="21"/>
          <w:szCs w:val="21"/>
          <w:highlight w:val="none"/>
          <w:shd w:val="clear" w:color="auto" w:fill="FFFFFF"/>
        </w:rPr>
        <w:t>24.2本项目采用线上澄清</w:t>
      </w:r>
      <w:bookmarkEnd w:id="50"/>
      <w:r>
        <w:rPr>
          <w:rFonts w:hint="eastAsia" w:ascii="宋体" w:hAnsi="宋体" w:cs="宋体"/>
          <w:color w:val="auto"/>
          <w:sz w:val="21"/>
          <w:szCs w:val="21"/>
          <w:highlight w:val="none"/>
          <w:shd w:val="clear" w:color="auto" w:fill="FFFFFF"/>
        </w:rPr>
        <w:t>。</w:t>
      </w:r>
      <w:bookmarkEnd w:id="51"/>
    </w:p>
    <w:p w14:paraId="4D8F074A">
      <w:pPr>
        <w:spacing w:line="360" w:lineRule="auto"/>
        <w:ind w:firstLine="420"/>
        <w:rPr>
          <w:rFonts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24.2.1线上澄清答复的方式：需要投标人进行澄清、说明和更正的，评标委员会将通过“苏采云”系统向投标人发布“澄清要求函”，接到“澄清要求函”的投标人应当按照要求在“苏采云”系统中提交“澄清响应函”并加盖CA电子公章。澄清、说明和更正的内容作为响应文件的补充部分，具体操作方式见《操作手册》。未加盖CA电子公章的澄清无效。</w:t>
      </w:r>
      <w:r>
        <w:rPr>
          <w:rFonts w:hint="eastAsia" w:ascii="宋体" w:hAnsi="宋体" w:cs="宋体"/>
          <w:b/>
          <w:bCs/>
          <w:color w:val="auto"/>
          <w:sz w:val="21"/>
          <w:szCs w:val="21"/>
          <w:highlight w:val="none"/>
          <w:shd w:val="clear" w:color="auto" w:fill="FFFFFF"/>
        </w:rPr>
        <w:t>（此处规定时间的计算以系统中的倒计时间为准，投标人应随时保持系统在线，如因投标人自身原因未在规定时间内提交澄清确认资料的，导致的不利后果由投标人自行承担。）</w:t>
      </w:r>
    </w:p>
    <w:p w14:paraId="04494D56">
      <w:pPr>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shd w:val="clear" w:color="auto" w:fill="FFFFFF"/>
        </w:rPr>
        <w:t>24.2.2</w:t>
      </w:r>
      <w:r>
        <w:rPr>
          <w:rFonts w:hint="eastAsia" w:ascii="宋体" w:hAnsi="宋体" w:cs="宋体"/>
          <w:b/>
          <w:bCs/>
          <w:color w:val="auto"/>
          <w:sz w:val="21"/>
          <w:szCs w:val="21"/>
          <w:highlight w:val="none"/>
          <w:shd w:val="clear" w:color="auto" w:fill="FFFFFF"/>
        </w:rPr>
        <w:t>接到评标委员会澄清、说明和更正要求的投标人如未按规定作出澄清、说明和更正，其风险由投标人自行承担。</w:t>
      </w:r>
      <w:bookmarkEnd w:id="52"/>
    </w:p>
    <w:p w14:paraId="5DD4050D">
      <w:pPr>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25.废标</w:t>
      </w:r>
    </w:p>
    <w:p w14:paraId="7F2B63A4">
      <w:pPr>
        <w:pStyle w:val="308"/>
        <w:spacing w:line="360" w:lineRule="auto"/>
        <w:rPr>
          <w:rFonts w:ascii="宋体" w:hAnsi="宋体" w:cs="宋体"/>
          <w:color w:val="auto"/>
          <w:szCs w:val="21"/>
          <w:highlight w:val="none"/>
        </w:rPr>
      </w:pPr>
      <w:bookmarkStart w:id="53" w:name="_Toc492294200"/>
      <w:r>
        <w:rPr>
          <w:rFonts w:hint="eastAsia" w:ascii="宋体" w:hAnsi="宋体" w:cs="宋体"/>
          <w:color w:val="auto"/>
          <w:szCs w:val="21"/>
          <w:highlight w:val="none"/>
        </w:rPr>
        <w:t>25.1在招标过程中，出现下列情形之一的，应予废标：</w:t>
      </w:r>
    </w:p>
    <w:p w14:paraId="154BF773">
      <w:pPr>
        <w:pStyle w:val="308"/>
        <w:spacing w:line="360" w:lineRule="auto"/>
        <w:rPr>
          <w:rFonts w:ascii="宋体" w:hAnsi="宋体" w:cs="宋体"/>
          <w:color w:val="auto"/>
          <w:szCs w:val="21"/>
          <w:highlight w:val="none"/>
        </w:rPr>
      </w:pPr>
      <w:r>
        <w:rPr>
          <w:rFonts w:hint="eastAsia" w:ascii="宋体" w:hAnsi="宋体" w:cs="宋体"/>
          <w:color w:val="auto"/>
          <w:szCs w:val="21"/>
          <w:highlight w:val="none"/>
        </w:rPr>
        <w:t>25.1.1符合专业条件的投标人或者对招标文件作实质性响应的投标人不足三家的；</w:t>
      </w:r>
    </w:p>
    <w:p w14:paraId="349FED99">
      <w:pPr>
        <w:pStyle w:val="308"/>
        <w:spacing w:line="360" w:lineRule="auto"/>
        <w:rPr>
          <w:rFonts w:ascii="宋体" w:hAnsi="宋体" w:cs="宋体"/>
          <w:color w:val="auto"/>
          <w:szCs w:val="21"/>
          <w:highlight w:val="none"/>
        </w:rPr>
      </w:pPr>
      <w:r>
        <w:rPr>
          <w:rFonts w:hint="eastAsia" w:ascii="宋体" w:hAnsi="宋体" w:cs="宋体"/>
          <w:color w:val="auto"/>
          <w:szCs w:val="21"/>
          <w:highlight w:val="none"/>
        </w:rPr>
        <w:t>25.1.2出现影响招标公正的违法、违规行为的；</w:t>
      </w:r>
    </w:p>
    <w:p w14:paraId="794454B8">
      <w:pPr>
        <w:pStyle w:val="308"/>
        <w:spacing w:line="360" w:lineRule="auto"/>
        <w:rPr>
          <w:rFonts w:ascii="宋体" w:hAnsi="宋体" w:cs="宋体"/>
          <w:color w:val="auto"/>
          <w:szCs w:val="21"/>
          <w:highlight w:val="none"/>
        </w:rPr>
      </w:pPr>
      <w:r>
        <w:rPr>
          <w:rFonts w:hint="eastAsia" w:ascii="宋体" w:hAnsi="宋体" w:cs="宋体"/>
          <w:color w:val="auto"/>
          <w:szCs w:val="21"/>
          <w:highlight w:val="none"/>
        </w:rPr>
        <w:t>25.1.3投标人的报价均超过了预算金额/最高限价，采购人不能支付的；</w:t>
      </w:r>
    </w:p>
    <w:p w14:paraId="09D37638">
      <w:pPr>
        <w:pStyle w:val="308"/>
        <w:spacing w:line="360" w:lineRule="auto"/>
        <w:rPr>
          <w:rFonts w:ascii="宋体" w:hAnsi="宋体" w:cs="宋体"/>
          <w:color w:val="auto"/>
          <w:szCs w:val="21"/>
          <w:highlight w:val="none"/>
        </w:rPr>
      </w:pPr>
      <w:r>
        <w:rPr>
          <w:rFonts w:hint="eastAsia" w:ascii="宋体" w:hAnsi="宋体" w:cs="宋体"/>
          <w:color w:val="auto"/>
          <w:szCs w:val="21"/>
          <w:highlight w:val="none"/>
        </w:rPr>
        <w:t>25.1.4因重大变故，采购任务取消的；</w:t>
      </w:r>
    </w:p>
    <w:p w14:paraId="3726C8CF">
      <w:pPr>
        <w:pStyle w:val="308"/>
        <w:spacing w:line="360" w:lineRule="auto"/>
        <w:rPr>
          <w:rFonts w:ascii="宋体" w:hAnsi="宋体" w:cs="宋体"/>
          <w:color w:val="auto"/>
          <w:szCs w:val="21"/>
          <w:highlight w:val="none"/>
        </w:rPr>
      </w:pPr>
      <w:r>
        <w:rPr>
          <w:rFonts w:hint="eastAsia" w:ascii="宋体" w:hAnsi="宋体" w:cs="宋体"/>
          <w:color w:val="auto"/>
          <w:szCs w:val="21"/>
          <w:highlight w:val="none"/>
        </w:rPr>
        <w:t>25.2废标后，采购代理机构将把废标理由通知所有投标人。</w:t>
      </w:r>
    </w:p>
    <w:p w14:paraId="2297B869">
      <w:pPr>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26.</w:t>
      </w:r>
      <w:bookmarkEnd w:id="53"/>
      <w:r>
        <w:rPr>
          <w:rFonts w:hint="eastAsia" w:ascii="宋体" w:hAnsi="宋体" w:cs="宋体"/>
          <w:b/>
          <w:color w:val="auto"/>
          <w:sz w:val="21"/>
          <w:szCs w:val="21"/>
          <w:highlight w:val="none"/>
        </w:rPr>
        <w:t>投标文件的评价和比较</w:t>
      </w:r>
    </w:p>
    <w:p w14:paraId="20743649">
      <w:pPr>
        <w:pStyle w:val="308"/>
        <w:spacing w:line="360" w:lineRule="auto"/>
        <w:rPr>
          <w:rFonts w:ascii="宋体" w:hAnsi="宋体" w:cs="宋体"/>
          <w:color w:val="auto"/>
          <w:szCs w:val="21"/>
          <w:highlight w:val="none"/>
        </w:rPr>
      </w:pPr>
      <w:r>
        <w:rPr>
          <w:rFonts w:hint="eastAsia" w:ascii="宋体" w:hAnsi="宋体" w:cs="宋体"/>
          <w:color w:val="auto"/>
          <w:szCs w:val="21"/>
          <w:highlight w:val="none"/>
        </w:rPr>
        <w:t>26.1评标委员会按招标文件规定的评标方法和标准，仅对资格性检查和符合性检查合格的投标文件进行商务和技术评估，综合比较与评价。</w:t>
      </w:r>
    </w:p>
    <w:p w14:paraId="45856A8D">
      <w:pPr>
        <w:pStyle w:val="308"/>
        <w:spacing w:line="360" w:lineRule="auto"/>
        <w:rPr>
          <w:rFonts w:ascii="宋体" w:hAnsi="宋体" w:cs="宋体"/>
          <w:color w:val="auto"/>
          <w:szCs w:val="21"/>
          <w:highlight w:val="none"/>
        </w:rPr>
      </w:pPr>
      <w:r>
        <w:rPr>
          <w:rFonts w:hint="eastAsia" w:ascii="宋体" w:hAnsi="宋体" w:cs="宋体"/>
          <w:color w:val="auto"/>
          <w:szCs w:val="21"/>
          <w:highlight w:val="none"/>
        </w:rPr>
        <w:t>26.2评价和比较采用综合评分法，是指投标文件满足招标文件全部实质性要求，且按照评审因素的量化指标评审得分最高的投标人作为排名第一的中标候选人的评标方法。评标委员会严格按照招标文件的要求、条件、评分标准，对投标人所提供的产品进行评价比较。</w:t>
      </w:r>
    </w:p>
    <w:p w14:paraId="0A650D9D">
      <w:pPr>
        <w:pStyle w:val="308"/>
        <w:spacing w:line="360" w:lineRule="auto"/>
        <w:ind w:firstLine="0"/>
        <w:rPr>
          <w:rFonts w:ascii="宋体" w:hAnsi="宋体" w:cs="宋体"/>
          <w:color w:val="auto"/>
          <w:szCs w:val="21"/>
          <w:highlight w:val="none"/>
        </w:rPr>
      </w:pPr>
      <w:r>
        <w:rPr>
          <w:rFonts w:hint="eastAsia" w:ascii="宋体" w:hAnsi="宋体" w:cs="宋体"/>
          <w:b/>
          <w:color w:val="auto"/>
          <w:szCs w:val="21"/>
          <w:highlight w:val="none"/>
        </w:rPr>
        <w:t>六、授予合同</w:t>
      </w:r>
    </w:p>
    <w:p w14:paraId="03503E9F">
      <w:pPr>
        <w:spacing w:line="360" w:lineRule="auto"/>
        <w:rPr>
          <w:rFonts w:ascii="宋体" w:hAnsi="宋体" w:cs="宋体"/>
          <w:b/>
          <w:color w:val="auto"/>
          <w:sz w:val="21"/>
          <w:szCs w:val="21"/>
          <w:highlight w:val="none"/>
        </w:rPr>
      </w:pPr>
      <w:bookmarkStart w:id="54" w:name="_Toc492294202"/>
      <w:r>
        <w:rPr>
          <w:rFonts w:hint="eastAsia" w:ascii="宋体" w:hAnsi="宋体" w:cs="宋体"/>
          <w:b/>
          <w:color w:val="auto"/>
          <w:sz w:val="21"/>
          <w:szCs w:val="21"/>
          <w:highlight w:val="none"/>
        </w:rPr>
        <w:t>27.</w:t>
      </w:r>
      <w:bookmarkEnd w:id="54"/>
      <w:r>
        <w:rPr>
          <w:rFonts w:hint="eastAsia" w:ascii="宋体" w:hAnsi="宋体" w:cs="宋体"/>
          <w:b/>
          <w:color w:val="auto"/>
          <w:sz w:val="21"/>
          <w:szCs w:val="21"/>
          <w:highlight w:val="none"/>
        </w:rPr>
        <w:t>中标人的确认</w:t>
      </w:r>
    </w:p>
    <w:p w14:paraId="76036F4F">
      <w:pPr>
        <w:pStyle w:val="308"/>
        <w:spacing w:line="360" w:lineRule="auto"/>
        <w:rPr>
          <w:rFonts w:ascii="宋体" w:hAnsi="宋体" w:cs="宋体"/>
          <w:color w:val="auto"/>
          <w:szCs w:val="21"/>
          <w:highlight w:val="none"/>
        </w:rPr>
      </w:pPr>
      <w:r>
        <w:rPr>
          <w:rFonts w:hint="eastAsia" w:ascii="宋体" w:hAnsi="宋体" w:cs="宋体"/>
          <w:color w:val="auto"/>
          <w:szCs w:val="21"/>
          <w:highlight w:val="none"/>
        </w:rPr>
        <w:t>27.1评标委员会根据投标人资格审查情况，对投标文件进行评价和比较，按照评标办法和标准进行评标，并按采购人的委托向采购人推荐中标候选人。</w:t>
      </w:r>
    </w:p>
    <w:p w14:paraId="7DEE0AF4">
      <w:pPr>
        <w:pStyle w:val="308"/>
        <w:spacing w:line="360" w:lineRule="auto"/>
        <w:rPr>
          <w:rFonts w:ascii="宋体" w:hAnsi="宋体" w:cs="宋体"/>
          <w:color w:val="auto"/>
          <w:szCs w:val="21"/>
          <w:highlight w:val="none"/>
        </w:rPr>
      </w:pPr>
      <w:r>
        <w:rPr>
          <w:rFonts w:hint="eastAsia" w:ascii="宋体" w:hAnsi="宋体" w:cs="宋体"/>
          <w:color w:val="auto"/>
          <w:szCs w:val="21"/>
          <w:highlight w:val="none"/>
        </w:rPr>
        <w:t>27.2确定中标人后，采购代理机构将在规定的时间内将中标结果在相关媒体上予以公告，公告期为一个工作日。各投标人如对公告结果有异议，应在中标公告期满后七个工作日内，以书面形式向采购人或采购代理机构提出质疑，同时该质疑应有投标人法定代表人或代理人签署。采购人或采购代理机构将在收到经投标人法定代表人或代理人签署的书面质疑后七个工作日内，对质疑内容做出答复。如投标人未在中标结果公告期满后七个工作日内向采购人或采购代理机构提出质疑或质疑未经投标人法定代表人或代理人签署，采购人或采购代理机构有权对该质疑不予答复。</w:t>
      </w:r>
    </w:p>
    <w:p w14:paraId="1EDA9512">
      <w:pPr>
        <w:pStyle w:val="308"/>
        <w:spacing w:line="360" w:lineRule="auto"/>
        <w:rPr>
          <w:rFonts w:ascii="宋体" w:hAnsi="宋体" w:cs="宋体"/>
          <w:color w:val="auto"/>
          <w:szCs w:val="21"/>
          <w:highlight w:val="none"/>
        </w:rPr>
      </w:pPr>
      <w:r>
        <w:rPr>
          <w:rFonts w:hint="eastAsia" w:ascii="宋体" w:hAnsi="宋体" w:cs="宋体"/>
          <w:color w:val="auto"/>
          <w:szCs w:val="21"/>
          <w:highlight w:val="none"/>
        </w:rPr>
        <w:t>27</w:t>
      </w:r>
      <w:r>
        <w:rPr>
          <w:rFonts w:ascii="宋体" w:hAnsi="宋体" w:cs="宋体"/>
          <w:color w:val="auto"/>
          <w:szCs w:val="21"/>
          <w:highlight w:val="none"/>
        </w:rPr>
        <w:t>.3</w:t>
      </w:r>
      <w:r>
        <w:rPr>
          <w:rFonts w:hint="eastAsia" w:ascii="宋体" w:hAnsi="宋体" w:cs="宋体"/>
          <w:color w:val="auto"/>
          <w:szCs w:val="21"/>
          <w:highlight w:val="none"/>
        </w:rPr>
        <w:t>中标人数量：1个</w:t>
      </w:r>
      <w:r>
        <w:rPr>
          <w:rFonts w:hint="eastAsia" w:ascii="宋体" w:hAnsi="宋体" w:cs="宋体"/>
          <w:color w:val="auto"/>
          <w:szCs w:val="21"/>
          <w:highlight w:val="none"/>
          <w:lang w:val="en-US" w:eastAsia="zh-CN"/>
        </w:rPr>
        <w:t>/标段</w:t>
      </w:r>
      <w:r>
        <w:rPr>
          <w:rFonts w:hint="eastAsia" w:ascii="宋体" w:hAnsi="宋体" w:cs="宋体"/>
          <w:color w:val="auto"/>
          <w:szCs w:val="21"/>
          <w:highlight w:val="none"/>
        </w:rPr>
        <w:t>。</w:t>
      </w:r>
    </w:p>
    <w:p w14:paraId="3FF4AF2B">
      <w:pPr>
        <w:spacing w:line="360" w:lineRule="auto"/>
        <w:rPr>
          <w:rFonts w:ascii="宋体" w:hAnsi="宋体" w:cs="宋体"/>
          <w:b/>
          <w:color w:val="auto"/>
          <w:sz w:val="21"/>
          <w:szCs w:val="21"/>
          <w:highlight w:val="none"/>
        </w:rPr>
      </w:pPr>
      <w:bookmarkStart w:id="55" w:name="_Toc492294204"/>
      <w:r>
        <w:rPr>
          <w:rFonts w:hint="eastAsia" w:ascii="宋体" w:hAnsi="宋体" w:cs="宋体"/>
          <w:b/>
          <w:color w:val="auto"/>
          <w:sz w:val="21"/>
          <w:szCs w:val="21"/>
          <w:highlight w:val="none"/>
        </w:rPr>
        <w:t>28.</w:t>
      </w:r>
      <w:bookmarkEnd w:id="55"/>
      <w:r>
        <w:rPr>
          <w:rFonts w:hint="eastAsia" w:ascii="宋体" w:hAnsi="宋体" w:cs="宋体"/>
          <w:b/>
          <w:color w:val="auto"/>
          <w:sz w:val="21"/>
          <w:szCs w:val="21"/>
          <w:highlight w:val="none"/>
        </w:rPr>
        <w:t>合同授予标准</w:t>
      </w:r>
    </w:p>
    <w:p w14:paraId="5BB0FFC0">
      <w:pPr>
        <w:pStyle w:val="310"/>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28.1采购人将把合同授予其投标文件在实质上响应招标文件要求和按本须知规定评选出的投标人。确定为中标的投标人必须具有实施本合同的能力和资源。</w:t>
      </w:r>
    </w:p>
    <w:p w14:paraId="5D608D16">
      <w:pPr>
        <w:spacing w:line="360" w:lineRule="auto"/>
        <w:rPr>
          <w:rFonts w:ascii="宋体" w:hAnsi="宋体" w:cs="宋体"/>
          <w:b/>
          <w:color w:val="auto"/>
          <w:sz w:val="21"/>
          <w:szCs w:val="21"/>
          <w:highlight w:val="none"/>
        </w:rPr>
      </w:pPr>
      <w:bookmarkStart w:id="56" w:name="_Toc492294205"/>
      <w:r>
        <w:rPr>
          <w:rFonts w:hint="eastAsia" w:ascii="宋体" w:hAnsi="宋体" w:cs="宋体"/>
          <w:b/>
          <w:color w:val="auto"/>
          <w:sz w:val="21"/>
          <w:szCs w:val="21"/>
          <w:highlight w:val="none"/>
        </w:rPr>
        <w:t>29.</w:t>
      </w:r>
      <w:bookmarkEnd w:id="56"/>
      <w:r>
        <w:rPr>
          <w:rFonts w:hint="eastAsia" w:ascii="宋体" w:hAnsi="宋体" w:cs="宋体"/>
          <w:b/>
          <w:color w:val="auto"/>
          <w:sz w:val="21"/>
          <w:szCs w:val="21"/>
          <w:highlight w:val="none"/>
        </w:rPr>
        <w:t>中标（未中标）通知书</w:t>
      </w:r>
    </w:p>
    <w:p w14:paraId="453D7259">
      <w:pPr>
        <w:pStyle w:val="308"/>
        <w:spacing w:line="360" w:lineRule="auto"/>
        <w:rPr>
          <w:rFonts w:ascii="宋体" w:hAnsi="宋体" w:cs="宋体"/>
          <w:color w:val="auto"/>
          <w:szCs w:val="21"/>
          <w:highlight w:val="none"/>
        </w:rPr>
      </w:pPr>
      <w:r>
        <w:rPr>
          <w:rFonts w:hint="eastAsia" w:ascii="宋体" w:hAnsi="宋体" w:cs="宋体"/>
          <w:color w:val="auto"/>
          <w:szCs w:val="21"/>
          <w:highlight w:val="none"/>
        </w:rPr>
        <w:t>29.1确定出中标人后，采购代理机构在法定时间内向中标人发出中标通知书。</w:t>
      </w:r>
      <w:r>
        <w:rPr>
          <w:rFonts w:hint="eastAsia" w:ascii="宋体" w:hAnsi="宋体" w:cs="宋体"/>
          <w:b/>
          <w:color w:val="auto"/>
          <w:szCs w:val="21"/>
          <w:highlight w:val="none"/>
        </w:rPr>
        <w:t>请中标人在中标结果公告届满之日起30日内,使用CA证书登录“苏采云”系统及时下载中标通知书。</w:t>
      </w:r>
      <w:r>
        <w:rPr>
          <w:rFonts w:hint="eastAsia" w:ascii="宋体" w:hAnsi="宋体" w:cs="宋体"/>
          <w:color w:val="auto"/>
          <w:szCs w:val="21"/>
          <w:highlight w:val="none"/>
        </w:rPr>
        <w:t>因系统存储空间有限，自中标结果公告届满之日起30日后，“苏采云”系统不再保证提供下载中标通知书服务,因未及时下载而造成的不利后果由中标人自行承担。</w:t>
      </w:r>
    </w:p>
    <w:p w14:paraId="42016F77">
      <w:pPr>
        <w:pStyle w:val="308"/>
        <w:spacing w:line="360" w:lineRule="auto"/>
        <w:rPr>
          <w:rFonts w:ascii="宋体" w:hAnsi="宋体" w:cs="宋体"/>
          <w:color w:val="auto"/>
          <w:szCs w:val="21"/>
          <w:highlight w:val="none"/>
        </w:rPr>
      </w:pPr>
      <w:r>
        <w:rPr>
          <w:rFonts w:hint="eastAsia" w:ascii="宋体" w:hAnsi="宋体" w:cs="宋体"/>
          <w:color w:val="auto"/>
          <w:szCs w:val="21"/>
          <w:highlight w:val="none"/>
        </w:rPr>
        <w:t>29.2</w:t>
      </w:r>
      <w:r>
        <w:rPr>
          <w:rFonts w:hint="eastAsia" w:ascii="宋体" w:hAnsi="宋体" w:cs="宋体"/>
          <w:bCs/>
          <w:color w:val="auto"/>
          <w:szCs w:val="21"/>
          <w:highlight w:val="none"/>
          <w:lang w:val="zh-CN"/>
        </w:rPr>
        <w:t>采购代理机构向未中标人以电子邮件形式发放未中标通知书，电子邮箱以投标人提交的投标函</w:t>
      </w:r>
      <w:r>
        <w:rPr>
          <w:rFonts w:hint="eastAsia" w:ascii="宋体" w:hAnsi="宋体" w:cs="宋体"/>
          <w:bCs/>
          <w:color w:val="auto"/>
          <w:szCs w:val="21"/>
          <w:highlight w:val="none"/>
        </w:rPr>
        <w:t>中登记</w:t>
      </w:r>
      <w:r>
        <w:rPr>
          <w:rFonts w:hint="eastAsia" w:ascii="宋体" w:hAnsi="宋体" w:cs="宋体"/>
          <w:bCs/>
          <w:color w:val="auto"/>
          <w:szCs w:val="21"/>
          <w:highlight w:val="none"/>
          <w:lang w:val="zh-CN"/>
        </w:rPr>
        <w:t>注明的电子邮箱为准，投标人未登记注明电子邮箱的，视为自动放弃获知相关信息权利并承担相应后果。</w:t>
      </w:r>
    </w:p>
    <w:p w14:paraId="0654687B">
      <w:pPr>
        <w:pStyle w:val="308"/>
        <w:spacing w:line="360" w:lineRule="auto"/>
        <w:rPr>
          <w:rFonts w:ascii="宋体" w:hAnsi="宋体" w:cs="宋体"/>
          <w:color w:val="auto"/>
          <w:szCs w:val="21"/>
          <w:highlight w:val="none"/>
        </w:rPr>
      </w:pPr>
      <w:r>
        <w:rPr>
          <w:rFonts w:hint="eastAsia" w:ascii="宋体" w:hAnsi="宋体" w:cs="宋体"/>
          <w:color w:val="auto"/>
          <w:szCs w:val="21"/>
          <w:highlight w:val="none"/>
        </w:rPr>
        <w:t>29.3中标通知书将成为合同的组成部分，对采购人和中标人具有同等法律效力。</w:t>
      </w:r>
    </w:p>
    <w:p w14:paraId="439F63C7">
      <w:pPr>
        <w:pStyle w:val="308"/>
        <w:spacing w:line="360" w:lineRule="auto"/>
        <w:rPr>
          <w:rFonts w:ascii="宋体" w:hAnsi="宋体" w:cs="宋体"/>
          <w:color w:val="auto"/>
          <w:szCs w:val="21"/>
          <w:highlight w:val="none"/>
        </w:rPr>
      </w:pPr>
      <w:r>
        <w:rPr>
          <w:rFonts w:hint="eastAsia" w:ascii="宋体" w:hAnsi="宋体" w:cs="宋体"/>
          <w:color w:val="auto"/>
          <w:szCs w:val="21"/>
          <w:highlight w:val="none"/>
        </w:rPr>
        <w:t>29.4中标通知书发出后，采购人不得违法改变中标结果，中标人无正当理由不得放弃中标</w:t>
      </w:r>
      <w:r>
        <w:rPr>
          <w:rFonts w:hint="eastAsia" w:ascii="宋体" w:hAnsi="宋体" w:cs="宋体"/>
          <w:color w:val="auto"/>
          <w:szCs w:val="21"/>
          <w:highlight w:val="none"/>
          <w:lang w:val="zh-CN"/>
        </w:rPr>
        <w:t>。</w:t>
      </w:r>
    </w:p>
    <w:p w14:paraId="70B0BD4B">
      <w:pPr>
        <w:spacing w:line="360" w:lineRule="auto"/>
        <w:rPr>
          <w:rFonts w:ascii="宋体" w:hAnsi="宋体" w:cs="宋体"/>
          <w:b/>
          <w:color w:val="auto"/>
          <w:sz w:val="21"/>
          <w:szCs w:val="21"/>
          <w:highlight w:val="none"/>
        </w:rPr>
      </w:pPr>
      <w:bookmarkStart w:id="57" w:name="_Toc492294206"/>
      <w:r>
        <w:rPr>
          <w:rFonts w:hint="eastAsia" w:ascii="宋体" w:hAnsi="宋体" w:cs="宋体"/>
          <w:b/>
          <w:color w:val="auto"/>
          <w:sz w:val="21"/>
          <w:szCs w:val="21"/>
          <w:highlight w:val="none"/>
        </w:rPr>
        <w:t>30.</w:t>
      </w:r>
      <w:bookmarkEnd w:id="57"/>
      <w:bookmarkStart w:id="58" w:name="_Toc492294207"/>
      <w:r>
        <w:rPr>
          <w:rFonts w:hint="eastAsia" w:ascii="宋体" w:hAnsi="宋体" w:cs="宋体"/>
          <w:b/>
          <w:color w:val="auto"/>
          <w:sz w:val="21"/>
          <w:szCs w:val="21"/>
          <w:highlight w:val="none"/>
        </w:rPr>
        <w:t>履约保证金</w:t>
      </w:r>
    </w:p>
    <w:p w14:paraId="16F44DEC">
      <w:pPr>
        <w:spacing w:line="360" w:lineRule="auto"/>
        <w:ind w:firstLine="420"/>
        <w:rPr>
          <w:rFonts w:ascii="宋体" w:hAnsi="宋体" w:cs="宋体"/>
          <w:color w:val="auto"/>
          <w:sz w:val="21"/>
          <w:szCs w:val="21"/>
          <w:highlight w:val="none"/>
          <w:lang w:val="zh-CN"/>
        </w:rPr>
      </w:pPr>
      <w:r>
        <w:rPr>
          <w:rFonts w:hint="eastAsia" w:ascii="宋体" w:hAnsi="宋体" w:cs="宋体"/>
          <w:color w:val="auto"/>
          <w:sz w:val="21"/>
          <w:szCs w:val="21"/>
          <w:highlight w:val="none"/>
        </w:rPr>
        <w:t>30.1</w:t>
      </w:r>
      <w:r>
        <w:rPr>
          <w:rFonts w:hint="eastAsia" w:ascii="宋体" w:hAnsi="宋体" w:cs="宋体"/>
          <w:color w:val="auto"/>
          <w:sz w:val="21"/>
          <w:szCs w:val="21"/>
          <w:highlight w:val="none"/>
          <w:lang w:val="zh-CN"/>
        </w:rPr>
        <w:t>本项目不收取履约保证金</w:t>
      </w:r>
      <w:r>
        <w:rPr>
          <w:rFonts w:ascii="宋体" w:hAnsi="宋体" w:cs="宋体"/>
          <w:color w:val="auto"/>
          <w:sz w:val="21"/>
          <w:szCs w:val="21"/>
          <w:highlight w:val="none"/>
          <w:lang w:val="zh-CN"/>
        </w:rPr>
        <w:t>。</w:t>
      </w:r>
    </w:p>
    <w:p w14:paraId="64368BE0">
      <w:pPr>
        <w:spacing w:line="360" w:lineRule="auto"/>
        <w:ind w:firstLine="420"/>
        <w:rPr>
          <w:rFonts w:ascii="宋体" w:hAnsi="宋体" w:cs="宋体"/>
          <w:b/>
          <w:color w:val="auto"/>
          <w:sz w:val="21"/>
          <w:szCs w:val="21"/>
          <w:highlight w:val="none"/>
        </w:rPr>
      </w:pPr>
      <w:r>
        <w:rPr>
          <w:rFonts w:hint="eastAsia" w:ascii="宋体" w:hAnsi="宋体" w:cs="宋体"/>
          <w:color w:val="auto"/>
          <w:sz w:val="21"/>
          <w:szCs w:val="21"/>
          <w:highlight w:val="none"/>
        </w:rPr>
        <w:t>30.2根据《关于在全省政府采购领域推行电子履约保函（保险）的通知（苏财购【2023】150号）》规定，中标人可以自愿选择，使用以电子履约保函（保险）形式代替提供履约保证金。投标人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p>
    <w:p w14:paraId="325A650F">
      <w:pPr>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31</w:t>
      </w:r>
      <w:r>
        <w:rPr>
          <w:rFonts w:ascii="宋体" w:hAnsi="宋体" w:cs="宋体"/>
          <w:b/>
          <w:color w:val="auto"/>
          <w:sz w:val="21"/>
          <w:szCs w:val="21"/>
          <w:highlight w:val="none"/>
        </w:rPr>
        <w:t>.</w:t>
      </w:r>
      <w:r>
        <w:rPr>
          <w:rFonts w:hint="eastAsia" w:ascii="宋体" w:hAnsi="宋体" w:cs="宋体"/>
          <w:b/>
          <w:color w:val="auto"/>
          <w:sz w:val="21"/>
          <w:szCs w:val="21"/>
          <w:highlight w:val="none"/>
        </w:rPr>
        <w:t>合同的签订及履行</w:t>
      </w:r>
    </w:p>
    <w:p w14:paraId="3262BE17">
      <w:pPr>
        <w:spacing w:line="360" w:lineRule="auto"/>
        <w:ind w:firstLine="420"/>
        <w:rPr>
          <w:rFonts w:ascii="宋体" w:hAnsi="宋体" w:cs="宋体"/>
          <w:color w:val="auto"/>
          <w:sz w:val="21"/>
          <w:szCs w:val="21"/>
          <w:highlight w:val="none"/>
        </w:rPr>
      </w:pPr>
      <w:r>
        <w:rPr>
          <w:rFonts w:ascii="宋体" w:hAnsi="宋体" w:cs="宋体"/>
          <w:color w:val="auto"/>
          <w:sz w:val="21"/>
          <w:szCs w:val="21"/>
          <w:highlight w:val="none"/>
        </w:rPr>
        <w:t>3</w:t>
      </w:r>
      <w:r>
        <w:rPr>
          <w:rFonts w:hint="eastAsia" w:ascii="宋体" w:hAnsi="宋体" w:cs="宋体"/>
          <w:color w:val="auto"/>
          <w:sz w:val="21"/>
          <w:szCs w:val="21"/>
          <w:highlight w:val="none"/>
        </w:rPr>
        <w:t>1.1中标人应按中标通知书中规定的时间和地点与采购人签订合同。</w:t>
      </w:r>
    </w:p>
    <w:p w14:paraId="26775572">
      <w:pPr>
        <w:spacing w:line="360" w:lineRule="auto"/>
        <w:ind w:firstLine="420"/>
        <w:rPr>
          <w:rFonts w:ascii="宋体" w:hAnsi="宋体" w:cs="宋体"/>
          <w:color w:val="auto"/>
          <w:sz w:val="21"/>
          <w:szCs w:val="21"/>
          <w:highlight w:val="none"/>
        </w:rPr>
      </w:pPr>
      <w:r>
        <w:rPr>
          <w:rFonts w:ascii="宋体" w:hAnsi="宋体" w:cs="宋体"/>
          <w:color w:val="auto"/>
          <w:sz w:val="21"/>
          <w:szCs w:val="21"/>
          <w:highlight w:val="none"/>
        </w:rPr>
        <w:t>3</w:t>
      </w:r>
      <w:r>
        <w:rPr>
          <w:rFonts w:hint="eastAsia" w:ascii="宋体" w:hAnsi="宋体" w:cs="宋体"/>
          <w:color w:val="auto"/>
          <w:sz w:val="21"/>
          <w:szCs w:val="21"/>
          <w:highlight w:val="none"/>
        </w:rPr>
        <w:t>1.2采购人与中标人应当在中标通知书发出之日起三十日内，按照招标文件及投标文件确定的事项签订政府采购合同。</w:t>
      </w:r>
    </w:p>
    <w:p w14:paraId="6B53A8BC">
      <w:pPr>
        <w:spacing w:line="360" w:lineRule="auto"/>
        <w:ind w:firstLine="420"/>
        <w:rPr>
          <w:rFonts w:ascii="宋体" w:hAnsi="宋体" w:cs="宋体"/>
          <w:color w:val="auto"/>
          <w:sz w:val="21"/>
          <w:szCs w:val="21"/>
          <w:highlight w:val="none"/>
        </w:rPr>
      </w:pPr>
      <w:r>
        <w:rPr>
          <w:rFonts w:ascii="宋体" w:hAnsi="宋体" w:cs="宋体"/>
          <w:color w:val="auto"/>
          <w:sz w:val="21"/>
          <w:szCs w:val="21"/>
          <w:highlight w:val="none"/>
        </w:rPr>
        <w:t>3</w:t>
      </w:r>
      <w:r>
        <w:rPr>
          <w:rFonts w:hint="eastAsia" w:ascii="宋体" w:hAnsi="宋体" w:cs="宋体"/>
          <w:color w:val="auto"/>
          <w:sz w:val="21"/>
          <w:szCs w:val="21"/>
          <w:highlight w:val="none"/>
        </w:rPr>
        <w:t>1.3签订合同及合同条款应以招标文件和中标人的投标文件及其澄清文件为依据。</w:t>
      </w:r>
      <w:bookmarkEnd w:id="58"/>
      <w:bookmarkStart w:id="59" w:name="_Toc492294208"/>
    </w:p>
    <w:p w14:paraId="0C38EB2E">
      <w:pPr>
        <w:pStyle w:val="289"/>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lang w:val="en-US"/>
        </w:rPr>
        <w:t>31.4政府采购合同履行中，采购人需追加与合同标的相同的货物、工程或者服务的，在不改变合同其他条款的前提下，可以与投标人协商签订补充合同，但所有补充合同的采购金额不得超过原合同采购金额的百分之十</w:t>
      </w:r>
      <w:r>
        <w:rPr>
          <w:rFonts w:hint="eastAsia" w:ascii="宋体" w:hAnsi="宋体" w:cs="宋体"/>
          <w:color w:val="auto"/>
          <w:sz w:val="21"/>
          <w:szCs w:val="21"/>
          <w:highlight w:val="none"/>
        </w:rPr>
        <w:t>。</w:t>
      </w:r>
    </w:p>
    <w:p w14:paraId="48E19A44">
      <w:pPr>
        <w:pStyle w:val="289"/>
        <w:spacing w:line="360" w:lineRule="auto"/>
        <w:ind w:firstLine="420"/>
        <w:rPr>
          <w:rFonts w:ascii="宋体" w:hAnsi="宋体" w:cs="宋体"/>
          <w:b/>
          <w:bCs/>
          <w:color w:val="auto"/>
          <w:sz w:val="21"/>
          <w:szCs w:val="21"/>
          <w:highlight w:val="none"/>
          <w:lang w:val="en-US"/>
        </w:rPr>
      </w:pPr>
      <w:r>
        <w:rPr>
          <w:rFonts w:hint="eastAsia" w:ascii="宋体" w:hAnsi="宋体" w:cs="宋体"/>
          <w:b/>
          <w:bCs/>
          <w:color w:val="auto"/>
          <w:sz w:val="21"/>
          <w:szCs w:val="21"/>
          <w:highlight w:val="none"/>
          <w:lang w:val="en-US"/>
        </w:rPr>
        <w:t>31.5本项目将根据政府采购法及相关法规，《江苏省政府采购履约验收管理办法》等文件的规定，对中标人进行履约验收，确认验收合格的，将出具《政府采购履约验收书》。《政府采购履约验收书》、合同是申请支付政府采购合同价款的必备资料。</w:t>
      </w:r>
    </w:p>
    <w:p w14:paraId="1EA6B8E9">
      <w:pPr>
        <w:spacing w:line="360" w:lineRule="auto"/>
        <w:rPr>
          <w:rFonts w:ascii="宋体" w:hAnsi="宋体" w:cs="宋体"/>
          <w:color w:val="auto"/>
          <w:sz w:val="21"/>
          <w:szCs w:val="21"/>
          <w:highlight w:val="none"/>
        </w:rPr>
      </w:pPr>
      <w:r>
        <w:rPr>
          <w:rFonts w:hint="eastAsia" w:ascii="宋体" w:hAnsi="宋体" w:cs="宋体"/>
          <w:b/>
          <w:color w:val="auto"/>
          <w:sz w:val="21"/>
          <w:szCs w:val="21"/>
          <w:highlight w:val="none"/>
        </w:rPr>
        <w:t>七、质疑</w:t>
      </w:r>
    </w:p>
    <w:p w14:paraId="2C35DDFA">
      <w:pPr>
        <w:spacing w:line="360" w:lineRule="auto"/>
        <w:ind w:firstLine="420"/>
        <w:jc w:val="both"/>
        <w:rPr>
          <w:rFonts w:ascii="宋体" w:hAnsi="宋体" w:cs="宋体"/>
          <w:color w:val="auto"/>
          <w:sz w:val="21"/>
          <w:szCs w:val="21"/>
          <w:highlight w:val="none"/>
        </w:rPr>
      </w:pPr>
      <w:r>
        <w:rPr>
          <w:rFonts w:hint="eastAsia" w:ascii="宋体" w:hAnsi="宋体" w:cs="宋体"/>
          <w:color w:val="auto"/>
          <w:sz w:val="21"/>
          <w:szCs w:val="21"/>
          <w:highlight w:val="none"/>
        </w:rPr>
        <w:t>质疑的提出和答复、投诉的提起和处理须按</w:t>
      </w:r>
      <w:bookmarkStart w:id="60" w:name="_Hlk100855140"/>
      <w:r>
        <w:rPr>
          <w:rFonts w:hint="eastAsia" w:ascii="宋体" w:hAnsi="宋体" w:cs="宋体"/>
          <w:color w:val="auto"/>
          <w:sz w:val="21"/>
          <w:szCs w:val="21"/>
          <w:highlight w:val="none"/>
        </w:rPr>
        <w:t>《政府采购质疑和投诉办法》</w:t>
      </w:r>
      <w:bookmarkEnd w:id="60"/>
      <w:r>
        <w:rPr>
          <w:rFonts w:hint="eastAsia" w:ascii="宋体" w:hAnsi="宋体" w:cs="宋体"/>
          <w:color w:val="auto"/>
          <w:sz w:val="21"/>
          <w:szCs w:val="21"/>
          <w:highlight w:val="none"/>
        </w:rPr>
        <w:t>（中华人民共和国财政部令第94号）相关规定执行。</w:t>
      </w:r>
    </w:p>
    <w:p w14:paraId="1827F440">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32.质疑的提出</w:t>
      </w:r>
    </w:p>
    <w:p w14:paraId="2EEFAD29">
      <w:pPr>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32.1根据《政府采购质疑和投诉办法》（中华人民共和国财政部令第94号）的规定，</w:t>
      </w:r>
      <w:r>
        <w:rPr>
          <w:rFonts w:hint="eastAsia" w:ascii="宋体" w:hAnsi="宋体" w:cs="宋体"/>
          <w:color w:val="auto"/>
          <w:sz w:val="21"/>
          <w:szCs w:val="21"/>
          <w:highlight w:val="none"/>
          <w:lang w:eastAsia="zh-CN"/>
        </w:rPr>
        <w:t>投标人</w:t>
      </w:r>
      <w:r>
        <w:rPr>
          <w:rFonts w:hint="eastAsia" w:ascii="宋体" w:hAnsi="宋体" w:cs="宋体"/>
          <w:color w:val="auto"/>
          <w:sz w:val="21"/>
          <w:szCs w:val="21"/>
          <w:highlight w:val="none"/>
        </w:rPr>
        <w:t>认为招标文件、采购过程、中标结果使自己的权益受到损害的，可以在知道或者应知其权益受到损害之日起7个工作日内，以书面形式向采购人、采购代理机构提出质疑。</w:t>
      </w:r>
    </w:p>
    <w:p w14:paraId="173744ED">
      <w:pPr>
        <w:pStyle w:val="71"/>
        <w:ind w:firstLine="420"/>
        <w:rPr>
          <w:rFonts w:hAnsi="宋体" w:cs="宋体"/>
          <w:color w:val="auto"/>
          <w:sz w:val="21"/>
          <w:szCs w:val="21"/>
          <w:highlight w:val="none"/>
        </w:rPr>
      </w:pPr>
      <w:r>
        <w:rPr>
          <w:rFonts w:hint="eastAsia" w:hAnsi="宋体" w:cs="宋体"/>
          <w:color w:val="auto"/>
          <w:sz w:val="21"/>
          <w:szCs w:val="21"/>
          <w:highlight w:val="none"/>
        </w:rPr>
        <w:t>32.2提出质疑的</w:t>
      </w:r>
      <w:r>
        <w:rPr>
          <w:rFonts w:hint="eastAsia" w:hAnsi="宋体" w:cs="宋体"/>
          <w:color w:val="auto"/>
          <w:sz w:val="21"/>
          <w:szCs w:val="21"/>
          <w:highlight w:val="none"/>
          <w:lang w:eastAsia="zh-CN"/>
        </w:rPr>
        <w:t>投标人</w:t>
      </w:r>
      <w:r>
        <w:rPr>
          <w:rFonts w:hint="eastAsia" w:hAnsi="宋体" w:cs="宋体"/>
          <w:color w:val="auto"/>
          <w:sz w:val="21"/>
          <w:szCs w:val="21"/>
          <w:highlight w:val="none"/>
        </w:rPr>
        <w:t>应当是参与所质疑项目采购活动的</w:t>
      </w:r>
      <w:r>
        <w:rPr>
          <w:rFonts w:hint="eastAsia" w:hAnsi="宋体" w:cs="宋体"/>
          <w:color w:val="auto"/>
          <w:sz w:val="21"/>
          <w:szCs w:val="21"/>
          <w:highlight w:val="none"/>
          <w:lang w:eastAsia="zh-CN"/>
        </w:rPr>
        <w:t>投标人</w:t>
      </w:r>
      <w:r>
        <w:rPr>
          <w:rFonts w:hint="eastAsia" w:hAnsi="宋体" w:cs="宋体"/>
          <w:color w:val="auto"/>
          <w:sz w:val="21"/>
          <w:szCs w:val="21"/>
          <w:highlight w:val="none"/>
        </w:rPr>
        <w:t>。</w:t>
      </w:r>
      <w:r>
        <w:rPr>
          <w:rFonts w:hint="eastAsia" w:hAnsi="宋体" w:cs="宋体"/>
          <w:color w:val="auto"/>
          <w:sz w:val="21"/>
          <w:szCs w:val="21"/>
          <w:highlight w:val="none"/>
          <w:lang w:eastAsia="zh-CN"/>
        </w:rPr>
        <w:t>投标人</w:t>
      </w:r>
      <w:r>
        <w:rPr>
          <w:rFonts w:hint="eastAsia" w:hAnsi="宋体" w:cs="宋体"/>
          <w:color w:val="auto"/>
          <w:sz w:val="21"/>
          <w:szCs w:val="21"/>
          <w:highlight w:val="none"/>
        </w:rPr>
        <w:t>必须在法定质疑期内一次性提出针对同一采购程序环节的质疑，两次或多次对同一采购程序环节提出的质疑将拒收。</w:t>
      </w:r>
    </w:p>
    <w:p w14:paraId="31A77A03">
      <w:pPr>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32.3潜在</w:t>
      </w:r>
      <w:r>
        <w:rPr>
          <w:rFonts w:hint="eastAsia" w:ascii="宋体" w:hAnsi="宋体" w:cs="宋体"/>
          <w:color w:val="auto"/>
          <w:sz w:val="21"/>
          <w:szCs w:val="21"/>
          <w:highlight w:val="none"/>
          <w:lang w:eastAsia="zh-CN"/>
        </w:rPr>
        <w:t>投标人</w:t>
      </w:r>
      <w:r>
        <w:rPr>
          <w:rFonts w:hint="eastAsia" w:ascii="宋体" w:hAnsi="宋体" w:cs="宋体"/>
          <w:color w:val="auto"/>
          <w:sz w:val="21"/>
          <w:szCs w:val="21"/>
          <w:highlight w:val="none"/>
        </w:rPr>
        <w:t>已依法获取其可质疑的招标文件的，可以对该文件提出质疑（未按本项目招标公告规定获取招标文件的</w:t>
      </w:r>
      <w:r>
        <w:rPr>
          <w:rFonts w:hint="eastAsia" w:ascii="宋体" w:hAnsi="宋体" w:cs="宋体"/>
          <w:color w:val="auto"/>
          <w:sz w:val="21"/>
          <w:szCs w:val="21"/>
          <w:highlight w:val="none"/>
          <w:lang w:eastAsia="zh-CN"/>
        </w:rPr>
        <w:t>投标人</w:t>
      </w:r>
      <w:r>
        <w:rPr>
          <w:rFonts w:hint="eastAsia" w:ascii="宋体" w:hAnsi="宋体" w:cs="宋体"/>
          <w:color w:val="auto"/>
          <w:sz w:val="21"/>
          <w:szCs w:val="21"/>
          <w:highlight w:val="none"/>
        </w:rPr>
        <w:t>提出的质疑将不予受理）。对招标文件提出质疑的，应当在获取招标文件或者招标文件公告期限届满之日起7个工作日内提出。</w:t>
      </w:r>
    </w:p>
    <w:p w14:paraId="35222E1B">
      <w:pPr>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32.4</w:t>
      </w:r>
      <w:r>
        <w:rPr>
          <w:rFonts w:hint="eastAsia" w:ascii="宋体" w:hAnsi="宋体" w:cs="宋体"/>
          <w:color w:val="auto"/>
          <w:sz w:val="21"/>
          <w:szCs w:val="21"/>
          <w:highlight w:val="none"/>
          <w:lang w:eastAsia="zh-CN"/>
        </w:rPr>
        <w:t>投标人</w:t>
      </w:r>
      <w:r>
        <w:rPr>
          <w:rFonts w:hint="eastAsia" w:ascii="宋体" w:hAnsi="宋体" w:cs="宋体"/>
          <w:color w:val="auto"/>
          <w:sz w:val="21"/>
          <w:szCs w:val="21"/>
          <w:highlight w:val="none"/>
        </w:rPr>
        <w:t>提出质疑应当提交质疑函、</w:t>
      </w:r>
      <w:r>
        <w:rPr>
          <w:rFonts w:hint="eastAsia" w:ascii="宋体" w:hAnsi="宋体" w:cs="宋体"/>
          <w:color w:val="auto"/>
          <w:sz w:val="21"/>
          <w:szCs w:val="21"/>
          <w:highlight w:val="none"/>
          <w:lang w:eastAsia="zh-CN"/>
        </w:rPr>
        <w:t>投标人</w:t>
      </w:r>
      <w:r>
        <w:rPr>
          <w:rFonts w:hint="eastAsia" w:ascii="宋体" w:hAnsi="宋体" w:cs="宋体"/>
          <w:color w:val="auto"/>
          <w:sz w:val="21"/>
          <w:szCs w:val="21"/>
          <w:highlight w:val="none"/>
        </w:rPr>
        <w:t>参加投标确认函和必要的证明材料。质疑函应当包括下列内容：</w:t>
      </w:r>
    </w:p>
    <w:p w14:paraId="63F3E3E2">
      <w:pPr>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（1）</w:t>
      </w:r>
      <w:r>
        <w:rPr>
          <w:rFonts w:hint="eastAsia" w:ascii="宋体" w:hAnsi="宋体" w:cs="宋体"/>
          <w:color w:val="auto"/>
          <w:sz w:val="21"/>
          <w:szCs w:val="21"/>
          <w:highlight w:val="none"/>
          <w:lang w:eastAsia="zh-CN"/>
        </w:rPr>
        <w:t>投标人</w:t>
      </w:r>
      <w:r>
        <w:rPr>
          <w:rFonts w:hint="eastAsia" w:ascii="宋体" w:hAnsi="宋体" w:cs="宋体"/>
          <w:color w:val="auto"/>
          <w:sz w:val="21"/>
          <w:szCs w:val="21"/>
          <w:highlight w:val="none"/>
        </w:rPr>
        <w:t>的姓名或者名称、地址、邮编、联系人及联系电话；</w:t>
      </w:r>
    </w:p>
    <w:p w14:paraId="6F536D00">
      <w:pPr>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（2）质疑项目的名称、编号；</w:t>
      </w:r>
    </w:p>
    <w:p w14:paraId="4F0BE970">
      <w:pPr>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（3）具体、明确的质疑事项和与质疑事项相关的请求；</w:t>
      </w:r>
    </w:p>
    <w:p w14:paraId="00952657">
      <w:pPr>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（4）事实依据；</w:t>
      </w:r>
    </w:p>
    <w:p w14:paraId="5DEE4123">
      <w:pPr>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（5）必要的法律依据；</w:t>
      </w:r>
    </w:p>
    <w:p w14:paraId="101DEA47">
      <w:pPr>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（6）提出质疑的日期。</w:t>
      </w:r>
    </w:p>
    <w:p w14:paraId="20C14A8F">
      <w:pPr>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32.5</w:t>
      </w:r>
      <w:r>
        <w:rPr>
          <w:rFonts w:hint="eastAsia" w:ascii="宋体" w:hAnsi="宋体" w:cs="宋体"/>
          <w:color w:val="auto"/>
          <w:sz w:val="21"/>
          <w:szCs w:val="21"/>
          <w:highlight w:val="none"/>
          <w:lang w:eastAsia="zh-CN"/>
        </w:rPr>
        <w:t>投标人</w:t>
      </w:r>
      <w:r>
        <w:rPr>
          <w:rFonts w:hint="eastAsia" w:ascii="宋体" w:hAnsi="宋体" w:cs="宋体"/>
          <w:color w:val="auto"/>
          <w:sz w:val="21"/>
          <w:szCs w:val="21"/>
          <w:highlight w:val="none"/>
        </w:rPr>
        <w:t>为自然人的，质疑函应当由本人签字；</w:t>
      </w:r>
      <w:r>
        <w:rPr>
          <w:rFonts w:hint="eastAsia" w:ascii="宋体" w:hAnsi="宋体" w:cs="宋体"/>
          <w:color w:val="auto"/>
          <w:sz w:val="21"/>
          <w:szCs w:val="21"/>
          <w:highlight w:val="none"/>
          <w:lang w:eastAsia="zh-CN"/>
        </w:rPr>
        <w:t>投标人</w:t>
      </w:r>
      <w:r>
        <w:rPr>
          <w:rFonts w:hint="eastAsia" w:ascii="宋体" w:hAnsi="宋体" w:cs="宋体"/>
          <w:color w:val="auto"/>
          <w:sz w:val="21"/>
          <w:szCs w:val="21"/>
          <w:highlight w:val="none"/>
        </w:rPr>
        <w:t>为法人或者其他组织的，应当由法定代表人、主要负责人，或者其授权代表签字或者盖章，并加盖公章。以联合体形式参加政府采购活动的，其质疑应当由组成联合体的所有</w:t>
      </w:r>
      <w:r>
        <w:rPr>
          <w:rFonts w:hint="eastAsia" w:ascii="宋体" w:hAnsi="宋体" w:cs="宋体"/>
          <w:color w:val="auto"/>
          <w:sz w:val="21"/>
          <w:szCs w:val="21"/>
          <w:highlight w:val="none"/>
          <w:lang w:eastAsia="zh-CN"/>
        </w:rPr>
        <w:t>投标人</w:t>
      </w:r>
      <w:r>
        <w:rPr>
          <w:rFonts w:hint="eastAsia" w:ascii="宋体" w:hAnsi="宋体" w:cs="宋体"/>
          <w:color w:val="auto"/>
          <w:sz w:val="21"/>
          <w:szCs w:val="21"/>
          <w:highlight w:val="none"/>
        </w:rPr>
        <w:t>共同提出。质疑函须提供原件。</w:t>
      </w:r>
    </w:p>
    <w:p w14:paraId="63B316E4">
      <w:pPr>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32.6</w:t>
      </w:r>
      <w:r>
        <w:rPr>
          <w:rFonts w:hint="eastAsia" w:ascii="宋体" w:hAnsi="宋体" w:cs="宋体"/>
          <w:color w:val="auto"/>
          <w:sz w:val="21"/>
          <w:szCs w:val="21"/>
          <w:highlight w:val="none"/>
          <w:lang w:eastAsia="zh-CN"/>
        </w:rPr>
        <w:t>投标人</w:t>
      </w:r>
      <w:r>
        <w:rPr>
          <w:rFonts w:hint="eastAsia" w:ascii="宋体" w:hAnsi="宋体" w:cs="宋体"/>
          <w:color w:val="auto"/>
          <w:sz w:val="21"/>
          <w:szCs w:val="21"/>
          <w:highlight w:val="none"/>
        </w:rPr>
        <w:t>可以委托代理人进行质疑。其授权委托书应当载明代理人的姓名或者名称、代理事项、具体权限、期限和相关事项。</w:t>
      </w:r>
      <w:r>
        <w:rPr>
          <w:rFonts w:hint="eastAsia" w:ascii="宋体" w:hAnsi="宋体" w:cs="宋体"/>
          <w:color w:val="auto"/>
          <w:sz w:val="21"/>
          <w:szCs w:val="21"/>
          <w:highlight w:val="none"/>
          <w:lang w:eastAsia="zh-CN"/>
        </w:rPr>
        <w:t>投标人</w:t>
      </w:r>
      <w:r>
        <w:rPr>
          <w:rFonts w:hint="eastAsia" w:ascii="宋体" w:hAnsi="宋体" w:cs="宋体"/>
          <w:color w:val="auto"/>
          <w:sz w:val="21"/>
          <w:szCs w:val="21"/>
          <w:highlight w:val="none"/>
        </w:rPr>
        <w:t>为自然人的，授权委托书应当由本人签字，同时提供自然人及代理人身份证扫描件；</w:t>
      </w:r>
      <w:r>
        <w:rPr>
          <w:rFonts w:hint="eastAsia" w:ascii="宋体" w:hAnsi="宋体" w:cs="宋体"/>
          <w:color w:val="auto"/>
          <w:sz w:val="21"/>
          <w:szCs w:val="21"/>
          <w:highlight w:val="none"/>
          <w:lang w:eastAsia="zh-CN"/>
        </w:rPr>
        <w:t>投标人</w:t>
      </w:r>
      <w:r>
        <w:rPr>
          <w:rFonts w:hint="eastAsia" w:ascii="宋体" w:hAnsi="宋体" w:cs="宋体"/>
          <w:color w:val="auto"/>
          <w:sz w:val="21"/>
          <w:szCs w:val="21"/>
          <w:highlight w:val="none"/>
        </w:rPr>
        <w:t>为法人或者其他组织的，授权委托书应当由法定代表人、主要负责人签字或者盖章，并加盖公章，同时提供法定代表人、主要负责人及代理人身份证扫描件。</w:t>
      </w:r>
    </w:p>
    <w:p w14:paraId="4B2B94D0">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33.质疑的受理与答复</w:t>
      </w:r>
    </w:p>
    <w:p w14:paraId="1032CA9E">
      <w:pPr>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33.1采购人负责</w:t>
      </w:r>
      <w:r>
        <w:rPr>
          <w:rFonts w:hint="eastAsia" w:ascii="宋体" w:hAnsi="宋体" w:cs="宋体"/>
          <w:color w:val="auto"/>
          <w:sz w:val="21"/>
          <w:szCs w:val="21"/>
          <w:highlight w:val="none"/>
          <w:lang w:eastAsia="zh-CN"/>
        </w:rPr>
        <w:t>投标人</w:t>
      </w:r>
      <w:r>
        <w:rPr>
          <w:rFonts w:hint="eastAsia" w:ascii="宋体" w:hAnsi="宋体" w:cs="宋体"/>
          <w:color w:val="auto"/>
          <w:sz w:val="21"/>
          <w:szCs w:val="21"/>
          <w:highlight w:val="none"/>
        </w:rPr>
        <w:t>质疑答复。采购人委托采购代理机构采购的，采购代理机构在委托授权范围内作出答复。</w:t>
      </w:r>
    </w:p>
    <w:p w14:paraId="2DDB15C7">
      <w:pPr>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33.2接收质疑函的方式及联系方式：</w:t>
      </w:r>
    </w:p>
    <w:p w14:paraId="52FB08DE">
      <w:pPr>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接收质疑函的方式为当场送达或邮寄。</w:t>
      </w:r>
    </w:p>
    <w:p w14:paraId="39DFBD8C">
      <w:pPr>
        <w:spacing w:line="360" w:lineRule="auto"/>
        <w:ind w:firstLine="42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质疑联系人：张方华</w:t>
      </w:r>
      <w:r>
        <w:rPr>
          <w:rFonts w:hint="eastAsia" w:ascii="宋体" w:hAnsi="宋体" w:eastAsia="宋体" w:cs="宋体"/>
          <w:color w:val="auto"/>
          <w:sz w:val="21"/>
          <w:szCs w:val="21"/>
          <w:highlight w:val="none"/>
          <w:lang w:val="en-US" w:eastAsia="zh-CN"/>
        </w:rPr>
        <w:t xml:space="preserve"> </w:t>
      </w:r>
    </w:p>
    <w:p w14:paraId="095DB680">
      <w:pPr>
        <w:spacing w:line="360" w:lineRule="auto"/>
        <w:ind w:firstLine="42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联系电话：</w:t>
      </w:r>
      <w:r>
        <w:rPr>
          <w:rFonts w:hint="eastAsia" w:ascii="宋体" w:hAnsi="宋体" w:cs="宋体"/>
          <w:color w:val="auto"/>
          <w:sz w:val="21"/>
          <w:szCs w:val="21"/>
          <w:highlight w:val="none"/>
          <w:lang w:eastAsia="zh-CN"/>
        </w:rPr>
        <w:t>0512-67281690</w:t>
      </w:r>
    </w:p>
    <w:p w14:paraId="4DAD45D5">
      <w:pPr>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通讯地址：</w:t>
      </w:r>
      <w:r>
        <w:rPr>
          <w:rFonts w:hint="eastAsia" w:ascii="宋体" w:hAnsi="宋体" w:cs="宋体"/>
          <w:color w:val="auto"/>
          <w:sz w:val="21"/>
          <w:szCs w:val="21"/>
          <w:highlight w:val="none"/>
          <w:lang w:eastAsia="zh-CN"/>
        </w:rPr>
        <w:t>苏州市相城区高铁新城南天成路99号启迪大厦23-2311</w:t>
      </w:r>
      <w:r>
        <w:rPr>
          <w:rFonts w:hint="eastAsia" w:ascii="宋体" w:hAnsi="宋体" w:cs="宋体"/>
          <w:color w:val="auto"/>
          <w:sz w:val="21"/>
          <w:szCs w:val="21"/>
          <w:highlight w:val="none"/>
        </w:rPr>
        <w:t>。</w:t>
      </w:r>
    </w:p>
    <w:p w14:paraId="0FAB8041">
      <w:pPr>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33.3采购人、采购代理机构应当在收到质疑函后7个工作日内作出答复，并以书面形式通知质疑</w:t>
      </w:r>
      <w:r>
        <w:rPr>
          <w:rFonts w:hint="eastAsia" w:ascii="宋体" w:hAnsi="宋体" w:cs="宋体"/>
          <w:color w:val="auto"/>
          <w:sz w:val="21"/>
          <w:szCs w:val="21"/>
          <w:highlight w:val="none"/>
          <w:lang w:eastAsia="zh-CN"/>
        </w:rPr>
        <w:t>投标人</w:t>
      </w:r>
      <w:r>
        <w:rPr>
          <w:rFonts w:hint="eastAsia" w:ascii="宋体" w:hAnsi="宋体" w:cs="宋体"/>
          <w:color w:val="auto"/>
          <w:sz w:val="21"/>
          <w:szCs w:val="21"/>
          <w:highlight w:val="none"/>
        </w:rPr>
        <w:t>和其他有关</w:t>
      </w:r>
      <w:r>
        <w:rPr>
          <w:rFonts w:hint="eastAsia" w:ascii="宋体" w:hAnsi="宋体" w:cs="宋体"/>
          <w:color w:val="auto"/>
          <w:sz w:val="21"/>
          <w:szCs w:val="21"/>
          <w:highlight w:val="none"/>
          <w:lang w:eastAsia="zh-CN"/>
        </w:rPr>
        <w:t>投标人</w:t>
      </w:r>
      <w:r>
        <w:rPr>
          <w:rFonts w:hint="eastAsia" w:ascii="宋体" w:hAnsi="宋体" w:cs="宋体"/>
          <w:color w:val="auto"/>
          <w:sz w:val="21"/>
          <w:szCs w:val="21"/>
          <w:highlight w:val="none"/>
        </w:rPr>
        <w:t>。</w:t>
      </w:r>
    </w:p>
    <w:p w14:paraId="5303E7B6">
      <w:pPr>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33.4采购人、采购代理机构处理质疑的其他要求按《政府采购质疑和投诉办法》（中华人民共和国财政部令第94号）相关规定执行。</w:t>
      </w:r>
    </w:p>
    <w:p w14:paraId="17CD03BB">
      <w:pPr>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八、政府采购相关政策</w:t>
      </w:r>
    </w:p>
    <w:p w14:paraId="4752EE6F">
      <w:pPr>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34.节能产品和环境标志产品</w:t>
      </w:r>
    </w:p>
    <w:p w14:paraId="692724E5">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cs="宋体"/>
          <w:bCs/>
          <w:color w:val="auto"/>
          <w:sz w:val="21"/>
          <w:szCs w:val="21"/>
          <w:highlight w:val="none"/>
        </w:rPr>
        <w:t>34.1根</w:t>
      </w:r>
      <w:r>
        <w:rPr>
          <w:rFonts w:hint="eastAsia" w:ascii="宋体" w:hAnsi="宋体" w:cs="宋体"/>
          <w:color w:val="auto"/>
          <w:sz w:val="21"/>
          <w:szCs w:val="21"/>
          <w:highlight w:val="none"/>
        </w:rPr>
        <w:t>据《关于调整优化节能产品、环境标志产品政府采购执行机制的通知》（财库〔2019〕9号）、《关于贯彻执行绿色采购、促进残疾人就业和支持监狱企业发展有关政策的通知》（苏财购〔2019〕10号）等有关文件规定，</w:t>
      </w:r>
      <w:r>
        <w:rPr>
          <w:rFonts w:hint="eastAsia" w:ascii="宋体" w:hAnsi="宋体" w:cs="宋体"/>
          <w:b/>
          <w:bCs/>
          <w:color w:val="auto"/>
          <w:sz w:val="21"/>
          <w:szCs w:val="21"/>
          <w:highlight w:val="none"/>
        </w:rPr>
        <w:t>货物类采购清单里的标的物如属于国家节能或环保品目清单的强制采购产品的，投标人应当选择强制采购产品，并提供由国家确定的认证机构出具的、处于</w:t>
      </w:r>
      <w:r>
        <w:rPr>
          <w:rFonts w:hint="eastAsia" w:ascii="宋体" w:hAnsi="宋体" w:eastAsia="宋体" w:cs="宋体"/>
          <w:color w:val="auto"/>
          <w:sz w:val="21"/>
          <w:szCs w:val="21"/>
          <w:highlight w:val="none"/>
        </w:rPr>
        <w:t>有效期之内的节能产品或环境标志产品认证证书，否则视为未实质响应。</w:t>
      </w:r>
    </w:p>
    <w:p w14:paraId="27C9AC57">
      <w:pPr>
        <w:spacing w:line="360" w:lineRule="auto"/>
        <w:ind w:firstLine="422"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注：本项目为服务类采购，不涉及节能产品和环境标志产品。</w:t>
      </w:r>
    </w:p>
    <w:p w14:paraId="4F1F6353">
      <w:pPr>
        <w:pBdr>
          <w:top w:val="none" w:color="000000" w:sz="0" w:space="0"/>
          <w:left w:val="none" w:color="000000" w:sz="0" w:space="0"/>
          <w:bottom w:val="none" w:color="000000" w:sz="0" w:space="0"/>
          <w:right w:val="none" w:color="000000" w:sz="0" w:space="0"/>
        </w:pBdr>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35.绿色采购</w:t>
      </w:r>
    </w:p>
    <w:p w14:paraId="15B7B00A">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auto"/>
          <w:sz w:val="21"/>
          <w:szCs w:val="21"/>
          <w:highlight w:val="none"/>
        </w:rPr>
      </w:pPr>
      <w:r>
        <w:rPr>
          <w:rFonts w:hint="eastAsia" w:ascii="宋体" w:hAnsi="宋体" w:cs="宋体"/>
          <w:color w:val="auto"/>
          <w:sz w:val="21"/>
          <w:szCs w:val="21"/>
          <w:highlight w:val="none"/>
        </w:rPr>
        <w:t>35.1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投标人应提供符合标准要求的设备或服务。</w:t>
      </w:r>
    </w:p>
    <w:p w14:paraId="116E57A8">
      <w:pPr>
        <w:pBdr>
          <w:top w:val="none" w:color="000000" w:sz="0" w:space="0"/>
          <w:left w:val="none" w:color="000000" w:sz="0" w:space="0"/>
          <w:bottom w:val="none" w:color="000000" w:sz="0" w:space="0"/>
          <w:right w:val="none" w:color="000000" w:sz="0" w:space="0"/>
        </w:pBd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36.中、小微企业相关政策</w:t>
      </w:r>
    </w:p>
    <w:p w14:paraId="4419E60C">
      <w:pPr>
        <w:widowControl w:val="0"/>
        <w:spacing w:line="360" w:lineRule="auto"/>
        <w:ind w:firstLine="420" w:firstLineChars="200"/>
        <w:rPr>
          <w:rFonts w:ascii="宋体" w:hAnsi="宋体"/>
          <w:color w:val="auto"/>
          <w:sz w:val="21"/>
          <w:szCs w:val="20"/>
          <w:highlight w:val="none"/>
        </w:rPr>
      </w:pPr>
      <w:r>
        <w:rPr>
          <w:rFonts w:hint="eastAsia" w:ascii="宋体" w:hAnsi="宋体"/>
          <w:color w:val="auto"/>
          <w:sz w:val="21"/>
          <w:szCs w:val="20"/>
          <w:highlight w:val="none"/>
        </w:rPr>
        <w:t>根据《政府采购促进中小企业发展管理办法》（财库〔2020〕46号）、《关于做好政府采购支持企业发展有关事项的通知》（苏财购〔2020〕52号）及《关于印发&lt;苏州市政府采购促进中小企业发展实施意见&gt;的通知》（苏财购〔2022〕16号）的相关规定：</w:t>
      </w:r>
    </w:p>
    <w:p w14:paraId="5F9A1880">
      <w:pPr>
        <w:widowControl w:val="0"/>
        <w:spacing w:line="400" w:lineRule="exact"/>
        <w:ind w:firstLine="422"/>
        <w:rPr>
          <w:rFonts w:ascii="宋体" w:hAnsi="宋体" w:cs="宋体"/>
          <w:b/>
          <w:color w:val="auto"/>
          <w:sz w:val="21"/>
          <w:szCs w:val="21"/>
          <w:highlight w:val="none"/>
        </w:rPr>
      </w:pPr>
      <w:r>
        <w:rPr>
          <w:rFonts w:hint="eastAsia" w:ascii="宋体" w:hAnsi="宋体" w:cs="宋体"/>
          <w:color w:val="auto"/>
          <w:sz w:val="21"/>
          <w:szCs w:val="22"/>
          <w:highlight w:val="none"/>
        </w:rPr>
        <w:t>（1）</w:t>
      </w:r>
      <w:r>
        <w:rPr>
          <w:rFonts w:hint="eastAsia" w:ascii="宋体" w:hAnsi="宋体" w:cs="宋体"/>
          <w:b/>
          <w:bCs/>
          <w:color w:val="auto"/>
          <w:sz w:val="21"/>
          <w:szCs w:val="22"/>
          <w:highlight w:val="none"/>
        </w:rPr>
        <w:t>根据《政府采购促进中小企业发展管理办法》（财库〔2020〕46号）及《中小企业划型标准规定》（工信部联企业〔2011〕300号），本采购项目对应的中小企业划分标准所属行业为：</w:t>
      </w:r>
      <w:r>
        <w:rPr>
          <w:rFonts w:hint="eastAsia" w:ascii="宋体" w:hAnsi="宋体" w:cs="宋体"/>
          <w:b/>
          <w:color w:val="auto"/>
          <w:sz w:val="21"/>
          <w:szCs w:val="21"/>
          <w:highlight w:val="none"/>
          <w:u w:val="single"/>
        </w:rPr>
        <w:t>其他未列明行业</w:t>
      </w:r>
      <w:r>
        <w:rPr>
          <w:rFonts w:hint="eastAsia" w:ascii="宋体" w:hAnsi="宋体" w:cs="宋体"/>
          <w:b/>
          <w:color w:val="auto"/>
          <w:sz w:val="21"/>
          <w:szCs w:val="21"/>
          <w:highlight w:val="none"/>
        </w:rPr>
        <w:t>。</w:t>
      </w:r>
    </w:p>
    <w:p w14:paraId="423CB05E">
      <w:pPr>
        <w:widowControl w:val="0"/>
        <w:spacing w:line="400" w:lineRule="exact"/>
        <w:ind w:firstLine="420"/>
        <w:rPr>
          <w:rFonts w:ascii="宋体" w:hAnsi="宋体"/>
          <w:color w:val="auto"/>
          <w:sz w:val="21"/>
          <w:szCs w:val="20"/>
          <w:highlight w:val="none"/>
        </w:rPr>
      </w:pPr>
      <w:r>
        <w:rPr>
          <w:rFonts w:hint="eastAsia" w:ascii="宋体" w:hAnsi="宋体" w:cs="宋体"/>
          <w:bCs/>
          <w:color w:val="auto"/>
          <w:sz w:val="21"/>
          <w:szCs w:val="21"/>
          <w:highlight w:val="none"/>
        </w:rPr>
        <w:t>（2）根据</w:t>
      </w:r>
      <w:r>
        <w:rPr>
          <w:rFonts w:hint="eastAsia" w:ascii="宋体" w:hAnsi="宋体"/>
          <w:color w:val="auto"/>
          <w:sz w:val="21"/>
          <w:szCs w:val="20"/>
          <w:highlight w:val="none"/>
        </w:rPr>
        <w:t>《政府采购促进中小企业发展管理办法》规定，享受扶持政策获得政府采购合同的，小微企业不得将合同转包给大中型企业，中小企业不得将合同分包给大型企业。</w:t>
      </w:r>
    </w:p>
    <w:p w14:paraId="20CE6E9D">
      <w:pPr>
        <w:widowControl w:val="0"/>
        <w:spacing w:line="400" w:lineRule="exact"/>
        <w:ind w:firstLine="420"/>
        <w:rPr>
          <w:rFonts w:hint="eastAsia" w:ascii="宋体" w:hAnsi="宋体" w:cs="宋体"/>
          <w:b/>
          <w:sz w:val="21"/>
          <w:szCs w:val="21"/>
          <w:highlight w:val="none"/>
          <w:lang w:bidi="ar"/>
        </w:rPr>
      </w:pPr>
      <w:r>
        <w:rPr>
          <w:rFonts w:hint="eastAsia" w:ascii="宋体" w:hAnsi="宋体" w:cs="宋体"/>
          <w:bCs/>
          <w:color w:val="auto"/>
          <w:sz w:val="21"/>
          <w:szCs w:val="21"/>
          <w:highlight w:val="none"/>
        </w:rPr>
        <w:t>（3）</w:t>
      </w:r>
      <w:r>
        <w:rPr>
          <w:rFonts w:hint="eastAsia" w:ascii="宋体" w:hAnsi="宋体" w:cs="宋体"/>
          <w:bCs/>
          <w:sz w:val="21"/>
          <w:szCs w:val="21"/>
          <w:highlight w:val="none"/>
          <w:lang w:bidi="ar"/>
        </w:rPr>
        <w:t>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宋体"/>
          <w:b/>
          <w:sz w:val="21"/>
          <w:szCs w:val="21"/>
          <w:highlight w:val="none"/>
          <w:lang w:bidi="ar"/>
        </w:rPr>
        <w:t>《中小企业声明函》中所填的行业应与本采购标的对应的中小企业划分标准所属行业一致，未提交声明函或所提交的声明函中行业与本采购标的对应的中小企业划分标准所属行业不一致不享受相关政策。</w:t>
      </w:r>
    </w:p>
    <w:p w14:paraId="50EA897B">
      <w:pPr>
        <w:widowControl w:val="0"/>
        <w:spacing w:line="400" w:lineRule="exact"/>
        <w:ind w:firstLine="420"/>
        <w:rPr>
          <w:rFonts w:hint="eastAsia" w:ascii="宋体" w:hAnsi="宋体" w:cs="宋体"/>
          <w:b/>
          <w:sz w:val="21"/>
          <w:szCs w:val="21"/>
          <w:highlight w:val="none"/>
          <w:lang w:bidi="ar"/>
        </w:rPr>
      </w:pPr>
      <w:r>
        <w:rPr>
          <w:rFonts w:hint="eastAsia" w:ascii="宋体" w:hAnsi="宋体" w:cs="宋体"/>
          <w:sz w:val="21"/>
          <w:szCs w:val="20"/>
          <w:highlight w:val="none"/>
        </w:rPr>
        <w:t>（4）</w:t>
      </w:r>
      <w:r>
        <w:rPr>
          <w:rFonts w:hint="eastAsia" w:ascii="宋体" w:hAnsi="宋体" w:cs="宋体"/>
          <w:b/>
          <w:bCs/>
          <w:sz w:val="21"/>
          <w:szCs w:val="20"/>
          <w:highlight w:val="none"/>
        </w:rPr>
        <w:t>本项目属于专门面向中小微企业采购的项目。中小微企业参加本次政府采购活动，应当出具符合《政府采购促进中小企业发展管理办法》规定且满足落实政府采购政策需满足的资格要求的《中小企业声明函》（格式附后），否则视为无效响应。</w:t>
      </w:r>
    </w:p>
    <w:p w14:paraId="281832DB">
      <w:pPr>
        <w:widowControl w:val="0"/>
        <w:spacing w:line="400" w:lineRule="exact"/>
        <w:ind w:firstLine="420"/>
        <w:rPr>
          <w:rFonts w:ascii="宋体" w:hAnsi="宋体"/>
          <w:color w:val="auto"/>
          <w:sz w:val="21"/>
          <w:szCs w:val="20"/>
          <w:highlight w:val="none"/>
        </w:rPr>
      </w:pPr>
      <w:r>
        <w:rPr>
          <w:rFonts w:hint="eastAsia" w:ascii="宋体" w:hAnsi="宋体"/>
          <w:color w:val="auto"/>
          <w:sz w:val="21"/>
          <w:szCs w:val="20"/>
          <w:highlight w:val="none"/>
        </w:rPr>
        <w:t>（</w:t>
      </w:r>
      <w:r>
        <w:rPr>
          <w:rFonts w:hint="eastAsia" w:ascii="宋体" w:hAnsi="宋体"/>
          <w:color w:val="auto"/>
          <w:sz w:val="21"/>
          <w:szCs w:val="20"/>
          <w:highlight w:val="none"/>
          <w:lang w:val="en-US" w:eastAsia="zh-CN"/>
        </w:rPr>
        <w:t>5</w:t>
      </w:r>
      <w:r>
        <w:rPr>
          <w:rFonts w:hint="eastAsia" w:ascii="宋体" w:hAnsi="宋体"/>
          <w:color w:val="auto"/>
          <w:sz w:val="21"/>
          <w:szCs w:val="20"/>
          <w:highlight w:val="none"/>
        </w:rPr>
        <w:t>）本项目中投标人提供的服务由中小微企业承接，即提供服务的人员为中小微企业依照《中华人民共和国劳动合同法》订立劳动合同的从业人员。</w:t>
      </w:r>
      <w:r>
        <w:rPr>
          <w:rFonts w:hint="eastAsia" w:ascii="宋体" w:hAnsi="宋体"/>
          <w:b/>
          <w:bCs/>
          <w:color w:val="auto"/>
          <w:sz w:val="21"/>
          <w:szCs w:val="20"/>
          <w:highlight w:val="none"/>
        </w:rPr>
        <w:t>服务类项目中投标人若使用退休人员，将不享受相关扶持政策。</w:t>
      </w:r>
    </w:p>
    <w:p w14:paraId="51DC595E">
      <w:pPr>
        <w:widowControl w:val="0"/>
        <w:spacing w:line="400" w:lineRule="exact"/>
        <w:ind w:firstLine="420"/>
        <w:rPr>
          <w:rFonts w:ascii="宋体" w:hAnsi="宋体"/>
          <w:color w:val="auto"/>
          <w:sz w:val="21"/>
          <w:szCs w:val="20"/>
          <w:highlight w:val="none"/>
        </w:rPr>
      </w:pPr>
      <w:r>
        <w:rPr>
          <w:rFonts w:hint="eastAsia" w:ascii="宋体" w:hAnsi="宋体"/>
          <w:color w:val="auto"/>
          <w:sz w:val="21"/>
          <w:szCs w:val="20"/>
          <w:highlight w:val="none"/>
        </w:rPr>
        <w:t>（</w:t>
      </w:r>
      <w:r>
        <w:rPr>
          <w:rFonts w:hint="eastAsia" w:ascii="宋体" w:hAnsi="宋体"/>
          <w:color w:val="auto"/>
          <w:sz w:val="21"/>
          <w:szCs w:val="20"/>
          <w:highlight w:val="none"/>
          <w:lang w:val="en-US" w:eastAsia="zh-CN"/>
        </w:rPr>
        <w:t>6</w:t>
      </w:r>
      <w:r>
        <w:rPr>
          <w:rFonts w:hint="eastAsia" w:ascii="宋体" w:hAnsi="宋体"/>
          <w:color w:val="auto"/>
          <w:sz w:val="21"/>
          <w:szCs w:val="20"/>
          <w:highlight w:val="none"/>
        </w:rPr>
        <w:t>）若投标人提供的《中小企业声明函》为虚假声明则视同提供虚假材料，按政府采购相关规定处理并报由政府监管部门给予行政处罚。</w:t>
      </w:r>
    </w:p>
    <w:p w14:paraId="14ADA8A5">
      <w:pPr>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37.促进残疾人就业</w:t>
      </w:r>
    </w:p>
    <w:p w14:paraId="2C377059">
      <w:pPr>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残疾人福利单位定义：享受政府采购支持政策的残疾人福利性单位应当同时满足以下条件：</w:t>
      </w:r>
    </w:p>
    <w:p w14:paraId="4BAD5074">
      <w:pPr>
        <w:spacing w:line="360" w:lineRule="auto"/>
        <w:ind w:firstLine="315"/>
        <w:rPr>
          <w:rFonts w:ascii="宋体" w:hAnsi="宋体" w:cs="宋体"/>
          <w:color w:val="auto"/>
          <w:sz w:val="21"/>
          <w:szCs w:val="21"/>
          <w:highlight w:val="none"/>
        </w:rPr>
      </w:pPr>
      <w:r>
        <w:rPr>
          <w:rFonts w:hint="eastAsia" w:ascii="宋体" w:hAnsi="宋体" w:cs="宋体"/>
          <w:color w:val="auto"/>
          <w:sz w:val="21"/>
          <w:szCs w:val="21"/>
          <w:highlight w:val="none"/>
        </w:rPr>
        <w:t>（1）安置的残疾人占本单位在职职工人数的比例不低于25%（含25%），并且安置的残疾人人数不少于10 人（含10 人）；</w:t>
      </w:r>
    </w:p>
    <w:p w14:paraId="3311715A">
      <w:pPr>
        <w:spacing w:line="360" w:lineRule="auto"/>
        <w:ind w:firstLine="315"/>
        <w:rPr>
          <w:rFonts w:ascii="宋体" w:hAnsi="宋体" w:cs="宋体"/>
          <w:color w:val="auto"/>
          <w:sz w:val="21"/>
          <w:szCs w:val="21"/>
          <w:highlight w:val="none"/>
        </w:rPr>
      </w:pPr>
      <w:r>
        <w:rPr>
          <w:rFonts w:hint="eastAsia" w:ascii="宋体" w:hAnsi="宋体" w:cs="宋体"/>
          <w:color w:val="auto"/>
          <w:sz w:val="21"/>
          <w:szCs w:val="21"/>
          <w:highlight w:val="none"/>
        </w:rPr>
        <w:t>（2）依法与安置的每位残疾人签订了一年以上（含一年）的劳动合同或服务协议；</w:t>
      </w:r>
    </w:p>
    <w:p w14:paraId="64ACC420">
      <w:pPr>
        <w:spacing w:line="360" w:lineRule="auto"/>
        <w:ind w:firstLine="315"/>
        <w:rPr>
          <w:rFonts w:ascii="宋体" w:hAnsi="宋体" w:cs="宋体"/>
          <w:color w:val="auto"/>
          <w:sz w:val="21"/>
          <w:szCs w:val="21"/>
          <w:highlight w:val="none"/>
        </w:rPr>
      </w:pPr>
      <w:r>
        <w:rPr>
          <w:rFonts w:hint="eastAsia" w:ascii="宋体" w:hAnsi="宋体" w:cs="宋体"/>
          <w:color w:val="auto"/>
          <w:sz w:val="21"/>
          <w:szCs w:val="21"/>
          <w:highlight w:val="none"/>
        </w:rPr>
        <w:t>（3）为安置的每位残疾人按月足额缴纳了基本养老保险、基本医疗保险、失业保险、工伤保险和生育保险等社会保险费；</w:t>
      </w:r>
    </w:p>
    <w:p w14:paraId="278F35FE">
      <w:pPr>
        <w:spacing w:line="360" w:lineRule="auto"/>
        <w:ind w:firstLine="315"/>
        <w:rPr>
          <w:rFonts w:ascii="宋体" w:hAnsi="宋体" w:cs="宋体"/>
          <w:color w:val="auto"/>
          <w:sz w:val="21"/>
          <w:szCs w:val="21"/>
          <w:highlight w:val="none"/>
        </w:rPr>
      </w:pPr>
      <w:r>
        <w:rPr>
          <w:rFonts w:hint="eastAsia" w:ascii="宋体" w:hAnsi="宋体" w:cs="宋体"/>
          <w:color w:val="auto"/>
          <w:sz w:val="21"/>
          <w:szCs w:val="21"/>
          <w:highlight w:val="none"/>
        </w:rPr>
        <w:t>（4）通过银行等金融机构向安置的每位残疾人，按月支付了不低于单位所在区县适用的经省级人民政府批准的月最低工资标准的工资；</w:t>
      </w:r>
    </w:p>
    <w:p w14:paraId="3C2B2BDC">
      <w:pPr>
        <w:spacing w:line="360" w:lineRule="auto"/>
        <w:ind w:firstLine="315"/>
        <w:rPr>
          <w:rFonts w:ascii="宋体" w:hAnsi="宋体" w:cs="宋体"/>
          <w:color w:val="auto"/>
          <w:sz w:val="21"/>
          <w:szCs w:val="21"/>
          <w:highlight w:val="none"/>
        </w:rPr>
      </w:pPr>
      <w:r>
        <w:rPr>
          <w:rFonts w:hint="eastAsia" w:ascii="宋体" w:hAnsi="宋体" w:cs="宋体"/>
          <w:color w:val="auto"/>
          <w:sz w:val="21"/>
          <w:szCs w:val="21"/>
          <w:highlight w:val="none"/>
        </w:rPr>
        <w:t>（5）提供本单位制造的货物、承担的工程或者服务（以下简称产品），或者提供其他残疾人福利性单位制造的货物（不包括使用非残疾人福利性单位注册商标的货物）；</w:t>
      </w:r>
    </w:p>
    <w:p w14:paraId="77B04111">
      <w:pPr>
        <w:spacing w:line="360" w:lineRule="auto"/>
        <w:ind w:firstLine="315"/>
        <w:rPr>
          <w:rFonts w:ascii="宋体" w:hAnsi="宋体" w:cs="宋体"/>
          <w:bCs/>
          <w:color w:val="auto"/>
          <w:sz w:val="21"/>
          <w:szCs w:val="21"/>
          <w:highlight w:val="none"/>
        </w:rPr>
      </w:pPr>
      <w:r>
        <w:rPr>
          <w:rFonts w:hint="eastAsia" w:ascii="宋体" w:hAnsi="宋体" w:cs="宋体"/>
          <w:color w:val="auto"/>
          <w:sz w:val="21"/>
          <w:szCs w:val="21"/>
          <w:highlight w:val="none"/>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6C6DFA51">
      <w:pPr>
        <w:spacing w:line="360" w:lineRule="auto"/>
        <w:ind w:firstLine="420"/>
        <w:rPr>
          <w:rFonts w:ascii="宋体" w:hAnsi="宋体" w:cs="宋体"/>
          <w:bCs/>
          <w:color w:val="auto"/>
          <w:sz w:val="21"/>
          <w:szCs w:val="21"/>
          <w:highlight w:val="none"/>
        </w:rPr>
      </w:pPr>
      <w:r>
        <w:rPr>
          <w:rFonts w:hint="eastAsia" w:ascii="宋体" w:hAnsi="宋体" w:cs="宋体"/>
          <w:bCs/>
          <w:color w:val="auto"/>
          <w:sz w:val="21"/>
          <w:szCs w:val="21"/>
          <w:highlight w:val="none"/>
        </w:rPr>
        <w:t>在政府采购活动中，残疾人福利性单位视同小型、微型企业，享受评审中价格扣除等促进中小企业发展的政府采购政策，残疾人福利性单位属于小型、微型企业的，不重复享受政策。</w:t>
      </w:r>
    </w:p>
    <w:p w14:paraId="09A4D10D">
      <w:pPr>
        <w:spacing w:line="360" w:lineRule="auto"/>
        <w:ind w:firstLine="420"/>
        <w:rPr>
          <w:rFonts w:ascii="宋体" w:hAnsi="宋体" w:cs="宋体"/>
          <w:bCs/>
          <w:color w:val="auto"/>
          <w:sz w:val="21"/>
          <w:szCs w:val="21"/>
          <w:highlight w:val="none"/>
        </w:rPr>
      </w:pPr>
      <w:r>
        <w:rPr>
          <w:rFonts w:hint="eastAsia" w:ascii="宋体" w:hAnsi="宋体" w:cs="宋体"/>
          <w:bCs/>
          <w:color w:val="auto"/>
          <w:sz w:val="21"/>
          <w:szCs w:val="21"/>
          <w:highlight w:val="none"/>
        </w:rPr>
        <w:t>符合《关于促进残疾人就业政府采购政策的通知》（财库〔2017〕141号）规定条件的残疾人福利性单位在参加政府采购活动时，应当提供《残疾人福利性单位声明函》（见附件），并对声明的真实性负责。投标人提供的《残疾人福利性单位声明函》与事实不符的，依照《中华人民共和国政府采购法》第七十七条第一款的规定追究法律责任。</w:t>
      </w:r>
    </w:p>
    <w:p w14:paraId="395C799B">
      <w:pPr>
        <w:spacing w:line="360" w:lineRule="auto"/>
        <w:ind w:firstLine="420"/>
        <w:rPr>
          <w:rFonts w:ascii="宋体" w:hAnsi="宋体" w:cs="宋体"/>
          <w:bCs/>
          <w:color w:val="auto"/>
          <w:sz w:val="21"/>
          <w:szCs w:val="21"/>
          <w:highlight w:val="none"/>
        </w:rPr>
      </w:pPr>
      <w:r>
        <w:rPr>
          <w:rFonts w:hint="eastAsia" w:ascii="宋体" w:hAnsi="宋体" w:cs="宋体"/>
          <w:bCs/>
          <w:color w:val="auto"/>
          <w:sz w:val="21"/>
          <w:szCs w:val="21"/>
          <w:highlight w:val="none"/>
        </w:rPr>
        <w:t>中标人为残疾人福利性单位的，采购人或者采购代理机构随中标结果同时公告其《残疾人福利性单位声明函》，接受社会监督。</w:t>
      </w:r>
    </w:p>
    <w:p w14:paraId="1A66DE51">
      <w:pPr>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38.支持监狱企业发展</w:t>
      </w:r>
    </w:p>
    <w:p w14:paraId="12005FE9">
      <w:pPr>
        <w:spacing w:line="360" w:lineRule="auto"/>
        <w:ind w:firstLine="420"/>
        <w:rPr>
          <w:rFonts w:ascii="宋体" w:hAnsi="宋体" w:cs="宋体"/>
          <w:bCs/>
          <w:color w:val="auto"/>
          <w:sz w:val="21"/>
          <w:szCs w:val="21"/>
          <w:highlight w:val="none"/>
        </w:rPr>
      </w:pPr>
      <w:r>
        <w:rPr>
          <w:rFonts w:hint="eastAsia" w:ascii="Microsoft New Tai Lue" w:hAnsi="Microsoft New Tai Lue" w:cs="Microsoft New Tai Lue"/>
          <w:color w:val="auto"/>
          <w:sz w:val="21"/>
          <w:szCs w:val="21"/>
          <w:highlight w:val="none"/>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366B70E0">
      <w:pPr>
        <w:spacing w:line="360" w:lineRule="auto"/>
        <w:ind w:firstLine="420"/>
        <w:rPr>
          <w:rFonts w:ascii="宋体" w:hAnsi="宋体" w:cs="宋体"/>
          <w:bCs/>
          <w:color w:val="auto"/>
          <w:sz w:val="21"/>
          <w:szCs w:val="21"/>
          <w:highlight w:val="none"/>
        </w:rPr>
      </w:pPr>
      <w:r>
        <w:rPr>
          <w:rFonts w:hint="eastAsia" w:ascii="宋体" w:hAnsi="宋体" w:cs="宋体"/>
          <w:bCs/>
          <w:color w:val="auto"/>
          <w:sz w:val="21"/>
          <w:szCs w:val="21"/>
          <w:highlight w:val="none"/>
        </w:rPr>
        <w:t>在政府采购活动中，监狱企业视同小型、微型企业，享受评审中价格扣除等政府采购促进中小企业发展的政府采购政策。</w:t>
      </w:r>
    </w:p>
    <w:p w14:paraId="3A1FF245">
      <w:pPr>
        <w:spacing w:line="360" w:lineRule="auto"/>
        <w:ind w:firstLine="420"/>
        <w:rPr>
          <w:rFonts w:ascii="宋体" w:hAnsi="宋体" w:cs="宋体"/>
          <w:b/>
          <w:color w:val="auto"/>
          <w:sz w:val="21"/>
          <w:szCs w:val="21"/>
          <w:highlight w:val="none"/>
        </w:rPr>
      </w:pPr>
      <w:r>
        <w:rPr>
          <w:rFonts w:hint="eastAsia" w:ascii="宋体" w:hAnsi="宋体" w:cs="宋体"/>
          <w:bCs/>
          <w:color w:val="auto"/>
          <w:sz w:val="21"/>
          <w:szCs w:val="21"/>
          <w:highlight w:val="none"/>
        </w:rPr>
        <w:t>符合《关于政府采购支持监狱企业发展有关问题的通知》（财库〔2014〕68号）条件的监狱企业参加政府采购活动时，应当提供由省级以上监狱管理局、戒毒管理局（含新疆生产建设兵团）出具的属于监狱企业的证明文件。</w:t>
      </w:r>
    </w:p>
    <w:p w14:paraId="702299DF">
      <w:pPr>
        <w:tabs>
          <w:tab w:val="left" w:pos="3600"/>
        </w:tabs>
        <w:spacing w:line="360" w:lineRule="auto"/>
        <w:jc w:val="both"/>
        <w:rPr>
          <w:rFonts w:ascii="宋体" w:hAnsi="宋体" w:cs="宋体"/>
          <w:b/>
          <w:color w:val="auto"/>
          <w:sz w:val="21"/>
          <w:szCs w:val="21"/>
          <w:highlight w:val="none"/>
        </w:rPr>
      </w:pPr>
      <w:r>
        <w:rPr>
          <w:rFonts w:hint="eastAsia" w:ascii="宋体" w:hAnsi="宋体" w:cs="宋体"/>
          <w:b/>
          <w:color w:val="auto"/>
          <w:sz w:val="21"/>
          <w:szCs w:val="21"/>
          <w:highlight w:val="none"/>
        </w:rPr>
        <w:t>九、其他事项</w:t>
      </w:r>
      <w:bookmarkEnd w:id="59"/>
    </w:p>
    <w:p w14:paraId="52F44301">
      <w:pPr>
        <w:spacing w:line="360" w:lineRule="auto"/>
        <w:rPr>
          <w:rFonts w:ascii="宋体" w:hAnsi="宋体" w:cs="宋体"/>
          <w:b/>
          <w:color w:val="auto"/>
          <w:sz w:val="21"/>
          <w:szCs w:val="21"/>
          <w:highlight w:val="none"/>
        </w:rPr>
      </w:pPr>
      <w:bookmarkStart w:id="61" w:name="_Toc492294209"/>
      <w:r>
        <w:rPr>
          <w:rFonts w:hint="eastAsia" w:ascii="宋体" w:hAnsi="宋体" w:cs="宋体"/>
          <w:b/>
          <w:color w:val="auto"/>
          <w:sz w:val="21"/>
          <w:szCs w:val="21"/>
          <w:highlight w:val="none"/>
        </w:rPr>
        <w:t>39.</w:t>
      </w:r>
      <w:bookmarkEnd w:id="61"/>
      <w:bookmarkStart w:id="62" w:name="_Toc492294210"/>
      <w:r>
        <w:rPr>
          <w:rFonts w:hint="eastAsia" w:ascii="宋体" w:hAnsi="宋体" w:cs="宋体"/>
          <w:b/>
          <w:color w:val="auto"/>
          <w:sz w:val="21"/>
          <w:szCs w:val="21"/>
          <w:highlight w:val="none"/>
        </w:rPr>
        <w:t>代理服务费</w:t>
      </w:r>
    </w:p>
    <w:p w14:paraId="3238632B">
      <w:pPr>
        <w:pBdr>
          <w:top w:val="none" w:color="000000" w:sz="0" w:space="0"/>
          <w:left w:val="none" w:color="000000" w:sz="0" w:space="0"/>
          <w:bottom w:val="none" w:color="000000" w:sz="0" w:space="0"/>
          <w:right w:val="none" w:color="000000" w:sz="0" w:space="0"/>
        </w:pBdr>
        <w:spacing w:line="360" w:lineRule="auto"/>
        <w:ind w:firstLine="420"/>
        <w:jc w:val="both"/>
        <w:rPr>
          <w:rFonts w:ascii="宋体" w:hAnsi="宋体" w:cs="宋体"/>
          <w:color w:val="auto"/>
          <w:sz w:val="21"/>
          <w:szCs w:val="21"/>
          <w:highlight w:val="none"/>
        </w:rPr>
      </w:pPr>
      <w:r>
        <w:rPr>
          <w:rFonts w:hint="eastAsia" w:ascii="宋体" w:hAnsi="宋体" w:cs="宋体"/>
          <w:color w:val="auto"/>
          <w:sz w:val="21"/>
          <w:szCs w:val="21"/>
          <w:highlight w:val="none"/>
        </w:rPr>
        <w:t>39.1中标人须按投标人须知前附表的规定按预算金额计算并支付代理服务费，该费用应在领取中标通知书时付清。</w:t>
      </w:r>
    </w:p>
    <w:p w14:paraId="377BB92C">
      <w:pPr>
        <w:pBdr>
          <w:top w:val="none" w:color="000000" w:sz="0" w:space="0"/>
          <w:left w:val="none" w:color="000000" w:sz="0" w:space="0"/>
          <w:bottom w:val="none" w:color="000000" w:sz="0" w:space="0"/>
          <w:right w:val="none" w:color="000000" w:sz="0" w:space="0"/>
        </w:pBdr>
        <w:spacing w:line="360" w:lineRule="auto"/>
        <w:ind w:firstLine="420"/>
        <w:jc w:val="both"/>
        <w:rPr>
          <w:rFonts w:ascii="宋体" w:hAnsi="宋体" w:cs="宋体"/>
          <w:color w:val="auto"/>
          <w:sz w:val="21"/>
          <w:szCs w:val="21"/>
          <w:highlight w:val="none"/>
        </w:rPr>
      </w:pPr>
      <w:r>
        <w:rPr>
          <w:rFonts w:hint="eastAsia" w:ascii="宋体" w:hAnsi="宋体" w:cs="宋体"/>
          <w:color w:val="auto"/>
          <w:sz w:val="21"/>
          <w:szCs w:val="21"/>
          <w:highlight w:val="none"/>
        </w:rPr>
        <w:t>39.</w:t>
      </w:r>
      <w:r>
        <w:rPr>
          <w:rFonts w:hint="eastAsia" w:ascii="宋体" w:hAnsi="宋体" w:cs="宋体"/>
          <w:color w:val="auto"/>
          <w:sz w:val="21"/>
          <w:szCs w:val="21"/>
          <w:highlight w:val="none"/>
          <w:lang w:val="en-US" w:eastAsia="zh-CN"/>
        </w:rPr>
        <w:t>2</w:t>
      </w:r>
      <w:r>
        <w:rPr>
          <w:rFonts w:hint="eastAsia" w:ascii="宋体" w:hAnsi="宋体" w:cs="宋体"/>
          <w:color w:val="auto"/>
          <w:sz w:val="21"/>
          <w:szCs w:val="21"/>
          <w:highlight w:val="none"/>
        </w:rPr>
        <w:t>中标人如果未按规定缴纳代理服务费，须向采购代理机构支付本招标文件公布的预算金额的2%作为违约赔偿金，同时采购代理机构保留诉讼权利。</w:t>
      </w:r>
    </w:p>
    <w:p w14:paraId="702C2B9A">
      <w:pPr>
        <w:pBdr>
          <w:top w:val="none" w:color="000000" w:sz="0" w:space="0"/>
          <w:left w:val="none" w:color="000000" w:sz="0" w:space="0"/>
          <w:bottom w:val="none" w:color="000000" w:sz="0" w:space="0"/>
          <w:right w:val="none" w:color="000000" w:sz="0" w:space="0"/>
        </w:pBdr>
        <w:spacing w:line="360" w:lineRule="auto"/>
        <w:ind w:firstLine="420"/>
        <w:jc w:val="both"/>
        <w:rPr>
          <w:rFonts w:ascii="宋体" w:hAnsi="宋体" w:cs="宋体"/>
          <w:color w:val="auto"/>
          <w:sz w:val="21"/>
          <w:szCs w:val="21"/>
          <w:highlight w:val="none"/>
        </w:rPr>
      </w:pPr>
      <w:r>
        <w:rPr>
          <w:rFonts w:hint="eastAsia" w:ascii="宋体" w:hAnsi="宋体" w:cs="宋体"/>
          <w:color w:val="auto"/>
          <w:sz w:val="21"/>
          <w:szCs w:val="21"/>
          <w:highlight w:val="none"/>
        </w:rPr>
        <w:t>39.</w:t>
      </w:r>
      <w:r>
        <w:rPr>
          <w:rFonts w:hint="eastAsia" w:ascii="宋体" w:hAnsi="宋体" w:cs="宋体"/>
          <w:color w:val="auto"/>
          <w:sz w:val="21"/>
          <w:szCs w:val="21"/>
          <w:highlight w:val="none"/>
          <w:lang w:val="en-US" w:eastAsia="zh-CN"/>
        </w:rPr>
        <w:t>3</w:t>
      </w:r>
      <w:r>
        <w:rPr>
          <w:rFonts w:hint="eastAsia" w:ascii="宋体" w:hAnsi="宋体" w:cs="宋体"/>
          <w:color w:val="auto"/>
          <w:sz w:val="21"/>
          <w:szCs w:val="21"/>
          <w:highlight w:val="none"/>
        </w:rPr>
        <w:t>因中标人自身违法、违约等行为致使中标结果无效的，代理服务费须按本项目采购的要求正常交纳，已交的代理服务费不予退还。</w:t>
      </w:r>
    </w:p>
    <w:p w14:paraId="2B5678BA">
      <w:pPr>
        <w:pBdr>
          <w:top w:val="none" w:color="000000" w:sz="0" w:space="0"/>
          <w:left w:val="none" w:color="000000" w:sz="0" w:space="0"/>
          <w:bottom w:val="none" w:color="000000" w:sz="0" w:space="0"/>
          <w:right w:val="none" w:color="000000" w:sz="0" w:space="0"/>
        </w:pBdr>
        <w:spacing w:line="360" w:lineRule="auto"/>
        <w:ind w:firstLine="420"/>
        <w:jc w:val="both"/>
        <w:rPr>
          <w:rFonts w:ascii="宋体" w:hAnsi="宋体" w:cs="宋体"/>
          <w:color w:val="auto"/>
          <w:sz w:val="21"/>
          <w:szCs w:val="21"/>
          <w:highlight w:val="none"/>
        </w:rPr>
      </w:pPr>
      <w:r>
        <w:rPr>
          <w:rFonts w:hint="eastAsia" w:ascii="宋体" w:hAnsi="宋体" w:cs="宋体"/>
          <w:color w:val="auto"/>
          <w:sz w:val="21"/>
          <w:szCs w:val="21"/>
          <w:highlight w:val="none"/>
        </w:rPr>
        <w:t>39.</w:t>
      </w:r>
      <w:r>
        <w:rPr>
          <w:rFonts w:hint="eastAsia" w:ascii="宋体" w:hAnsi="宋体" w:cs="宋体"/>
          <w:color w:val="auto"/>
          <w:sz w:val="21"/>
          <w:szCs w:val="21"/>
          <w:highlight w:val="none"/>
          <w:lang w:val="en-US" w:eastAsia="zh-CN"/>
        </w:rPr>
        <w:t>4</w:t>
      </w:r>
      <w:r>
        <w:rPr>
          <w:rFonts w:hint="eastAsia" w:ascii="宋体" w:hAnsi="宋体" w:cs="宋体"/>
          <w:color w:val="auto"/>
          <w:sz w:val="21"/>
          <w:szCs w:val="21"/>
          <w:highlight w:val="none"/>
        </w:rPr>
        <w:t>采购人在编制本项目采购预算时已综合考虑采购代理服务费，投标人在报价时须将代理服务费综合考虑在投标报价中。</w:t>
      </w:r>
    </w:p>
    <w:p w14:paraId="574FC18E">
      <w:pPr>
        <w:pBdr>
          <w:top w:val="none" w:color="000000" w:sz="0" w:space="0"/>
          <w:left w:val="none" w:color="000000" w:sz="0" w:space="0"/>
          <w:bottom w:val="none" w:color="000000" w:sz="0" w:space="0"/>
          <w:right w:val="none" w:color="000000" w:sz="0" w:space="0"/>
        </w:pBdr>
        <w:spacing w:line="360" w:lineRule="auto"/>
        <w:ind w:firstLine="420"/>
        <w:jc w:val="both"/>
        <w:rPr>
          <w:rFonts w:ascii="宋体" w:hAnsi="宋体" w:cs="宋体"/>
          <w:color w:val="auto"/>
          <w:sz w:val="21"/>
          <w:szCs w:val="21"/>
          <w:highlight w:val="none"/>
        </w:rPr>
      </w:pPr>
      <w:r>
        <w:rPr>
          <w:rFonts w:hint="eastAsia" w:ascii="宋体" w:hAnsi="宋体" w:cs="宋体"/>
          <w:color w:val="auto"/>
          <w:sz w:val="21"/>
          <w:szCs w:val="21"/>
          <w:highlight w:val="none"/>
        </w:rPr>
        <w:t>39.6签订委托代理协议时，已约定本项目的代理服务费由中标人支付。</w:t>
      </w:r>
    </w:p>
    <w:bookmarkEnd w:id="62"/>
    <w:p w14:paraId="6E980A02">
      <w:pPr>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40.</w:t>
      </w:r>
      <w:bookmarkStart w:id="63" w:name="_Toc492294211"/>
      <w:r>
        <w:rPr>
          <w:rFonts w:hint="eastAsia" w:ascii="宋体" w:hAnsi="宋体" w:cs="宋体"/>
          <w:b/>
          <w:color w:val="auto"/>
          <w:sz w:val="21"/>
          <w:szCs w:val="21"/>
          <w:highlight w:val="none"/>
        </w:rPr>
        <w:t>未尽事宜</w:t>
      </w:r>
      <w:bookmarkEnd w:id="63"/>
    </w:p>
    <w:p w14:paraId="2932B191">
      <w:pPr>
        <w:spacing w:line="360" w:lineRule="auto"/>
        <w:ind w:firstLine="420" w:firstLineChars="200"/>
        <w:rPr>
          <w:color w:val="auto"/>
          <w:highlight w:val="none"/>
        </w:rPr>
      </w:pPr>
      <w:r>
        <w:rPr>
          <w:rFonts w:hint="eastAsia" w:ascii="宋体" w:hAnsi="宋体" w:cs="宋体"/>
          <w:color w:val="auto"/>
          <w:sz w:val="21"/>
          <w:szCs w:val="21"/>
          <w:highlight w:val="none"/>
        </w:rPr>
        <w:t>未尽事宜应按《中华人民共和国政府采购法》、《政府采购货物和服务招标投标管理办法》及其他有关政府采购的法律法规的规定执行。</w:t>
      </w:r>
    </w:p>
    <w:p w14:paraId="608C7043">
      <w:pPr>
        <w:spacing w:line="360" w:lineRule="auto"/>
        <w:jc w:val="center"/>
        <w:outlineLvl w:val="0"/>
        <w:rPr>
          <w:rFonts w:ascii="宋体" w:hAnsi="宋体" w:cs="宋体"/>
          <w:color w:val="auto"/>
          <w:sz w:val="32"/>
          <w:szCs w:val="32"/>
          <w:highlight w:val="none"/>
        </w:rPr>
      </w:pPr>
      <w:bookmarkStart w:id="64" w:name="_Toc1261"/>
      <w:bookmarkStart w:id="65" w:name="_Toc7712"/>
      <w:bookmarkStart w:id="66" w:name="_Toc12129"/>
      <w:bookmarkStart w:id="67" w:name="_Toc25988"/>
      <w:bookmarkStart w:id="68" w:name="_Toc31685"/>
      <w:bookmarkStart w:id="69" w:name="_Toc492394289"/>
      <w:r>
        <w:rPr>
          <w:rFonts w:hint="eastAsia" w:ascii="宋体" w:hAnsi="宋体" w:cs="宋体"/>
          <w:b/>
          <w:bCs/>
          <w:color w:val="auto"/>
          <w:sz w:val="32"/>
          <w:szCs w:val="32"/>
          <w:highlight w:val="none"/>
        </w:rPr>
        <w:t>第三章 投标文件格式</w:t>
      </w:r>
      <w:bookmarkEnd w:id="64"/>
      <w:bookmarkEnd w:id="65"/>
      <w:bookmarkEnd w:id="66"/>
      <w:bookmarkEnd w:id="67"/>
      <w:bookmarkEnd w:id="68"/>
      <w:bookmarkEnd w:id="69"/>
    </w:p>
    <w:p w14:paraId="07B6E14D">
      <w:pPr>
        <w:pStyle w:val="12"/>
        <w:spacing w:line="360" w:lineRule="auto"/>
        <w:ind w:firstLine="0"/>
        <w:rPr>
          <w:rFonts w:ascii="宋体" w:hAnsi="宋体" w:cs="宋体"/>
          <w:b/>
          <w:color w:val="auto"/>
          <w:szCs w:val="21"/>
          <w:highlight w:val="none"/>
        </w:rPr>
      </w:pPr>
    </w:p>
    <w:p w14:paraId="0B65B6B8">
      <w:pPr>
        <w:pStyle w:val="12"/>
        <w:spacing w:line="360" w:lineRule="auto"/>
        <w:ind w:firstLine="0"/>
        <w:rPr>
          <w:rFonts w:ascii="宋体" w:hAnsi="宋体" w:cs="宋体"/>
          <w:b/>
          <w:color w:val="auto"/>
          <w:szCs w:val="21"/>
          <w:highlight w:val="none"/>
        </w:rPr>
      </w:pPr>
      <w:r>
        <w:rPr>
          <w:rFonts w:hint="eastAsia" w:ascii="宋体" w:hAnsi="宋体" w:cs="宋体"/>
          <w:b/>
          <w:color w:val="auto"/>
          <w:szCs w:val="21"/>
          <w:highlight w:val="none"/>
        </w:rPr>
        <w:t>说明：</w:t>
      </w:r>
    </w:p>
    <w:p w14:paraId="1E8395C5">
      <w:pPr>
        <w:pStyle w:val="40"/>
        <w:spacing w:line="360" w:lineRule="auto"/>
        <w:ind w:firstLine="422"/>
        <w:jc w:val="both"/>
        <w:rPr>
          <w:rFonts w:ascii="宋体" w:hAnsi="宋体" w:cs="宋体"/>
          <w:b/>
          <w:color w:val="auto"/>
          <w:sz w:val="21"/>
          <w:szCs w:val="21"/>
          <w:highlight w:val="none"/>
        </w:rPr>
      </w:pPr>
      <w:r>
        <w:rPr>
          <w:rFonts w:hint="eastAsia" w:ascii="宋体" w:hAnsi="宋体" w:cs="宋体"/>
          <w:b/>
          <w:color w:val="auto"/>
          <w:sz w:val="21"/>
          <w:szCs w:val="21"/>
          <w:highlight w:val="none"/>
        </w:rPr>
        <w:t>对本章所有的投标文件格式，投标人的补充不得造成与本格式内容有实质性的违背。</w:t>
      </w:r>
    </w:p>
    <w:p w14:paraId="16785BE7">
      <w:pPr>
        <w:rPr>
          <w:rFonts w:ascii="宋体" w:hAnsi="宋体" w:cs="宋体"/>
          <w:b/>
          <w:bCs/>
          <w:color w:val="auto"/>
          <w:sz w:val="21"/>
          <w:szCs w:val="21"/>
          <w:highlight w:val="none"/>
        </w:rPr>
      </w:pPr>
      <w:r>
        <w:rPr>
          <w:rFonts w:hint="eastAsia" w:ascii="宋体" w:hAnsi="宋体" w:cs="宋体"/>
          <w:color w:val="auto"/>
          <w:highlight w:val="none"/>
        </w:rPr>
        <w:br w:type="page" w:clear="all"/>
      </w:r>
      <w:bookmarkStart w:id="70" w:name="_Toc492394290"/>
      <w:r>
        <w:rPr>
          <w:rFonts w:hint="eastAsia" w:ascii="宋体" w:hAnsi="宋体" w:cs="宋体"/>
          <w:b/>
          <w:bCs/>
          <w:color w:val="auto"/>
          <w:sz w:val="21"/>
          <w:szCs w:val="21"/>
          <w:highlight w:val="none"/>
        </w:rPr>
        <w:t>一、投标函</w:t>
      </w:r>
      <w:bookmarkEnd w:id="70"/>
    </w:p>
    <w:p w14:paraId="754530EF">
      <w:pPr>
        <w:pStyle w:val="292"/>
        <w:spacing w:line="300" w:lineRule="auto"/>
        <w:jc w:val="center"/>
        <w:rPr>
          <w:rFonts w:hAnsi="宋体" w:eastAsia="宋体" w:cs="宋体"/>
          <w:b/>
          <w:color w:val="auto"/>
          <w:sz w:val="21"/>
          <w:szCs w:val="21"/>
          <w:highlight w:val="none"/>
        </w:rPr>
      </w:pPr>
      <w:r>
        <w:rPr>
          <w:rFonts w:hint="eastAsia" w:hAnsi="宋体" w:eastAsia="宋体" w:cs="宋体"/>
          <w:b/>
          <w:color w:val="auto"/>
          <w:sz w:val="21"/>
          <w:szCs w:val="21"/>
          <w:highlight w:val="none"/>
        </w:rPr>
        <w:t>投标函</w:t>
      </w:r>
    </w:p>
    <w:p w14:paraId="22A3967E">
      <w:pPr>
        <w:pStyle w:val="292"/>
        <w:spacing w:line="300" w:lineRule="auto"/>
        <w:jc w:val="center"/>
        <w:rPr>
          <w:rFonts w:hAnsi="宋体" w:eastAsia="宋体" w:cs="宋体"/>
          <w:b/>
          <w:color w:val="auto"/>
          <w:sz w:val="21"/>
          <w:szCs w:val="21"/>
          <w:highlight w:val="none"/>
        </w:rPr>
      </w:pPr>
    </w:p>
    <w:p w14:paraId="3E5CD1A4">
      <w:pPr>
        <w:pStyle w:val="292"/>
        <w:spacing w:line="300" w:lineRule="auto"/>
        <w:rPr>
          <w:rFonts w:hAnsi="宋体" w:eastAsia="宋体" w:cs="宋体"/>
          <w:b/>
          <w:color w:val="auto"/>
          <w:sz w:val="21"/>
          <w:szCs w:val="21"/>
          <w:highlight w:val="none"/>
        </w:rPr>
      </w:pPr>
      <w:r>
        <w:rPr>
          <w:rFonts w:hint="eastAsia" w:hAnsi="宋体" w:eastAsia="宋体" w:cs="宋体"/>
          <w:b/>
          <w:color w:val="auto"/>
          <w:sz w:val="21"/>
          <w:szCs w:val="21"/>
          <w:highlight w:val="none"/>
        </w:rPr>
        <w:t xml:space="preserve"> </w:t>
      </w:r>
      <w:r>
        <w:rPr>
          <w:rFonts w:hint="eastAsia" w:hAnsi="宋体" w:eastAsia="宋体" w:cs="宋体"/>
          <w:color w:val="auto"/>
          <w:sz w:val="21"/>
          <w:szCs w:val="21"/>
          <w:highlight w:val="none"/>
          <w:u w:val="single"/>
          <w:lang w:eastAsia="zh-CN"/>
        </w:rPr>
        <w:t>苏州高铁新城管理委员会</w:t>
      </w:r>
      <w:r>
        <w:rPr>
          <w:rFonts w:hint="eastAsia" w:hAnsi="宋体" w:eastAsia="宋体" w:cs="宋体"/>
          <w:color w:val="auto"/>
          <w:sz w:val="21"/>
          <w:szCs w:val="21"/>
          <w:highlight w:val="none"/>
          <w:u w:val="single"/>
        </w:rPr>
        <w:t>、</w:t>
      </w:r>
      <w:r>
        <w:rPr>
          <w:rFonts w:hint="eastAsia" w:hAnsi="宋体" w:eastAsia="宋体" w:cs="宋体"/>
          <w:color w:val="auto"/>
          <w:sz w:val="21"/>
          <w:szCs w:val="21"/>
          <w:highlight w:val="none"/>
          <w:u w:val="single"/>
          <w:lang w:eastAsia="zh-CN"/>
        </w:rPr>
        <w:t>众鑫工程管理（苏州）有限公司</w:t>
      </w:r>
      <w:r>
        <w:rPr>
          <w:rFonts w:hint="eastAsia" w:hAnsi="宋体" w:eastAsia="宋体" w:cs="宋体"/>
          <w:color w:val="auto"/>
          <w:sz w:val="21"/>
          <w:szCs w:val="21"/>
          <w:highlight w:val="none"/>
        </w:rPr>
        <w:t xml:space="preserve"> ：</w:t>
      </w:r>
    </w:p>
    <w:p w14:paraId="61C6A6FC">
      <w:pPr>
        <w:pStyle w:val="292"/>
        <w:spacing w:line="300" w:lineRule="auto"/>
        <w:ind w:firstLine="420"/>
        <w:rPr>
          <w:rFonts w:hAnsi="宋体" w:eastAsia="宋体" w:cs="宋体"/>
          <w:color w:val="auto"/>
          <w:sz w:val="21"/>
          <w:szCs w:val="21"/>
          <w:highlight w:val="none"/>
        </w:rPr>
      </w:pPr>
      <w:r>
        <w:rPr>
          <w:rFonts w:hint="eastAsia" w:hAnsi="宋体" w:eastAsia="宋体" w:cs="宋体"/>
          <w:color w:val="auto"/>
          <w:sz w:val="21"/>
          <w:szCs w:val="21"/>
          <w:highlight w:val="none"/>
        </w:rPr>
        <w:t>我们收到贵公司</w:t>
      </w:r>
      <w:r>
        <w:rPr>
          <w:rFonts w:hint="eastAsia" w:hAnsi="宋体" w:eastAsia="宋体" w:cs="宋体"/>
          <w:color w:val="auto"/>
          <w:sz w:val="21"/>
          <w:szCs w:val="21"/>
          <w:highlight w:val="none"/>
          <w:u w:val="single"/>
        </w:rPr>
        <w:t xml:space="preserve">        </w:t>
      </w:r>
      <w:r>
        <w:rPr>
          <w:rFonts w:hint="eastAsia" w:hAnsi="宋体" w:eastAsia="宋体" w:cs="宋体"/>
          <w:color w:val="auto"/>
          <w:sz w:val="21"/>
          <w:szCs w:val="21"/>
          <w:highlight w:val="none"/>
        </w:rPr>
        <w:t>号招标文件，经仔细阅读和研究，我们决定参加。</w:t>
      </w:r>
    </w:p>
    <w:p w14:paraId="34EABEDC">
      <w:pPr>
        <w:pStyle w:val="292"/>
        <w:spacing w:line="300" w:lineRule="auto"/>
        <w:ind w:firstLine="420"/>
        <w:rPr>
          <w:rFonts w:hAnsi="宋体" w:eastAsia="宋体" w:cs="宋体"/>
          <w:color w:val="auto"/>
          <w:sz w:val="21"/>
          <w:szCs w:val="21"/>
          <w:highlight w:val="none"/>
        </w:rPr>
      </w:pPr>
      <w:r>
        <w:rPr>
          <w:rFonts w:hint="eastAsia" w:hAnsi="宋体" w:eastAsia="宋体" w:cs="宋体"/>
          <w:color w:val="auto"/>
          <w:sz w:val="21"/>
          <w:szCs w:val="21"/>
          <w:highlight w:val="none"/>
        </w:rPr>
        <w:t>1.我方愿意按照招标文件的一切要求，提供本项目的所有服务内容，我公司的投标报价包括为履行本项目合同而发生的所有费用。投标报价为最终报价，除非因特殊原因并经双方协商同意，我方不得再要求追加任何费用。同时，除非合同条款中另有规定，否则，我方所报价格在合同实施期间不因市场变化因素而变动。</w:t>
      </w:r>
    </w:p>
    <w:p w14:paraId="76C1E0C8">
      <w:pPr>
        <w:pStyle w:val="292"/>
        <w:spacing w:line="300" w:lineRule="auto"/>
        <w:ind w:firstLine="420"/>
        <w:rPr>
          <w:rFonts w:hAnsi="宋体" w:eastAsia="宋体" w:cs="宋体"/>
          <w:color w:val="auto"/>
          <w:sz w:val="21"/>
          <w:szCs w:val="21"/>
          <w:highlight w:val="none"/>
        </w:rPr>
      </w:pPr>
      <w:r>
        <w:rPr>
          <w:rFonts w:hint="eastAsia" w:hAnsi="宋体" w:eastAsia="宋体" w:cs="宋体"/>
          <w:color w:val="auto"/>
          <w:sz w:val="21"/>
          <w:szCs w:val="21"/>
          <w:highlight w:val="none"/>
        </w:rPr>
        <w:t>2.如果我们的投标文件被接受，我们将严格履行招标文件中规定的每一项要求，按合同约定履行合同的义务。</w:t>
      </w:r>
    </w:p>
    <w:p w14:paraId="0E35E131">
      <w:pPr>
        <w:pStyle w:val="292"/>
        <w:spacing w:line="300" w:lineRule="auto"/>
        <w:ind w:firstLine="420"/>
        <w:rPr>
          <w:rFonts w:hAnsi="宋体" w:eastAsia="宋体" w:cs="宋体"/>
          <w:color w:val="auto"/>
          <w:sz w:val="21"/>
          <w:szCs w:val="21"/>
          <w:highlight w:val="none"/>
        </w:rPr>
      </w:pPr>
      <w:r>
        <w:rPr>
          <w:rFonts w:hint="eastAsia" w:hAnsi="宋体" w:eastAsia="宋体" w:cs="宋体"/>
          <w:color w:val="auto"/>
          <w:sz w:val="21"/>
          <w:szCs w:val="21"/>
          <w:highlight w:val="none"/>
        </w:rPr>
        <w:t>3.我们已详细审查全部招标文件，包括更正公告（如果有）。我们完全理解并同意放弃对这方面有不明及误解的权力。</w:t>
      </w:r>
    </w:p>
    <w:p w14:paraId="415B0902">
      <w:pPr>
        <w:pStyle w:val="292"/>
        <w:spacing w:line="300" w:lineRule="auto"/>
        <w:ind w:firstLine="420"/>
        <w:rPr>
          <w:rFonts w:hAnsi="宋体" w:eastAsia="宋体" w:cs="宋体"/>
          <w:color w:val="auto"/>
          <w:sz w:val="21"/>
          <w:szCs w:val="21"/>
          <w:highlight w:val="none"/>
        </w:rPr>
      </w:pPr>
      <w:r>
        <w:rPr>
          <w:rFonts w:hint="eastAsia" w:hAnsi="宋体" w:eastAsia="宋体" w:cs="宋体"/>
          <w:color w:val="auto"/>
          <w:sz w:val="21"/>
          <w:szCs w:val="21"/>
          <w:highlight w:val="none"/>
        </w:rPr>
        <w:t>4.我们同意按招标文件中的规定，本投标文件的有效期限为投标文件提交截止之日起90日内，如果我们在投标文件开启后规定的投标文件有效期内撤回投标文件，将按预算金额的2%支付违约金。</w:t>
      </w:r>
    </w:p>
    <w:p w14:paraId="01A15C19">
      <w:pPr>
        <w:spacing w:line="30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5.我们愿意提供采购人或采购代理机构在招标文件中要求的所有资料。也同意向采购人或采购代理机构提供可能另外要求的与本项目有关的任何证据或资料。并保证所提供的资料全部是真实的、有效的，若有虚假，我们愿承担一切责任。</w:t>
      </w:r>
    </w:p>
    <w:p w14:paraId="74DE0481">
      <w:pPr>
        <w:pStyle w:val="12"/>
        <w:spacing w:line="300" w:lineRule="auto"/>
        <w:rPr>
          <w:rFonts w:ascii="宋体" w:hAnsi="宋体" w:cs="宋体"/>
          <w:color w:val="auto"/>
          <w:szCs w:val="21"/>
          <w:highlight w:val="none"/>
        </w:rPr>
      </w:pPr>
      <w:r>
        <w:rPr>
          <w:rFonts w:hint="eastAsia" w:ascii="宋体" w:hAnsi="宋体" w:cs="宋体"/>
          <w:color w:val="auto"/>
          <w:szCs w:val="21"/>
          <w:highlight w:val="none"/>
        </w:rPr>
        <w:t>6.我们愿意遵守招标文件中所列的收费标准。</w:t>
      </w:r>
    </w:p>
    <w:p w14:paraId="4EF089CB">
      <w:pPr>
        <w:spacing w:line="30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7.我们承诺该投标文件在开启后的全过程中保持有效，不作任何更改和变动。我们同意中标后若不履行招标文件的内容要求和各项承诺及义务的即被视为违约，中标资格将被取消，并接受相应的处罚。</w:t>
      </w:r>
    </w:p>
    <w:p w14:paraId="24E75B8E">
      <w:pPr>
        <w:spacing w:line="30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8.我们承诺我公司符合招标文件投标人须知中“合格投标人的资格条件”的要求，若与真实情况不符，本公司愿意承担由此而产生的一切后果。</w:t>
      </w:r>
    </w:p>
    <w:p w14:paraId="623D6058">
      <w:pPr>
        <w:spacing w:line="30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9.如果我方未中标，我公司预留用于接收《未中标通知书》的电子邮箱为：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；同时我方承诺会及时接收并查阅相应的电子邮件，否则我方自动放弃获知相关信息权利并承担相应后果。</w:t>
      </w:r>
    </w:p>
    <w:p w14:paraId="0E209BBC">
      <w:pPr>
        <w:spacing w:line="30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所有有关投标文件的函电，请按下列地址联系：</w:t>
      </w:r>
    </w:p>
    <w:p w14:paraId="04AB9B6E">
      <w:pPr>
        <w:spacing w:line="300" w:lineRule="auto"/>
        <w:ind w:firstLine="420"/>
        <w:rPr>
          <w:rFonts w:ascii="宋体" w:hAnsi="宋体" w:cs="宋体"/>
          <w:color w:val="auto"/>
          <w:sz w:val="21"/>
          <w:szCs w:val="21"/>
          <w:highlight w:val="none"/>
          <w:u w:val="single"/>
        </w:rPr>
      </w:pPr>
      <w:r>
        <w:rPr>
          <w:rFonts w:hint="eastAsia" w:ascii="宋体" w:hAnsi="宋体" w:cs="宋体"/>
          <w:color w:val="auto"/>
          <w:sz w:val="21"/>
          <w:szCs w:val="21"/>
          <w:highlight w:val="none"/>
        </w:rPr>
        <w:t>单    位：</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联 系 人：</w:t>
      </w:r>
      <w:r>
        <w:rPr>
          <w:rFonts w:hint="eastAsia" w:ascii="宋体" w:hAnsi="宋体" w:cs="宋体"/>
          <w:color w:val="auto"/>
          <w:sz w:val="21"/>
          <w:szCs w:val="21"/>
          <w:highlight w:val="none"/>
          <w:u w:val="single"/>
        </w:rPr>
        <w:t xml:space="preserve">                    </w:t>
      </w:r>
    </w:p>
    <w:p w14:paraId="50253511">
      <w:pPr>
        <w:spacing w:line="300" w:lineRule="auto"/>
        <w:ind w:firstLine="420"/>
        <w:rPr>
          <w:rFonts w:ascii="宋体" w:hAnsi="宋体" w:cs="宋体"/>
          <w:color w:val="auto"/>
          <w:sz w:val="21"/>
          <w:szCs w:val="21"/>
          <w:highlight w:val="none"/>
          <w:u w:val="single"/>
        </w:rPr>
      </w:pPr>
      <w:r>
        <w:rPr>
          <w:rFonts w:hint="eastAsia" w:ascii="宋体" w:hAnsi="宋体" w:cs="宋体"/>
          <w:color w:val="auto"/>
          <w:sz w:val="21"/>
          <w:szCs w:val="21"/>
          <w:highlight w:val="none"/>
        </w:rPr>
        <w:t>地    址：</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邮政编码：</w:t>
      </w:r>
      <w:r>
        <w:rPr>
          <w:rFonts w:hint="eastAsia" w:ascii="宋体" w:hAnsi="宋体" w:cs="宋体"/>
          <w:color w:val="auto"/>
          <w:sz w:val="21"/>
          <w:szCs w:val="21"/>
          <w:highlight w:val="none"/>
          <w:u w:val="single"/>
        </w:rPr>
        <w:t xml:space="preserve">                    </w:t>
      </w:r>
    </w:p>
    <w:p w14:paraId="6F4A74C0">
      <w:pPr>
        <w:spacing w:line="300" w:lineRule="auto"/>
        <w:ind w:firstLine="420"/>
        <w:rPr>
          <w:rFonts w:ascii="宋体" w:hAnsi="宋体" w:cs="宋体"/>
          <w:color w:val="auto"/>
          <w:sz w:val="21"/>
          <w:szCs w:val="21"/>
          <w:highlight w:val="none"/>
          <w:u w:val="single"/>
        </w:rPr>
      </w:pPr>
      <w:r>
        <w:rPr>
          <w:rFonts w:hint="eastAsia" w:ascii="宋体" w:hAnsi="宋体" w:cs="宋体"/>
          <w:color w:val="auto"/>
          <w:sz w:val="21"/>
          <w:szCs w:val="21"/>
          <w:highlight w:val="none"/>
        </w:rPr>
        <w:t>联系电话：</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传    真：</w:t>
      </w:r>
      <w:r>
        <w:rPr>
          <w:rFonts w:hint="eastAsia" w:ascii="宋体" w:hAnsi="宋体" w:cs="宋体"/>
          <w:color w:val="auto"/>
          <w:sz w:val="21"/>
          <w:szCs w:val="21"/>
          <w:highlight w:val="none"/>
          <w:u w:val="single"/>
        </w:rPr>
        <w:t xml:space="preserve">                    </w:t>
      </w:r>
      <w:bookmarkStart w:id="71" w:name="_Toc142194267"/>
      <w:bookmarkStart w:id="72" w:name="_Toc492394291"/>
    </w:p>
    <w:p w14:paraId="03B86C20">
      <w:pPr>
        <w:pStyle w:val="308"/>
        <w:spacing w:line="440" w:lineRule="exact"/>
        <w:rPr>
          <w:rFonts w:hAnsi="宋体"/>
          <w:color w:val="auto"/>
          <w:highlight w:val="none"/>
        </w:rPr>
      </w:pPr>
      <w:r>
        <w:rPr>
          <w:rFonts w:hint="eastAsia" w:hAnsi="宋体"/>
          <w:color w:val="auto"/>
          <w:highlight w:val="none"/>
        </w:rPr>
        <w:t>投标人：（加</w:t>
      </w:r>
      <w:r>
        <w:rPr>
          <w:rFonts w:hint="eastAsia" w:ascii="宋体" w:hAnsi="宋体" w:cs="宋体"/>
          <w:color w:val="auto"/>
          <w:highlight w:val="none"/>
        </w:rPr>
        <w:t>盖CA电</w:t>
      </w:r>
      <w:r>
        <w:rPr>
          <w:rFonts w:hint="eastAsia" w:hAnsi="宋体"/>
          <w:color w:val="auto"/>
          <w:highlight w:val="none"/>
        </w:rPr>
        <w:t>子公章）</w:t>
      </w:r>
    </w:p>
    <w:p w14:paraId="0073CAE9">
      <w:pPr>
        <w:pStyle w:val="308"/>
        <w:spacing w:line="440" w:lineRule="exact"/>
        <w:rPr>
          <w:color w:val="auto"/>
          <w:szCs w:val="21"/>
          <w:highlight w:val="none"/>
        </w:rPr>
      </w:pPr>
      <w:r>
        <w:rPr>
          <w:rFonts w:hint="eastAsia" w:hAnsi="宋体"/>
          <w:color w:val="auto"/>
          <w:highlight w:val="none"/>
        </w:rPr>
        <w:t>日期：         年     月    日</w:t>
      </w:r>
    </w:p>
    <w:p w14:paraId="0B1120C8">
      <w:pPr>
        <w:spacing w:line="300" w:lineRule="auto"/>
        <w:rPr>
          <w:rFonts w:ascii="宋体" w:hAnsi="宋体" w:cs="宋体"/>
          <w:color w:val="auto"/>
          <w:sz w:val="21"/>
          <w:szCs w:val="21"/>
          <w:highlight w:val="none"/>
          <w:u w:val="single"/>
        </w:rPr>
      </w:pPr>
    </w:p>
    <w:p w14:paraId="703CFD1F">
      <w:pPr>
        <w:spacing w:line="300" w:lineRule="auto"/>
        <w:rPr>
          <w:rFonts w:hint="eastAsia" w:ascii="宋体" w:hAnsi="宋体" w:cs="宋体"/>
          <w:b/>
          <w:color w:val="auto"/>
          <w:sz w:val="21"/>
          <w:szCs w:val="21"/>
          <w:highlight w:val="none"/>
        </w:rPr>
      </w:pPr>
    </w:p>
    <w:p w14:paraId="04A0950A">
      <w:pPr>
        <w:spacing w:line="300" w:lineRule="auto"/>
        <w:rPr>
          <w:rFonts w:hint="eastAsia" w:ascii="宋体" w:hAnsi="宋体" w:cs="宋体"/>
          <w:b/>
          <w:color w:val="auto"/>
          <w:sz w:val="21"/>
          <w:szCs w:val="21"/>
          <w:highlight w:val="none"/>
        </w:rPr>
      </w:pPr>
    </w:p>
    <w:p w14:paraId="1FA2B32E">
      <w:pPr>
        <w:spacing w:line="300" w:lineRule="auto"/>
        <w:rPr>
          <w:rFonts w:hint="eastAsia" w:ascii="宋体" w:hAnsi="宋体" w:cs="宋体"/>
          <w:b/>
          <w:color w:val="auto"/>
          <w:sz w:val="21"/>
          <w:szCs w:val="21"/>
          <w:highlight w:val="none"/>
        </w:rPr>
      </w:pPr>
    </w:p>
    <w:p w14:paraId="2AF11FB6">
      <w:pPr>
        <w:spacing w:line="300" w:lineRule="auto"/>
        <w:rPr>
          <w:rFonts w:hint="eastAsia" w:ascii="宋体" w:hAnsi="宋体" w:cs="宋体"/>
          <w:b/>
          <w:color w:val="auto"/>
          <w:sz w:val="21"/>
          <w:szCs w:val="21"/>
          <w:highlight w:val="none"/>
        </w:rPr>
      </w:pPr>
    </w:p>
    <w:p w14:paraId="4B7ED460">
      <w:pPr>
        <w:spacing w:line="300" w:lineRule="auto"/>
        <w:rPr>
          <w:rFonts w:hint="eastAsia" w:ascii="宋体" w:hAnsi="宋体" w:cs="宋体"/>
          <w:b/>
          <w:color w:val="auto"/>
          <w:sz w:val="21"/>
          <w:szCs w:val="21"/>
          <w:highlight w:val="none"/>
        </w:rPr>
      </w:pPr>
    </w:p>
    <w:p w14:paraId="623F9D8F">
      <w:pPr>
        <w:spacing w:line="300" w:lineRule="auto"/>
        <w:rPr>
          <w:rFonts w:hint="eastAsia" w:ascii="宋体" w:hAnsi="宋体" w:cs="宋体"/>
          <w:b/>
          <w:color w:val="auto"/>
          <w:sz w:val="21"/>
          <w:szCs w:val="21"/>
          <w:highlight w:val="none"/>
        </w:rPr>
      </w:pPr>
    </w:p>
    <w:p w14:paraId="0D2FB47F">
      <w:pPr>
        <w:spacing w:line="300" w:lineRule="auto"/>
        <w:rPr>
          <w:rFonts w:hint="eastAsia" w:ascii="宋体" w:hAnsi="宋体" w:cs="宋体"/>
          <w:b/>
          <w:color w:val="auto"/>
          <w:sz w:val="21"/>
          <w:szCs w:val="21"/>
          <w:highlight w:val="none"/>
        </w:rPr>
      </w:pPr>
    </w:p>
    <w:p w14:paraId="6D5BB8EC">
      <w:pPr>
        <w:spacing w:line="300" w:lineRule="auto"/>
        <w:rPr>
          <w:rFonts w:hint="eastAsia" w:ascii="宋体" w:hAnsi="宋体" w:cs="宋体"/>
          <w:b/>
          <w:color w:val="auto"/>
          <w:sz w:val="21"/>
          <w:szCs w:val="21"/>
          <w:highlight w:val="none"/>
        </w:rPr>
      </w:pPr>
    </w:p>
    <w:p w14:paraId="68227BFF">
      <w:pPr>
        <w:spacing w:line="300" w:lineRule="auto"/>
        <w:rPr>
          <w:rFonts w:hint="eastAsia" w:ascii="宋体" w:hAnsi="宋体" w:cs="宋体"/>
          <w:b/>
          <w:color w:val="auto"/>
          <w:sz w:val="21"/>
          <w:szCs w:val="21"/>
          <w:highlight w:val="none"/>
        </w:rPr>
      </w:pPr>
    </w:p>
    <w:p w14:paraId="7F243F4A">
      <w:pPr>
        <w:spacing w:line="300" w:lineRule="auto"/>
        <w:rPr>
          <w:rFonts w:ascii="宋体" w:hAnsi="宋体" w:cs="宋体"/>
          <w:color w:val="auto"/>
          <w:sz w:val="21"/>
          <w:szCs w:val="21"/>
          <w:highlight w:val="none"/>
          <w:u w:val="single"/>
        </w:rPr>
      </w:pPr>
      <w:r>
        <w:rPr>
          <w:rFonts w:hint="eastAsia" w:ascii="宋体" w:hAnsi="宋体" w:cs="宋体"/>
          <w:b/>
          <w:color w:val="auto"/>
          <w:sz w:val="21"/>
          <w:szCs w:val="21"/>
          <w:highlight w:val="none"/>
        </w:rPr>
        <w:t>二、</w:t>
      </w:r>
      <w:bookmarkEnd w:id="71"/>
      <w:r>
        <w:rPr>
          <w:rFonts w:hint="eastAsia" w:ascii="宋体" w:hAnsi="宋体" w:cs="宋体"/>
          <w:b/>
          <w:color w:val="auto"/>
          <w:sz w:val="21"/>
          <w:szCs w:val="21"/>
          <w:highlight w:val="none"/>
        </w:rPr>
        <w:t>法定代表人授权委托书</w:t>
      </w:r>
      <w:bookmarkEnd w:id="72"/>
    </w:p>
    <w:p w14:paraId="1B905B66">
      <w:pPr>
        <w:pStyle w:val="12"/>
        <w:spacing w:line="360" w:lineRule="auto"/>
        <w:ind w:firstLine="0"/>
        <w:jc w:val="center"/>
        <w:rPr>
          <w:rFonts w:ascii="宋体" w:hAnsi="宋体" w:cs="宋体"/>
          <w:color w:val="auto"/>
          <w:szCs w:val="21"/>
          <w:highlight w:val="none"/>
        </w:rPr>
      </w:pPr>
    </w:p>
    <w:p w14:paraId="39EBF35F">
      <w:pPr>
        <w:pStyle w:val="12"/>
        <w:spacing w:line="360" w:lineRule="auto"/>
        <w:ind w:firstLine="0"/>
        <w:jc w:val="center"/>
        <w:rPr>
          <w:rFonts w:ascii="宋体" w:hAnsi="宋体" w:cs="宋体"/>
          <w:b/>
          <w:color w:val="auto"/>
          <w:szCs w:val="21"/>
          <w:highlight w:val="none"/>
        </w:rPr>
      </w:pPr>
      <w:r>
        <w:rPr>
          <w:rFonts w:hint="eastAsia" w:ascii="宋体" w:hAnsi="宋体" w:cs="宋体"/>
          <w:b/>
          <w:color w:val="auto"/>
          <w:szCs w:val="21"/>
          <w:highlight w:val="none"/>
        </w:rPr>
        <w:t>法定代表人授权委托书</w:t>
      </w:r>
    </w:p>
    <w:p w14:paraId="67CAD9C2">
      <w:pPr>
        <w:pStyle w:val="12"/>
        <w:spacing w:line="440" w:lineRule="exact"/>
        <w:rPr>
          <w:rFonts w:ascii="宋体" w:hAnsi="宋体" w:cs="宋体"/>
          <w:color w:val="auto"/>
          <w:highlight w:val="none"/>
        </w:rPr>
      </w:pPr>
      <w:bookmarkStart w:id="73" w:name="_Toc142194270"/>
      <w:bookmarkStart w:id="74" w:name="_Toc492394294"/>
      <w:r>
        <w:rPr>
          <w:rFonts w:hint="eastAsia" w:ascii="宋体" w:hAnsi="宋体" w:cs="宋体"/>
          <w:color w:val="auto"/>
          <w:highlight w:val="none"/>
        </w:rPr>
        <w:t xml:space="preserve">本授权委托书声明：我 </w:t>
      </w:r>
      <w:r>
        <w:rPr>
          <w:rFonts w:hint="eastAsia" w:ascii="宋体" w:hAnsi="宋体" w:cs="宋体"/>
          <w:color w:val="auto"/>
          <w:highlight w:val="none"/>
          <w:u w:val="single"/>
        </w:rPr>
        <w:t xml:space="preserve">          </w:t>
      </w:r>
      <w:r>
        <w:rPr>
          <w:rFonts w:hint="eastAsia" w:ascii="宋体" w:hAnsi="宋体" w:cs="宋体"/>
          <w:color w:val="auto"/>
          <w:highlight w:val="none"/>
        </w:rPr>
        <w:t>（姓名）系</w:t>
      </w:r>
      <w:r>
        <w:rPr>
          <w:rFonts w:hint="eastAsia" w:ascii="宋体" w:hAnsi="宋体" w:cs="宋体"/>
          <w:color w:val="auto"/>
          <w:highlight w:val="none"/>
          <w:u w:val="single"/>
        </w:rPr>
        <w:t xml:space="preserve">             </w:t>
      </w:r>
      <w:r>
        <w:rPr>
          <w:rFonts w:hint="eastAsia" w:ascii="宋体" w:hAnsi="宋体" w:cs="宋体"/>
          <w:color w:val="auto"/>
          <w:highlight w:val="none"/>
        </w:rPr>
        <w:t>（投标人名称）的法定代表人，现授权委托</w:t>
      </w:r>
      <w:r>
        <w:rPr>
          <w:rFonts w:hint="eastAsia" w:ascii="宋体" w:hAnsi="宋体" w:cs="宋体"/>
          <w:color w:val="auto"/>
          <w:highlight w:val="none"/>
          <w:u w:val="single"/>
        </w:rPr>
        <w:t xml:space="preserve">              （</w:t>
      </w:r>
      <w:r>
        <w:rPr>
          <w:rFonts w:hint="eastAsia" w:ascii="宋体" w:hAnsi="宋体" w:cs="宋体"/>
          <w:color w:val="auto"/>
          <w:highlight w:val="none"/>
        </w:rPr>
        <w:t>单位名称）的</w:t>
      </w:r>
      <w:r>
        <w:rPr>
          <w:rFonts w:hint="eastAsia" w:ascii="宋体" w:hAnsi="宋体" w:cs="宋体"/>
          <w:color w:val="auto"/>
          <w:highlight w:val="none"/>
          <w:u w:val="single"/>
        </w:rPr>
        <w:t xml:space="preserve">         </w:t>
      </w:r>
      <w:r>
        <w:rPr>
          <w:rFonts w:hint="eastAsia" w:ascii="宋体" w:hAnsi="宋体" w:cs="宋体"/>
          <w:color w:val="auto"/>
          <w:highlight w:val="none"/>
        </w:rPr>
        <w:t>（</w:t>
      </w:r>
      <w:r>
        <w:rPr>
          <w:rFonts w:hAnsi="宋体"/>
          <w:color w:val="auto"/>
          <w:highlight w:val="none"/>
        </w:rPr>
        <w:t>姓名</w:t>
      </w:r>
      <w:r>
        <w:rPr>
          <w:rFonts w:cs="宋体"/>
          <w:color w:val="auto"/>
          <w:sz w:val="24"/>
          <w:szCs w:val="24"/>
          <w:highlight w:val="none"/>
        </w:rPr>
        <w:t>+</w:t>
      </w:r>
      <w:r>
        <w:rPr>
          <w:rFonts w:cs="宋体"/>
          <w:color w:val="auto"/>
          <w:szCs w:val="21"/>
          <w:highlight w:val="none"/>
        </w:rPr>
        <w:t>手机号码</w:t>
      </w:r>
      <w:r>
        <w:rPr>
          <w:rFonts w:hint="eastAsia" w:ascii="宋体" w:hAnsi="宋体" w:cs="宋体"/>
          <w:color w:val="auto"/>
          <w:highlight w:val="none"/>
        </w:rPr>
        <w:t>）为我公司</w:t>
      </w:r>
      <w:r>
        <w:rPr>
          <w:rFonts w:hint="eastAsia" w:ascii="宋体" w:hAnsi="宋体" w:cs="宋体"/>
          <w:color w:val="auto"/>
          <w:szCs w:val="21"/>
          <w:highlight w:val="none"/>
        </w:rPr>
        <w:t>代理人</w:t>
      </w:r>
      <w:r>
        <w:rPr>
          <w:rFonts w:hint="eastAsia" w:ascii="宋体" w:hAnsi="宋体" w:cs="宋体"/>
          <w:color w:val="auto"/>
          <w:highlight w:val="none"/>
        </w:rPr>
        <w:t>，以本公司的名义参加</w:t>
      </w:r>
      <w:r>
        <w:rPr>
          <w:rFonts w:hint="eastAsia" w:ascii="宋体" w:hAnsi="宋体" w:cs="宋体"/>
          <w:color w:val="auto"/>
          <w:highlight w:val="none"/>
          <w:lang w:eastAsia="zh-CN"/>
        </w:rPr>
        <w:t>众鑫工程管理（苏州）有限公司</w:t>
      </w:r>
      <w:r>
        <w:rPr>
          <w:rFonts w:hint="eastAsia" w:ascii="宋体" w:hAnsi="宋体" w:cs="宋体"/>
          <w:color w:val="auto"/>
          <w:highlight w:val="none"/>
        </w:rPr>
        <w:t>组织实施的编号为</w:t>
      </w:r>
      <w:r>
        <w:rPr>
          <w:rFonts w:hint="eastAsia" w:ascii="宋体" w:hAnsi="宋体" w:cs="宋体"/>
          <w:color w:val="auto"/>
          <w:highlight w:val="none"/>
          <w:u w:val="single"/>
        </w:rPr>
        <w:t xml:space="preserve">          </w:t>
      </w:r>
      <w:r>
        <w:rPr>
          <w:rFonts w:hint="eastAsia" w:ascii="宋体" w:hAnsi="宋体" w:cs="宋体"/>
          <w:color w:val="auto"/>
          <w:highlight w:val="none"/>
        </w:rPr>
        <w:t>号的招标活动。代理人在开标、评标、合同采购过程中所签署的一切文件和处理与这有关的一切事务，我均予以承认。</w:t>
      </w:r>
    </w:p>
    <w:p w14:paraId="68178AD7">
      <w:pPr>
        <w:pStyle w:val="12"/>
        <w:spacing w:line="440" w:lineRule="exact"/>
        <w:rPr>
          <w:rFonts w:ascii="宋体" w:hAnsi="宋体" w:cs="宋体"/>
          <w:color w:val="auto"/>
          <w:highlight w:val="none"/>
        </w:rPr>
      </w:pPr>
      <w:r>
        <w:rPr>
          <w:rFonts w:hint="eastAsia" w:ascii="宋体" w:hAnsi="宋体" w:cs="宋体"/>
          <w:color w:val="auto"/>
          <w:highlight w:val="none"/>
        </w:rPr>
        <w:t>代理人在授权委托书有效期内签署的所有文件不因授权委托的撤销而失效，除非有撤销授权委托的书面通知，本授权委托书自投标开始至合同履行完毕止。</w:t>
      </w:r>
    </w:p>
    <w:p w14:paraId="51C2DE3E">
      <w:pPr>
        <w:pStyle w:val="12"/>
        <w:spacing w:line="440" w:lineRule="exact"/>
        <w:rPr>
          <w:rFonts w:ascii="宋体" w:hAnsi="宋体" w:cs="宋体"/>
          <w:color w:val="auto"/>
          <w:highlight w:val="none"/>
        </w:rPr>
      </w:pPr>
      <w:r>
        <w:rPr>
          <w:rFonts w:hint="eastAsia" w:ascii="宋体" w:hAnsi="宋体" w:cs="宋体"/>
          <w:color w:val="auto"/>
          <w:highlight w:val="none"/>
        </w:rPr>
        <w:t>代理人无转委托权。特此委托。</w:t>
      </w:r>
    </w:p>
    <w:p w14:paraId="45972445">
      <w:pPr>
        <w:pStyle w:val="12"/>
        <w:spacing w:line="440" w:lineRule="exact"/>
        <w:rPr>
          <w:rFonts w:ascii="宋体" w:hAnsi="宋体" w:cs="宋体"/>
          <w:color w:val="auto"/>
          <w:highlight w:val="none"/>
        </w:rPr>
      </w:pPr>
      <w:r>
        <w:rPr>
          <w:rFonts w:hint="eastAsia" w:ascii="宋体" w:hAnsi="宋体" w:cs="宋体"/>
          <w:color w:val="auto"/>
          <w:highlight w:val="none"/>
        </w:rPr>
        <w:t xml:space="preserve">    </w:t>
      </w:r>
    </w:p>
    <w:p w14:paraId="3E347381">
      <w:pPr>
        <w:pStyle w:val="12"/>
        <w:spacing w:line="440" w:lineRule="exact"/>
        <w:rPr>
          <w:rFonts w:ascii="宋体" w:hAnsi="宋体" w:cs="宋体"/>
          <w:color w:val="auto"/>
          <w:highlight w:val="none"/>
        </w:rPr>
      </w:pPr>
      <w:r>
        <w:rPr>
          <w:rFonts w:hint="eastAsia" w:ascii="宋体" w:hAnsi="宋体" w:cs="宋体"/>
          <w:color w:val="auto"/>
          <w:highlight w:val="none"/>
        </w:rPr>
        <w:t>投标人：（</w:t>
      </w:r>
      <w:r>
        <w:rPr>
          <w:rFonts w:hint="eastAsia" w:hAnsi="宋体"/>
          <w:color w:val="auto"/>
          <w:highlight w:val="none"/>
        </w:rPr>
        <w:t>加</w:t>
      </w:r>
      <w:r>
        <w:rPr>
          <w:rFonts w:hint="eastAsia" w:ascii="宋体" w:hAnsi="宋体" w:cs="宋体"/>
          <w:color w:val="auto"/>
          <w:highlight w:val="none"/>
        </w:rPr>
        <w:t>盖CA电</w:t>
      </w:r>
      <w:r>
        <w:rPr>
          <w:rFonts w:hint="eastAsia" w:hAnsi="宋体"/>
          <w:color w:val="auto"/>
          <w:highlight w:val="none"/>
        </w:rPr>
        <w:t>子公章</w:t>
      </w:r>
      <w:r>
        <w:rPr>
          <w:rFonts w:hint="eastAsia" w:ascii="宋体" w:hAnsi="宋体" w:cs="宋体"/>
          <w:color w:val="auto"/>
          <w:highlight w:val="none"/>
        </w:rPr>
        <w:t>）</w:t>
      </w:r>
    </w:p>
    <w:p w14:paraId="3F76FAE8">
      <w:pPr>
        <w:pStyle w:val="12"/>
        <w:spacing w:line="440" w:lineRule="exact"/>
        <w:rPr>
          <w:rFonts w:ascii="宋体" w:hAnsi="宋体" w:cs="宋体"/>
          <w:color w:val="auto"/>
          <w:highlight w:val="none"/>
        </w:rPr>
      </w:pPr>
      <w:r>
        <w:rPr>
          <w:rFonts w:hint="eastAsia" w:ascii="宋体" w:hAnsi="宋体" w:cs="宋体"/>
          <w:color w:val="auto"/>
          <w:highlight w:val="none"/>
        </w:rPr>
        <w:t>法定代表人：（签字或签章）</w:t>
      </w:r>
    </w:p>
    <w:p w14:paraId="2D2356DD">
      <w:pPr>
        <w:pStyle w:val="12"/>
        <w:spacing w:line="440" w:lineRule="exact"/>
        <w:rPr>
          <w:rFonts w:ascii="宋体" w:hAnsi="宋体" w:cs="宋体"/>
          <w:color w:val="auto"/>
          <w:highlight w:val="none"/>
        </w:rPr>
      </w:pPr>
      <w:r>
        <w:rPr>
          <w:rFonts w:hint="eastAsia" w:ascii="宋体" w:hAnsi="宋体" w:cs="宋体"/>
          <w:color w:val="auto"/>
          <w:highlight w:val="none"/>
        </w:rPr>
        <w:t>代理人：（签字或签章）</w:t>
      </w:r>
    </w:p>
    <w:p w14:paraId="347BE45A">
      <w:pPr>
        <w:pStyle w:val="12"/>
        <w:spacing w:line="440" w:lineRule="exact"/>
        <w:rPr>
          <w:rFonts w:ascii="宋体" w:hAnsi="宋体" w:cs="宋体"/>
          <w:color w:val="auto"/>
          <w:szCs w:val="21"/>
          <w:highlight w:val="none"/>
        </w:rPr>
      </w:pPr>
      <w:r>
        <w:rPr>
          <w:rFonts w:hint="eastAsia" w:ascii="宋体" w:hAnsi="宋体" w:cs="宋体"/>
          <w:color w:val="auto"/>
          <w:highlight w:val="none"/>
        </w:rPr>
        <w:t>日期：         年     月    日</w:t>
      </w:r>
    </w:p>
    <w:p w14:paraId="46C45C4E">
      <w:pPr>
        <w:spacing w:line="312" w:lineRule="auto"/>
        <w:ind w:left="480"/>
        <w:rPr>
          <w:rFonts w:ascii="宋体" w:hAnsi="宋体" w:cs="宋体"/>
          <w:color w:val="auto"/>
          <w:sz w:val="21"/>
          <w:szCs w:val="21"/>
          <w:highlight w:val="none"/>
        </w:rPr>
      </w:pPr>
      <w:r>
        <w:rPr>
          <w:rFonts w:hint="eastAsia" w:ascii="宋体" w:hAnsi="宋体" w:cs="宋体"/>
          <w:color w:val="auto"/>
          <w:sz w:val="21"/>
          <w:szCs w:val="21"/>
          <w:highlight w:val="none"/>
        </w:rPr>
        <w:t xml:space="preserve"> </w:t>
      </w:r>
    </w:p>
    <w:p w14:paraId="2A994E97">
      <w:pPr>
        <w:spacing w:line="440" w:lineRule="exact"/>
        <w:rPr>
          <w:b/>
          <w:color w:val="auto"/>
          <w:sz w:val="21"/>
          <w:szCs w:val="21"/>
          <w:highlight w:val="none"/>
        </w:rPr>
      </w:pPr>
      <w:r>
        <w:rPr>
          <w:b/>
          <w:color w:val="auto"/>
          <w:sz w:val="21"/>
          <w:szCs w:val="21"/>
          <w:highlight w:val="none"/>
        </w:rPr>
        <w:t>备注：</w:t>
      </w:r>
      <w:r>
        <w:rPr>
          <w:rFonts w:hint="eastAsia"/>
          <w:b/>
          <w:color w:val="auto"/>
          <w:sz w:val="21"/>
          <w:szCs w:val="21"/>
          <w:highlight w:val="none"/>
        </w:rPr>
        <w:t>投标人</w:t>
      </w:r>
      <w:r>
        <w:rPr>
          <w:b/>
          <w:color w:val="auto"/>
          <w:sz w:val="21"/>
          <w:szCs w:val="21"/>
          <w:highlight w:val="none"/>
        </w:rPr>
        <w:t>如有授权委托，必须提供该法人授权委托书及代理人身份证，否则投标无效；</w:t>
      </w:r>
    </w:p>
    <w:p w14:paraId="60918BF6">
      <w:pPr>
        <w:pStyle w:val="304"/>
        <w:spacing w:line="440" w:lineRule="exact"/>
        <w:ind w:firstLine="637"/>
        <w:rPr>
          <w:rFonts w:ascii="Times New Roman" w:hAnsi="Times New Roman" w:eastAsia="宋体"/>
          <w:b/>
          <w:color w:val="auto"/>
          <w:sz w:val="21"/>
          <w:szCs w:val="21"/>
          <w:highlight w:val="none"/>
        </w:rPr>
      </w:pPr>
      <w:r>
        <w:rPr>
          <w:rFonts w:hint="eastAsia" w:ascii="Times New Roman" w:hAnsi="Times New Roman" w:eastAsia="宋体"/>
          <w:b/>
          <w:color w:val="auto"/>
          <w:sz w:val="21"/>
          <w:szCs w:val="21"/>
          <w:highlight w:val="none"/>
        </w:rPr>
        <w:t>投标人</w:t>
      </w:r>
      <w:r>
        <w:rPr>
          <w:rFonts w:ascii="Times New Roman" w:hAnsi="Times New Roman" w:eastAsia="宋体"/>
          <w:b/>
          <w:color w:val="auto"/>
          <w:sz w:val="21"/>
          <w:szCs w:val="21"/>
          <w:highlight w:val="none"/>
        </w:rPr>
        <w:t>无授权委托的情况下，必须提供法定代表人身份证，否则投标无效。</w:t>
      </w:r>
    </w:p>
    <w:p w14:paraId="5421A1AF">
      <w:pPr>
        <w:numPr>
          <w:ilvl w:val="0"/>
          <w:numId w:val="3"/>
        </w:numPr>
        <w:spacing w:line="312" w:lineRule="auto"/>
        <w:rPr>
          <w:rFonts w:hint="eastAsia" w:ascii="宋体" w:hAnsi="宋体" w:cs="宋体"/>
          <w:b/>
          <w:sz w:val="21"/>
          <w:szCs w:val="21"/>
          <w:highlight w:val="none"/>
        </w:rPr>
      </w:pPr>
      <w:r>
        <w:rPr>
          <w:rFonts w:hint="eastAsia" w:ascii="宋体" w:hAnsi="宋体" w:cs="宋体"/>
          <w:b/>
          <w:color w:val="auto"/>
          <w:sz w:val="21"/>
          <w:szCs w:val="21"/>
          <w:highlight w:val="none"/>
        </w:rPr>
        <w:br w:type="page" w:clear="all"/>
      </w:r>
      <w:r>
        <w:rPr>
          <w:rFonts w:hint="eastAsia" w:ascii="宋体" w:hAnsi="宋体" w:cs="宋体"/>
          <w:b/>
          <w:color w:val="auto"/>
          <w:sz w:val="21"/>
          <w:szCs w:val="21"/>
          <w:highlight w:val="none"/>
        </w:rPr>
        <w:t>开标一览表</w:t>
      </w:r>
      <w:r>
        <w:rPr>
          <w:rFonts w:hint="eastAsia" w:ascii="宋体" w:hAnsi="宋体" w:cs="宋体"/>
          <w:b/>
          <w:sz w:val="21"/>
          <w:szCs w:val="21"/>
          <w:highlight w:val="none"/>
        </w:rPr>
        <w:t>（具体按“苏采云”系统填报）</w:t>
      </w:r>
    </w:p>
    <w:p w14:paraId="15056F85">
      <w:pPr>
        <w:numPr>
          <w:ilvl w:val="0"/>
          <w:numId w:val="0"/>
        </w:numPr>
        <w:spacing w:line="312" w:lineRule="auto"/>
        <w:rPr>
          <w:rFonts w:hint="eastAsia" w:ascii="宋体" w:hAnsi="宋体" w:cs="宋体"/>
          <w:b/>
          <w:sz w:val="21"/>
          <w:szCs w:val="21"/>
          <w:highlight w:val="none"/>
        </w:rPr>
      </w:pPr>
    </w:p>
    <w:p w14:paraId="0403E747">
      <w:pPr>
        <w:numPr>
          <w:ilvl w:val="0"/>
          <w:numId w:val="0"/>
        </w:numPr>
        <w:spacing w:line="312" w:lineRule="auto"/>
        <w:rPr>
          <w:rFonts w:hint="eastAsia" w:ascii="宋体" w:hAnsi="宋体" w:cs="宋体"/>
          <w:b/>
          <w:sz w:val="21"/>
          <w:szCs w:val="21"/>
          <w:highlight w:val="none"/>
        </w:rPr>
      </w:pPr>
    </w:p>
    <w:p w14:paraId="57397FEF">
      <w:pPr>
        <w:numPr>
          <w:ilvl w:val="0"/>
          <w:numId w:val="0"/>
        </w:numPr>
        <w:spacing w:line="312" w:lineRule="auto"/>
        <w:rPr>
          <w:rFonts w:hint="eastAsia" w:ascii="宋体" w:hAnsi="宋体" w:cs="宋体"/>
          <w:b/>
          <w:sz w:val="21"/>
          <w:szCs w:val="21"/>
          <w:highlight w:val="none"/>
        </w:rPr>
      </w:pPr>
    </w:p>
    <w:p w14:paraId="5702D850">
      <w:pPr>
        <w:numPr>
          <w:ilvl w:val="0"/>
          <w:numId w:val="0"/>
        </w:numPr>
        <w:spacing w:line="312" w:lineRule="auto"/>
        <w:rPr>
          <w:rFonts w:hint="eastAsia" w:ascii="宋体" w:hAnsi="宋体" w:cs="宋体"/>
          <w:b/>
          <w:sz w:val="21"/>
          <w:szCs w:val="21"/>
          <w:highlight w:val="none"/>
        </w:rPr>
      </w:pPr>
    </w:p>
    <w:p w14:paraId="34BD90A8">
      <w:pPr>
        <w:numPr>
          <w:ilvl w:val="0"/>
          <w:numId w:val="0"/>
        </w:numPr>
        <w:spacing w:line="312" w:lineRule="auto"/>
        <w:rPr>
          <w:rFonts w:hint="eastAsia" w:ascii="宋体" w:hAnsi="宋体" w:cs="宋体"/>
          <w:b/>
          <w:sz w:val="21"/>
          <w:szCs w:val="21"/>
          <w:highlight w:val="none"/>
        </w:rPr>
      </w:pPr>
    </w:p>
    <w:p w14:paraId="1379197A">
      <w:pPr>
        <w:numPr>
          <w:ilvl w:val="0"/>
          <w:numId w:val="0"/>
        </w:numPr>
        <w:spacing w:line="312" w:lineRule="auto"/>
        <w:rPr>
          <w:rFonts w:hint="eastAsia" w:ascii="宋体" w:hAnsi="宋体" w:cs="宋体"/>
          <w:b/>
          <w:sz w:val="21"/>
          <w:szCs w:val="21"/>
          <w:highlight w:val="none"/>
        </w:rPr>
      </w:pPr>
    </w:p>
    <w:p w14:paraId="08928AD2">
      <w:pPr>
        <w:numPr>
          <w:ilvl w:val="0"/>
          <w:numId w:val="0"/>
        </w:numPr>
        <w:spacing w:line="312" w:lineRule="auto"/>
        <w:rPr>
          <w:rFonts w:hint="eastAsia" w:ascii="宋体" w:hAnsi="宋体" w:cs="宋体"/>
          <w:b/>
          <w:sz w:val="21"/>
          <w:szCs w:val="21"/>
          <w:highlight w:val="none"/>
        </w:rPr>
      </w:pPr>
    </w:p>
    <w:p w14:paraId="649657F1">
      <w:pPr>
        <w:numPr>
          <w:ilvl w:val="0"/>
          <w:numId w:val="0"/>
        </w:numPr>
        <w:spacing w:line="312" w:lineRule="auto"/>
        <w:rPr>
          <w:rFonts w:hint="eastAsia" w:ascii="宋体" w:hAnsi="宋体" w:cs="宋体"/>
          <w:b/>
          <w:sz w:val="21"/>
          <w:szCs w:val="21"/>
          <w:highlight w:val="none"/>
        </w:rPr>
      </w:pPr>
    </w:p>
    <w:p w14:paraId="73D37D92">
      <w:pPr>
        <w:numPr>
          <w:ilvl w:val="0"/>
          <w:numId w:val="0"/>
        </w:numPr>
        <w:spacing w:line="312" w:lineRule="auto"/>
        <w:rPr>
          <w:rFonts w:hint="eastAsia" w:ascii="宋体" w:hAnsi="宋体" w:cs="宋体"/>
          <w:b/>
          <w:sz w:val="21"/>
          <w:szCs w:val="21"/>
          <w:highlight w:val="none"/>
        </w:rPr>
      </w:pPr>
    </w:p>
    <w:p w14:paraId="5D74F3FE">
      <w:pPr>
        <w:numPr>
          <w:ilvl w:val="0"/>
          <w:numId w:val="0"/>
        </w:numPr>
        <w:spacing w:line="312" w:lineRule="auto"/>
        <w:rPr>
          <w:rFonts w:hint="eastAsia" w:ascii="宋体" w:hAnsi="宋体" w:cs="宋体"/>
          <w:b/>
          <w:sz w:val="21"/>
          <w:szCs w:val="21"/>
          <w:highlight w:val="none"/>
        </w:rPr>
      </w:pPr>
    </w:p>
    <w:p w14:paraId="434B3F09">
      <w:pPr>
        <w:numPr>
          <w:ilvl w:val="0"/>
          <w:numId w:val="0"/>
        </w:numPr>
        <w:spacing w:line="312" w:lineRule="auto"/>
        <w:rPr>
          <w:rFonts w:hint="eastAsia" w:ascii="宋体" w:hAnsi="宋体" w:cs="宋体"/>
          <w:b/>
          <w:sz w:val="21"/>
          <w:szCs w:val="21"/>
          <w:highlight w:val="none"/>
        </w:rPr>
      </w:pPr>
    </w:p>
    <w:p w14:paraId="73F84ACB">
      <w:pPr>
        <w:numPr>
          <w:ilvl w:val="0"/>
          <w:numId w:val="0"/>
        </w:numPr>
        <w:spacing w:line="312" w:lineRule="auto"/>
        <w:rPr>
          <w:rFonts w:hint="eastAsia" w:ascii="宋体" w:hAnsi="宋体" w:cs="宋体"/>
          <w:b/>
          <w:sz w:val="21"/>
          <w:szCs w:val="21"/>
          <w:highlight w:val="none"/>
        </w:rPr>
      </w:pPr>
    </w:p>
    <w:p w14:paraId="58180844">
      <w:pPr>
        <w:numPr>
          <w:ilvl w:val="0"/>
          <w:numId w:val="0"/>
        </w:numPr>
        <w:spacing w:line="312" w:lineRule="auto"/>
        <w:rPr>
          <w:rFonts w:hint="eastAsia" w:ascii="宋体" w:hAnsi="宋体" w:cs="宋体"/>
          <w:b/>
          <w:sz w:val="21"/>
          <w:szCs w:val="21"/>
          <w:highlight w:val="none"/>
        </w:rPr>
      </w:pPr>
    </w:p>
    <w:p w14:paraId="22E210DF">
      <w:pPr>
        <w:numPr>
          <w:ilvl w:val="0"/>
          <w:numId w:val="0"/>
        </w:numPr>
        <w:spacing w:line="312" w:lineRule="auto"/>
        <w:rPr>
          <w:rFonts w:hint="eastAsia" w:ascii="宋体" w:hAnsi="宋体" w:cs="宋体"/>
          <w:b/>
          <w:sz w:val="21"/>
          <w:szCs w:val="21"/>
          <w:highlight w:val="none"/>
        </w:rPr>
      </w:pPr>
    </w:p>
    <w:p w14:paraId="3241AE66">
      <w:pPr>
        <w:numPr>
          <w:ilvl w:val="0"/>
          <w:numId w:val="0"/>
        </w:numPr>
        <w:spacing w:line="312" w:lineRule="auto"/>
        <w:rPr>
          <w:rFonts w:hint="eastAsia" w:ascii="宋体" w:hAnsi="宋体" w:cs="宋体"/>
          <w:b/>
          <w:sz w:val="21"/>
          <w:szCs w:val="21"/>
          <w:highlight w:val="none"/>
        </w:rPr>
      </w:pPr>
    </w:p>
    <w:p w14:paraId="3982D97D">
      <w:pPr>
        <w:numPr>
          <w:ilvl w:val="0"/>
          <w:numId w:val="0"/>
        </w:numPr>
        <w:spacing w:line="312" w:lineRule="auto"/>
        <w:rPr>
          <w:rFonts w:hint="eastAsia" w:ascii="宋体" w:hAnsi="宋体" w:cs="宋体"/>
          <w:b/>
          <w:sz w:val="21"/>
          <w:szCs w:val="21"/>
          <w:highlight w:val="none"/>
        </w:rPr>
      </w:pPr>
    </w:p>
    <w:p w14:paraId="24AB66DD">
      <w:pPr>
        <w:numPr>
          <w:ilvl w:val="0"/>
          <w:numId w:val="0"/>
        </w:numPr>
        <w:spacing w:line="312" w:lineRule="auto"/>
        <w:rPr>
          <w:rFonts w:hint="eastAsia" w:ascii="宋体" w:hAnsi="宋体" w:cs="宋体"/>
          <w:b/>
          <w:sz w:val="21"/>
          <w:szCs w:val="21"/>
          <w:highlight w:val="none"/>
        </w:rPr>
      </w:pPr>
    </w:p>
    <w:p w14:paraId="7A5BE79F">
      <w:pPr>
        <w:numPr>
          <w:ilvl w:val="0"/>
          <w:numId w:val="0"/>
        </w:numPr>
        <w:spacing w:line="312" w:lineRule="auto"/>
        <w:rPr>
          <w:rFonts w:hint="eastAsia" w:ascii="宋体" w:hAnsi="宋体" w:cs="宋体"/>
          <w:b/>
          <w:sz w:val="21"/>
          <w:szCs w:val="21"/>
          <w:highlight w:val="none"/>
        </w:rPr>
      </w:pPr>
    </w:p>
    <w:p w14:paraId="56F1AC90">
      <w:pPr>
        <w:numPr>
          <w:ilvl w:val="0"/>
          <w:numId w:val="0"/>
        </w:numPr>
        <w:spacing w:line="312" w:lineRule="auto"/>
        <w:rPr>
          <w:rFonts w:hint="eastAsia" w:ascii="宋体" w:hAnsi="宋体" w:cs="宋体"/>
          <w:b/>
          <w:sz w:val="21"/>
          <w:szCs w:val="21"/>
          <w:highlight w:val="none"/>
        </w:rPr>
      </w:pPr>
    </w:p>
    <w:p w14:paraId="766D54B7">
      <w:pPr>
        <w:numPr>
          <w:ilvl w:val="0"/>
          <w:numId w:val="0"/>
        </w:numPr>
        <w:spacing w:line="312" w:lineRule="auto"/>
        <w:rPr>
          <w:rFonts w:hint="eastAsia" w:ascii="宋体" w:hAnsi="宋体" w:cs="宋体"/>
          <w:b/>
          <w:sz w:val="21"/>
          <w:szCs w:val="21"/>
          <w:highlight w:val="none"/>
        </w:rPr>
      </w:pPr>
    </w:p>
    <w:p w14:paraId="687DC394">
      <w:pPr>
        <w:numPr>
          <w:ilvl w:val="0"/>
          <w:numId w:val="0"/>
        </w:numPr>
        <w:spacing w:line="312" w:lineRule="auto"/>
        <w:rPr>
          <w:rFonts w:hint="eastAsia" w:ascii="宋体" w:hAnsi="宋体" w:cs="宋体"/>
          <w:b/>
          <w:sz w:val="21"/>
          <w:szCs w:val="21"/>
          <w:highlight w:val="none"/>
        </w:rPr>
      </w:pPr>
    </w:p>
    <w:p w14:paraId="0EE48EAD">
      <w:pPr>
        <w:numPr>
          <w:ilvl w:val="0"/>
          <w:numId w:val="0"/>
        </w:numPr>
        <w:spacing w:line="312" w:lineRule="auto"/>
        <w:rPr>
          <w:rFonts w:hint="eastAsia" w:ascii="宋体" w:hAnsi="宋体" w:cs="宋体"/>
          <w:b/>
          <w:sz w:val="21"/>
          <w:szCs w:val="21"/>
          <w:highlight w:val="none"/>
        </w:rPr>
      </w:pPr>
    </w:p>
    <w:p w14:paraId="5E068800">
      <w:pPr>
        <w:numPr>
          <w:ilvl w:val="0"/>
          <w:numId w:val="0"/>
        </w:numPr>
        <w:spacing w:line="312" w:lineRule="auto"/>
        <w:rPr>
          <w:rFonts w:hint="eastAsia" w:ascii="宋体" w:hAnsi="宋体" w:cs="宋体"/>
          <w:b/>
          <w:sz w:val="21"/>
          <w:szCs w:val="21"/>
          <w:highlight w:val="none"/>
        </w:rPr>
      </w:pPr>
    </w:p>
    <w:p w14:paraId="4D566185">
      <w:pPr>
        <w:numPr>
          <w:ilvl w:val="0"/>
          <w:numId w:val="0"/>
        </w:numPr>
        <w:spacing w:line="312" w:lineRule="auto"/>
        <w:rPr>
          <w:rFonts w:hint="eastAsia" w:ascii="宋体" w:hAnsi="宋体" w:cs="宋体"/>
          <w:b/>
          <w:sz w:val="21"/>
          <w:szCs w:val="21"/>
          <w:highlight w:val="none"/>
        </w:rPr>
      </w:pPr>
    </w:p>
    <w:p w14:paraId="68B5159D">
      <w:pPr>
        <w:numPr>
          <w:ilvl w:val="0"/>
          <w:numId w:val="0"/>
        </w:numPr>
        <w:spacing w:line="312" w:lineRule="auto"/>
        <w:rPr>
          <w:rFonts w:hint="eastAsia" w:ascii="宋体" w:hAnsi="宋体" w:cs="宋体"/>
          <w:b/>
          <w:sz w:val="21"/>
          <w:szCs w:val="21"/>
          <w:highlight w:val="none"/>
        </w:rPr>
      </w:pPr>
    </w:p>
    <w:p w14:paraId="744590F7">
      <w:pPr>
        <w:numPr>
          <w:ilvl w:val="0"/>
          <w:numId w:val="0"/>
        </w:numPr>
        <w:spacing w:line="312" w:lineRule="auto"/>
        <w:rPr>
          <w:rFonts w:hint="eastAsia" w:ascii="宋体" w:hAnsi="宋体" w:cs="宋体"/>
          <w:b/>
          <w:sz w:val="21"/>
          <w:szCs w:val="21"/>
          <w:highlight w:val="none"/>
        </w:rPr>
      </w:pPr>
    </w:p>
    <w:p w14:paraId="667883F3">
      <w:pPr>
        <w:numPr>
          <w:ilvl w:val="0"/>
          <w:numId w:val="0"/>
        </w:numPr>
        <w:spacing w:line="312" w:lineRule="auto"/>
        <w:rPr>
          <w:rFonts w:hint="eastAsia" w:ascii="宋体" w:hAnsi="宋体" w:cs="宋体"/>
          <w:b/>
          <w:sz w:val="21"/>
          <w:szCs w:val="21"/>
          <w:highlight w:val="none"/>
        </w:rPr>
      </w:pPr>
    </w:p>
    <w:p w14:paraId="05A566DC">
      <w:pPr>
        <w:numPr>
          <w:ilvl w:val="0"/>
          <w:numId w:val="0"/>
        </w:numPr>
        <w:spacing w:line="312" w:lineRule="auto"/>
        <w:rPr>
          <w:rFonts w:hint="eastAsia" w:ascii="宋体" w:hAnsi="宋体" w:cs="宋体"/>
          <w:b/>
          <w:sz w:val="21"/>
          <w:szCs w:val="21"/>
          <w:highlight w:val="none"/>
        </w:rPr>
      </w:pPr>
    </w:p>
    <w:p w14:paraId="18AC7A2B">
      <w:pPr>
        <w:numPr>
          <w:ilvl w:val="0"/>
          <w:numId w:val="0"/>
        </w:numPr>
        <w:spacing w:line="312" w:lineRule="auto"/>
        <w:rPr>
          <w:rFonts w:hint="eastAsia" w:ascii="宋体" w:hAnsi="宋体" w:cs="宋体"/>
          <w:b/>
          <w:sz w:val="21"/>
          <w:szCs w:val="21"/>
          <w:highlight w:val="none"/>
        </w:rPr>
      </w:pPr>
    </w:p>
    <w:p w14:paraId="38CBCBBE">
      <w:pPr>
        <w:numPr>
          <w:ilvl w:val="0"/>
          <w:numId w:val="0"/>
        </w:numPr>
        <w:spacing w:line="312" w:lineRule="auto"/>
        <w:rPr>
          <w:rFonts w:hint="eastAsia" w:ascii="宋体" w:hAnsi="宋体" w:cs="宋体"/>
          <w:b/>
          <w:sz w:val="21"/>
          <w:szCs w:val="21"/>
          <w:highlight w:val="none"/>
        </w:rPr>
      </w:pPr>
    </w:p>
    <w:p w14:paraId="272ABEB7">
      <w:pPr>
        <w:numPr>
          <w:ilvl w:val="0"/>
          <w:numId w:val="0"/>
        </w:numPr>
        <w:spacing w:line="312" w:lineRule="auto"/>
        <w:rPr>
          <w:rFonts w:hint="eastAsia" w:ascii="宋体" w:hAnsi="宋体" w:cs="宋体"/>
          <w:b/>
          <w:sz w:val="21"/>
          <w:szCs w:val="21"/>
          <w:highlight w:val="none"/>
        </w:rPr>
      </w:pPr>
    </w:p>
    <w:p w14:paraId="1E02FBD5">
      <w:pPr>
        <w:numPr>
          <w:ilvl w:val="0"/>
          <w:numId w:val="0"/>
        </w:numPr>
        <w:spacing w:line="312" w:lineRule="auto"/>
        <w:rPr>
          <w:rFonts w:hint="eastAsia" w:ascii="宋体" w:hAnsi="宋体" w:cs="宋体"/>
          <w:b/>
          <w:sz w:val="21"/>
          <w:szCs w:val="21"/>
          <w:highlight w:val="none"/>
        </w:rPr>
      </w:pPr>
    </w:p>
    <w:p w14:paraId="48859825">
      <w:pPr>
        <w:numPr>
          <w:ilvl w:val="0"/>
          <w:numId w:val="0"/>
        </w:numPr>
        <w:spacing w:line="312" w:lineRule="auto"/>
        <w:rPr>
          <w:rFonts w:hint="eastAsia" w:ascii="宋体" w:hAnsi="宋体" w:cs="宋体"/>
          <w:b/>
          <w:sz w:val="21"/>
          <w:szCs w:val="21"/>
          <w:highlight w:val="none"/>
        </w:rPr>
      </w:pPr>
    </w:p>
    <w:p w14:paraId="0DD8858D">
      <w:pPr>
        <w:numPr>
          <w:ilvl w:val="0"/>
          <w:numId w:val="0"/>
        </w:numPr>
        <w:spacing w:line="312" w:lineRule="auto"/>
        <w:rPr>
          <w:rFonts w:hint="eastAsia" w:ascii="宋体" w:hAnsi="宋体" w:cs="宋体"/>
          <w:b/>
          <w:sz w:val="21"/>
          <w:szCs w:val="21"/>
          <w:highlight w:val="none"/>
        </w:rPr>
      </w:pPr>
    </w:p>
    <w:p w14:paraId="2D4DDFD4">
      <w:pPr>
        <w:numPr>
          <w:ilvl w:val="0"/>
          <w:numId w:val="0"/>
        </w:numPr>
        <w:spacing w:line="312" w:lineRule="auto"/>
        <w:rPr>
          <w:rFonts w:hint="eastAsia" w:ascii="宋体" w:hAnsi="宋体" w:cs="宋体"/>
          <w:b/>
          <w:sz w:val="21"/>
          <w:szCs w:val="21"/>
          <w:highlight w:val="none"/>
        </w:rPr>
      </w:pPr>
    </w:p>
    <w:p w14:paraId="188AC591">
      <w:pPr>
        <w:numPr>
          <w:ilvl w:val="0"/>
          <w:numId w:val="0"/>
        </w:numPr>
        <w:spacing w:line="312" w:lineRule="auto"/>
        <w:rPr>
          <w:rFonts w:hint="eastAsia" w:ascii="宋体" w:hAnsi="宋体" w:cs="宋体"/>
          <w:b/>
          <w:sz w:val="21"/>
          <w:szCs w:val="21"/>
          <w:highlight w:val="none"/>
        </w:rPr>
      </w:pPr>
    </w:p>
    <w:p w14:paraId="7E472313">
      <w:pPr>
        <w:numPr>
          <w:ilvl w:val="0"/>
          <w:numId w:val="0"/>
        </w:numPr>
        <w:spacing w:line="312" w:lineRule="auto"/>
        <w:rPr>
          <w:rFonts w:hint="eastAsia" w:ascii="宋体" w:hAnsi="宋体" w:cs="宋体"/>
          <w:b/>
          <w:sz w:val="21"/>
          <w:szCs w:val="21"/>
          <w:highlight w:val="none"/>
        </w:rPr>
      </w:pPr>
    </w:p>
    <w:p w14:paraId="0BA156A0">
      <w:pPr>
        <w:numPr>
          <w:ilvl w:val="0"/>
          <w:numId w:val="0"/>
        </w:numPr>
        <w:spacing w:line="312" w:lineRule="auto"/>
        <w:rPr>
          <w:rFonts w:hint="eastAsia" w:ascii="宋体" w:hAnsi="宋体" w:cs="宋体"/>
          <w:b/>
          <w:sz w:val="21"/>
          <w:szCs w:val="21"/>
          <w:highlight w:val="none"/>
        </w:rPr>
      </w:pPr>
    </w:p>
    <w:p w14:paraId="6B49822F">
      <w:pPr>
        <w:numPr>
          <w:ilvl w:val="0"/>
          <w:numId w:val="0"/>
        </w:numPr>
        <w:spacing w:line="312" w:lineRule="auto"/>
        <w:rPr>
          <w:rFonts w:hint="eastAsia" w:ascii="宋体" w:hAnsi="宋体" w:cs="宋体"/>
          <w:b/>
          <w:sz w:val="21"/>
          <w:szCs w:val="21"/>
          <w:highlight w:val="none"/>
        </w:rPr>
      </w:pPr>
    </w:p>
    <w:p w14:paraId="3F8DD5D4">
      <w:pPr>
        <w:numPr>
          <w:ilvl w:val="0"/>
          <w:numId w:val="0"/>
        </w:numPr>
        <w:spacing w:line="312" w:lineRule="auto"/>
        <w:rPr>
          <w:rFonts w:hint="eastAsia" w:ascii="宋体" w:hAnsi="宋体" w:cs="宋体"/>
          <w:b/>
          <w:sz w:val="21"/>
          <w:szCs w:val="21"/>
          <w:highlight w:val="none"/>
        </w:rPr>
      </w:pPr>
    </w:p>
    <w:p w14:paraId="1F190C60">
      <w:pPr>
        <w:numPr>
          <w:ilvl w:val="0"/>
          <w:numId w:val="0"/>
        </w:numPr>
        <w:spacing w:line="312" w:lineRule="auto"/>
        <w:rPr>
          <w:rFonts w:hint="eastAsia" w:ascii="宋体" w:hAnsi="宋体" w:cs="宋体"/>
          <w:b/>
          <w:sz w:val="21"/>
          <w:szCs w:val="21"/>
          <w:highlight w:val="none"/>
        </w:rPr>
      </w:pPr>
    </w:p>
    <w:p w14:paraId="11BF4277">
      <w:pPr>
        <w:numPr>
          <w:ilvl w:val="0"/>
          <w:numId w:val="0"/>
        </w:numPr>
        <w:spacing w:line="312" w:lineRule="auto"/>
        <w:rPr>
          <w:rFonts w:hint="eastAsia" w:ascii="宋体" w:hAnsi="宋体" w:cs="宋体"/>
          <w:b/>
          <w:sz w:val="21"/>
          <w:szCs w:val="21"/>
          <w:highlight w:val="none"/>
        </w:rPr>
      </w:pPr>
    </w:p>
    <w:p w14:paraId="7594B7FE">
      <w:pPr>
        <w:numPr>
          <w:ilvl w:val="0"/>
          <w:numId w:val="3"/>
        </w:numPr>
        <w:spacing w:line="312" w:lineRule="auto"/>
        <w:rPr>
          <w:rFonts w:hint="eastAsia" w:ascii="宋体" w:hAnsi="宋体" w:cs="宋体"/>
          <w:b/>
          <w:sz w:val="21"/>
          <w:szCs w:val="21"/>
          <w:highlight w:val="none"/>
          <w:lang w:val="en-US" w:eastAsia="zh-CN"/>
        </w:rPr>
      </w:pPr>
      <w:r>
        <w:rPr>
          <w:rFonts w:hint="eastAsia" w:ascii="宋体" w:hAnsi="宋体" w:cs="宋体"/>
          <w:b/>
          <w:sz w:val="21"/>
          <w:szCs w:val="21"/>
          <w:highlight w:val="none"/>
          <w:lang w:val="en-US" w:eastAsia="zh-CN"/>
        </w:rPr>
        <w:t>报价明细表</w:t>
      </w:r>
    </w:p>
    <w:p w14:paraId="30F4AA38">
      <w:pPr>
        <w:numPr>
          <w:ilvl w:val="0"/>
          <w:numId w:val="0"/>
        </w:numPr>
        <w:spacing w:line="312" w:lineRule="auto"/>
        <w:rPr>
          <w:rFonts w:hint="default" w:ascii="宋体" w:hAnsi="宋体" w:cs="宋体"/>
          <w:b/>
          <w:sz w:val="21"/>
          <w:szCs w:val="21"/>
          <w:highlight w:val="none"/>
          <w:lang w:val="en-US" w:eastAsia="zh-CN"/>
        </w:rPr>
      </w:pPr>
      <w:r>
        <w:rPr>
          <w:rFonts w:hint="eastAsia" w:ascii="宋体" w:hAnsi="宋体" w:cs="宋体"/>
          <w:b/>
          <w:sz w:val="21"/>
          <w:szCs w:val="21"/>
          <w:highlight w:val="none"/>
          <w:lang w:val="en-US" w:eastAsia="zh-CN"/>
        </w:rPr>
        <w:t>项目数量为初步预估，采购人可在预算范围内根据实际需求调整服务内容数量。</w:t>
      </w:r>
    </w:p>
    <w:p w14:paraId="79F2E349">
      <w:pPr>
        <w:numPr>
          <w:ilvl w:val="0"/>
          <w:numId w:val="0"/>
        </w:numPr>
        <w:spacing w:line="312" w:lineRule="auto"/>
        <w:rPr>
          <w:rFonts w:hint="default" w:ascii="宋体" w:hAnsi="宋体" w:cs="宋体"/>
          <w:b/>
          <w:sz w:val="21"/>
          <w:szCs w:val="21"/>
          <w:highlight w:val="none"/>
          <w:lang w:val="en-US" w:eastAsia="zh-CN"/>
        </w:rPr>
      </w:pPr>
      <w:r>
        <w:rPr>
          <w:rFonts w:hint="eastAsia" w:ascii="宋体" w:hAnsi="宋体" w:cs="宋体"/>
          <w:b/>
          <w:sz w:val="21"/>
          <w:szCs w:val="21"/>
          <w:highlight w:val="none"/>
          <w:lang w:val="en-US" w:eastAsia="zh-CN"/>
        </w:rPr>
        <w:t>标段一：</w:t>
      </w:r>
    </w:p>
    <w:tbl>
      <w:tblPr>
        <w:tblStyle w:val="52"/>
        <w:tblW w:w="4996"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971"/>
        <w:gridCol w:w="2741"/>
        <w:gridCol w:w="1379"/>
        <w:gridCol w:w="1392"/>
        <w:gridCol w:w="1379"/>
        <w:gridCol w:w="1379"/>
      </w:tblGrid>
      <w:tr w14:paraId="7909E7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9C1DF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序号</w:t>
            </w:r>
          </w:p>
        </w:tc>
        <w:tc>
          <w:tcPr>
            <w:tcW w:w="14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5B303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服务类别</w:t>
            </w:r>
          </w:p>
        </w:tc>
        <w:tc>
          <w:tcPr>
            <w:tcW w:w="7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74C72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单价</w:t>
            </w:r>
          </w:p>
        </w:tc>
        <w:tc>
          <w:tcPr>
            <w:tcW w:w="7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ECA9A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数量</w:t>
            </w:r>
          </w:p>
        </w:tc>
        <w:tc>
          <w:tcPr>
            <w:tcW w:w="7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8EEE1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合计</w:t>
            </w:r>
          </w:p>
        </w:tc>
        <w:tc>
          <w:tcPr>
            <w:tcW w:w="7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8E8FE6">
            <w:pPr>
              <w:keepNext w:val="0"/>
              <w:keepLines w:val="0"/>
              <w:widowControl/>
              <w:suppressLineNumbers w:val="0"/>
              <w:jc w:val="center"/>
              <w:textAlignment w:val="center"/>
              <w:rPr>
                <w:rFonts w:hint="default"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备注</w:t>
            </w:r>
          </w:p>
        </w:tc>
      </w:tr>
      <w:tr w14:paraId="1B8F77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5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3D9F6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14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29CA7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国土空间开发利用咨询服务</w:t>
            </w:r>
          </w:p>
        </w:tc>
        <w:tc>
          <w:tcPr>
            <w:tcW w:w="7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C876E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p>
        </w:tc>
        <w:tc>
          <w:tcPr>
            <w:tcW w:w="7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5E08E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7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5EB11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p>
        </w:tc>
        <w:tc>
          <w:tcPr>
            <w:tcW w:w="7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D508A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p>
        </w:tc>
      </w:tr>
      <w:tr w14:paraId="7396CD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A7253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w:t>
            </w:r>
          </w:p>
        </w:tc>
        <w:tc>
          <w:tcPr>
            <w:tcW w:w="14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72C10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勘测定界</w:t>
            </w:r>
          </w:p>
        </w:tc>
        <w:tc>
          <w:tcPr>
            <w:tcW w:w="7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75452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p>
        </w:tc>
        <w:tc>
          <w:tcPr>
            <w:tcW w:w="7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C2C6E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6</w:t>
            </w:r>
          </w:p>
        </w:tc>
        <w:tc>
          <w:tcPr>
            <w:tcW w:w="7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4D610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p>
        </w:tc>
        <w:tc>
          <w:tcPr>
            <w:tcW w:w="7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A485E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p>
        </w:tc>
      </w:tr>
      <w:tr w14:paraId="24918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2DC90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w:t>
            </w:r>
          </w:p>
        </w:tc>
        <w:tc>
          <w:tcPr>
            <w:tcW w:w="14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764F1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地质灾害危险性评估</w:t>
            </w:r>
          </w:p>
        </w:tc>
        <w:tc>
          <w:tcPr>
            <w:tcW w:w="7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BB78E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p>
        </w:tc>
        <w:tc>
          <w:tcPr>
            <w:tcW w:w="7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B1FF4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w:t>
            </w:r>
          </w:p>
        </w:tc>
        <w:tc>
          <w:tcPr>
            <w:tcW w:w="7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0BB10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p>
        </w:tc>
        <w:tc>
          <w:tcPr>
            <w:tcW w:w="7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2418E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p>
        </w:tc>
      </w:tr>
      <w:tr w14:paraId="5EEF30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9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4386E8">
            <w:pPr>
              <w:jc w:val="center"/>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4</w:t>
            </w:r>
          </w:p>
        </w:tc>
        <w:tc>
          <w:tcPr>
            <w:tcW w:w="14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839EA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征地前程序协助办理</w:t>
            </w:r>
          </w:p>
        </w:tc>
        <w:tc>
          <w:tcPr>
            <w:tcW w:w="7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7BF72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p>
        </w:tc>
        <w:tc>
          <w:tcPr>
            <w:tcW w:w="7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5E516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w:t>
            </w:r>
          </w:p>
        </w:tc>
        <w:tc>
          <w:tcPr>
            <w:tcW w:w="7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25211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p>
        </w:tc>
        <w:tc>
          <w:tcPr>
            <w:tcW w:w="7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57CAD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p>
        </w:tc>
      </w:tr>
      <w:tr w14:paraId="7F4E92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9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2DB2E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w:t>
            </w:r>
          </w:p>
        </w:tc>
        <w:tc>
          <w:tcPr>
            <w:tcW w:w="14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CEF43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用地预审</w:t>
            </w:r>
          </w:p>
        </w:tc>
        <w:tc>
          <w:tcPr>
            <w:tcW w:w="7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CCE5E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p>
        </w:tc>
        <w:tc>
          <w:tcPr>
            <w:tcW w:w="7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4EF13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7</w:t>
            </w:r>
          </w:p>
        </w:tc>
        <w:tc>
          <w:tcPr>
            <w:tcW w:w="7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55098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p>
        </w:tc>
        <w:tc>
          <w:tcPr>
            <w:tcW w:w="7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3ADB5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p>
        </w:tc>
      </w:tr>
      <w:tr w14:paraId="216815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9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F8CB91">
            <w:pPr>
              <w:jc w:val="center"/>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6</w:t>
            </w:r>
          </w:p>
        </w:tc>
        <w:tc>
          <w:tcPr>
            <w:tcW w:w="14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EDB18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城乡建设用地报批 （批次）</w:t>
            </w:r>
          </w:p>
        </w:tc>
        <w:tc>
          <w:tcPr>
            <w:tcW w:w="7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58A61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p>
        </w:tc>
        <w:tc>
          <w:tcPr>
            <w:tcW w:w="7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4D58D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w:t>
            </w:r>
          </w:p>
        </w:tc>
        <w:tc>
          <w:tcPr>
            <w:tcW w:w="7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5FEDD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p>
        </w:tc>
        <w:tc>
          <w:tcPr>
            <w:tcW w:w="7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04394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p>
        </w:tc>
      </w:tr>
      <w:tr w14:paraId="7358F1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9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AE809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7</w:t>
            </w:r>
          </w:p>
        </w:tc>
        <w:tc>
          <w:tcPr>
            <w:tcW w:w="14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DF6A0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林地报批（面积&lt;1公顷）</w:t>
            </w:r>
          </w:p>
        </w:tc>
        <w:tc>
          <w:tcPr>
            <w:tcW w:w="7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869E0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p>
        </w:tc>
        <w:tc>
          <w:tcPr>
            <w:tcW w:w="7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6D88A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7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CF707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p>
        </w:tc>
        <w:tc>
          <w:tcPr>
            <w:tcW w:w="7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B3FBD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p>
        </w:tc>
      </w:tr>
      <w:tr w14:paraId="6770CA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9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4168F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8</w:t>
            </w:r>
          </w:p>
        </w:tc>
        <w:tc>
          <w:tcPr>
            <w:tcW w:w="14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EE36D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增减挂钩实施方案</w:t>
            </w:r>
          </w:p>
        </w:tc>
        <w:tc>
          <w:tcPr>
            <w:tcW w:w="7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7D36A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p>
        </w:tc>
        <w:tc>
          <w:tcPr>
            <w:tcW w:w="7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FB4D0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7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FB897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p>
        </w:tc>
        <w:tc>
          <w:tcPr>
            <w:tcW w:w="7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900AA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p>
        </w:tc>
      </w:tr>
      <w:tr w14:paraId="0659E3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9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FC70A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9</w:t>
            </w:r>
          </w:p>
        </w:tc>
        <w:tc>
          <w:tcPr>
            <w:tcW w:w="14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0F223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区、市、省三级报批</w:t>
            </w:r>
          </w:p>
        </w:tc>
        <w:tc>
          <w:tcPr>
            <w:tcW w:w="7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DDAE9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p>
        </w:tc>
        <w:tc>
          <w:tcPr>
            <w:tcW w:w="7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D2929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w:t>
            </w:r>
          </w:p>
        </w:tc>
        <w:tc>
          <w:tcPr>
            <w:tcW w:w="7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A0A2C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p>
        </w:tc>
        <w:tc>
          <w:tcPr>
            <w:tcW w:w="7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6DD50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p>
        </w:tc>
      </w:tr>
      <w:tr w14:paraId="7390E2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27A6C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10</w:t>
            </w:r>
          </w:p>
        </w:tc>
        <w:tc>
          <w:tcPr>
            <w:tcW w:w="14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5C170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供地手续办理</w:t>
            </w:r>
          </w:p>
        </w:tc>
        <w:tc>
          <w:tcPr>
            <w:tcW w:w="7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4B3DD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p>
        </w:tc>
        <w:tc>
          <w:tcPr>
            <w:tcW w:w="7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BE8B7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w:t>
            </w:r>
          </w:p>
        </w:tc>
        <w:tc>
          <w:tcPr>
            <w:tcW w:w="7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AA553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p>
        </w:tc>
        <w:tc>
          <w:tcPr>
            <w:tcW w:w="7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3C1FE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p>
        </w:tc>
      </w:tr>
      <w:tr w14:paraId="4E2A23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507"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19C9B172">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总计：</w:t>
            </w:r>
          </w:p>
        </w:tc>
        <w:tc>
          <w:tcPr>
            <w:tcW w:w="1492"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F4E140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p>
        </w:tc>
      </w:tr>
    </w:tbl>
    <w:p w14:paraId="5590EC07">
      <w:pPr>
        <w:numPr>
          <w:ilvl w:val="0"/>
          <w:numId w:val="0"/>
        </w:numPr>
        <w:spacing w:line="312" w:lineRule="auto"/>
        <w:rPr>
          <w:rFonts w:hint="eastAsia" w:ascii="宋体" w:hAnsi="宋体" w:cs="宋体"/>
          <w:b/>
          <w:sz w:val="21"/>
          <w:szCs w:val="21"/>
          <w:highlight w:val="none"/>
          <w:lang w:val="en-US" w:eastAsia="zh-CN"/>
        </w:rPr>
      </w:pPr>
      <w:r>
        <w:rPr>
          <w:rFonts w:hint="eastAsia" w:ascii="宋体" w:hAnsi="宋体" w:cs="宋体"/>
          <w:b/>
          <w:sz w:val="21"/>
          <w:szCs w:val="21"/>
          <w:highlight w:val="none"/>
          <w:lang w:val="en-US" w:eastAsia="zh-CN"/>
        </w:rPr>
        <w:t>标段二：</w:t>
      </w:r>
    </w:p>
    <w:tbl>
      <w:tblPr>
        <w:tblStyle w:val="52"/>
        <w:tblW w:w="4996"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971"/>
        <w:gridCol w:w="2741"/>
        <w:gridCol w:w="1379"/>
        <w:gridCol w:w="1392"/>
        <w:gridCol w:w="1379"/>
        <w:gridCol w:w="1379"/>
      </w:tblGrid>
      <w:tr w14:paraId="206E56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F6C2D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序号</w:t>
            </w:r>
          </w:p>
        </w:tc>
        <w:tc>
          <w:tcPr>
            <w:tcW w:w="14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38BAA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服务类别</w:t>
            </w:r>
          </w:p>
        </w:tc>
        <w:tc>
          <w:tcPr>
            <w:tcW w:w="7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1ABA5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单价</w:t>
            </w:r>
          </w:p>
        </w:tc>
        <w:tc>
          <w:tcPr>
            <w:tcW w:w="7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1C369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数量</w:t>
            </w:r>
          </w:p>
        </w:tc>
        <w:tc>
          <w:tcPr>
            <w:tcW w:w="7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618EF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合计</w:t>
            </w:r>
          </w:p>
        </w:tc>
        <w:tc>
          <w:tcPr>
            <w:tcW w:w="7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84F642">
            <w:pPr>
              <w:keepNext w:val="0"/>
              <w:keepLines w:val="0"/>
              <w:widowControl/>
              <w:suppressLineNumbers w:val="0"/>
              <w:jc w:val="center"/>
              <w:textAlignment w:val="center"/>
              <w:rPr>
                <w:rFonts w:hint="default"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备注</w:t>
            </w:r>
          </w:p>
        </w:tc>
      </w:tr>
      <w:tr w14:paraId="618B4B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9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C078A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14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30B92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勘测定界</w:t>
            </w:r>
          </w:p>
        </w:tc>
        <w:tc>
          <w:tcPr>
            <w:tcW w:w="7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CEA06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p>
        </w:tc>
        <w:tc>
          <w:tcPr>
            <w:tcW w:w="7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A9824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w:t>
            </w:r>
          </w:p>
        </w:tc>
        <w:tc>
          <w:tcPr>
            <w:tcW w:w="7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E457B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p>
        </w:tc>
        <w:tc>
          <w:tcPr>
            <w:tcW w:w="7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49455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p>
        </w:tc>
      </w:tr>
      <w:tr w14:paraId="578AA5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9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2CBF6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w:t>
            </w:r>
          </w:p>
        </w:tc>
        <w:tc>
          <w:tcPr>
            <w:tcW w:w="14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C7E3E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征地前程序协助办理</w:t>
            </w:r>
          </w:p>
        </w:tc>
        <w:tc>
          <w:tcPr>
            <w:tcW w:w="7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D901B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p>
        </w:tc>
        <w:tc>
          <w:tcPr>
            <w:tcW w:w="7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DA671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w:t>
            </w:r>
          </w:p>
        </w:tc>
        <w:tc>
          <w:tcPr>
            <w:tcW w:w="7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F6114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p>
        </w:tc>
        <w:tc>
          <w:tcPr>
            <w:tcW w:w="7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6EEB6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p>
        </w:tc>
      </w:tr>
      <w:tr w14:paraId="34B261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9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4E7D6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w:t>
            </w:r>
          </w:p>
        </w:tc>
        <w:tc>
          <w:tcPr>
            <w:tcW w:w="14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1795E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用地预审</w:t>
            </w:r>
          </w:p>
        </w:tc>
        <w:tc>
          <w:tcPr>
            <w:tcW w:w="7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163D7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p>
        </w:tc>
        <w:tc>
          <w:tcPr>
            <w:tcW w:w="7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91969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w:t>
            </w:r>
          </w:p>
        </w:tc>
        <w:tc>
          <w:tcPr>
            <w:tcW w:w="7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82429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p>
        </w:tc>
        <w:tc>
          <w:tcPr>
            <w:tcW w:w="7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2EF27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p>
        </w:tc>
      </w:tr>
      <w:tr w14:paraId="4B811B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9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869B77">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rPr>
              <w:t>4</w:t>
            </w:r>
          </w:p>
        </w:tc>
        <w:tc>
          <w:tcPr>
            <w:tcW w:w="14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D49C9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城乡建设用地报批 （批次）</w:t>
            </w:r>
          </w:p>
        </w:tc>
        <w:tc>
          <w:tcPr>
            <w:tcW w:w="7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6319B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p>
        </w:tc>
        <w:tc>
          <w:tcPr>
            <w:tcW w:w="7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E1203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w:t>
            </w:r>
          </w:p>
        </w:tc>
        <w:tc>
          <w:tcPr>
            <w:tcW w:w="7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8CA9E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p>
        </w:tc>
        <w:tc>
          <w:tcPr>
            <w:tcW w:w="7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D53A8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p>
        </w:tc>
      </w:tr>
      <w:tr w14:paraId="0AACDC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9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D25ED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w:t>
            </w:r>
          </w:p>
        </w:tc>
        <w:tc>
          <w:tcPr>
            <w:tcW w:w="14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14FA8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林地报批（面积&lt;1公顷）</w:t>
            </w:r>
          </w:p>
        </w:tc>
        <w:tc>
          <w:tcPr>
            <w:tcW w:w="7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085A4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p>
        </w:tc>
        <w:tc>
          <w:tcPr>
            <w:tcW w:w="7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19D6A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7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A495C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p>
        </w:tc>
        <w:tc>
          <w:tcPr>
            <w:tcW w:w="7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E100A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p>
        </w:tc>
      </w:tr>
      <w:tr w14:paraId="679B20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9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2EFE36">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rPr>
              <w:t>6</w:t>
            </w:r>
          </w:p>
        </w:tc>
        <w:tc>
          <w:tcPr>
            <w:tcW w:w="14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A755C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供地手续办理</w:t>
            </w:r>
          </w:p>
        </w:tc>
        <w:tc>
          <w:tcPr>
            <w:tcW w:w="7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A31CB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p>
        </w:tc>
        <w:tc>
          <w:tcPr>
            <w:tcW w:w="7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BF475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w:t>
            </w:r>
          </w:p>
        </w:tc>
        <w:tc>
          <w:tcPr>
            <w:tcW w:w="7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91B1B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p>
        </w:tc>
        <w:tc>
          <w:tcPr>
            <w:tcW w:w="7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EC718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p>
        </w:tc>
      </w:tr>
      <w:tr w14:paraId="13BB9C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507"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14CCAB7B">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总计：</w:t>
            </w:r>
          </w:p>
        </w:tc>
        <w:tc>
          <w:tcPr>
            <w:tcW w:w="1492"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80A74B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p>
        </w:tc>
      </w:tr>
    </w:tbl>
    <w:p w14:paraId="578B4F79">
      <w:pPr>
        <w:numPr>
          <w:ilvl w:val="0"/>
          <w:numId w:val="0"/>
        </w:numPr>
        <w:spacing w:line="312" w:lineRule="auto"/>
        <w:rPr>
          <w:rFonts w:hint="eastAsia" w:ascii="宋体" w:hAnsi="宋体" w:cs="宋体"/>
          <w:b/>
          <w:sz w:val="21"/>
          <w:szCs w:val="21"/>
          <w:highlight w:val="none"/>
          <w:lang w:val="en-US" w:eastAsia="zh-CN"/>
        </w:rPr>
      </w:pPr>
      <w:r>
        <w:rPr>
          <w:rFonts w:hint="eastAsia" w:ascii="宋体" w:hAnsi="宋体" w:cs="宋体"/>
          <w:b/>
          <w:sz w:val="21"/>
          <w:szCs w:val="21"/>
          <w:highlight w:val="none"/>
          <w:lang w:val="en-US" w:eastAsia="zh-CN"/>
        </w:rPr>
        <w:t>标段三：</w:t>
      </w:r>
    </w:p>
    <w:tbl>
      <w:tblPr>
        <w:tblStyle w:val="52"/>
        <w:tblW w:w="4996"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971"/>
        <w:gridCol w:w="2741"/>
        <w:gridCol w:w="1379"/>
        <w:gridCol w:w="1392"/>
        <w:gridCol w:w="1379"/>
        <w:gridCol w:w="1379"/>
      </w:tblGrid>
      <w:tr w14:paraId="3728F4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5BE29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序号</w:t>
            </w:r>
          </w:p>
        </w:tc>
        <w:tc>
          <w:tcPr>
            <w:tcW w:w="14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163ED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服务类别</w:t>
            </w:r>
          </w:p>
        </w:tc>
        <w:tc>
          <w:tcPr>
            <w:tcW w:w="7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C2EE4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单价</w:t>
            </w:r>
          </w:p>
        </w:tc>
        <w:tc>
          <w:tcPr>
            <w:tcW w:w="7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F7A15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数量</w:t>
            </w:r>
          </w:p>
        </w:tc>
        <w:tc>
          <w:tcPr>
            <w:tcW w:w="7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3DA30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合计</w:t>
            </w:r>
          </w:p>
        </w:tc>
        <w:tc>
          <w:tcPr>
            <w:tcW w:w="7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E8196D">
            <w:pPr>
              <w:keepNext w:val="0"/>
              <w:keepLines w:val="0"/>
              <w:widowControl/>
              <w:suppressLineNumbers w:val="0"/>
              <w:jc w:val="center"/>
              <w:textAlignment w:val="center"/>
              <w:rPr>
                <w:rFonts w:hint="default"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备注</w:t>
            </w:r>
          </w:p>
        </w:tc>
      </w:tr>
      <w:tr w14:paraId="339335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13F87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14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71950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勘测定界</w:t>
            </w:r>
          </w:p>
        </w:tc>
        <w:tc>
          <w:tcPr>
            <w:tcW w:w="7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1D156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p>
        </w:tc>
        <w:tc>
          <w:tcPr>
            <w:tcW w:w="7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738D7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w:t>
            </w:r>
          </w:p>
        </w:tc>
        <w:tc>
          <w:tcPr>
            <w:tcW w:w="7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5F2F2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p>
        </w:tc>
        <w:tc>
          <w:tcPr>
            <w:tcW w:w="7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52BA7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p>
        </w:tc>
      </w:tr>
      <w:tr w14:paraId="1BC94B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83A2F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w:t>
            </w:r>
          </w:p>
        </w:tc>
        <w:tc>
          <w:tcPr>
            <w:tcW w:w="14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BFDFF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征地前程序协助办理</w:t>
            </w:r>
          </w:p>
        </w:tc>
        <w:tc>
          <w:tcPr>
            <w:tcW w:w="7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24050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p>
        </w:tc>
        <w:tc>
          <w:tcPr>
            <w:tcW w:w="7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041D3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w:t>
            </w:r>
          </w:p>
        </w:tc>
        <w:tc>
          <w:tcPr>
            <w:tcW w:w="7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AC482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p>
        </w:tc>
        <w:tc>
          <w:tcPr>
            <w:tcW w:w="7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07ADC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p>
        </w:tc>
      </w:tr>
      <w:tr w14:paraId="2086BF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7B02D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w:t>
            </w:r>
          </w:p>
        </w:tc>
        <w:tc>
          <w:tcPr>
            <w:tcW w:w="14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E1CF6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用地预审</w:t>
            </w:r>
          </w:p>
        </w:tc>
        <w:tc>
          <w:tcPr>
            <w:tcW w:w="7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A592A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p>
        </w:tc>
        <w:tc>
          <w:tcPr>
            <w:tcW w:w="7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22A9A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w:t>
            </w:r>
          </w:p>
        </w:tc>
        <w:tc>
          <w:tcPr>
            <w:tcW w:w="7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51201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p>
        </w:tc>
        <w:tc>
          <w:tcPr>
            <w:tcW w:w="7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7B3EE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p>
        </w:tc>
      </w:tr>
      <w:tr w14:paraId="66A9EB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5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ED67FF">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rPr>
              <w:t>4</w:t>
            </w:r>
          </w:p>
        </w:tc>
        <w:tc>
          <w:tcPr>
            <w:tcW w:w="14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8F8E5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城乡建设用地报批 （批次）</w:t>
            </w:r>
          </w:p>
        </w:tc>
        <w:tc>
          <w:tcPr>
            <w:tcW w:w="7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22900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p>
        </w:tc>
        <w:tc>
          <w:tcPr>
            <w:tcW w:w="7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24A82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w:t>
            </w:r>
          </w:p>
        </w:tc>
        <w:tc>
          <w:tcPr>
            <w:tcW w:w="7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7C73E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p>
        </w:tc>
        <w:tc>
          <w:tcPr>
            <w:tcW w:w="7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E1A1D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p>
        </w:tc>
      </w:tr>
      <w:tr w14:paraId="29D460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3507"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483C6561">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总计：</w:t>
            </w:r>
          </w:p>
        </w:tc>
        <w:tc>
          <w:tcPr>
            <w:tcW w:w="1492"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45B138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p>
        </w:tc>
      </w:tr>
    </w:tbl>
    <w:p w14:paraId="5D16F1A0">
      <w:pPr>
        <w:numPr>
          <w:ilvl w:val="0"/>
          <w:numId w:val="0"/>
        </w:numPr>
        <w:spacing w:line="312" w:lineRule="auto"/>
        <w:rPr>
          <w:rFonts w:hint="eastAsia" w:ascii="宋体" w:hAnsi="宋体" w:cs="宋体"/>
          <w:b/>
          <w:sz w:val="21"/>
          <w:szCs w:val="21"/>
          <w:highlight w:val="none"/>
          <w:lang w:val="en-US" w:eastAsia="zh-CN"/>
        </w:rPr>
      </w:pPr>
      <w:r>
        <w:rPr>
          <w:rFonts w:hint="eastAsia" w:ascii="宋体" w:hAnsi="宋体" w:cs="宋体"/>
          <w:b/>
          <w:sz w:val="21"/>
          <w:szCs w:val="21"/>
          <w:highlight w:val="none"/>
          <w:lang w:val="en-US" w:eastAsia="zh-CN"/>
        </w:rPr>
        <w:t>标段四：</w:t>
      </w:r>
    </w:p>
    <w:tbl>
      <w:tblPr>
        <w:tblStyle w:val="52"/>
        <w:tblW w:w="4996"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971"/>
        <w:gridCol w:w="2741"/>
        <w:gridCol w:w="1379"/>
        <w:gridCol w:w="1392"/>
        <w:gridCol w:w="1379"/>
        <w:gridCol w:w="1379"/>
      </w:tblGrid>
      <w:tr w14:paraId="0911E3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77111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序号</w:t>
            </w:r>
          </w:p>
        </w:tc>
        <w:tc>
          <w:tcPr>
            <w:tcW w:w="14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31FD1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服务类别</w:t>
            </w:r>
          </w:p>
        </w:tc>
        <w:tc>
          <w:tcPr>
            <w:tcW w:w="7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36405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单价</w:t>
            </w:r>
          </w:p>
        </w:tc>
        <w:tc>
          <w:tcPr>
            <w:tcW w:w="7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979F0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数量</w:t>
            </w:r>
          </w:p>
        </w:tc>
        <w:tc>
          <w:tcPr>
            <w:tcW w:w="7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8A09A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合计</w:t>
            </w:r>
          </w:p>
        </w:tc>
        <w:tc>
          <w:tcPr>
            <w:tcW w:w="7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FCF2EA">
            <w:pPr>
              <w:keepNext w:val="0"/>
              <w:keepLines w:val="0"/>
              <w:widowControl/>
              <w:suppressLineNumbers w:val="0"/>
              <w:jc w:val="center"/>
              <w:textAlignment w:val="center"/>
              <w:rPr>
                <w:rFonts w:hint="default"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备注</w:t>
            </w:r>
          </w:p>
        </w:tc>
      </w:tr>
      <w:tr w14:paraId="75C275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B091B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14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F3870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勘测定界</w:t>
            </w:r>
          </w:p>
        </w:tc>
        <w:tc>
          <w:tcPr>
            <w:tcW w:w="7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AF7BD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p>
        </w:tc>
        <w:tc>
          <w:tcPr>
            <w:tcW w:w="7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BF7CE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w:t>
            </w:r>
          </w:p>
        </w:tc>
        <w:tc>
          <w:tcPr>
            <w:tcW w:w="7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50D7B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p>
        </w:tc>
        <w:tc>
          <w:tcPr>
            <w:tcW w:w="7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4EE11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p>
        </w:tc>
      </w:tr>
      <w:tr w14:paraId="0599CE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5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0B08D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w:t>
            </w:r>
          </w:p>
        </w:tc>
        <w:tc>
          <w:tcPr>
            <w:tcW w:w="14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5594F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征地前程序协助办理</w:t>
            </w:r>
          </w:p>
        </w:tc>
        <w:tc>
          <w:tcPr>
            <w:tcW w:w="7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3981A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p>
        </w:tc>
        <w:tc>
          <w:tcPr>
            <w:tcW w:w="7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80C34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w:t>
            </w:r>
          </w:p>
        </w:tc>
        <w:tc>
          <w:tcPr>
            <w:tcW w:w="7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FBDF2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p>
        </w:tc>
        <w:tc>
          <w:tcPr>
            <w:tcW w:w="7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A6AE7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p>
        </w:tc>
      </w:tr>
      <w:tr w14:paraId="71202F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6FAF9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w:t>
            </w:r>
          </w:p>
        </w:tc>
        <w:tc>
          <w:tcPr>
            <w:tcW w:w="14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E7FF0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用地预审</w:t>
            </w:r>
          </w:p>
        </w:tc>
        <w:tc>
          <w:tcPr>
            <w:tcW w:w="7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5C8DE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p>
        </w:tc>
        <w:tc>
          <w:tcPr>
            <w:tcW w:w="7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2F8B3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w:t>
            </w:r>
          </w:p>
        </w:tc>
        <w:tc>
          <w:tcPr>
            <w:tcW w:w="7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780A1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p>
        </w:tc>
        <w:tc>
          <w:tcPr>
            <w:tcW w:w="7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EAE10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p>
        </w:tc>
      </w:tr>
      <w:tr w14:paraId="610347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370D93">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rPr>
              <w:t>4</w:t>
            </w:r>
          </w:p>
        </w:tc>
        <w:tc>
          <w:tcPr>
            <w:tcW w:w="14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69811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城乡建设用地报批 （批次）</w:t>
            </w:r>
          </w:p>
        </w:tc>
        <w:tc>
          <w:tcPr>
            <w:tcW w:w="7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0F310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p>
        </w:tc>
        <w:tc>
          <w:tcPr>
            <w:tcW w:w="7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55DA0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w:t>
            </w:r>
          </w:p>
        </w:tc>
        <w:tc>
          <w:tcPr>
            <w:tcW w:w="7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C4643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p>
        </w:tc>
        <w:tc>
          <w:tcPr>
            <w:tcW w:w="7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BCFBE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p>
        </w:tc>
      </w:tr>
      <w:tr w14:paraId="6DB915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507"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70795F43">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总计：</w:t>
            </w:r>
          </w:p>
        </w:tc>
        <w:tc>
          <w:tcPr>
            <w:tcW w:w="1492"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E51DF6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p>
        </w:tc>
      </w:tr>
    </w:tbl>
    <w:p w14:paraId="57C21EE8">
      <w:pPr>
        <w:numPr>
          <w:ilvl w:val="0"/>
          <w:numId w:val="0"/>
        </w:numPr>
        <w:spacing w:line="312" w:lineRule="auto"/>
        <w:rPr>
          <w:rFonts w:hint="eastAsia" w:ascii="宋体" w:hAnsi="宋体" w:cs="宋体"/>
          <w:b/>
          <w:sz w:val="21"/>
          <w:szCs w:val="21"/>
          <w:highlight w:val="none"/>
          <w:lang w:val="en-US" w:eastAsia="zh-CN"/>
        </w:rPr>
      </w:pPr>
      <w:r>
        <w:rPr>
          <w:rFonts w:hint="eastAsia" w:ascii="宋体" w:hAnsi="宋体" w:cs="宋体"/>
          <w:b/>
          <w:sz w:val="21"/>
          <w:szCs w:val="21"/>
          <w:highlight w:val="none"/>
          <w:lang w:val="en-US" w:eastAsia="zh-CN"/>
        </w:rPr>
        <w:t>标段五：</w:t>
      </w:r>
    </w:p>
    <w:tbl>
      <w:tblPr>
        <w:tblStyle w:val="52"/>
        <w:tblW w:w="4996"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971"/>
        <w:gridCol w:w="2741"/>
        <w:gridCol w:w="1379"/>
        <w:gridCol w:w="1392"/>
        <w:gridCol w:w="1379"/>
        <w:gridCol w:w="1379"/>
      </w:tblGrid>
      <w:tr w14:paraId="089782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0" w:hRule="atLeast"/>
        </w:trPr>
        <w:tc>
          <w:tcPr>
            <w:tcW w:w="5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901C8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序号</w:t>
            </w:r>
          </w:p>
        </w:tc>
        <w:tc>
          <w:tcPr>
            <w:tcW w:w="14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1B336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服务类别</w:t>
            </w:r>
          </w:p>
        </w:tc>
        <w:tc>
          <w:tcPr>
            <w:tcW w:w="7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7E4B8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单价</w:t>
            </w:r>
          </w:p>
        </w:tc>
        <w:tc>
          <w:tcPr>
            <w:tcW w:w="7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3D73B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数量</w:t>
            </w:r>
          </w:p>
        </w:tc>
        <w:tc>
          <w:tcPr>
            <w:tcW w:w="7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A7F89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合计</w:t>
            </w:r>
          </w:p>
        </w:tc>
        <w:tc>
          <w:tcPr>
            <w:tcW w:w="7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AED7C8">
            <w:pPr>
              <w:keepNext w:val="0"/>
              <w:keepLines w:val="0"/>
              <w:widowControl/>
              <w:suppressLineNumbers w:val="0"/>
              <w:jc w:val="center"/>
              <w:textAlignment w:val="center"/>
              <w:rPr>
                <w:rFonts w:hint="default"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备注</w:t>
            </w:r>
          </w:p>
        </w:tc>
      </w:tr>
      <w:tr w14:paraId="4D0BB1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6AA73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14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7C975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勘测定界</w:t>
            </w:r>
          </w:p>
        </w:tc>
        <w:tc>
          <w:tcPr>
            <w:tcW w:w="7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AB146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p>
        </w:tc>
        <w:tc>
          <w:tcPr>
            <w:tcW w:w="7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7E6AD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w:t>
            </w:r>
          </w:p>
        </w:tc>
        <w:tc>
          <w:tcPr>
            <w:tcW w:w="7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CFFD1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p>
        </w:tc>
        <w:tc>
          <w:tcPr>
            <w:tcW w:w="7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5B0AE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p>
        </w:tc>
      </w:tr>
      <w:tr w14:paraId="45ACDC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5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0E3FD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w:t>
            </w:r>
          </w:p>
        </w:tc>
        <w:tc>
          <w:tcPr>
            <w:tcW w:w="14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AA711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征地前程序协助办理</w:t>
            </w:r>
          </w:p>
        </w:tc>
        <w:tc>
          <w:tcPr>
            <w:tcW w:w="7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1B211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p>
        </w:tc>
        <w:tc>
          <w:tcPr>
            <w:tcW w:w="7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1151D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w:t>
            </w:r>
          </w:p>
        </w:tc>
        <w:tc>
          <w:tcPr>
            <w:tcW w:w="7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3D5DF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p>
        </w:tc>
        <w:tc>
          <w:tcPr>
            <w:tcW w:w="7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EC1FB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p>
        </w:tc>
      </w:tr>
      <w:tr w14:paraId="65FDD9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A070D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w:t>
            </w:r>
          </w:p>
        </w:tc>
        <w:tc>
          <w:tcPr>
            <w:tcW w:w="14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006C3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用地预审</w:t>
            </w:r>
          </w:p>
        </w:tc>
        <w:tc>
          <w:tcPr>
            <w:tcW w:w="7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8AA5B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p>
        </w:tc>
        <w:tc>
          <w:tcPr>
            <w:tcW w:w="7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FD945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w:t>
            </w:r>
          </w:p>
        </w:tc>
        <w:tc>
          <w:tcPr>
            <w:tcW w:w="7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D2378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p>
        </w:tc>
        <w:tc>
          <w:tcPr>
            <w:tcW w:w="7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737E3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p>
        </w:tc>
      </w:tr>
      <w:tr w14:paraId="0A4057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E532C8">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rPr>
              <w:t>4</w:t>
            </w:r>
          </w:p>
        </w:tc>
        <w:tc>
          <w:tcPr>
            <w:tcW w:w="14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C4B6C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城乡建设用地报批 （批次）</w:t>
            </w:r>
          </w:p>
        </w:tc>
        <w:tc>
          <w:tcPr>
            <w:tcW w:w="7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13ACC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p>
        </w:tc>
        <w:tc>
          <w:tcPr>
            <w:tcW w:w="7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B5DF4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w:t>
            </w:r>
          </w:p>
        </w:tc>
        <w:tc>
          <w:tcPr>
            <w:tcW w:w="7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C759E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p>
        </w:tc>
        <w:tc>
          <w:tcPr>
            <w:tcW w:w="7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AF45E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p>
        </w:tc>
      </w:tr>
      <w:tr w14:paraId="357479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507"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5891F33E">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总计：</w:t>
            </w:r>
          </w:p>
        </w:tc>
        <w:tc>
          <w:tcPr>
            <w:tcW w:w="1492"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051746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p>
        </w:tc>
      </w:tr>
    </w:tbl>
    <w:p w14:paraId="1C458E93">
      <w:pPr>
        <w:numPr>
          <w:ilvl w:val="0"/>
          <w:numId w:val="0"/>
        </w:numPr>
        <w:spacing w:line="312" w:lineRule="auto"/>
        <w:rPr>
          <w:rFonts w:hint="eastAsia" w:ascii="宋体" w:hAnsi="宋体" w:cs="宋体"/>
          <w:b/>
          <w:sz w:val="21"/>
          <w:szCs w:val="21"/>
          <w:highlight w:val="none"/>
          <w:lang w:val="en-US" w:eastAsia="zh-CN"/>
        </w:rPr>
      </w:pPr>
      <w:r>
        <w:rPr>
          <w:rFonts w:hint="eastAsia" w:ascii="宋体" w:hAnsi="宋体" w:cs="宋体"/>
          <w:b/>
          <w:sz w:val="21"/>
          <w:szCs w:val="21"/>
          <w:highlight w:val="none"/>
          <w:lang w:val="en-US" w:eastAsia="zh-CN"/>
        </w:rPr>
        <w:t>标段六：</w:t>
      </w:r>
    </w:p>
    <w:tbl>
      <w:tblPr>
        <w:tblStyle w:val="52"/>
        <w:tblW w:w="4996"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971"/>
        <w:gridCol w:w="2741"/>
        <w:gridCol w:w="1379"/>
        <w:gridCol w:w="1392"/>
        <w:gridCol w:w="1379"/>
        <w:gridCol w:w="1379"/>
      </w:tblGrid>
      <w:tr w14:paraId="2E045C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21351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序号</w:t>
            </w:r>
          </w:p>
        </w:tc>
        <w:tc>
          <w:tcPr>
            <w:tcW w:w="14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3E7DD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服务类别</w:t>
            </w:r>
          </w:p>
        </w:tc>
        <w:tc>
          <w:tcPr>
            <w:tcW w:w="7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8BDB0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单价</w:t>
            </w:r>
          </w:p>
        </w:tc>
        <w:tc>
          <w:tcPr>
            <w:tcW w:w="7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F2588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数量</w:t>
            </w:r>
          </w:p>
        </w:tc>
        <w:tc>
          <w:tcPr>
            <w:tcW w:w="7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4F3CA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合计</w:t>
            </w:r>
          </w:p>
        </w:tc>
        <w:tc>
          <w:tcPr>
            <w:tcW w:w="7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DF0AD8">
            <w:pPr>
              <w:keepNext w:val="0"/>
              <w:keepLines w:val="0"/>
              <w:widowControl/>
              <w:suppressLineNumbers w:val="0"/>
              <w:jc w:val="center"/>
              <w:textAlignment w:val="center"/>
              <w:rPr>
                <w:rFonts w:hint="default"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备注</w:t>
            </w:r>
          </w:p>
        </w:tc>
      </w:tr>
      <w:tr w14:paraId="1DA795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FF5DD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14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34CF5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勘测定界</w:t>
            </w:r>
          </w:p>
        </w:tc>
        <w:tc>
          <w:tcPr>
            <w:tcW w:w="7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0708E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p>
        </w:tc>
        <w:tc>
          <w:tcPr>
            <w:tcW w:w="7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65446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w:t>
            </w:r>
          </w:p>
        </w:tc>
        <w:tc>
          <w:tcPr>
            <w:tcW w:w="7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64709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p>
        </w:tc>
        <w:tc>
          <w:tcPr>
            <w:tcW w:w="7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48DA3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p>
        </w:tc>
      </w:tr>
      <w:tr w14:paraId="7A68CC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342AD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w:t>
            </w:r>
          </w:p>
        </w:tc>
        <w:tc>
          <w:tcPr>
            <w:tcW w:w="14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F450C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征地前程序协助办理</w:t>
            </w:r>
          </w:p>
        </w:tc>
        <w:tc>
          <w:tcPr>
            <w:tcW w:w="7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00CFC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p>
        </w:tc>
        <w:tc>
          <w:tcPr>
            <w:tcW w:w="7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BD0CB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w:t>
            </w:r>
          </w:p>
        </w:tc>
        <w:tc>
          <w:tcPr>
            <w:tcW w:w="7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A1833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p>
        </w:tc>
        <w:tc>
          <w:tcPr>
            <w:tcW w:w="7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4976D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p>
        </w:tc>
      </w:tr>
      <w:tr w14:paraId="3CAAC1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FBD87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w:t>
            </w:r>
          </w:p>
        </w:tc>
        <w:tc>
          <w:tcPr>
            <w:tcW w:w="14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4CF9C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用地预审</w:t>
            </w:r>
          </w:p>
        </w:tc>
        <w:tc>
          <w:tcPr>
            <w:tcW w:w="7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4181B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p>
        </w:tc>
        <w:tc>
          <w:tcPr>
            <w:tcW w:w="7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EE118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w:t>
            </w:r>
          </w:p>
        </w:tc>
        <w:tc>
          <w:tcPr>
            <w:tcW w:w="7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C3B7A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p>
        </w:tc>
        <w:tc>
          <w:tcPr>
            <w:tcW w:w="7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ABE08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p>
        </w:tc>
      </w:tr>
      <w:tr w14:paraId="5A3E00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68DA5A">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rPr>
              <w:t>4</w:t>
            </w:r>
          </w:p>
        </w:tc>
        <w:tc>
          <w:tcPr>
            <w:tcW w:w="14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4ECFB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城乡建设用地报批 （批次）</w:t>
            </w:r>
          </w:p>
        </w:tc>
        <w:tc>
          <w:tcPr>
            <w:tcW w:w="7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27E3C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p>
        </w:tc>
        <w:tc>
          <w:tcPr>
            <w:tcW w:w="7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6C892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w:t>
            </w:r>
          </w:p>
        </w:tc>
        <w:tc>
          <w:tcPr>
            <w:tcW w:w="7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4D929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p>
        </w:tc>
        <w:tc>
          <w:tcPr>
            <w:tcW w:w="7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656C7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p>
        </w:tc>
      </w:tr>
      <w:tr w14:paraId="6290AF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3507"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5EF5AB8A">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总计：</w:t>
            </w:r>
          </w:p>
        </w:tc>
        <w:tc>
          <w:tcPr>
            <w:tcW w:w="1492"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1DDDF7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p>
        </w:tc>
      </w:tr>
    </w:tbl>
    <w:p w14:paraId="51767EAC">
      <w:pPr>
        <w:numPr>
          <w:ilvl w:val="0"/>
          <w:numId w:val="0"/>
        </w:numPr>
        <w:spacing w:line="312" w:lineRule="auto"/>
        <w:rPr>
          <w:rFonts w:hint="default" w:ascii="宋体" w:hAnsi="宋体" w:cs="宋体"/>
          <w:b/>
          <w:sz w:val="21"/>
          <w:szCs w:val="21"/>
          <w:highlight w:val="none"/>
          <w:lang w:val="en-US" w:eastAsia="zh-CN"/>
        </w:rPr>
      </w:pPr>
    </w:p>
    <w:p w14:paraId="32648276">
      <w:pPr>
        <w:spacing w:before="100" w:beforeAutospacing="1" w:after="100" w:afterAutospacing="1"/>
        <w:rPr>
          <w:rFonts w:ascii="宋体" w:hAnsi="宋体" w:cs="宋体"/>
          <w:b/>
          <w:color w:val="auto"/>
          <w:sz w:val="21"/>
          <w:szCs w:val="21"/>
          <w:highlight w:val="none"/>
        </w:rPr>
      </w:pPr>
      <w:r>
        <w:rPr>
          <w:rFonts w:hint="eastAsia" w:ascii="宋体" w:hAnsi="宋体" w:cs="宋体"/>
          <w:iCs/>
          <w:color w:val="auto"/>
          <w:highlight w:val="none"/>
          <w:u w:val="single"/>
        </w:rPr>
        <w:br w:type="page" w:clear="all"/>
      </w:r>
      <w:r>
        <w:rPr>
          <w:rFonts w:hint="eastAsia" w:ascii="宋体" w:hAnsi="宋体" w:cs="宋体"/>
          <w:b/>
          <w:color w:val="auto"/>
          <w:sz w:val="21"/>
          <w:szCs w:val="21"/>
          <w:highlight w:val="none"/>
          <w:lang w:val="en-US" w:eastAsia="zh-CN"/>
        </w:rPr>
        <w:t>五</w:t>
      </w:r>
      <w:r>
        <w:rPr>
          <w:rFonts w:hint="eastAsia" w:ascii="宋体" w:hAnsi="宋体" w:cs="宋体"/>
          <w:b/>
          <w:color w:val="auto"/>
          <w:sz w:val="21"/>
          <w:szCs w:val="21"/>
          <w:highlight w:val="none"/>
        </w:rPr>
        <w:t>、资格证明文件</w:t>
      </w:r>
      <w:bookmarkEnd w:id="73"/>
      <w:bookmarkEnd w:id="74"/>
    </w:p>
    <w:p w14:paraId="17FFDA8F">
      <w:pPr>
        <w:spacing w:before="100" w:beforeAutospacing="1" w:after="100" w:afterAutospacing="1"/>
        <w:rPr>
          <w:rFonts w:ascii="宋体" w:hAnsi="宋体" w:cs="宋体"/>
          <w:iCs/>
          <w:color w:val="auto"/>
          <w:sz w:val="21"/>
          <w:szCs w:val="21"/>
          <w:highlight w:val="none"/>
          <w:u w:val="single"/>
        </w:rPr>
      </w:pPr>
      <w:r>
        <w:rPr>
          <w:rFonts w:hint="eastAsia" w:ascii="宋体" w:hAnsi="宋体" w:cs="宋体"/>
          <w:b/>
          <w:bCs/>
          <w:color w:val="auto"/>
          <w:sz w:val="21"/>
          <w:szCs w:val="21"/>
          <w:highlight w:val="none"/>
        </w:rPr>
        <w:t>1.关于资格文件的声明函</w:t>
      </w:r>
    </w:p>
    <w:p w14:paraId="1ED1FCE6">
      <w:pPr>
        <w:pStyle w:val="12"/>
        <w:spacing w:line="360" w:lineRule="auto"/>
        <w:ind w:firstLine="0"/>
        <w:jc w:val="center"/>
        <w:rPr>
          <w:rFonts w:ascii="宋体" w:hAnsi="宋体" w:cs="宋体"/>
          <w:b/>
          <w:color w:val="auto"/>
          <w:szCs w:val="21"/>
          <w:highlight w:val="none"/>
        </w:rPr>
      </w:pPr>
    </w:p>
    <w:p w14:paraId="286FFFFC">
      <w:pPr>
        <w:pStyle w:val="12"/>
        <w:spacing w:line="360" w:lineRule="auto"/>
        <w:ind w:firstLine="0"/>
        <w:jc w:val="center"/>
        <w:rPr>
          <w:rFonts w:ascii="宋体" w:hAnsi="宋体" w:cs="宋体"/>
          <w:b/>
          <w:bCs/>
          <w:color w:val="auto"/>
          <w:szCs w:val="21"/>
          <w:highlight w:val="none"/>
        </w:rPr>
      </w:pPr>
      <w:r>
        <w:rPr>
          <w:rFonts w:hint="eastAsia" w:ascii="宋体" w:hAnsi="宋体" w:cs="宋体"/>
          <w:b/>
          <w:bCs/>
          <w:color w:val="auto"/>
          <w:szCs w:val="21"/>
          <w:highlight w:val="none"/>
        </w:rPr>
        <w:t>关于资格文件的声明函</w:t>
      </w:r>
    </w:p>
    <w:p w14:paraId="1DDCA698">
      <w:pPr>
        <w:pStyle w:val="12"/>
        <w:spacing w:line="360" w:lineRule="auto"/>
        <w:ind w:firstLine="0"/>
        <w:jc w:val="center"/>
        <w:rPr>
          <w:rFonts w:ascii="宋体" w:hAnsi="宋体" w:cs="宋体"/>
          <w:color w:val="auto"/>
          <w:szCs w:val="21"/>
          <w:highlight w:val="none"/>
        </w:rPr>
      </w:pPr>
    </w:p>
    <w:p w14:paraId="5BED1D16">
      <w:pP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u w:val="single"/>
          <w:lang w:eastAsia="zh-CN"/>
        </w:rPr>
        <w:t>苏州高铁新城管理委员会</w:t>
      </w:r>
      <w:r>
        <w:rPr>
          <w:rFonts w:hint="eastAsia" w:ascii="宋体" w:hAnsi="宋体" w:cs="宋体"/>
          <w:color w:val="auto"/>
          <w:sz w:val="21"/>
          <w:szCs w:val="21"/>
          <w:highlight w:val="none"/>
          <w:u w:val="single"/>
        </w:rPr>
        <w:t>、</w:t>
      </w:r>
      <w:r>
        <w:rPr>
          <w:rFonts w:hint="eastAsia" w:ascii="宋体" w:hAnsi="宋体" w:cs="宋体"/>
          <w:color w:val="auto"/>
          <w:sz w:val="21"/>
          <w:szCs w:val="21"/>
          <w:highlight w:val="none"/>
          <w:u w:val="single"/>
          <w:lang w:eastAsia="zh-CN"/>
        </w:rPr>
        <w:t>众鑫工程管理（苏州）有限公司</w:t>
      </w:r>
      <w:r>
        <w:rPr>
          <w:rFonts w:hint="eastAsia" w:ascii="宋体" w:hAnsi="宋体" w:cs="宋体"/>
          <w:color w:val="auto"/>
          <w:sz w:val="21"/>
          <w:szCs w:val="21"/>
          <w:highlight w:val="none"/>
          <w:lang w:val="zh-CN"/>
        </w:rPr>
        <w:t>：</w:t>
      </w:r>
    </w:p>
    <w:p w14:paraId="701BB830">
      <w:pPr>
        <w:pStyle w:val="12"/>
        <w:spacing w:line="360" w:lineRule="auto"/>
        <w:rPr>
          <w:rFonts w:ascii="宋体" w:hAnsi="宋体" w:cs="宋体"/>
          <w:color w:val="auto"/>
          <w:szCs w:val="21"/>
          <w:highlight w:val="none"/>
        </w:rPr>
      </w:pPr>
      <w:r>
        <w:rPr>
          <w:rFonts w:hint="eastAsia" w:ascii="宋体" w:hAnsi="宋体" w:cs="宋体"/>
          <w:color w:val="auto"/>
          <w:szCs w:val="21"/>
          <w:highlight w:val="none"/>
          <w:lang w:val="zh-CN"/>
        </w:rPr>
        <w:t>本公司愿就由贵公司组织实施的编号为</w:t>
      </w:r>
      <w:r>
        <w:rPr>
          <w:rFonts w:hint="eastAsia" w:ascii="宋体" w:hAnsi="宋体" w:cs="宋体"/>
          <w:color w:val="auto"/>
          <w:szCs w:val="21"/>
          <w:highlight w:val="none"/>
          <w:u w:val="single"/>
          <w:lang w:val="zh-CN"/>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zh-CN"/>
        </w:rPr>
        <w:t xml:space="preserve"> </w:t>
      </w:r>
      <w:r>
        <w:rPr>
          <w:rFonts w:hint="eastAsia" w:ascii="宋体" w:hAnsi="宋体" w:cs="宋体"/>
          <w:color w:val="auto"/>
          <w:szCs w:val="21"/>
          <w:highlight w:val="none"/>
          <w:lang w:val="zh-CN"/>
        </w:rPr>
        <w:t>号的招投标活动。本公司所提交的投标文件中所有关于响应资格的文件、证明和陈述均是真实的、准确的。若与真实情况不符，本公司愿意承担由此而产生的一切后果。</w:t>
      </w:r>
    </w:p>
    <w:p w14:paraId="7F53B91B">
      <w:pPr>
        <w:pStyle w:val="12"/>
        <w:spacing w:line="360" w:lineRule="auto"/>
        <w:rPr>
          <w:rFonts w:ascii="宋体" w:hAnsi="宋体" w:cs="宋体"/>
          <w:color w:val="auto"/>
          <w:szCs w:val="21"/>
          <w:highlight w:val="none"/>
        </w:rPr>
      </w:pPr>
    </w:p>
    <w:p w14:paraId="01A13619">
      <w:pPr>
        <w:pStyle w:val="12"/>
        <w:spacing w:line="360" w:lineRule="auto"/>
        <w:rPr>
          <w:rFonts w:ascii="宋体" w:hAnsi="宋体" w:cs="宋体"/>
          <w:color w:val="auto"/>
          <w:szCs w:val="21"/>
          <w:highlight w:val="none"/>
        </w:rPr>
      </w:pPr>
    </w:p>
    <w:p w14:paraId="70166826">
      <w:pPr>
        <w:pStyle w:val="12"/>
        <w:spacing w:line="360" w:lineRule="auto"/>
        <w:rPr>
          <w:rFonts w:ascii="宋体" w:hAnsi="宋体" w:cs="宋体"/>
          <w:color w:val="auto"/>
          <w:szCs w:val="21"/>
          <w:highlight w:val="none"/>
        </w:rPr>
      </w:pPr>
      <w:r>
        <w:rPr>
          <w:rFonts w:hint="eastAsia" w:ascii="宋体" w:hAnsi="宋体" w:cs="宋体"/>
          <w:color w:val="auto"/>
          <w:szCs w:val="21"/>
          <w:highlight w:val="none"/>
        </w:rPr>
        <w:t>投标人：（加盖CA电子公章）</w:t>
      </w:r>
    </w:p>
    <w:p w14:paraId="1486C978">
      <w:pPr>
        <w:pStyle w:val="12"/>
        <w:spacing w:line="360" w:lineRule="auto"/>
        <w:rPr>
          <w:rFonts w:ascii="宋体" w:hAnsi="宋体" w:cs="宋体"/>
          <w:color w:val="auto"/>
          <w:szCs w:val="21"/>
          <w:highlight w:val="none"/>
        </w:rPr>
      </w:pPr>
      <w:r>
        <w:rPr>
          <w:rFonts w:hint="eastAsia" w:ascii="宋体" w:hAnsi="宋体" w:cs="宋体"/>
          <w:color w:val="auto"/>
          <w:szCs w:val="21"/>
          <w:highlight w:val="none"/>
        </w:rPr>
        <w:t>日期：         年     月    日</w:t>
      </w:r>
    </w:p>
    <w:p w14:paraId="36234979">
      <w:pPr>
        <w:spacing w:line="312" w:lineRule="auto"/>
        <w:ind w:left="480"/>
        <w:rPr>
          <w:rFonts w:ascii="宋体" w:hAnsi="宋体" w:cs="宋体"/>
          <w:color w:val="auto"/>
          <w:sz w:val="21"/>
          <w:szCs w:val="21"/>
          <w:highlight w:val="none"/>
        </w:rPr>
      </w:pPr>
      <w:r>
        <w:rPr>
          <w:rFonts w:hint="eastAsia" w:ascii="宋体" w:hAnsi="宋体" w:cs="宋体"/>
          <w:color w:val="auto"/>
          <w:sz w:val="21"/>
          <w:szCs w:val="21"/>
          <w:highlight w:val="none"/>
        </w:rPr>
        <w:t xml:space="preserve"> </w:t>
      </w:r>
    </w:p>
    <w:p w14:paraId="001CA197">
      <w:pPr>
        <w:spacing w:line="312" w:lineRule="auto"/>
        <w:ind w:left="480"/>
        <w:rPr>
          <w:rFonts w:ascii="宋体" w:hAnsi="宋体" w:cs="宋体"/>
          <w:color w:val="auto"/>
          <w:sz w:val="21"/>
          <w:szCs w:val="21"/>
          <w:highlight w:val="none"/>
        </w:rPr>
      </w:pPr>
    </w:p>
    <w:p w14:paraId="568EF98D">
      <w:pPr>
        <w:rPr>
          <w:rFonts w:ascii="宋体" w:hAnsi="宋体" w:cs="宋体"/>
          <w:b/>
          <w:color w:val="auto"/>
          <w:sz w:val="21"/>
          <w:szCs w:val="21"/>
          <w:highlight w:val="none"/>
        </w:rPr>
      </w:pPr>
      <w:r>
        <w:rPr>
          <w:rFonts w:hint="eastAsia" w:ascii="宋体" w:hAnsi="宋体" w:cs="宋体"/>
          <w:color w:val="auto"/>
          <w:highlight w:val="none"/>
        </w:rPr>
        <w:br w:type="page" w:clear="all"/>
      </w:r>
      <w:r>
        <w:rPr>
          <w:rFonts w:hint="eastAsia" w:ascii="宋体" w:hAnsi="宋体" w:cs="宋体"/>
          <w:b/>
          <w:color w:val="auto"/>
          <w:sz w:val="21"/>
          <w:szCs w:val="21"/>
          <w:highlight w:val="none"/>
        </w:rPr>
        <w:t>2.投标人情况表</w:t>
      </w:r>
    </w:p>
    <w:p w14:paraId="6E9EAA1F">
      <w:pPr>
        <w:pStyle w:val="12"/>
        <w:spacing w:line="360" w:lineRule="auto"/>
        <w:ind w:firstLine="0"/>
        <w:jc w:val="center"/>
        <w:rPr>
          <w:rFonts w:ascii="宋体" w:hAnsi="宋体" w:cs="宋体"/>
          <w:b/>
          <w:bCs/>
          <w:color w:val="auto"/>
          <w:szCs w:val="21"/>
          <w:highlight w:val="none"/>
        </w:rPr>
      </w:pPr>
    </w:p>
    <w:p w14:paraId="1D63837E">
      <w:pPr>
        <w:pStyle w:val="12"/>
        <w:spacing w:line="360" w:lineRule="auto"/>
        <w:ind w:firstLine="0"/>
        <w:jc w:val="center"/>
        <w:rPr>
          <w:rFonts w:ascii="宋体" w:hAnsi="宋体" w:cs="宋体"/>
          <w:b/>
          <w:bCs/>
          <w:color w:val="auto"/>
          <w:szCs w:val="21"/>
          <w:highlight w:val="none"/>
        </w:rPr>
      </w:pPr>
      <w:r>
        <w:rPr>
          <w:rFonts w:hint="eastAsia" w:ascii="宋体" w:hAnsi="宋体" w:cs="宋体"/>
          <w:b/>
          <w:bCs/>
          <w:color w:val="auto"/>
          <w:szCs w:val="21"/>
          <w:highlight w:val="none"/>
        </w:rPr>
        <w:t>投标人情况表</w:t>
      </w:r>
    </w:p>
    <w:tbl>
      <w:tblPr>
        <w:tblStyle w:val="52"/>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582"/>
        <w:gridCol w:w="1398"/>
        <w:gridCol w:w="791"/>
        <w:gridCol w:w="1268"/>
        <w:gridCol w:w="433"/>
        <w:gridCol w:w="721"/>
        <w:gridCol w:w="694"/>
        <w:gridCol w:w="2475"/>
      </w:tblGrid>
      <w:tr w14:paraId="787BEF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45" w:hRule="atLeast"/>
          <w:jc w:val="center"/>
        </w:trPr>
        <w:tc>
          <w:tcPr>
            <w:tcW w:w="582" w:type="dxa"/>
            <w:vAlign w:val="center"/>
          </w:tcPr>
          <w:p w14:paraId="3FFA594A">
            <w:pPr>
              <w:pStyle w:val="308"/>
              <w:spacing w:line="320" w:lineRule="exact"/>
              <w:ind w:firstLine="0"/>
              <w:jc w:val="center"/>
              <w:rPr>
                <w:color w:val="auto"/>
                <w:szCs w:val="21"/>
                <w:highlight w:val="none"/>
              </w:rPr>
            </w:pPr>
            <w:r>
              <w:rPr>
                <w:color w:val="auto"/>
                <w:szCs w:val="21"/>
                <w:highlight w:val="none"/>
              </w:rPr>
              <w:t>1</w:t>
            </w:r>
          </w:p>
        </w:tc>
        <w:tc>
          <w:tcPr>
            <w:tcW w:w="1398" w:type="dxa"/>
            <w:vAlign w:val="center"/>
          </w:tcPr>
          <w:p w14:paraId="69D26CA6">
            <w:pPr>
              <w:pStyle w:val="308"/>
              <w:spacing w:line="320" w:lineRule="exact"/>
              <w:ind w:firstLine="0"/>
              <w:jc w:val="center"/>
              <w:rPr>
                <w:color w:val="auto"/>
                <w:szCs w:val="21"/>
                <w:highlight w:val="none"/>
              </w:rPr>
            </w:pPr>
            <w:r>
              <w:rPr>
                <w:color w:val="auto"/>
                <w:szCs w:val="21"/>
                <w:highlight w:val="none"/>
              </w:rPr>
              <w:t>法定代表人</w:t>
            </w:r>
          </w:p>
        </w:tc>
        <w:tc>
          <w:tcPr>
            <w:tcW w:w="2492" w:type="dxa"/>
            <w:gridSpan w:val="3"/>
            <w:vAlign w:val="center"/>
          </w:tcPr>
          <w:p w14:paraId="051E430E">
            <w:pPr>
              <w:pStyle w:val="308"/>
              <w:spacing w:line="320" w:lineRule="exact"/>
              <w:ind w:firstLine="0"/>
              <w:jc w:val="center"/>
              <w:rPr>
                <w:color w:val="auto"/>
                <w:szCs w:val="21"/>
                <w:highlight w:val="none"/>
              </w:rPr>
            </w:pPr>
          </w:p>
        </w:tc>
        <w:tc>
          <w:tcPr>
            <w:tcW w:w="1415" w:type="dxa"/>
            <w:gridSpan w:val="2"/>
            <w:vAlign w:val="center"/>
          </w:tcPr>
          <w:p w14:paraId="0499EEA6">
            <w:pPr>
              <w:pStyle w:val="308"/>
              <w:spacing w:line="320" w:lineRule="exact"/>
              <w:ind w:firstLine="0"/>
              <w:rPr>
                <w:color w:val="auto"/>
                <w:szCs w:val="21"/>
                <w:highlight w:val="none"/>
              </w:rPr>
            </w:pPr>
            <w:r>
              <w:rPr>
                <w:color w:val="auto"/>
                <w:szCs w:val="21"/>
                <w:highlight w:val="none"/>
              </w:rPr>
              <w:t>公司成立日期</w:t>
            </w:r>
          </w:p>
        </w:tc>
        <w:tc>
          <w:tcPr>
            <w:tcW w:w="2475" w:type="dxa"/>
            <w:vAlign w:val="center"/>
          </w:tcPr>
          <w:p w14:paraId="350CA9F2">
            <w:pPr>
              <w:pStyle w:val="308"/>
              <w:spacing w:line="320" w:lineRule="exact"/>
              <w:ind w:firstLine="0"/>
              <w:rPr>
                <w:color w:val="auto"/>
                <w:szCs w:val="21"/>
                <w:highlight w:val="none"/>
              </w:rPr>
            </w:pPr>
          </w:p>
        </w:tc>
      </w:tr>
      <w:tr w14:paraId="5B1C5A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45" w:hRule="atLeast"/>
          <w:jc w:val="center"/>
        </w:trPr>
        <w:tc>
          <w:tcPr>
            <w:tcW w:w="582" w:type="dxa"/>
            <w:vAlign w:val="center"/>
          </w:tcPr>
          <w:p w14:paraId="31927D15">
            <w:pPr>
              <w:pStyle w:val="308"/>
              <w:spacing w:line="320" w:lineRule="exact"/>
              <w:ind w:firstLine="0"/>
              <w:jc w:val="center"/>
              <w:rPr>
                <w:color w:val="auto"/>
                <w:szCs w:val="21"/>
                <w:highlight w:val="none"/>
              </w:rPr>
            </w:pPr>
            <w:r>
              <w:rPr>
                <w:color w:val="auto"/>
                <w:szCs w:val="21"/>
                <w:highlight w:val="none"/>
              </w:rPr>
              <w:t>2</w:t>
            </w:r>
          </w:p>
        </w:tc>
        <w:tc>
          <w:tcPr>
            <w:tcW w:w="1398" w:type="dxa"/>
            <w:vAlign w:val="center"/>
          </w:tcPr>
          <w:p w14:paraId="78B853DB">
            <w:pPr>
              <w:pStyle w:val="308"/>
              <w:spacing w:line="320" w:lineRule="exact"/>
              <w:ind w:firstLine="0"/>
              <w:jc w:val="center"/>
              <w:rPr>
                <w:color w:val="auto"/>
                <w:szCs w:val="21"/>
                <w:highlight w:val="none"/>
              </w:rPr>
            </w:pPr>
            <w:r>
              <w:rPr>
                <w:rFonts w:hint="eastAsia"/>
                <w:color w:val="auto"/>
                <w:szCs w:val="21"/>
                <w:highlight w:val="none"/>
              </w:rPr>
              <w:t>注册</w:t>
            </w:r>
            <w:r>
              <w:rPr>
                <w:color w:val="auto"/>
                <w:szCs w:val="21"/>
                <w:highlight w:val="none"/>
              </w:rPr>
              <w:t>地址</w:t>
            </w:r>
          </w:p>
        </w:tc>
        <w:tc>
          <w:tcPr>
            <w:tcW w:w="6382" w:type="dxa"/>
            <w:gridSpan w:val="6"/>
            <w:vAlign w:val="center"/>
          </w:tcPr>
          <w:p w14:paraId="0CEAED7F">
            <w:pPr>
              <w:pStyle w:val="308"/>
              <w:spacing w:line="320" w:lineRule="exact"/>
              <w:ind w:firstLine="0"/>
              <w:jc w:val="center"/>
              <w:rPr>
                <w:color w:val="auto"/>
                <w:szCs w:val="21"/>
                <w:highlight w:val="none"/>
              </w:rPr>
            </w:pPr>
          </w:p>
        </w:tc>
      </w:tr>
      <w:tr w14:paraId="4B7238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45" w:hRule="atLeast"/>
          <w:jc w:val="center"/>
        </w:trPr>
        <w:tc>
          <w:tcPr>
            <w:tcW w:w="582" w:type="dxa"/>
            <w:vAlign w:val="center"/>
          </w:tcPr>
          <w:p w14:paraId="210EBE15">
            <w:pPr>
              <w:pStyle w:val="308"/>
              <w:spacing w:line="320" w:lineRule="exact"/>
              <w:ind w:firstLine="0"/>
              <w:jc w:val="center"/>
              <w:rPr>
                <w:color w:val="auto"/>
                <w:szCs w:val="21"/>
                <w:highlight w:val="none"/>
              </w:rPr>
            </w:pPr>
            <w:r>
              <w:rPr>
                <w:color w:val="auto"/>
                <w:szCs w:val="21"/>
                <w:highlight w:val="none"/>
              </w:rPr>
              <w:t>3</w:t>
            </w:r>
          </w:p>
        </w:tc>
        <w:tc>
          <w:tcPr>
            <w:tcW w:w="1398" w:type="dxa"/>
            <w:vAlign w:val="center"/>
          </w:tcPr>
          <w:p w14:paraId="4F12C7EC">
            <w:pPr>
              <w:pStyle w:val="308"/>
              <w:spacing w:line="320" w:lineRule="exact"/>
              <w:ind w:firstLine="210" w:firstLineChars="100"/>
              <w:rPr>
                <w:color w:val="auto"/>
                <w:szCs w:val="21"/>
                <w:highlight w:val="none"/>
              </w:rPr>
            </w:pPr>
            <w:r>
              <w:rPr>
                <w:rFonts w:hint="eastAsia"/>
                <w:color w:val="auto"/>
                <w:szCs w:val="21"/>
                <w:highlight w:val="none"/>
              </w:rPr>
              <w:t>联系</w:t>
            </w:r>
            <w:r>
              <w:rPr>
                <w:color w:val="auto"/>
                <w:szCs w:val="21"/>
                <w:highlight w:val="none"/>
              </w:rPr>
              <w:t>地址</w:t>
            </w:r>
          </w:p>
        </w:tc>
        <w:tc>
          <w:tcPr>
            <w:tcW w:w="6382" w:type="dxa"/>
            <w:gridSpan w:val="6"/>
            <w:vAlign w:val="center"/>
          </w:tcPr>
          <w:p w14:paraId="6C2094CF">
            <w:pPr>
              <w:pStyle w:val="308"/>
              <w:spacing w:line="320" w:lineRule="exact"/>
              <w:ind w:firstLine="0"/>
              <w:rPr>
                <w:color w:val="auto"/>
                <w:szCs w:val="21"/>
                <w:highlight w:val="none"/>
              </w:rPr>
            </w:pPr>
          </w:p>
        </w:tc>
      </w:tr>
      <w:tr w14:paraId="35B33B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45" w:hRule="atLeast"/>
          <w:jc w:val="center"/>
        </w:trPr>
        <w:tc>
          <w:tcPr>
            <w:tcW w:w="582" w:type="dxa"/>
            <w:vAlign w:val="center"/>
          </w:tcPr>
          <w:p w14:paraId="0D92A2CC">
            <w:pPr>
              <w:pStyle w:val="308"/>
              <w:spacing w:line="320" w:lineRule="exact"/>
              <w:ind w:firstLine="0"/>
              <w:jc w:val="center"/>
              <w:rPr>
                <w:color w:val="auto"/>
                <w:szCs w:val="21"/>
                <w:highlight w:val="none"/>
              </w:rPr>
            </w:pPr>
            <w:r>
              <w:rPr>
                <w:color w:val="auto"/>
                <w:szCs w:val="21"/>
                <w:highlight w:val="none"/>
              </w:rPr>
              <w:t>4</w:t>
            </w:r>
          </w:p>
        </w:tc>
        <w:tc>
          <w:tcPr>
            <w:tcW w:w="1398" w:type="dxa"/>
            <w:vAlign w:val="center"/>
          </w:tcPr>
          <w:p w14:paraId="1A146237">
            <w:pPr>
              <w:pStyle w:val="308"/>
              <w:spacing w:line="320" w:lineRule="exact"/>
              <w:ind w:firstLine="0"/>
              <w:jc w:val="center"/>
              <w:rPr>
                <w:color w:val="auto"/>
                <w:szCs w:val="21"/>
                <w:highlight w:val="none"/>
              </w:rPr>
            </w:pPr>
            <w:r>
              <w:rPr>
                <w:color w:val="auto"/>
                <w:szCs w:val="21"/>
                <w:highlight w:val="none"/>
              </w:rPr>
              <w:t>电话</w:t>
            </w:r>
          </w:p>
        </w:tc>
        <w:tc>
          <w:tcPr>
            <w:tcW w:w="2059" w:type="dxa"/>
            <w:gridSpan w:val="2"/>
            <w:vAlign w:val="center"/>
          </w:tcPr>
          <w:p w14:paraId="31E13666">
            <w:pPr>
              <w:pStyle w:val="308"/>
              <w:spacing w:line="320" w:lineRule="exact"/>
              <w:ind w:firstLine="0"/>
              <w:rPr>
                <w:color w:val="auto"/>
                <w:szCs w:val="21"/>
                <w:highlight w:val="none"/>
              </w:rPr>
            </w:pPr>
          </w:p>
        </w:tc>
        <w:tc>
          <w:tcPr>
            <w:tcW w:w="1154" w:type="dxa"/>
            <w:gridSpan w:val="2"/>
            <w:vAlign w:val="center"/>
          </w:tcPr>
          <w:p w14:paraId="62B42839">
            <w:pPr>
              <w:pStyle w:val="308"/>
              <w:spacing w:line="320" w:lineRule="exact"/>
              <w:ind w:firstLine="0"/>
              <w:jc w:val="center"/>
              <w:rPr>
                <w:color w:val="auto"/>
                <w:szCs w:val="21"/>
                <w:highlight w:val="none"/>
              </w:rPr>
            </w:pPr>
            <w:r>
              <w:rPr>
                <w:color w:val="auto"/>
                <w:szCs w:val="21"/>
                <w:highlight w:val="none"/>
              </w:rPr>
              <w:t>联系人</w:t>
            </w:r>
          </w:p>
        </w:tc>
        <w:tc>
          <w:tcPr>
            <w:tcW w:w="3169" w:type="dxa"/>
            <w:gridSpan w:val="2"/>
            <w:vAlign w:val="center"/>
          </w:tcPr>
          <w:p w14:paraId="48A2924C">
            <w:pPr>
              <w:pStyle w:val="308"/>
              <w:spacing w:line="320" w:lineRule="exact"/>
              <w:ind w:firstLine="0"/>
              <w:rPr>
                <w:color w:val="auto"/>
                <w:szCs w:val="21"/>
                <w:highlight w:val="none"/>
              </w:rPr>
            </w:pPr>
          </w:p>
        </w:tc>
      </w:tr>
      <w:tr w14:paraId="1DD966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25" w:hRule="atLeast"/>
          <w:jc w:val="center"/>
        </w:trPr>
        <w:tc>
          <w:tcPr>
            <w:tcW w:w="582" w:type="dxa"/>
            <w:vAlign w:val="center"/>
          </w:tcPr>
          <w:p w14:paraId="163442D2">
            <w:pPr>
              <w:pStyle w:val="308"/>
              <w:spacing w:line="320" w:lineRule="exact"/>
              <w:ind w:firstLine="0"/>
              <w:jc w:val="center"/>
              <w:rPr>
                <w:color w:val="auto"/>
                <w:szCs w:val="21"/>
                <w:highlight w:val="none"/>
              </w:rPr>
            </w:pPr>
            <w:r>
              <w:rPr>
                <w:color w:val="auto"/>
                <w:szCs w:val="21"/>
                <w:highlight w:val="none"/>
              </w:rPr>
              <w:t>5</w:t>
            </w:r>
          </w:p>
        </w:tc>
        <w:tc>
          <w:tcPr>
            <w:tcW w:w="1398" w:type="dxa"/>
            <w:vAlign w:val="center"/>
          </w:tcPr>
          <w:p w14:paraId="10B8BA95">
            <w:pPr>
              <w:pStyle w:val="308"/>
              <w:spacing w:line="320" w:lineRule="exact"/>
              <w:ind w:firstLine="0"/>
              <w:jc w:val="center"/>
              <w:rPr>
                <w:color w:val="auto"/>
                <w:szCs w:val="21"/>
                <w:highlight w:val="none"/>
              </w:rPr>
            </w:pPr>
            <w:r>
              <w:rPr>
                <w:color w:val="auto"/>
                <w:szCs w:val="21"/>
                <w:highlight w:val="none"/>
              </w:rPr>
              <w:t>传真</w:t>
            </w:r>
          </w:p>
        </w:tc>
        <w:tc>
          <w:tcPr>
            <w:tcW w:w="2059" w:type="dxa"/>
            <w:gridSpan w:val="2"/>
            <w:vAlign w:val="center"/>
          </w:tcPr>
          <w:p w14:paraId="69E7099F">
            <w:pPr>
              <w:pStyle w:val="308"/>
              <w:spacing w:line="320" w:lineRule="exact"/>
              <w:ind w:firstLine="0"/>
              <w:rPr>
                <w:color w:val="auto"/>
                <w:szCs w:val="21"/>
                <w:highlight w:val="none"/>
              </w:rPr>
            </w:pPr>
          </w:p>
        </w:tc>
        <w:tc>
          <w:tcPr>
            <w:tcW w:w="1154" w:type="dxa"/>
            <w:gridSpan w:val="2"/>
            <w:vAlign w:val="center"/>
          </w:tcPr>
          <w:p w14:paraId="77175AA4">
            <w:pPr>
              <w:pStyle w:val="308"/>
              <w:spacing w:line="320" w:lineRule="exact"/>
              <w:ind w:firstLine="0"/>
              <w:jc w:val="center"/>
              <w:rPr>
                <w:color w:val="auto"/>
                <w:szCs w:val="21"/>
                <w:highlight w:val="none"/>
              </w:rPr>
            </w:pPr>
            <w:r>
              <w:rPr>
                <w:color w:val="auto"/>
                <w:szCs w:val="21"/>
                <w:highlight w:val="none"/>
              </w:rPr>
              <w:t>电子邮箱</w:t>
            </w:r>
          </w:p>
        </w:tc>
        <w:tc>
          <w:tcPr>
            <w:tcW w:w="3169" w:type="dxa"/>
            <w:gridSpan w:val="2"/>
            <w:vAlign w:val="center"/>
          </w:tcPr>
          <w:p w14:paraId="0085B8CF">
            <w:pPr>
              <w:pStyle w:val="308"/>
              <w:spacing w:line="320" w:lineRule="exact"/>
              <w:ind w:firstLine="0"/>
              <w:rPr>
                <w:color w:val="auto"/>
                <w:szCs w:val="21"/>
                <w:highlight w:val="none"/>
              </w:rPr>
            </w:pPr>
          </w:p>
        </w:tc>
      </w:tr>
      <w:tr w14:paraId="6F000F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45" w:hRule="atLeast"/>
          <w:jc w:val="center"/>
        </w:trPr>
        <w:tc>
          <w:tcPr>
            <w:tcW w:w="582" w:type="dxa"/>
            <w:vAlign w:val="center"/>
          </w:tcPr>
          <w:p w14:paraId="0E24DEA1">
            <w:pPr>
              <w:pStyle w:val="308"/>
              <w:spacing w:line="320" w:lineRule="exact"/>
              <w:ind w:firstLine="0"/>
              <w:jc w:val="center"/>
              <w:rPr>
                <w:color w:val="auto"/>
                <w:szCs w:val="21"/>
                <w:highlight w:val="none"/>
              </w:rPr>
            </w:pPr>
            <w:r>
              <w:rPr>
                <w:color w:val="auto"/>
                <w:szCs w:val="21"/>
                <w:highlight w:val="none"/>
              </w:rPr>
              <w:t>6</w:t>
            </w:r>
          </w:p>
        </w:tc>
        <w:tc>
          <w:tcPr>
            <w:tcW w:w="1398" w:type="dxa"/>
            <w:vAlign w:val="center"/>
          </w:tcPr>
          <w:p w14:paraId="5437A88D">
            <w:pPr>
              <w:pStyle w:val="308"/>
              <w:spacing w:line="320" w:lineRule="exact"/>
              <w:ind w:firstLine="0"/>
              <w:jc w:val="center"/>
              <w:rPr>
                <w:color w:val="auto"/>
                <w:szCs w:val="21"/>
                <w:highlight w:val="none"/>
              </w:rPr>
            </w:pPr>
            <w:r>
              <w:rPr>
                <w:color w:val="auto"/>
                <w:szCs w:val="21"/>
                <w:highlight w:val="none"/>
              </w:rPr>
              <w:t>注册地</w:t>
            </w:r>
          </w:p>
        </w:tc>
        <w:tc>
          <w:tcPr>
            <w:tcW w:w="2059" w:type="dxa"/>
            <w:gridSpan w:val="2"/>
            <w:vAlign w:val="center"/>
          </w:tcPr>
          <w:p w14:paraId="5C575C20">
            <w:pPr>
              <w:pStyle w:val="308"/>
              <w:spacing w:line="320" w:lineRule="exact"/>
              <w:ind w:firstLine="0"/>
              <w:rPr>
                <w:color w:val="auto"/>
                <w:szCs w:val="21"/>
                <w:highlight w:val="none"/>
              </w:rPr>
            </w:pPr>
          </w:p>
        </w:tc>
        <w:tc>
          <w:tcPr>
            <w:tcW w:w="1154" w:type="dxa"/>
            <w:gridSpan w:val="2"/>
            <w:vAlign w:val="center"/>
          </w:tcPr>
          <w:p w14:paraId="1281018D">
            <w:pPr>
              <w:pStyle w:val="308"/>
              <w:spacing w:line="320" w:lineRule="exact"/>
              <w:ind w:firstLine="0"/>
              <w:jc w:val="center"/>
              <w:rPr>
                <w:color w:val="auto"/>
                <w:szCs w:val="21"/>
                <w:highlight w:val="none"/>
              </w:rPr>
            </w:pPr>
            <w:r>
              <w:rPr>
                <w:color w:val="auto"/>
                <w:szCs w:val="21"/>
                <w:highlight w:val="none"/>
              </w:rPr>
              <w:t>注册年份</w:t>
            </w:r>
          </w:p>
        </w:tc>
        <w:tc>
          <w:tcPr>
            <w:tcW w:w="3169" w:type="dxa"/>
            <w:gridSpan w:val="2"/>
            <w:vAlign w:val="center"/>
          </w:tcPr>
          <w:p w14:paraId="5570A6DB">
            <w:pPr>
              <w:pStyle w:val="308"/>
              <w:spacing w:line="320" w:lineRule="exact"/>
              <w:ind w:left="437" w:firstLine="0"/>
              <w:rPr>
                <w:color w:val="auto"/>
                <w:szCs w:val="21"/>
                <w:highlight w:val="none"/>
              </w:rPr>
            </w:pPr>
          </w:p>
        </w:tc>
      </w:tr>
      <w:tr w14:paraId="4E79D3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45" w:hRule="atLeast"/>
          <w:jc w:val="center"/>
        </w:trPr>
        <w:tc>
          <w:tcPr>
            <w:tcW w:w="582" w:type="dxa"/>
            <w:vAlign w:val="center"/>
          </w:tcPr>
          <w:p w14:paraId="7B6D469D">
            <w:pPr>
              <w:pStyle w:val="308"/>
              <w:spacing w:line="320" w:lineRule="exact"/>
              <w:ind w:firstLine="0"/>
              <w:jc w:val="center"/>
              <w:rPr>
                <w:color w:val="auto"/>
                <w:szCs w:val="21"/>
                <w:highlight w:val="none"/>
              </w:rPr>
            </w:pPr>
            <w:r>
              <w:rPr>
                <w:color w:val="auto"/>
                <w:szCs w:val="21"/>
                <w:highlight w:val="none"/>
              </w:rPr>
              <w:t>7</w:t>
            </w:r>
          </w:p>
        </w:tc>
        <w:tc>
          <w:tcPr>
            <w:tcW w:w="1398" w:type="dxa"/>
            <w:vAlign w:val="center"/>
          </w:tcPr>
          <w:p w14:paraId="79FDE1CF">
            <w:pPr>
              <w:pStyle w:val="308"/>
              <w:spacing w:line="320" w:lineRule="exact"/>
              <w:ind w:firstLine="0"/>
              <w:rPr>
                <w:color w:val="auto"/>
                <w:szCs w:val="21"/>
                <w:highlight w:val="none"/>
              </w:rPr>
            </w:pPr>
            <w:r>
              <w:rPr>
                <w:color w:val="auto"/>
                <w:szCs w:val="21"/>
                <w:highlight w:val="none"/>
              </w:rPr>
              <w:t>单位职工人数</w:t>
            </w:r>
            <w:r>
              <w:rPr>
                <w:rFonts w:hint="eastAsia"/>
                <w:color w:val="auto"/>
                <w:szCs w:val="21"/>
                <w:highlight w:val="none"/>
              </w:rPr>
              <w:t>（含分支机构）</w:t>
            </w:r>
          </w:p>
        </w:tc>
        <w:tc>
          <w:tcPr>
            <w:tcW w:w="2059" w:type="dxa"/>
            <w:gridSpan w:val="2"/>
            <w:vAlign w:val="center"/>
          </w:tcPr>
          <w:p w14:paraId="12F769BB">
            <w:pPr>
              <w:pStyle w:val="308"/>
              <w:spacing w:line="320" w:lineRule="exact"/>
              <w:ind w:firstLine="840" w:firstLineChars="400"/>
              <w:rPr>
                <w:color w:val="auto"/>
                <w:szCs w:val="21"/>
                <w:highlight w:val="none"/>
              </w:rPr>
            </w:pPr>
            <w:r>
              <w:rPr>
                <w:color w:val="auto"/>
                <w:szCs w:val="21"/>
                <w:highlight w:val="none"/>
              </w:rPr>
              <w:t>人</w:t>
            </w:r>
          </w:p>
        </w:tc>
        <w:tc>
          <w:tcPr>
            <w:tcW w:w="1848" w:type="dxa"/>
            <w:gridSpan w:val="3"/>
            <w:vAlign w:val="center"/>
          </w:tcPr>
          <w:p w14:paraId="2AE20373">
            <w:pPr>
              <w:pStyle w:val="308"/>
              <w:spacing w:line="320" w:lineRule="exact"/>
              <w:ind w:firstLine="0"/>
              <w:rPr>
                <w:rFonts w:ascii="宋体" w:hAnsi="宋体" w:cs="宋体"/>
                <w:color w:val="auto"/>
                <w:szCs w:val="21"/>
                <w:highlight w:val="none"/>
              </w:rPr>
            </w:pPr>
            <w:r>
              <w:rPr>
                <w:rFonts w:hint="eastAsia" w:ascii="宋体" w:hAnsi="宋体" w:cs="宋体"/>
                <w:color w:val="auto"/>
                <w:szCs w:val="21"/>
                <w:highlight w:val="none"/>
              </w:rPr>
              <w:t>2024年或2025年</w:t>
            </w:r>
          </w:p>
          <w:p w14:paraId="06879672">
            <w:pPr>
              <w:pStyle w:val="308"/>
              <w:spacing w:line="320" w:lineRule="exact"/>
              <w:ind w:firstLine="0"/>
              <w:rPr>
                <w:color w:val="auto"/>
                <w:szCs w:val="21"/>
                <w:highlight w:val="none"/>
              </w:rPr>
            </w:pPr>
            <w:r>
              <w:rPr>
                <w:rFonts w:hint="eastAsia" w:ascii="宋体" w:hAnsi="宋体" w:cs="宋体"/>
                <w:color w:val="auto"/>
                <w:szCs w:val="21"/>
                <w:highlight w:val="none"/>
              </w:rPr>
              <w:t>总营业收入</w:t>
            </w:r>
          </w:p>
        </w:tc>
        <w:tc>
          <w:tcPr>
            <w:tcW w:w="2475" w:type="dxa"/>
            <w:vAlign w:val="center"/>
          </w:tcPr>
          <w:p w14:paraId="7CC09E38">
            <w:pPr>
              <w:pStyle w:val="308"/>
              <w:spacing w:line="320" w:lineRule="exact"/>
              <w:ind w:left="1112" w:firstLine="0"/>
              <w:rPr>
                <w:color w:val="auto"/>
                <w:szCs w:val="21"/>
                <w:highlight w:val="none"/>
              </w:rPr>
            </w:pPr>
            <w:r>
              <w:rPr>
                <w:color w:val="auto"/>
                <w:szCs w:val="21"/>
                <w:highlight w:val="none"/>
              </w:rPr>
              <w:t>万元</w:t>
            </w:r>
          </w:p>
        </w:tc>
      </w:tr>
      <w:tr w14:paraId="14E8B2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45" w:hRule="atLeast"/>
          <w:jc w:val="center"/>
        </w:trPr>
        <w:tc>
          <w:tcPr>
            <w:tcW w:w="582" w:type="dxa"/>
            <w:vAlign w:val="center"/>
          </w:tcPr>
          <w:p w14:paraId="16C7F095">
            <w:pPr>
              <w:pStyle w:val="308"/>
              <w:spacing w:line="320" w:lineRule="exact"/>
              <w:ind w:firstLine="0"/>
              <w:jc w:val="center"/>
              <w:rPr>
                <w:color w:val="auto"/>
                <w:szCs w:val="21"/>
                <w:highlight w:val="none"/>
              </w:rPr>
            </w:pPr>
            <w:r>
              <w:rPr>
                <w:color w:val="auto"/>
                <w:szCs w:val="21"/>
                <w:highlight w:val="none"/>
              </w:rPr>
              <w:t>8</w:t>
            </w:r>
          </w:p>
        </w:tc>
        <w:tc>
          <w:tcPr>
            <w:tcW w:w="7780" w:type="dxa"/>
            <w:gridSpan w:val="7"/>
            <w:vAlign w:val="center"/>
          </w:tcPr>
          <w:p w14:paraId="0111F5AC">
            <w:pPr>
              <w:pStyle w:val="308"/>
              <w:spacing w:line="320" w:lineRule="exact"/>
              <w:ind w:firstLine="0"/>
              <w:rPr>
                <w:color w:val="auto"/>
                <w:szCs w:val="21"/>
                <w:highlight w:val="none"/>
              </w:rPr>
            </w:pPr>
            <w:r>
              <w:rPr>
                <w:color w:val="auto"/>
                <w:szCs w:val="21"/>
                <w:highlight w:val="none"/>
              </w:rPr>
              <w:t>办公场所的面积：</w:t>
            </w:r>
          </w:p>
        </w:tc>
      </w:tr>
      <w:tr w14:paraId="050FE7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1767" w:hRule="atLeast"/>
          <w:jc w:val="center"/>
        </w:trPr>
        <w:tc>
          <w:tcPr>
            <w:tcW w:w="582" w:type="dxa"/>
            <w:vAlign w:val="center"/>
          </w:tcPr>
          <w:p w14:paraId="47852FC9">
            <w:pPr>
              <w:pStyle w:val="308"/>
              <w:spacing w:line="320" w:lineRule="exact"/>
              <w:ind w:firstLine="0"/>
              <w:jc w:val="center"/>
              <w:rPr>
                <w:color w:val="auto"/>
                <w:szCs w:val="21"/>
                <w:highlight w:val="none"/>
              </w:rPr>
            </w:pPr>
            <w:r>
              <w:rPr>
                <w:color w:val="auto"/>
                <w:szCs w:val="21"/>
                <w:highlight w:val="none"/>
              </w:rPr>
              <w:t>9</w:t>
            </w:r>
          </w:p>
        </w:tc>
        <w:tc>
          <w:tcPr>
            <w:tcW w:w="7780" w:type="dxa"/>
            <w:gridSpan w:val="7"/>
            <w:vAlign w:val="center"/>
          </w:tcPr>
          <w:p w14:paraId="085F5A15">
            <w:pPr>
              <w:pStyle w:val="308"/>
              <w:spacing w:line="320" w:lineRule="exact"/>
              <w:ind w:firstLine="0"/>
              <w:rPr>
                <w:color w:val="auto"/>
                <w:szCs w:val="21"/>
                <w:highlight w:val="none"/>
              </w:rPr>
            </w:pPr>
            <w:r>
              <w:rPr>
                <w:color w:val="auto"/>
                <w:szCs w:val="21"/>
                <w:highlight w:val="none"/>
              </w:rPr>
              <w:t>主营范围</w:t>
            </w:r>
          </w:p>
          <w:p w14:paraId="1E2088E5">
            <w:pPr>
              <w:pStyle w:val="308"/>
              <w:spacing w:line="320" w:lineRule="exact"/>
              <w:ind w:firstLine="0"/>
              <w:rPr>
                <w:color w:val="auto"/>
                <w:szCs w:val="21"/>
                <w:highlight w:val="none"/>
              </w:rPr>
            </w:pPr>
            <w:r>
              <w:rPr>
                <w:color w:val="auto"/>
                <w:szCs w:val="21"/>
                <w:highlight w:val="none"/>
              </w:rPr>
              <w:t>1、____________________________________</w:t>
            </w:r>
          </w:p>
          <w:p w14:paraId="7FACBCFD">
            <w:pPr>
              <w:pStyle w:val="308"/>
              <w:spacing w:line="320" w:lineRule="exact"/>
              <w:ind w:firstLine="0"/>
              <w:rPr>
                <w:color w:val="auto"/>
                <w:szCs w:val="21"/>
                <w:highlight w:val="none"/>
              </w:rPr>
            </w:pPr>
            <w:r>
              <w:rPr>
                <w:color w:val="auto"/>
                <w:szCs w:val="21"/>
                <w:highlight w:val="none"/>
              </w:rPr>
              <w:t>2、____________________________________</w:t>
            </w:r>
          </w:p>
        </w:tc>
      </w:tr>
      <w:tr w14:paraId="4A676B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1013" w:hRule="atLeast"/>
          <w:jc w:val="center"/>
        </w:trPr>
        <w:tc>
          <w:tcPr>
            <w:tcW w:w="582" w:type="dxa"/>
            <w:vAlign w:val="center"/>
          </w:tcPr>
          <w:p w14:paraId="1F51544F">
            <w:pPr>
              <w:widowControl w:val="0"/>
              <w:rPr>
                <w:rFonts w:ascii="宋体" w:hAnsi="宋体"/>
                <w:color w:val="auto"/>
                <w:sz w:val="21"/>
                <w:szCs w:val="21"/>
                <w:highlight w:val="none"/>
              </w:rPr>
            </w:pPr>
            <w:r>
              <w:rPr>
                <w:rFonts w:ascii="宋体" w:hAnsi="宋体"/>
                <w:color w:val="auto"/>
                <w:sz w:val="21"/>
                <w:szCs w:val="21"/>
                <w:highlight w:val="none"/>
              </w:rPr>
              <w:t>10</w:t>
            </w:r>
          </w:p>
        </w:tc>
        <w:tc>
          <w:tcPr>
            <w:tcW w:w="2189" w:type="dxa"/>
            <w:gridSpan w:val="2"/>
            <w:vAlign w:val="center"/>
          </w:tcPr>
          <w:p w14:paraId="1F10BE22">
            <w:pPr>
              <w:widowControl w:val="0"/>
              <w:rPr>
                <w:rFonts w:ascii="宋体" w:hAnsi="宋体"/>
                <w:color w:val="auto"/>
                <w:sz w:val="21"/>
                <w:szCs w:val="21"/>
                <w:highlight w:val="none"/>
              </w:rPr>
            </w:pPr>
            <w:r>
              <w:rPr>
                <w:rFonts w:ascii="宋体" w:hAnsi="宋体"/>
                <w:color w:val="auto"/>
                <w:sz w:val="21"/>
                <w:szCs w:val="21"/>
                <w:highlight w:val="none"/>
              </w:rPr>
              <w:t>参加政府采购活动前三年内，在经营活动中有无重大违法记录</w:t>
            </w:r>
          </w:p>
        </w:tc>
        <w:tc>
          <w:tcPr>
            <w:tcW w:w="5591" w:type="dxa"/>
            <w:gridSpan w:val="5"/>
            <w:vAlign w:val="center"/>
          </w:tcPr>
          <w:p w14:paraId="4A46771F">
            <w:pPr>
              <w:widowControl w:val="0"/>
              <w:rPr>
                <w:rFonts w:ascii="宋体" w:hAnsi="宋体"/>
                <w:color w:val="auto"/>
                <w:sz w:val="21"/>
                <w:szCs w:val="21"/>
                <w:highlight w:val="none"/>
              </w:rPr>
            </w:pPr>
          </w:p>
        </w:tc>
      </w:tr>
      <w:tr w14:paraId="5CBF54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18" w:hRule="atLeast"/>
          <w:jc w:val="center"/>
        </w:trPr>
        <w:tc>
          <w:tcPr>
            <w:tcW w:w="582" w:type="dxa"/>
            <w:vAlign w:val="center"/>
          </w:tcPr>
          <w:p w14:paraId="70B830CD">
            <w:pPr>
              <w:widowControl w:val="0"/>
              <w:rPr>
                <w:rFonts w:ascii="宋体" w:hAnsi="宋体"/>
                <w:color w:val="auto"/>
                <w:sz w:val="21"/>
                <w:szCs w:val="21"/>
                <w:highlight w:val="none"/>
              </w:rPr>
            </w:pPr>
            <w:r>
              <w:rPr>
                <w:rFonts w:ascii="宋体" w:hAnsi="宋体"/>
                <w:color w:val="auto"/>
                <w:sz w:val="21"/>
                <w:szCs w:val="21"/>
                <w:highlight w:val="none"/>
              </w:rPr>
              <w:t>1</w:t>
            </w:r>
            <w:r>
              <w:rPr>
                <w:rFonts w:hint="eastAsia" w:ascii="宋体" w:hAnsi="宋体"/>
                <w:color w:val="auto"/>
                <w:sz w:val="21"/>
                <w:szCs w:val="21"/>
                <w:highlight w:val="none"/>
              </w:rPr>
              <w:t>1</w:t>
            </w:r>
          </w:p>
        </w:tc>
        <w:tc>
          <w:tcPr>
            <w:tcW w:w="7780" w:type="dxa"/>
            <w:gridSpan w:val="7"/>
            <w:vAlign w:val="center"/>
          </w:tcPr>
          <w:p w14:paraId="77CA50B9">
            <w:pPr>
              <w:widowControl w:val="0"/>
              <w:rPr>
                <w:rFonts w:ascii="宋体" w:hAnsi="宋体"/>
                <w:color w:val="auto"/>
                <w:sz w:val="21"/>
                <w:szCs w:val="21"/>
                <w:highlight w:val="none"/>
              </w:rPr>
            </w:pPr>
            <w:r>
              <w:rPr>
                <w:rFonts w:ascii="宋体" w:hAnsi="宋体"/>
                <w:color w:val="auto"/>
                <w:sz w:val="21"/>
                <w:szCs w:val="21"/>
                <w:highlight w:val="none"/>
              </w:rPr>
              <w:t>其他需要说明的情况</w:t>
            </w:r>
          </w:p>
        </w:tc>
      </w:tr>
    </w:tbl>
    <w:p w14:paraId="1FA2F06C">
      <w:pPr>
        <w:rPr>
          <w:rFonts w:ascii="宋体" w:hAnsi="宋体" w:cs="宋体"/>
          <w:b/>
          <w:bCs/>
          <w:color w:val="auto"/>
          <w:sz w:val="21"/>
          <w:szCs w:val="21"/>
          <w:highlight w:val="none"/>
        </w:rPr>
      </w:pPr>
    </w:p>
    <w:p w14:paraId="5D584517">
      <w:pPr>
        <w:rPr>
          <w:rFonts w:ascii="宋体" w:hAnsi="宋体" w:cs="宋体"/>
          <w:b/>
          <w:bCs/>
          <w:color w:val="auto"/>
          <w:sz w:val="21"/>
          <w:szCs w:val="21"/>
          <w:highlight w:val="none"/>
        </w:rPr>
      </w:pPr>
    </w:p>
    <w:p w14:paraId="08CA8748">
      <w:pPr>
        <w:rPr>
          <w:rFonts w:ascii="宋体" w:hAnsi="宋体" w:cs="宋体"/>
          <w:b/>
          <w:bCs/>
          <w:color w:val="auto"/>
          <w:sz w:val="21"/>
          <w:szCs w:val="21"/>
          <w:highlight w:val="none"/>
        </w:rPr>
      </w:pPr>
    </w:p>
    <w:p w14:paraId="7FDDF95D">
      <w:pPr>
        <w:rPr>
          <w:rFonts w:ascii="宋体" w:hAnsi="宋体" w:cs="宋体"/>
          <w:b/>
          <w:bCs/>
          <w:color w:val="auto"/>
          <w:sz w:val="21"/>
          <w:szCs w:val="21"/>
          <w:highlight w:val="none"/>
        </w:rPr>
      </w:pPr>
    </w:p>
    <w:p w14:paraId="1EF95E40">
      <w:pPr>
        <w:rPr>
          <w:rFonts w:ascii="宋体" w:hAnsi="宋体" w:cs="宋体"/>
          <w:b/>
          <w:bCs/>
          <w:color w:val="auto"/>
          <w:sz w:val="21"/>
          <w:szCs w:val="21"/>
          <w:highlight w:val="none"/>
        </w:rPr>
      </w:pPr>
    </w:p>
    <w:p w14:paraId="7F04466C">
      <w:pPr>
        <w:rPr>
          <w:rFonts w:ascii="宋体" w:hAnsi="宋体" w:cs="宋体"/>
          <w:b/>
          <w:bCs/>
          <w:color w:val="auto"/>
          <w:sz w:val="21"/>
          <w:szCs w:val="21"/>
          <w:highlight w:val="none"/>
        </w:rPr>
      </w:pPr>
    </w:p>
    <w:p w14:paraId="74509316">
      <w:pPr>
        <w:rPr>
          <w:rFonts w:ascii="宋体" w:hAnsi="宋体" w:cs="宋体"/>
          <w:b/>
          <w:bCs/>
          <w:color w:val="auto"/>
          <w:sz w:val="21"/>
          <w:szCs w:val="21"/>
          <w:highlight w:val="none"/>
        </w:rPr>
      </w:pPr>
    </w:p>
    <w:p w14:paraId="1A9EB352">
      <w:pPr>
        <w:rPr>
          <w:rFonts w:ascii="宋体" w:hAnsi="宋体" w:cs="宋体"/>
          <w:b/>
          <w:bCs/>
          <w:color w:val="auto"/>
          <w:sz w:val="21"/>
          <w:szCs w:val="21"/>
          <w:highlight w:val="none"/>
        </w:rPr>
      </w:pPr>
    </w:p>
    <w:p w14:paraId="752195FF">
      <w:pPr>
        <w:rPr>
          <w:rFonts w:ascii="宋体" w:hAnsi="宋体" w:cs="宋体"/>
          <w:b/>
          <w:bCs/>
          <w:color w:val="auto"/>
          <w:sz w:val="21"/>
          <w:szCs w:val="21"/>
          <w:highlight w:val="none"/>
        </w:rPr>
      </w:pPr>
    </w:p>
    <w:p w14:paraId="093214A6">
      <w:pPr>
        <w:rPr>
          <w:rFonts w:ascii="宋体" w:hAnsi="宋体" w:cs="宋体"/>
          <w:b/>
          <w:bCs/>
          <w:color w:val="auto"/>
          <w:sz w:val="21"/>
          <w:szCs w:val="21"/>
          <w:highlight w:val="none"/>
        </w:rPr>
      </w:pPr>
    </w:p>
    <w:p w14:paraId="33BB131E">
      <w:pPr>
        <w:rPr>
          <w:rFonts w:ascii="宋体" w:hAnsi="宋体" w:cs="宋体"/>
          <w:b/>
          <w:bCs/>
          <w:color w:val="auto"/>
          <w:sz w:val="21"/>
          <w:szCs w:val="21"/>
          <w:highlight w:val="none"/>
        </w:rPr>
      </w:pPr>
    </w:p>
    <w:p w14:paraId="1E394BF5">
      <w:pPr>
        <w:rPr>
          <w:rFonts w:ascii="宋体" w:hAnsi="宋体" w:cs="宋体"/>
          <w:b/>
          <w:bCs/>
          <w:color w:val="auto"/>
          <w:sz w:val="21"/>
          <w:szCs w:val="21"/>
          <w:highlight w:val="none"/>
        </w:rPr>
      </w:pPr>
    </w:p>
    <w:p w14:paraId="7BF035ED">
      <w:pPr>
        <w:rPr>
          <w:rFonts w:ascii="宋体" w:hAnsi="宋体" w:cs="宋体"/>
          <w:b/>
          <w:bCs/>
          <w:color w:val="auto"/>
          <w:sz w:val="21"/>
          <w:szCs w:val="21"/>
          <w:highlight w:val="none"/>
        </w:rPr>
      </w:pPr>
    </w:p>
    <w:p w14:paraId="7C46BE57">
      <w:pPr>
        <w:widowControl w:val="0"/>
        <w:spacing w:line="360" w:lineRule="auto"/>
        <w:rPr>
          <w:rFonts w:ascii="宋体" w:hAnsi="宋体" w:cs="宋体"/>
          <w:b/>
          <w:bCs/>
          <w:color w:val="auto"/>
          <w:sz w:val="21"/>
          <w:highlight w:val="none"/>
        </w:rPr>
      </w:pPr>
    </w:p>
    <w:p w14:paraId="53FACF05">
      <w:pPr>
        <w:widowControl w:val="0"/>
        <w:spacing w:line="360" w:lineRule="auto"/>
        <w:rPr>
          <w:rFonts w:ascii="宋体" w:hAnsi="宋体" w:cs="宋体"/>
          <w:b/>
          <w:bCs/>
          <w:color w:val="auto"/>
          <w:sz w:val="21"/>
          <w:highlight w:val="none"/>
        </w:rPr>
      </w:pPr>
    </w:p>
    <w:p w14:paraId="13AB4782">
      <w:pPr>
        <w:widowControl w:val="0"/>
        <w:spacing w:line="360" w:lineRule="auto"/>
        <w:rPr>
          <w:rFonts w:ascii="宋体" w:hAnsi="宋体" w:cs="宋体"/>
          <w:b/>
          <w:bCs/>
          <w:color w:val="auto"/>
          <w:sz w:val="21"/>
          <w:highlight w:val="none"/>
        </w:rPr>
      </w:pPr>
    </w:p>
    <w:p w14:paraId="4F62B110">
      <w:pPr>
        <w:widowControl w:val="0"/>
        <w:spacing w:line="360" w:lineRule="auto"/>
        <w:rPr>
          <w:rFonts w:ascii="宋体" w:hAnsi="宋体" w:cs="宋体"/>
          <w:b/>
          <w:color w:val="auto"/>
          <w:sz w:val="28"/>
          <w:szCs w:val="28"/>
          <w:highlight w:val="none"/>
        </w:rPr>
      </w:pPr>
      <w:r>
        <w:rPr>
          <w:rFonts w:hint="eastAsia" w:ascii="宋体" w:hAnsi="宋体" w:cs="宋体"/>
          <w:b/>
          <w:bCs/>
          <w:color w:val="auto"/>
          <w:sz w:val="21"/>
          <w:highlight w:val="none"/>
        </w:rPr>
        <w:t>3.</w:t>
      </w:r>
      <w:r>
        <w:rPr>
          <w:rFonts w:hint="eastAsia" w:ascii="宋体" w:hAnsi="宋体" w:cs="宋体"/>
          <w:b/>
          <w:color w:val="auto"/>
          <w:sz w:val="21"/>
          <w:szCs w:val="21"/>
          <w:highlight w:val="none"/>
        </w:rPr>
        <w:t>履行合同所必需的设备和专业技术能力的承诺</w:t>
      </w:r>
    </w:p>
    <w:p w14:paraId="4CEE4CFB">
      <w:pPr>
        <w:widowControl w:val="0"/>
        <w:spacing w:line="360" w:lineRule="auto"/>
        <w:ind w:firstLine="420"/>
        <w:jc w:val="center"/>
        <w:rPr>
          <w:rFonts w:ascii="宋体" w:hAnsi="宋体" w:cs="宋体"/>
          <w:b/>
          <w:color w:val="auto"/>
          <w:sz w:val="28"/>
          <w:szCs w:val="28"/>
          <w:highlight w:val="none"/>
        </w:rPr>
      </w:pPr>
    </w:p>
    <w:p w14:paraId="357E3070">
      <w:pPr>
        <w:widowControl w:val="0"/>
        <w:spacing w:line="360" w:lineRule="auto"/>
        <w:ind w:firstLine="420"/>
        <w:jc w:val="center"/>
        <w:rPr>
          <w:rFonts w:ascii="宋体" w:hAnsi="宋体" w:cs="宋体"/>
          <w:b/>
          <w:color w:val="auto"/>
          <w:sz w:val="28"/>
          <w:szCs w:val="28"/>
          <w:highlight w:val="none"/>
        </w:rPr>
      </w:pPr>
      <w:r>
        <w:rPr>
          <w:rFonts w:hint="eastAsia" w:ascii="宋体" w:hAnsi="宋体" w:cs="宋体"/>
          <w:b/>
          <w:color w:val="auto"/>
          <w:sz w:val="28"/>
          <w:szCs w:val="28"/>
          <w:highlight w:val="none"/>
        </w:rPr>
        <w:t>履行合同所必需的设备和专业技术能力的承诺</w:t>
      </w:r>
    </w:p>
    <w:p w14:paraId="7782A9F1">
      <w:pPr>
        <w:widowControl w:val="0"/>
        <w:spacing w:line="360" w:lineRule="auto"/>
        <w:jc w:val="both"/>
        <w:rPr>
          <w:rFonts w:ascii="宋体" w:hAnsi="宋体" w:cs="宋体"/>
          <w:color w:val="auto"/>
          <w:highlight w:val="none"/>
        </w:rPr>
      </w:pPr>
      <w:r>
        <w:rPr>
          <w:rFonts w:hint="eastAsia" w:ascii="宋体" w:hAnsi="宋体" w:cs="宋体"/>
          <w:color w:val="auto"/>
          <w:highlight w:val="none"/>
        </w:rPr>
        <w:t> </w:t>
      </w:r>
    </w:p>
    <w:p w14:paraId="0083825D">
      <w:pPr>
        <w:widowControl w:val="0"/>
        <w:spacing w:line="360" w:lineRule="auto"/>
        <w:jc w:val="both"/>
        <w:rPr>
          <w:rFonts w:ascii="宋体" w:hAnsi="宋体" w:cs="宋体"/>
          <w:color w:val="auto"/>
          <w:sz w:val="21"/>
          <w:szCs w:val="21"/>
          <w:highlight w:val="none"/>
        </w:rPr>
      </w:pPr>
      <w:r>
        <w:rPr>
          <w:rFonts w:hint="eastAsia" w:ascii="宋体" w:hAnsi="宋体" w:cs="宋体"/>
          <w:color w:val="auto"/>
          <w:sz w:val="21"/>
          <w:szCs w:val="21"/>
          <w:highlight w:val="none"/>
          <w:u w:val="single"/>
          <w:lang w:eastAsia="zh-CN"/>
        </w:rPr>
        <w:t>苏州高铁新城管理委员会</w:t>
      </w:r>
      <w:r>
        <w:rPr>
          <w:rFonts w:hint="eastAsia" w:ascii="宋体" w:hAnsi="宋体" w:cs="宋体"/>
          <w:color w:val="auto"/>
          <w:sz w:val="21"/>
          <w:szCs w:val="21"/>
          <w:highlight w:val="none"/>
          <w:u w:val="single"/>
        </w:rPr>
        <w:t>、</w:t>
      </w:r>
      <w:r>
        <w:rPr>
          <w:rFonts w:hint="eastAsia" w:ascii="宋体" w:hAnsi="宋体" w:cs="宋体"/>
          <w:color w:val="auto"/>
          <w:sz w:val="21"/>
          <w:szCs w:val="21"/>
          <w:highlight w:val="none"/>
          <w:u w:val="single"/>
          <w:lang w:eastAsia="zh-CN"/>
        </w:rPr>
        <w:t>众鑫工程管理（苏州）有限公司</w:t>
      </w:r>
      <w:r>
        <w:rPr>
          <w:rFonts w:hint="eastAsia" w:ascii="宋体" w:hAnsi="宋体" w:cs="宋体"/>
          <w:color w:val="auto"/>
          <w:sz w:val="21"/>
          <w:szCs w:val="21"/>
          <w:highlight w:val="none"/>
          <w:lang w:val="zh-CN"/>
        </w:rPr>
        <w:t>：</w:t>
      </w:r>
    </w:p>
    <w:p w14:paraId="3AAED079">
      <w:pPr>
        <w:widowControl w:val="0"/>
        <w:spacing w:line="360" w:lineRule="auto"/>
        <w:ind w:firstLine="420"/>
        <w:jc w:val="both"/>
        <w:rPr>
          <w:rFonts w:ascii="宋体" w:hAnsi="宋体" w:cs="宋体"/>
          <w:color w:val="auto"/>
          <w:highlight w:val="none"/>
        </w:rPr>
      </w:pPr>
      <w:r>
        <w:rPr>
          <w:rFonts w:hint="eastAsia" w:ascii="宋体" w:hAnsi="宋体" w:cs="宋体"/>
          <w:color w:val="auto"/>
          <w:highlight w:val="none"/>
        </w:rPr>
        <w:t> </w:t>
      </w:r>
    </w:p>
    <w:p w14:paraId="38AF88D6">
      <w:pPr>
        <w:widowControl w:val="0"/>
        <w:tabs>
          <w:tab w:val="left" w:pos="4183"/>
        </w:tabs>
        <w:spacing w:line="360" w:lineRule="auto"/>
        <w:ind w:firstLine="420"/>
        <w:jc w:val="both"/>
        <w:rPr>
          <w:rFonts w:ascii="宋体" w:hAnsi="宋体" w:cs="宋体"/>
          <w:color w:val="auto"/>
          <w:highlight w:val="none"/>
        </w:rPr>
      </w:pPr>
      <w:r>
        <w:rPr>
          <w:rFonts w:hint="eastAsia" w:ascii="宋体" w:hAnsi="宋体" w:cs="宋体"/>
          <w:color w:val="auto"/>
          <w:sz w:val="21"/>
          <w:szCs w:val="21"/>
          <w:highlight w:val="none"/>
        </w:rPr>
        <w:t>我单位</w:t>
      </w:r>
      <w:r>
        <w:rPr>
          <w:rFonts w:hint="eastAsia" w:ascii="宋体" w:hAnsi="宋体" w:cs="宋体"/>
          <w:color w:val="auto"/>
          <w:sz w:val="21"/>
          <w:szCs w:val="21"/>
          <w:highlight w:val="none"/>
          <w:u w:val="single"/>
        </w:rPr>
        <w:tab/>
      </w:r>
      <w:r>
        <w:rPr>
          <w:rFonts w:hint="eastAsia" w:ascii="宋体" w:hAnsi="宋体" w:cs="宋体"/>
          <w:color w:val="auto"/>
          <w:sz w:val="21"/>
          <w:szCs w:val="21"/>
          <w:highlight w:val="none"/>
        </w:rPr>
        <w:t>（投标人名称）郑重承诺：我公司</w:t>
      </w:r>
      <w:r>
        <w:rPr>
          <w:rFonts w:hint="eastAsia" w:ascii="宋体" w:hAnsi="宋体" w:cs="宋体"/>
          <w:color w:val="auto"/>
          <w:sz w:val="21"/>
          <w:szCs w:val="21"/>
          <w:highlight w:val="none"/>
          <w:u w:val="single"/>
          <w:shd w:val="clear" w:color="auto" w:fill="FFFFFF"/>
        </w:rPr>
        <w:t xml:space="preserve">      （</w:t>
      </w:r>
      <w:r>
        <w:rPr>
          <w:rFonts w:hint="eastAsia" w:ascii="宋体" w:hAnsi="宋体" w:cs="宋体"/>
          <w:b/>
          <w:bCs/>
          <w:i/>
          <w:iCs/>
          <w:color w:val="auto"/>
          <w:sz w:val="21"/>
          <w:szCs w:val="21"/>
          <w:highlight w:val="none"/>
          <w:u w:val="single"/>
          <w:shd w:val="clear" w:color="auto" w:fill="FFFFFF"/>
        </w:rPr>
        <w:t>在下划线上如实填写：具有或不具有</w:t>
      </w:r>
      <w:r>
        <w:rPr>
          <w:rFonts w:hint="eastAsia" w:ascii="宋体" w:hAnsi="宋体" w:cs="宋体"/>
          <w:color w:val="auto"/>
          <w:sz w:val="21"/>
          <w:szCs w:val="21"/>
          <w:highlight w:val="none"/>
          <w:shd w:val="clear" w:color="auto" w:fill="FFFFFF"/>
        </w:rPr>
        <w:t>）</w:t>
      </w:r>
      <w:r>
        <w:rPr>
          <w:rFonts w:hint="eastAsia" w:ascii="宋体" w:hAnsi="宋体" w:cs="宋体"/>
          <w:color w:val="auto"/>
          <w:sz w:val="21"/>
          <w:szCs w:val="21"/>
          <w:highlight w:val="none"/>
        </w:rPr>
        <w:t>履行本项采购合同所必需的设备和专业技术能力。</w:t>
      </w:r>
    </w:p>
    <w:p w14:paraId="3DD8244A">
      <w:pPr>
        <w:widowControl w:val="0"/>
        <w:numPr>
          <w:ilvl w:val="0"/>
          <w:numId w:val="4"/>
        </w:numPr>
        <w:spacing w:line="360" w:lineRule="auto"/>
        <w:ind w:firstLine="480"/>
        <w:jc w:val="both"/>
        <w:rPr>
          <w:rFonts w:ascii="宋体" w:hAnsi="宋体" w:cs="宋体"/>
          <w:color w:val="auto"/>
          <w:highlight w:val="none"/>
        </w:rPr>
      </w:pPr>
      <w:r>
        <w:rPr>
          <w:rFonts w:hint="eastAsia" w:ascii="宋体" w:hAnsi="宋体" w:cs="宋体"/>
          <w:color w:val="auto"/>
          <w:highlight w:val="none"/>
          <w:u w:val="single"/>
        </w:rPr>
        <w:t xml:space="preserve">               </w:t>
      </w:r>
    </w:p>
    <w:p w14:paraId="13EF20CE">
      <w:pPr>
        <w:widowControl w:val="0"/>
        <w:numPr>
          <w:ilvl w:val="0"/>
          <w:numId w:val="4"/>
        </w:numPr>
        <w:spacing w:line="360" w:lineRule="auto"/>
        <w:ind w:firstLine="480"/>
        <w:jc w:val="both"/>
        <w:rPr>
          <w:rFonts w:ascii="宋体" w:hAnsi="宋体" w:cs="宋体"/>
          <w:color w:val="auto"/>
          <w:highlight w:val="none"/>
        </w:rPr>
      </w:pPr>
      <w:r>
        <w:rPr>
          <w:rFonts w:hint="eastAsia" w:ascii="宋体" w:hAnsi="宋体" w:cs="宋体"/>
          <w:color w:val="auto"/>
          <w:highlight w:val="none"/>
          <w:u w:val="single"/>
        </w:rPr>
        <w:t xml:space="preserve">                </w:t>
      </w:r>
      <w:r>
        <w:rPr>
          <w:rFonts w:hint="eastAsia" w:ascii="宋体" w:hAnsi="宋体" w:cs="宋体"/>
          <w:color w:val="auto"/>
          <w:highlight w:val="none"/>
        </w:rPr>
        <w:t xml:space="preserve">  </w:t>
      </w:r>
    </w:p>
    <w:p w14:paraId="214C6B71">
      <w:pPr>
        <w:widowControl w:val="0"/>
        <w:spacing w:line="360" w:lineRule="auto"/>
        <w:jc w:val="both"/>
        <w:rPr>
          <w:rFonts w:ascii="宋体" w:hAnsi="宋体" w:cs="宋体"/>
          <w:color w:val="auto"/>
          <w:highlight w:val="none"/>
        </w:rPr>
      </w:pPr>
      <w:r>
        <w:rPr>
          <w:rFonts w:hint="eastAsia" w:ascii="宋体" w:hAnsi="宋体" w:cs="宋体"/>
          <w:color w:val="auto"/>
          <w:highlight w:val="none"/>
        </w:rPr>
        <w:t> </w:t>
      </w:r>
    </w:p>
    <w:p w14:paraId="46ADF77D">
      <w:pPr>
        <w:widowControl w:val="0"/>
        <w:spacing w:line="360" w:lineRule="auto"/>
        <w:ind w:firstLine="3962"/>
        <w:jc w:val="both"/>
        <w:rPr>
          <w:rFonts w:ascii="宋体" w:hAnsi="宋体" w:cs="宋体"/>
          <w:color w:val="auto"/>
          <w:sz w:val="21"/>
          <w:szCs w:val="21"/>
          <w:highlight w:val="none"/>
        </w:rPr>
      </w:pPr>
      <w:r>
        <w:rPr>
          <w:rFonts w:hint="eastAsia" w:ascii="宋体" w:hAnsi="宋体" w:cs="宋体"/>
          <w:color w:val="auto"/>
          <w:sz w:val="21"/>
          <w:szCs w:val="21"/>
          <w:highlight w:val="none"/>
        </w:rPr>
        <w:t>投标人（加盖CA电子公章）：</w:t>
      </w:r>
    </w:p>
    <w:p w14:paraId="23446869">
      <w:pPr>
        <w:widowControl w:val="0"/>
        <w:spacing w:line="360" w:lineRule="auto"/>
        <w:ind w:firstLine="3962"/>
        <w:jc w:val="both"/>
        <w:rPr>
          <w:rFonts w:ascii="宋体" w:hAnsi="宋体" w:cs="宋体"/>
          <w:color w:val="auto"/>
          <w:sz w:val="21"/>
          <w:szCs w:val="21"/>
          <w:highlight w:val="none"/>
        </w:rPr>
      </w:pPr>
      <w:r>
        <w:rPr>
          <w:rFonts w:hint="eastAsia" w:ascii="宋体" w:hAnsi="宋体" w:cs="宋体"/>
          <w:color w:val="auto"/>
          <w:sz w:val="21"/>
          <w:szCs w:val="21"/>
          <w:highlight w:val="none"/>
        </w:rPr>
        <w:t>日期：    年    月    日</w:t>
      </w:r>
    </w:p>
    <w:p w14:paraId="07A4BCA4">
      <w:pPr>
        <w:widowControl w:val="0"/>
        <w:spacing w:line="360" w:lineRule="auto"/>
        <w:jc w:val="both"/>
        <w:rPr>
          <w:rFonts w:ascii="宋体" w:hAnsi="宋体" w:cs="宋体"/>
          <w:color w:val="auto"/>
          <w:highlight w:val="none"/>
        </w:rPr>
      </w:pPr>
      <w:r>
        <w:rPr>
          <w:rFonts w:hint="eastAsia" w:ascii="宋体" w:hAnsi="宋体" w:cs="宋体"/>
          <w:color w:val="auto"/>
          <w:highlight w:val="none"/>
        </w:rPr>
        <w:t> </w:t>
      </w:r>
    </w:p>
    <w:p w14:paraId="079C30E0">
      <w:pPr>
        <w:widowControl w:val="0"/>
        <w:spacing w:line="360" w:lineRule="auto"/>
        <w:ind w:left="500"/>
        <w:jc w:val="both"/>
        <w:rPr>
          <w:rFonts w:ascii="宋体" w:hAnsi="宋体" w:cs="宋体"/>
          <w:color w:val="auto"/>
          <w:sz w:val="21"/>
          <w:szCs w:val="21"/>
          <w:highlight w:val="none"/>
        </w:rPr>
      </w:pPr>
      <w:r>
        <w:rPr>
          <w:rFonts w:hint="eastAsia" w:ascii="宋体" w:hAnsi="宋体" w:cs="宋体"/>
          <w:color w:val="auto"/>
          <w:sz w:val="21"/>
          <w:szCs w:val="21"/>
          <w:highlight w:val="none"/>
        </w:rPr>
        <w:t>其他证明材料及文件：（如果投标人认为需要提供的话）</w:t>
      </w:r>
    </w:p>
    <w:p w14:paraId="6CFC8367">
      <w:pPr>
        <w:widowControl w:val="0"/>
        <w:spacing w:before="100" w:beforeAutospacing="1" w:after="100" w:afterAutospacing="1"/>
        <w:ind w:left="1080"/>
        <w:jc w:val="both"/>
        <w:rPr>
          <w:rFonts w:ascii="宋体" w:hAnsi="宋体" w:cs="宋体"/>
          <w:color w:val="auto"/>
          <w:sz w:val="21"/>
          <w:highlight w:val="none"/>
        </w:rPr>
      </w:pPr>
    </w:p>
    <w:p w14:paraId="70CBFC8B">
      <w:pPr>
        <w:widowControl w:val="0"/>
        <w:spacing w:line="360" w:lineRule="auto"/>
        <w:rPr>
          <w:rFonts w:ascii="宋体" w:hAnsi="宋体" w:cs="宋体"/>
          <w:b/>
          <w:color w:val="auto"/>
          <w:sz w:val="28"/>
          <w:szCs w:val="28"/>
          <w:highlight w:val="none"/>
        </w:rPr>
      </w:pPr>
      <w:r>
        <w:rPr>
          <w:rFonts w:hint="eastAsia" w:ascii="宋体" w:hAnsi="宋体" w:cs="宋体"/>
          <w:b/>
          <w:color w:val="auto"/>
          <w:sz w:val="21"/>
          <w:szCs w:val="21"/>
          <w:highlight w:val="none"/>
        </w:rPr>
        <w:br w:type="page" w:clear="all"/>
      </w:r>
      <w:r>
        <w:rPr>
          <w:rFonts w:hint="eastAsia" w:ascii="宋体" w:hAnsi="宋体" w:cs="宋体"/>
          <w:b/>
          <w:color w:val="auto"/>
          <w:sz w:val="21"/>
          <w:szCs w:val="21"/>
          <w:highlight w:val="none"/>
        </w:rPr>
        <w:t>4.无重大违法记录声明函</w:t>
      </w:r>
    </w:p>
    <w:p w14:paraId="1116EC23">
      <w:pPr>
        <w:widowControl w:val="0"/>
        <w:spacing w:line="240" w:lineRule="atLeast"/>
        <w:rPr>
          <w:rFonts w:ascii="宋体" w:hAnsi="宋体" w:cs="宋体"/>
          <w:color w:val="auto"/>
          <w:highlight w:val="none"/>
        </w:rPr>
      </w:pPr>
      <w:r>
        <w:rPr>
          <w:rFonts w:hint="eastAsia" w:ascii="宋体" w:hAnsi="宋体" w:cs="宋体"/>
          <w:color w:val="auto"/>
          <w:highlight w:val="none"/>
        </w:rPr>
        <w:t> </w:t>
      </w:r>
    </w:p>
    <w:p w14:paraId="0D392255">
      <w:pPr>
        <w:widowControl w:val="0"/>
        <w:spacing w:line="360" w:lineRule="auto"/>
        <w:ind w:firstLine="420"/>
        <w:jc w:val="center"/>
        <w:rPr>
          <w:rFonts w:ascii="宋体" w:hAnsi="宋体" w:cs="宋体"/>
          <w:b/>
          <w:color w:val="auto"/>
          <w:sz w:val="28"/>
          <w:szCs w:val="28"/>
          <w:highlight w:val="none"/>
        </w:rPr>
      </w:pPr>
      <w:r>
        <w:rPr>
          <w:rFonts w:hint="eastAsia" w:ascii="宋体" w:hAnsi="宋体" w:cs="宋体"/>
          <w:b/>
          <w:color w:val="auto"/>
          <w:sz w:val="28"/>
          <w:szCs w:val="28"/>
          <w:highlight w:val="none"/>
        </w:rPr>
        <w:t>无重大违法记录声明函</w:t>
      </w:r>
    </w:p>
    <w:p w14:paraId="3496BAEB">
      <w:pPr>
        <w:widowControl w:val="0"/>
        <w:spacing w:line="240" w:lineRule="atLeast"/>
        <w:jc w:val="center"/>
        <w:rPr>
          <w:rFonts w:ascii="宋体" w:hAnsi="宋体" w:cs="宋体"/>
          <w:color w:val="auto"/>
          <w:highlight w:val="none"/>
        </w:rPr>
      </w:pPr>
      <w:r>
        <w:rPr>
          <w:rFonts w:hint="eastAsia" w:ascii="宋体" w:hAnsi="宋体" w:cs="宋体"/>
          <w:color w:val="auto"/>
          <w:highlight w:val="none"/>
        </w:rPr>
        <w:t> </w:t>
      </w:r>
    </w:p>
    <w:p w14:paraId="6465B600">
      <w:pPr>
        <w:widowControl w:val="0"/>
        <w:spacing w:line="360" w:lineRule="auto"/>
        <w:jc w:val="both"/>
        <w:rPr>
          <w:rFonts w:ascii="宋体" w:hAnsi="宋体" w:cs="宋体"/>
          <w:color w:val="auto"/>
          <w:sz w:val="21"/>
          <w:szCs w:val="21"/>
          <w:highlight w:val="none"/>
        </w:rPr>
      </w:pPr>
      <w:r>
        <w:rPr>
          <w:rFonts w:hint="eastAsia" w:ascii="宋体" w:hAnsi="宋体" w:cs="宋体"/>
          <w:color w:val="auto"/>
          <w:sz w:val="21"/>
          <w:szCs w:val="21"/>
          <w:highlight w:val="none"/>
          <w:u w:val="single"/>
          <w:lang w:eastAsia="zh-CN"/>
        </w:rPr>
        <w:t>苏州高铁新城管理委员会</w:t>
      </w:r>
      <w:r>
        <w:rPr>
          <w:rFonts w:hint="eastAsia" w:ascii="宋体" w:hAnsi="宋体" w:cs="宋体"/>
          <w:color w:val="auto"/>
          <w:sz w:val="21"/>
          <w:szCs w:val="21"/>
          <w:highlight w:val="none"/>
          <w:u w:val="single"/>
        </w:rPr>
        <w:t>、</w:t>
      </w:r>
      <w:r>
        <w:rPr>
          <w:rFonts w:hint="eastAsia" w:ascii="宋体" w:hAnsi="宋体" w:cs="宋体"/>
          <w:color w:val="auto"/>
          <w:sz w:val="21"/>
          <w:szCs w:val="21"/>
          <w:highlight w:val="none"/>
          <w:u w:val="single"/>
          <w:lang w:eastAsia="zh-CN"/>
        </w:rPr>
        <w:t>众鑫工程管理（苏州）有限公司</w:t>
      </w:r>
      <w:r>
        <w:rPr>
          <w:rFonts w:hint="eastAsia" w:ascii="宋体" w:hAnsi="宋体" w:cs="宋体"/>
          <w:color w:val="auto"/>
          <w:sz w:val="21"/>
          <w:szCs w:val="21"/>
          <w:highlight w:val="none"/>
          <w:lang w:val="zh-CN"/>
        </w:rPr>
        <w:t>：</w:t>
      </w:r>
    </w:p>
    <w:p w14:paraId="173E4107">
      <w:pPr>
        <w:widowControl w:val="0"/>
        <w:spacing w:line="360" w:lineRule="auto"/>
        <w:ind w:firstLine="336"/>
        <w:jc w:val="both"/>
        <w:rPr>
          <w:rFonts w:ascii="宋体" w:hAnsi="宋体" w:cs="宋体"/>
          <w:color w:val="auto"/>
          <w:sz w:val="21"/>
          <w:szCs w:val="21"/>
          <w:highlight w:val="none"/>
        </w:rPr>
      </w:pPr>
    </w:p>
    <w:p w14:paraId="15595357">
      <w:pPr>
        <w:widowControl w:val="0"/>
        <w:spacing w:line="360" w:lineRule="auto"/>
        <w:ind w:firstLine="336"/>
        <w:jc w:val="both"/>
        <w:rPr>
          <w:rFonts w:ascii="宋体" w:hAnsi="宋体" w:cs="宋体"/>
          <w:color w:val="auto"/>
          <w:highlight w:val="none"/>
        </w:rPr>
      </w:pPr>
      <w:r>
        <w:rPr>
          <w:rFonts w:hint="eastAsia" w:ascii="宋体" w:hAnsi="宋体" w:cs="宋体"/>
          <w:color w:val="auto"/>
          <w:sz w:val="21"/>
          <w:szCs w:val="21"/>
          <w:highlight w:val="none"/>
        </w:rPr>
        <w:t>我单位（投标人名称）郑重声明：</w:t>
      </w:r>
    </w:p>
    <w:p w14:paraId="356A5CE8">
      <w:pPr>
        <w:widowControl w:val="0"/>
        <w:shd w:val="clear" w:color="auto" w:fill="FFFFFF"/>
        <w:spacing w:line="360" w:lineRule="auto"/>
        <w:ind w:firstLine="309"/>
        <w:jc w:val="both"/>
        <w:rPr>
          <w:rFonts w:ascii="宋体" w:hAnsi="宋体" w:cs="宋体"/>
          <w:color w:val="auto"/>
          <w:highlight w:val="none"/>
        </w:rPr>
      </w:pPr>
      <w:r>
        <w:rPr>
          <w:rFonts w:hint="eastAsia" w:ascii="宋体" w:hAnsi="宋体" w:cs="宋体"/>
          <w:color w:val="auto"/>
          <w:sz w:val="21"/>
          <w:szCs w:val="21"/>
          <w:highlight w:val="none"/>
          <w:shd w:val="clear" w:color="auto" w:fill="FFFFFF"/>
        </w:rPr>
        <w:t>我单位参加政府采购活动前三年内在经营活动中</w:t>
      </w:r>
      <w:r>
        <w:rPr>
          <w:rFonts w:hint="eastAsia" w:ascii="宋体" w:hAnsi="宋体" w:cs="宋体"/>
          <w:color w:val="auto"/>
          <w:sz w:val="21"/>
          <w:szCs w:val="21"/>
          <w:highlight w:val="none"/>
          <w:u w:val="single"/>
          <w:shd w:val="clear" w:color="auto" w:fill="FFFFFF"/>
        </w:rPr>
        <w:t xml:space="preserve">      （</w:t>
      </w:r>
      <w:r>
        <w:rPr>
          <w:rFonts w:hint="eastAsia" w:ascii="宋体" w:hAnsi="宋体" w:cs="宋体"/>
          <w:b/>
          <w:bCs/>
          <w:i/>
          <w:iCs/>
          <w:color w:val="auto"/>
          <w:sz w:val="21"/>
          <w:szCs w:val="21"/>
          <w:highlight w:val="none"/>
          <w:u w:val="single"/>
          <w:shd w:val="clear" w:color="auto" w:fill="FFFFFF"/>
        </w:rPr>
        <w:t>在下划线上如实填写：有或没有</w:t>
      </w:r>
      <w:r>
        <w:rPr>
          <w:rFonts w:hint="eastAsia" w:ascii="宋体" w:hAnsi="宋体" w:cs="宋体"/>
          <w:color w:val="auto"/>
          <w:sz w:val="21"/>
          <w:szCs w:val="21"/>
          <w:highlight w:val="none"/>
          <w:shd w:val="clear" w:color="auto" w:fill="FFFFFF"/>
        </w:rPr>
        <w:t>）</w:t>
      </w:r>
      <w:r>
        <w:rPr>
          <w:rFonts w:hint="eastAsia" w:ascii="宋体" w:hAnsi="宋体" w:cs="宋体"/>
          <w:b/>
          <w:bCs/>
          <w:color w:val="auto"/>
          <w:sz w:val="21"/>
          <w:szCs w:val="21"/>
          <w:highlight w:val="none"/>
          <w:shd w:val="clear" w:color="auto" w:fill="FFFFFF"/>
        </w:rPr>
        <w:t>重大违法记录，且不是失信被执行人、重大税收违法案件当事人名单、政府采购严重违法失信行为记录名单的投标人。</w:t>
      </w:r>
    </w:p>
    <w:p w14:paraId="05BFCBBA">
      <w:pPr>
        <w:widowControl w:val="0"/>
        <w:spacing w:line="360" w:lineRule="auto"/>
        <w:ind w:firstLine="420"/>
        <w:jc w:val="both"/>
        <w:rPr>
          <w:rFonts w:ascii="宋体" w:hAnsi="宋体" w:cs="宋体"/>
          <w:color w:val="auto"/>
          <w:highlight w:val="none"/>
        </w:rPr>
      </w:pPr>
      <w:r>
        <w:rPr>
          <w:rFonts w:hint="eastAsia" w:ascii="宋体" w:hAnsi="宋体" w:cs="宋体"/>
          <w:color w:val="auto"/>
          <w:highlight w:val="none"/>
        </w:rPr>
        <w:t> </w:t>
      </w:r>
    </w:p>
    <w:p w14:paraId="6630C7A1">
      <w:pPr>
        <w:widowControl w:val="0"/>
        <w:spacing w:line="360" w:lineRule="auto"/>
        <w:jc w:val="both"/>
        <w:rPr>
          <w:rFonts w:ascii="宋体" w:hAnsi="宋体" w:cs="宋体"/>
          <w:color w:val="auto"/>
          <w:highlight w:val="none"/>
        </w:rPr>
      </w:pPr>
      <w:r>
        <w:rPr>
          <w:rFonts w:hint="eastAsia" w:ascii="宋体" w:hAnsi="宋体" w:cs="宋体"/>
          <w:color w:val="auto"/>
          <w:highlight w:val="none"/>
        </w:rPr>
        <w:t> </w:t>
      </w:r>
    </w:p>
    <w:p w14:paraId="514E18E5">
      <w:pPr>
        <w:widowControl w:val="0"/>
        <w:spacing w:line="360" w:lineRule="auto"/>
        <w:jc w:val="both"/>
        <w:rPr>
          <w:rFonts w:ascii="宋体" w:hAnsi="宋体" w:cs="宋体"/>
          <w:color w:val="auto"/>
          <w:highlight w:val="none"/>
        </w:rPr>
      </w:pPr>
      <w:r>
        <w:rPr>
          <w:rFonts w:hint="eastAsia" w:ascii="宋体" w:hAnsi="宋体" w:cs="宋体"/>
          <w:color w:val="auto"/>
          <w:highlight w:val="none"/>
        </w:rPr>
        <w:t> </w:t>
      </w:r>
    </w:p>
    <w:p w14:paraId="6707A710">
      <w:pPr>
        <w:widowControl w:val="0"/>
        <w:spacing w:line="360" w:lineRule="auto"/>
        <w:ind w:left="4520"/>
        <w:jc w:val="both"/>
        <w:rPr>
          <w:rFonts w:ascii="宋体" w:hAnsi="宋体" w:cs="宋体"/>
          <w:color w:val="auto"/>
          <w:highlight w:val="none"/>
        </w:rPr>
      </w:pPr>
      <w:r>
        <w:rPr>
          <w:rFonts w:hint="eastAsia" w:ascii="宋体" w:hAnsi="宋体" w:cs="宋体"/>
          <w:color w:val="auto"/>
          <w:sz w:val="21"/>
          <w:szCs w:val="21"/>
          <w:highlight w:val="none"/>
        </w:rPr>
        <w:t>声明人：（加盖CA电子公章）</w:t>
      </w:r>
    </w:p>
    <w:p w14:paraId="00EEE72C">
      <w:pPr>
        <w:widowControl w:val="0"/>
        <w:spacing w:line="360" w:lineRule="auto"/>
        <w:jc w:val="both"/>
        <w:rPr>
          <w:rFonts w:ascii="宋体" w:hAnsi="宋体" w:cs="宋体"/>
          <w:color w:val="auto"/>
          <w:highlight w:val="none"/>
        </w:rPr>
      </w:pPr>
      <w:r>
        <w:rPr>
          <w:rFonts w:hint="eastAsia" w:ascii="宋体" w:hAnsi="宋体" w:cs="宋体"/>
          <w:color w:val="auto"/>
          <w:highlight w:val="none"/>
        </w:rPr>
        <w:t> </w:t>
      </w:r>
    </w:p>
    <w:p w14:paraId="6C271CF0">
      <w:pPr>
        <w:widowControl w:val="0"/>
        <w:tabs>
          <w:tab w:val="left" w:pos="6305"/>
          <w:tab w:val="left" w:pos="6945"/>
        </w:tabs>
        <w:spacing w:line="360" w:lineRule="auto"/>
        <w:ind w:left="4440"/>
        <w:jc w:val="both"/>
        <w:rPr>
          <w:rFonts w:ascii="宋体" w:hAnsi="宋体" w:cs="宋体"/>
          <w:color w:val="auto"/>
          <w:highlight w:val="none"/>
        </w:rPr>
      </w:pPr>
      <w:r>
        <w:rPr>
          <w:rFonts w:hint="eastAsia" w:ascii="宋体" w:hAnsi="宋体" w:cs="宋体"/>
          <w:color w:val="auto"/>
          <w:sz w:val="21"/>
          <w:szCs w:val="21"/>
          <w:highlight w:val="none"/>
        </w:rPr>
        <w:t>日期：</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年</w:t>
      </w:r>
      <w:r>
        <w:rPr>
          <w:rFonts w:hint="eastAsia" w:ascii="宋体" w:hAnsi="宋体" w:cs="宋体"/>
          <w:color w:val="auto"/>
          <w:sz w:val="21"/>
          <w:szCs w:val="21"/>
          <w:highlight w:val="none"/>
          <w:u w:val="single"/>
        </w:rPr>
        <w:tab/>
      </w:r>
      <w:r>
        <w:rPr>
          <w:rFonts w:hint="eastAsia" w:ascii="宋体" w:hAnsi="宋体" w:cs="宋体"/>
          <w:color w:val="auto"/>
          <w:sz w:val="21"/>
          <w:szCs w:val="21"/>
          <w:highlight w:val="none"/>
        </w:rPr>
        <w:t>月</w:t>
      </w:r>
      <w:r>
        <w:rPr>
          <w:rFonts w:hint="eastAsia" w:ascii="宋体" w:hAnsi="宋体" w:cs="宋体"/>
          <w:color w:val="auto"/>
          <w:sz w:val="21"/>
          <w:szCs w:val="21"/>
          <w:highlight w:val="none"/>
          <w:u w:val="single"/>
        </w:rPr>
        <w:tab/>
      </w:r>
      <w:r>
        <w:rPr>
          <w:rFonts w:hint="eastAsia" w:ascii="宋体" w:hAnsi="宋体" w:cs="宋体"/>
          <w:color w:val="auto"/>
          <w:sz w:val="21"/>
          <w:szCs w:val="21"/>
          <w:highlight w:val="none"/>
        </w:rPr>
        <w:t>日</w:t>
      </w:r>
    </w:p>
    <w:p w14:paraId="1B98A217">
      <w:pPr>
        <w:rPr>
          <w:rFonts w:ascii="宋体" w:hAnsi="宋体" w:cs="宋体"/>
          <w:b/>
          <w:bCs/>
          <w:color w:val="auto"/>
          <w:sz w:val="21"/>
          <w:szCs w:val="21"/>
          <w:highlight w:val="none"/>
        </w:rPr>
      </w:pPr>
      <w:r>
        <w:rPr>
          <w:rFonts w:hint="eastAsia" w:ascii="宋体" w:hAnsi="宋体" w:cs="宋体"/>
          <w:b/>
          <w:bCs/>
          <w:color w:val="auto"/>
          <w:sz w:val="21"/>
          <w:szCs w:val="21"/>
          <w:highlight w:val="none"/>
        </w:rPr>
        <w:br w:type="page" w:clear="all"/>
      </w:r>
    </w:p>
    <w:p w14:paraId="1DB6C229">
      <w:pPr>
        <w:rPr>
          <w:rFonts w:ascii="宋体" w:hAnsi="宋体" w:cs="宋体"/>
          <w:b/>
          <w:bCs/>
          <w:color w:val="auto"/>
          <w:sz w:val="21"/>
          <w:szCs w:val="21"/>
          <w:highlight w:val="none"/>
        </w:rPr>
      </w:pPr>
      <w:r>
        <w:rPr>
          <w:rFonts w:hint="eastAsia" w:ascii="宋体" w:hAnsi="宋体" w:cs="宋体"/>
          <w:b/>
          <w:bCs/>
          <w:color w:val="auto"/>
          <w:sz w:val="21"/>
          <w:szCs w:val="21"/>
          <w:highlight w:val="none"/>
        </w:rPr>
        <w:t>5.投标人与其他单位存在</w:t>
      </w:r>
      <w:r>
        <w:rPr>
          <w:rFonts w:hint="eastAsia" w:ascii="宋体" w:hAnsi="宋体" w:eastAsia="宋体" w:cs="宋体"/>
          <w:b/>
          <w:bCs/>
          <w:color w:val="000000"/>
          <w:sz w:val="21"/>
          <w:szCs w:val="21"/>
          <w:highlight w:val="none"/>
        </w:rPr>
        <w:t>直接</w:t>
      </w:r>
      <w:r>
        <w:rPr>
          <w:rFonts w:hint="eastAsia" w:ascii="宋体" w:hAnsi="宋体" w:cs="宋体"/>
          <w:b/>
          <w:bCs/>
          <w:color w:val="auto"/>
          <w:sz w:val="21"/>
          <w:szCs w:val="21"/>
          <w:highlight w:val="none"/>
        </w:rPr>
        <w:t>控股、管理关系情况表</w:t>
      </w:r>
    </w:p>
    <w:p w14:paraId="00FC7DFE">
      <w:pPr>
        <w:spacing w:line="360" w:lineRule="auto"/>
        <w:jc w:val="center"/>
        <w:rPr>
          <w:rFonts w:ascii="宋体" w:hAnsi="宋体" w:cs="宋体"/>
          <w:b/>
          <w:color w:val="auto"/>
          <w:sz w:val="21"/>
          <w:szCs w:val="21"/>
          <w:highlight w:val="none"/>
        </w:rPr>
      </w:pPr>
    </w:p>
    <w:p w14:paraId="51953BEB">
      <w:pPr>
        <w:spacing w:line="360" w:lineRule="auto"/>
        <w:jc w:val="center"/>
        <w:rPr>
          <w:rFonts w:ascii="宋体" w:hAnsi="宋体" w:cs="宋体"/>
          <w:b/>
          <w:color w:val="auto"/>
          <w:sz w:val="21"/>
          <w:szCs w:val="21"/>
          <w:highlight w:val="none"/>
        </w:rPr>
      </w:pPr>
      <w:r>
        <w:rPr>
          <w:rFonts w:hint="eastAsia" w:ascii="宋体" w:hAnsi="宋体" w:cs="宋体"/>
          <w:b/>
          <w:color w:val="auto"/>
          <w:sz w:val="21"/>
          <w:szCs w:val="21"/>
          <w:highlight w:val="none"/>
        </w:rPr>
        <w:t>投标人与其他单位存在</w:t>
      </w:r>
      <w:r>
        <w:rPr>
          <w:rFonts w:hint="eastAsia" w:ascii="宋体" w:hAnsi="宋体" w:eastAsia="宋体" w:cs="宋体"/>
          <w:b/>
          <w:bCs/>
          <w:color w:val="000000"/>
          <w:sz w:val="21"/>
          <w:szCs w:val="21"/>
          <w:highlight w:val="none"/>
        </w:rPr>
        <w:t>直接</w:t>
      </w:r>
      <w:r>
        <w:rPr>
          <w:rFonts w:hint="eastAsia" w:ascii="宋体" w:hAnsi="宋体" w:cs="宋体"/>
          <w:b/>
          <w:color w:val="auto"/>
          <w:sz w:val="21"/>
          <w:szCs w:val="21"/>
          <w:highlight w:val="none"/>
        </w:rPr>
        <w:t>控股、管理关系情况表</w:t>
      </w:r>
    </w:p>
    <w:tbl>
      <w:tblPr>
        <w:tblStyle w:val="52"/>
        <w:tblW w:w="101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799"/>
        <w:gridCol w:w="1550"/>
        <w:gridCol w:w="1370"/>
        <w:gridCol w:w="1439"/>
        <w:gridCol w:w="1310"/>
        <w:gridCol w:w="1557"/>
        <w:gridCol w:w="1154"/>
      </w:tblGrid>
      <w:tr w14:paraId="0F55EA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1" w:hRule="atLeast"/>
          <w:jc w:val="center"/>
        </w:trPr>
        <w:tc>
          <w:tcPr>
            <w:tcW w:w="6158" w:type="dxa"/>
            <w:gridSpan w:val="4"/>
            <w:vAlign w:val="center"/>
          </w:tcPr>
          <w:p w14:paraId="74B1FFE1">
            <w:pPr>
              <w:widowControl w:val="0"/>
              <w:jc w:val="center"/>
              <w:rPr>
                <w:rFonts w:ascii="宋体" w:hAnsi="宋体"/>
                <w:b/>
                <w:color w:val="auto"/>
                <w:sz w:val="21"/>
                <w:szCs w:val="21"/>
                <w:highlight w:val="none"/>
                <w:shd w:val="clear" w:color="auto" w:fill="FFFFFF"/>
              </w:rPr>
            </w:pPr>
            <w:r>
              <w:rPr>
                <w:rFonts w:hint="eastAsia" w:ascii="宋体" w:hAnsi="宋体"/>
                <w:b/>
                <w:color w:val="auto"/>
                <w:sz w:val="21"/>
                <w:szCs w:val="21"/>
                <w:highlight w:val="none"/>
                <w:shd w:val="clear" w:color="auto" w:fill="FFFFFF"/>
              </w:rPr>
              <w:t>与</w:t>
            </w:r>
            <w:r>
              <w:rPr>
                <w:rFonts w:hint="eastAsia" w:ascii="宋体" w:hAnsi="宋体" w:cs="宋体"/>
                <w:b/>
                <w:color w:val="auto"/>
                <w:sz w:val="21"/>
                <w:szCs w:val="21"/>
                <w:highlight w:val="none"/>
              </w:rPr>
              <w:t>投标人</w:t>
            </w:r>
            <w:r>
              <w:rPr>
                <w:rFonts w:hint="eastAsia" w:ascii="宋体" w:hAnsi="宋体"/>
                <w:b/>
                <w:color w:val="auto"/>
                <w:sz w:val="21"/>
                <w:szCs w:val="21"/>
                <w:highlight w:val="none"/>
                <w:shd w:val="clear" w:color="auto" w:fill="FFFFFF"/>
              </w:rPr>
              <w:t>存在直接股权关系</w:t>
            </w:r>
          </w:p>
        </w:tc>
        <w:tc>
          <w:tcPr>
            <w:tcW w:w="4021" w:type="dxa"/>
            <w:gridSpan w:val="3"/>
            <w:vAlign w:val="center"/>
          </w:tcPr>
          <w:p w14:paraId="40C431DF">
            <w:pPr>
              <w:widowControl w:val="0"/>
              <w:jc w:val="center"/>
              <w:rPr>
                <w:rFonts w:ascii="宋体" w:hAnsi="宋体"/>
                <w:b/>
                <w:color w:val="auto"/>
                <w:sz w:val="21"/>
                <w:szCs w:val="21"/>
                <w:highlight w:val="none"/>
                <w:shd w:val="clear" w:color="auto" w:fill="FFFFFF"/>
              </w:rPr>
            </w:pPr>
            <w:r>
              <w:rPr>
                <w:rFonts w:hint="eastAsia" w:ascii="宋体" w:hAnsi="宋体"/>
                <w:b/>
                <w:color w:val="auto"/>
                <w:sz w:val="21"/>
                <w:szCs w:val="21"/>
                <w:highlight w:val="none"/>
                <w:shd w:val="clear" w:color="auto" w:fill="FFFFFF"/>
              </w:rPr>
              <w:t>与</w:t>
            </w:r>
            <w:r>
              <w:rPr>
                <w:rFonts w:hint="eastAsia" w:ascii="宋体" w:hAnsi="宋体" w:cs="宋体"/>
                <w:b/>
                <w:color w:val="auto"/>
                <w:sz w:val="21"/>
                <w:szCs w:val="21"/>
                <w:highlight w:val="none"/>
              </w:rPr>
              <w:t>投标人</w:t>
            </w:r>
            <w:r>
              <w:rPr>
                <w:rFonts w:hint="eastAsia" w:ascii="宋体" w:hAnsi="宋体"/>
                <w:b/>
                <w:color w:val="auto"/>
                <w:sz w:val="21"/>
                <w:szCs w:val="21"/>
                <w:highlight w:val="none"/>
                <w:shd w:val="clear" w:color="auto" w:fill="FFFFFF"/>
              </w:rPr>
              <w:t>存在直接管理关系</w:t>
            </w:r>
          </w:p>
        </w:tc>
      </w:tr>
      <w:tr w14:paraId="165AAF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18" w:hRule="atLeast"/>
          <w:jc w:val="center"/>
        </w:trPr>
        <w:tc>
          <w:tcPr>
            <w:tcW w:w="1799" w:type="dxa"/>
            <w:vAlign w:val="center"/>
          </w:tcPr>
          <w:p w14:paraId="243828F8">
            <w:pPr>
              <w:widowControl w:val="0"/>
              <w:jc w:val="center"/>
              <w:rPr>
                <w:rFonts w:ascii="宋体" w:hAnsi="宋体"/>
                <w:b/>
                <w:color w:val="auto"/>
                <w:sz w:val="21"/>
                <w:szCs w:val="21"/>
                <w:highlight w:val="none"/>
                <w:shd w:val="clear" w:color="auto" w:fill="FFFFFF"/>
              </w:rPr>
            </w:pPr>
            <w:r>
              <w:rPr>
                <w:rFonts w:hint="eastAsia" w:ascii="宋体" w:hAnsi="宋体"/>
                <w:b/>
                <w:color w:val="auto"/>
                <w:sz w:val="21"/>
                <w:szCs w:val="21"/>
                <w:highlight w:val="none"/>
                <w:shd w:val="clear" w:color="auto" w:fill="FFFFFF"/>
              </w:rPr>
              <w:t>单位名称</w:t>
            </w:r>
          </w:p>
        </w:tc>
        <w:tc>
          <w:tcPr>
            <w:tcW w:w="1550" w:type="dxa"/>
            <w:vAlign w:val="center"/>
          </w:tcPr>
          <w:p w14:paraId="325F63DF">
            <w:pPr>
              <w:widowControl w:val="0"/>
              <w:jc w:val="center"/>
              <w:rPr>
                <w:rFonts w:ascii="宋体" w:hAnsi="宋体"/>
                <w:b/>
                <w:color w:val="auto"/>
                <w:sz w:val="21"/>
                <w:szCs w:val="21"/>
                <w:highlight w:val="none"/>
                <w:shd w:val="clear" w:color="auto" w:fill="FFFFFF"/>
              </w:rPr>
            </w:pPr>
            <w:r>
              <w:rPr>
                <w:rFonts w:hint="eastAsia" w:ascii="宋体" w:hAnsi="宋体"/>
                <w:b/>
                <w:color w:val="auto"/>
                <w:sz w:val="21"/>
                <w:szCs w:val="21"/>
                <w:highlight w:val="none"/>
                <w:shd w:val="clear" w:color="auto" w:fill="FFFFFF"/>
              </w:rPr>
              <w:t>是否为大型企业</w:t>
            </w:r>
          </w:p>
          <w:p w14:paraId="57C641BB">
            <w:pPr>
              <w:widowControl w:val="0"/>
              <w:jc w:val="center"/>
              <w:rPr>
                <w:rFonts w:ascii="宋体" w:hAnsi="宋体"/>
                <w:b/>
                <w:color w:val="auto"/>
                <w:sz w:val="18"/>
                <w:szCs w:val="18"/>
                <w:highlight w:val="none"/>
                <w:shd w:val="clear" w:color="auto" w:fill="FFFFFF"/>
              </w:rPr>
            </w:pPr>
            <w:r>
              <w:rPr>
                <w:rFonts w:hint="eastAsia" w:ascii="宋体" w:hAnsi="宋体"/>
                <w:b/>
                <w:color w:val="auto"/>
                <w:sz w:val="18"/>
                <w:szCs w:val="18"/>
                <w:highlight w:val="none"/>
                <w:shd w:val="clear" w:color="auto" w:fill="FFFFFF"/>
              </w:rPr>
              <w:t>（填写“是”或 “否”）</w:t>
            </w:r>
          </w:p>
        </w:tc>
        <w:tc>
          <w:tcPr>
            <w:tcW w:w="1370" w:type="dxa"/>
          </w:tcPr>
          <w:p w14:paraId="047CD470">
            <w:pPr>
              <w:widowControl w:val="0"/>
              <w:jc w:val="center"/>
              <w:rPr>
                <w:rFonts w:ascii="宋体" w:hAnsi="宋体"/>
                <w:b/>
                <w:color w:val="auto"/>
                <w:sz w:val="21"/>
                <w:szCs w:val="21"/>
                <w:highlight w:val="none"/>
                <w:shd w:val="clear" w:color="auto" w:fill="FFFFFF"/>
              </w:rPr>
            </w:pPr>
            <w:r>
              <w:rPr>
                <w:rFonts w:hint="eastAsia" w:ascii="宋体" w:hAnsi="宋体"/>
                <w:b/>
                <w:color w:val="auto"/>
                <w:sz w:val="21"/>
                <w:szCs w:val="21"/>
                <w:highlight w:val="none"/>
                <w:shd w:val="clear" w:color="auto" w:fill="FFFFFF"/>
              </w:rPr>
              <w:t>是否直接控股</w:t>
            </w:r>
          </w:p>
          <w:p w14:paraId="43D881A3">
            <w:pPr>
              <w:widowControl w:val="0"/>
              <w:jc w:val="center"/>
              <w:rPr>
                <w:rFonts w:ascii="宋体" w:hAnsi="宋体"/>
                <w:b/>
                <w:color w:val="auto"/>
                <w:sz w:val="18"/>
                <w:szCs w:val="18"/>
                <w:highlight w:val="none"/>
                <w:shd w:val="clear" w:color="auto" w:fill="FFFFFF"/>
              </w:rPr>
            </w:pPr>
            <w:r>
              <w:rPr>
                <w:rFonts w:hint="eastAsia" w:ascii="宋体" w:hAnsi="宋体"/>
                <w:b/>
                <w:color w:val="auto"/>
                <w:sz w:val="18"/>
                <w:szCs w:val="18"/>
                <w:highlight w:val="none"/>
                <w:shd w:val="clear" w:color="auto" w:fill="FFFFFF"/>
              </w:rPr>
              <w:t>（填写“是”或 “否”）</w:t>
            </w:r>
          </w:p>
        </w:tc>
        <w:tc>
          <w:tcPr>
            <w:tcW w:w="1439" w:type="dxa"/>
            <w:vAlign w:val="center"/>
          </w:tcPr>
          <w:p w14:paraId="2C09EEE6">
            <w:pPr>
              <w:widowControl w:val="0"/>
              <w:jc w:val="center"/>
              <w:rPr>
                <w:rFonts w:ascii="宋体" w:hAnsi="宋体"/>
                <w:b/>
                <w:color w:val="auto"/>
                <w:sz w:val="21"/>
                <w:szCs w:val="21"/>
                <w:highlight w:val="none"/>
                <w:shd w:val="clear" w:color="auto" w:fill="FFFFFF"/>
              </w:rPr>
            </w:pPr>
            <w:r>
              <w:rPr>
                <w:rFonts w:hint="eastAsia" w:ascii="宋体" w:hAnsi="宋体"/>
                <w:b/>
                <w:color w:val="auto"/>
                <w:sz w:val="21"/>
                <w:szCs w:val="21"/>
                <w:highlight w:val="none"/>
                <w:shd w:val="clear" w:color="auto" w:fill="FFFFFF"/>
              </w:rPr>
              <w:t>直接控股关系情况说明</w:t>
            </w:r>
            <w:r>
              <w:rPr>
                <w:rFonts w:hint="eastAsia" w:ascii="宋体" w:hAnsi="宋体"/>
                <w:b/>
                <w:color w:val="auto"/>
                <w:sz w:val="18"/>
                <w:szCs w:val="18"/>
                <w:highlight w:val="none"/>
                <w:shd w:val="clear" w:color="auto" w:fill="FFFFFF"/>
              </w:rPr>
              <w:t>（持股比例等）</w:t>
            </w:r>
          </w:p>
        </w:tc>
        <w:tc>
          <w:tcPr>
            <w:tcW w:w="1310" w:type="dxa"/>
            <w:vAlign w:val="center"/>
          </w:tcPr>
          <w:p w14:paraId="4378CCAD">
            <w:pPr>
              <w:widowControl w:val="0"/>
              <w:jc w:val="center"/>
              <w:rPr>
                <w:rFonts w:ascii="宋体" w:hAnsi="宋体"/>
                <w:b/>
                <w:color w:val="auto"/>
                <w:sz w:val="21"/>
                <w:szCs w:val="21"/>
                <w:highlight w:val="none"/>
                <w:shd w:val="clear" w:color="auto" w:fill="FFFFFF"/>
              </w:rPr>
            </w:pPr>
            <w:r>
              <w:rPr>
                <w:rFonts w:hint="eastAsia" w:ascii="宋体" w:hAnsi="宋体"/>
                <w:b/>
                <w:color w:val="auto"/>
                <w:sz w:val="21"/>
                <w:szCs w:val="21"/>
                <w:highlight w:val="none"/>
                <w:shd w:val="clear" w:color="auto" w:fill="FFFFFF"/>
              </w:rPr>
              <w:t>单位名称</w:t>
            </w:r>
          </w:p>
        </w:tc>
        <w:tc>
          <w:tcPr>
            <w:tcW w:w="1557" w:type="dxa"/>
            <w:vAlign w:val="center"/>
          </w:tcPr>
          <w:p w14:paraId="4D77242D">
            <w:pPr>
              <w:widowControl w:val="0"/>
              <w:jc w:val="center"/>
              <w:rPr>
                <w:rFonts w:ascii="宋体" w:hAnsi="宋体"/>
                <w:b/>
                <w:color w:val="auto"/>
                <w:sz w:val="21"/>
                <w:szCs w:val="21"/>
                <w:highlight w:val="none"/>
                <w:shd w:val="clear" w:color="auto" w:fill="FFFFFF"/>
              </w:rPr>
            </w:pPr>
            <w:r>
              <w:rPr>
                <w:rFonts w:hint="eastAsia" w:ascii="宋体" w:hAnsi="宋体"/>
                <w:b/>
                <w:color w:val="auto"/>
                <w:sz w:val="21"/>
                <w:szCs w:val="21"/>
                <w:highlight w:val="none"/>
                <w:shd w:val="clear" w:color="auto" w:fill="FFFFFF"/>
              </w:rPr>
              <w:t>是否为大型企业</w:t>
            </w:r>
          </w:p>
          <w:p w14:paraId="16219BB2">
            <w:pPr>
              <w:widowControl w:val="0"/>
              <w:jc w:val="center"/>
              <w:rPr>
                <w:rFonts w:ascii="宋体" w:hAnsi="宋体"/>
                <w:b/>
                <w:color w:val="auto"/>
                <w:sz w:val="18"/>
                <w:szCs w:val="18"/>
                <w:highlight w:val="none"/>
                <w:shd w:val="clear" w:color="auto" w:fill="FFFFFF"/>
              </w:rPr>
            </w:pPr>
            <w:r>
              <w:rPr>
                <w:rFonts w:hint="eastAsia" w:ascii="宋体" w:hAnsi="宋体"/>
                <w:b/>
                <w:color w:val="auto"/>
                <w:sz w:val="18"/>
                <w:szCs w:val="18"/>
                <w:highlight w:val="none"/>
                <w:shd w:val="clear" w:color="auto" w:fill="FFFFFF"/>
              </w:rPr>
              <w:t>（填写“是”或 “否”）</w:t>
            </w:r>
          </w:p>
        </w:tc>
        <w:tc>
          <w:tcPr>
            <w:tcW w:w="1154" w:type="dxa"/>
            <w:vAlign w:val="center"/>
          </w:tcPr>
          <w:p w14:paraId="5306F68A">
            <w:pPr>
              <w:widowControl w:val="0"/>
              <w:jc w:val="center"/>
              <w:rPr>
                <w:rFonts w:ascii="宋体" w:hAnsi="宋体"/>
                <w:b/>
                <w:color w:val="auto"/>
                <w:sz w:val="21"/>
                <w:szCs w:val="21"/>
                <w:highlight w:val="none"/>
                <w:shd w:val="clear" w:color="auto" w:fill="FFFFFF"/>
              </w:rPr>
            </w:pPr>
            <w:r>
              <w:rPr>
                <w:rFonts w:hint="eastAsia" w:ascii="宋体" w:hAnsi="宋体"/>
                <w:b/>
                <w:color w:val="auto"/>
                <w:sz w:val="21"/>
                <w:szCs w:val="21"/>
                <w:highlight w:val="none"/>
                <w:shd w:val="clear" w:color="auto" w:fill="FFFFFF"/>
              </w:rPr>
              <w:t>直接管理关系情况说明</w:t>
            </w:r>
          </w:p>
        </w:tc>
      </w:tr>
      <w:tr w14:paraId="46E347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1" w:hRule="atLeast"/>
          <w:jc w:val="center"/>
        </w:trPr>
        <w:tc>
          <w:tcPr>
            <w:tcW w:w="1799" w:type="dxa"/>
            <w:vAlign w:val="center"/>
          </w:tcPr>
          <w:p w14:paraId="79F518CE">
            <w:pPr>
              <w:widowControl w:val="0"/>
              <w:jc w:val="center"/>
              <w:rPr>
                <w:rFonts w:ascii="宋体" w:hAnsi="宋体"/>
                <w:b/>
                <w:color w:val="auto"/>
                <w:sz w:val="21"/>
                <w:szCs w:val="21"/>
                <w:highlight w:val="none"/>
                <w:shd w:val="clear" w:color="auto" w:fill="FFFFFF"/>
              </w:rPr>
            </w:pPr>
          </w:p>
        </w:tc>
        <w:tc>
          <w:tcPr>
            <w:tcW w:w="1550" w:type="dxa"/>
            <w:vAlign w:val="center"/>
          </w:tcPr>
          <w:p w14:paraId="46DE2090">
            <w:pPr>
              <w:widowControl w:val="0"/>
              <w:jc w:val="center"/>
              <w:rPr>
                <w:rFonts w:ascii="宋体" w:hAnsi="宋体"/>
                <w:b/>
                <w:color w:val="auto"/>
                <w:sz w:val="21"/>
                <w:szCs w:val="21"/>
                <w:highlight w:val="none"/>
                <w:shd w:val="clear" w:color="auto" w:fill="FFFFFF"/>
              </w:rPr>
            </w:pPr>
          </w:p>
        </w:tc>
        <w:tc>
          <w:tcPr>
            <w:tcW w:w="1370" w:type="dxa"/>
            <w:vAlign w:val="center"/>
          </w:tcPr>
          <w:p w14:paraId="1AF612F1">
            <w:pPr>
              <w:widowControl w:val="0"/>
              <w:jc w:val="center"/>
              <w:rPr>
                <w:rFonts w:ascii="宋体" w:hAnsi="宋体"/>
                <w:b/>
                <w:color w:val="auto"/>
                <w:sz w:val="21"/>
                <w:szCs w:val="21"/>
                <w:highlight w:val="none"/>
                <w:shd w:val="clear" w:color="auto" w:fill="FFFFFF"/>
              </w:rPr>
            </w:pPr>
          </w:p>
        </w:tc>
        <w:tc>
          <w:tcPr>
            <w:tcW w:w="1439" w:type="dxa"/>
            <w:vAlign w:val="center"/>
          </w:tcPr>
          <w:p w14:paraId="51E088AD">
            <w:pPr>
              <w:widowControl w:val="0"/>
              <w:jc w:val="center"/>
              <w:rPr>
                <w:rFonts w:ascii="宋体" w:hAnsi="宋体"/>
                <w:b/>
                <w:color w:val="auto"/>
                <w:sz w:val="21"/>
                <w:szCs w:val="21"/>
                <w:highlight w:val="none"/>
                <w:shd w:val="clear" w:color="auto" w:fill="FFFFFF"/>
              </w:rPr>
            </w:pPr>
          </w:p>
        </w:tc>
        <w:tc>
          <w:tcPr>
            <w:tcW w:w="1310" w:type="dxa"/>
            <w:vAlign w:val="center"/>
          </w:tcPr>
          <w:p w14:paraId="0BC616B8">
            <w:pPr>
              <w:widowControl w:val="0"/>
              <w:jc w:val="center"/>
              <w:rPr>
                <w:rFonts w:ascii="宋体" w:hAnsi="宋体"/>
                <w:b/>
                <w:color w:val="auto"/>
                <w:sz w:val="21"/>
                <w:szCs w:val="21"/>
                <w:highlight w:val="none"/>
                <w:shd w:val="clear" w:color="auto" w:fill="FFFFFF"/>
              </w:rPr>
            </w:pPr>
          </w:p>
        </w:tc>
        <w:tc>
          <w:tcPr>
            <w:tcW w:w="1557" w:type="dxa"/>
            <w:vAlign w:val="center"/>
          </w:tcPr>
          <w:p w14:paraId="47520DAF">
            <w:pPr>
              <w:widowControl w:val="0"/>
              <w:jc w:val="center"/>
              <w:rPr>
                <w:rFonts w:ascii="宋体" w:hAnsi="宋体"/>
                <w:b/>
                <w:color w:val="auto"/>
                <w:sz w:val="21"/>
                <w:szCs w:val="21"/>
                <w:highlight w:val="none"/>
                <w:shd w:val="clear" w:color="auto" w:fill="FFFFFF"/>
              </w:rPr>
            </w:pPr>
          </w:p>
        </w:tc>
        <w:tc>
          <w:tcPr>
            <w:tcW w:w="1154" w:type="dxa"/>
            <w:vAlign w:val="center"/>
          </w:tcPr>
          <w:p w14:paraId="3EA6CECA">
            <w:pPr>
              <w:widowControl w:val="0"/>
              <w:jc w:val="center"/>
              <w:rPr>
                <w:rFonts w:ascii="宋体" w:hAnsi="宋体"/>
                <w:b/>
                <w:color w:val="auto"/>
                <w:sz w:val="21"/>
                <w:szCs w:val="21"/>
                <w:highlight w:val="none"/>
                <w:shd w:val="clear" w:color="auto" w:fill="FFFFFF"/>
              </w:rPr>
            </w:pPr>
          </w:p>
        </w:tc>
      </w:tr>
      <w:tr w14:paraId="30845B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1" w:hRule="atLeast"/>
          <w:jc w:val="center"/>
        </w:trPr>
        <w:tc>
          <w:tcPr>
            <w:tcW w:w="1799" w:type="dxa"/>
            <w:vAlign w:val="center"/>
          </w:tcPr>
          <w:p w14:paraId="335827B7">
            <w:pPr>
              <w:widowControl w:val="0"/>
              <w:jc w:val="center"/>
              <w:rPr>
                <w:rFonts w:ascii="宋体" w:hAnsi="宋体"/>
                <w:b/>
                <w:color w:val="auto"/>
                <w:sz w:val="21"/>
                <w:szCs w:val="21"/>
                <w:highlight w:val="none"/>
                <w:shd w:val="clear" w:color="auto" w:fill="FFFFFF"/>
              </w:rPr>
            </w:pPr>
          </w:p>
        </w:tc>
        <w:tc>
          <w:tcPr>
            <w:tcW w:w="1550" w:type="dxa"/>
            <w:vAlign w:val="center"/>
          </w:tcPr>
          <w:p w14:paraId="6A7672F7">
            <w:pPr>
              <w:widowControl w:val="0"/>
              <w:jc w:val="center"/>
              <w:rPr>
                <w:rFonts w:ascii="宋体" w:hAnsi="宋体"/>
                <w:b/>
                <w:color w:val="auto"/>
                <w:sz w:val="21"/>
                <w:szCs w:val="21"/>
                <w:highlight w:val="none"/>
                <w:shd w:val="clear" w:color="auto" w:fill="FFFFFF"/>
              </w:rPr>
            </w:pPr>
          </w:p>
        </w:tc>
        <w:tc>
          <w:tcPr>
            <w:tcW w:w="1370" w:type="dxa"/>
            <w:vAlign w:val="center"/>
          </w:tcPr>
          <w:p w14:paraId="6D6CF21A">
            <w:pPr>
              <w:widowControl w:val="0"/>
              <w:jc w:val="center"/>
              <w:rPr>
                <w:rFonts w:ascii="宋体" w:hAnsi="宋体"/>
                <w:b/>
                <w:color w:val="auto"/>
                <w:sz w:val="21"/>
                <w:szCs w:val="21"/>
                <w:highlight w:val="none"/>
                <w:shd w:val="clear" w:color="auto" w:fill="FFFFFF"/>
              </w:rPr>
            </w:pPr>
          </w:p>
        </w:tc>
        <w:tc>
          <w:tcPr>
            <w:tcW w:w="1439" w:type="dxa"/>
            <w:vAlign w:val="center"/>
          </w:tcPr>
          <w:p w14:paraId="168A635B">
            <w:pPr>
              <w:widowControl w:val="0"/>
              <w:jc w:val="center"/>
              <w:rPr>
                <w:rFonts w:ascii="宋体" w:hAnsi="宋体"/>
                <w:b/>
                <w:color w:val="auto"/>
                <w:sz w:val="21"/>
                <w:szCs w:val="21"/>
                <w:highlight w:val="none"/>
                <w:shd w:val="clear" w:color="auto" w:fill="FFFFFF"/>
              </w:rPr>
            </w:pPr>
          </w:p>
        </w:tc>
        <w:tc>
          <w:tcPr>
            <w:tcW w:w="1310" w:type="dxa"/>
            <w:vAlign w:val="center"/>
          </w:tcPr>
          <w:p w14:paraId="21BC4FA2">
            <w:pPr>
              <w:widowControl w:val="0"/>
              <w:jc w:val="center"/>
              <w:rPr>
                <w:rFonts w:ascii="宋体" w:hAnsi="宋体"/>
                <w:b/>
                <w:color w:val="auto"/>
                <w:sz w:val="21"/>
                <w:szCs w:val="21"/>
                <w:highlight w:val="none"/>
                <w:shd w:val="clear" w:color="auto" w:fill="FFFFFF"/>
              </w:rPr>
            </w:pPr>
          </w:p>
        </w:tc>
        <w:tc>
          <w:tcPr>
            <w:tcW w:w="1557" w:type="dxa"/>
            <w:vAlign w:val="center"/>
          </w:tcPr>
          <w:p w14:paraId="42ED4DF1">
            <w:pPr>
              <w:widowControl w:val="0"/>
              <w:jc w:val="center"/>
              <w:rPr>
                <w:rFonts w:ascii="宋体" w:hAnsi="宋体"/>
                <w:b/>
                <w:color w:val="auto"/>
                <w:sz w:val="21"/>
                <w:szCs w:val="21"/>
                <w:highlight w:val="none"/>
                <w:shd w:val="clear" w:color="auto" w:fill="FFFFFF"/>
              </w:rPr>
            </w:pPr>
          </w:p>
        </w:tc>
        <w:tc>
          <w:tcPr>
            <w:tcW w:w="1154" w:type="dxa"/>
            <w:vAlign w:val="center"/>
          </w:tcPr>
          <w:p w14:paraId="7EA79290">
            <w:pPr>
              <w:widowControl w:val="0"/>
              <w:jc w:val="center"/>
              <w:rPr>
                <w:rFonts w:ascii="宋体" w:hAnsi="宋体"/>
                <w:b/>
                <w:color w:val="auto"/>
                <w:sz w:val="21"/>
                <w:szCs w:val="21"/>
                <w:highlight w:val="none"/>
                <w:shd w:val="clear" w:color="auto" w:fill="FFFFFF"/>
              </w:rPr>
            </w:pPr>
          </w:p>
        </w:tc>
      </w:tr>
      <w:tr w14:paraId="79C365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1" w:hRule="atLeast"/>
          <w:jc w:val="center"/>
        </w:trPr>
        <w:tc>
          <w:tcPr>
            <w:tcW w:w="1799" w:type="dxa"/>
            <w:vAlign w:val="center"/>
          </w:tcPr>
          <w:p w14:paraId="144791D4">
            <w:pPr>
              <w:widowControl w:val="0"/>
              <w:jc w:val="center"/>
              <w:rPr>
                <w:rFonts w:ascii="宋体" w:hAnsi="宋体"/>
                <w:b/>
                <w:color w:val="auto"/>
                <w:sz w:val="21"/>
                <w:szCs w:val="21"/>
                <w:highlight w:val="none"/>
                <w:shd w:val="clear" w:color="auto" w:fill="FFFFFF"/>
              </w:rPr>
            </w:pPr>
          </w:p>
        </w:tc>
        <w:tc>
          <w:tcPr>
            <w:tcW w:w="1550" w:type="dxa"/>
            <w:vAlign w:val="center"/>
          </w:tcPr>
          <w:p w14:paraId="377919C6">
            <w:pPr>
              <w:widowControl w:val="0"/>
              <w:jc w:val="center"/>
              <w:rPr>
                <w:rFonts w:ascii="宋体" w:hAnsi="宋体"/>
                <w:b/>
                <w:color w:val="auto"/>
                <w:sz w:val="21"/>
                <w:szCs w:val="21"/>
                <w:highlight w:val="none"/>
                <w:shd w:val="clear" w:color="auto" w:fill="FFFFFF"/>
              </w:rPr>
            </w:pPr>
          </w:p>
        </w:tc>
        <w:tc>
          <w:tcPr>
            <w:tcW w:w="1370" w:type="dxa"/>
            <w:vAlign w:val="center"/>
          </w:tcPr>
          <w:p w14:paraId="0B2C5DAB">
            <w:pPr>
              <w:widowControl w:val="0"/>
              <w:jc w:val="center"/>
              <w:rPr>
                <w:rFonts w:ascii="宋体" w:hAnsi="宋体"/>
                <w:b/>
                <w:color w:val="auto"/>
                <w:sz w:val="21"/>
                <w:szCs w:val="21"/>
                <w:highlight w:val="none"/>
                <w:shd w:val="clear" w:color="auto" w:fill="FFFFFF"/>
              </w:rPr>
            </w:pPr>
          </w:p>
        </w:tc>
        <w:tc>
          <w:tcPr>
            <w:tcW w:w="1439" w:type="dxa"/>
            <w:vAlign w:val="center"/>
          </w:tcPr>
          <w:p w14:paraId="217B750D">
            <w:pPr>
              <w:widowControl w:val="0"/>
              <w:jc w:val="center"/>
              <w:rPr>
                <w:rFonts w:ascii="宋体" w:hAnsi="宋体"/>
                <w:b/>
                <w:color w:val="auto"/>
                <w:sz w:val="21"/>
                <w:szCs w:val="21"/>
                <w:highlight w:val="none"/>
                <w:shd w:val="clear" w:color="auto" w:fill="FFFFFF"/>
              </w:rPr>
            </w:pPr>
          </w:p>
        </w:tc>
        <w:tc>
          <w:tcPr>
            <w:tcW w:w="1310" w:type="dxa"/>
            <w:vAlign w:val="center"/>
          </w:tcPr>
          <w:p w14:paraId="3C1377D4">
            <w:pPr>
              <w:widowControl w:val="0"/>
              <w:jc w:val="center"/>
              <w:rPr>
                <w:rFonts w:ascii="宋体" w:hAnsi="宋体"/>
                <w:b/>
                <w:color w:val="auto"/>
                <w:sz w:val="21"/>
                <w:szCs w:val="21"/>
                <w:highlight w:val="none"/>
                <w:shd w:val="clear" w:color="auto" w:fill="FFFFFF"/>
              </w:rPr>
            </w:pPr>
          </w:p>
        </w:tc>
        <w:tc>
          <w:tcPr>
            <w:tcW w:w="1557" w:type="dxa"/>
            <w:vAlign w:val="center"/>
          </w:tcPr>
          <w:p w14:paraId="754DDA74">
            <w:pPr>
              <w:widowControl w:val="0"/>
              <w:jc w:val="center"/>
              <w:rPr>
                <w:rFonts w:ascii="宋体" w:hAnsi="宋体"/>
                <w:b/>
                <w:color w:val="auto"/>
                <w:sz w:val="21"/>
                <w:szCs w:val="21"/>
                <w:highlight w:val="none"/>
                <w:shd w:val="clear" w:color="auto" w:fill="FFFFFF"/>
              </w:rPr>
            </w:pPr>
          </w:p>
        </w:tc>
        <w:tc>
          <w:tcPr>
            <w:tcW w:w="1154" w:type="dxa"/>
            <w:vAlign w:val="center"/>
          </w:tcPr>
          <w:p w14:paraId="7405D9B0">
            <w:pPr>
              <w:widowControl w:val="0"/>
              <w:jc w:val="center"/>
              <w:rPr>
                <w:rFonts w:ascii="宋体" w:hAnsi="宋体"/>
                <w:b/>
                <w:color w:val="auto"/>
                <w:sz w:val="21"/>
                <w:szCs w:val="21"/>
                <w:highlight w:val="none"/>
                <w:shd w:val="clear" w:color="auto" w:fill="FFFFFF"/>
              </w:rPr>
            </w:pPr>
          </w:p>
        </w:tc>
      </w:tr>
      <w:tr w14:paraId="679E5B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1" w:hRule="atLeast"/>
          <w:jc w:val="center"/>
        </w:trPr>
        <w:tc>
          <w:tcPr>
            <w:tcW w:w="1799" w:type="dxa"/>
            <w:vAlign w:val="center"/>
          </w:tcPr>
          <w:p w14:paraId="4C8B9946">
            <w:pPr>
              <w:widowControl w:val="0"/>
              <w:jc w:val="center"/>
              <w:rPr>
                <w:rFonts w:ascii="宋体" w:hAnsi="宋体"/>
                <w:b/>
                <w:color w:val="auto"/>
                <w:sz w:val="21"/>
                <w:szCs w:val="21"/>
                <w:highlight w:val="none"/>
                <w:shd w:val="clear" w:color="auto" w:fill="FFFFFF"/>
              </w:rPr>
            </w:pPr>
          </w:p>
        </w:tc>
        <w:tc>
          <w:tcPr>
            <w:tcW w:w="1550" w:type="dxa"/>
            <w:vAlign w:val="center"/>
          </w:tcPr>
          <w:p w14:paraId="0A0F8621">
            <w:pPr>
              <w:widowControl w:val="0"/>
              <w:jc w:val="center"/>
              <w:rPr>
                <w:rFonts w:ascii="宋体" w:hAnsi="宋体"/>
                <w:b/>
                <w:color w:val="auto"/>
                <w:sz w:val="21"/>
                <w:szCs w:val="21"/>
                <w:highlight w:val="none"/>
                <w:shd w:val="clear" w:color="auto" w:fill="FFFFFF"/>
              </w:rPr>
            </w:pPr>
          </w:p>
        </w:tc>
        <w:tc>
          <w:tcPr>
            <w:tcW w:w="1370" w:type="dxa"/>
            <w:vAlign w:val="center"/>
          </w:tcPr>
          <w:p w14:paraId="0EDBBDA7">
            <w:pPr>
              <w:widowControl w:val="0"/>
              <w:jc w:val="center"/>
              <w:rPr>
                <w:rFonts w:ascii="宋体" w:hAnsi="宋体"/>
                <w:b/>
                <w:color w:val="auto"/>
                <w:sz w:val="21"/>
                <w:szCs w:val="21"/>
                <w:highlight w:val="none"/>
                <w:shd w:val="clear" w:color="auto" w:fill="FFFFFF"/>
              </w:rPr>
            </w:pPr>
          </w:p>
        </w:tc>
        <w:tc>
          <w:tcPr>
            <w:tcW w:w="1439" w:type="dxa"/>
            <w:vAlign w:val="center"/>
          </w:tcPr>
          <w:p w14:paraId="6DEE7986">
            <w:pPr>
              <w:widowControl w:val="0"/>
              <w:jc w:val="center"/>
              <w:rPr>
                <w:rFonts w:ascii="宋体" w:hAnsi="宋体"/>
                <w:b/>
                <w:color w:val="auto"/>
                <w:sz w:val="21"/>
                <w:szCs w:val="21"/>
                <w:highlight w:val="none"/>
                <w:shd w:val="clear" w:color="auto" w:fill="FFFFFF"/>
              </w:rPr>
            </w:pPr>
          </w:p>
        </w:tc>
        <w:tc>
          <w:tcPr>
            <w:tcW w:w="1310" w:type="dxa"/>
            <w:vAlign w:val="center"/>
          </w:tcPr>
          <w:p w14:paraId="3CF8699C">
            <w:pPr>
              <w:widowControl w:val="0"/>
              <w:jc w:val="center"/>
              <w:rPr>
                <w:rFonts w:ascii="宋体" w:hAnsi="宋体"/>
                <w:b/>
                <w:color w:val="auto"/>
                <w:sz w:val="21"/>
                <w:szCs w:val="21"/>
                <w:highlight w:val="none"/>
                <w:shd w:val="clear" w:color="auto" w:fill="FFFFFF"/>
              </w:rPr>
            </w:pPr>
          </w:p>
        </w:tc>
        <w:tc>
          <w:tcPr>
            <w:tcW w:w="1557" w:type="dxa"/>
            <w:vAlign w:val="center"/>
          </w:tcPr>
          <w:p w14:paraId="0B52B6DF">
            <w:pPr>
              <w:widowControl w:val="0"/>
              <w:jc w:val="center"/>
              <w:rPr>
                <w:rFonts w:ascii="宋体" w:hAnsi="宋体"/>
                <w:b/>
                <w:color w:val="auto"/>
                <w:sz w:val="21"/>
                <w:szCs w:val="21"/>
                <w:highlight w:val="none"/>
                <w:shd w:val="clear" w:color="auto" w:fill="FFFFFF"/>
              </w:rPr>
            </w:pPr>
          </w:p>
        </w:tc>
        <w:tc>
          <w:tcPr>
            <w:tcW w:w="1154" w:type="dxa"/>
            <w:vAlign w:val="center"/>
          </w:tcPr>
          <w:p w14:paraId="78C9ECCD">
            <w:pPr>
              <w:widowControl w:val="0"/>
              <w:jc w:val="center"/>
              <w:rPr>
                <w:rFonts w:ascii="宋体" w:hAnsi="宋体"/>
                <w:b/>
                <w:color w:val="auto"/>
                <w:sz w:val="21"/>
                <w:szCs w:val="21"/>
                <w:highlight w:val="none"/>
                <w:shd w:val="clear" w:color="auto" w:fill="FFFFFF"/>
              </w:rPr>
            </w:pPr>
          </w:p>
        </w:tc>
      </w:tr>
      <w:tr w14:paraId="400F37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1" w:hRule="atLeast"/>
          <w:jc w:val="center"/>
        </w:trPr>
        <w:tc>
          <w:tcPr>
            <w:tcW w:w="1799" w:type="dxa"/>
            <w:vAlign w:val="center"/>
          </w:tcPr>
          <w:p w14:paraId="64CBAE8D">
            <w:pPr>
              <w:widowControl w:val="0"/>
              <w:jc w:val="center"/>
              <w:rPr>
                <w:rFonts w:ascii="宋体" w:hAnsi="宋体"/>
                <w:b/>
                <w:color w:val="auto"/>
                <w:sz w:val="21"/>
                <w:szCs w:val="21"/>
                <w:highlight w:val="none"/>
                <w:shd w:val="clear" w:color="auto" w:fill="FFFFFF"/>
              </w:rPr>
            </w:pPr>
          </w:p>
        </w:tc>
        <w:tc>
          <w:tcPr>
            <w:tcW w:w="1550" w:type="dxa"/>
            <w:vAlign w:val="center"/>
          </w:tcPr>
          <w:p w14:paraId="0E19952B">
            <w:pPr>
              <w:widowControl w:val="0"/>
              <w:jc w:val="center"/>
              <w:rPr>
                <w:rFonts w:ascii="宋体" w:hAnsi="宋体"/>
                <w:b/>
                <w:color w:val="auto"/>
                <w:sz w:val="21"/>
                <w:szCs w:val="21"/>
                <w:highlight w:val="none"/>
                <w:shd w:val="clear" w:color="auto" w:fill="FFFFFF"/>
              </w:rPr>
            </w:pPr>
          </w:p>
        </w:tc>
        <w:tc>
          <w:tcPr>
            <w:tcW w:w="1370" w:type="dxa"/>
            <w:vAlign w:val="center"/>
          </w:tcPr>
          <w:p w14:paraId="208E8351">
            <w:pPr>
              <w:widowControl w:val="0"/>
              <w:jc w:val="center"/>
              <w:rPr>
                <w:rFonts w:ascii="宋体" w:hAnsi="宋体"/>
                <w:b/>
                <w:color w:val="auto"/>
                <w:sz w:val="21"/>
                <w:szCs w:val="21"/>
                <w:highlight w:val="none"/>
                <w:shd w:val="clear" w:color="auto" w:fill="FFFFFF"/>
              </w:rPr>
            </w:pPr>
          </w:p>
        </w:tc>
        <w:tc>
          <w:tcPr>
            <w:tcW w:w="1439" w:type="dxa"/>
            <w:vAlign w:val="center"/>
          </w:tcPr>
          <w:p w14:paraId="7B728EC7">
            <w:pPr>
              <w:widowControl w:val="0"/>
              <w:jc w:val="center"/>
              <w:rPr>
                <w:rFonts w:ascii="宋体" w:hAnsi="宋体"/>
                <w:b/>
                <w:color w:val="auto"/>
                <w:sz w:val="21"/>
                <w:szCs w:val="21"/>
                <w:highlight w:val="none"/>
                <w:shd w:val="clear" w:color="auto" w:fill="FFFFFF"/>
              </w:rPr>
            </w:pPr>
          </w:p>
        </w:tc>
        <w:tc>
          <w:tcPr>
            <w:tcW w:w="1310" w:type="dxa"/>
            <w:vAlign w:val="center"/>
          </w:tcPr>
          <w:p w14:paraId="19A03E68">
            <w:pPr>
              <w:widowControl w:val="0"/>
              <w:jc w:val="center"/>
              <w:rPr>
                <w:rFonts w:ascii="宋体" w:hAnsi="宋体"/>
                <w:b/>
                <w:color w:val="auto"/>
                <w:sz w:val="21"/>
                <w:szCs w:val="21"/>
                <w:highlight w:val="none"/>
                <w:shd w:val="clear" w:color="auto" w:fill="FFFFFF"/>
              </w:rPr>
            </w:pPr>
          </w:p>
        </w:tc>
        <w:tc>
          <w:tcPr>
            <w:tcW w:w="1557" w:type="dxa"/>
            <w:vAlign w:val="center"/>
          </w:tcPr>
          <w:p w14:paraId="02239AF7">
            <w:pPr>
              <w:widowControl w:val="0"/>
              <w:jc w:val="center"/>
              <w:rPr>
                <w:rFonts w:ascii="宋体" w:hAnsi="宋体"/>
                <w:b/>
                <w:color w:val="auto"/>
                <w:sz w:val="21"/>
                <w:szCs w:val="21"/>
                <w:highlight w:val="none"/>
                <w:shd w:val="clear" w:color="auto" w:fill="FFFFFF"/>
              </w:rPr>
            </w:pPr>
          </w:p>
        </w:tc>
        <w:tc>
          <w:tcPr>
            <w:tcW w:w="1154" w:type="dxa"/>
            <w:vAlign w:val="center"/>
          </w:tcPr>
          <w:p w14:paraId="67D0C4BB">
            <w:pPr>
              <w:widowControl w:val="0"/>
              <w:jc w:val="center"/>
              <w:rPr>
                <w:rFonts w:ascii="宋体" w:hAnsi="宋体"/>
                <w:b/>
                <w:color w:val="auto"/>
                <w:sz w:val="21"/>
                <w:szCs w:val="21"/>
                <w:highlight w:val="none"/>
                <w:shd w:val="clear" w:color="auto" w:fill="FFFFFF"/>
              </w:rPr>
            </w:pPr>
          </w:p>
        </w:tc>
      </w:tr>
      <w:tr w14:paraId="00EAFC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61" w:hRule="atLeast"/>
          <w:jc w:val="center"/>
        </w:trPr>
        <w:tc>
          <w:tcPr>
            <w:tcW w:w="1799" w:type="dxa"/>
            <w:vAlign w:val="center"/>
          </w:tcPr>
          <w:p w14:paraId="3EFF32D5">
            <w:pPr>
              <w:widowControl w:val="0"/>
              <w:jc w:val="center"/>
              <w:rPr>
                <w:rFonts w:ascii="宋体" w:hAnsi="宋体"/>
                <w:b/>
                <w:color w:val="auto"/>
                <w:sz w:val="21"/>
                <w:szCs w:val="21"/>
                <w:highlight w:val="none"/>
                <w:shd w:val="clear" w:color="auto" w:fill="FFFFFF"/>
              </w:rPr>
            </w:pPr>
          </w:p>
        </w:tc>
        <w:tc>
          <w:tcPr>
            <w:tcW w:w="1550" w:type="dxa"/>
            <w:vAlign w:val="center"/>
          </w:tcPr>
          <w:p w14:paraId="181AA383">
            <w:pPr>
              <w:widowControl w:val="0"/>
              <w:jc w:val="center"/>
              <w:rPr>
                <w:rFonts w:ascii="宋体" w:hAnsi="宋体"/>
                <w:b/>
                <w:color w:val="auto"/>
                <w:sz w:val="21"/>
                <w:szCs w:val="21"/>
                <w:highlight w:val="none"/>
                <w:shd w:val="clear" w:color="auto" w:fill="FFFFFF"/>
              </w:rPr>
            </w:pPr>
          </w:p>
        </w:tc>
        <w:tc>
          <w:tcPr>
            <w:tcW w:w="1370" w:type="dxa"/>
            <w:vAlign w:val="center"/>
          </w:tcPr>
          <w:p w14:paraId="3586AF7C">
            <w:pPr>
              <w:widowControl w:val="0"/>
              <w:jc w:val="center"/>
              <w:rPr>
                <w:rFonts w:ascii="宋体" w:hAnsi="宋体"/>
                <w:b/>
                <w:color w:val="auto"/>
                <w:sz w:val="21"/>
                <w:szCs w:val="21"/>
                <w:highlight w:val="none"/>
                <w:shd w:val="clear" w:color="auto" w:fill="FFFFFF"/>
              </w:rPr>
            </w:pPr>
          </w:p>
        </w:tc>
        <w:tc>
          <w:tcPr>
            <w:tcW w:w="1439" w:type="dxa"/>
            <w:vAlign w:val="center"/>
          </w:tcPr>
          <w:p w14:paraId="081B712A">
            <w:pPr>
              <w:widowControl w:val="0"/>
              <w:jc w:val="center"/>
              <w:rPr>
                <w:rFonts w:ascii="宋体" w:hAnsi="宋体"/>
                <w:b/>
                <w:color w:val="auto"/>
                <w:sz w:val="21"/>
                <w:szCs w:val="21"/>
                <w:highlight w:val="none"/>
                <w:shd w:val="clear" w:color="auto" w:fill="FFFFFF"/>
              </w:rPr>
            </w:pPr>
          </w:p>
        </w:tc>
        <w:tc>
          <w:tcPr>
            <w:tcW w:w="1310" w:type="dxa"/>
            <w:vAlign w:val="center"/>
          </w:tcPr>
          <w:p w14:paraId="44AF0851">
            <w:pPr>
              <w:widowControl w:val="0"/>
              <w:jc w:val="center"/>
              <w:rPr>
                <w:rFonts w:ascii="宋体" w:hAnsi="宋体"/>
                <w:b/>
                <w:color w:val="auto"/>
                <w:sz w:val="21"/>
                <w:szCs w:val="21"/>
                <w:highlight w:val="none"/>
                <w:shd w:val="clear" w:color="auto" w:fill="FFFFFF"/>
              </w:rPr>
            </w:pPr>
          </w:p>
        </w:tc>
        <w:tc>
          <w:tcPr>
            <w:tcW w:w="1557" w:type="dxa"/>
            <w:vAlign w:val="center"/>
          </w:tcPr>
          <w:p w14:paraId="008DA5CA">
            <w:pPr>
              <w:widowControl w:val="0"/>
              <w:jc w:val="center"/>
              <w:rPr>
                <w:rFonts w:ascii="宋体" w:hAnsi="宋体"/>
                <w:b/>
                <w:color w:val="auto"/>
                <w:sz w:val="21"/>
                <w:szCs w:val="21"/>
                <w:highlight w:val="none"/>
                <w:shd w:val="clear" w:color="auto" w:fill="FFFFFF"/>
              </w:rPr>
            </w:pPr>
          </w:p>
        </w:tc>
        <w:tc>
          <w:tcPr>
            <w:tcW w:w="1154" w:type="dxa"/>
            <w:vAlign w:val="center"/>
          </w:tcPr>
          <w:p w14:paraId="3C42344D">
            <w:pPr>
              <w:widowControl w:val="0"/>
              <w:jc w:val="center"/>
              <w:rPr>
                <w:rFonts w:ascii="宋体" w:hAnsi="宋体"/>
                <w:b/>
                <w:color w:val="auto"/>
                <w:sz w:val="21"/>
                <w:szCs w:val="21"/>
                <w:highlight w:val="none"/>
                <w:shd w:val="clear" w:color="auto" w:fill="FFFFFF"/>
              </w:rPr>
            </w:pPr>
          </w:p>
        </w:tc>
      </w:tr>
    </w:tbl>
    <w:p w14:paraId="446F1E39">
      <w:pPr>
        <w:spacing w:line="360" w:lineRule="auto"/>
        <w:ind w:firstLine="422"/>
        <w:rPr>
          <w:rFonts w:ascii="宋体" w:hAnsi="宋体" w:cs="宋体"/>
          <w:b/>
          <w:color w:val="auto"/>
          <w:sz w:val="21"/>
          <w:szCs w:val="21"/>
          <w:highlight w:val="none"/>
        </w:rPr>
      </w:pPr>
    </w:p>
    <w:p w14:paraId="0DC58EDD">
      <w:pPr>
        <w:widowControl w:val="0"/>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注：1.本表仅须填写与投标人存在直接股权、管理关系的企业情况。投标人应按上表要求据实填写，如填写“无”或不填写，均视为投标人声明不存在有关情形。</w:t>
      </w:r>
    </w:p>
    <w:p w14:paraId="493A15A9">
      <w:pPr>
        <w:widowControl w:val="0"/>
        <w:spacing w:line="360" w:lineRule="auto"/>
        <w:ind w:firstLine="422" w:firstLineChars="200"/>
        <w:rPr>
          <w:rFonts w:ascii="宋体" w:hAnsi="宋体" w:cs="宋体"/>
          <w:color w:val="auto"/>
          <w:sz w:val="21"/>
          <w:szCs w:val="21"/>
          <w:highlight w:val="none"/>
        </w:rPr>
      </w:pPr>
      <w:r>
        <w:rPr>
          <w:rFonts w:hint="eastAsia" w:ascii="宋体" w:hAnsi="宋体" w:cs="宋体"/>
          <w:b/>
          <w:bCs/>
          <w:color w:val="auto"/>
          <w:sz w:val="21"/>
          <w:szCs w:val="21"/>
          <w:highlight w:val="none"/>
        </w:rPr>
        <w:t>2.其中“直接控股”是指投标人与大型企业之间存在直接投资并控股（非普通持股）的关系。</w:t>
      </w:r>
    </w:p>
    <w:p w14:paraId="01E2A96D">
      <w:pPr>
        <w:widowControl w:val="0"/>
        <w:spacing w:line="360" w:lineRule="auto"/>
        <w:rPr>
          <w:rFonts w:ascii="宋体" w:hAnsi="宋体" w:cs="宋体"/>
          <w:bCs/>
          <w:color w:val="auto"/>
          <w:sz w:val="21"/>
          <w:szCs w:val="21"/>
          <w:highlight w:val="none"/>
          <w:lang w:val="zh-CN"/>
        </w:rPr>
      </w:pPr>
    </w:p>
    <w:p w14:paraId="21B7D254">
      <w:pPr>
        <w:widowControl w:val="0"/>
        <w:spacing w:line="360" w:lineRule="auto"/>
        <w:ind w:firstLine="420" w:firstLineChars="200"/>
        <w:rPr>
          <w:rFonts w:ascii="宋体" w:hAnsi="宋体" w:cs="宋体"/>
          <w:bCs/>
          <w:color w:val="auto"/>
          <w:sz w:val="21"/>
          <w:szCs w:val="21"/>
          <w:highlight w:val="none"/>
          <w:lang w:val="zh-CN"/>
        </w:rPr>
      </w:pPr>
      <w:r>
        <w:rPr>
          <w:rFonts w:hint="eastAsia" w:ascii="宋体" w:hAnsi="宋体" w:cs="宋体"/>
          <w:bCs/>
          <w:color w:val="auto"/>
          <w:sz w:val="21"/>
          <w:szCs w:val="21"/>
          <w:highlight w:val="none"/>
        </w:rPr>
        <w:t>投标人</w:t>
      </w:r>
      <w:r>
        <w:rPr>
          <w:rFonts w:hint="eastAsia" w:ascii="宋体" w:hAnsi="宋体" w:cs="宋体"/>
          <w:bCs/>
          <w:color w:val="auto"/>
          <w:sz w:val="21"/>
          <w:szCs w:val="21"/>
          <w:highlight w:val="none"/>
          <w:lang w:val="zh-CN"/>
        </w:rPr>
        <w:t>：（加盖CA电子公章）</w:t>
      </w:r>
    </w:p>
    <w:p w14:paraId="1806B15E">
      <w:pPr>
        <w:spacing w:line="360" w:lineRule="auto"/>
        <w:ind w:firstLine="422"/>
        <w:rPr>
          <w:rFonts w:ascii="宋体" w:hAnsi="宋体" w:cs="宋体"/>
          <w:b/>
          <w:color w:val="auto"/>
          <w:sz w:val="21"/>
          <w:szCs w:val="21"/>
          <w:highlight w:val="none"/>
        </w:rPr>
      </w:pPr>
      <w:r>
        <w:rPr>
          <w:rFonts w:hint="eastAsia" w:ascii="宋体" w:hAnsi="宋体" w:cs="宋体"/>
          <w:bCs/>
          <w:color w:val="auto"/>
          <w:sz w:val="21"/>
          <w:szCs w:val="21"/>
          <w:highlight w:val="none"/>
          <w:lang w:val="zh-CN"/>
        </w:rPr>
        <w:t>日期：         年     月    日</w:t>
      </w:r>
      <w:r>
        <w:rPr>
          <w:rFonts w:hint="eastAsia" w:ascii="宋体" w:hAnsi="宋体" w:cs="宋体"/>
          <w:bCs/>
          <w:color w:val="auto"/>
          <w:sz w:val="21"/>
          <w:szCs w:val="21"/>
          <w:highlight w:val="none"/>
        </w:rPr>
        <w:t xml:space="preserve">  </w:t>
      </w:r>
    </w:p>
    <w:p w14:paraId="051B58B3">
      <w:pPr>
        <w:rPr>
          <w:rFonts w:ascii="宋体" w:hAnsi="宋体" w:cs="宋体"/>
          <w:color w:val="auto"/>
          <w:sz w:val="21"/>
          <w:szCs w:val="21"/>
          <w:highlight w:val="none"/>
        </w:rPr>
      </w:pPr>
      <w:r>
        <w:rPr>
          <w:rFonts w:hint="eastAsia" w:ascii="宋体" w:hAnsi="宋体" w:cs="宋体"/>
          <w:color w:val="auto"/>
          <w:sz w:val="21"/>
          <w:szCs w:val="21"/>
          <w:highlight w:val="none"/>
        </w:rPr>
        <w:t xml:space="preserve"> </w:t>
      </w:r>
    </w:p>
    <w:p w14:paraId="733910FA">
      <w:pPr>
        <w:rPr>
          <w:rFonts w:ascii="宋体" w:hAnsi="宋体" w:cs="宋体"/>
          <w:color w:val="auto"/>
          <w:sz w:val="21"/>
          <w:szCs w:val="21"/>
          <w:highlight w:val="none"/>
        </w:rPr>
      </w:pPr>
      <w:r>
        <w:rPr>
          <w:rFonts w:hint="eastAsia" w:ascii="宋体" w:hAnsi="宋体" w:cs="宋体"/>
          <w:color w:val="auto"/>
          <w:sz w:val="21"/>
          <w:szCs w:val="21"/>
          <w:highlight w:val="none"/>
        </w:rPr>
        <w:br w:type="page" w:clear="all"/>
      </w:r>
    </w:p>
    <w:p w14:paraId="75A7364E">
      <w:pPr>
        <w:rPr>
          <w:rFonts w:ascii="宋体" w:hAnsi="宋体" w:cs="宋体"/>
          <w:b/>
          <w:bCs/>
          <w:color w:val="auto"/>
          <w:sz w:val="21"/>
          <w:szCs w:val="21"/>
          <w:highlight w:val="none"/>
        </w:rPr>
      </w:pPr>
      <w:r>
        <w:rPr>
          <w:rFonts w:hint="eastAsia" w:ascii="宋体" w:hAnsi="宋体" w:cs="宋体"/>
          <w:b/>
          <w:bCs/>
          <w:color w:val="auto"/>
          <w:sz w:val="21"/>
          <w:szCs w:val="21"/>
          <w:highlight w:val="none"/>
        </w:rPr>
        <w:t>6.</w:t>
      </w:r>
      <w:r>
        <w:rPr>
          <w:rFonts w:ascii="宋体" w:hAnsi="宋体" w:cs="宋体"/>
          <w:b/>
          <w:bCs/>
          <w:color w:val="auto"/>
          <w:sz w:val="21"/>
          <w:szCs w:val="21"/>
          <w:highlight w:val="none"/>
        </w:rPr>
        <w:t>无利害关系声明书</w:t>
      </w:r>
    </w:p>
    <w:p w14:paraId="7A441FD5">
      <w:pPr>
        <w:widowControl w:val="0"/>
        <w:spacing w:line="360" w:lineRule="auto"/>
        <w:jc w:val="center"/>
        <w:rPr>
          <w:rFonts w:ascii="宋体" w:hAnsi="宋体" w:cs="宋体"/>
          <w:b/>
          <w:bCs/>
          <w:color w:val="auto"/>
          <w:sz w:val="21"/>
          <w:szCs w:val="21"/>
          <w:highlight w:val="none"/>
        </w:rPr>
      </w:pPr>
      <w:r>
        <w:rPr>
          <w:rFonts w:ascii="宋体" w:hAnsi="宋体" w:cs="宋体"/>
          <w:b/>
          <w:bCs/>
          <w:color w:val="auto"/>
          <w:sz w:val="21"/>
          <w:szCs w:val="21"/>
          <w:highlight w:val="none"/>
        </w:rPr>
        <w:t>无利害关系声明书</w:t>
      </w:r>
    </w:p>
    <w:p w14:paraId="09E9527C">
      <w:pPr>
        <w:spacing w:line="36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致：</w:t>
      </w:r>
      <w:r>
        <w:rPr>
          <w:rFonts w:hint="eastAsia" w:ascii="宋体" w:hAnsi="宋体" w:cs="宋体"/>
          <w:color w:val="auto"/>
          <w:sz w:val="21"/>
          <w:szCs w:val="21"/>
          <w:highlight w:val="none"/>
          <w:u w:val="single"/>
          <w:lang w:eastAsia="zh-CN"/>
        </w:rPr>
        <w:t>苏州高铁新城管理委员会</w:t>
      </w:r>
      <w:r>
        <w:rPr>
          <w:rFonts w:hint="eastAsia" w:ascii="宋体" w:hAnsi="宋体" w:cs="宋体"/>
          <w:color w:val="auto"/>
          <w:sz w:val="21"/>
          <w:szCs w:val="21"/>
          <w:highlight w:val="none"/>
          <w:u w:val="single"/>
        </w:rPr>
        <w:t>、</w:t>
      </w:r>
      <w:r>
        <w:rPr>
          <w:rFonts w:hint="eastAsia" w:ascii="宋体" w:hAnsi="宋体" w:cs="宋体"/>
          <w:color w:val="auto"/>
          <w:sz w:val="21"/>
          <w:szCs w:val="21"/>
          <w:highlight w:val="none"/>
          <w:u w:val="single"/>
          <w:lang w:eastAsia="zh-CN"/>
        </w:rPr>
        <w:t>众鑫工程管理（苏州）有限公司</w:t>
      </w:r>
    </w:p>
    <w:p w14:paraId="4DEE60DE">
      <w:pPr>
        <w:spacing w:line="360" w:lineRule="auto"/>
        <w:ind w:firstLine="420"/>
        <w:jc w:val="both"/>
        <w:rPr>
          <w:rFonts w:ascii="宋体" w:hAnsi="宋体" w:cs="宋体"/>
          <w:color w:val="auto"/>
          <w:sz w:val="21"/>
          <w:szCs w:val="21"/>
          <w:highlight w:val="none"/>
        </w:rPr>
      </w:pPr>
      <w:r>
        <w:rPr>
          <w:rFonts w:hint="eastAsia" w:ascii="宋体" w:hAnsi="宋体" w:cs="宋体"/>
          <w:color w:val="auto"/>
          <w:sz w:val="21"/>
          <w:szCs w:val="21"/>
          <w:highlight w:val="none"/>
        </w:rPr>
        <w:t>我（公司/本人，以下统称我公司）自愿参加</w:t>
      </w:r>
      <w:r>
        <w:rPr>
          <w:rFonts w:hint="eastAsia" w:ascii="宋体" w:hAnsi="宋体" w:cs="宋体"/>
          <w:color w:val="auto"/>
          <w:sz w:val="21"/>
          <w:szCs w:val="21"/>
          <w:highlight w:val="none"/>
          <w:u w:val="single"/>
        </w:rPr>
        <w:t xml:space="preserve">            （项目名称和项目编号）</w:t>
      </w:r>
      <w:r>
        <w:rPr>
          <w:rFonts w:hint="eastAsia" w:ascii="宋体" w:hAnsi="宋体" w:cs="宋体"/>
          <w:color w:val="auto"/>
          <w:sz w:val="21"/>
          <w:szCs w:val="21"/>
          <w:highlight w:val="none"/>
        </w:rPr>
        <w:t>的投标，并做出如下承诺：</w:t>
      </w:r>
    </w:p>
    <w:p w14:paraId="6A999ED4">
      <w:pPr>
        <w:spacing w:line="360" w:lineRule="auto"/>
        <w:ind w:firstLine="420"/>
        <w:jc w:val="both"/>
        <w:rPr>
          <w:rFonts w:ascii="宋体" w:hAnsi="宋体" w:cs="宋体"/>
          <w:color w:val="auto"/>
          <w:sz w:val="21"/>
          <w:szCs w:val="21"/>
          <w:highlight w:val="none"/>
        </w:rPr>
      </w:pPr>
      <w:r>
        <w:rPr>
          <w:rFonts w:hint="eastAsia" w:ascii="宋体" w:hAnsi="宋体" w:cs="宋体"/>
          <w:color w:val="auto"/>
          <w:sz w:val="21"/>
          <w:szCs w:val="21"/>
          <w:highlight w:val="none"/>
        </w:rPr>
        <w:t>一、</w:t>
      </w:r>
      <w:r>
        <w:rPr>
          <w:rFonts w:ascii="宋体" w:hAnsi="宋体" w:cs="宋体"/>
          <w:color w:val="auto"/>
          <w:sz w:val="21"/>
          <w:szCs w:val="21"/>
          <w:highlight w:val="none"/>
        </w:rPr>
        <w:t>本公司及本公司法定代表人</w:t>
      </w:r>
      <w:r>
        <w:rPr>
          <w:rFonts w:hint="eastAsia" w:ascii="宋体" w:hAnsi="宋体" w:cs="宋体"/>
          <w:color w:val="auto"/>
          <w:sz w:val="21"/>
          <w:szCs w:val="21"/>
          <w:highlight w:val="none"/>
        </w:rPr>
        <w:t>、董事、监事、股东</w:t>
      </w:r>
      <w:r>
        <w:rPr>
          <w:rFonts w:ascii="宋体" w:hAnsi="宋体" w:cs="宋体"/>
          <w:color w:val="auto"/>
          <w:sz w:val="21"/>
          <w:szCs w:val="21"/>
          <w:highlight w:val="none"/>
        </w:rPr>
        <w:t>，与本</w:t>
      </w:r>
      <w:r>
        <w:rPr>
          <w:rFonts w:hint="eastAsia" w:ascii="宋体" w:hAnsi="宋体" w:cs="宋体"/>
          <w:color w:val="auto"/>
          <w:sz w:val="21"/>
          <w:szCs w:val="21"/>
          <w:highlight w:val="none"/>
        </w:rPr>
        <w:t>招标</w:t>
      </w:r>
      <w:r>
        <w:rPr>
          <w:rFonts w:ascii="宋体" w:hAnsi="宋体" w:cs="宋体"/>
          <w:color w:val="auto"/>
          <w:sz w:val="21"/>
          <w:szCs w:val="21"/>
          <w:highlight w:val="none"/>
        </w:rPr>
        <w:t>项目的采购人</w:t>
      </w:r>
      <w:r>
        <w:rPr>
          <w:rFonts w:hint="eastAsia" w:ascii="宋体" w:hAnsi="宋体" w:cs="宋体"/>
          <w:color w:val="auto"/>
          <w:sz w:val="21"/>
          <w:szCs w:val="21"/>
          <w:highlight w:val="none"/>
        </w:rPr>
        <w:t>、</w:t>
      </w:r>
      <w:r>
        <w:rPr>
          <w:rFonts w:ascii="宋体" w:hAnsi="宋体" w:cs="宋体"/>
          <w:color w:val="auto"/>
          <w:sz w:val="21"/>
          <w:szCs w:val="21"/>
          <w:highlight w:val="none"/>
        </w:rPr>
        <w:t>采购代理机构及相关人员不存在任何可能影响</w:t>
      </w:r>
      <w:r>
        <w:rPr>
          <w:rFonts w:hint="eastAsia" w:ascii="宋体" w:hAnsi="宋体" w:cs="宋体"/>
          <w:color w:val="auto"/>
          <w:sz w:val="21"/>
          <w:szCs w:val="21"/>
          <w:highlight w:val="none"/>
        </w:rPr>
        <w:t>招标</w:t>
      </w:r>
      <w:r>
        <w:rPr>
          <w:rFonts w:ascii="宋体" w:hAnsi="宋体" w:cs="宋体"/>
          <w:color w:val="auto"/>
          <w:sz w:val="21"/>
          <w:szCs w:val="21"/>
          <w:highlight w:val="none"/>
        </w:rPr>
        <w:t>活动公平、公正的利害关系</w:t>
      </w:r>
      <w:r>
        <w:rPr>
          <w:rFonts w:hint="eastAsia" w:ascii="宋体" w:hAnsi="宋体" w:cs="宋体"/>
          <w:color w:val="auto"/>
          <w:sz w:val="21"/>
          <w:szCs w:val="21"/>
          <w:highlight w:val="none"/>
        </w:rPr>
        <w:t>。</w:t>
      </w:r>
    </w:p>
    <w:p w14:paraId="2FB96A94">
      <w:pPr>
        <w:spacing w:line="360" w:lineRule="auto"/>
        <w:ind w:firstLine="420"/>
        <w:jc w:val="both"/>
        <w:rPr>
          <w:rFonts w:ascii="宋体" w:hAnsi="宋体" w:cs="宋体"/>
          <w:color w:val="auto"/>
          <w:sz w:val="21"/>
          <w:szCs w:val="21"/>
          <w:highlight w:val="none"/>
        </w:rPr>
      </w:pPr>
      <w:r>
        <w:rPr>
          <w:rFonts w:hint="eastAsia" w:ascii="宋体" w:hAnsi="宋体" w:cs="宋体"/>
          <w:color w:val="auto"/>
          <w:sz w:val="21"/>
          <w:szCs w:val="21"/>
          <w:highlight w:val="none"/>
        </w:rPr>
        <w:t>二、</w:t>
      </w:r>
      <w:r>
        <w:rPr>
          <w:rFonts w:ascii="宋体" w:hAnsi="宋体" w:cs="宋体"/>
          <w:color w:val="auto"/>
          <w:sz w:val="21"/>
          <w:szCs w:val="21"/>
          <w:highlight w:val="none"/>
        </w:rPr>
        <w:t>本公司及本公司法定代表人</w:t>
      </w:r>
      <w:r>
        <w:rPr>
          <w:rFonts w:hint="eastAsia" w:ascii="宋体" w:hAnsi="宋体" w:cs="宋体"/>
          <w:color w:val="auto"/>
          <w:sz w:val="21"/>
          <w:szCs w:val="21"/>
          <w:highlight w:val="none"/>
        </w:rPr>
        <w:t>、董事、监事、股东</w:t>
      </w:r>
      <w:r>
        <w:rPr>
          <w:rFonts w:ascii="宋体" w:hAnsi="宋体" w:cs="宋体"/>
          <w:color w:val="auto"/>
          <w:sz w:val="21"/>
          <w:szCs w:val="21"/>
          <w:highlight w:val="none"/>
        </w:rPr>
        <w:t>，与本</w:t>
      </w:r>
      <w:r>
        <w:rPr>
          <w:rFonts w:hint="eastAsia" w:ascii="宋体" w:hAnsi="宋体" w:cs="宋体"/>
          <w:color w:val="auto"/>
          <w:sz w:val="21"/>
          <w:szCs w:val="21"/>
          <w:highlight w:val="none"/>
        </w:rPr>
        <w:t>招标</w:t>
      </w:r>
      <w:r>
        <w:rPr>
          <w:rFonts w:ascii="宋体" w:hAnsi="宋体" w:cs="宋体"/>
          <w:color w:val="auto"/>
          <w:sz w:val="21"/>
          <w:szCs w:val="21"/>
          <w:highlight w:val="none"/>
        </w:rPr>
        <w:t>项目的采购人</w:t>
      </w:r>
      <w:r>
        <w:rPr>
          <w:rFonts w:hint="eastAsia" w:ascii="宋体" w:hAnsi="宋体" w:cs="宋体"/>
          <w:color w:val="auto"/>
          <w:sz w:val="21"/>
          <w:szCs w:val="21"/>
          <w:highlight w:val="none"/>
        </w:rPr>
        <w:t>、</w:t>
      </w:r>
      <w:r>
        <w:rPr>
          <w:rFonts w:ascii="宋体" w:hAnsi="宋体" w:cs="宋体"/>
          <w:color w:val="auto"/>
          <w:sz w:val="21"/>
          <w:szCs w:val="21"/>
          <w:highlight w:val="none"/>
        </w:rPr>
        <w:t>采购代理机构</w:t>
      </w:r>
      <w:r>
        <w:rPr>
          <w:rFonts w:hint="eastAsia" w:ascii="宋体" w:hAnsi="宋体" w:cs="宋体"/>
          <w:color w:val="auto"/>
          <w:sz w:val="21"/>
          <w:szCs w:val="21"/>
          <w:highlight w:val="none"/>
        </w:rPr>
        <w:t>、参加本项目投标的其他投标人</w:t>
      </w:r>
      <w:r>
        <w:rPr>
          <w:rFonts w:ascii="宋体" w:hAnsi="宋体" w:cs="宋体"/>
          <w:color w:val="auto"/>
          <w:sz w:val="21"/>
          <w:szCs w:val="21"/>
          <w:highlight w:val="none"/>
        </w:rPr>
        <w:t>及相关人员不存在</w:t>
      </w:r>
      <w:r>
        <w:rPr>
          <w:rFonts w:hint="eastAsia" w:ascii="宋体" w:hAnsi="宋体" w:cs="宋体"/>
          <w:color w:val="auto"/>
          <w:sz w:val="21"/>
          <w:szCs w:val="21"/>
          <w:highlight w:val="none"/>
        </w:rPr>
        <w:t>《中华人民共和国政府采购法实施条例》第九条第四款所列的夫妻、直系血亲、三代以内旁系血亲或近姻亲关系。</w:t>
      </w:r>
    </w:p>
    <w:p w14:paraId="7BB36FCE">
      <w:pPr>
        <w:spacing w:line="360" w:lineRule="auto"/>
        <w:ind w:firstLine="420"/>
        <w:jc w:val="both"/>
        <w:rPr>
          <w:rFonts w:ascii="宋体" w:hAnsi="宋体" w:cs="宋体"/>
          <w:color w:val="auto"/>
          <w:sz w:val="21"/>
          <w:szCs w:val="21"/>
          <w:highlight w:val="none"/>
        </w:rPr>
      </w:pPr>
      <w:r>
        <w:rPr>
          <w:rFonts w:hint="eastAsia" w:ascii="宋体" w:hAnsi="宋体" w:cs="宋体"/>
          <w:color w:val="auto"/>
          <w:sz w:val="21"/>
          <w:szCs w:val="21"/>
          <w:highlight w:val="none"/>
        </w:rPr>
        <w:t>如声明不实，我公司愿意承担由此引发的一切法律责任，包括被取消投标资格、中标无效等后果。</w:t>
      </w:r>
    </w:p>
    <w:p w14:paraId="52A00D3F">
      <w:pPr>
        <w:widowControl w:val="0"/>
        <w:spacing w:line="360" w:lineRule="auto"/>
        <w:jc w:val="both"/>
        <w:rPr>
          <w:rFonts w:ascii="宋体" w:hAnsi="宋体" w:cs="宋体"/>
          <w:b/>
          <w:bCs/>
          <w:color w:val="auto"/>
          <w:sz w:val="21"/>
          <w:szCs w:val="21"/>
          <w:highlight w:val="none"/>
        </w:rPr>
      </w:pPr>
    </w:p>
    <w:p w14:paraId="0192BA86">
      <w:pPr>
        <w:widowControl w:val="0"/>
        <w:spacing w:line="360" w:lineRule="auto"/>
        <w:jc w:val="both"/>
        <w:rPr>
          <w:rFonts w:ascii="宋体" w:hAnsi="宋体" w:cs="宋体"/>
          <w:b/>
          <w:bCs/>
          <w:color w:val="auto"/>
          <w:sz w:val="21"/>
          <w:szCs w:val="21"/>
          <w:highlight w:val="none"/>
        </w:rPr>
      </w:pPr>
    </w:p>
    <w:p w14:paraId="6124EB0F">
      <w:pPr>
        <w:widowControl w:val="0"/>
        <w:spacing w:line="360" w:lineRule="auto"/>
        <w:rPr>
          <w:rFonts w:ascii="宋体" w:hAnsi="宋体" w:cs="宋体"/>
          <w:bCs/>
          <w:color w:val="auto"/>
          <w:sz w:val="21"/>
          <w:szCs w:val="21"/>
          <w:highlight w:val="none"/>
          <w:lang w:val="zh-CN"/>
        </w:rPr>
      </w:pPr>
      <w:r>
        <w:rPr>
          <w:rFonts w:hint="eastAsia" w:ascii="宋体" w:hAnsi="宋体" w:cs="宋体"/>
          <w:bCs/>
          <w:color w:val="auto"/>
          <w:sz w:val="21"/>
          <w:szCs w:val="21"/>
          <w:highlight w:val="none"/>
        </w:rPr>
        <w:t>投标人</w:t>
      </w:r>
      <w:r>
        <w:rPr>
          <w:rFonts w:hint="eastAsia" w:ascii="宋体" w:hAnsi="宋体" w:cs="宋体"/>
          <w:bCs/>
          <w:color w:val="auto"/>
          <w:sz w:val="21"/>
          <w:szCs w:val="21"/>
          <w:highlight w:val="none"/>
          <w:lang w:val="zh-CN"/>
        </w:rPr>
        <w:t>：（加盖CA电子公章）</w:t>
      </w:r>
    </w:p>
    <w:p w14:paraId="7391E96F">
      <w:pPr>
        <w:widowControl w:val="0"/>
        <w:spacing w:line="360" w:lineRule="auto"/>
        <w:rPr>
          <w:rFonts w:ascii="宋体" w:hAnsi="宋体" w:cs="宋体"/>
          <w:bCs/>
          <w:color w:val="auto"/>
          <w:sz w:val="21"/>
          <w:szCs w:val="21"/>
          <w:highlight w:val="none"/>
          <w:lang w:val="zh-CN"/>
        </w:rPr>
      </w:pPr>
      <w:r>
        <w:rPr>
          <w:rFonts w:hint="eastAsia" w:ascii="宋体" w:hAnsi="宋体" w:cs="宋体"/>
          <w:bCs/>
          <w:color w:val="auto"/>
          <w:sz w:val="21"/>
          <w:szCs w:val="21"/>
          <w:highlight w:val="none"/>
          <w:lang w:val="zh-CN"/>
        </w:rPr>
        <w:t>日期：         年     月    日</w:t>
      </w:r>
    </w:p>
    <w:p w14:paraId="25391C8F">
      <w:pPr>
        <w:widowControl w:val="0"/>
        <w:spacing w:line="360" w:lineRule="auto"/>
        <w:rPr>
          <w:rFonts w:ascii="宋体" w:hAnsi="宋体" w:cs="宋体"/>
          <w:bCs/>
          <w:color w:val="auto"/>
          <w:sz w:val="21"/>
          <w:szCs w:val="21"/>
          <w:highlight w:val="none"/>
          <w:lang w:val="zh-CN"/>
        </w:rPr>
      </w:pPr>
    </w:p>
    <w:p w14:paraId="6DDC22BE">
      <w:pPr>
        <w:widowControl w:val="0"/>
        <w:spacing w:line="360" w:lineRule="auto"/>
        <w:rPr>
          <w:rFonts w:ascii="宋体" w:hAnsi="宋体" w:cs="宋体"/>
          <w:bCs/>
          <w:color w:val="auto"/>
          <w:sz w:val="21"/>
          <w:szCs w:val="21"/>
          <w:highlight w:val="none"/>
          <w:lang w:val="zh-CN"/>
        </w:rPr>
      </w:pPr>
    </w:p>
    <w:p w14:paraId="0B2EECF4">
      <w:pPr>
        <w:widowControl w:val="0"/>
        <w:spacing w:line="360" w:lineRule="auto"/>
        <w:rPr>
          <w:rFonts w:ascii="宋体" w:hAnsi="宋体" w:cs="宋体"/>
          <w:bCs/>
          <w:color w:val="auto"/>
          <w:sz w:val="21"/>
          <w:szCs w:val="21"/>
          <w:highlight w:val="none"/>
          <w:lang w:val="zh-CN"/>
        </w:rPr>
      </w:pPr>
    </w:p>
    <w:p w14:paraId="46FD6362">
      <w:pPr>
        <w:widowControl w:val="0"/>
        <w:spacing w:line="360" w:lineRule="auto"/>
        <w:rPr>
          <w:rFonts w:ascii="宋体" w:hAnsi="宋体" w:cs="宋体"/>
          <w:bCs/>
          <w:color w:val="auto"/>
          <w:sz w:val="21"/>
          <w:szCs w:val="21"/>
          <w:highlight w:val="none"/>
          <w:lang w:val="zh-CN"/>
        </w:rPr>
      </w:pPr>
    </w:p>
    <w:p w14:paraId="65CB24FF">
      <w:pPr>
        <w:widowControl w:val="0"/>
        <w:spacing w:line="360" w:lineRule="auto"/>
        <w:rPr>
          <w:rFonts w:ascii="宋体" w:hAnsi="宋体" w:cs="宋体"/>
          <w:bCs/>
          <w:color w:val="auto"/>
          <w:sz w:val="21"/>
          <w:szCs w:val="21"/>
          <w:highlight w:val="none"/>
          <w:lang w:val="zh-CN"/>
        </w:rPr>
      </w:pPr>
    </w:p>
    <w:p w14:paraId="67E70532">
      <w:pPr>
        <w:widowControl w:val="0"/>
        <w:spacing w:line="360" w:lineRule="auto"/>
        <w:rPr>
          <w:rFonts w:ascii="宋体" w:hAnsi="宋体" w:cs="宋体"/>
          <w:bCs/>
          <w:color w:val="auto"/>
          <w:sz w:val="21"/>
          <w:szCs w:val="21"/>
          <w:highlight w:val="none"/>
          <w:lang w:val="zh-CN"/>
        </w:rPr>
      </w:pPr>
    </w:p>
    <w:p w14:paraId="33F80B08">
      <w:pPr>
        <w:widowControl w:val="0"/>
        <w:spacing w:line="360" w:lineRule="auto"/>
        <w:rPr>
          <w:rFonts w:ascii="宋体" w:hAnsi="宋体" w:cs="宋体"/>
          <w:bCs/>
          <w:color w:val="auto"/>
          <w:sz w:val="21"/>
          <w:szCs w:val="21"/>
          <w:highlight w:val="none"/>
          <w:lang w:val="zh-CN"/>
        </w:rPr>
      </w:pPr>
    </w:p>
    <w:p w14:paraId="62CA74B2">
      <w:pPr>
        <w:widowControl w:val="0"/>
        <w:spacing w:line="360" w:lineRule="auto"/>
        <w:rPr>
          <w:rFonts w:ascii="宋体" w:hAnsi="宋体" w:cs="宋体"/>
          <w:bCs/>
          <w:color w:val="auto"/>
          <w:sz w:val="21"/>
          <w:szCs w:val="21"/>
          <w:highlight w:val="none"/>
          <w:lang w:val="zh-CN"/>
        </w:rPr>
      </w:pPr>
    </w:p>
    <w:p w14:paraId="4E7ABED5">
      <w:pPr>
        <w:widowControl w:val="0"/>
        <w:spacing w:line="360" w:lineRule="auto"/>
        <w:rPr>
          <w:rFonts w:ascii="宋体" w:hAnsi="宋体" w:cs="宋体"/>
          <w:bCs/>
          <w:color w:val="auto"/>
          <w:sz w:val="21"/>
          <w:szCs w:val="21"/>
          <w:highlight w:val="none"/>
          <w:lang w:val="zh-CN"/>
        </w:rPr>
      </w:pPr>
    </w:p>
    <w:p w14:paraId="63F8F5A8">
      <w:pPr>
        <w:widowControl w:val="0"/>
        <w:spacing w:line="360" w:lineRule="auto"/>
        <w:rPr>
          <w:rFonts w:ascii="宋体" w:hAnsi="宋体" w:cs="宋体"/>
          <w:bCs/>
          <w:color w:val="auto"/>
          <w:sz w:val="21"/>
          <w:szCs w:val="21"/>
          <w:highlight w:val="none"/>
          <w:lang w:val="zh-CN"/>
        </w:rPr>
      </w:pPr>
    </w:p>
    <w:p w14:paraId="095425A8">
      <w:pPr>
        <w:widowControl w:val="0"/>
        <w:spacing w:line="360" w:lineRule="auto"/>
        <w:rPr>
          <w:rFonts w:ascii="宋体" w:hAnsi="宋体" w:cs="宋体"/>
          <w:bCs/>
          <w:color w:val="auto"/>
          <w:sz w:val="21"/>
          <w:szCs w:val="21"/>
          <w:highlight w:val="none"/>
          <w:lang w:val="zh-CN"/>
        </w:rPr>
      </w:pPr>
    </w:p>
    <w:p w14:paraId="78D7DF8A">
      <w:pPr>
        <w:widowControl w:val="0"/>
        <w:spacing w:line="360" w:lineRule="auto"/>
        <w:rPr>
          <w:rFonts w:ascii="宋体" w:hAnsi="宋体" w:cs="宋体"/>
          <w:bCs/>
          <w:color w:val="auto"/>
          <w:sz w:val="21"/>
          <w:szCs w:val="21"/>
          <w:highlight w:val="none"/>
          <w:lang w:val="zh-CN"/>
        </w:rPr>
      </w:pPr>
    </w:p>
    <w:p w14:paraId="2358B98B">
      <w:pPr>
        <w:widowControl w:val="0"/>
        <w:spacing w:line="360" w:lineRule="auto"/>
        <w:rPr>
          <w:rFonts w:ascii="宋体" w:hAnsi="宋体" w:cs="宋体"/>
          <w:bCs/>
          <w:color w:val="auto"/>
          <w:sz w:val="21"/>
          <w:szCs w:val="21"/>
          <w:highlight w:val="none"/>
          <w:lang w:val="zh-CN"/>
        </w:rPr>
      </w:pPr>
    </w:p>
    <w:p w14:paraId="19CB3451">
      <w:pPr>
        <w:widowControl w:val="0"/>
        <w:spacing w:line="360" w:lineRule="auto"/>
        <w:rPr>
          <w:rFonts w:ascii="宋体" w:hAnsi="宋体" w:cs="宋体"/>
          <w:bCs/>
          <w:color w:val="auto"/>
          <w:sz w:val="21"/>
          <w:szCs w:val="21"/>
          <w:highlight w:val="none"/>
          <w:lang w:val="zh-CN"/>
        </w:rPr>
      </w:pPr>
    </w:p>
    <w:p w14:paraId="24FCDB35">
      <w:pPr>
        <w:widowControl w:val="0"/>
        <w:spacing w:line="360" w:lineRule="auto"/>
        <w:rPr>
          <w:rFonts w:ascii="宋体" w:hAnsi="宋体" w:cs="宋体"/>
          <w:bCs/>
          <w:color w:val="auto"/>
          <w:sz w:val="21"/>
          <w:szCs w:val="21"/>
          <w:highlight w:val="none"/>
          <w:lang w:val="zh-CN"/>
        </w:rPr>
      </w:pPr>
    </w:p>
    <w:p w14:paraId="4FD95EDD">
      <w:pPr>
        <w:widowControl w:val="0"/>
        <w:spacing w:line="360" w:lineRule="auto"/>
        <w:rPr>
          <w:rFonts w:ascii="宋体" w:hAnsi="宋体" w:cs="宋体"/>
          <w:bCs/>
          <w:color w:val="auto"/>
          <w:sz w:val="21"/>
          <w:szCs w:val="21"/>
          <w:highlight w:val="none"/>
          <w:lang w:val="zh-CN"/>
        </w:rPr>
      </w:pPr>
    </w:p>
    <w:p w14:paraId="5DAAC7FA">
      <w:pPr>
        <w:widowControl w:val="0"/>
        <w:spacing w:line="360" w:lineRule="auto"/>
        <w:rPr>
          <w:rFonts w:ascii="宋体" w:hAnsi="宋体" w:cs="宋体"/>
          <w:bCs/>
          <w:color w:val="auto"/>
          <w:sz w:val="21"/>
          <w:szCs w:val="21"/>
          <w:highlight w:val="none"/>
          <w:lang w:val="zh-CN"/>
        </w:rPr>
      </w:pPr>
    </w:p>
    <w:p w14:paraId="16EB1892">
      <w:pPr>
        <w:widowControl w:val="0"/>
        <w:spacing w:line="360" w:lineRule="auto"/>
        <w:rPr>
          <w:rFonts w:ascii="宋体" w:hAnsi="宋体" w:cs="宋体"/>
          <w:bCs/>
          <w:color w:val="auto"/>
          <w:sz w:val="21"/>
          <w:szCs w:val="21"/>
          <w:highlight w:val="none"/>
          <w:lang w:val="zh-CN"/>
        </w:rPr>
      </w:pPr>
    </w:p>
    <w:p w14:paraId="0E02AF4A">
      <w:pPr>
        <w:widowControl w:val="0"/>
        <w:spacing w:line="360" w:lineRule="auto"/>
        <w:rPr>
          <w:rFonts w:ascii="宋体" w:hAnsi="宋体" w:cs="宋体"/>
          <w:bCs/>
          <w:color w:val="auto"/>
          <w:sz w:val="21"/>
          <w:szCs w:val="21"/>
          <w:highlight w:val="none"/>
          <w:lang w:val="zh-CN"/>
        </w:rPr>
      </w:pPr>
    </w:p>
    <w:p w14:paraId="3D01D208">
      <w:pPr>
        <w:widowControl w:val="0"/>
        <w:spacing w:line="360" w:lineRule="auto"/>
        <w:rPr>
          <w:rFonts w:ascii="宋体" w:hAnsi="宋体" w:cs="宋体"/>
          <w:bCs/>
          <w:color w:val="auto"/>
          <w:sz w:val="21"/>
          <w:szCs w:val="21"/>
          <w:highlight w:val="none"/>
          <w:lang w:val="zh-CN"/>
        </w:rPr>
      </w:pPr>
    </w:p>
    <w:p w14:paraId="141B2032">
      <w:pPr>
        <w:widowControl w:val="0"/>
        <w:spacing w:line="360" w:lineRule="auto"/>
        <w:rPr>
          <w:rFonts w:ascii="宋体" w:hAnsi="宋体" w:cs="宋体"/>
          <w:bCs/>
          <w:color w:val="auto"/>
          <w:sz w:val="21"/>
          <w:szCs w:val="21"/>
          <w:highlight w:val="none"/>
          <w:lang w:val="zh-CN"/>
        </w:rPr>
      </w:pPr>
    </w:p>
    <w:p w14:paraId="2B591636">
      <w:pPr>
        <w:rPr>
          <w:rFonts w:ascii="宋体" w:hAnsi="宋体" w:cs="宋体"/>
          <w:b/>
          <w:bCs/>
          <w:color w:val="auto"/>
          <w:sz w:val="21"/>
          <w:szCs w:val="21"/>
          <w:highlight w:val="none"/>
        </w:rPr>
      </w:pPr>
      <w:r>
        <w:rPr>
          <w:rFonts w:hint="eastAsia" w:ascii="宋体" w:hAnsi="宋体" w:cs="宋体"/>
          <w:b/>
          <w:bCs/>
          <w:color w:val="auto"/>
          <w:sz w:val="21"/>
          <w:szCs w:val="21"/>
          <w:highlight w:val="none"/>
          <w:lang w:val="en-US" w:eastAsia="zh-CN"/>
        </w:rPr>
        <w:t>六</w:t>
      </w:r>
      <w:r>
        <w:rPr>
          <w:rFonts w:hint="eastAsia" w:ascii="宋体" w:hAnsi="宋体" w:cs="宋体"/>
          <w:b/>
          <w:bCs/>
          <w:color w:val="auto"/>
          <w:sz w:val="21"/>
          <w:szCs w:val="21"/>
          <w:highlight w:val="none"/>
        </w:rPr>
        <w:t>、</w:t>
      </w:r>
      <w:bookmarkStart w:id="75" w:name="_Toc405820406"/>
      <w:bookmarkStart w:id="76" w:name="_Toc405820241"/>
      <w:bookmarkStart w:id="77" w:name="_Toc405820181"/>
      <w:bookmarkStart w:id="78" w:name="_Toc348785015"/>
      <w:bookmarkStart w:id="79" w:name="_Toc348785370"/>
      <w:bookmarkStart w:id="80" w:name="_Toc405820303"/>
      <w:bookmarkStart w:id="81" w:name="_Toc382997005"/>
      <w:bookmarkStart w:id="82" w:name="_Toc348784829"/>
      <w:r>
        <w:rPr>
          <w:rFonts w:hint="eastAsia" w:ascii="宋体" w:hAnsi="宋体" w:cs="宋体"/>
          <w:b/>
          <w:bCs/>
          <w:color w:val="auto"/>
          <w:sz w:val="21"/>
          <w:szCs w:val="21"/>
          <w:highlight w:val="none"/>
        </w:rPr>
        <w:t>针对本项目的服务方案</w:t>
      </w:r>
    </w:p>
    <w:p w14:paraId="5ABFBCEC">
      <w:pPr>
        <w:tabs>
          <w:tab w:val="left" w:pos="1320"/>
        </w:tabs>
        <w:spacing w:line="360" w:lineRule="auto"/>
        <w:jc w:val="center"/>
        <w:rPr>
          <w:rFonts w:ascii="宋体" w:hAnsi="宋体" w:cs="宋体"/>
          <w:b/>
          <w:color w:val="auto"/>
          <w:sz w:val="21"/>
          <w:szCs w:val="21"/>
          <w:highlight w:val="none"/>
        </w:rPr>
      </w:pPr>
    </w:p>
    <w:p w14:paraId="575317C7">
      <w:pPr>
        <w:tabs>
          <w:tab w:val="left" w:pos="1320"/>
        </w:tabs>
        <w:spacing w:line="360" w:lineRule="auto"/>
        <w:jc w:val="center"/>
        <w:rPr>
          <w:rFonts w:ascii="宋体" w:hAnsi="宋体" w:cs="宋体"/>
          <w:b/>
          <w:color w:val="auto"/>
          <w:sz w:val="21"/>
          <w:szCs w:val="21"/>
          <w:highlight w:val="none"/>
        </w:rPr>
      </w:pPr>
      <w:r>
        <w:rPr>
          <w:rFonts w:hint="eastAsia" w:ascii="宋体" w:hAnsi="宋体" w:cs="宋体"/>
          <w:b/>
          <w:color w:val="auto"/>
          <w:sz w:val="21"/>
          <w:szCs w:val="21"/>
          <w:highlight w:val="none"/>
        </w:rPr>
        <w:t>针对本项目的服务方案</w:t>
      </w:r>
    </w:p>
    <w:p w14:paraId="58DB6F5F">
      <w:pPr>
        <w:pStyle w:val="71"/>
        <w:ind w:firstLine="480"/>
        <w:rPr>
          <w:rFonts w:hAnsi="宋体" w:cs="宋体"/>
          <w:color w:val="auto"/>
          <w:highlight w:val="none"/>
        </w:rPr>
      </w:pPr>
    </w:p>
    <w:p w14:paraId="0CBF2BF5">
      <w:pPr>
        <w:pStyle w:val="71"/>
        <w:ind w:firstLine="420"/>
        <w:rPr>
          <w:rFonts w:hAnsi="宋体" w:cs="宋体"/>
          <w:b/>
          <w:color w:val="auto"/>
          <w:sz w:val="21"/>
          <w:szCs w:val="21"/>
          <w:highlight w:val="none"/>
        </w:rPr>
      </w:pPr>
      <w:r>
        <w:rPr>
          <w:rFonts w:hint="eastAsia" w:hAnsi="宋体" w:cs="宋体"/>
          <w:color w:val="auto"/>
          <w:sz w:val="21"/>
          <w:szCs w:val="21"/>
          <w:highlight w:val="none"/>
        </w:rPr>
        <w:t>1.投标人应根据本采购项目要求，对本项目的服务方案内容进行详细的说明与描述。</w:t>
      </w:r>
    </w:p>
    <w:p w14:paraId="49A4B504">
      <w:pPr>
        <w:pStyle w:val="71"/>
        <w:tabs>
          <w:tab w:val="left" w:pos="1320"/>
        </w:tabs>
        <w:ind w:firstLine="420"/>
        <w:rPr>
          <w:rFonts w:hAnsi="宋体" w:cs="宋体"/>
          <w:color w:val="auto"/>
          <w:sz w:val="21"/>
          <w:szCs w:val="21"/>
          <w:highlight w:val="none"/>
        </w:rPr>
      </w:pPr>
      <w:r>
        <w:rPr>
          <w:rFonts w:hint="eastAsia" w:hAnsi="宋体" w:cs="宋体"/>
          <w:color w:val="auto"/>
          <w:sz w:val="21"/>
          <w:szCs w:val="21"/>
          <w:highlight w:val="none"/>
        </w:rPr>
        <w:t>2.投标人可根据自身情况编写。</w:t>
      </w:r>
    </w:p>
    <w:p w14:paraId="5152BF27">
      <w:pPr>
        <w:pStyle w:val="71"/>
        <w:tabs>
          <w:tab w:val="left" w:pos="1320"/>
        </w:tabs>
        <w:ind w:firstLine="173"/>
        <w:rPr>
          <w:rFonts w:hAnsi="宋体" w:cs="宋体"/>
          <w:b/>
          <w:color w:val="auto"/>
          <w:sz w:val="21"/>
          <w:szCs w:val="21"/>
          <w:highlight w:val="none"/>
        </w:rPr>
      </w:pPr>
    </w:p>
    <w:p w14:paraId="01B7E095">
      <w:pPr>
        <w:pStyle w:val="71"/>
        <w:tabs>
          <w:tab w:val="left" w:pos="1320"/>
        </w:tabs>
        <w:ind w:firstLine="173"/>
        <w:rPr>
          <w:rFonts w:hAnsi="宋体" w:cs="宋体"/>
          <w:b/>
          <w:color w:val="auto"/>
          <w:sz w:val="21"/>
          <w:szCs w:val="21"/>
          <w:highlight w:val="none"/>
        </w:rPr>
      </w:pPr>
    </w:p>
    <w:p w14:paraId="45D2B8EF">
      <w:pPr>
        <w:pStyle w:val="71"/>
        <w:tabs>
          <w:tab w:val="left" w:pos="1320"/>
        </w:tabs>
        <w:ind w:firstLine="173"/>
        <w:rPr>
          <w:rFonts w:hAnsi="宋体" w:cs="宋体"/>
          <w:b/>
          <w:color w:val="auto"/>
          <w:sz w:val="21"/>
          <w:szCs w:val="21"/>
          <w:highlight w:val="none"/>
        </w:rPr>
      </w:pPr>
    </w:p>
    <w:p w14:paraId="2A00BCAA">
      <w:pPr>
        <w:pStyle w:val="71"/>
        <w:tabs>
          <w:tab w:val="left" w:pos="1320"/>
        </w:tabs>
        <w:ind w:firstLine="173"/>
        <w:rPr>
          <w:rFonts w:hAnsi="宋体" w:cs="宋体"/>
          <w:b/>
          <w:color w:val="auto"/>
          <w:sz w:val="21"/>
          <w:szCs w:val="21"/>
          <w:highlight w:val="none"/>
        </w:rPr>
      </w:pPr>
    </w:p>
    <w:p w14:paraId="2CC12BF7">
      <w:pPr>
        <w:pStyle w:val="71"/>
        <w:tabs>
          <w:tab w:val="left" w:pos="1320"/>
        </w:tabs>
        <w:ind w:firstLine="173"/>
        <w:rPr>
          <w:rFonts w:hAnsi="宋体" w:cs="宋体"/>
          <w:b/>
          <w:color w:val="auto"/>
          <w:sz w:val="21"/>
          <w:szCs w:val="21"/>
          <w:highlight w:val="none"/>
        </w:rPr>
      </w:pPr>
    </w:p>
    <w:p w14:paraId="4A44C78E">
      <w:pPr>
        <w:pStyle w:val="71"/>
        <w:tabs>
          <w:tab w:val="left" w:pos="1320"/>
        </w:tabs>
        <w:ind w:firstLine="173"/>
        <w:rPr>
          <w:rFonts w:hAnsi="宋体" w:cs="宋体"/>
          <w:b/>
          <w:color w:val="auto"/>
          <w:sz w:val="21"/>
          <w:szCs w:val="21"/>
          <w:highlight w:val="none"/>
        </w:rPr>
      </w:pPr>
    </w:p>
    <w:p w14:paraId="73D611F3">
      <w:pPr>
        <w:pStyle w:val="71"/>
        <w:tabs>
          <w:tab w:val="left" w:pos="1320"/>
        </w:tabs>
        <w:ind w:firstLine="173"/>
        <w:rPr>
          <w:rFonts w:hAnsi="宋体" w:cs="宋体"/>
          <w:b/>
          <w:color w:val="auto"/>
          <w:sz w:val="21"/>
          <w:szCs w:val="21"/>
          <w:highlight w:val="none"/>
        </w:rPr>
      </w:pPr>
    </w:p>
    <w:p w14:paraId="2595FFCE">
      <w:pPr>
        <w:pStyle w:val="71"/>
        <w:tabs>
          <w:tab w:val="left" w:pos="1320"/>
        </w:tabs>
        <w:ind w:firstLine="173"/>
        <w:rPr>
          <w:rFonts w:hAnsi="宋体" w:cs="宋体"/>
          <w:b/>
          <w:color w:val="auto"/>
          <w:sz w:val="21"/>
          <w:szCs w:val="21"/>
          <w:highlight w:val="none"/>
        </w:rPr>
      </w:pPr>
    </w:p>
    <w:p w14:paraId="7550D959">
      <w:pPr>
        <w:pStyle w:val="71"/>
        <w:tabs>
          <w:tab w:val="left" w:pos="1320"/>
        </w:tabs>
        <w:ind w:firstLine="173"/>
        <w:rPr>
          <w:rFonts w:hAnsi="宋体" w:cs="宋体"/>
          <w:b/>
          <w:color w:val="auto"/>
          <w:sz w:val="21"/>
          <w:szCs w:val="21"/>
          <w:highlight w:val="none"/>
        </w:rPr>
      </w:pPr>
    </w:p>
    <w:p w14:paraId="6239B583">
      <w:pPr>
        <w:pStyle w:val="71"/>
        <w:tabs>
          <w:tab w:val="left" w:pos="1320"/>
        </w:tabs>
        <w:ind w:firstLine="173"/>
        <w:rPr>
          <w:rFonts w:hAnsi="宋体" w:cs="宋体"/>
          <w:b/>
          <w:color w:val="auto"/>
          <w:sz w:val="21"/>
          <w:szCs w:val="21"/>
          <w:highlight w:val="none"/>
        </w:rPr>
      </w:pPr>
    </w:p>
    <w:p w14:paraId="1494C19C">
      <w:pPr>
        <w:pStyle w:val="71"/>
        <w:tabs>
          <w:tab w:val="left" w:pos="1320"/>
        </w:tabs>
        <w:ind w:firstLine="173"/>
        <w:rPr>
          <w:rFonts w:hAnsi="宋体" w:cs="宋体"/>
          <w:b/>
          <w:color w:val="auto"/>
          <w:sz w:val="21"/>
          <w:szCs w:val="21"/>
          <w:highlight w:val="none"/>
        </w:rPr>
      </w:pPr>
    </w:p>
    <w:p w14:paraId="36EDE294">
      <w:pPr>
        <w:pStyle w:val="71"/>
        <w:tabs>
          <w:tab w:val="left" w:pos="1320"/>
        </w:tabs>
        <w:ind w:firstLine="173"/>
        <w:rPr>
          <w:rFonts w:hAnsi="宋体" w:cs="宋体"/>
          <w:b/>
          <w:color w:val="auto"/>
          <w:sz w:val="21"/>
          <w:szCs w:val="21"/>
          <w:highlight w:val="none"/>
        </w:rPr>
      </w:pPr>
    </w:p>
    <w:p w14:paraId="5BCEF38D">
      <w:pPr>
        <w:pStyle w:val="71"/>
        <w:tabs>
          <w:tab w:val="left" w:pos="1320"/>
        </w:tabs>
        <w:ind w:firstLine="173"/>
        <w:rPr>
          <w:rFonts w:hAnsi="宋体" w:cs="宋体"/>
          <w:b/>
          <w:color w:val="auto"/>
          <w:sz w:val="21"/>
          <w:szCs w:val="21"/>
          <w:highlight w:val="none"/>
        </w:rPr>
      </w:pPr>
    </w:p>
    <w:p w14:paraId="4C154306">
      <w:pPr>
        <w:pStyle w:val="71"/>
        <w:tabs>
          <w:tab w:val="left" w:pos="1320"/>
        </w:tabs>
        <w:ind w:firstLine="173"/>
        <w:rPr>
          <w:rFonts w:hAnsi="宋体" w:cs="宋体"/>
          <w:b/>
          <w:color w:val="auto"/>
          <w:sz w:val="21"/>
          <w:szCs w:val="21"/>
          <w:highlight w:val="none"/>
        </w:rPr>
      </w:pPr>
    </w:p>
    <w:p w14:paraId="33E9F676">
      <w:pPr>
        <w:pStyle w:val="71"/>
        <w:tabs>
          <w:tab w:val="left" w:pos="1320"/>
        </w:tabs>
        <w:ind w:firstLine="173"/>
        <w:rPr>
          <w:rFonts w:hAnsi="宋体" w:cs="宋体"/>
          <w:b/>
          <w:color w:val="auto"/>
          <w:sz w:val="21"/>
          <w:szCs w:val="21"/>
          <w:highlight w:val="none"/>
        </w:rPr>
      </w:pPr>
    </w:p>
    <w:p w14:paraId="29284649">
      <w:pPr>
        <w:pStyle w:val="71"/>
        <w:tabs>
          <w:tab w:val="left" w:pos="1320"/>
        </w:tabs>
        <w:ind w:firstLine="173"/>
        <w:rPr>
          <w:rFonts w:hAnsi="宋体" w:cs="宋体"/>
          <w:b/>
          <w:color w:val="auto"/>
          <w:sz w:val="21"/>
          <w:szCs w:val="21"/>
          <w:highlight w:val="none"/>
        </w:rPr>
      </w:pPr>
    </w:p>
    <w:p w14:paraId="3E84C3D1">
      <w:pPr>
        <w:pStyle w:val="71"/>
        <w:tabs>
          <w:tab w:val="left" w:pos="1320"/>
        </w:tabs>
        <w:ind w:firstLine="173"/>
        <w:rPr>
          <w:rFonts w:hAnsi="宋体" w:cs="宋体"/>
          <w:b/>
          <w:color w:val="auto"/>
          <w:sz w:val="21"/>
          <w:szCs w:val="21"/>
          <w:highlight w:val="none"/>
        </w:rPr>
      </w:pPr>
    </w:p>
    <w:p w14:paraId="72858655">
      <w:pPr>
        <w:pStyle w:val="71"/>
        <w:tabs>
          <w:tab w:val="left" w:pos="1320"/>
        </w:tabs>
        <w:ind w:firstLine="173"/>
        <w:rPr>
          <w:rFonts w:hAnsi="宋体" w:cs="宋体"/>
          <w:b/>
          <w:color w:val="auto"/>
          <w:sz w:val="21"/>
          <w:szCs w:val="21"/>
          <w:highlight w:val="none"/>
        </w:rPr>
      </w:pPr>
    </w:p>
    <w:p w14:paraId="5AB412C2">
      <w:pPr>
        <w:pStyle w:val="71"/>
        <w:tabs>
          <w:tab w:val="left" w:pos="1320"/>
        </w:tabs>
        <w:ind w:firstLine="173"/>
        <w:rPr>
          <w:rFonts w:hAnsi="宋体" w:cs="宋体"/>
          <w:b/>
          <w:color w:val="auto"/>
          <w:sz w:val="21"/>
          <w:szCs w:val="21"/>
          <w:highlight w:val="none"/>
        </w:rPr>
      </w:pPr>
    </w:p>
    <w:p w14:paraId="3DAF4CF9">
      <w:pPr>
        <w:pStyle w:val="71"/>
        <w:tabs>
          <w:tab w:val="left" w:pos="1320"/>
        </w:tabs>
        <w:ind w:firstLine="173"/>
        <w:rPr>
          <w:rFonts w:hAnsi="宋体" w:cs="宋体"/>
          <w:b/>
          <w:color w:val="auto"/>
          <w:sz w:val="21"/>
          <w:szCs w:val="21"/>
          <w:highlight w:val="none"/>
        </w:rPr>
      </w:pPr>
    </w:p>
    <w:p w14:paraId="5E0AF5F9">
      <w:pPr>
        <w:pStyle w:val="71"/>
        <w:tabs>
          <w:tab w:val="left" w:pos="1320"/>
        </w:tabs>
        <w:ind w:firstLine="173"/>
        <w:rPr>
          <w:rFonts w:hAnsi="宋体" w:cs="宋体"/>
          <w:b/>
          <w:color w:val="auto"/>
          <w:sz w:val="21"/>
          <w:szCs w:val="21"/>
          <w:highlight w:val="none"/>
        </w:rPr>
      </w:pPr>
    </w:p>
    <w:p w14:paraId="638A1193">
      <w:pPr>
        <w:pStyle w:val="71"/>
        <w:tabs>
          <w:tab w:val="left" w:pos="1320"/>
        </w:tabs>
        <w:ind w:firstLine="173"/>
        <w:rPr>
          <w:rFonts w:hAnsi="宋体" w:cs="宋体"/>
          <w:b/>
          <w:color w:val="auto"/>
          <w:sz w:val="21"/>
          <w:szCs w:val="21"/>
          <w:highlight w:val="none"/>
        </w:rPr>
      </w:pPr>
    </w:p>
    <w:p w14:paraId="495B4877">
      <w:pPr>
        <w:pStyle w:val="71"/>
        <w:tabs>
          <w:tab w:val="left" w:pos="1320"/>
        </w:tabs>
        <w:ind w:firstLine="173"/>
        <w:rPr>
          <w:rFonts w:hAnsi="宋体" w:cs="宋体"/>
          <w:b/>
          <w:color w:val="auto"/>
          <w:sz w:val="21"/>
          <w:szCs w:val="21"/>
          <w:highlight w:val="none"/>
        </w:rPr>
      </w:pPr>
    </w:p>
    <w:p w14:paraId="08A35FAD">
      <w:pPr>
        <w:pStyle w:val="71"/>
        <w:tabs>
          <w:tab w:val="left" w:pos="1320"/>
        </w:tabs>
        <w:ind w:firstLine="173"/>
        <w:rPr>
          <w:rFonts w:hAnsi="宋体" w:cs="宋体"/>
          <w:b/>
          <w:color w:val="auto"/>
          <w:sz w:val="21"/>
          <w:szCs w:val="21"/>
          <w:highlight w:val="none"/>
        </w:rPr>
      </w:pPr>
    </w:p>
    <w:p w14:paraId="37327C36">
      <w:pPr>
        <w:rPr>
          <w:rFonts w:hAnsi="宋体" w:cs="宋体"/>
          <w:b/>
          <w:color w:val="auto"/>
          <w:sz w:val="21"/>
          <w:szCs w:val="21"/>
          <w:highlight w:val="none"/>
        </w:rPr>
      </w:pPr>
    </w:p>
    <w:p w14:paraId="2E8FE836">
      <w:pPr>
        <w:rPr>
          <w:rFonts w:hAnsi="宋体" w:cs="宋体"/>
          <w:b/>
          <w:color w:val="auto"/>
          <w:sz w:val="21"/>
          <w:szCs w:val="21"/>
          <w:highlight w:val="none"/>
        </w:rPr>
      </w:pPr>
    </w:p>
    <w:p w14:paraId="2296EDDE">
      <w:pPr>
        <w:rPr>
          <w:rFonts w:hAnsi="宋体" w:cs="宋体"/>
          <w:b/>
          <w:color w:val="auto"/>
          <w:sz w:val="21"/>
          <w:szCs w:val="21"/>
          <w:highlight w:val="none"/>
        </w:rPr>
      </w:pPr>
    </w:p>
    <w:p w14:paraId="5AE9EFA5">
      <w:pPr>
        <w:rPr>
          <w:rFonts w:hAnsi="宋体" w:cs="宋体"/>
          <w:b/>
          <w:color w:val="auto"/>
          <w:sz w:val="21"/>
          <w:szCs w:val="21"/>
          <w:highlight w:val="none"/>
        </w:rPr>
      </w:pPr>
    </w:p>
    <w:p w14:paraId="410164CD">
      <w:pPr>
        <w:rPr>
          <w:rFonts w:hAnsi="宋体" w:cs="宋体"/>
          <w:b/>
          <w:color w:val="auto"/>
          <w:sz w:val="21"/>
          <w:szCs w:val="21"/>
          <w:highlight w:val="none"/>
        </w:rPr>
      </w:pPr>
    </w:p>
    <w:p w14:paraId="45946410">
      <w:pPr>
        <w:rPr>
          <w:rFonts w:hAnsi="宋体" w:cs="宋体"/>
          <w:b/>
          <w:color w:val="auto"/>
          <w:sz w:val="21"/>
          <w:szCs w:val="21"/>
          <w:highlight w:val="none"/>
        </w:rPr>
      </w:pPr>
    </w:p>
    <w:p w14:paraId="559C43D2">
      <w:pPr>
        <w:rPr>
          <w:rFonts w:hAnsi="宋体" w:cs="宋体"/>
          <w:b/>
          <w:color w:val="auto"/>
          <w:sz w:val="21"/>
          <w:szCs w:val="21"/>
          <w:highlight w:val="none"/>
        </w:rPr>
      </w:pPr>
    </w:p>
    <w:p w14:paraId="5E26DF47">
      <w:pPr>
        <w:rPr>
          <w:rFonts w:hAnsi="宋体" w:cs="宋体"/>
          <w:b/>
          <w:color w:val="auto"/>
          <w:sz w:val="21"/>
          <w:szCs w:val="21"/>
          <w:highlight w:val="none"/>
        </w:rPr>
      </w:pPr>
    </w:p>
    <w:p w14:paraId="354266F3">
      <w:pPr>
        <w:rPr>
          <w:rFonts w:hAnsi="宋体" w:cs="宋体"/>
          <w:b/>
          <w:color w:val="auto"/>
          <w:sz w:val="21"/>
          <w:szCs w:val="21"/>
          <w:highlight w:val="none"/>
        </w:rPr>
      </w:pPr>
    </w:p>
    <w:p w14:paraId="386876C4">
      <w:pPr>
        <w:rPr>
          <w:rFonts w:hAnsi="宋体" w:cs="宋体"/>
          <w:b/>
          <w:color w:val="auto"/>
          <w:sz w:val="21"/>
          <w:szCs w:val="21"/>
          <w:highlight w:val="none"/>
        </w:rPr>
      </w:pPr>
    </w:p>
    <w:p w14:paraId="1C88E5D5">
      <w:pPr>
        <w:rPr>
          <w:rFonts w:hAnsi="宋体" w:cs="宋体"/>
          <w:b/>
          <w:color w:val="auto"/>
          <w:sz w:val="21"/>
          <w:szCs w:val="21"/>
          <w:highlight w:val="none"/>
        </w:rPr>
      </w:pPr>
    </w:p>
    <w:p w14:paraId="09CB9858">
      <w:pPr>
        <w:spacing w:line="360" w:lineRule="auto"/>
        <w:rPr>
          <w:rFonts w:ascii="宋体" w:hAnsi="宋体" w:cs="宋体"/>
          <w:b/>
          <w:color w:val="auto"/>
          <w:sz w:val="21"/>
          <w:szCs w:val="21"/>
          <w:highlight w:val="none"/>
        </w:rPr>
      </w:pPr>
      <w:r>
        <w:rPr>
          <w:rFonts w:hint="eastAsia" w:ascii="宋体" w:hAnsi="宋体" w:cs="宋体"/>
          <w:b/>
          <w:bCs/>
          <w:color w:val="auto"/>
          <w:sz w:val="21"/>
          <w:szCs w:val="21"/>
          <w:highlight w:val="none"/>
          <w:lang w:val="en-US" w:eastAsia="zh-CN"/>
        </w:rPr>
        <w:t>七</w:t>
      </w:r>
      <w:r>
        <w:rPr>
          <w:rFonts w:hint="eastAsia" w:ascii="宋体" w:hAnsi="宋体" w:cs="宋体"/>
          <w:b/>
          <w:color w:val="auto"/>
          <w:sz w:val="21"/>
          <w:szCs w:val="21"/>
          <w:highlight w:val="none"/>
        </w:rPr>
        <w:t>、服务要求偏离表</w:t>
      </w:r>
    </w:p>
    <w:p w14:paraId="7EAC152B">
      <w:pPr>
        <w:tabs>
          <w:tab w:val="left" w:pos="1320"/>
        </w:tabs>
        <w:spacing w:line="360" w:lineRule="auto"/>
        <w:jc w:val="center"/>
        <w:rPr>
          <w:rFonts w:ascii="宋体" w:hAnsi="宋体" w:cs="宋体"/>
          <w:b/>
          <w:bCs/>
          <w:color w:val="auto"/>
          <w:sz w:val="21"/>
          <w:szCs w:val="21"/>
          <w:highlight w:val="none"/>
        </w:rPr>
      </w:pPr>
    </w:p>
    <w:p w14:paraId="4A1859E7">
      <w:pPr>
        <w:tabs>
          <w:tab w:val="left" w:pos="1320"/>
        </w:tabs>
        <w:spacing w:line="360" w:lineRule="auto"/>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服务要求偏离表</w:t>
      </w:r>
    </w:p>
    <w:tbl>
      <w:tblPr>
        <w:tblStyle w:val="5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356"/>
        <w:gridCol w:w="1796"/>
        <w:gridCol w:w="1796"/>
        <w:gridCol w:w="1840"/>
        <w:gridCol w:w="1902"/>
        <w:gridCol w:w="1278"/>
      </w:tblGrid>
      <w:tr w14:paraId="03B759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56" w:type="dxa"/>
            <w:vAlign w:val="center"/>
          </w:tcPr>
          <w:p w14:paraId="7DCEEA0B">
            <w:pPr>
              <w:spacing w:before="240" w:after="240"/>
              <w:jc w:val="center"/>
              <w:rPr>
                <w:rFonts w:ascii="宋体" w:hAnsi="宋体" w:cs="宋体"/>
                <w:b/>
                <w:color w:val="auto"/>
                <w:sz w:val="21"/>
                <w:szCs w:val="21"/>
                <w:highlight w:val="none"/>
              </w:rPr>
            </w:pPr>
            <w:r>
              <w:rPr>
                <w:rFonts w:hint="eastAsia" w:ascii="宋体" w:hAnsi="宋体" w:cs="宋体"/>
                <w:b/>
                <w:color w:val="auto"/>
                <w:sz w:val="21"/>
                <w:szCs w:val="21"/>
                <w:highlight w:val="none"/>
              </w:rPr>
              <w:t>序号</w:t>
            </w:r>
          </w:p>
        </w:tc>
        <w:tc>
          <w:tcPr>
            <w:tcW w:w="1796" w:type="dxa"/>
            <w:vAlign w:val="center"/>
          </w:tcPr>
          <w:p w14:paraId="757146B2">
            <w:pPr>
              <w:spacing w:before="240" w:after="240"/>
              <w:jc w:val="center"/>
              <w:rPr>
                <w:rFonts w:ascii="宋体" w:hAnsi="宋体" w:cs="宋体"/>
                <w:b/>
                <w:color w:val="auto"/>
                <w:sz w:val="21"/>
                <w:szCs w:val="21"/>
                <w:highlight w:val="none"/>
              </w:rPr>
            </w:pPr>
            <w:r>
              <w:rPr>
                <w:rFonts w:hint="eastAsia" w:ascii="宋体" w:hAnsi="宋体" w:cs="宋体"/>
                <w:b/>
                <w:color w:val="auto"/>
                <w:sz w:val="21"/>
                <w:szCs w:val="21"/>
                <w:highlight w:val="none"/>
              </w:rPr>
              <w:t>采购内容</w:t>
            </w:r>
          </w:p>
        </w:tc>
        <w:tc>
          <w:tcPr>
            <w:tcW w:w="1796" w:type="dxa"/>
            <w:vAlign w:val="center"/>
          </w:tcPr>
          <w:p w14:paraId="532C2524">
            <w:pPr>
              <w:spacing w:before="240" w:after="240"/>
              <w:jc w:val="center"/>
              <w:rPr>
                <w:rFonts w:ascii="宋体" w:hAnsi="宋体" w:cs="宋体"/>
                <w:b/>
                <w:color w:val="auto"/>
                <w:sz w:val="21"/>
                <w:szCs w:val="21"/>
                <w:highlight w:val="none"/>
              </w:rPr>
            </w:pPr>
            <w:r>
              <w:rPr>
                <w:rFonts w:hint="eastAsia" w:ascii="宋体" w:hAnsi="宋体" w:cs="宋体"/>
                <w:b/>
                <w:color w:val="auto"/>
                <w:sz w:val="21"/>
                <w:szCs w:val="21"/>
                <w:highlight w:val="none"/>
              </w:rPr>
              <w:t>采购要求</w:t>
            </w:r>
          </w:p>
        </w:tc>
        <w:tc>
          <w:tcPr>
            <w:tcW w:w="1840" w:type="dxa"/>
            <w:vAlign w:val="center"/>
          </w:tcPr>
          <w:p w14:paraId="5FC65D68">
            <w:pPr>
              <w:spacing w:before="240" w:after="240"/>
              <w:jc w:val="center"/>
              <w:rPr>
                <w:rFonts w:ascii="宋体" w:hAnsi="宋体" w:cs="宋体"/>
                <w:b/>
                <w:color w:val="auto"/>
                <w:sz w:val="21"/>
                <w:szCs w:val="21"/>
                <w:highlight w:val="none"/>
              </w:rPr>
            </w:pPr>
            <w:r>
              <w:rPr>
                <w:rFonts w:hint="eastAsia" w:ascii="宋体" w:hAnsi="宋体" w:cs="宋体"/>
                <w:b/>
                <w:color w:val="auto"/>
                <w:sz w:val="21"/>
                <w:szCs w:val="21"/>
                <w:highlight w:val="none"/>
              </w:rPr>
              <w:t>响应要求</w:t>
            </w:r>
          </w:p>
        </w:tc>
        <w:tc>
          <w:tcPr>
            <w:tcW w:w="1902" w:type="dxa"/>
            <w:vAlign w:val="center"/>
          </w:tcPr>
          <w:p w14:paraId="070E1E3A">
            <w:pPr>
              <w:spacing w:before="240" w:after="240"/>
              <w:jc w:val="center"/>
              <w:rPr>
                <w:rFonts w:ascii="宋体" w:hAnsi="宋体" w:cs="宋体"/>
                <w:b/>
                <w:color w:val="auto"/>
                <w:sz w:val="21"/>
                <w:szCs w:val="21"/>
                <w:highlight w:val="none"/>
              </w:rPr>
            </w:pPr>
            <w:bookmarkStart w:id="83" w:name="OLE_LINK32"/>
            <w:r>
              <w:rPr>
                <w:rFonts w:hint="eastAsia" w:ascii="宋体" w:hAnsi="宋体" w:cs="宋体"/>
                <w:b/>
                <w:color w:val="auto"/>
                <w:sz w:val="21"/>
                <w:szCs w:val="21"/>
                <w:highlight w:val="none"/>
              </w:rPr>
              <w:t>偏离说明</w:t>
            </w:r>
            <w:bookmarkEnd w:id="83"/>
          </w:p>
        </w:tc>
        <w:tc>
          <w:tcPr>
            <w:tcW w:w="1278" w:type="dxa"/>
            <w:vAlign w:val="center"/>
          </w:tcPr>
          <w:p w14:paraId="698C3DB9">
            <w:pPr>
              <w:spacing w:before="240" w:after="240"/>
              <w:jc w:val="center"/>
              <w:rPr>
                <w:rFonts w:ascii="宋体" w:hAnsi="宋体" w:cs="宋体"/>
                <w:b/>
                <w:color w:val="auto"/>
                <w:sz w:val="21"/>
                <w:szCs w:val="21"/>
                <w:highlight w:val="none"/>
              </w:rPr>
            </w:pPr>
            <w:r>
              <w:rPr>
                <w:rFonts w:hint="eastAsia" w:ascii="宋体" w:hAnsi="宋体" w:cs="宋体"/>
                <w:b/>
                <w:color w:val="auto"/>
                <w:sz w:val="21"/>
                <w:szCs w:val="21"/>
                <w:highlight w:val="none"/>
              </w:rPr>
              <w:t>备注</w:t>
            </w:r>
          </w:p>
        </w:tc>
      </w:tr>
      <w:tr w14:paraId="244849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56" w:type="dxa"/>
            <w:vAlign w:val="center"/>
          </w:tcPr>
          <w:p w14:paraId="27F7E8A7">
            <w:pPr>
              <w:spacing w:before="240" w:after="240"/>
              <w:rPr>
                <w:rFonts w:ascii="宋体" w:hAnsi="宋体" w:cs="宋体"/>
                <w:color w:val="auto"/>
                <w:sz w:val="21"/>
                <w:szCs w:val="21"/>
                <w:highlight w:val="none"/>
              </w:rPr>
            </w:pPr>
          </w:p>
        </w:tc>
        <w:tc>
          <w:tcPr>
            <w:tcW w:w="1796" w:type="dxa"/>
            <w:vAlign w:val="center"/>
          </w:tcPr>
          <w:p w14:paraId="1185BDC9">
            <w:pPr>
              <w:spacing w:before="240" w:after="240"/>
              <w:rPr>
                <w:rFonts w:ascii="宋体" w:hAnsi="宋体" w:cs="宋体"/>
                <w:color w:val="auto"/>
                <w:sz w:val="21"/>
                <w:szCs w:val="21"/>
                <w:highlight w:val="none"/>
              </w:rPr>
            </w:pPr>
          </w:p>
        </w:tc>
        <w:tc>
          <w:tcPr>
            <w:tcW w:w="1796" w:type="dxa"/>
            <w:vAlign w:val="center"/>
          </w:tcPr>
          <w:p w14:paraId="4ACF0C59">
            <w:pPr>
              <w:spacing w:before="240" w:after="240"/>
              <w:rPr>
                <w:rFonts w:ascii="宋体" w:hAnsi="宋体" w:cs="宋体"/>
                <w:color w:val="auto"/>
                <w:sz w:val="21"/>
                <w:szCs w:val="21"/>
                <w:highlight w:val="none"/>
              </w:rPr>
            </w:pPr>
          </w:p>
        </w:tc>
        <w:tc>
          <w:tcPr>
            <w:tcW w:w="1840" w:type="dxa"/>
            <w:vAlign w:val="center"/>
          </w:tcPr>
          <w:p w14:paraId="4EA4009B">
            <w:pPr>
              <w:spacing w:before="240" w:after="240"/>
              <w:rPr>
                <w:rFonts w:ascii="宋体" w:hAnsi="宋体" w:cs="宋体"/>
                <w:color w:val="auto"/>
                <w:sz w:val="21"/>
                <w:szCs w:val="21"/>
                <w:highlight w:val="none"/>
              </w:rPr>
            </w:pPr>
          </w:p>
        </w:tc>
        <w:tc>
          <w:tcPr>
            <w:tcW w:w="1902" w:type="dxa"/>
            <w:vAlign w:val="center"/>
          </w:tcPr>
          <w:p w14:paraId="3ACDA063">
            <w:pPr>
              <w:spacing w:before="240" w:after="240"/>
              <w:rPr>
                <w:rFonts w:ascii="宋体" w:hAnsi="宋体" w:cs="宋体"/>
                <w:color w:val="auto"/>
                <w:sz w:val="21"/>
                <w:szCs w:val="21"/>
                <w:highlight w:val="none"/>
              </w:rPr>
            </w:pPr>
          </w:p>
        </w:tc>
        <w:tc>
          <w:tcPr>
            <w:tcW w:w="1278" w:type="dxa"/>
            <w:vAlign w:val="center"/>
          </w:tcPr>
          <w:p w14:paraId="1B7333F5">
            <w:pPr>
              <w:spacing w:before="240" w:after="240"/>
              <w:rPr>
                <w:rFonts w:ascii="宋体" w:hAnsi="宋体" w:cs="宋体"/>
                <w:color w:val="auto"/>
                <w:sz w:val="21"/>
                <w:szCs w:val="21"/>
                <w:highlight w:val="none"/>
              </w:rPr>
            </w:pPr>
          </w:p>
        </w:tc>
      </w:tr>
      <w:tr w14:paraId="35E111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56" w:type="dxa"/>
            <w:vAlign w:val="center"/>
          </w:tcPr>
          <w:p w14:paraId="0427A6E4">
            <w:pPr>
              <w:spacing w:before="240" w:after="240"/>
              <w:rPr>
                <w:rFonts w:ascii="宋体" w:hAnsi="宋体" w:cs="宋体"/>
                <w:color w:val="auto"/>
                <w:sz w:val="21"/>
                <w:szCs w:val="21"/>
                <w:highlight w:val="none"/>
              </w:rPr>
            </w:pPr>
          </w:p>
        </w:tc>
        <w:tc>
          <w:tcPr>
            <w:tcW w:w="1796" w:type="dxa"/>
            <w:vAlign w:val="center"/>
          </w:tcPr>
          <w:p w14:paraId="47FBB797">
            <w:pPr>
              <w:spacing w:before="240" w:after="240"/>
              <w:rPr>
                <w:rFonts w:ascii="宋体" w:hAnsi="宋体" w:cs="宋体"/>
                <w:color w:val="auto"/>
                <w:sz w:val="21"/>
                <w:szCs w:val="21"/>
                <w:highlight w:val="none"/>
              </w:rPr>
            </w:pPr>
          </w:p>
        </w:tc>
        <w:tc>
          <w:tcPr>
            <w:tcW w:w="1796" w:type="dxa"/>
            <w:vAlign w:val="center"/>
          </w:tcPr>
          <w:p w14:paraId="152B43CD">
            <w:pPr>
              <w:spacing w:before="240" w:after="240"/>
              <w:rPr>
                <w:rFonts w:ascii="宋体" w:hAnsi="宋体" w:cs="宋体"/>
                <w:color w:val="auto"/>
                <w:sz w:val="21"/>
                <w:szCs w:val="21"/>
                <w:highlight w:val="none"/>
              </w:rPr>
            </w:pPr>
          </w:p>
        </w:tc>
        <w:tc>
          <w:tcPr>
            <w:tcW w:w="1840" w:type="dxa"/>
            <w:vAlign w:val="center"/>
          </w:tcPr>
          <w:p w14:paraId="15620EC6">
            <w:pPr>
              <w:spacing w:before="240" w:after="240"/>
              <w:rPr>
                <w:rFonts w:ascii="宋体" w:hAnsi="宋体" w:cs="宋体"/>
                <w:color w:val="auto"/>
                <w:sz w:val="21"/>
                <w:szCs w:val="21"/>
                <w:highlight w:val="none"/>
              </w:rPr>
            </w:pPr>
          </w:p>
        </w:tc>
        <w:tc>
          <w:tcPr>
            <w:tcW w:w="1902" w:type="dxa"/>
            <w:vAlign w:val="center"/>
          </w:tcPr>
          <w:p w14:paraId="12D6D039">
            <w:pPr>
              <w:spacing w:before="240" w:after="240"/>
              <w:rPr>
                <w:rFonts w:ascii="宋体" w:hAnsi="宋体" w:cs="宋体"/>
                <w:color w:val="auto"/>
                <w:sz w:val="21"/>
                <w:szCs w:val="21"/>
                <w:highlight w:val="none"/>
              </w:rPr>
            </w:pPr>
          </w:p>
        </w:tc>
        <w:tc>
          <w:tcPr>
            <w:tcW w:w="1278" w:type="dxa"/>
            <w:vAlign w:val="center"/>
          </w:tcPr>
          <w:p w14:paraId="49738647">
            <w:pPr>
              <w:spacing w:before="240" w:after="240"/>
              <w:rPr>
                <w:rFonts w:ascii="宋体" w:hAnsi="宋体" w:cs="宋体"/>
                <w:color w:val="auto"/>
                <w:sz w:val="21"/>
                <w:szCs w:val="21"/>
                <w:highlight w:val="none"/>
              </w:rPr>
            </w:pPr>
          </w:p>
        </w:tc>
      </w:tr>
      <w:tr w14:paraId="77A448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56" w:type="dxa"/>
            <w:vAlign w:val="center"/>
          </w:tcPr>
          <w:p w14:paraId="44BADEF5">
            <w:pPr>
              <w:spacing w:before="240" w:after="240"/>
              <w:rPr>
                <w:rFonts w:ascii="宋体" w:hAnsi="宋体" w:cs="宋体"/>
                <w:color w:val="auto"/>
                <w:sz w:val="21"/>
                <w:szCs w:val="21"/>
                <w:highlight w:val="none"/>
              </w:rPr>
            </w:pPr>
          </w:p>
        </w:tc>
        <w:tc>
          <w:tcPr>
            <w:tcW w:w="1796" w:type="dxa"/>
            <w:vAlign w:val="center"/>
          </w:tcPr>
          <w:p w14:paraId="568422FE">
            <w:pPr>
              <w:spacing w:before="240" w:after="240"/>
              <w:rPr>
                <w:rFonts w:ascii="宋体" w:hAnsi="宋体" w:cs="宋体"/>
                <w:color w:val="auto"/>
                <w:sz w:val="21"/>
                <w:szCs w:val="21"/>
                <w:highlight w:val="none"/>
              </w:rPr>
            </w:pPr>
          </w:p>
        </w:tc>
        <w:tc>
          <w:tcPr>
            <w:tcW w:w="1796" w:type="dxa"/>
            <w:vAlign w:val="center"/>
          </w:tcPr>
          <w:p w14:paraId="214C6EF0">
            <w:pPr>
              <w:spacing w:before="240" w:after="240"/>
              <w:rPr>
                <w:rFonts w:ascii="宋体" w:hAnsi="宋体" w:cs="宋体"/>
                <w:color w:val="auto"/>
                <w:sz w:val="21"/>
                <w:szCs w:val="21"/>
                <w:highlight w:val="none"/>
              </w:rPr>
            </w:pPr>
          </w:p>
        </w:tc>
        <w:tc>
          <w:tcPr>
            <w:tcW w:w="1840" w:type="dxa"/>
            <w:vAlign w:val="center"/>
          </w:tcPr>
          <w:p w14:paraId="7864A027">
            <w:pPr>
              <w:spacing w:before="240" w:after="240"/>
              <w:rPr>
                <w:rFonts w:ascii="宋体" w:hAnsi="宋体" w:cs="宋体"/>
                <w:color w:val="auto"/>
                <w:sz w:val="21"/>
                <w:szCs w:val="21"/>
                <w:highlight w:val="none"/>
              </w:rPr>
            </w:pPr>
          </w:p>
        </w:tc>
        <w:tc>
          <w:tcPr>
            <w:tcW w:w="1902" w:type="dxa"/>
            <w:vAlign w:val="center"/>
          </w:tcPr>
          <w:p w14:paraId="2DB668F0">
            <w:pPr>
              <w:spacing w:before="240" w:after="240"/>
              <w:rPr>
                <w:rFonts w:ascii="宋体" w:hAnsi="宋体" w:cs="宋体"/>
                <w:color w:val="auto"/>
                <w:sz w:val="21"/>
                <w:szCs w:val="21"/>
                <w:highlight w:val="none"/>
              </w:rPr>
            </w:pPr>
          </w:p>
        </w:tc>
        <w:tc>
          <w:tcPr>
            <w:tcW w:w="1278" w:type="dxa"/>
            <w:vAlign w:val="center"/>
          </w:tcPr>
          <w:p w14:paraId="6FF54EEB">
            <w:pPr>
              <w:spacing w:before="240" w:after="240"/>
              <w:rPr>
                <w:rFonts w:ascii="宋体" w:hAnsi="宋体" w:cs="宋体"/>
                <w:color w:val="auto"/>
                <w:sz w:val="21"/>
                <w:szCs w:val="21"/>
                <w:highlight w:val="none"/>
              </w:rPr>
            </w:pPr>
          </w:p>
        </w:tc>
      </w:tr>
      <w:tr w14:paraId="6F2A6F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56" w:type="dxa"/>
            <w:vAlign w:val="center"/>
          </w:tcPr>
          <w:p w14:paraId="3362D8A5">
            <w:pPr>
              <w:spacing w:before="240" w:after="240"/>
              <w:rPr>
                <w:rFonts w:ascii="宋体" w:hAnsi="宋体" w:cs="宋体"/>
                <w:color w:val="auto"/>
                <w:sz w:val="21"/>
                <w:szCs w:val="21"/>
                <w:highlight w:val="none"/>
              </w:rPr>
            </w:pPr>
          </w:p>
        </w:tc>
        <w:tc>
          <w:tcPr>
            <w:tcW w:w="1796" w:type="dxa"/>
            <w:vAlign w:val="center"/>
          </w:tcPr>
          <w:p w14:paraId="19F6DBBA">
            <w:pPr>
              <w:spacing w:before="240" w:after="240"/>
              <w:rPr>
                <w:rFonts w:ascii="宋体" w:hAnsi="宋体" w:cs="宋体"/>
                <w:color w:val="auto"/>
                <w:sz w:val="21"/>
                <w:szCs w:val="21"/>
                <w:highlight w:val="none"/>
              </w:rPr>
            </w:pPr>
          </w:p>
        </w:tc>
        <w:tc>
          <w:tcPr>
            <w:tcW w:w="1796" w:type="dxa"/>
            <w:vAlign w:val="center"/>
          </w:tcPr>
          <w:p w14:paraId="5EDEEE72">
            <w:pPr>
              <w:spacing w:before="240" w:after="240"/>
              <w:rPr>
                <w:rFonts w:ascii="宋体" w:hAnsi="宋体" w:cs="宋体"/>
                <w:color w:val="auto"/>
                <w:sz w:val="21"/>
                <w:szCs w:val="21"/>
                <w:highlight w:val="none"/>
              </w:rPr>
            </w:pPr>
          </w:p>
        </w:tc>
        <w:tc>
          <w:tcPr>
            <w:tcW w:w="1840" w:type="dxa"/>
            <w:vAlign w:val="center"/>
          </w:tcPr>
          <w:p w14:paraId="4C0C470F">
            <w:pPr>
              <w:spacing w:before="240" w:after="240"/>
              <w:rPr>
                <w:rFonts w:ascii="宋体" w:hAnsi="宋体" w:cs="宋体"/>
                <w:color w:val="auto"/>
                <w:sz w:val="21"/>
                <w:szCs w:val="21"/>
                <w:highlight w:val="none"/>
              </w:rPr>
            </w:pPr>
          </w:p>
        </w:tc>
        <w:tc>
          <w:tcPr>
            <w:tcW w:w="1902" w:type="dxa"/>
            <w:vAlign w:val="center"/>
          </w:tcPr>
          <w:p w14:paraId="06B2145D">
            <w:pPr>
              <w:spacing w:before="240" w:after="240"/>
              <w:rPr>
                <w:rFonts w:ascii="宋体" w:hAnsi="宋体" w:cs="宋体"/>
                <w:color w:val="auto"/>
                <w:sz w:val="21"/>
                <w:szCs w:val="21"/>
                <w:highlight w:val="none"/>
              </w:rPr>
            </w:pPr>
          </w:p>
        </w:tc>
        <w:tc>
          <w:tcPr>
            <w:tcW w:w="1278" w:type="dxa"/>
            <w:vAlign w:val="center"/>
          </w:tcPr>
          <w:p w14:paraId="7E0B6ABD">
            <w:pPr>
              <w:spacing w:before="240" w:after="240"/>
              <w:rPr>
                <w:rFonts w:ascii="宋体" w:hAnsi="宋体" w:cs="宋体"/>
                <w:color w:val="auto"/>
                <w:sz w:val="21"/>
                <w:szCs w:val="21"/>
                <w:highlight w:val="none"/>
              </w:rPr>
            </w:pPr>
          </w:p>
        </w:tc>
      </w:tr>
      <w:tr w14:paraId="3D1BC6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56" w:type="dxa"/>
            <w:vAlign w:val="center"/>
          </w:tcPr>
          <w:p w14:paraId="76E076CA">
            <w:pPr>
              <w:spacing w:before="240" w:after="240"/>
              <w:rPr>
                <w:rFonts w:ascii="宋体" w:hAnsi="宋体" w:cs="宋体"/>
                <w:color w:val="auto"/>
                <w:sz w:val="21"/>
                <w:szCs w:val="21"/>
                <w:highlight w:val="none"/>
              </w:rPr>
            </w:pPr>
          </w:p>
        </w:tc>
        <w:tc>
          <w:tcPr>
            <w:tcW w:w="1796" w:type="dxa"/>
            <w:vAlign w:val="center"/>
          </w:tcPr>
          <w:p w14:paraId="3D45C771">
            <w:pPr>
              <w:spacing w:before="240" w:after="240"/>
              <w:rPr>
                <w:rFonts w:ascii="宋体" w:hAnsi="宋体" w:cs="宋体"/>
                <w:color w:val="auto"/>
                <w:sz w:val="21"/>
                <w:szCs w:val="21"/>
                <w:highlight w:val="none"/>
              </w:rPr>
            </w:pPr>
          </w:p>
        </w:tc>
        <w:tc>
          <w:tcPr>
            <w:tcW w:w="1796" w:type="dxa"/>
            <w:vAlign w:val="center"/>
          </w:tcPr>
          <w:p w14:paraId="3BA04DA6">
            <w:pPr>
              <w:spacing w:before="240" w:after="240"/>
              <w:rPr>
                <w:rFonts w:ascii="宋体" w:hAnsi="宋体" w:cs="宋体"/>
                <w:color w:val="auto"/>
                <w:sz w:val="21"/>
                <w:szCs w:val="21"/>
                <w:highlight w:val="none"/>
              </w:rPr>
            </w:pPr>
          </w:p>
        </w:tc>
        <w:tc>
          <w:tcPr>
            <w:tcW w:w="1840" w:type="dxa"/>
            <w:vAlign w:val="center"/>
          </w:tcPr>
          <w:p w14:paraId="0D867E01">
            <w:pPr>
              <w:spacing w:before="240" w:after="240"/>
              <w:rPr>
                <w:rFonts w:ascii="宋体" w:hAnsi="宋体" w:cs="宋体"/>
                <w:color w:val="auto"/>
                <w:sz w:val="21"/>
                <w:szCs w:val="21"/>
                <w:highlight w:val="none"/>
              </w:rPr>
            </w:pPr>
          </w:p>
        </w:tc>
        <w:tc>
          <w:tcPr>
            <w:tcW w:w="1902" w:type="dxa"/>
            <w:vAlign w:val="center"/>
          </w:tcPr>
          <w:p w14:paraId="6C92B04B">
            <w:pPr>
              <w:spacing w:before="240" w:after="240"/>
              <w:rPr>
                <w:rFonts w:ascii="宋体" w:hAnsi="宋体" w:cs="宋体"/>
                <w:color w:val="auto"/>
                <w:sz w:val="21"/>
                <w:szCs w:val="21"/>
                <w:highlight w:val="none"/>
              </w:rPr>
            </w:pPr>
          </w:p>
        </w:tc>
        <w:tc>
          <w:tcPr>
            <w:tcW w:w="1278" w:type="dxa"/>
            <w:vAlign w:val="center"/>
          </w:tcPr>
          <w:p w14:paraId="3317C5FC">
            <w:pPr>
              <w:spacing w:before="240" w:after="240"/>
              <w:rPr>
                <w:rFonts w:ascii="宋体" w:hAnsi="宋体" w:cs="宋体"/>
                <w:color w:val="auto"/>
                <w:sz w:val="21"/>
                <w:szCs w:val="21"/>
                <w:highlight w:val="none"/>
              </w:rPr>
            </w:pPr>
          </w:p>
        </w:tc>
      </w:tr>
      <w:tr w14:paraId="37A8B4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56" w:type="dxa"/>
            <w:vAlign w:val="center"/>
          </w:tcPr>
          <w:p w14:paraId="7211D40A">
            <w:pPr>
              <w:spacing w:before="240" w:after="240"/>
              <w:rPr>
                <w:rFonts w:ascii="宋体" w:hAnsi="宋体" w:cs="宋体"/>
                <w:color w:val="auto"/>
                <w:sz w:val="21"/>
                <w:szCs w:val="21"/>
                <w:highlight w:val="none"/>
              </w:rPr>
            </w:pPr>
          </w:p>
        </w:tc>
        <w:tc>
          <w:tcPr>
            <w:tcW w:w="1796" w:type="dxa"/>
            <w:vAlign w:val="center"/>
          </w:tcPr>
          <w:p w14:paraId="5FB79E42">
            <w:pPr>
              <w:spacing w:before="240" w:after="240"/>
              <w:rPr>
                <w:rFonts w:ascii="宋体" w:hAnsi="宋体" w:cs="宋体"/>
                <w:color w:val="auto"/>
                <w:sz w:val="21"/>
                <w:szCs w:val="21"/>
                <w:highlight w:val="none"/>
              </w:rPr>
            </w:pPr>
          </w:p>
        </w:tc>
        <w:tc>
          <w:tcPr>
            <w:tcW w:w="1796" w:type="dxa"/>
            <w:vAlign w:val="center"/>
          </w:tcPr>
          <w:p w14:paraId="22E95A66">
            <w:pPr>
              <w:spacing w:before="240" w:after="240"/>
              <w:rPr>
                <w:rFonts w:ascii="宋体" w:hAnsi="宋体" w:cs="宋体"/>
                <w:color w:val="auto"/>
                <w:sz w:val="21"/>
                <w:szCs w:val="21"/>
                <w:highlight w:val="none"/>
              </w:rPr>
            </w:pPr>
          </w:p>
        </w:tc>
        <w:tc>
          <w:tcPr>
            <w:tcW w:w="1840" w:type="dxa"/>
            <w:vAlign w:val="center"/>
          </w:tcPr>
          <w:p w14:paraId="54491D23">
            <w:pPr>
              <w:spacing w:before="240" w:after="240"/>
              <w:rPr>
                <w:rFonts w:ascii="宋体" w:hAnsi="宋体" w:cs="宋体"/>
                <w:color w:val="auto"/>
                <w:sz w:val="21"/>
                <w:szCs w:val="21"/>
                <w:highlight w:val="none"/>
              </w:rPr>
            </w:pPr>
          </w:p>
        </w:tc>
        <w:tc>
          <w:tcPr>
            <w:tcW w:w="1902" w:type="dxa"/>
            <w:vAlign w:val="center"/>
          </w:tcPr>
          <w:p w14:paraId="01794E1F">
            <w:pPr>
              <w:spacing w:before="240" w:after="240"/>
              <w:rPr>
                <w:rFonts w:ascii="宋体" w:hAnsi="宋体" w:cs="宋体"/>
                <w:color w:val="auto"/>
                <w:sz w:val="21"/>
                <w:szCs w:val="21"/>
                <w:highlight w:val="none"/>
              </w:rPr>
            </w:pPr>
          </w:p>
        </w:tc>
        <w:tc>
          <w:tcPr>
            <w:tcW w:w="1278" w:type="dxa"/>
            <w:vAlign w:val="center"/>
          </w:tcPr>
          <w:p w14:paraId="6213DE42">
            <w:pPr>
              <w:spacing w:before="240" w:after="240"/>
              <w:rPr>
                <w:rFonts w:ascii="宋体" w:hAnsi="宋体" w:cs="宋体"/>
                <w:color w:val="auto"/>
                <w:sz w:val="21"/>
                <w:szCs w:val="21"/>
                <w:highlight w:val="none"/>
              </w:rPr>
            </w:pPr>
          </w:p>
        </w:tc>
      </w:tr>
    </w:tbl>
    <w:p w14:paraId="0E4EE4BB">
      <w:pPr>
        <w:spacing w:line="360" w:lineRule="auto"/>
        <w:ind w:firstLine="628"/>
        <w:rPr>
          <w:rFonts w:ascii="宋体" w:hAnsi="宋体" w:cs="宋体"/>
          <w:b/>
          <w:color w:val="auto"/>
          <w:sz w:val="21"/>
          <w:szCs w:val="21"/>
          <w:highlight w:val="none"/>
        </w:rPr>
      </w:pPr>
      <w:r>
        <w:rPr>
          <w:rFonts w:hint="eastAsia" w:ascii="宋体" w:hAnsi="宋体" w:cs="宋体"/>
          <w:b/>
          <w:color w:val="auto"/>
          <w:sz w:val="21"/>
          <w:szCs w:val="21"/>
          <w:highlight w:val="none"/>
        </w:rPr>
        <w:t>注：1.投标人应对照招标文件中的服务要求，投标文件与招标文件的规定有偏离的，应在此表中申明与招标要求条文的偏差和例外。偏离说明一栏，根据实际响应情况，填写“响应”、“正偏离”、“负偏离”。备注栏中针对“正偏离”或“负偏离”的情况进行详细的描述。</w:t>
      </w:r>
    </w:p>
    <w:p w14:paraId="5CA7C16B">
      <w:pPr>
        <w:spacing w:line="360" w:lineRule="auto"/>
        <w:ind w:firstLine="970" w:firstLineChars="460"/>
        <w:rPr>
          <w:rFonts w:ascii="宋体" w:hAnsi="宋体" w:cs="宋体"/>
          <w:b/>
          <w:color w:val="auto"/>
          <w:sz w:val="21"/>
          <w:szCs w:val="21"/>
          <w:highlight w:val="none"/>
        </w:rPr>
      </w:pPr>
      <w:r>
        <w:rPr>
          <w:rFonts w:hint="eastAsia" w:ascii="宋体" w:hAnsi="宋体" w:cs="宋体"/>
          <w:b/>
          <w:color w:val="auto"/>
          <w:sz w:val="21"/>
          <w:szCs w:val="21"/>
          <w:highlight w:val="none"/>
        </w:rPr>
        <w:t>2.未在上表中说明偏离情况的，将被认为完全响应招标文件的规定。</w:t>
      </w:r>
    </w:p>
    <w:p w14:paraId="46C06D74">
      <w:pPr>
        <w:spacing w:line="360" w:lineRule="auto"/>
        <w:ind w:firstLine="970" w:firstLineChars="460"/>
        <w:rPr>
          <w:rFonts w:ascii="宋体" w:hAnsi="宋体" w:cs="宋体"/>
          <w:color w:val="auto"/>
          <w:sz w:val="21"/>
          <w:szCs w:val="21"/>
          <w:highlight w:val="none"/>
        </w:rPr>
      </w:pPr>
      <w:r>
        <w:rPr>
          <w:rFonts w:hint="eastAsia" w:ascii="宋体" w:hAnsi="宋体" w:cs="宋体"/>
          <w:b/>
          <w:color w:val="auto"/>
          <w:sz w:val="21"/>
          <w:szCs w:val="21"/>
          <w:highlight w:val="none"/>
        </w:rPr>
        <w:t>3.该表不作为投标人关于服务要求等详细描述和说明的替代。</w:t>
      </w:r>
    </w:p>
    <w:p w14:paraId="34004894">
      <w:pPr>
        <w:spacing w:line="360" w:lineRule="auto"/>
        <w:ind w:firstLine="210"/>
        <w:rPr>
          <w:rFonts w:ascii="宋体" w:hAnsi="宋体" w:cs="宋体"/>
          <w:color w:val="auto"/>
          <w:sz w:val="21"/>
          <w:szCs w:val="21"/>
          <w:highlight w:val="none"/>
        </w:rPr>
      </w:pPr>
    </w:p>
    <w:p w14:paraId="323FAFB2">
      <w:pPr>
        <w:pStyle w:val="12"/>
        <w:spacing w:line="360" w:lineRule="auto"/>
        <w:rPr>
          <w:rFonts w:ascii="宋体" w:hAnsi="宋体" w:cs="宋体"/>
          <w:color w:val="auto"/>
          <w:szCs w:val="21"/>
          <w:highlight w:val="none"/>
        </w:rPr>
      </w:pPr>
      <w:r>
        <w:rPr>
          <w:rFonts w:hint="eastAsia" w:ascii="宋体" w:hAnsi="宋体" w:cs="宋体"/>
          <w:color w:val="auto"/>
          <w:szCs w:val="21"/>
          <w:highlight w:val="none"/>
        </w:rPr>
        <w:t>投标人：（加盖CA电子公章）</w:t>
      </w:r>
    </w:p>
    <w:p w14:paraId="429A2CE9">
      <w:pPr>
        <w:pStyle w:val="12"/>
        <w:spacing w:line="360" w:lineRule="auto"/>
        <w:rPr>
          <w:rFonts w:ascii="宋体" w:hAnsi="宋体" w:cs="宋体"/>
          <w:color w:val="auto"/>
          <w:szCs w:val="21"/>
          <w:highlight w:val="none"/>
        </w:rPr>
      </w:pPr>
      <w:r>
        <w:rPr>
          <w:rFonts w:hint="eastAsia" w:ascii="宋体" w:hAnsi="宋体" w:cs="宋体"/>
          <w:color w:val="auto"/>
          <w:szCs w:val="21"/>
          <w:highlight w:val="none"/>
        </w:rPr>
        <w:t>日期：         年     月    日</w:t>
      </w:r>
    </w:p>
    <w:p w14:paraId="080ABA03">
      <w:pPr>
        <w:pStyle w:val="281"/>
        <w:ind w:firstLine="422"/>
        <w:rPr>
          <w:rFonts w:ascii="宋体" w:hAnsi="宋体" w:cs="宋体"/>
          <w:b/>
          <w:color w:val="auto"/>
          <w:sz w:val="21"/>
          <w:szCs w:val="21"/>
          <w:highlight w:val="none"/>
        </w:rPr>
      </w:pPr>
    </w:p>
    <w:p w14:paraId="1023DF00">
      <w:pPr>
        <w:pStyle w:val="281"/>
        <w:ind w:firstLine="420"/>
        <w:rPr>
          <w:rFonts w:ascii="宋体" w:hAnsi="宋体" w:cs="宋体"/>
          <w:color w:val="auto"/>
          <w:sz w:val="21"/>
          <w:szCs w:val="21"/>
          <w:highlight w:val="none"/>
        </w:rPr>
      </w:pPr>
    </w:p>
    <w:p w14:paraId="49AF5F51">
      <w:pPr>
        <w:pStyle w:val="281"/>
        <w:ind w:firstLine="0"/>
        <w:rPr>
          <w:rFonts w:ascii="宋体" w:hAnsi="宋体" w:cs="宋体"/>
          <w:b/>
          <w:color w:val="auto"/>
          <w:sz w:val="21"/>
          <w:szCs w:val="21"/>
          <w:highlight w:val="none"/>
        </w:rPr>
      </w:pPr>
      <w:r>
        <w:rPr>
          <w:rFonts w:hint="eastAsia" w:ascii="宋体" w:hAnsi="宋体" w:cs="宋体"/>
          <w:color w:val="auto"/>
          <w:highlight w:val="none"/>
        </w:rPr>
        <w:br w:type="page" w:clear="all"/>
      </w:r>
      <w:r>
        <w:rPr>
          <w:rFonts w:hint="eastAsia" w:ascii="宋体" w:hAnsi="宋体" w:cs="宋体"/>
          <w:b/>
          <w:bCs/>
          <w:color w:val="auto"/>
          <w:sz w:val="21"/>
          <w:szCs w:val="21"/>
          <w:highlight w:val="none"/>
          <w:lang w:val="en-US" w:eastAsia="zh-CN"/>
        </w:rPr>
        <w:t>八</w:t>
      </w:r>
      <w:r>
        <w:rPr>
          <w:rFonts w:hint="eastAsia" w:ascii="宋体" w:hAnsi="宋体" w:cs="宋体"/>
          <w:b/>
          <w:color w:val="auto"/>
          <w:sz w:val="21"/>
          <w:szCs w:val="21"/>
          <w:highlight w:val="none"/>
        </w:rPr>
        <w:t>、商务条款偏离表</w:t>
      </w:r>
    </w:p>
    <w:p w14:paraId="651ADA67">
      <w:pPr>
        <w:pStyle w:val="12"/>
        <w:spacing w:line="360" w:lineRule="auto"/>
        <w:ind w:firstLine="0"/>
        <w:jc w:val="center"/>
        <w:rPr>
          <w:rFonts w:ascii="宋体" w:hAnsi="宋体" w:cs="宋体"/>
          <w:b/>
          <w:color w:val="auto"/>
          <w:szCs w:val="21"/>
          <w:highlight w:val="none"/>
        </w:rPr>
      </w:pPr>
    </w:p>
    <w:p w14:paraId="2B791896">
      <w:pPr>
        <w:pStyle w:val="12"/>
        <w:spacing w:line="360" w:lineRule="auto"/>
        <w:ind w:firstLine="0"/>
        <w:jc w:val="center"/>
        <w:rPr>
          <w:rFonts w:ascii="宋体" w:hAnsi="宋体" w:cs="宋体"/>
          <w:b/>
          <w:color w:val="auto"/>
          <w:szCs w:val="21"/>
          <w:highlight w:val="none"/>
        </w:rPr>
      </w:pPr>
      <w:r>
        <w:rPr>
          <w:rFonts w:hint="eastAsia" w:ascii="宋体" w:hAnsi="宋体" w:cs="宋体"/>
          <w:b/>
          <w:color w:val="auto"/>
          <w:szCs w:val="21"/>
          <w:highlight w:val="none"/>
        </w:rPr>
        <w:t>商务条款偏离表</w:t>
      </w:r>
    </w:p>
    <w:tbl>
      <w:tblPr>
        <w:tblStyle w:val="5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27"/>
        <w:gridCol w:w="1820"/>
        <w:gridCol w:w="2400"/>
        <w:gridCol w:w="2210"/>
        <w:gridCol w:w="1067"/>
        <w:gridCol w:w="1067"/>
      </w:tblGrid>
      <w:tr w14:paraId="754869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27" w:type="dxa"/>
            <w:vAlign w:val="center"/>
          </w:tcPr>
          <w:p w14:paraId="506B4B17">
            <w:pPr>
              <w:spacing w:before="240" w:after="240"/>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序号</w:t>
            </w:r>
          </w:p>
        </w:tc>
        <w:tc>
          <w:tcPr>
            <w:tcW w:w="1820" w:type="dxa"/>
            <w:vAlign w:val="center"/>
          </w:tcPr>
          <w:p w14:paraId="60C5ED83">
            <w:pPr>
              <w:spacing w:before="240" w:after="240"/>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招标文件条目号</w:t>
            </w:r>
          </w:p>
        </w:tc>
        <w:tc>
          <w:tcPr>
            <w:tcW w:w="2400" w:type="dxa"/>
            <w:vAlign w:val="center"/>
          </w:tcPr>
          <w:p w14:paraId="1ACFF09B">
            <w:pPr>
              <w:spacing w:before="240" w:after="240"/>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招标文件的商务条款</w:t>
            </w:r>
          </w:p>
        </w:tc>
        <w:tc>
          <w:tcPr>
            <w:tcW w:w="2210" w:type="dxa"/>
            <w:vAlign w:val="center"/>
          </w:tcPr>
          <w:p w14:paraId="5E9E03F8">
            <w:pPr>
              <w:spacing w:before="240" w:after="240"/>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投标文件的商务条款</w:t>
            </w:r>
          </w:p>
        </w:tc>
        <w:tc>
          <w:tcPr>
            <w:tcW w:w="1067" w:type="dxa"/>
            <w:vAlign w:val="center"/>
          </w:tcPr>
          <w:p w14:paraId="17E78C5C">
            <w:pPr>
              <w:spacing w:before="240" w:after="240"/>
              <w:jc w:val="center"/>
              <w:rPr>
                <w:rFonts w:ascii="宋体" w:hAnsi="宋体" w:cs="宋体"/>
                <w:b/>
                <w:bCs/>
                <w:color w:val="auto"/>
                <w:sz w:val="21"/>
                <w:szCs w:val="21"/>
                <w:highlight w:val="none"/>
              </w:rPr>
            </w:pPr>
            <w:r>
              <w:rPr>
                <w:rFonts w:hint="eastAsia" w:ascii="宋体" w:hAnsi="宋体" w:cs="宋体"/>
                <w:b/>
                <w:color w:val="auto"/>
                <w:sz w:val="21"/>
                <w:szCs w:val="21"/>
                <w:highlight w:val="none"/>
              </w:rPr>
              <w:t>偏离说明</w:t>
            </w:r>
          </w:p>
        </w:tc>
        <w:tc>
          <w:tcPr>
            <w:tcW w:w="1067" w:type="dxa"/>
            <w:vAlign w:val="center"/>
          </w:tcPr>
          <w:p w14:paraId="0735ADAA">
            <w:pPr>
              <w:spacing w:before="240" w:after="240"/>
              <w:jc w:val="center"/>
              <w:rPr>
                <w:rFonts w:ascii="宋体" w:hAnsi="宋体" w:cs="宋体"/>
                <w:b/>
                <w:color w:val="auto"/>
                <w:sz w:val="21"/>
                <w:szCs w:val="21"/>
                <w:highlight w:val="none"/>
              </w:rPr>
            </w:pPr>
            <w:r>
              <w:rPr>
                <w:rFonts w:hint="eastAsia" w:ascii="宋体" w:hAnsi="宋体" w:cs="宋体"/>
                <w:b/>
                <w:color w:val="auto"/>
                <w:sz w:val="21"/>
                <w:szCs w:val="21"/>
                <w:highlight w:val="none"/>
              </w:rPr>
              <w:t>备注</w:t>
            </w:r>
          </w:p>
        </w:tc>
      </w:tr>
      <w:tr w14:paraId="4C5B1C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27" w:type="dxa"/>
            <w:vAlign w:val="center"/>
          </w:tcPr>
          <w:p w14:paraId="2AE7477B">
            <w:pPr>
              <w:spacing w:before="240" w:after="240"/>
              <w:rPr>
                <w:rFonts w:ascii="宋体" w:hAnsi="宋体" w:cs="宋体"/>
                <w:color w:val="auto"/>
                <w:sz w:val="21"/>
                <w:szCs w:val="21"/>
                <w:highlight w:val="none"/>
              </w:rPr>
            </w:pPr>
          </w:p>
        </w:tc>
        <w:tc>
          <w:tcPr>
            <w:tcW w:w="1820" w:type="dxa"/>
            <w:vAlign w:val="center"/>
          </w:tcPr>
          <w:p w14:paraId="457B2A1C">
            <w:pPr>
              <w:spacing w:before="240" w:after="240"/>
              <w:rPr>
                <w:rFonts w:ascii="宋体" w:hAnsi="宋体" w:cs="宋体"/>
                <w:color w:val="auto"/>
                <w:sz w:val="21"/>
                <w:szCs w:val="21"/>
                <w:highlight w:val="none"/>
              </w:rPr>
            </w:pPr>
          </w:p>
        </w:tc>
        <w:tc>
          <w:tcPr>
            <w:tcW w:w="2400" w:type="dxa"/>
            <w:vAlign w:val="center"/>
          </w:tcPr>
          <w:p w14:paraId="54EC711F">
            <w:pPr>
              <w:spacing w:before="240" w:after="240"/>
              <w:rPr>
                <w:rFonts w:ascii="宋体" w:hAnsi="宋体" w:cs="宋体"/>
                <w:color w:val="auto"/>
                <w:sz w:val="21"/>
                <w:szCs w:val="21"/>
                <w:highlight w:val="none"/>
              </w:rPr>
            </w:pPr>
          </w:p>
        </w:tc>
        <w:tc>
          <w:tcPr>
            <w:tcW w:w="2210" w:type="dxa"/>
            <w:vAlign w:val="center"/>
          </w:tcPr>
          <w:p w14:paraId="5C8EF031">
            <w:pPr>
              <w:spacing w:before="240" w:after="240"/>
              <w:rPr>
                <w:rFonts w:ascii="宋体" w:hAnsi="宋体" w:cs="宋体"/>
                <w:color w:val="auto"/>
                <w:sz w:val="21"/>
                <w:szCs w:val="21"/>
                <w:highlight w:val="none"/>
              </w:rPr>
            </w:pPr>
          </w:p>
        </w:tc>
        <w:tc>
          <w:tcPr>
            <w:tcW w:w="1067" w:type="dxa"/>
            <w:vAlign w:val="center"/>
          </w:tcPr>
          <w:p w14:paraId="2E51D409">
            <w:pPr>
              <w:spacing w:before="240" w:after="240"/>
              <w:rPr>
                <w:rFonts w:ascii="宋体" w:hAnsi="宋体" w:cs="宋体"/>
                <w:color w:val="auto"/>
                <w:sz w:val="21"/>
                <w:szCs w:val="21"/>
                <w:highlight w:val="none"/>
              </w:rPr>
            </w:pPr>
          </w:p>
        </w:tc>
        <w:tc>
          <w:tcPr>
            <w:tcW w:w="1067" w:type="dxa"/>
            <w:vAlign w:val="center"/>
          </w:tcPr>
          <w:p w14:paraId="35531544">
            <w:pPr>
              <w:spacing w:before="240" w:after="240"/>
              <w:rPr>
                <w:rFonts w:ascii="宋体" w:hAnsi="宋体" w:cs="宋体"/>
                <w:color w:val="auto"/>
                <w:sz w:val="21"/>
                <w:szCs w:val="21"/>
                <w:highlight w:val="none"/>
              </w:rPr>
            </w:pPr>
          </w:p>
        </w:tc>
      </w:tr>
      <w:tr w14:paraId="0C1B87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27" w:type="dxa"/>
            <w:vAlign w:val="center"/>
          </w:tcPr>
          <w:p w14:paraId="11C5454C">
            <w:pPr>
              <w:spacing w:before="240" w:after="240"/>
              <w:rPr>
                <w:rFonts w:ascii="宋体" w:hAnsi="宋体" w:cs="宋体"/>
                <w:color w:val="auto"/>
                <w:sz w:val="21"/>
                <w:szCs w:val="21"/>
                <w:highlight w:val="none"/>
              </w:rPr>
            </w:pPr>
          </w:p>
        </w:tc>
        <w:tc>
          <w:tcPr>
            <w:tcW w:w="1820" w:type="dxa"/>
            <w:vAlign w:val="center"/>
          </w:tcPr>
          <w:p w14:paraId="3A2AFD48">
            <w:pPr>
              <w:spacing w:before="240" w:after="240"/>
              <w:rPr>
                <w:rFonts w:ascii="宋体" w:hAnsi="宋体" w:cs="宋体"/>
                <w:color w:val="auto"/>
                <w:sz w:val="21"/>
                <w:szCs w:val="21"/>
                <w:highlight w:val="none"/>
              </w:rPr>
            </w:pPr>
          </w:p>
        </w:tc>
        <w:tc>
          <w:tcPr>
            <w:tcW w:w="2400" w:type="dxa"/>
            <w:vAlign w:val="center"/>
          </w:tcPr>
          <w:p w14:paraId="568B198A">
            <w:pPr>
              <w:spacing w:before="240" w:after="240"/>
              <w:rPr>
                <w:rFonts w:ascii="宋体" w:hAnsi="宋体" w:cs="宋体"/>
                <w:color w:val="auto"/>
                <w:sz w:val="21"/>
                <w:szCs w:val="21"/>
                <w:highlight w:val="none"/>
              </w:rPr>
            </w:pPr>
          </w:p>
        </w:tc>
        <w:tc>
          <w:tcPr>
            <w:tcW w:w="2210" w:type="dxa"/>
            <w:vAlign w:val="center"/>
          </w:tcPr>
          <w:p w14:paraId="35F4E628">
            <w:pPr>
              <w:spacing w:before="240" w:after="240"/>
              <w:rPr>
                <w:rFonts w:ascii="宋体" w:hAnsi="宋体" w:cs="宋体"/>
                <w:color w:val="auto"/>
                <w:sz w:val="21"/>
                <w:szCs w:val="21"/>
                <w:highlight w:val="none"/>
              </w:rPr>
            </w:pPr>
          </w:p>
        </w:tc>
        <w:tc>
          <w:tcPr>
            <w:tcW w:w="1067" w:type="dxa"/>
            <w:vAlign w:val="center"/>
          </w:tcPr>
          <w:p w14:paraId="260F31C7">
            <w:pPr>
              <w:spacing w:before="240" w:after="240"/>
              <w:rPr>
                <w:rFonts w:ascii="宋体" w:hAnsi="宋体" w:cs="宋体"/>
                <w:color w:val="auto"/>
                <w:sz w:val="21"/>
                <w:szCs w:val="21"/>
                <w:highlight w:val="none"/>
              </w:rPr>
            </w:pPr>
          </w:p>
        </w:tc>
        <w:tc>
          <w:tcPr>
            <w:tcW w:w="1067" w:type="dxa"/>
            <w:vAlign w:val="center"/>
          </w:tcPr>
          <w:p w14:paraId="6F5C86DF">
            <w:pPr>
              <w:spacing w:before="240" w:after="240"/>
              <w:rPr>
                <w:rFonts w:ascii="宋体" w:hAnsi="宋体" w:cs="宋体"/>
                <w:color w:val="auto"/>
                <w:sz w:val="21"/>
                <w:szCs w:val="21"/>
                <w:highlight w:val="none"/>
              </w:rPr>
            </w:pPr>
          </w:p>
        </w:tc>
      </w:tr>
      <w:tr w14:paraId="6F3965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27" w:type="dxa"/>
            <w:vAlign w:val="center"/>
          </w:tcPr>
          <w:p w14:paraId="1C19A943">
            <w:pPr>
              <w:spacing w:before="240" w:after="240"/>
              <w:rPr>
                <w:rFonts w:ascii="宋体" w:hAnsi="宋体" w:cs="宋体"/>
                <w:color w:val="auto"/>
                <w:sz w:val="21"/>
                <w:szCs w:val="21"/>
                <w:highlight w:val="none"/>
              </w:rPr>
            </w:pPr>
          </w:p>
        </w:tc>
        <w:tc>
          <w:tcPr>
            <w:tcW w:w="1820" w:type="dxa"/>
            <w:vAlign w:val="center"/>
          </w:tcPr>
          <w:p w14:paraId="495D6C58">
            <w:pPr>
              <w:spacing w:before="240" w:after="240"/>
              <w:rPr>
                <w:rFonts w:ascii="宋体" w:hAnsi="宋体" w:cs="宋体"/>
                <w:color w:val="auto"/>
                <w:sz w:val="21"/>
                <w:szCs w:val="21"/>
                <w:highlight w:val="none"/>
              </w:rPr>
            </w:pPr>
          </w:p>
        </w:tc>
        <w:tc>
          <w:tcPr>
            <w:tcW w:w="2400" w:type="dxa"/>
            <w:vAlign w:val="center"/>
          </w:tcPr>
          <w:p w14:paraId="0F4CA9F9">
            <w:pPr>
              <w:spacing w:before="240" w:after="240"/>
              <w:rPr>
                <w:rFonts w:ascii="宋体" w:hAnsi="宋体" w:cs="宋体"/>
                <w:color w:val="auto"/>
                <w:sz w:val="21"/>
                <w:szCs w:val="21"/>
                <w:highlight w:val="none"/>
              </w:rPr>
            </w:pPr>
          </w:p>
        </w:tc>
        <w:tc>
          <w:tcPr>
            <w:tcW w:w="2210" w:type="dxa"/>
            <w:vAlign w:val="center"/>
          </w:tcPr>
          <w:p w14:paraId="08706F3B">
            <w:pPr>
              <w:spacing w:before="240" w:after="240"/>
              <w:rPr>
                <w:rFonts w:ascii="宋体" w:hAnsi="宋体" w:cs="宋体"/>
                <w:color w:val="auto"/>
                <w:sz w:val="21"/>
                <w:szCs w:val="21"/>
                <w:highlight w:val="none"/>
              </w:rPr>
            </w:pPr>
          </w:p>
        </w:tc>
        <w:tc>
          <w:tcPr>
            <w:tcW w:w="1067" w:type="dxa"/>
            <w:vAlign w:val="center"/>
          </w:tcPr>
          <w:p w14:paraId="1E0B0B2B">
            <w:pPr>
              <w:spacing w:before="240" w:after="240"/>
              <w:rPr>
                <w:rFonts w:ascii="宋体" w:hAnsi="宋体" w:cs="宋体"/>
                <w:color w:val="auto"/>
                <w:sz w:val="21"/>
                <w:szCs w:val="21"/>
                <w:highlight w:val="none"/>
              </w:rPr>
            </w:pPr>
          </w:p>
        </w:tc>
        <w:tc>
          <w:tcPr>
            <w:tcW w:w="1067" w:type="dxa"/>
            <w:vAlign w:val="center"/>
          </w:tcPr>
          <w:p w14:paraId="75507F96">
            <w:pPr>
              <w:spacing w:before="240" w:after="240"/>
              <w:rPr>
                <w:rFonts w:ascii="宋体" w:hAnsi="宋体" w:cs="宋体"/>
                <w:color w:val="auto"/>
                <w:sz w:val="21"/>
                <w:szCs w:val="21"/>
                <w:highlight w:val="none"/>
              </w:rPr>
            </w:pPr>
          </w:p>
        </w:tc>
      </w:tr>
      <w:tr w14:paraId="6FD544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27" w:type="dxa"/>
            <w:vAlign w:val="center"/>
          </w:tcPr>
          <w:p w14:paraId="2776078B">
            <w:pPr>
              <w:spacing w:before="240" w:after="240"/>
              <w:rPr>
                <w:rFonts w:ascii="宋体" w:hAnsi="宋体" w:cs="宋体"/>
                <w:color w:val="auto"/>
                <w:sz w:val="21"/>
                <w:szCs w:val="21"/>
                <w:highlight w:val="none"/>
              </w:rPr>
            </w:pPr>
          </w:p>
        </w:tc>
        <w:tc>
          <w:tcPr>
            <w:tcW w:w="1820" w:type="dxa"/>
            <w:vAlign w:val="center"/>
          </w:tcPr>
          <w:p w14:paraId="700F1A11">
            <w:pPr>
              <w:spacing w:before="240" w:after="240"/>
              <w:rPr>
                <w:rFonts w:ascii="宋体" w:hAnsi="宋体" w:cs="宋体"/>
                <w:color w:val="auto"/>
                <w:sz w:val="21"/>
                <w:szCs w:val="21"/>
                <w:highlight w:val="none"/>
              </w:rPr>
            </w:pPr>
          </w:p>
        </w:tc>
        <w:tc>
          <w:tcPr>
            <w:tcW w:w="2400" w:type="dxa"/>
            <w:vAlign w:val="center"/>
          </w:tcPr>
          <w:p w14:paraId="683A831E">
            <w:pPr>
              <w:spacing w:before="240" w:after="240"/>
              <w:rPr>
                <w:rFonts w:ascii="宋体" w:hAnsi="宋体" w:cs="宋体"/>
                <w:color w:val="auto"/>
                <w:sz w:val="21"/>
                <w:szCs w:val="21"/>
                <w:highlight w:val="none"/>
              </w:rPr>
            </w:pPr>
          </w:p>
        </w:tc>
        <w:tc>
          <w:tcPr>
            <w:tcW w:w="2210" w:type="dxa"/>
            <w:vAlign w:val="center"/>
          </w:tcPr>
          <w:p w14:paraId="596C9AB1">
            <w:pPr>
              <w:spacing w:before="240" w:after="240"/>
              <w:rPr>
                <w:rFonts w:ascii="宋体" w:hAnsi="宋体" w:cs="宋体"/>
                <w:color w:val="auto"/>
                <w:sz w:val="21"/>
                <w:szCs w:val="21"/>
                <w:highlight w:val="none"/>
              </w:rPr>
            </w:pPr>
          </w:p>
        </w:tc>
        <w:tc>
          <w:tcPr>
            <w:tcW w:w="1067" w:type="dxa"/>
            <w:vAlign w:val="center"/>
          </w:tcPr>
          <w:p w14:paraId="4F3D37EF">
            <w:pPr>
              <w:spacing w:before="240" w:after="240"/>
              <w:rPr>
                <w:rFonts w:ascii="宋体" w:hAnsi="宋体" w:cs="宋体"/>
                <w:color w:val="auto"/>
                <w:sz w:val="21"/>
                <w:szCs w:val="21"/>
                <w:highlight w:val="none"/>
              </w:rPr>
            </w:pPr>
          </w:p>
        </w:tc>
        <w:tc>
          <w:tcPr>
            <w:tcW w:w="1067" w:type="dxa"/>
            <w:vAlign w:val="center"/>
          </w:tcPr>
          <w:p w14:paraId="0CC839D2">
            <w:pPr>
              <w:spacing w:before="240" w:after="240"/>
              <w:rPr>
                <w:rFonts w:ascii="宋体" w:hAnsi="宋体" w:cs="宋体"/>
                <w:color w:val="auto"/>
                <w:sz w:val="21"/>
                <w:szCs w:val="21"/>
                <w:highlight w:val="none"/>
              </w:rPr>
            </w:pPr>
          </w:p>
        </w:tc>
      </w:tr>
      <w:tr w14:paraId="42EE83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27" w:type="dxa"/>
            <w:vAlign w:val="center"/>
          </w:tcPr>
          <w:p w14:paraId="5B51BD04">
            <w:pPr>
              <w:spacing w:before="240" w:after="240"/>
              <w:rPr>
                <w:rFonts w:ascii="宋体" w:hAnsi="宋体" w:cs="宋体"/>
                <w:color w:val="auto"/>
                <w:sz w:val="21"/>
                <w:szCs w:val="21"/>
                <w:highlight w:val="none"/>
              </w:rPr>
            </w:pPr>
          </w:p>
        </w:tc>
        <w:tc>
          <w:tcPr>
            <w:tcW w:w="1820" w:type="dxa"/>
            <w:vAlign w:val="center"/>
          </w:tcPr>
          <w:p w14:paraId="1E009720">
            <w:pPr>
              <w:spacing w:before="240" w:after="240"/>
              <w:rPr>
                <w:rFonts w:ascii="宋体" w:hAnsi="宋体" w:cs="宋体"/>
                <w:color w:val="auto"/>
                <w:sz w:val="21"/>
                <w:szCs w:val="21"/>
                <w:highlight w:val="none"/>
              </w:rPr>
            </w:pPr>
          </w:p>
        </w:tc>
        <w:tc>
          <w:tcPr>
            <w:tcW w:w="2400" w:type="dxa"/>
            <w:vAlign w:val="center"/>
          </w:tcPr>
          <w:p w14:paraId="4CF37A9B">
            <w:pPr>
              <w:spacing w:before="240" w:after="240"/>
              <w:rPr>
                <w:rFonts w:ascii="宋体" w:hAnsi="宋体" w:cs="宋体"/>
                <w:color w:val="auto"/>
                <w:sz w:val="21"/>
                <w:szCs w:val="21"/>
                <w:highlight w:val="none"/>
              </w:rPr>
            </w:pPr>
          </w:p>
        </w:tc>
        <w:tc>
          <w:tcPr>
            <w:tcW w:w="2210" w:type="dxa"/>
            <w:vAlign w:val="center"/>
          </w:tcPr>
          <w:p w14:paraId="0054B839">
            <w:pPr>
              <w:spacing w:before="240" w:after="240"/>
              <w:rPr>
                <w:rFonts w:ascii="宋体" w:hAnsi="宋体" w:cs="宋体"/>
                <w:color w:val="auto"/>
                <w:sz w:val="21"/>
                <w:szCs w:val="21"/>
                <w:highlight w:val="none"/>
              </w:rPr>
            </w:pPr>
          </w:p>
        </w:tc>
        <w:tc>
          <w:tcPr>
            <w:tcW w:w="1067" w:type="dxa"/>
            <w:vAlign w:val="center"/>
          </w:tcPr>
          <w:p w14:paraId="0E202D2C">
            <w:pPr>
              <w:spacing w:before="240" w:after="240"/>
              <w:rPr>
                <w:rFonts w:ascii="宋体" w:hAnsi="宋体" w:cs="宋体"/>
                <w:color w:val="auto"/>
                <w:sz w:val="21"/>
                <w:szCs w:val="21"/>
                <w:highlight w:val="none"/>
              </w:rPr>
            </w:pPr>
          </w:p>
        </w:tc>
        <w:tc>
          <w:tcPr>
            <w:tcW w:w="1067" w:type="dxa"/>
            <w:vAlign w:val="center"/>
          </w:tcPr>
          <w:p w14:paraId="7794390C">
            <w:pPr>
              <w:spacing w:before="240" w:after="240"/>
              <w:rPr>
                <w:rFonts w:ascii="宋体" w:hAnsi="宋体" w:cs="宋体"/>
                <w:color w:val="auto"/>
                <w:sz w:val="21"/>
                <w:szCs w:val="21"/>
                <w:highlight w:val="none"/>
              </w:rPr>
            </w:pPr>
          </w:p>
        </w:tc>
      </w:tr>
      <w:tr w14:paraId="034334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27" w:type="dxa"/>
            <w:vAlign w:val="center"/>
          </w:tcPr>
          <w:p w14:paraId="54579D84">
            <w:pPr>
              <w:spacing w:before="240" w:after="240"/>
              <w:rPr>
                <w:rFonts w:ascii="宋体" w:hAnsi="宋体" w:cs="宋体"/>
                <w:color w:val="auto"/>
                <w:sz w:val="21"/>
                <w:szCs w:val="21"/>
                <w:highlight w:val="none"/>
              </w:rPr>
            </w:pPr>
          </w:p>
        </w:tc>
        <w:tc>
          <w:tcPr>
            <w:tcW w:w="1820" w:type="dxa"/>
            <w:vAlign w:val="center"/>
          </w:tcPr>
          <w:p w14:paraId="799F6CCB">
            <w:pPr>
              <w:spacing w:before="240" w:after="240"/>
              <w:rPr>
                <w:rFonts w:ascii="宋体" w:hAnsi="宋体" w:cs="宋体"/>
                <w:color w:val="auto"/>
                <w:sz w:val="21"/>
                <w:szCs w:val="21"/>
                <w:highlight w:val="none"/>
              </w:rPr>
            </w:pPr>
          </w:p>
        </w:tc>
        <w:tc>
          <w:tcPr>
            <w:tcW w:w="2400" w:type="dxa"/>
            <w:vAlign w:val="center"/>
          </w:tcPr>
          <w:p w14:paraId="0F3F8661">
            <w:pPr>
              <w:spacing w:before="240" w:after="240"/>
              <w:rPr>
                <w:rFonts w:ascii="宋体" w:hAnsi="宋体" w:cs="宋体"/>
                <w:color w:val="auto"/>
                <w:sz w:val="21"/>
                <w:szCs w:val="21"/>
                <w:highlight w:val="none"/>
              </w:rPr>
            </w:pPr>
          </w:p>
        </w:tc>
        <w:tc>
          <w:tcPr>
            <w:tcW w:w="2210" w:type="dxa"/>
            <w:vAlign w:val="center"/>
          </w:tcPr>
          <w:p w14:paraId="5FC05AB6">
            <w:pPr>
              <w:spacing w:before="240" w:after="240"/>
              <w:rPr>
                <w:rFonts w:ascii="宋体" w:hAnsi="宋体" w:cs="宋体"/>
                <w:color w:val="auto"/>
                <w:sz w:val="21"/>
                <w:szCs w:val="21"/>
                <w:highlight w:val="none"/>
              </w:rPr>
            </w:pPr>
          </w:p>
        </w:tc>
        <w:tc>
          <w:tcPr>
            <w:tcW w:w="1067" w:type="dxa"/>
            <w:vAlign w:val="center"/>
          </w:tcPr>
          <w:p w14:paraId="7C901D33">
            <w:pPr>
              <w:spacing w:before="240" w:after="240"/>
              <w:rPr>
                <w:rFonts w:ascii="宋体" w:hAnsi="宋体" w:cs="宋体"/>
                <w:color w:val="auto"/>
                <w:sz w:val="21"/>
                <w:szCs w:val="21"/>
                <w:highlight w:val="none"/>
              </w:rPr>
            </w:pPr>
          </w:p>
        </w:tc>
        <w:tc>
          <w:tcPr>
            <w:tcW w:w="1067" w:type="dxa"/>
            <w:vAlign w:val="center"/>
          </w:tcPr>
          <w:p w14:paraId="2C93ADA4">
            <w:pPr>
              <w:spacing w:before="240" w:after="240"/>
              <w:rPr>
                <w:rFonts w:ascii="宋体" w:hAnsi="宋体" w:cs="宋体"/>
                <w:color w:val="auto"/>
                <w:sz w:val="21"/>
                <w:szCs w:val="21"/>
                <w:highlight w:val="none"/>
              </w:rPr>
            </w:pPr>
          </w:p>
        </w:tc>
      </w:tr>
    </w:tbl>
    <w:p w14:paraId="0E699C09">
      <w:pPr>
        <w:pStyle w:val="12"/>
        <w:spacing w:line="360" w:lineRule="auto"/>
        <w:ind w:firstLine="0"/>
        <w:jc w:val="center"/>
        <w:rPr>
          <w:rFonts w:ascii="宋体" w:hAnsi="宋体" w:cs="宋体"/>
          <w:b/>
          <w:color w:val="auto"/>
          <w:szCs w:val="21"/>
          <w:highlight w:val="none"/>
        </w:rPr>
      </w:pPr>
    </w:p>
    <w:p w14:paraId="20063EAE">
      <w:pPr>
        <w:spacing w:line="360" w:lineRule="auto"/>
        <w:ind w:firstLine="422"/>
        <w:rPr>
          <w:rFonts w:ascii="宋体" w:hAnsi="宋体" w:cs="宋体"/>
          <w:b/>
          <w:color w:val="auto"/>
          <w:sz w:val="21"/>
          <w:szCs w:val="21"/>
          <w:highlight w:val="none"/>
        </w:rPr>
      </w:pPr>
      <w:r>
        <w:rPr>
          <w:rFonts w:hint="eastAsia" w:ascii="宋体" w:hAnsi="宋体" w:cs="宋体"/>
          <w:b/>
          <w:color w:val="auto"/>
          <w:sz w:val="21"/>
          <w:szCs w:val="21"/>
          <w:highlight w:val="none"/>
        </w:rPr>
        <w:t>注：1.投标人的投标文件（除服务要求部分）与招标文件规定的有偏离的，应在此表中说明。偏离说明一栏，根据实际响应情况，填写“响应”、“正偏离”、“负偏离”。备注栏中针对“正偏离”或“负偏离”的情况进行详细的描述。</w:t>
      </w:r>
    </w:p>
    <w:p w14:paraId="4727E446">
      <w:pPr>
        <w:spacing w:line="360" w:lineRule="auto"/>
        <w:ind w:firstLine="791" w:firstLineChars="375"/>
        <w:rPr>
          <w:rFonts w:ascii="宋体" w:hAnsi="宋体" w:cs="宋体"/>
          <w:b/>
          <w:color w:val="auto"/>
          <w:sz w:val="21"/>
          <w:szCs w:val="21"/>
          <w:highlight w:val="none"/>
        </w:rPr>
      </w:pPr>
      <w:r>
        <w:rPr>
          <w:rFonts w:hint="eastAsia" w:ascii="宋体" w:hAnsi="宋体" w:cs="宋体"/>
          <w:b/>
          <w:color w:val="auto"/>
          <w:sz w:val="21"/>
          <w:szCs w:val="21"/>
          <w:highlight w:val="none"/>
        </w:rPr>
        <w:t>2.未在上表中说明偏离情况的，将被认为完全响应招标文件的规定。</w:t>
      </w:r>
    </w:p>
    <w:p w14:paraId="298F0123">
      <w:pPr>
        <w:spacing w:line="360" w:lineRule="auto"/>
        <w:ind w:firstLine="791" w:firstLineChars="375"/>
        <w:rPr>
          <w:rFonts w:ascii="宋体" w:hAnsi="宋体" w:cs="宋体"/>
          <w:b/>
          <w:color w:val="auto"/>
          <w:sz w:val="21"/>
          <w:szCs w:val="21"/>
          <w:highlight w:val="none"/>
        </w:rPr>
      </w:pPr>
      <w:r>
        <w:rPr>
          <w:rFonts w:hint="eastAsia" w:ascii="宋体" w:hAnsi="宋体" w:cs="宋体"/>
          <w:b/>
          <w:color w:val="auto"/>
          <w:sz w:val="21"/>
          <w:szCs w:val="21"/>
          <w:highlight w:val="none"/>
        </w:rPr>
        <w:t>3.该表不作为投标人关于商务条款等详细描述和说明的替代。</w:t>
      </w:r>
    </w:p>
    <w:p w14:paraId="5EFFA707">
      <w:pPr>
        <w:spacing w:line="360" w:lineRule="auto"/>
        <w:ind w:firstLine="420"/>
        <w:rPr>
          <w:rFonts w:ascii="宋体" w:hAnsi="宋体" w:cs="宋体"/>
          <w:color w:val="auto"/>
          <w:sz w:val="21"/>
          <w:szCs w:val="21"/>
          <w:highlight w:val="none"/>
        </w:rPr>
      </w:pPr>
    </w:p>
    <w:p w14:paraId="3CBF61C3">
      <w:pPr>
        <w:pStyle w:val="12"/>
        <w:spacing w:line="360" w:lineRule="auto"/>
        <w:rPr>
          <w:rFonts w:ascii="宋体" w:hAnsi="宋体" w:cs="宋体"/>
          <w:color w:val="auto"/>
          <w:szCs w:val="21"/>
          <w:highlight w:val="none"/>
        </w:rPr>
      </w:pPr>
      <w:r>
        <w:rPr>
          <w:rFonts w:hint="eastAsia" w:ascii="宋体" w:hAnsi="宋体" w:cs="宋体"/>
          <w:color w:val="auto"/>
          <w:szCs w:val="21"/>
          <w:highlight w:val="none"/>
        </w:rPr>
        <w:t>投标人：（加盖CA电子公章）</w:t>
      </w:r>
    </w:p>
    <w:p w14:paraId="42317853">
      <w:pPr>
        <w:pStyle w:val="12"/>
        <w:spacing w:line="360" w:lineRule="auto"/>
        <w:rPr>
          <w:rFonts w:ascii="宋体" w:hAnsi="宋体" w:cs="宋体"/>
          <w:color w:val="auto"/>
          <w:szCs w:val="21"/>
          <w:highlight w:val="none"/>
        </w:rPr>
      </w:pPr>
      <w:r>
        <w:rPr>
          <w:rFonts w:hint="eastAsia" w:ascii="宋体" w:hAnsi="宋体" w:cs="宋体"/>
          <w:color w:val="auto"/>
          <w:szCs w:val="21"/>
          <w:highlight w:val="none"/>
        </w:rPr>
        <w:t>日期：         年     月    日</w:t>
      </w:r>
    </w:p>
    <w:p w14:paraId="67A1C685">
      <w:pPr>
        <w:pStyle w:val="20"/>
        <w:rPr>
          <w:rFonts w:ascii="宋体" w:hAnsi="宋体" w:cs="宋体"/>
          <w:color w:val="auto"/>
          <w:highlight w:val="none"/>
        </w:rPr>
      </w:pPr>
      <w:r>
        <w:rPr>
          <w:rFonts w:hint="eastAsia" w:ascii="宋体" w:hAnsi="宋体" w:cs="宋体"/>
          <w:color w:val="auto"/>
          <w:highlight w:val="none"/>
        </w:rPr>
        <w:br w:type="page" w:clear="all"/>
      </w:r>
    </w:p>
    <w:p w14:paraId="75CC225C">
      <w:pPr>
        <w:pStyle w:val="71"/>
        <w:ind w:firstLine="0"/>
        <w:rPr>
          <w:rFonts w:hAnsi="宋体" w:cs="宋体"/>
          <w:color w:val="auto"/>
          <w:sz w:val="18"/>
          <w:szCs w:val="18"/>
          <w:highlight w:val="none"/>
          <w:lang w:val="zh-CN"/>
        </w:rPr>
      </w:pPr>
      <w:r>
        <w:rPr>
          <w:rFonts w:hint="eastAsia" w:hAnsi="宋体" w:cs="宋体"/>
          <w:b/>
          <w:color w:val="auto"/>
          <w:sz w:val="21"/>
          <w:szCs w:val="21"/>
          <w:highlight w:val="none"/>
          <w:lang w:val="en-US" w:eastAsia="zh-CN"/>
        </w:rPr>
        <w:t>九</w:t>
      </w:r>
      <w:r>
        <w:rPr>
          <w:rFonts w:hint="eastAsia" w:hAnsi="宋体" w:cs="宋体"/>
          <w:b/>
          <w:color w:val="auto"/>
          <w:sz w:val="21"/>
          <w:szCs w:val="21"/>
          <w:highlight w:val="none"/>
        </w:rPr>
        <w:t>、</w:t>
      </w:r>
      <w:r>
        <w:rPr>
          <w:rFonts w:hint="eastAsia" w:hAnsi="宋体" w:cs="宋体"/>
          <w:b/>
          <w:color w:val="auto"/>
          <w:sz w:val="22"/>
          <w:szCs w:val="18"/>
          <w:highlight w:val="none"/>
        </w:rPr>
        <w:t>针对本项目服务人员配置表</w:t>
      </w:r>
    </w:p>
    <w:p w14:paraId="5077A224">
      <w:pPr>
        <w:pStyle w:val="292"/>
        <w:spacing w:before="240"/>
        <w:jc w:val="center"/>
        <w:rPr>
          <w:rFonts w:hAnsi="宋体" w:eastAsia="宋体" w:cs="宋体"/>
          <w:b/>
          <w:bCs/>
          <w:color w:val="auto"/>
          <w:sz w:val="21"/>
          <w:szCs w:val="21"/>
          <w:highlight w:val="none"/>
        </w:rPr>
      </w:pPr>
      <w:r>
        <w:rPr>
          <w:rFonts w:hint="eastAsia" w:hAnsi="宋体" w:eastAsia="宋体" w:cs="宋体"/>
          <w:b/>
          <w:bCs/>
          <w:color w:val="auto"/>
          <w:sz w:val="21"/>
          <w:szCs w:val="21"/>
          <w:highlight w:val="none"/>
        </w:rPr>
        <w:t>拟投入本项目服务人员汇总表</w:t>
      </w:r>
    </w:p>
    <w:p w14:paraId="746C3764">
      <w:pPr>
        <w:spacing w:line="340" w:lineRule="exact"/>
        <w:ind w:firstLine="420"/>
        <w:rPr>
          <w:rFonts w:ascii="宋体" w:hAnsi="宋体" w:cs="宋体"/>
          <w:b/>
          <w:bCs/>
          <w:color w:val="auto"/>
          <w:sz w:val="21"/>
          <w:szCs w:val="21"/>
          <w:highlight w:val="none"/>
        </w:rPr>
      </w:pPr>
      <w:r>
        <w:rPr>
          <w:rFonts w:hint="eastAsia" w:ascii="宋体" w:hAnsi="宋体" w:cs="宋体"/>
          <w:color w:val="auto"/>
          <w:sz w:val="21"/>
          <w:szCs w:val="21"/>
          <w:highlight w:val="none"/>
        </w:rPr>
        <w:t>项目名称：                                         项目编号：</w:t>
      </w:r>
    </w:p>
    <w:tbl>
      <w:tblPr>
        <w:tblStyle w:val="5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3"/>
        <w:gridCol w:w="1333"/>
        <w:gridCol w:w="941"/>
        <w:gridCol w:w="1016"/>
        <w:gridCol w:w="1061"/>
        <w:gridCol w:w="1032"/>
        <w:gridCol w:w="2829"/>
      </w:tblGrid>
      <w:tr w14:paraId="4F78D7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jc w:val="center"/>
        </w:trPr>
        <w:tc>
          <w:tcPr>
            <w:tcW w:w="843" w:type="dxa"/>
            <w:vAlign w:val="center"/>
          </w:tcPr>
          <w:p w14:paraId="24D8A5CE">
            <w:pPr>
              <w:jc w:val="center"/>
              <w:rPr>
                <w:rFonts w:ascii="宋体" w:hAnsi="宋体"/>
                <w:color w:val="auto"/>
                <w:sz w:val="21"/>
                <w:szCs w:val="21"/>
                <w:highlight w:val="none"/>
              </w:rPr>
            </w:pPr>
            <w:r>
              <w:rPr>
                <w:rFonts w:hint="eastAsia" w:ascii="宋体" w:hAnsi="宋体"/>
                <w:color w:val="auto"/>
                <w:sz w:val="21"/>
                <w:szCs w:val="21"/>
                <w:highlight w:val="none"/>
              </w:rPr>
              <w:t>序号</w:t>
            </w:r>
          </w:p>
        </w:tc>
        <w:tc>
          <w:tcPr>
            <w:tcW w:w="1333" w:type="dxa"/>
            <w:vAlign w:val="center"/>
          </w:tcPr>
          <w:p w14:paraId="71BE4006">
            <w:pPr>
              <w:jc w:val="center"/>
              <w:rPr>
                <w:rFonts w:ascii="宋体" w:hAnsi="宋体"/>
                <w:color w:val="auto"/>
                <w:sz w:val="21"/>
                <w:szCs w:val="21"/>
                <w:highlight w:val="none"/>
              </w:rPr>
            </w:pPr>
            <w:r>
              <w:rPr>
                <w:rFonts w:hint="eastAsia" w:ascii="宋体" w:hAnsi="宋体"/>
                <w:color w:val="auto"/>
                <w:sz w:val="21"/>
                <w:szCs w:val="21"/>
                <w:highlight w:val="none"/>
              </w:rPr>
              <w:t>姓名</w:t>
            </w:r>
          </w:p>
        </w:tc>
        <w:tc>
          <w:tcPr>
            <w:tcW w:w="941" w:type="dxa"/>
            <w:vAlign w:val="center"/>
          </w:tcPr>
          <w:p w14:paraId="74B6E74C">
            <w:pPr>
              <w:jc w:val="center"/>
              <w:rPr>
                <w:rFonts w:ascii="宋体" w:hAnsi="宋体"/>
                <w:color w:val="auto"/>
                <w:sz w:val="21"/>
                <w:szCs w:val="21"/>
                <w:highlight w:val="none"/>
              </w:rPr>
            </w:pPr>
            <w:r>
              <w:rPr>
                <w:rFonts w:hint="eastAsia" w:ascii="宋体" w:hAnsi="宋体"/>
                <w:color w:val="auto"/>
                <w:sz w:val="21"/>
                <w:szCs w:val="21"/>
                <w:highlight w:val="none"/>
              </w:rPr>
              <w:t>年龄</w:t>
            </w:r>
          </w:p>
        </w:tc>
        <w:tc>
          <w:tcPr>
            <w:tcW w:w="1016" w:type="dxa"/>
            <w:vAlign w:val="center"/>
          </w:tcPr>
          <w:p w14:paraId="784C6D2C">
            <w:pPr>
              <w:jc w:val="center"/>
              <w:rPr>
                <w:rFonts w:ascii="宋体" w:hAnsi="宋体"/>
                <w:color w:val="auto"/>
                <w:sz w:val="21"/>
                <w:szCs w:val="21"/>
                <w:highlight w:val="none"/>
              </w:rPr>
            </w:pPr>
            <w:r>
              <w:rPr>
                <w:rFonts w:hint="eastAsia" w:ascii="宋体" w:hAnsi="宋体"/>
                <w:color w:val="auto"/>
                <w:sz w:val="21"/>
                <w:szCs w:val="21"/>
                <w:highlight w:val="none"/>
              </w:rPr>
              <w:t>性别</w:t>
            </w:r>
          </w:p>
        </w:tc>
        <w:tc>
          <w:tcPr>
            <w:tcW w:w="1061" w:type="dxa"/>
            <w:vAlign w:val="center"/>
          </w:tcPr>
          <w:p w14:paraId="4C8FFD8E">
            <w:pPr>
              <w:jc w:val="center"/>
              <w:rPr>
                <w:rFonts w:ascii="宋体" w:hAnsi="宋体"/>
                <w:color w:val="auto"/>
                <w:sz w:val="21"/>
                <w:szCs w:val="21"/>
                <w:highlight w:val="none"/>
              </w:rPr>
            </w:pPr>
            <w:r>
              <w:rPr>
                <w:rFonts w:hint="eastAsia" w:ascii="宋体" w:hAnsi="宋体"/>
                <w:color w:val="auto"/>
                <w:sz w:val="21"/>
                <w:szCs w:val="21"/>
                <w:highlight w:val="none"/>
              </w:rPr>
              <w:t>学历</w:t>
            </w:r>
          </w:p>
        </w:tc>
        <w:tc>
          <w:tcPr>
            <w:tcW w:w="1032" w:type="dxa"/>
            <w:vAlign w:val="center"/>
          </w:tcPr>
          <w:p w14:paraId="41875C85">
            <w:pPr>
              <w:jc w:val="center"/>
              <w:rPr>
                <w:rFonts w:ascii="宋体" w:hAnsi="宋体"/>
                <w:color w:val="auto"/>
                <w:sz w:val="21"/>
                <w:szCs w:val="21"/>
                <w:highlight w:val="none"/>
              </w:rPr>
            </w:pPr>
            <w:r>
              <w:rPr>
                <w:rFonts w:hint="eastAsia" w:ascii="宋体" w:hAnsi="宋体"/>
                <w:color w:val="auto"/>
                <w:sz w:val="21"/>
                <w:szCs w:val="21"/>
                <w:highlight w:val="none"/>
              </w:rPr>
              <w:t>专业</w:t>
            </w:r>
          </w:p>
        </w:tc>
        <w:tc>
          <w:tcPr>
            <w:tcW w:w="2829" w:type="dxa"/>
            <w:vAlign w:val="center"/>
          </w:tcPr>
          <w:p w14:paraId="5F380DCB">
            <w:pPr>
              <w:jc w:val="center"/>
              <w:rPr>
                <w:rFonts w:ascii="宋体" w:hAnsi="宋体"/>
                <w:color w:val="auto"/>
                <w:sz w:val="21"/>
                <w:szCs w:val="21"/>
                <w:highlight w:val="none"/>
              </w:rPr>
            </w:pPr>
            <w:r>
              <w:rPr>
                <w:rFonts w:hint="eastAsia" w:ascii="宋体" w:hAnsi="宋体"/>
                <w:color w:val="auto"/>
                <w:sz w:val="21"/>
                <w:szCs w:val="21"/>
                <w:highlight w:val="none"/>
              </w:rPr>
              <w:t>在本项目拟任职务</w:t>
            </w:r>
          </w:p>
        </w:tc>
      </w:tr>
      <w:tr w14:paraId="19BB1F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jc w:val="center"/>
        </w:trPr>
        <w:tc>
          <w:tcPr>
            <w:tcW w:w="843" w:type="dxa"/>
            <w:vAlign w:val="center"/>
          </w:tcPr>
          <w:p w14:paraId="595C7335">
            <w:pPr>
              <w:jc w:val="center"/>
              <w:rPr>
                <w:rFonts w:ascii="宋体" w:hAnsi="宋体"/>
                <w:color w:val="auto"/>
                <w:sz w:val="21"/>
                <w:szCs w:val="21"/>
                <w:highlight w:val="none"/>
              </w:rPr>
            </w:pPr>
          </w:p>
        </w:tc>
        <w:tc>
          <w:tcPr>
            <w:tcW w:w="1333" w:type="dxa"/>
            <w:vAlign w:val="center"/>
          </w:tcPr>
          <w:p w14:paraId="4D993453">
            <w:pPr>
              <w:jc w:val="center"/>
              <w:rPr>
                <w:rFonts w:ascii="宋体" w:hAnsi="宋体"/>
                <w:color w:val="auto"/>
                <w:sz w:val="21"/>
                <w:szCs w:val="21"/>
                <w:highlight w:val="none"/>
              </w:rPr>
            </w:pPr>
          </w:p>
        </w:tc>
        <w:tc>
          <w:tcPr>
            <w:tcW w:w="941" w:type="dxa"/>
            <w:vAlign w:val="center"/>
          </w:tcPr>
          <w:p w14:paraId="69FE13A8">
            <w:pPr>
              <w:jc w:val="center"/>
              <w:rPr>
                <w:rFonts w:ascii="宋体" w:hAnsi="宋体"/>
                <w:color w:val="auto"/>
                <w:sz w:val="21"/>
                <w:szCs w:val="21"/>
                <w:highlight w:val="none"/>
              </w:rPr>
            </w:pPr>
          </w:p>
        </w:tc>
        <w:tc>
          <w:tcPr>
            <w:tcW w:w="1016" w:type="dxa"/>
            <w:vAlign w:val="center"/>
          </w:tcPr>
          <w:p w14:paraId="18DC4FC0">
            <w:pPr>
              <w:jc w:val="center"/>
              <w:rPr>
                <w:rFonts w:ascii="宋体" w:hAnsi="宋体"/>
                <w:color w:val="auto"/>
                <w:sz w:val="21"/>
                <w:szCs w:val="21"/>
                <w:highlight w:val="none"/>
              </w:rPr>
            </w:pPr>
          </w:p>
        </w:tc>
        <w:tc>
          <w:tcPr>
            <w:tcW w:w="1061" w:type="dxa"/>
            <w:vAlign w:val="center"/>
          </w:tcPr>
          <w:p w14:paraId="08EE24C8">
            <w:pPr>
              <w:jc w:val="center"/>
              <w:rPr>
                <w:rFonts w:ascii="宋体" w:hAnsi="宋体"/>
                <w:color w:val="auto"/>
                <w:sz w:val="21"/>
                <w:szCs w:val="21"/>
                <w:highlight w:val="none"/>
              </w:rPr>
            </w:pPr>
          </w:p>
        </w:tc>
        <w:tc>
          <w:tcPr>
            <w:tcW w:w="1032" w:type="dxa"/>
            <w:vAlign w:val="center"/>
          </w:tcPr>
          <w:p w14:paraId="111C310D">
            <w:pPr>
              <w:jc w:val="center"/>
              <w:rPr>
                <w:rFonts w:ascii="宋体" w:hAnsi="宋体"/>
                <w:color w:val="auto"/>
                <w:sz w:val="21"/>
                <w:szCs w:val="21"/>
                <w:highlight w:val="none"/>
              </w:rPr>
            </w:pPr>
          </w:p>
        </w:tc>
        <w:tc>
          <w:tcPr>
            <w:tcW w:w="2829" w:type="dxa"/>
            <w:vAlign w:val="center"/>
          </w:tcPr>
          <w:p w14:paraId="2E8B00A6">
            <w:pPr>
              <w:jc w:val="center"/>
              <w:rPr>
                <w:rFonts w:ascii="宋体" w:hAnsi="宋体"/>
                <w:color w:val="auto"/>
                <w:sz w:val="21"/>
                <w:szCs w:val="21"/>
                <w:highlight w:val="none"/>
              </w:rPr>
            </w:pPr>
          </w:p>
        </w:tc>
      </w:tr>
      <w:tr w14:paraId="0E4721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jc w:val="center"/>
        </w:trPr>
        <w:tc>
          <w:tcPr>
            <w:tcW w:w="843" w:type="dxa"/>
            <w:vAlign w:val="center"/>
          </w:tcPr>
          <w:p w14:paraId="4229150C">
            <w:pPr>
              <w:jc w:val="center"/>
              <w:rPr>
                <w:rFonts w:ascii="宋体" w:hAnsi="宋体"/>
                <w:color w:val="auto"/>
                <w:sz w:val="21"/>
                <w:szCs w:val="21"/>
                <w:highlight w:val="none"/>
              </w:rPr>
            </w:pPr>
          </w:p>
        </w:tc>
        <w:tc>
          <w:tcPr>
            <w:tcW w:w="1333" w:type="dxa"/>
            <w:vAlign w:val="center"/>
          </w:tcPr>
          <w:p w14:paraId="7A39C273">
            <w:pPr>
              <w:jc w:val="center"/>
              <w:rPr>
                <w:rFonts w:ascii="宋体" w:hAnsi="宋体"/>
                <w:color w:val="auto"/>
                <w:sz w:val="21"/>
                <w:szCs w:val="21"/>
                <w:highlight w:val="none"/>
              </w:rPr>
            </w:pPr>
          </w:p>
        </w:tc>
        <w:tc>
          <w:tcPr>
            <w:tcW w:w="941" w:type="dxa"/>
            <w:vAlign w:val="center"/>
          </w:tcPr>
          <w:p w14:paraId="40D6C44D">
            <w:pPr>
              <w:jc w:val="center"/>
              <w:rPr>
                <w:rFonts w:ascii="宋体" w:hAnsi="宋体"/>
                <w:color w:val="auto"/>
                <w:sz w:val="21"/>
                <w:szCs w:val="21"/>
                <w:highlight w:val="none"/>
              </w:rPr>
            </w:pPr>
          </w:p>
        </w:tc>
        <w:tc>
          <w:tcPr>
            <w:tcW w:w="1016" w:type="dxa"/>
            <w:vAlign w:val="center"/>
          </w:tcPr>
          <w:p w14:paraId="1896DF97">
            <w:pPr>
              <w:jc w:val="center"/>
              <w:rPr>
                <w:rFonts w:ascii="宋体" w:hAnsi="宋体"/>
                <w:color w:val="auto"/>
                <w:sz w:val="21"/>
                <w:szCs w:val="21"/>
                <w:highlight w:val="none"/>
              </w:rPr>
            </w:pPr>
          </w:p>
        </w:tc>
        <w:tc>
          <w:tcPr>
            <w:tcW w:w="1061" w:type="dxa"/>
            <w:vAlign w:val="center"/>
          </w:tcPr>
          <w:p w14:paraId="0301B513">
            <w:pPr>
              <w:jc w:val="center"/>
              <w:rPr>
                <w:rFonts w:ascii="宋体" w:hAnsi="宋体"/>
                <w:color w:val="auto"/>
                <w:sz w:val="21"/>
                <w:szCs w:val="21"/>
                <w:highlight w:val="none"/>
              </w:rPr>
            </w:pPr>
          </w:p>
        </w:tc>
        <w:tc>
          <w:tcPr>
            <w:tcW w:w="1032" w:type="dxa"/>
            <w:vAlign w:val="center"/>
          </w:tcPr>
          <w:p w14:paraId="49047A77">
            <w:pPr>
              <w:jc w:val="center"/>
              <w:rPr>
                <w:rFonts w:ascii="宋体" w:hAnsi="宋体"/>
                <w:color w:val="auto"/>
                <w:sz w:val="21"/>
                <w:szCs w:val="21"/>
                <w:highlight w:val="none"/>
              </w:rPr>
            </w:pPr>
          </w:p>
        </w:tc>
        <w:tc>
          <w:tcPr>
            <w:tcW w:w="2829" w:type="dxa"/>
            <w:vAlign w:val="center"/>
          </w:tcPr>
          <w:p w14:paraId="1A221A51">
            <w:pPr>
              <w:jc w:val="center"/>
              <w:rPr>
                <w:rFonts w:ascii="宋体" w:hAnsi="宋体"/>
                <w:color w:val="auto"/>
                <w:sz w:val="21"/>
                <w:szCs w:val="21"/>
                <w:highlight w:val="none"/>
              </w:rPr>
            </w:pPr>
          </w:p>
        </w:tc>
      </w:tr>
      <w:tr w14:paraId="713047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843" w:type="dxa"/>
            <w:vAlign w:val="center"/>
          </w:tcPr>
          <w:p w14:paraId="6106BE2E">
            <w:pPr>
              <w:jc w:val="center"/>
              <w:rPr>
                <w:rFonts w:ascii="宋体" w:hAnsi="宋体"/>
                <w:color w:val="auto"/>
                <w:sz w:val="21"/>
                <w:szCs w:val="21"/>
                <w:highlight w:val="none"/>
              </w:rPr>
            </w:pPr>
          </w:p>
        </w:tc>
        <w:tc>
          <w:tcPr>
            <w:tcW w:w="1333" w:type="dxa"/>
            <w:vAlign w:val="center"/>
          </w:tcPr>
          <w:p w14:paraId="6C72DB36">
            <w:pPr>
              <w:jc w:val="center"/>
              <w:rPr>
                <w:rFonts w:ascii="宋体" w:hAnsi="宋体"/>
                <w:color w:val="auto"/>
                <w:sz w:val="21"/>
                <w:szCs w:val="21"/>
                <w:highlight w:val="none"/>
              </w:rPr>
            </w:pPr>
          </w:p>
        </w:tc>
        <w:tc>
          <w:tcPr>
            <w:tcW w:w="941" w:type="dxa"/>
            <w:vAlign w:val="center"/>
          </w:tcPr>
          <w:p w14:paraId="2FDC6E14">
            <w:pPr>
              <w:jc w:val="center"/>
              <w:rPr>
                <w:rFonts w:ascii="宋体" w:hAnsi="宋体"/>
                <w:color w:val="auto"/>
                <w:sz w:val="21"/>
                <w:szCs w:val="21"/>
                <w:highlight w:val="none"/>
              </w:rPr>
            </w:pPr>
          </w:p>
        </w:tc>
        <w:tc>
          <w:tcPr>
            <w:tcW w:w="1016" w:type="dxa"/>
            <w:vAlign w:val="center"/>
          </w:tcPr>
          <w:p w14:paraId="008229E4">
            <w:pPr>
              <w:jc w:val="center"/>
              <w:rPr>
                <w:rFonts w:ascii="宋体" w:hAnsi="宋体"/>
                <w:color w:val="auto"/>
                <w:sz w:val="21"/>
                <w:szCs w:val="21"/>
                <w:highlight w:val="none"/>
              </w:rPr>
            </w:pPr>
          </w:p>
        </w:tc>
        <w:tc>
          <w:tcPr>
            <w:tcW w:w="1061" w:type="dxa"/>
            <w:vAlign w:val="center"/>
          </w:tcPr>
          <w:p w14:paraId="31B54EFE">
            <w:pPr>
              <w:jc w:val="center"/>
              <w:rPr>
                <w:rFonts w:ascii="宋体" w:hAnsi="宋体"/>
                <w:color w:val="auto"/>
                <w:sz w:val="21"/>
                <w:szCs w:val="21"/>
                <w:highlight w:val="none"/>
              </w:rPr>
            </w:pPr>
          </w:p>
        </w:tc>
        <w:tc>
          <w:tcPr>
            <w:tcW w:w="1032" w:type="dxa"/>
            <w:vAlign w:val="center"/>
          </w:tcPr>
          <w:p w14:paraId="6C13B89D">
            <w:pPr>
              <w:jc w:val="center"/>
              <w:rPr>
                <w:rFonts w:ascii="宋体" w:hAnsi="宋体"/>
                <w:color w:val="auto"/>
                <w:sz w:val="21"/>
                <w:szCs w:val="21"/>
                <w:highlight w:val="none"/>
              </w:rPr>
            </w:pPr>
          </w:p>
        </w:tc>
        <w:tc>
          <w:tcPr>
            <w:tcW w:w="2829" w:type="dxa"/>
            <w:vAlign w:val="center"/>
          </w:tcPr>
          <w:p w14:paraId="0F6270DC">
            <w:pPr>
              <w:jc w:val="center"/>
              <w:rPr>
                <w:rFonts w:ascii="宋体" w:hAnsi="宋体"/>
                <w:color w:val="auto"/>
                <w:sz w:val="21"/>
                <w:szCs w:val="21"/>
                <w:highlight w:val="none"/>
              </w:rPr>
            </w:pPr>
          </w:p>
        </w:tc>
      </w:tr>
      <w:tr w14:paraId="62A9A5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843" w:type="dxa"/>
            <w:vAlign w:val="center"/>
          </w:tcPr>
          <w:p w14:paraId="6A3DA7DE">
            <w:pPr>
              <w:jc w:val="center"/>
              <w:rPr>
                <w:rFonts w:ascii="宋体" w:hAnsi="宋体"/>
                <w:color w:val="auto"/>
                <w:sz w:val="21"/>
                <w:szCs w:val="21"/>
                <w:highlight w:val="none"/>
              </w:rPr>
            </w:pPr>
          </w:p>
        </w:tc>
        <w:tc>
          <w:tcPr>
            <w:tcW w:w="1333" w:type="dxa"/>
            <w:vAlign w:val="center"/>
          </w:tcPr>
          <w:p w14:paraId="0E262EB1">
            <w:pPr>
              <w:jc w:val="center"/>
              <w:rPr>
                <w:rFonts w:ascii="宋体" w:hAnsi="宋体"/>
                <w:color w:val="auto"/>
                <w:sz w:val="21"/>
                <w:szCs w:val="21"/>
                <w:highlight w:val="none"/>
              </w:rPr>
            </w:pPr>
          </w:p>
        </w:tc>
        <w:tc>
          <w:tcPr>
            <w:tcW w:w="941" w:type="dxa"/>
            <w:vAlign w:val="center"/>
          </w:tcPr>
          <w:p w14:paraId="2DEA2958">
            <w:pPr>
              <w:jc w:val="center"/>
              <w:rPr>
                <w:rFonts w:ascii="宋体" w:hAnsi="宋体"/>
                <w:color w:val="auto"/>
                <w:sz w:val="21"/>
                <w:szCs w:val="21"/>
                <w:highlight w:val="none"/>
              </w:rPr>
            </w:pPr>
          </w:p>
        </w:tc>
        <w:tc>
          <w:tcPr>
            <w:tcW w:w="1016" w:type="dxa"/>
            <w:vAlign w:val="center"/>
          </w:tcPr>
          <w:p w14:paraId="41A7ADCE">
            <w:pPr>
              <w:jc w:val="center"/>
              <w:rPr>
                <w:rFonts w:ascii="宋体" w:hAnsi="宋体"/>
                <w:color w:val="auto"/>
                <w:sz w:val="21"/>
                <w:szCs w:val="21"/>
                <w:highlight w:val="none"/>
              </w:rPr>
            </w:pPr>
          </w:p>
        </w:tc>
        <w:tc>
          <w:tcPr>
            <w:tcW w:w="1061" w:type="dxa"/>
            <w:vAlign w:val="center"/>
          </w:tcPr>
          <w:p w14:paraId="05D01D67">
            <w:pPr>
              <w:jc w:val="center"/>
              <w:rPr>
                <w:rFonts w:ascii="宋体" w:hAnsi="宋体"/>
                <w:color w:val="auto"/>
                <w:sz w:val="21"/>
                <w:szCs w:val="21"/>
                <w:highlight w:val="none"/>
              </w:rPr>
            </w:pPr>
          </w:p>
        </w:tc>
        <w:tc>
          <w:tcPr>
            <w:tcW w:w="1032" w:type="dxa"/>
            <w:vAlign w:val="center"/>
          </w:tcPr>
          <w:p w14:paraId="3FD610BF">
            <w:pPr>
              <w:jc w:val="center"/>
              <w:rPr>
                <w:rFonts w:ascii="宋体" w:hAnsi="宋体"/>
                <w:color w:val="auto"/>
                <w:sz w:val="21"/>
                <w:szCs w:val="21"/>
                <w:highlight w:val="none"/>
              </w:rPr>
            </w:pPr>
          </w:p>
        </w:tc>
        <w:tc>
          <w:tcPr>
            <w:tcW w:w="2829" w:type="dxa"/>
            <w:vAlign w:val="center"/>
          </w:tcPr>
          <w:p w14:paraId="4498D53A">
            <w:pPr>
              <w:jc w:val="center"/>
              <w:rPr>
                <w:rFonts w:ascii="宋体" w:hAnsi="宋体"/>
                <w:color w:val="auto"/>
                <w:sz w:val="21"/>
                <w:szCs w:val="21"/>
                <w:highlight w:val="none"/>
              </w:rPr>
            </w:pPr>
          </w:p>
        </w:tc>
      </w:tr>
      <w:tr w14:paraId="4DC646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9055" w:type="dxa"/>
            <w:gridSpan w:val="7"/>
            <w:vAlign w:val="center"/>
          </w:tcPr>
          <w:p w14:paraId="6B6FF6A5">
            <w:pPr>
              <w:jc w:val="center"/>
              <w:rPr>
                <w:rFonts w:ascii="宋体" w:hAnsi="宋体"/>
                <w:color w:val="auto"/>
                <w:sz w:val="21"/>
                <w:szCs w:val="21"/>
                <w:highlight w:val="none"/>
              </w:rPr>
            </w:pPr>
            <w:r>
              <w:rPr>
                <w:rFonts w:hint="eastAsia" w:ascii="宋体" w:hAnsi="宋体"/>
                <w:color w:val="auto"/>
                <w:sz w:val="21"/>
                <w:szCs w:val="21"/>
                <w:highlight w:val="none"/>
              </w:rPr>
              <w:t>(可加行）</w:t>
            </w:r>
          </w:p>
        </w:tc>
      </w:tr>
    </w:tbl>
    <w:p w14:paraId="1406A670">
      <w:pPr>
        <w:widowControl w:val="0"/>
        <w:spacing w:line="340" w:lineRule="exact"/>
        <w:ind w:firstLine="420" w:firstLineChars="200"/>
        <w:rPr>
          <w:rFonts w:ascii="宋体" w:hAnsi="宋体" w:cs="宋体"/>
          <w:b/>
          <w:bCs/>
          <w:color w:val="auto"/>
          <w:sz w:val="21"/>
          <w:szCs w:val="21"/>
          <w:highlight w:val="none"/>
        </w:rPr>
      </w:pPr>
      <w:r>
        <w:rPr>
          <w:rFonts w:hint="eastAsia" w:ascii="宋体" w:hAnsi="宋体" w:cs="宋体"/>
          <w:color w:val="auto"/>
          <w:sz w:val="21"/>
          <w:szCs w:val="21"/>
          <w:highlight w:val="none"/>
          <w:lang w:val="zh-CN"/>
        </w:rPr>
        <w:t>注：</w:t>
      </w:r>
      <w:r>
        <w:rPr>
          <w:rFonts w:hint="eastAsia" w:ascii="宋体" w:hAnsi="宋体" w:cs="宋体"/>
          <w:b/>
          <w:bCs/>
          <w:color w:val="auto"/>
          <w:sz w:val="21"/>
          <w:szCs w:val="21"/>
          <w:highlight w:val="none"/>
        </w:rPr>
        <w:t>1.服务类项目中投标人若使用退休人员，将不享受中小企业扶持政策。</w:t>
      </w:r>
    </w:p>
    <w:p w14:paraId="6FA35DD8">
      <w:pPr>
        <w:spacing w:line="340" w:lineRule="exact"/>
        <w:ind w:firstLine="787" w:firstLineChars="375"/>
        <w:rPr>
          <w:rFonts w:ascii="宋体" w:hAnsi="宋体" w:cs="宋体"/>
          <w:color w:val="auto"/>
          <w:sz w:val="21"/>
          <w:szCs w:val="21"/>
          <w:highlight w:val="none"/>
          <w:lang w:val="zh-CN"/>
        </w:rPr>
      </w:pPr>
      <w:r>
        <w:rPr>
          <w:rFonts w:hint="eastAsia" w:ascii="宋体" w:hAnsi="宋体" w:cs="宋体"/>
          <w:color w:val="auto"/>
          <w:sz w:val="21"/>
          <w:szCs w:val="21"/>
          <w:highlight w:val="none"/>
        </w:rPr>
        <w:t>2.根据投标人实际情况提供相关人员证明材料</w:t>
      </w:r>
      <w:r>
        <w:rPr>
          <w:rFonts w:hint="eastAsia" w:ascii="宋体" w:hAnsi="宋体" w:cs="宋体"/>
          <w:color w:val="auto"/>
          <w:sz w:val="21"/>
          <w:szCs w:val="21"/>
          <w:highlight w:val="none"/>
          <w:lang w:val="zh-CN"/>
        </w:rPr>
        <w:t>。</w:t>
      </w:r>
    </w:p>
    <w:p w14:paraId="48233280">
      <w:pPr>
        <w:spacing w:line="360" w:lineRule="auto"/>
        <w:ind w:firstLine="420"/>
        <w:rPr>
          <w:rFonts w:ascii="宋体" w:hAnsi="宋体" w:cs="宋体"/>
          <w:color w:val="auto"/>
          <w:sz w:val="21"/>
          <w:szCs w:val="21"/>
          <w:highlight w:val="none"/>
        </w:rPr>
      </w:pPr>
    </w:p>
    <w:p w14:paraId="1DEBEF93">
      <w:pPr>
        <w:pStyle w:val="12"/>
        <w:spacing w:line="360" w:lineRule="auto"/>
        <w:rPr>
          <w:rFonts w:ascii="宋体" w:hAnsi="宋体" w:cs="宋体"/>
          <w:color w:val="auto"/>
          <w:szCs w:val="21"/>
          <w:highlight w:val="none"/>
        </w:rPr>
      </w:pPr>
      <w:r>
        <w:rPr>
          <w:rFonts w:hint="eastAsia" w:ascii="宋体" w:hAnsi="宋体" w:cs="宋体"/>
          <w:color w:val="auto"/>
          <w:szCs w:val="21"/>
          <w:highlight w:val="none"/>
        </w:rPr>
        <w:t>投标人：（加盖CA电子公章）</w:t>
      </w:r>
    </w:p>
    <w:p w14:paraId="738FBD5C">
      <w:pPr>
        <w:pStyle w:val="12"/>
        <w:spacing w:line="360" w:lineRule="auto"/>
        <w:rPr>
          <w:rFonts w:ascii="宋体" w:hAnsi="宋体" w:cs="宋体"/>
          <w:color w:val="auto"/>
          <w:szCs w:val="21"/>
          <w:highlight w:val="none"/>
        </w:rPr>
      </w:pPr>
      <w:r>
        <w:rPr>
          <w:rFonts w:hint="eastAsia" w:ascii="宋体" w:hAnsi="宋体" w:cs="宋体"/>
          <w:color w:val="auto"/>
          <w:szCs w:val="21"/>
          <w:highlight w:val="none"/>
        </w:rPr>
        <w:t>日期：         年     月    日</w:t>
      </w:r>
      <w:r>
        <w:rPr>
          <w:rFonts w:hint="eastAsia" w:ascii="宋体" w:hAnsi="宋体" w:cs="宋体"/>
          <w:color w:val="auto"/>
          <w:szCs w:val="21"/>
          <w:highlight w:val="none"/>
        </w:rPr>
        <w:br w:type="page"/>
      </w:r>
    </w:p>
    <w:p w14:paraId="18B51A9E">
      <w:pPr>
        <w:spacing w:line="240" w:lineRule="exact"/>
        <w:ind w:right="300"/>
        <w:rPr>
          <w:rFonts w:ascii="宋体" w:hAnsi="宋体" w:cs="宋体"/>
          <w:b/>
          <w:bCs/>
          <w:color w:val="auto"/>
          <w:sz w:val="21"/>
          <w:szCs w:val="21"/>
          <w:highlight w:val="none"/>
        </w:rPr>
      </w:pPr>
      <w:r>
        <w:rPr>
          <w:rFonts w:hint="eastAsia" w:hAnsi="宋体" w:cs="宋体"/>
          <w:b/>
          <w:color w:val="auto"/>
          <w:sz w:val="21"/>
          <w:szCs w:val="21"/>
          <w:highlight w:val="none"/>
          <w:lang w:val="en-US" w:eastAsia="zh-CN"/>
        </w:rPr>
        <w:t>十</w:t>
      </w:r>
      <w:r>
        <w:rPr>
          <w:rFonts w:hint="eastAsia" w:ascii="宋体" w:hAnsi="宋体" w:cs="宋体"/>
          <w:b/>
          <w:color w:val="auto"/>
          <w:sz w:val="21"/>
          <w:szCs w:val="21"/>
          <w:highlight w:val="none"/>
        </w:rPr>
        <w:t>、类似项目业绩一览表</w:t>
      </w:r>
    </w:p>
    <w:p w14:paraId="080DCF32">
      <w:pPr>
        <w:spacing w:line="360" w:lineRule="auto"/>
        <w:jc w:val="center"/>
        <w:rPr>
          <w:rFonts w:ascii="宋体" w:hAnsi="宋体" w:cs="宋体"/>
          <w:b/>
          <w:color w:val="auto"/>
          <w:sz w:val="21"/>
          <w:szCs w:val="21"/>
          <w:highlight w:val="none"/>
        </w:rPr>
      </w:pPr>
    </w:p>
    <w:p w14:paraId="13355F5C">
      <w:pPr>
        <w:ind w:left="-48" w:right="357"/>
        <w:jc w:val="center"/>
        <w:rPr>
          <w:rFonts w:ascii="宋体" w:hAnsi="宋体" w:cs="宋体"/>
          <w:b/>
          <w:color w:val="auto"/>
          <w:sz w:val="21"/>
          <w:szCs w:val="21"/>
          <w:highlight w:val="none"/>
        </w:rPr>
      </w:pPr>
      <w:r>
        <w:rPr>
          <w:rFonts w:hint="eastAsia" w:ascii="宋体" w:hAnsi="宋体" w:cs="宋体"/>
          <w:b/>
          <w:color w:val="auto"/>
          <w:sz w:val="21"/>
          <w:szCs w:val="21"/>
          <w:highlight w:val="none"/>
        </w:rPr>
        <w:t>类似项目一览表</w:t>
      </w:r>
    </w:p>
    <w:p w14:paraId="11ABBCC4">
      <w:pPr>
        <w:pStyle w:val="314"/>
        <w:rPr>
          <w:color w:val="auto"/>
          <w:highlight w:val="none"/>
        </w:rPr>
      </w:pPr>
    </w:p>
    <w:p w14:paraId="2938DC68">
      <w:pPr>
        <w:spacing w:line="340" w:lineRule="exact"/>
        <w:ind w:firstLine="420" w:firstLineChars="200"/>
        <w:rPr>
          <w:rFonts w:ascii="宋体" w:hAnsi="宋体"/>
          <w:b/>
          <w:color w:val="auto"/>
          <w:sz w:val="21"/>
          <w:szCs w:val="21"/>
          <w:highlight w:val="none"/>
        </w:rPr>
      </w:pPr>
      <w:r>
        <w:rPr>
          <w:rFonts w:hint="eastAsia" w:ascii="宋体" w:hAnsi="宋体" w:cs="宋体"/>
          <w:color w:val="auto"/>
          <w:sz w:val="21"/>
          <w:szCs w:val="21"/>
          <w:highlight w:val="none"/>
        </w:rPr>
        <w:t>项目名称：                                        项目编号：                   号</w:t>
      </w:r>
    </w:p>
    <w:tbl>
      <w:tblPr>
        <w:tblStyle w:val="52"/>
        <w:tblW w:w="9051"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93"/>
        <w:gridCol w:w="2523"/>
        <w:gridCol w:w="2040"/>
        <w:gridCol w:w="2220"/>
        <w:gridCol w:w="1275"/>
      </w:tblGrid>
      <w:tr w14:paraId="4362EB2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08" w:hRule="atLeast"/>
          <w:jc w:val="center"/>
        </w:trPr>
        <w:tc>
          <w:tcPr>
            <w:tcW w:w="993" w:type="dxa"/>
            <w:tcBorders>
              <w:top w:val="single" w:color="auto" w:sz="4" w:space="0"/>
              <w:left w:val="single" w:color="auto" w:sz="4" w:space="0"/>
              <w:bottom w:val="single" w:color="auto" w:sz="4" w:space="0"/>
              <w:right w:val="single" w:color="auto" w:sz="4" w:space="0"/>
            </w:tcBorders>
            <w:vAlign w:val="center"/>
          </w:tcPr>
          <w:p w14:paraId="41B640B7">
            <w:pPr>
              <w:spacing w:line="340" w:lineRule="exact"/>
              <w:jc w:val="center"/>
              <w:rPr>
                <w:rFonts w:ascii="宋体" w:hAnsi="宋体"/>
                <w:color w:val="auto"/>
                <w:sz w:val="21"/>
                <w:szCs w:val="21"/>
                <w:highlight w:val="none"/>
              </w:rPr>
            </w:pPr>
            <w:r>
              <w:rPr>
                <w:rFonts w:hint="eastAsia" w:ascii="宋体" w:hAnsi="宋体"/>
                <w:color w:val="auto"/>
                <w:sz w:val="21"/>
                <w:szCs w:val="21"/>
                <w:highlight w:val="none"/>
              </w:rPr>
              <w:t>序号</w:t>
            </w:r>
          </w:p>
        </w:tc>
        <w:tc>
          <w:tcPr>
            <w:tcW w:w="2523" w:type="dxa"/>
            <w:tcBorders>
              <w:top w:val="single" w:color="auto" w:sz="4" w:space="0"/>
              <w:left w:val="single" w:color="auto" w:sz="4" w:space="0"/>
              <w:bottom w:val="single" w:color="auto" w:sz="4" w:space="0"/>
              <w:right w:val="single" w:color="auto" w:sz="4" w:space="0"/>
            </w:tcBorders>
            <w:vAlign w:val="center"/>
          </w:tcPr>
          <w:p w14:paraId="54D72071">
            <w:pPr>
              <w:spacing w:line="340" w:lineRule="exact"/>
              <w:jc w:val="center"/>
              <w:rPr>
                <w:rFonts w:ascii="宋体" w:hAnsi="宋体"/>
                <w:color w:val="auto"/>
                <w:sz w:val="21"/>
                <w:szCs w:val="21"/>
                <w:highlight w:val="none"/>
              </w:rPr>
            </w:pPr>
            <w:r>
              <w:rPr>
                <w:rFonts w:hint="eastAsia" w:ascii="宋体" w:hAnsi="宋体"/>
                <w:color w:val="auto"/>
                <w:sz w:val="21"/>
                <w:szCs w:val="21"/>
                <w:highlight w:val="none"/>
              </w:rPr>
              <w:t>项目名称</w:t>
            </w:r>
          </w:p>
        </w:tc>
        <w:tc>
          <w:tcPr>
            <w:tcW w:w="2040" w:type="dxa"/>
            <w:tcBorders>
              <w:top w:val="single" w:color="auto" w:sz="4" w:space="0"/>
              <w:left w:val="single" w:color="auto" w:sz="4" w:space="0"/>
              <w:bottom w:val="single" w:color="auto" w:sz="4" w:space="0"/>
              <w:right w:val="single" w:color="auto" w:sz="4" w:space="0"/>
            </w:tcBorders>
            <w:vAlign w:val="center"/>
          </w:tcPr>
          <w:p w14:paraId="3EE322A1">
            <w:pPr>
              <w:spacing w:line="340" w:lineRule="exact"/>
              <w:jc w:val="center"/>
              <w:rPr>
                <w:rFonts w:ascii="宋体" w:hAnsi="宋体"/>
                <w:color w:val="auto"/>
                <w:sz w:val="21"/>
                <w:szCs w:val="21"/>
                <w:highlight w:val="none"/>
              </w:rPr>
            </w:pPr>
            <w:r>
              <w:rPr>
                <w:rFonts w:hint="eastAsia" w:ascii="宋体" w:hAnsi="宋体"/>
                <w:color w:val="auto"/>
                <w:sz w:val="21"/>
                <w:szCs w:val="21"/>
                <w:highlight w:val="none"/>
              </w:rPr>
              <w:t>项目时间</w:t>
            </w:r>
          </w:p>
        </w:tc>
        <w:tc>
          <w:tcPr>
            <w:tcW w:w="2220" w:type="dxa"/>
            <w:tcBorders>
              <w:top w:val="single" w:color="auto" w:sz="4" w:space="0"/>
              <w:left w:val="single" w:color="auto" w:sz="4" w:space="0"/>
              <w:bottom w:val="single" w:color="auto" w:sz="4" w:space="0"/>
              <w:right w:val="single" w:color="auto" w:sz="4" w:space="0"/>
            </w:tcBorders>
            <w:vAlign w:val="center"/>
          </w:tcPr>
          <w:p w14:paraId="1EA655B4">
            <w:pPr>
              <w:spacing w:line="340" w:lineRule="exact"/>
              <w:jc w:val="center"/>
              <w:rPr>
                <w:rFonts w:ascii="宋体" w:hAnsi="宋体"/>
                <w:color w:val="auto"/>
                <w:sz w:val="21"/>
                <w:szCs w:val="21"/>
                <w:highlight w:val="none"/>
              </w:rPr>
            </w:pPr>
            <w:r>
              <w:rPr>
                <w:rFonts w:hint="eastAsia" w:ascii="宋体" w:hAnsi="宋体"/>
                <w:color w:val="auto"/>
                <w:sz w:val="21"/>
                <w:szCs w:val="21"/>
                <w:highlight w:val="none"/>
              </w:rPr>
              <w:t>合同金额（元）</w:t>
            </w:r>
          </w:p>
        </w:tc>
        <w:tc>
          <w:tcPr>
            <w:tcW w:w="1275" w:type="dxa"/>
            <w:tcBorders>
              <w:top w:val="single" w:color="auto" w:sz="4" w:space="0"/>
              <w:left w:val="single" w:color="auto" w:sz="4" w:space="0"/>
              <w:bottom w:val="single" w:color="auto" w:sz="4" w:space="0"/>
              <w:right w:val="single" w:color="auto" w:sz="4" w:space="0"/>
            </w:tcBorders>
            <w:vAlign w:val="center"/>
          </w:tcPr>
          <w:p w14:paraId="29CF090E">
            <w:pPr>
              <w:spacing w:line="340" w:lineRule="exact"/>
              <w:jc w:val="center"/>
              <w:rPr>
                <w:rFonts w:ascii="宋体" w:hAnsi="宋体"/>
                <w:color w:val="auto"/>
                <w:sz w:val="21"/>
                <w:szCs w:val="21"/>
                <w:highlight w:val="none"/>
              </w:rPr>
            </w:pPr>
            <w:r>
              <w:rPr>
                <w:rFonts w:hint="eastAsia" w:ascii="宋体" w:hAnsi="宋体"/>
                <w:color w:val="auto"/>
                <w:sz w:val="21"/>
                <w:szCs w:val="21"/>
                <w:highlight w:val="none"/>
              </w:rPr>
              <w:t>备注</w:t>
            </w:r>
          </w:p>
        </w:tc>
      </w:tr>
      <w:tr w14:paraId="3E4574A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7" w:hRule="atLeast"/>
          <w:jc w:val="center"/>
        </w:trPr>
        <w:tc>
          <w:tcPr>
            <w:tcW w:w="993" w:type="dxa"/>
            <w:tcBorders>
              <w:top w:val="single" w:color="auto" w:sz="4" w:space="0"/>
              <w:left w:val="single" w:color="auto" w:sz="4" w:space="0"/>
              <w:bottom w:val="single" w:color="auto" w:sz="4" w:space="0"/>
              <w:right w:val="single" w:color="auto" w:sz="4" w:space="0"/>
            </w:tcBorders>
            <w:vAlign w:val="center"/>
          </w:tcPr>
          <w:p w14:paraId="143A475E">
            <w:pPr>
              <w:spacing w:line="340" w:lineRule="exact"/>
              <w:jc w:val="center"/>
              <w:rPr>
                <w:rFonts w:ascii="宋体" w:hAnsi="宋体"/>
                <w:color w:val="auto"/>
                <w:sz w:val="21"/>
                <w:szCs w:val="21"/>
                <w:highlight w:val="none"/>
              </w:rPr>
            </w:pPr>
            <w:r>
              <w:rPr>
                <w:rFonts w:hint="eastAsia" w:ascii="宋体" w:hAnsi="宋体"/>
                <w:color w:val="auto"/>
                <w:sz w:val="21"/>
                <w:szCs w:val="21"/>
                <w:highlight w:val="none"/>
              </w:rPr>
              <w:t>1</w:t>
            </w:r>
          </w:p>
        </w:tc>
        <w:tc>
          <w:tcPr>
            <w:tcW w:w="2523" w:type="dxa"/>
            <w:tcBorders>
              <w:top w:val="single" w:color="auto" w:sz="4" w:space="0"/>
              <w:left w:val="single" w:color="auto" w:sz="4" w:space="0"/>
              <w:bottom w:val="single" w:color="auto" w:sz="4" w:space="0"/>
              <w:right w:val="single" w:color="auto" w:sz="4" w:space="0"/>
            </w:tcBorders>
            <w:vAlign w:val="center"/>
          </w:tcPr>
          <w:p w14:paraId="58C49EBB">
            <w:pPr>
              <w:spacing w:line="340" w:lineRule="exact"/>
              <w:jc w:val="center"/>
              <w:rPr>
                <w:rFonts w:ascii="宋体" w:hAnsi="宋体"/>
                <w:color w:val="auto"/>
                <w:sz w:val="21"/>
                <w:szCs w:val="21"/>
                <w:highlight w:val="none"/>
              </w:rPr>
            </w:pPr>
          </w:p>
        </w:tc>
        <w:tc>
          <w:tcPr>
            <w:tcW w:w="2040" w:type="dxa"/>
            <w:tcBorders>
              <w:top w:val="single" w:color="auto" w:sz="4" w:space="0"/>
              <w:left w:val="single" w:color="auto" w:sz="4" w:space="0"/>
              <w:bottom w:val="single" w:color="auto" w:sz="4" w:space="0"/>
              <w:right w:val="single" w:color="auto" w:sz="4" w:space="0"/>
            </w:tcBorders>
            <w:vAlign w:val="center"/>
          </w:tcPr>
          <w:p w14:paraId="01B00A9B">
            <w:pPr>
              <w:spacing w:line="340" w:lineRule="exact"/>
              <w:jc w:val="center"/>
              <w:rPr>
                <w:rFonts w:ascii="宋体" w:hAnsi="宋体"/>
                <w:color w:val="auto"/>
                <w:sz w:val="21"/>
                <w:szCs w:val="21"/>
                <w:highlight w:val="none"/>
              </w:rPr>
            </w:pPr>
          </w:p>
        </w:tc>
        <w:tc>
          <w:tcPr>
            <w:tcW w:w="2220" w:type="dxa"/>
            <w:tcBorders>
              <w:top w:val="single" w:color="auto" w:sz="4" w:space="0"/>
              <w:left w:val="single" w:color="auto" w:sz="4" w:space="0"/>
              <w:bottom w:val="single" w:color="auto" w:sz="4" w:space="0"/>
              <w:right w:val="single" w:color="auto" w:sz="4" w:space="0"/>
            </w:tcBorders>
            <w:vAlign w:val="center"/>
          </w:tcPr>
          <w:p w14:paraId="3C09BC64">
            <w:pPr>
              <w:spacing w:line="340" w:lineRule="exact"/>
              <w:jc w:val="center"/>
              <w:rPr>
                <w:rFonts w:ascii="宋体" w:hAnsi="宋体"/>
                <w:color w:val="auto"/>
                <w:sz w:val="21"/>
                <w:szCs w:val="21"/>
                <w:highlight w:val="none"/>
              </w:rPr>
            </w:pPr>
          </w:p>
        </w:tc>
        <w:tc>
          <w:tcPr>
            <w:tcW w:w="1275" w:type="dxa"/>
            <w:tcBorders>
              <w:top w:val="single" w:color="auto" w:sz="4" w:space="0"/>
              <w:left w:val="single" w:color="auto" w:sz="4" w:space="0"/>
              <w:bottom w:val="single" w:color="auto" w:sz="4" w:space="0"/>
              <w:right w:val="single" w:color="auto" w:sz="4" w:space="0"/>
            </w:tcBorders>
            <w:vAlign w:val="center"/>
          </w:tcPr>
          <w:p w14:paraId="2F647546">
            <w:pPr>
              <w:spacing w:line="340" w:lineRule="exact"/>
              <w:jc w:val="center"/>
              <w:rPr>
                <w:rFonts w:ascii="宋体" w:hAnsi="宋体"/>
                <w:color w:val="auto"/>
                <w:sz w:val="21"/>
                <w:szCs w:val="21"/>
                <w:highlight w:val="none"/>
              </w:rPr>
            </w:pPr>
          </w:p>
        </w:tc>
      </w:tr>
      <w:tr w14:paraId="42738C7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7" w:hRule="atLeast"/>
          <w:jc w:val="center"/>
        </w:trPr>
        <w:tc>
          <w:tcPr>
            <w:tcW w:w="993" w:type="dxa"/>
            <w:tcBorders>
              <w:top w:val="single" w:color="auto" w:sz="4" w:space="0"/>
              <w:left w:val="single" w:color="auto" w:sz="4" w:space="0"/>
              <w:bottom w:val="single" w:color="auto" w:sz="4" w:space="0"/>
              <w:right w:val="single" w:color="auto" w:sz="4" w:space="0"/>
            </w:tcBorders>
            <w:vAlign w:val="center"/>
          </w:tcPr>
          <w:p w14:paraId="7B0E38AE">
            <w:pPr>
              <w:spacing w:line="340" w:lineRule="exact"/>
              <w:jc w:val="center"/>
              <w:rPr>
                <w:rFonts w:ascii="宋体" w:hAnsi="宋体"/>
                <w:color w:val="auto"/>
                <w:sz w:val="21"/>
                <w:szCs w:val="21"/>
                <w:highlight w:val="none"/>
              </w:rPr>
            </w:pPr>
            <w:r>
              <w:rPr>
                <w:rFonts w:hint="eastAsia" w:ascii="宋体" w:hAnsi="宋体"/>
                <w:color w:val="auto"/>
                <w:sz w:val="21"/>
                <w:szCs w:val="21"/>
                <w:highlight w:val="none"/>
              </w:rPr>
              <w:t>2</w:t>
            </w:r>
          </w:p>
        </w:tc>
        <w:tc>
          <w:tcPr>
            <w:tcW w:w="2523" w:type="dxa"/>
            <w:tcBorders>
              <w:top w:val="single" w:color="auto" w:sz="4" w:space="0"/>
              <w:left w:val="single" w:color="auto" w:sz="4" w:space="0"/>
              <w:bottom w:val="single" w:color="auto" w:sz="4" w:space="0"/>
              <w:right w:val="single" w:color="auto" w:sz="4" w:space="0"/>
            </w:tcBorders>
            <w:vAlign w:val="center"/>
          </w:tcPr>
          <w:p w14:paraId="684D2340">
            <w:pPr>
              <w:spacing w:line="340" w:lineRule="exact"/>
              <w:jc w:val="center"/>
              <w:rPr>
                <w:rFonts w:ascii="宋体" w:hAnsi="宋体"/>
                <w:color w:val="auto"/>
                <w:sz w:val="21"/>
                <w:szCs w:val="21"/>
                <w:highlight w:val="none"/>
              </w:rPr>
            </w:pPr>
          </w:p>
        </w:tc>
        <w:tc>
          <w:tcPr>
            <w:tcW w:w="2040" w:type="dxa"/>
            <w:tcBorders>
              <w:top w:val="single" w:color="auto" w:sz="4" w:space="0"/>
              <w:left w:val="single" w:color="auto" w:sz="4" w:space="0"/>
              <w:bottom w:val="single" w:color="auto" w:sz="4" w:space="0"/>
              <w:right w:val="single" w:color="auto" w:sz="4" w:space="0"/>
            </w:tcBorders>
            <w:vAlign w:val="center"/>
          </w:tcPr>
          <w:p w14:paraId="575B0084">
            <w:pPr>
              <w:spacing w:line="340" w:lineRule="exact"/>
              <w:jc w:val="center"/>
              <w:rPr>
                <w:rFonts w:ascii="宋体" w:hAnsi="宋体"/>
                <w:color w:val="auto"/>
                <w:sz w:val="21"/>
                <w:szCs w:val="21"/>
                <w:highlight w:val="none"/>
              </w:rPr>
            </w:pPr>
          </w:p>
        </w:tc>
        <w:tc>
          <w:tcPr>
            <w:tcW w:w="2220" w:type="dxa"/>
            <w:tcBorders>
              <w:top w:val="single" w:color="auto" w:sz="4" w:space="0"/>
              <w:left w:val="single" w:color="auto" w:sz="4" w:space="0"/>
              <w:bottom w:val="single" w:color="auto" w:sz="4" w:space="0"/>
              <w:right w:val="single" w:color="auto" w:sz="4" w:space="0"/>
            </w:tcBorders>
            <w:vAlign w:val="center"/>
          </w:tcPr>
          <w:p w14:paraId="7D96FCBA">
            <w:pPr>
              <w:spacing w:line="340" w:lineRule="exact"/>
              <w:jc w:val="center"/>
              <w:rPr>
                <w:rFonts w:ascii="宋体" w:hAnsi="宋体"/>
                <w:color w:val="auto"/>
                <w:sz w:val="21"/>
                <w:szCs w:val="21"/>
                <w:highlight w:val="none"/>
              </w:rPr>
            </w:pPr>
          </w:p>
        </w:tc>
        <w:tc>
          <w:tcPr>
            <w:tcW w:w="1275" w:type="dxa"/>
            <w:tcBorders>
              <w:top w:val="single" w:color="auto" w:sz="4" w:space="0"/>
              <w:left w:val="single" w:color="auto" w:sz="4" w:space="0"/>
              <w:bottom w:val="single" w:color="auto" w:sz="4" w:space="0"/>
              <w:right w:val="single" w:color="auto" w:sz="4" w:space="0"/>
            </w:tcBorders>
            <w:vAlign w:val="center"/>
          </w:tcPr>
          <w:p w14:paraId="3B29DC5D">
            <w:pPr>
              <w:spacing w:line="340" w:lineRule="exact"/>
              <w:jc w:val="center"/>
              <w:rPr>
                <w:rFonts w:ascii="宋体" w:hAnsi="宋体"/>
                <w:color w:val="auto"/>
                <w:sz w:val="21"/>
                <w:szCs w:val="21"/>
                <w:highlight w:val="none"/>
              </w:rPr>
            </w:pPr>
          </w:p>
        </w:tc>
      </w:tr>
      <w:tr w14:paraId="4612BB7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7" w:hRule="atLeast"/>
          <w:jc w:val="center"/>
        </w:trPr>
        <w:tc>
          <w:tcPr>
            <w:tcW w:w="993" w:type="dxa"/>
            <w:tcBorders>
              <w:top w:val="single" w:color="auto" w:sz="4" w:space="0"/>
              <w:left w:val="single" w:color="auto" w:sz="4" w:space="0"/>
              <w:bottom w:val="single" w:color="auto" w:sz="4" w:space="0"/>
              <w:right w:val="single" w:color="auto" w:sz="4" w:space="0"/>
            </w:tcBorders>
            <w:vAlign w:val="center"/>
          </w:tcPr>
          <w:p w14:paraId="274DB921">
            <w:pPr>
              <w:spacing w:line="340" w:lineRule="exact"/>
              <w:jc w:val="center"/>
              <w:rPr>
                <w:rFonts w:ascii="宋体" w:hAnsi="宋体"/>
                <w:color w:val="auto"/>
                <w:sz w:val="21"/>
                <w:szCs w:val="21"/>
                <w:highlight w:val="none"/>
              </w:rPr>
            </w:pPr>
            <w:r>
              <w:rPr>
                <w:rFonts w:hint="eastAsia" w:ascii="宋体" w:hAnsi="宋体"/>
                <w:color w:val="auto"/>
                <w:sz w:val="21"/>
                <w:szCs w:val="21"/>
                <w:highlight w:val="none"/>
              </w:rPr>
              <w:t>3</w:t>
            </w:r>
          </w:p>
        </w:tc>
        <w:tc>
          <w:tcPr>
            <w:tcW w:w="2523" w:type="dxa"/>
            <w:tcBorders>
              <w:top w:val="single" w:color="auto" w:sz="4" w:space="0"/>
              <w:left w:val="single" w:color="auto" w:sz="4" w:space="0"/>
              <w:bottom w:val="single" w:color="auto" w:sz="4" w:space="0"/>
              <w:right w:val="single" w:color="auto" w:sz="4" w:space="0"/>
            </w:tcBorders>
            <w:vAlign w:val="center"/>
          </w:tcPr>
          <w:p w14:paraId="76B53623">
            <w:pPr>
              <w:spacing w:line="340" w:lineRule="exact"/>
              <w:jc w:val="center"/>
              <w:rPr>
                <w:rFonts w:ascii="宋体" w:hAnsi="宋体"/>
                <w:color w:val="auto"/>
                <w:sz w:val="21"/>
                <w:szCs w:val="21"/>
                <w:highlight w:val="none"/>
              </w:rPr>
            </w:pPr>
          </w:p>
        </w:tc>
        <w:tc>
          <w:tcPr>
            <w:tcW w:w="2040" w:type="dxa"/>
            <w:tcBorders>
              <w:top w:val="single" w:color="auto" w:sz="4" w:space="0"/>
              <w:left w:val="single" w:color="auto" w:sz="4" w:space="0"/>
              <w:bottom w:val="single" w:color="auto" w:sz="4" w:space="0"/>
              <w:right w:val="single" w:color="auto" w:sz="4" w:space="0"/>
            </w:tcBorders>
            <w:vAlign w:val="center"/>
          </w:tcPr>
          <w:p w14:paraId="446752A0">
            <w:pPr>
              <w:spacing w:line="340" w:lineRule="exact"/>
              <w:jc w:val="center"/>
              <w:rPr>
                <w:rFonts w:ascii="宋体" w:hAnsi="宋体"/>
                <w:color w:val="auto"/>
                <w:sz w:val="21"/>
                <w:szCs w:val="21"/>
                <w:highlight w:val="none"/>
              </w:rPr>
            </w:pPr>
          </w:p>
        </w:tc>
        <w:tc>
          <w:tcPr>
            <w:tcW w:w="2220" w:type="dxa"/>
            <w:tcBorders>
              <w:top w:val="single" w:color="auto" w:sz="4" w:space="0"/>
              <w:left w:val="single" w:color="auto" w:sz="4" w:space="0"/>
              <w:bottom w:val="single" w:color="auto" w:sz="4" w:space="0"/>
              <w:right w:val="single" w:color="auto" w:sz="4" w:space="0"/>
            </w:tcBorders>
            <w:vAlign w:val="center"/>
          </w:tcPr>
          <w:p w14:paraId="5F3DEFE2">
            <w:pPr>
              <w:spacing w:line="340" w:lineRule="exact"/>
              <w:jc w:val="center"/>
              <w:rPr>
                <w:rFonts w:ascii="宋体" w:hAnsi="宋体"/>
                <w:color w:val="auto"/>
                <w:sz w:val="21"/>
                <w:szCs w:val="21"/>
                <w:highlight w:val="none"/>
              </w:rPr>
            </w:pPr>
          </w:p>
        </w:tc>
        <w:tc>
          <w:tcPr>
            <w:tcW w:w="1275" w:type="dxa"/>
            <w:tcBorders>
              <w:top w:val="single" w:color="auto" w:sz="4" w:space="0"/>
              <w:left w:val="single" w:color="auto" w:sz="4" w:space="0"/>
              <w:bottom w:val="single" w:color="auto" w:sz="4" w:space="0"/>
              <w:right w:val="single" w:color="auto" w:sz="4" w:space="0"/>
            </w:tcBorders>
            <w:vAlign w:val="center"/>
          </w:tcPr>
          <w:p w14:paraId="373370E5">
            <w:pPr>
              <w:spacing w:line="340" w:lineRule="exact"/>
              <w:jc w:val="center"/>
              <w:rPr>
                <w:rFonts w:ascii="宋体" w:hAnsi="宋体"/>
                <w:color w:val="auto"/>
                <w:sz w:val="21"/>
                <w:szCs w:val="21"/>
                <w:highlight w:val="none"/>
              </w:rPr>
            </w:pPr>
          </w:p>
        </w:tc>
      </w:tr>
      <w:tr w14:paraId="546FA8A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7" w:hRule="atLeast"/>
          <w:jc w:val="center"/>
        </w:trPr>
        <w:tc>
          <w:tcPr>
            <w:tcW w:w="993" w:type="dxa"/>
            <w:tcBorders>
              <w:top w:val="single" w:color="auto" w:sz="4" w:space="0"/>
              <w:left w:val="single" w:color="auto" w:sz="4" w:space="0"/>
              <w:bottom w:val="single" w:color="auto" w:sz="4" w:space="0"/>
              <w:right w:val="single" w:color="auto" w:sz="4" w:space="0"/>
            </w:tcBorders>
            <w:vAlign w:val="center"/>
          </w:tcPr>
          <w:p w14:paraId="41D0A794">
            <w:pPr>
              <w:spacing w:line="340" w:lineRule="exact"/>
              <w:jc w:val="center"/>
              <w:rPr>
                <w:rFonts w:ascii="宋体" w:hAnsi="宋体"/>
                <w:color w:val="auto"/>
                <w:sz w:val="21"/>
                <w:szCs w:val="21"/>
                <w:highlight w:val="none"/>
              </w:rPr>
            </w:pPr>
            <w:r>
              <w:rPr>
                <w:rFonts w:hint="eastAsia" w:ascii="宋体" w:hAnsi="宋体"/>
                <w:color w:val="auto"/>
                <w:sz w:val="21"/>
                <w:szCs w:val="21"/>
                <w:highlight w:val="none"/>
              </w:rPr>
              <w:t>4</w:t>
            </w:r>
          </w:p>
        </w:tc>
        <w:tc>
          <w:tcPr>
            <w:tcW w:w="2523" w:type="dxa"/>
            <w:tcBorders>
              <w:top w:val="single" w:color="auto" w:sz="4" w:space="0"/>
              <w:left w:val="single" w:color="auto" w:sz="4" w:space="0"/>
              <w:bottom w:val="single" w:color="auto" w:sz="4" w:space="0"/>
              <w:right w:val="single" w:color="auto" w:sz="4" w:space="0"/>
            </w:tcBorders>
            <w:vAlign w:val="center"/>
          </w:tcPr>
          <w:p w14:paraId="76C001D4">
            <w:pPr>
              <w:spacing w:line="340" w:lineRule="exact"/>
              <w:jc w:val="center"/>
              <w:rPr>
                <w:rFonts w:ascii="宋体" w:hAnsi="宋体"/>
                <w:color w:val="auto"/>
                <w:sz w:val="21"/>
                <w:szCs w:val="21"/>
                <w:highlight w:val="none"/>
              </w:rPr>
            </w:pPr>
          </w:p>
        </w:tc>
        <w:tc>
          <w:tcPr>
            <w:tcW w:w="2040" w:type="dxa"/>
            <w:tcBorders>
              <w:top w:val="single" w:color="auto" w:sz="4" w:space="0"/>
              <w:left w:val="single" w:color="auto" w:sz="4" w:space="0"/>
              <w:bottom w:val="single" w:color="auto" w:sz="4" w:space="0"/>
              <w:right w:val="single" w:color="auto" w:sz="4" w:space="0"/>
            </w:tcBorders>
            <w:vAlign w:val="center"/>
          </w:tcPr>
          <w:p w14:paraId="356C1E24">
            <w:pPr>
              <w:spacing w:line="340" w:lineRule="exact"/>
              <w:jc w:val="center"/>
              <w:rPr>
                <w:rFonts w:ascii="宋体" w:hAnsi="宋体"/>
                <w:color w:val="auto"/>
                <w:sz w:val="21"/>
                <w:szCs w:val="21"/>
                <w:highlight w:val="none"/>
              </w:rPr>
            </w:pPr>
          </w:p>
        </w:tc>
        <w:tc>
          <w:tcPr>
            <w:tcW w:w="2220" w:type="dxa"/>
            <w:tcBorders>
              <w:top w:val="single" w:color="auto" w:sz="4" w:space="0"/>
              <w:left w:val="single" w:color="auto" w:sz="4" w:space="0"/>
              <w:bottom w:val="single" w:color="auto" w:sz="4" w:space="0"/>
              <w:right w:val="single" w:color="auto" w:sz="4" w:space="0"/>
            </w:tcBorders>
            <w:vAlign w:val="center"/>
          </w:tcPr>
          <w:p w14:paraId="0C3CC65C">
            <w:pPr>
              <w:spacing w:line="340" w:lineRule="exact"/>
              <w:jc w:val="center"/>
              <w:rPr>
                <w:rFonts w:ascii="宋体" w:hAnsi="宋体"/>
                <w:color w:val="auto"/>
                <w:sz w:val="21"/>
                <w:szCs w:val="21"/>
                <w:highlight w:val="none"/>
              </w:rPr>
            </w:pPr>
          </w:p>
        </w:tc>
        <w:tc>
          <w:tcPr>
            <w:tcW w:w="1275" w:type="dxa"/>
            <w:tcBorders>
              <w:top w:val="single" w:color="auto" w:sz="4" w:space="0"/>
              <w:left w:val="single" w:color="auto" w:sz="4" w:space="0"/>
              <w:bottom w:val="single" w:color="auto" w:sz="4" w:space="0"/>
              <w:right w:val="single" w:color="auto" w:sz="4" w:space="0"/>
            </w:tcBorders>
            <w:vAlign w:val="center"/>
          </w:tcPr>
          <w:p w14:paraId="63B0BBF3">
            <w:pPr>
              <w:spacing w:line="340" w:lineRule="exact"/>
              <w:jc w:val="center"/>
              <w:rPr>
                <w:rFonts w:ascii="宋体" w:hAnsi="宋体"/>
                <w:color w:val="auto"/>
                <w:sz w:val="21"/>
                <w:szCs w:val="21"/>
                <w:highlight w:val="none"/>
              </w:rPr>
            </w:pPr>
          </w:p>
        </w:tc>
      </w:tr>
      <w:tr w14:paraId="2F98C0E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7" w:hRule="atLeast"/>
          <w:jc w:val="center"/>
        </w:trPr>
        <w:tc>
          <w:tcPr>
            <w:tcW w:w="993" w:type="dxa"/>
            <w:tcBorders>
              <w:top w:val="single" w:color="auto" w:sz="4" w:space="0"/>
              <w:left w:val="single" w:color="auto" w:sz="4" w:space="0"/>
              <w:bottom w:val="single" w:color="auto" w:sz="4" w:space="0"/>
              <w:right w:val="single" w:color="auto" w:sz="4" w:space="0"/>
            </w:tcBorders>
            <w:vAlign w:val="center"/>
          </w:tcPr>
          <w:p w14:paraId="7301224B">
            <w:pPr>
              <w:spacing w:line="340" w:lineRule="exact"/>
              <w:jc w:val="center"/>
              <w:rPr>
                <w:rFonts w:ascii="宋体" w:hAnsi="宋体"/>
                <w:color w:val="auto"/>
                <w:sz w:val="21"/>
                <w:szCs w:val="21"/>
                <w:highlight w:val="none"/>
              </w:rPr>
            </w:pPr>
            <w:r>
              <w:rPr>
                <w:rFonts w:hint="eastAsia" w:ascii="宋体" w:hAnsi="宋体"/>
                <w:color w:val="auto"/>
                <w:sz w:val="21"/>
                <w:szCs w:val="21"/>
                <w:highlight w:val="none"/>
              </w:rPr>
              <w:t>5</w:t>
            </w:r>
          </w:p>
        </w:tc>
        <w:tc>
          <w:tcPr>
            <w:tcW w:w="2523" w:type="dxa"/>
            <w:tcBorders>
              <w:top w:val="single" w:color="auto" w:sz="4" w:space="0"/>
              <w:left w:val="single" w:color="auto" w:sz="4" w:space="0"/>
              <w:bottom w:val="single" w:color="auto" w:sz="4" w:space="0"/>
              <w:right w:val="single" w:color="auto" w:sz="4" w:space="0"/>
            </w:tcBorders>
            <w:vAlign w:val="center"/>
          </w:tcPr>
          <w:p w14:paraId="08D9B1D7">
            <w:pPr>
              <w:spacing w:line="340" w:lineRule="exact"/>
              <w:jc w:val="center"/>
              <w:rPr>
                <w:rFonts w:ascii="宋体" w:hAnsi="宋体"/>
                <w:color w:val="auto"/>
                <w:sz w:val="21"/>
                <w:szCs w:val="21"/>
                <w:highlight w:val="none"/>
              </w:rPr>
            </w:pPr>
          </w:p>
        </w:tc>
        <w:tc>
          <w:tcPr>
            <w:tcW w:w="2040" w:type="dxa"/>
            <w:tcBorders>
              <w:top w:val="single" w:color="auto" w:sz="4" w:space="0"/>
              <w:left w:val="single" w:color="auto" w:sz="4" w:space="0"/>
              <w:bottom w:val="single" w:color="auto" w:sz="4" w:space="0"/>
              <w:right w:val="single" w:color="auto" w:sz="4" w:space="0"/>
            </w:tcBorders>
            <w:vAlign w:val="center"/>
          </w:tcPr>
          <w:p w14:paraId="241CCAFA">
            <w:pPr>
              <w:spacing w:line="340" w:lineRule="exact"/>
              <w:jc w:val="center"/>
              <w:rPr>
                <w:rFonts w:ascii="宋体" w:hAnsi="宋体"/>
                <w:color w:val="auto"/>
                <w:sz w:val="21"/>
                <w:szCs w:val="21"/>
                <w:highlight w:val="none"/>
              </w:rPr>
            </w:pPr>
          </w:p>
        </w:tc>
        <w:tc>
          <w:tcPr>
            <w:tcW w:w="2220" w:type="dxa"/>
            <w:tcBorders>
              <w:top w:val="single" w:color="auto" w:sz="4" w:space="0"/>
              <w:left w:val="single" w:color="auto" w:sz="4" w:space="0"/>
              <w:bottom w:val="single" w:color="auto" w:sz="4" w:space="0"/>
              <w:right w:val="single" w:color="auto" w:sz="4" w:space="0"/>
            </w:tcBorders>
            <w:vAlign w:val="center"/>
          </w:tcPr>
          <w:p w14:paraId="3653D225">
            <w:pPr>
              <w:spacing w:line="340" w:lineRule="exact"/>
              <w:jc w:val="center"/>
              <w:rPr>
                <w:rFonts w:ascii="宋体" w:hAnsi="宋体"/>
                <w:color w:val="auto"/>
                <w:sz w:val="21"/>
                <w:szCs w:val="21"/>
                <w:highlight w:val="none"/>
              </w:rPr>
            </w:pPr>
          </w:p>
        </w:tc>
        <w:tc>
          <w:tcPr>
            <w:tcW w:w="1275" w:type="dxa"/>
            <w:tcBorders>
              <w:top w:val="single" w:color="auto" w:sz="4" w:space="0"/>
              <w:left w:val="single" w:color="auto" w:sz="4" w:space="0"/>
              <w:bottom w:val="single" w:color="auto" w:sz="4" w:space="0"/>
              <w:right w:val="single" w:color="auto" w:sz="4" w:space="0"/>
            </w:tcBorders>
            <w:vAlign w:val="center"/>
          </w:tcPr>
          <w:p w14:paraId="5C964622">
            <w:pPr>
              <w:spacing w:line="340" w:lineRule="exact"/>
              <w:jc w:val="center"/>
              <w:rPr>
                <w:rFonts w:ascii="宋体" w:hAnsi="宋体"/>
                <w:color w:val="auto"/>
                <w:sz w:val="21"/>
                <w:szCs w:val="21"/>
                <w:highlight w:val="none"/>
              </w:rPr>
            </w:pPr>
          </w:p>
        </w:tc>
      </w:tr>
      <w:tr w14:paraId="007DEA0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7" w:hRule="atLeast"/>
          <w:jc w:val="center"/>
        </w:trPr>
        <w:tc>
          <w:tcPr>
            <w:tcW w:w="993" w:type="dxa"/>
            <w:tcBorders>
              <w:top w:val="single" w:color="auto" w:sz="4" w:space="0"/>
              <w:left w:val="single" w:color="auto" w:sz="4" w:space="0"/>
              <w:bottom w:val="single" w:color="auto" w:sz="4" w:space="0"/>
              <w:right w:val="single" w:color="auto" w:sz="4" w:space="0"/>
            </w:tcBorders>
            <w:vAlign w:val="center"/>
          </w:tcPr>
          <w:p w14:paraId="0B5C42A4">
            <w:pPr>
              <w:spacing w:line="340" w:lineRule="exact"/>
              <w:jc w:val="center"/>
              <w:rPr>
                <w:rFonts w:ascii="宋体" w:hAnsi="宋体"/>
                <w:color w:val="auto"/>
                <w:sz w:val="21"/>
                <w:szCs w:val="21"/>
                <w:highlight w:val="none"/>
              </w:rPr>
            </w:pPr>
            <w:r>
              <w:rPr>
                <w:rFonts w:hint="eastAsia" w:ascii="宋体" w:hAnsi="宋体"/>
                <w:color w:val="auto"/>
                <w:sz w:val="21"/>
                <w:szCs w:val="21"/>
                <w:highlight w:val="none"/>
              </w:rPr>
              <w:t>6</w:t>
            </w:r>
          </w:p>
        </w:tc>
        <w:tc>
          <w:tcPr>
            <w:tcW w:w="2523" w:type="dxa"/>
            <w:tcBorders>
              <w:top w:val="single" w:color="auto" w:sz="4" w:space="0"/>
              <w:left w:val="single" w:color="auto" w:sz="4" w:space="0"/>
              <w:bottom w:val="single" w:color="auto" w:sz="4" w:space="0"/>
              <w:right w:val="single" w:color="auto" w:sz="4" w:space="0"/>
            </w:tcBorders>
            <w:vAlign w:val="center"/>
          </w:tcPr>
          <w:p w14:paraId="461CAD95">
            <w:pPr>
              <w:spacing w:line="340" w:lineRule="exact"/>
              <w:jc w:val="center"/>
              <w:rPr>
                <w:rFonts w:ascii="宋体" w:hAnsi="宋体"/>
                <w:color w:val="auto"/>
                <w:sz w:val="21"/>
                <w:szCs w:val="21"/>
                <w:highlight w:val="none"/>
              </w:rPr>
            </w:pPr>
          </w:p>
        </w:tc>
        <w:tc>
          <w:tcPr>
            <w:tcW w:w="2040" w:type="dxa"/>
            <w:tcBorders>
              <w:top w:val="single" w:color="auto" w:sz="4" w:space="0"/>
              <w:left w:val="single" w:color="auto" w:sz="4" w:space="0"/>
              <w:bottom w:val="single" w:color="auto" w:sz="4" w:space="0"/>
              <w:right w:val="single" w:color="auto" w:sz="4" w:space="0"/>
            </w:tcBorders>
            <w:vAlign w:val="center"/>
          </w:tcPr>
          <w:p w14:paraId="1244DE0C">
            <w:pPr>
              <w:spacing w:line="340" w:lineRule="exact"/>
              <w:jc w:val="center"/>
              <w:rPr>
                <w:rFonts w:ascii="宋体" w:hAnsi="宋体"/>
                <w:color w:val="auto"/>
                <w:sz w:val="21"/>
                <w:szCs w:val="21"/>
                <w:highlight w:val="none"/>
              </w:rPr>
            </w:pPr>
          </w:p>
        </w:tc>
        <w:tc>
          <w:tcPr>
            <w:tcW w:w="2220" w:type="dxa"/>
            <w:tcBorders>
              <w:top w:val="single" w:color="auto" w:sz="4" w:space="0"/>
              <w:left w:val="single" w:color="auto" w:sz="4" w:space="0"/>
              <w:bottom w:val="single" w:color="auto" w:sz="4" w:space="0"/>
              <w:right w:val="single" w:color="auto" w:sz="4" w:space="0"/>
            </w:tcBorders>
            <w:vAlign w:val="center"/>
          </w:tcPr>
          <w:p w14:paraId="48C569C4">
            <w:pPr>
              <w:spacing w:line="340" w:lineRule="exact"/>
              <w:jc w:val="center"/>
              <w:rPr>
                <w:rFonts w:ascii="宋体" w:hAnsi="宋体"/>
                <w:color w:val="auto"/>
                <w:sz w:val="21"/>
                <w:szCs w:val="21"/>
                <w:highlight w:val="none"/>
              </w:rPr>
            </w:pPr>
          </w:p>
        </w:tc>
        <w:tc>
          <w:tcPr>
            <w:tcW w:w="1275" w:type="dxa"/>
            <w:tcBorders>
              <w:top w:val="single" w:color="auto" w:sz="4" w:space="0"/>
              <w:left w:val="single" w:color="auto" w:sz="4" w:space="0"/>
              <w:bottom w:val="single" w:color="auto" w:sz="4" w:space="0"/>
              <w:right w:val="single" w:color="auto" w:sz="4" w:space="0"/>
            </w:tcBorders>
            <w:vAlign w:val="center"/>
          </w:tcPr>
          <w:p w14:paraId="35782F06">
            <w:pPr>
              <w:spacing w:line="340" w:lineRule="exact"/>
              <w:jc w:val="center"/>
              <w:rPr>
                <w:rFonts w:ascii="宋体" w:hAnsi="宋体"/>
                <w:color w:val="auto"/>
                <w:sz w:val="21"/>
                <w:szCs w:val="21"/>
                <w:highlight w:val="none"/>
              </w:rPr>
            </w:pPr>
          </w:p>
        </w:tc>
      </w:tr>
    </w:tbl>
    <w:p w14:paraId="205DAF40">
      <w:pPr>
        <w:spacing w:line="340" w:lineRule="exact"/>
        <w:ind w:firstLine="420" w:firstLineChars="200"/>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注：</w:t>
      </w:r>
      <w:r>
        <w:rPr>
          <w:rFonts w:hint="eastAsia" w:ascii="宋体" w:hAnsi="宋体" w:cs="宋体"/>
          <w:color w:val="auto"/>
          <w:sz w:val="21"/>
          <w:szCs w:val="21"/>
          <w:highlight w:val="none"/>
        </w:rPr>
        <w:t>根据投标人实际情况提供相关人员证明材料</w:t>
      </w:r>
      <w:r>
        <w:rPr>
          <w:rFonts w:hint="eastAsia" w:ascii="宋体" w:hAnsi="宋体" w:cs="宋体"/>
          <w:color w:val="auto"/>
          <w:sz w:val="21"/>
          <w:szCs w:val="21"/>
          <w:highlight w:val="none"/>
          <w:lang w:val="zh-CN"/>
        </w:rPr>
        <w:t>。</w:t>
      </w:r>
    </w:p>
    <w:p w14:paraId="4E39264E">
      <w:pPr>
        <w:spacing w:line="240" w:lineRule="exact"/>
        <w:ind w:right="300"/>
        <w:rPr>
          <w:rFonts w:ascii="宋体" w:hAnsi="宋体" w:cs="宋体"/>
          <w:b/>
          <w:color w:val="auto"/>
          <w:sz w:val="21"/>
          <w:szCs w:val="21"/>
          <w:highlight w:val="none"/>
        </w:rPr>
      </w:pPr>
    </w:p>
    <w:p w14:paraId="23E38A28">
      <w:pPr>
        <w:spacing w:line="240" w:lineRule="exact"/>
        <w:ind w:right="300"/>
        <w:rPr>
          <w:rFonts w:hAnsi="宋体"/>
          <w:b/>
          <w:color w:val="auto"/>
          <w:szCs w:val="21"/>
          <w:highlight w:val="none"/>
        </w:rPr>
      </w:pPr>
    </w:p>
    <w:p w14:paraId="39D0D450">
      <w:pPr>
        <w:spacing w:line="240" w:lineRule="exact"/>
        <w:ind w:right="300"/>
        <w:rPr>
          <w:rFonts w:hAnsi="宋体"/>
          <w:b/>
          <w:color w:val="auto"/>
          <w:szCs w:val="21"/>
          <w:highlight w:val="none"/>
        </w:rPr>
      </w:pPr>
    </w:p>
    <w:p w14:paraId="79913FAD">
      <w:pPr>
        <w:pStyle w:val="281"/>
        <w:ind w:firstLine="420"/>
        <w:rPr>
          <w:rFonts w:ascii="宋体" w:hAnsi="宋体"/>
          <w:color w:val="auto"/>
          <w:sz w:val="21"/>
          <w:szCs w:val="21"/>
          <w:highlight w:val="none"/>
        </w:rPr>
      </w:pPr>
    </w:p>
    <w:p w14:paraId="21A8CC40">
      <w:pPr>
        <w:pStyle w:val="308"/>
        <w:spacing w:line="440" w:lineRule="exact"/>
        <w:rPr>
          <w:rFonts w:hAnsi="宋体"/>
          <w:color w:val="auto"/>
          <w:highlight w:val="none"/>
        </w:rPr>
      </w:pPr>
      <w:r>
        <w:rPr>
          <w:rFonts w:hint="eastAsia" w:hAnsi="宋体"/>
          <w:color w:val="auto"/>
          <w:highlight w:val="none"/>
        </w:rPr>
        <w:t>投标人：（加</w:t>
      </w:r>
      <w:r>
        <w:rPr>
          <w:rFonts w:hint="eastAsia" w:ascii="宋体" w:hAnsi="宋体" w:cs="宋体"/>
          <w:color w:val="auto"/>
          <w:highlight w:val="none"/>
        </w:rPr>
        <w:t>盖CA电</w:t>
      </w:r>
      <w:r>
        <w:rPr>
          <w:rFonts w:hint="eastAsia" w:hAnsi="宋体"/>
          <w:color w:val="auto"/>
          <w:highlight w:val="none"/>
        </w:rPr>
        <w:t>子公章）</w:t>
      </w:r>
    </w:p>
    <w:p w14:paraId="15DEA0B5">
      <w:pPr>
        <w:pStyle w:val="12"/>
        <w:spacing w:line="360" w:lineRule="auto"/>
        <w:rPr>
          <w:rFonts w:ascii="宋体" w:hAnsi="宋体" w:cs="宋体"/>
          <w:color w:val="auto"/>
          <w:szCs w:val="21"/>
          <w:highlight w:val="none"/>
        </w:rPr>
      </w:pPr>
      <w:r>
        <w:rPr>
          <w:rFonts w:hint="eastAsia" w:hAnsi="宋体"/>
          <w:color w:val="auto"/>
          <w:highlight w:val="none"/>
        </w:rPr>
        <w:t>日期：         年     月    日</w:t>
      </w:r>
    </w:p>
    <w:p w14:paraId="2A0B142F">
      <w:pPr>
        <w:pStyle w:val="281"/>
        <w:ind w:firstLine="420"/>
        <w:rPr>
          <w:rFonts w:ascii="宋体" w:hAnsi="宋体" w:cs="宋体"/>
          <w:color w:val="auto"/>
          <w:szCs w:val="21"/>
          <w:highlight w:val="none"/>
        </w:rPr>
      </w:pPr>
      <w:r>
        <w:rPr>
          <w:rFonts w:hint="eastAsia" w:ascii="宋体" w:hAnsi="宋体" w:cs="宋体"/>
          <w:color w:val="auto"/>
          <w:szCs w:val="21"/>
          <w:highlight w:val="none"/>
        </w:rPr>
        <w:br w:type="page" w:clear="all"/>
      </w:r>
      <w:bookmarkEnd w:id="75"/>
      <w:bookmarkEnd w:id="76"/>
      <w:bookmarkEnd w:id="77"/>
      <w:bookmarkEnd w:id="78"/>
      <w:bookmarkEnd w:id="79"/>
      <w:bookmarkEnd w:id="80"/>
      <w:bookmarkEnd w:id="81"/>
      <w:bookmarkEnd w:id="82"/>
    </w:p>
    <w:p w14:paraId="22283576">
      <w:pPr>
        <w:pStyle w:val="281"/>
        <w:ind w:firstLine="0"/>
        <w:rPr>
          <w:rFonts w:ascii="宋体" w:hAnsi="宋体" w:cs="宋体"/>
          <w:color w:val="auto"/>
          <w:sz w:val="21"/>
          <w:szCs w:val="21"/>
          <w:highlight w:val="none"/>
        </w:rPr>
      </w:pPr>
      <w:r>
        <w:rPr>
          <w:rFonts w:hint="eastAsia" w:ascii="宋体" w:hAnsi="宋体" w:cs="宋体"/>
          <w:b/>
          <w:color w:val="auto"/>
          <w:sz w:val="21"/>
          <w:szCs w:val="21"/>
          <w:highlight w:val="none"/>
        </w:rPr>
        <w:t>十</w:t>
      </w:r>
      <w:r>
        <w:rPr>
          <w:rFonts w:hint="eastAsia" w:ascii="宋体" w:hAnsi="宋体" w:cs="宋体"/>
          <w:b/>
          <w:color w:val="auto"/>
          <w:sz w:val="21"/>
          <w:szCs w:val="21"/>
          <w:highlight w:val="none"/>
          <w:lang w:val="en-US" w:eastAsia="zh-CN"/>
        </w:rPr>
        <w:t>一</w:t>
      </w:r>
      <w:r>
        <w:rPr>
          <w:rFonts w:hint="eastAsia" w:ascii="宋体" w:hAnsi="宋体" w:cs="宋体"/>
          <w:b/>
          <w:color w:val="auto"/>
          <w:sz w:val="21"/>
          <w:szCs w:val="21"/>
          <w:highlight w:val="none"/>
        </w:rPr>
        <w:t>、中小企业声明函</w:t>
      </w:r>
    </w:p>
    <w:p w14:paraId="173DD929">
      <w:pPr>
        <w:spacing w:line="360" w:lineRule="auto"/>
        <w:jc w:val="center"/>
        <w:rPr>
          <w:rFonts w:ascii="宋体" w:hAnsi="宋体" w:cs="宋体"/>
          <w:b/>
          <w:color w:val="auto"/>
          <w:sz w:val="21"/>
          <w:szCs w:val="21"/>
          <w:highlight w:val="none"/>
          <w:lang w:val="zh-CN"/>
        </w:rPr>
      </w:pPr>
      <w:r>
        <w:rPr>
          <w:rFonts w:hint="eastAsia" w:ascii="宋体" w:hAnsi="宋体" w:cs="宋体"/>
          <w:b/>
          <w:color w:val="auto"/>
          <w:sz w:val="21"/>
          <w:szCs w:val="21"/>
          <w:highlight w:val="none"/>
          <w:lang w:val="zh-CN"/>
        </w:rPr>
        <w:t>中小企业声明函</w:t>
      </w:r>
    </w:p>
    <w:p w14:paraId="3B5C3B60">
      <w:pPr>
        <w:spacing w:line="360" w:lineRule="auto"/>
        <w:jc w:val="center"/>
        <w:rPr>
          <w:rFonts w:ascii="宋体" w:hAnsi="宋体" w:cs="宋体"/>
          <w:color w:val="auto"/>
          <w:sz w:val="21"/>
          <w:szCs w:val="21"/>
          <w:highlight w:val="none"/>
          <w:lang w:val="zh-CN"/>
        </w:rPr>
      </w:pPr>
    </w:p>
    <w:p w14:paraId="24C8EE56">
      <w:pPr>
        <w:widowControl w:val="0"/>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本公司郑重声明，根据《政府采购促进中小企业发展管理办法》（财库﹝2020﹞46 号）的规定，本公司参加</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lang w:eastAsia="zh-CN"/>
        </w:rPr>
        <w:t>苏州高铁新城管理委员会</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的</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lang w:val="zh-CN"/>
        </w:rPr>
        <w:t>2026-2027年国土空间咨询及土地报批</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采购活动，服务全部由符合政策要求的中小企业承接。相关企业（含联合体中的中小企业、签订分包意向协议的中小企业）的具体情况如下：</w:t>
      </w:r>
    </w:p>
    <w:p w14:paraId="002973AA">
      <w:pPr>
        <w:widowControl w:val="0"/>
        <w:spacing w:line="360" w:lineRule="auto"/>
        <w:ind w:firstLine="420"/>
        <w:jc w:val="both"/>
        <w:rPr>
          <w:rFonts w:ascii="宋体" w:hAnsi="宋体" w:cs="宋体"/>
          <w:color w:val="auto"/>
          <w:sz w:val="21"/>
          <w:szCs w:val="21"/>
          <w:highlight w:val="none"/>
        </w:rPr>
      </w:pPr>
      <w:r>
        <w:rPr>
          <w:rFonts w:hint="eastAsia" w:ascii="宋体" w:hAnsi="宋体" w:cs="宋体"/>
          <w:color w:val="auto"/>
          <w:sz w:val="21"/>
          <w:szCs w:val="21"/>
          <w:highlight w:val="none"/>
        </w:rPr>
        <w:t>1.</w:t>
      </w:r>
      <w:r>
        <w:rPr>
          <w:rFonts w:hint="eastAsia" w:ascii="宋体" w:hAnsi="宋体" w:cs="宋体"/>
          <w:color w:val="auto"/>
          <w:sz w:val="21"/>
          <w:szCs w:val="21"/>
          <w:highlight w:val="none"/>
          <w:u w:val="single"/>
          <w:lang w:val="zh-CN"/>
        </w:rPr>
        <w:t>2026-2027年国土空间咨询及土地报批</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，属于</w:t>
      </w:r>
      <w:r>
        <w:rPr>
          <w:rFonts w:hint="eastAsia" w:ascii="宋体" w:hAnsi="宋体" w:cs="宋体"/>
          <w:color w:val="auto"/>
          <w:sz w:val="21"/>
          <w:szCs w:val="21"/>
          <w:highlight w:val="none"/>
          <w:u w:val="single"/>
        </w:rPr>
        <w:t>其他未列明行业</w:t>
      </w:r>
      <w:r>
        <w:rPr>
          <w:rFonts w:hint="eastAsia" w:ascii="宋体" w:hAnsi="宋体" w:cs="宋体"/>
          <w:color w:val="auto"/>
          <w:sz w:val="21"/>
          <w:szCs w:val="21"/>
          <w:highlight w:val="none"/>
        </w:rPr>
        <w:t>；承接企业为</w:t>
      </w:r>
      <w:r>
        <w:rPr>
          <w:rFonts w:hint="eastAsia" w:ascii="宋体" w:hAnsi="宋体" w:cs="宋体"/>
          <w:color w:val="auto"/>
          <w:sz w:val="21"/>
          <w:szCs w:val="21"/>
          <w:highlight w:val="none"/>
          <w:u w:val="single"/>
        </w:rPr>
        <w:t>（企业名称）</w:t>
      </w:r>
      <w:r>
        <w:rPr>
          <w:rFonts w:hint="eastAsia" w:ascii="宋体" w:hAnsi="宋体" w:cs="宋体"/>
          <w:color w:val="auto"/>
          <w:sz w:val="21"/>
          <w:szCs w:val="21"/>
          <w:highlight w:val="none"/>
        </w:rPr>
        <w:t>，从业人员</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人，营业收入为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万元，资产总额为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万元，属于</w:t>
      </w:r>
      <w:r>
        <w:rPr>
          <w:rFonts w:hint="eastAsia" w:ascii="宋体" w:hAnsi="宋体" w:cs="宋体"/>
          <w:color w:val="auto"/>
          <w:sz w:val="21"/>
          <w:szCs w:val="21"/>
          <w:highlight w:val="none"/>
          <w:u w:val="single"/>
        </w:rPr>
        <w:t>（中型企业、小型企业、微型企业，三者选一填写）</w:t>
      </w:r>
      <w:r>
        <w:rPr>
          <w:rFonts w:hint="eastAsia" w:ascii="宋体" w:hAnsi="宋体" w:cs="宋体"/>
          <w:color w:val="auto"/>
          <w:sz w:val="21"/>
          <w:szCs w:val="21"/>
          <w:highlight w:val="none"/>
        </w:rPr>
        <w:t>；</w:t>
      </w:r>
    </w:p>
    <w:p w14:paraId="105E5B5C">
      <w:pPr>
        <w:widowControl w:val="0"/>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w:t>
      </w:r>
    </w:p>
    <w:p w14:paraId="6C10342B">
      <w:pPr>
        <w:widowControl w:val="0"/>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以上企业，不属于大企业的分支机构，不存在控股股东为大企业的情形，也不存在与大企业的负责人为同一人的情形。</w:t>
      </w:r>
    </w:p>
    <w:p w14:paraId="2BE8814C">
      <w:pPr>
        <w:widowControl w:val="0"/>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本企业对上述声明内容的真实性负责。如有虚假，将依法承担相应责任。</w:t>
      </w:r>
    </w:p>
    <w:p w14:paraId="4E3F24CE">
      <w:pPr>
        <w:spacing w:line="360" w:lineRule="auto"/>
        <w:ind w:left="5040" w:firstLine="420"/>
        <w:rPr>
          <w:rFonts w:ascii="宋体" w:hAnsi="宋体" w:cs="宋体"/>
          <w:color w:val="auto"/>
          <w:sz w:val="21"/>
          <w:szCs w:val="21"/>
          <w:highlight w:val="none"/>
        </w:rPr>
      </w:pPr>
    </w:p>
    <w:p w14:paraId="15372996">
      <w:pPr>
        <w:spacing w:line="360" w:lineRule="auto"/>
        <w:ind w:left="5040" w:firstLine="420"/>
        <w:rPr>
          <w:rFonts w:ascii="宋体" w:hAnsi="宋体" w:cs="宋体"/>
          <w:color w:val="auto"/>
          <w:sz w:val="21"/>
          <w:szCs w:val="21"/>
          <w:highlight w:val="none"/>
        </w:rPr>
      </w:pPr>
      <w:r>
        <w:rPr>
          <w:rFonts w:hint="eastAsia" w:ascii="宋体" w:hAnsi="宋体" w:cs="宋体"/>
          <w:color w:val="auto"/>
          <w:sz w:val="21"/>
          <w:szCs w:val="21"/>
          <w:highlight w:val="none"/>
        </w:rPr>
        <w:t>企业名称（加盖CA电子公章）：</w:t>
      </w:r>
    </w:p>
    <w:p w14:paraId="51D1BB17">
      <w:pPr>
        <w:spacing w:line="360" w:lineRule="auto"/>
        <w:ind w:left="5040" w:firstLine="420"/>
        <w:rPr>
          <w:rFonts w:ascii="宋体" w:hAnsi="宋体" w:cs="宋体"/>
          <w:color w:val="auto"/>
          <w:sz w:val="21"/>
          <w:szCs w:val="21"/>
          <w:highlight w:val="none"/>
        </w:rPr>
      </w:pPr>
      <w:r>
        <w:rPr>
          <w:rFonts w:hint="eastAsia" w:ascii="宋体" w:hAnsi="宋体" w:cs="宋体"/>
          <w:color w:val="auto"/>
          <w:sz w:val="21"/>
          <w:szCs w:val="21"/>
          <w:highlight w:val="none"/>
        </w:rPr>
        <w:t>日期：</w:t>
      </w:r>
    </w:p>
    <w:p w14:paraId="71A00A8C">
      <w:pPr>
        <w:pStyle w:val="292"/>
        <w:spacing w:line="360" w:lineRule="auto"/>
        <w:ind w:firstLine="360"/>
        <w:rPr>
          <w:rFonts w:hAnsi="宋体" w:eastAsia="宋体" w:cs="宋体"/>
          <w:color w:val="auto"/>
          <w:sz w:val="21"/>
          <w:szCs w:val="21"/>
          <w:highlight w:val="none"/>
        </w:rPr>
      </w:pPr>
      <w:r>
        <w:rPr>
          <w:rFonts w:hint="eastAsia" w:hAnsi="宋体" w:eastAsia="宋体" w:cs="宋体"/>
          <w:color w:val="auto"/>
          <w:sz w:val="21"/>
          <w:szCs w:val="21"/>
          <w:highlight w:val="none"/>
        </w:rPr>
        <w:t>注：</w:t>
      </w:r>
    </w:p>
    <w:p w14:paraId="24133B4D">
      <w:pPr>
        <w:pStyle w:val="292"/>
        <w:spacing w:line="360" w:lineRule="auto"/>
        <w:ind w:firstLine="360"/>
        <w:rPr>
          <w:rFonts w:hAnsi="宋体" w:eastAsia="宋体" w:cs="宋体"/>
          <w:color w:val="auto"/>
          <w:sz w:val="21"/>
          <w:szCs w:val="21"/>
          <w:highlight w:val="none"/>
        </w:rPr>
      </w:pPr>
      <w:r>
        <w:rPr>
          <w:rFonts w:hint="eastAsia" w:hAnsi="宋体" w:eastAsia="宋体" w:cs="宋体"/>
          <w:color w:val="auto"/>
          <w:sz w:val="21"/>
          <w:szCs w:val="21"/>
          <w:highlight w:val="none"/>
        </w:rPr>
        <w:t>1.从业人员、营业收入、资产总额填报上一年度数据，无上一年度数据的新成立企业可不填报。</w:t>
      </w:r>
    </w:p>
    <w:p w14:paraId="1D3AEA12">
      <w:pPr>
        <w:pStyle w:val="292"/>
        <w:spacing w:line="360" w:lineRule="auto"/>
        <w:ind w:firstLine="360"/>
        <w:rPr>
          <w:rFonts w:hAnsi="宋体" w:eastAsia="宋体" w:cs="宋体"/>
          <w:color w:val="auto"/>
          <w:sz w:val="21"/>
          <w:szCs w:val="21"/>
          <w:highlight w:val="none"/>
        </w:rPr>
      </w:pPr>
      <w:r>
        <w:rPr>
          <w:rFonts w:hint="eastAsia" w:hAnsi="宋体" w:eastAsia="宋体" w:cs="宋体"/>
          <w:color w:val="auto"/>
          <w:sz w:val="21"/>
          <w:szCs w:val="21"/>
          <w:highlight w:val="none"/>
        </w:rPr>
        <w:t>2.若投标人提供的“中小企业声明函”内容不实的，属于提供虚假材料谋取中标，依照《中华人民共和国政府采购法》等国家有关规定追究相应责任。</w:t>
      </w:r>
    </w:p>
    <w:p w14:paraId="7B9CEC1F">
      <w:pPr>
        <w:pStyle w:val="292"/>
        <w:spacing w:line="360" w:lineRule="auto"/>
        <w:ind w:firstLine="360"/>
        <w:rPr>
          <w:rFonts w:hAnsi="宋体" w:eastAsia="宋体" w:cs="宋体"/>
          <w:color w:val="auto"/>
          <w:sz w:val="21"/>
          <w:szCs w:val="21"/>
          <w:highlight w:val="none"/>
        </w:rPr>
      </w:pPr>
      <w:r>
        <w:rPr>
          <w:rFonts w:hint="eastAsia" w:hAnsi="宋体" w:eastAsia="宋体" w:cs="宋体"/>
          <w:color w:val="auto"/>
          <w:sz w:val="21"/>
          <w:szCs w:val="21"/>
          <w:highlight w:val="none"/>
        </w:rPr>
        <w:t>3.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bookmarkStart w:id="84" w:name="_Toc23646"/>
      <w:bookmarkStart w:id="85" w:name="_Toc6737"/>
      <w:bookmarkStart w:id="86" w:name="_Toc27664"/>
    </w:p>
    <w:p w14:paraId="4A1A301F">
      <w:pPr>
        <w:pStyle w:val="292"/>
        <w:spacing w:line="360" w:lineRule="auto"/>
        <w:ind w:firstLine="360"/>
        <w:rPr>
          <w:rFonts w:hAnsi="宋体" w:eastAsia="宋体" w:cs="宋体"/>
          <w:color w:val="auto"/>
          <w:sz w:val="21"/>
          <w:szCs w:val="21"/>
          <w:highlight w:val="none"/>
        </w:rPr>
      </w:pPr>
      <w:r>
        <w:rPr>
          <w:rFonts w:hint="eastAsia" w:hAnsi="宋体" w:eastAsia="宋体" w:cs="宋体"/>
          <w:color w:val="auto"/>
          <w:sz w:val="21"/>
          <w:szCs w:val="21"/>
          <w:highlight w:val="none"/>
        </w:rPr>
        <w:t>4</w:t>
      </w:r>
      <w:bookmarkStart w:id="87" w:name="_Hlk111223500"/>
      <w:r>
        <w:rPr>
          <w:rFonts w:hint="eastAsia" w:hAnsi="宋体" w:eastAsia="宋体" w:cs="宋体"/>
          <w:color w:val="auto"/>
          <w:sz w:val="21"/>
          <w:szCs w:val="21"/>
          <w:highlight w:val="none"/>
        </w:rPr>
        <w:t>.投标文件中的电子签章视为投标人对本声明进行了签署盖章并承担相应责任。</w:t>
      </w:r>
      <w:bookmarkEnd w:id="87"/>
    </w:p>
    <w:p w14:paraId="41A9C398">
      <w:pPr>
        <w:pStyle w:val="292"/>
        <w:spacing w:line="360" w:lineRule="auto"/>
        <w:ind w:firstLine="360"/>
        <w:rPr>
          <w:rFonts w:hAnsi="宋体" w:eastAsia="宋体" w:cs="宋体"/>
          <w:color w:val="auto"/>
          <w:sz w:val="21"/>
          <w:szCs w:val="21"/>
          <w:highlight w:val="none"/>
        </w:rPr>
      </w:pPr>
      <w:r>
        <w:rPr>
          <w:rFonts w:hint="eastAsia" w:hAnsi="宋体" w:eastAsia="宋体" w:cs="宋体"/>
          <w:color w:val="auto"/>
          <w:sz w:val="21"/>
          <w:szCs w:val="21"/>
          <w:highlight w:val="none"/>
        </w:rPr>
        <w:t>5.《中小企业声明函》中所填的行业应与本采购标的对应的中小企业划分标准所属行业一致，不一致的不可享受相应政策优惠。</w:t>
      </w:r>
    </w:p>
    <w:p w14:paraId="7922E56D">
      <w:pPr>
        <w:pStyle w:val="292"/>
        <w:spacing w:line="360" w:lineRule="auto"/>
        <w:ind w:firstLine="360"/>
        <w:rPr>
          <w:rFonts w:hAnsi="宋体" w:eastAsia="宋体" w:cs="宋体"/>
          <w:b/>
          <w:bCs/>
          <w:color w:val="auto"/>
          <w:sz w:val="21"/>
          <w:szCs w:val="21"/>
          <w:highlight w:val="none"/>
        </w:rPr>
      </w:pPr>
      <w:r>
        <w:rPr>
          <w:rFonts w:hint="eastAsia" w:hAnsi="宋体" w:eastAsia="宋体" w:cs="宋体"/>
          <w:b/>
          <w:bCs/>
          <w:color w:val="auto"/>
          <w:sz w:val="21"/>
          <w:szCs w:val="21"/>
          <w:highlight w:val="none"/>
        </w:rPr>
        <w:t>6.服务类项目中投标人若使用退休人员，将不享受中小企业扶持政策。</w:t>
      </w:r>
    </w:p>
    <w:p w14:paraId="3408897C">
      <w:pPr>
        <w:rPr>
          <w:rFonts w:hint="eastAsia" w:ascii="宋体" w:hAnsi="宋体" w:cs="宋体"/>
          <w:b/>
          <w:color w:val="auto"/>
          <w:sz w:val="20"/>
          <w:szCs w:val="20"/>
          <w:highlight w:val="none"/>
        </w:rPr>
      </w:pPr>
    </w:p>
    <w:p w14:paraId="5EE8D396">
      <w:pPr>
        <w:rPr>
          <w:rFonts w:hint="eastAsia" w:ascii="宋体" w:hAnsi="宋体" w:cs="宋体"/>
          <w:b/>
          <w:color w:val="auto"/>
          <w:sz w:val="20"/>
          <w:szCs w:val="20"/>
          <w:highlight w:val="none"/>
        </w:rPr>
      </w:pPr>
    </w:p>
    <w:p w14:paraId="079D4561">
      <w:pPr>
        <w:rPr>
          <w:rFonts w:hint="eastAsia" w:ascii="宋体" w:hAnsi="宋体" w:cs="宋体"/>
          <w:b/>
          <w:color w:val="auto"/>
          <w:sz w:val="20"/>
          <w:szCs w:val="20"/>
          <w:highlight w:val="none"/>
        </w:rPr>
      </w:pPr>
    </w:p>
    <w:p w14:paraId="2AD09F15">
      <w:pPr>
        <w:rPr>
          <w:rFonts w:hint="eastAsia" w:ascii="宋体" w:hAnsi="宋体" w:cs="宋体"/>
          <w:b/>
          <w:color w:val="auto"/>
          <w:sz w:val="20"/>
          <w:szCs w:val="20"/>
          <w:highlight w:val="none"/>
        </w:rPr>
      </w:pPr>
    </w:p>
    <w:p w14:paraId="7C821E37">
      <w:pPr>
        <w:rPr>
          <w:rFonts w:hint="eastAsia" w:ascii="宋体" w:hAnsi="宋体" w:cs="宋体"/>
          <w:b/>
          <w:color w:val="auto"/>
          <w:sz w:val="20"/>
          <w:szCs w:val="20"/>
          <w:highlight w:val="none"/>
        </w:rPr>
      </w:pPr>
    </w:p>
    <w:p w14:paraId="71EB51D1">
      <w:pPr>
        <w:rPr>
          <w:rFonts w:hint="eastAsia" w:ascii="宋体" w:hAnsi="宋体" w:cs="宋体"/>
          <w:b/>
          <w:color w:val="auto"/>
          <w:sz w:val="20"/>
          <w:szCs w:val="20"/>
          <w:highlight w:val="none"/>
        </w:rPr>
      </w:pPr>
    </w:p>
    <w:p w14:paraId="4E49DBC5">
      <w:pPr>
        <w:rPr>
          <w:rFonts w:hint="eastAsia" w:ascii="宋体" w:hAnsi="宋体" w:cs="宋体"/>
          <w:b/>
          <w:color w:val="auto"/>
          <w:sz w:val="20"/>
          <w:szCs w:val="20"/>
          <w:highlight w:val="none"/>
        </w:rPr>
      </w:pPr>
    </w:p>
    <w:p w14:paraId="65D6B5FF">
      <w:pPr>
        <w:rPr>
          <w:rFonts w:hint="eastAsia" w:ascii="宋体" w:hAnsi="宋体" w:cs="宋体"/>
          <w:b/>
          <w:color w:val="auto"/>
          <w:sz w:val="20"/>
          <w:szCs w:val="20"/>
          <w:highlight w:val="none"/>
        </w:rPr>
      </w:pPr>
    </w:p>
    <w:p w14:paraId="322182A8">
      <w:pPr>
        <w:rPr>
          <w:rFonts w:hint="eastAsia" w:ascii="宋体" w:hAnsi="宋体" w:cs="宋体"/>
          <w:b/>
          <w:color w:val="auto"/>
          <w:sz w:val="20"/>
          <w:szCs w:val="20"/>
          <w:highlight w:val="none"/>
        </w:rPr>
      </w:pPr>
    </w:p>
    <w:p w14:paraId="118FB41B">
      <w:pPr>
        <w:rPr>
          <w:rFonts w:hint="eastAsia" w:ascii="宋体" w:hAnsi="宋体" w:cs="宋体"/>
          <w:b/>
          <w:color w:val="auto"/>
          <w:sz w:val="20"/>
          <w:szCs w:val="20"/>
          <w:highlight w:val="none"/>
        </w:rPr>
      </w:pPr>
    </w:p>
    <w:p w14:paraId="7C3FC4AB">
      <w:pPr>
        <w:rPr>
          <w:rFonts w:hint="eastAsia" w:ascii="宋体" w:hAnsi="宋体" w:cs="宋体"/>
          <w:b/>
          <w:color w:val="auto"/>
          <w:sz w:val="20"/>
          <w:szCs w:val="20"/>
          <w:highlight w:val="none"/>
        </w:rPr>
      </w:pPr>
    </w:p>
    <w:p w14:paraId="45AE86CB">
      <w:pPr>
        <w:rPr>
          <w:rFonts w:hint="eastAsia" w:ascii="宋体" w:hAnsi="宋体" w:cs="宋体"/>
          <w:b/>
          <w:color w:val="auto"/>
          <w:sz w:val="20"/>
          <w:szCs w:val="20"/>
          <w:highlight w:val="none"/>
        </w:rPr>
      </w:pPr>
    </w:p>
    <w:p w14:paraId="497523F5">
      <w:pPr>
        <w:rPr>
          <w:rFonts w:hint="eastAsia" w:ascii="宋体" w:hAnsi="宋体" w:cs="宋体"/>
          <w:b/>
          <w:color w:val="auto"/>
          <w:sz w:val="20"/>
          <w:szCs w:val="20"/>
          <w:highlight w:val="none"/>
        </w:rPr>
      </w:pPr>
    </w:p>
    <w:p w14:paraId="06330A55">
      <w:pPr>
        <w:rPr>
          <w:rFonts w:ascii="宋体" w:hAnsi="宋体" w:cs="宋体"/>
          <w:b/>
          <w:color w:val="auto"/>
          <w:sz w:val="20"/>
          <w:szCs w:val="20"/>
          <w:highlight w:val="none"/>
        </w:rPr>
      </w:pPr>
      <w:r>
        <w:rPr>
          <w:rFonts w:hint="eastAsia" w:ascii="宋体" w:hAnsi="宋体" w:cs="宋体"/>
          <w:b/>
          <w:color w:val="auto"/>
          <w:sz w:val="20"/>
          <w:szCs w:val="20"/>
          <w:highlight w:val="none"/>
        </w:rPr>
        <w:t>附：中小企业划型标准规定</w:t>
      </w:r>
    </w:p>
    <w:p w14:paraId="23FD24E0">
      <w:pPr>
        <w:spacing w:line="280" w:lineRule="exact"/>
        <w:ind w:firstLine="402"/>
        <w:jc w:val="both"/>
        <w:rPr>
          <w:rFonts w:ascii="宋体" w:hAnsi="宋体" w:cs="宋体"/>
          <w:color w:val="auto"/>
          <w:sz w:val="20"/>
          <w:szCs w:val="20"/>
          <w:highlight w:val="none"/>
        </w:rPr>
      </w:pPr>
      <w:r>
        <w:rPr>
          <w:rFonts w:hint="eastAsia" w:ascii="宋体" w:hAnsi="宋体" w:cs="宋体"/>
          <w:b/>
          <w:color w:val="auto"/>
          <w:sz w:val="20"/>
          <w:szCs w:val="20"/>
          <w:highlight w:val="none"/>
        </w:rPr>
        <w:t>（一）农、林、牧、渔业。</w:t>
      </w:r>
      <w:r>
        <w:rPr>
          <w:rFonts w:hint="eastAsia" w:ascii="宋体" w:hAnsi="宋体" w:cs="宋体"/>
          <w:color w:val="auto"/>
          <w:sz w:val="20"/>
          <w:szCs w:val="20"/>
          <w:highlight w:val="none"/>
        </w:rPr>
        <w:t>营业收入20000万元以下的为中小微型企业。其中，营业收入500万元及以上的为中型企业，营业收入50万元及以上的为小型企业，营业收入50万元以下的为微型企业。</w:t>
      </w:r>
    </w:p>
    <w:p w14:paraId="455C8E42">
      <w:pPr>
        <w:spacing w:line="280" w:lineRule="exact"/>
        <w:ind w:firstLine="402"/>
        <w:jc w:val="both"/>
        <w:rPr>
          <w:rFonts w:ascii="宋体" w:hAnsi="宋体" w:cs="宋体"/>
          <w:color w:val="auto"/>
          <w:sz w:val="20"/>
          <w:szCs w:val="20"/>
          <w:highlight w:val="none"/>
        </w:rPr>
      </w:pPr>
      <w:r>
        <w:rPr>
          <w:rFonts w:hint="eastAsia" w:ascii="宋体" w:hAnsi="宋体" w:cs="宋体"/>
          <w:b/>
          <w:color w:val="auto"/>
          <w:sz w:val="20"/>
          <w:szCs w:val="20"/>
          <w:highlight w:val="none"/>
        </w:rPr>
        <w:t>（二）工业。</w:t>
      </w:r>
      <w:r>
        <w:rPr>
          <w:rFonts w:hint="eastAsia" w:ascii="宋体" w:hAnsi="宋体" w:cs="宋体"/>
          <w:color w:val="auto"/>
          <w:sz w:val="20"/>
          <w:szCs w:val="20"/>
          <w:highlight w:val="none"/>
        </w:rPr>
        <w:t>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28399120">
      <w:pPr>
        <w:spacing w:line="280" w:lineRule="exact"/>
        <w:ind w:firstLine="402"/>
        <w:jc w:val="both"/>
        <w:rPr>
          <w:rFonts w:ascii="宋体" w:hAnsi="宋体" w:cs="宋体"/>
          <w:color w:val="auto"/>
          <w:sz w:val="20"/>
          <w:szCs w:val="20"/>
          <w:highlight w:val="none"/>
        </w:rPr>
      </w:pPr>
      <w:r>
        <w:rPr>
          <w:rFonts w:hint="eastAsia" w:ascii="宋体" w:hAnsi="宋体" w:cs="宋体"/>
          <w:b/>
          <w:color w:val="auto"/>
          <w:sz w:val="20"/>
          <w:szCs w:val="20"/>
          <w:highlight w:val="none"/>
        </w:rPr>
        <w:t>（三）建筑业。</w:t>
      </w:r>
      <w:r>
        <w:rPr>
          <w:rFonts w:hint="eastAsia" w:ascii="宋体" w:hAnsi="宋体" w:cs="宋体"/>
          <w:color w:val="auto"/>
          <w:sz w:val="20"/>
          <w:szCs w:val="20"/>
          <w:highlight w:val="none"/>
        </w:rPr>
        <w:t>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54B1D698">
      <w:pPr>
        <w:spacing w:line="280" w:lineRule="exact"/>
        <w:ind w:firstLine="402"/>
        <w:jc w:val="both"/>
        <w:rPr>
          <w:rFonts w:ascii="宋体" w:hAnsi="宋体" w:cs="宋体"/>
          <w:color w:val="auto"/>
          <w:sz w:val="20"/>
          <w:szCs w:val="20"/>
          <w:highlight w:val="none"/>
        </w:rPr>
      </w:pPr>
      <w:r>
        <w:rPr>
          <w:rFonts w:hint="eastAsia" w:ascii="宋体" w:hAnsi="宋体" w:cs="宋体"/>
          <w:b/>
          <w:color w:val="auto"/>
          <w:sz w:val="20"/>
          <w:szCs w:val="20"/>
          <w:highlight w:val="none"/>
        </w:rPr>
        <w:t>（四）批发业。</w:t>
      </w:r>
      <w:r>
        <w:rPr>
          <w:rFonts w:hint="eastAsia" w:ascii="宋体" w:hAnsi="宋体" w:cs="宋体"/>
          <w:color w:val="auto"/>
          <w:sz w:val="20"/>
          <w:szCs w:val="20"/>
          <w:highlight w:val="none"/>
        </w:rPr>
        <w:t>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6F2DE0E4">
      <w:pPr>
        <w:spacing w:line="280" w:lineRule="exact"/>
        <w:ind w:firstLine="402"/>
        <w:jc w:val="both"/>
        <w:rPr>
          <w:rFonts w:ascii="宋体" w:hAnsi="宋体" w:cs="宋体"/>
          <w:color w:val="auto"/>
          <w:sz w:val="20"/>
          <w:szCs w:val="20"/>
          <w:highlight w:val="none"/>
        </w:rPr>
      </w:pPr>
      <w:r>
        <w:rPr>
          <w:rFonts w:hint="eastAsia" w:ascii="宋体" w:hAnsi="宋体" w:cs="宋体"/>
          <w:b/>
          <w:color w:val="auto"/>
          <w:sz w:val="20"/>
          <w:szCs w:val="20"/>
          <w:highlight w:val="none"/>
        </w:rPr>
        <w:t>（五）零售业。</w:t>
      </w:r>
      <w:r>
        <w:rPr>
          <w:rFonts w:hint="eastAsia" w:ascii="宋体" w:hAnsi="宋体" w:cs="宋体"/>
          <w:color w:val="auto"/>
          <w:sz w:val="20"/>
          <w:szCs w:val="20"/>
          <w:highlight w:val="none"/>
        </w:rPr>
        <w:t>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39B8EED7">
      <w:pPr>
        <w:spacing w:line="280" w:lineRule="exact"/>
        <w:ind w:firstLine="402"/>
        <w:jc w:val="both"/>
        <w:rPr>
          <w:rFonts w:ascii="宋体" w:hAnsi="宋体" w:cs="宋体"/>
          <w:color w:val="auto"/>
          <w:sz w:val="20"/>
          <w:szCs w:val="20"/>
          <w:highlight w:val="none"/>
        </w:rPr>
      </w:pPr>
      <w:r>
        <w:rPr>
          <w:rFonts w:hint="eastAsia" w:ascii="宋体" w:hAnsi="宋体" w:cs="宋体"/>
          <w:b/>
          <w:color w:val="auto"/>
          <w:sz w:val="20"/>
          <w:szCs w:val="20"/>
          <w:highlight w:val="none"/>
        </w:rPr>
        <w:t>（六）交通运输业。</w:t>
      </w:r>
      <w:r>
        <w:rPr>
          <w:rFonts w:hint="eastAsia" w:ascii="宋体" w:hAnsi="宋体" w:cs="宋体"/>
          <w:color w:val="auto"/>
          <w:sz w:val="20"/>
          <w:szCs w:val="20"/>
          <w:highlight w:val="none"/>
        </w:rPr>
        <w:t>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4D159C30">
      <w:pPr>
        <w:spacing w:line="280" w:lineRule="exact"/>
        <w:ind w:firstLine="402"/>
        <w:jc w:val="both"/>
        <w:rPr>
          <w:rFonts w:ascii="宋体" w:hAnsi="宋体" w:cs="宋体"/>
          <w:color w:val="auto"/>
          <w:sz w:val="20"/>
          <w:szCs w:val="20"/>
          <w:highlight w:val="none"/>
        </w:rPr>
      </w:pPr>
      <w:r>
        <w:rPr>
          <w:rFonts w:hint="eastAsia" w:ascii="宋体" w:hAnsi="宋体" w:cs="宋体"/>
          <w:b/>
          <w:color w:val="auto"/>
          <w:sz w:val="20"/>
          <w:szCs w:val="20"/>
          <w:highlight w:val="none"/>
        </w:rPr>
        <w:t>（七）仓储业。</w:t>
      </w:r>
      <w:r>
        <w:rPr>
          <w:rFonts w:hint="eastAsia" w:ascii="宋体" w:hAnsi="宋体" w:cs="宋体"/>
          <w:color w:val="auto"/>
          <w:sz w:val="20"/>
          <w:szCs w:val="20"/>
          <w:highlight w:val="none"/>
        </w:rPr>
        <w:t>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5440CF62">
      <w:pPr>
        <w:spacing w:line="280" w:lineRule="exact"/>
        <w:ind w:firstLine="402"/>
        <w:jc w:val="both"/>
        <w:rPr>
          <w:rFonts w:ascii="宋体" w:hAnsi="宋体" w:cs="宋体"/>
          <w:color w:val="auto"/>
          <w:sz w:val="20"/>
          <w:szCs w:val="20"/>
          <w:highlight w:val="none"/>
        </w:rPr>
      </w:pPr>
      <w:r>
        <w:rPr>
          <w:rFonts w:hint="eastAsia" w:ascii="宋体" w:hAnsi="宋体" w:cs="宋体"/>
          <w:b/>
          <w:color w:val="auto"/>
          <w:sz w:val="20"/>
          <w:szCs w:val="20"/>
          <w:highlight w:val="none"/>
        </w:rPr>
        <w:t>（八）邮政业。</w:t>
      </w:r>
      <w:r>
        <w:rPr>
          <w:rFonts w:hint="eastAsia" w:ascii="宋体" w:hAnsi="宋体" w:cs="宋体"/>
          <w:color w:val="auto"/>
          <w:sz w:val="20"/>
          <w:szCs w:val="20"/>
          <w:highlight w:val="none"/>
        </w:rPr>
        <w:t>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34459222">
      <w:pPr>
        <w:spacing w:line="280" w:lineRule="exact"/>
        <w:ind w:firstLine="402"/>
        <w:jc w:val="both"/>
        <w:rPr>
          <w:rFonts w:ascii="宋体" w:hAnsi="宋体" w:cs="宋体"/>
          <w:color w:val="auto"/>
          <w:sz w:val="20"/>
          <w:szCs w:val="20"/>
          <w:highlight w:val="none"/>
        </w:rPr>
      </w:pPr>
      <w:r>
        <w:rPr>
          <w:rFonts w:hint="eastAsia" w:ascii="宋体" w:hAnsi="宋体" w:cs="宋体"/>
          <w:b/>
          <w:color w:val="auto"/>
          <w:sz w:val="20"/>
          <w:szCs w:val="20"/>
          <w:highlight w:val="none"/>
        </w:rPr>
        <w:t>（九）住宿业。</w:t>
      </w:r>
      <w:r>
        <w:rPr>
          <w:rFonts w:hint="eastAsia" w:ascii="宋体" w:hAnsi="宋体" w:cs="宋体"/>
          <w:color w:val="auto"/>
          <w:sz w:val="20"/>
          <w:szCs w:val="20"/>
          <w:highlight w:val="none"/>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6FFFA80C">
      <w:pPr>
        <w:spacing w:line="280" w:lineRule="exact"/>
        <w:ind w:firstLine="402"/>
        <w:jc w:val="both"/>
        <w:rPr>
          <w:rFonts w:ascii="宋体" w:hAnsi="宋体" w:cs="宋体"/>
          <w:color w:val="auto"/>
          <w:sz w:val="20"/>
          <w:szCs w:val="20"/>
          <w:highlight w:val="none"/>
        </w:rPr>
      </w:pPr>
      <w:r>
        <w:rPr>
          <w:rFonts w:hint="eastAsia" w:ascii="宋体" w:hAnsi="宋体" w:cs="宋体"/>
          <w:b/>
          <w:color w:val="auto"/>
          <w:sz w:val="20"/>
          <w:szCs w:val="20"/>
          <w:highlight w:val="none"/>
        </w:rPr>
        <w:t>（十）餐饮业。</w:t>
      </w:r>
      <w:r>
        <w:rPr>
          <w:rFonts w:hint="eastAsia" w:ascii="宋体" w:hAnsi="宋体" w:cs="宋体"/>
          <w:color w:val="auto"/>
          <w:sz w:val="20"/>
          <w:szCs w:val="20"/>
          <w:highlight w:val="none"/>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6EC7788A">
      <w:pPr>
        <w:spacing w:line="280" w:lineRule="exact"/>
        <w:ind w:firstLine="402"/>
        <w:jc w:val="both"/>
        <w:rPr>
          <w:rFonts w:ascii="宋体" w:hAnsi="宋体" w:cs="宋体"/>
          <w:color w:val="auto"/>
          <w:sz w:val="20"/>
          <w:szCs w:val="20"/>
          <w:highlight w:val="none"/>
        </w:rPr>
      </w:pPr>
      <w:r>
        <w:rPr>
          <w:rFonts w:hint="eastAsia" w:ascii="宋体" w:hAnsi="宋体" w:cs="宋体"/>
          <w:b/>
          <w:color w:val="auto"/>
          <w:sz w:val="20"/>
          <w:szCs w:val="20"/>
          <w:highlight w:val="none"/>
        </w:rPr>
        <w:t>（十一）信息传输业。</w:t>
      </w:r>
      <w:r>
        <w:rPr>
          <w:rFonts w:hint="eastAsia" w:ascii="宋体" w:hAnsi="宋体" w:cs="宋体"/>
          <w:color w:val="auto"/>
          <w:sz w:val="20"/>
          <w:szCs w:val="20"/>
          <w:highlight w:val="none"/>
        </w:rPr>
        <w:t>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2E4B24B3">
      <w:pPr>
        <w:spacing w:line="280" w:lineRule="exact"/>
        <w:ind w:firstLine="402"/>
        <w:jc w:val="both"/>
        <w:rPr>
          <w:rFonts w:ascii="宋体" w:hAnsi="宋体" w:cs="宋体"/>
          <w:color w:val="auto"/>
          <w:sz w:val="20"/>
          <w:szCs w:val="20"/>
          <w:highlight w:val="none"/>
        </w:rPr>
      </w:pPr>
      <w:r>
        <w:rPr>
          <w:rFonts w:hint="eastAsia" w:ascii="宋体" w:hAnsi="宋体" w:cs="宋体"/>
          <w:b/>
          <w:color w:val="auto"/>
          <w:sz w:val="20"/>
          <w:szCs w:val="20"/>
          <w:highlight w:val="none"/>
        </w:rPr>
        <w:t>（十二）软件和信息技术服务业。</w:t>
      </w:r>
      <w:r>
        <w:rPr>
          <w:rFonts w:hint="eastAsia" w:ascii="宋体" w:hAnsi="宋体" w:cs="宋体"/>
          <w:color w:val="auto"/>
          <w:sz w:val="20"/>
          <w:szCs w:val="20"/>
          <w:highlight w:val="none"/>
        </w:rPr>
        <w:t>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4280CCA9">
      <w:pPr>
        <w:spacing w:line="280" w:lineRule="exact"/>
        <w:ind w:firstLine="402"/>
        <w:jc w:val="both"/>
        <w:rPr>
          <w:rFonts w:ascii="宋体" w:hAnsi="宋体" w:cs="宋体"/>
          <w:color w:val="auto"/>
          <w:sz w:val="20"/>
          <w:szCs w:val="20"/>
          <w:highlight w:val="none"/>
        </w:rPr>
      </w:pPr>
      <w:r>
        <w:rPr>
          <w:rFonts w:hint="eastAsia" w:ascii="宋体" w:hAnsi="宋体" w:cs="宋体"/>
          <w:b/>
          <w:color w:val="auto"/>
          <w:sz w:val="20"/>
          <w:szCs w:val="20"/>
          <w:highlight w:val="none"/>
        </w:rPr>
        <w:t>（十三）房地产开发经营。</w:t>
      </w:r>
      <w:r>
        <w:rPr>
          <w:rFonts w:hint="eastAsia" w:ascii="宋体" w:hAnsi="宋体" w:cs="宋体"/>
          <w:color w:val="auto"/>
          <w:sz w:val="20"/>
          <w:szCs w:val="20"/>
          <w:highlight w:val="none"/>
        </w:rPr>
        <w:t>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2BE2F316">
      <w:pPr>
        <w:spacing w:line="280" w:lineRule="exact"/>
        <w:ind w:firstLine="402"/>
        <w:jc w:val="both"/>
        <w:rPr>
          <w:rFonts w:ascii="宋体" w:hAnsi="宋体" w:cs="宋体"/>
          <w:color w:val="auto"/>
          <w:sz w:val="20"/>
          <w:szCs w:val="20"/>
          <w:highlight w:val="none"/>
        </w:rPr>
      </w:pPr>
      <w:r>
        <w:rPr>
          <w:rFonts w:hint="eastAsia" w:ascii="宋体" w:hAnsi="宋体" w:cs="宋体"/>
          <w:b/>
          <w:color w:val="auto"/>
          <w:sz w:val="20"/>
          <w:szCs w:val="20"/>
          <w:highlight w:val="none"/>
        </w:rPr>
        <w:t>（十四）物业管理。</w:t>
      </w:r>
      <w:r>
        <w:rPr>
          <w:rFonts w:hint="eastAsia" w:ascii="宋体" w:hAnsi="宋体" w:cs="宋体"/>
          <w:color w:val="auto"/>
          <w:sz w:val="20"/>
          <w:szCs w:val="20"/>
          <w:highlight w:val="none"/>
        </w:rPr>
        <w:t>从业人员1000人以下或营业收入5000万元以下的为中小微型企业。其中，从业人员</w:t>
      </w:r>
    </w:p>
    <w:p w14:paraId="1CB7F9B2">
      <w:pPr>
        <w:spacing w:line="280" w:lineRule="exact"/>
        <w:jc w:val="both"/>
        <w:rPr>
          <w:rFonts w:ascii="宋体" w:hAnsi="宋体" w:cs="宋体"/>
          <w:color w:val="auto"/>
          <w:sz w:val="20"/>
          <w:szCs w:val="20"/>
          <w:highlight w:val="none"/>
        </w:rPr>
      </w:pPr>
      <w:r>
        <w:rPr>
          <w:rFonts w:hint="eastAsia" w:ascii="宋体" w:hAnsi="宋体" w:cs="宋体"/>
          <w:color w:val="auto"/>
          <w:sz w:val="20"/>
          <w:szCs w:val="20"/>
          <w:highlight w:val="none"/>
        </w:rPr>
        <w:t>300人及以上，且营业收入1000万元及以上的为中型企业；从业人员100人及以上，且营业收入500万元及以上的为小型企业；从业人员100人以下或营业收入500万元以下的为微型企业。</w:t>
      </w:r>
    </w:p>
    <w:p w14:paraId="231AE464">
      <w:pPr>
        <w:spacing w:line="280" w:lineRule="exact"/>
        <w:ind w:firstLine="402"/>
        <w:jc w:val="both"/>
        <w:rPr>
          <w:rFonts w:ascii="宋体" w:hAnsi="宋体" w:cs="宋体"/>
          <w:color w:val="auto"/>
          <w:sz w:val="20"/>
          <w:szCs w:val="20"/>
          <w:highlight w:val="none"/>
        </w:rPr>
      </w:pPr>
      <w:r>
        <w:rPr>
          <w:rFonts w:hint="eastAsia" w:ascii="宋体" w:hAnsi="宋体" w:cs="宋体"/>
          <w:b/>
          <w:color w:val="auto"/>
          <w:sz w:val="20"/>
          <w:szCs w:val="20"/>
          <w:highlight w:val="none"/>
        </w:rPr>
        <w:t>（十五）租赁和商务服务业。</w:t>
      </w:r>
      <w:r>
        <w:rPr>
          <w:rFonts w:hint="eastAsia" w:ascii="宋体" w:hAnsi="宋体" w:cs="宋体"/>
          <w:color w:val="auto"/>
          <w:sz w:val="20"/>
          <w:szCs w:val="20"/>
          <w:highlight w:val="none"/>
        </w:rPr>
        <w:t>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5D043990">
      <w:pPr>
        <w:spacing w:line="280" w:lineRule="exact"/>
        <w:ind w:firstLine="402"/>
        <w:jc w:val="both"/>
        <w:rPr>
          <w:rFonts w:ascii="宋体" w:hAnsi="宋体" w:cs="宋体"/>
          <w:color w:val="auto"/>
          <w:sz w:val="20"/>
          <w:szCs w:val="20"/>
          <w:highlight w:val="none"/>
        </w:rPr>
      </w:pPr>
      <w:r>
        <w:rPr>
          <w:rFonts w:hint="eastAsia" w:ascii="宋体" w:hAnsi="宋体" w:cs="宋体"/>
          <w:b/>
          <w:color w:val="auto"/>
          <w:sz w:val="20"/>
          <w:szCs w:val="20"/>
          <w:highlight w:val="none"/>
        </w:rPr>
        <w:t>（十六）其他未列明行业。</w:t>
      </w:r>
      <w:r>
        <w:rPr>
          <w:rFonts w:hint="eastAsia" w:ascii="宋体" w:hAnsi="宋体" w:cs="宋体"/>
          <w:color w:val="auto"/>
          <w:sz w:val="20"/>
          <w:szCs w:val="20"/>
          <w:highlight w:val="none"/>
        </w:rPr>
        <w:t>从业人员300人以下的为中小微型企业。其中，从业人员100人及以上的为中型企业；从业人员10人及以上的为小型企业；从业人员10人以下的为微型企业。</w:t>
      </w:r>
    </w:p>
    <w:p w14:paraId="04F5D941">
      <w:pPr>
        <w:spacing w:line="360" w:lineRule="auto"/>
        <w:rPr>
          <w:rFonts w:ascii="宋体" w:hAnsi="宋体" w:cs="宋体"/>
          <w:color w:val="auto"/>
          <w:sz w:val="21"/>
          <w:szCs w:val="21"/>
          <w:highlight w:val="none"/>
        </w:rPr>
      </w:pPr>
    </w:p>
    <w:p w14:paraId="74F4559E">
      <w:pPr>
        <w:rPr>
          <w:rFonts w:ascii="宋体" w:hAnsi="宋体" w:cs="宋体"/>
          <w:color w:val="auto"/>
          <w:highlight w:val="none"/>
          <w:lang w:val="zh-CN"/>
        </w:rPr>
      </w:pPr>
    </w:p>
    <w:p w14:paraId="414A57E8">
      <w:pPr>
        <w:rPr>
          <w:rFonts w:ascii="宋体" w:hAnsi="宋体" w:cs="宋体"/>
          <w:b/>
          <w:bCs/>
          <w:color w:val="auto"/>
          <w:sz w:val="21"/>
          <w:szCs w:val="21"/>
          <w:highlight w:val="none"/>
        </w:rPr>
      </w:pPr>
      <w:r>
        <w:rPr>
          <w:rFonts w:hint="eastAsia" w:ascii="宋体" w:hAnsi="宋体" w:cs="宋体"/>
          <w:b/>
          <w:bCs/>
          <w:color w:val="auto"/>
          <w:sz w:val="21"/>
          <w:szCs w:val="21"/>
          <w:highlight w:val="none"/>
        </w:rPr>
        <w:br w:type="page" w:clear="all"/>
      </w:r>
    </w:p>
    <w:p w14:paraId="372D8A64">
      <w:pPr>
        <w:pStyle w:val="292"/>
        <w:spacing w:line="360" w:lineRule="auto"/>
        <w:rPr>
          <w:rFonts w:hAnsi="宋体" w:eastAsia="宋体" w:cs="宋体"/>
          <w:color w:val="auto"/>
          <w:sz w:val="21"/>
          <w:szCs w:val="21"/>
          <w:highlight w:val="none"/>
        </w:rPr>
      </w:pPr>
      <w:r>
        <w:rPr>
          <w:rFonts w:hint="eastAsia" w:hAnsi="宋体" w:eastAsia="宋体" w:cs="宋体"/>
          <w:b/>
          <w:bCs/>
          <w:color w:val="auto"/>
          <w:sz w:val="21"/>
          <w:szCs w:val="21"/>
          <w:highlight w:val="none"/>
        </w:rPr>
        <w:t>十</w:t>
      </w:r>
      <w:r>
        <w:rPr>
          <w:rFonts w:hint="eastAsia" w:asciiTheme="minorEastAsia" w:hAnsiTheme="minorEastAsia" w:eastAsiaTheme="minorEastAsia" w:cstheme="minorEastAsia"/>
          <w:b/>
          <w:color w:val="auto"/>
          <w:sz w:val="21"/>
          <w:szCs w:val="21"/>
          <w:highlight w:val="none"/>
          <w:lang w:val="en-US" w:eastAsia="zh-CN"/>
        </w:rPr>
        <w:t>二</w:t>
      </w:r>
      <w:r>
        <w:rPr>
          <w:rFonts w:hint="eastAsia" w:asciiTheme="minorEastAsia" w:hAnsiTheme="minorEastAsia" w:eastAsiaTheme="minorEastAsia" w:cstheme="minorEastAsia"/>
          <w:b/>
          <w:bCs/>
          <w:color w:val="auto"/>
          <w:sz w:val="21"/>
          <w:szCs w:val="21"/>
          <w:highlight w:val="none"/>
        </w:rPr>
        <w:t>、</w:t>
      </w:r>
      <w:r>
        <w:rPr>
          <w:rFonts w:hint="eastAsia" w:hAnsi="宋体" w:eastAsia="宋体" w:cs="宋体"/>
          <w:b/>
          <w:bCs/>
          <w:color w:val="auto"/>
          <w:sz w:val="21"/>
          <w:szCs w:val="21"/>
          <w:highlight w:val="none"/>
        </w:rPr>
        <w:t>残疾人福利性单位声明函</w:t>
      </w:r>
      <w:bookmarkEnd w:id="84"/>
      <w:bookmarkEnd w:id="85"/>
      <w:bookmarkEnd w:id="86"/>
    </w:p>
    <w:p w14:paraId="0BC7C17E">
      <w:pPr>
        <w:pStyle w:val="292"/>
        <w:spacing w:line="360" w:lineRule="auto"/>
        <w:jc w:val="center"/>
        <w:rPr>
          <w:rFonts w:hAnsi="宋体" w:eastAsia="宋体" w:cs="宋体"/>
          <w:b/>
          <w:bCs/>
          <w:color w:val="auto"/>
          <w:sz w:val="21"/>
          <w:szCs w:val="21"/>
          <w:highlight w:val="none"/>
        </w:rPr>
      </w:pPr>
    </w:p>
    <w:p w14:paraId="6F769B52">
      <w:pPr>
        <w:pStyle w:val="292"/>
        <w:spacing w:line="360" w:lineRule="auto"/>
        <w:jc w:val="center"/>
        <w:rPr>
          <w:rFonts w:hAnsi="宋体" w:eastAsia="宋体" w:cs="宋体"/>
          <w:b/>
          <w:bCs/>
          <w:color w:val="auto"/>
          <w:sz w:val="21"/>
          <w:szCs w:val="21"/>
          <w:highlight w:val="none"/>
        </w:rPr>
      </w:pPr>
      <w:r>
        <w:rPr>
          <w:rFonts w:hint="eastAsia" w:hAnsi="宋体" w:eastAsia="宋体" w:cs="宋体"/>
          <w:b/>
          <w:bCs/>
          <w:color w:val="auto"/>
          <w:sz w:val="21"/>
          <w:szCs w:val="21"/>
          <w:highlight w:val="none"/>
        </w:rPr>
        <w:t>残疾人福利性单位声明函</w:t>
      </w:r>
    </w:p>
    <w:p w14:paraId="1D84EF02">
      <w:pPr>
        <w:pStyle w:val="47"/>
        <w:spacing w:before="0" w:beforeAutospacing="0" w:after="0" w:afterAutospacing="0" w:line="360" w:lineRule="auto"/>
        <w:ind w:firstLine="420"/>
        <w:jc w:val="both"/>
        <w:rPr>
          <w:rFonts w:hint="default" w:cs="宋体"/>
          <w:color w:val="auto"/>
          <w:sz w:val="21"/>
          <w:szCs w:val="21"/>
          <w:highlight w:val="none"/>
        </w:rPr>
      </w:pPr>
    </w:p>
    <w:p w14:paraId="0F307D04">
      <w:pPr>
        <w:widowControl w:val="0"/>
        <w:spacing w:line="580" w:lineRule="exact"/>
        <w:ind w:firstLine="504"/>
        <w:rPr>
          <w:rFonts w:ascii="宋体" w:hAnsi="宋体" w:cs="宋体"/>
          <w:color w:val="auto"/>
          <w:spacing w:val="6"/>
          <w:szCs w:val="21"/>
          <w:highlight w:val="none"/>
        </w:rPr>
      </w:pPr>
      <w:r>
        <w:rPr>
          <w:rFonts w:hint="eastAsia" w:ascii="宋体" w:hAnsi="宋体" w:cs="宋体"/>
          <w:color w:val="auto"/>
          <w:spacing w:val="6"/>
          <w:szCs w:val="21"/>
          <w:highlight w:val="none"/>
        </w:rPr>
        <w:t>本单位郑重声明，根据《财政部  民政部  中国残疾人联合会关于促进残疾人就业政府采购政策的通知》（财库</w:t>
      </w:r>
      <w:r>
        <w:rPr>
          <w:rFonts w:hint="eastAsia" w:ascii="宋体" w:hAnsi="宋体" w:cs="宋体"/>
          <w:color w:val="auto"/>
          <w:szCs w:val="21"/>
          <w:highlight w:val="none"/>
        </w:rPr>
        <w:t>〔2017〕141</w:t>
      </w:r>
      <w:r>
        <w:rPr>
          <w:rFonts w:hint="eastAsia" w:ascii="宋体" w:hAnsi="宋体" w:cs="宋体"/>
          <w:color w:val="auto"/>
          <w:spacing w:val="6"/>
          <w:szCs w:val="21"/>
          <w:highlight w:val="none"/>
        </w:rPr>
        <w:t>号）的规定，本单位为符合条件的残疾人福利性单位，且本单位参加</w:t>
      </w:r>
      <w:r>
        <w:rPr>
          <w:rFonts w:hint="eastAsia" w:ascii="宋体" w:hAnsi="宋体" w:cs="宋体"/>
          <w:color w:val="auto"/>
          <w:spacing w:val="6"/>
          <w:szCs w:val="21"/>
          <w:highlight w:val="none"/>
          <w:u w:val="single"/>
        </w:rPr>
        <w:t xml:space="preserve">        </w:t>
      </w:r>
      <w:r>
        <w:rPr>
          <w:rFonts w:hint="eastAsia" w:ascii="宋体" w:hAnsi="宋体" w:cs="宋体"/>
          <w:color w:val="auto"/>
          <w:spacing w:val="6"/>
          <w:szCs w:val="21"/>
          <w:highlight w:val="none"/>
        </w:rPr>
        <w:t>单位的</w:t>
      </w:r>
      <w:r>
        <w:rPr>
          <w:rFonts w:hint="eastAsia" w:ascii="宋体" w:hAnsi="宋体" w:cs="宋体"/>
          <w:color w:val="auto"/>
          <w:spacing w:val="6"/>
          <w:szCs w:val="21"/>
          <w:highlight w:val="none"/>
          <w:u w:val="single"/>
        </w:rPr>
        <w:t xml:space="preserve">     </w:t>
      </w:r>
      <w:r>
        <w:rPr>
          <w:rFonts w:hint="eastAsia" w:ascii="宋体" w:hAnsi="宋体" w:cs="宋体"/>
          <w:color w:val="auto"/>
          <w:spacing w:val="6"/>
          <w:szCs w:val="21"/>
          <w:highlight w:val="none"/>
        </w:rPr>
        <w:t>项目采购活动提供本单位制造的货物（由本单位承担工程/提供服务），或者提供其他残疾人福利性单位制造的货物（不包括使用非残疾人福利性单位注册商标的货物）。</w:t>
      </w:r>
    </w:p>
    <w:p w14:paraId="70DEB6CE">
      <w:pPr>
        <w:pStyle w:val="47"/>
        <w:spacing w:before="0" w:beforeAutospacing="0" w:after="0" w:afterAutospacing="0" w:line="360" w:lineRule="auto"/>
        <w:ind w:firstLine="420"/>
        <w:jc w:val="both"/>
        <w:rPr>
          <w:rFonts w:hint="default" w:cs="宋体"/>
          <w:color w:val="auto"/>
          <w:sz w:val="21"/>
          <w:szCs w:val="21"/>
          <w:highlight w:val="none"/>
        </w:rPr>
      </w:pPr>
      <w:r>
        <w:rPr>
          <w:rFonts w:cs="宋体"/>
          <w:color w:val="auto"/>
          <w:spacing w:val="6"/>
          <w:szCs w:val="21"/>
          <w:highlight w:val="none"/>
        </w:rPr>
        <w:t>本单位对上述声明的真实性负责。如有虚假，将依法承担相应责任</w:t>
      </w:r>
      <w:r>
        <w:rPr>
          <w:rFonts w:cs="宋体"/>
          <w:color w:val="auto"/>
          <w:sz w:val="21"/>
          <w:szCs w:val="21"/>
          <w:highlight w:val="none"/>
        </w:rPr>
        <w:t>。</w:t>
      </w:r>
    </w:p>
    <w:p w14:paraId="4A63B294">
      <w:pPr>
        <w:pStyle w:val="47"/>
        <w:spacing w:before="0" w:beforeAutospacing="0" w:after="0" w:afterAutospacing="0" w:line="360" w:lineRule="auto"/>
        <w:ind w:firstLine="420"/>
        <w:jc w:val="both"/>
        <w:rPr>
          <w:rFonts w:hint="default" w:cs="宋体"/>
          <w:color w:val="auto"/>
          <w:sz w:val="21"/>
          <w:szCs w:val="21"/>
          <w:highlight w:val="none"/>
        </w:rPr>
      </w:pPr>
    </w:p>
    <w:p w14:paraId="1D8A6A6E">
      <w:pPr>
        <w:pStyle w:val="47"/>
        <w:spacing w:before="0" w:beforeAutospacing="0" w:after="0" w:afterAutospacing="0" w:line="360" w:lineRule="auto"/>
        <w:ind w:firstLine="420"/>
        <w:jc w:val="both"/>
        <w:rPr>
          <w:rFonts w:hint="default" w:cs="宋体"/>
          <w:color w:val="auto"/>
          <w:sz w:val="21"/>
          <w:szCs w:val="21"/>
          <w:highlight w:val="none"/>
        </w:rPr>
      </w:pPr>
    </w:p>
    <w:p w14:paraId="1166D6EA">
      <w:pPr>
        <w:pStyle w:val="47"/>
        <w:spacing w:before="0" w:beforeAutospacing="0" w:after="0" w:afterAutospacing="0" w:line="360" w:lineRule="auto"/>
        <w:ind w:firstLine="420"/>
        <w:jc w:val="both"/>
        <w:rPr>
          <w:rFonts w:hint="default" w:cs="宋体"/>
          <w:color w:val="auto"/>
          <w:sz w:val="21"/>
          <w:szCs w:val="21"/>
          <w:highlight w:val="none"/>
        </w:rPr>
      </w:pPr>
      <w:r>
        <w:rPr>
          <w:rFonts w:cs="宋体"/>
          <w:color w:val="auto"/>
          <w:sz w:val="21"/>
          <w:szCs w:val="21"/>
          <w:highlight w:val="none"/>
        </w:rPr>
        <w:t>投标人（加盖CA电子公章）：</w:t>
      </w:r>
    </w:p>
    <w:p w14:paraId="5E8A2683">
      <w:pPr>
        <w:pStyle w:val="47"/>
        <w:spacing w:before="0" w:beforeAutospacing="0" w:after="0" w:afterAutospacing="0" w:line="360" w:lineRule="auto"/>
        <w:ind w:firstLine="420"/>
        <w:jc w:val="both"/>
        <w:rPr>
          <w:rFonts w:hint="default" w:cs="宋体"/>
          <w:color w:val="auto"/>
          <w:sz w:val="21"/>
          <w:szCs w:val="21"/>
          <w:highlight w:val="none"/>
        </w:rPr>
      </w:pPr>
      <w:r>
        <w:rPr>
          <w:rFonts w:cs="宋体"/>
          <w:color w:val="auto"/>
          <w:sz w:val="21"/>
          <w:szCs w:val="21"/>
          <w:highlight w:val="none"/>
        </w:rPr>
        <w:t>日期：      年    月    日</w:t>
      </w:r>
    </w:p>
    <w:p w14:paraId="37C44BB4">
      <w:pPr>
        <w:pStyle w:val="47"/>
        <w:spacing w:before="0" w:beforeAutospacing="0" w:after="0" w:afterAutospacing="0" w:line="360" w:lineRule="auto"/>
        <w:ind w:firstLine="420"/>
        <w:jc w:val="both"/>
        <w:rPr>
          <w:rFonts w:hint="default" w:cs="宋体"/>
          <w:color w:val="auto"/>
          <w:sz w:val="21"/>
          <w:szCs w:val="21"/>
          <w:highlight w:val="none"/>
        </w:rPr>
      </w:pPr>
    </w:p>
    <w:p w14:paraId="46691ED6">
      <w:pPr>
        <w:pStyle w:val="47"/>
        <w:spacing w:before="0" w:beforeAutospacing="0" w:after="0" w:afterAutospacing="0" w:line="360" w:lineRule="auto"/>
        <w:ind w:firstLine="420"/>
        <w:jc w:val="both"/>
        <w:rPr>
          <w:rFonts w:hint="default" w:cs="宋体"/>
          <w:color w:val="auto"/>
          <w:sz w:val="21"/>
          <w:szCs w:val="21"/>
          <w:highlight w:val="none"/>
        </w:rPr>
      </w:pPr>
    </w:p>
    <w:p w14:paraId="6EA8A68E">
      <w:pPr>
        <w:pStyle w:val="47"/>
        <w:spacing w:before="0" w:beforeAutospacing="0" w:after="0" w:afterAutospacing="0" w:line="360" w:lineRule="auto"/>
        <w:ind w:firstLine="420"/>
        <w:jc w:val="both"/>
        <w:rPr>
          <w:rFonts w:hint="default" w:cs="宋体"/>
          <w:color w:val="auto"/>
          <w:sz w:val="21"/>
          <w:szCs w:val="21"/>
          <w:highlight w:val="none"/>
        </w:rPr>
      </w:pPr>
    </w:p>
    <w:p w14:paraId="703313BE">
      <w:pPr>
        <w:pStyle w:val="47"/>
        <w:spacing w:before="0" w:beforeAutospacing="0" w:after="0" w:afterAutospacing="0" w:line="360" w:lineRule="auto"/>
        <w:ind w:firstLine="420"/>
        <w:jc w:val="both"/>
        <w:rPr>
          <w:rFonts w:hint="default" w:cs="宋体"/>
          <w:color w:val="auto"/>
          <w:sz w:val="21"/>
          <w:szCs w:val="21"/>
          <w:highlight w:val="none"/>
        </w:rPr>
      </w:pPr>
    </w:p>
    <w:p w14:paraId="370555F2">
      <w:pPr>
        <w:pStyle w:val="47"/>
        <w:spacing w:before="0" w:beforeAutospacing="0" w:after="0" w:afterAutospacing="0" w:line="360" w:lineRule="auto"/>
        <w:ind w:firstLine="420"/>
        <w:jc w:val="both"/>
        <w:rPr>
          <w:rFonts w:hint="default" w:cs="宋体"/>
          <w:color w:val="auto"/>
          <w:sz w:val="21"/>
          <w:szCs w:val="21"/>
          <w:highlight w:val="none"/>
        </w:rPr>
      </w:pPr>
    </w:p>
    <w:p w14:paraId="24C0E6BE">
      <w:pPr>
        <w:pStyle w:val="47"/>
        <w:spacing w:before="0" w:beforeAutospacing="0" w:after="0" w:afterAutospacing="0" w:line="360" w:lineRule="auto"/>
        <w:ind w:firstLine="420"/>
        <w:jc w:val="both"/>
        <w:rPr>
          <w:rFonts w:hint="default" w:cs="宋体"/>
          <w:color w:val="auto"/>
          <w:sz w:val="21"/>
          <w:szCs w:val="21"/>
          <w:highlight w:val="none"/>
        </w:rPr>
      </w:pPr>
    </w:p>
    <w:p w14:paraId="5D978C69">
      <w:pPr>
        <w:pStyle w:val="47"/>
        <w:spacing w:before="0" w:beforeAutospacing="0" w:after="0" w:afterAutospacing="0" w:line="360" w:lineRule="auto"/>
        <w:ind w:firstLine="420"/>
        <w:jc w:val="both"/>
        <w:rPr>
          <w:rFonts w:hint="default" w:cs="宋体"/>
          <w:color w:val="auto"/>
          <w:sz w:val="21"/>
          <w:szCs w:val="21"/>
          <w:highlight w:val="none"/>
        </w:rPr>
      </w:pPr>
    </w:p>
    <w:p w14:paraId="59F26241">
      <w:pPr>
        <w:pStyle w:val="47"/>
        <w:spacing w:before="0" w:beforeAutospacing="0" w:after="0" w:afterAutospacing="0" w:line="360" w:lineRule="auto"/>
        <w:ind w:firstLine="420"/>
        <w:jc w:val="both"/>
        <w:rPr>
          <w:rFonts w:hint="default" w:cs="宋体"/>
          <w:color w:val="auto"/>
          <w:sz w:val="21"/>
          <w:szCs w:val="21"/>
          <w:highlight w:val="none"/>
        </w:rPr>
      </w:pPr>
    </w:p>
    <w:p w14:paraId="6EDAFB57">
      <w:pPr>
        <w:pStyle w:val="47"/>
        <w:spacing w:before="0" w:beforeAutospacing="0" w:after="0" w:afterAutospacing="0" w:line="360" w:lineRule="auto"/>
        <w:ind w:firstLine="420"/>
        <w:jc w:val="both"/>
        <w:rPr>
          <w:rFonts w:hint="default" w:cs="宋体"/>
          <w:color w:val="auto"/>
          <w:sz w:val="21"/>
          <w:szCs w:val="21"/>
          <w:highlight w:val="none"/>
        </w:rPr>
      </w:pPr>
    </w:p>
    <w:p w14:paraId="18A3225F">
      <w:pPr>
        <w:pStyle w:val="47"/>
        <w:spacing w:before="0" w:beforeAutospacing="0" w:after="0" w:afterAutospacing="0" w:line="360" w:lineRule="auto"/>
        <w:ind w:firstLine="420"/>
        <w:jc w:val="both"/>
        <w:rPr>
          <w:rFonts w:hint="default" w:cs="宋体"/>
          <w:color w:val="auto"/>
          <w:sz w:val="21"/>
          <w:szCs w:val="21"/>
          <w:highlight w:val="none"/>
        </w:rPr>
      </w:pPr>
    </w:p>
    <w:p w14:paraId="6A7D7598">
      <w:pPr>
        <w:pStyle w:val="47"/>
        <w:spacing w:before="0" w:beforeAutospacing="0" w:after="0" w:afterAutospacing="0" w:line="360" w:lineRule="auto"/>
        <w:ind w:firstLine="420"/>
        <w:jc w:val="both"/>
        <w:rPr>
          <w:rFonts w:hint="default" w:cs="宋体"/>
          <w:color w:val="auto"/>
          <w:sz w:val="21"/>
          <w:szCs w:val="21"/>
          <w:highlight w:val="none"/>
        </w:rPr>
      </w:pPr>
    </w:p>
    <w:p w14:paraId="02098BB2">
      <w:pPr>
        <w:pStyle w:val="47"/>
        <w:spacing w:before="0" w:beforeAutospacing="0" w:after="0" w:afterAutospacing="0" w:line="360" w:lineRule="auto"/>
        <w:ind w:firstLine="420"/>
        <w:jc w:val="both"/>
        <w:rPr>
          <w:rFonts w:hint="default" w:cs="宋体"/>
          <w:color w:val="auto"/>
          <w:sz w:val="21"/>
          <w:szCs w:val="21"/>
          <w:highlight w:val="none"/>
        </w:rPr>
      </w:pPr>
    </w:p>
    <w:p w14:paraId="5FE5E230">
      <w:pPr>
        <w:pStyle w:val="47"/>
        <w:spacing w:before="0" w:beforeAutospacing="0" w:after="0" w:afterAutospacing="0" w:line="360" w:lineRule="auto"/>
        <w:ind w:firstLine="420"/>
        <w:jc w:val="both"/>
        <w:rPr>
          <w:rFonts w:hint="default" w:cs="宋体"/>
          <w:color w:val="auto"/>
          <w:sz w:val="21"/>
          <w:szCs w:val="21"/>
          <w:highlight w:val="none"/>
        </w:rPr>
      </w:pPr>
    </w:p>
    <w:p w14:paraId="56251D23">
      <w:pPr>
        <w:pStyle w:val="47"/>
        <w:spacing w:before="0" w:beforeAutospacing="0" w:after="0" w:afterAutospacing="0" w:line="360" w:lineRule="auto"/>
        <w:ind w:firstLine="420"/>
        <w:jc w:val="both"/>
        <w:rPr>
          <w:rFonts w:hint="default" w:cs="宋体"/>
          <w:color w:val="auto"/>
          <w:sz w:val="21"/>
          <w:szCs w:val="21"/>
          <w:highlight w:val="none"/>
        </w:rPr>
      </w:pPr>
    </w:p>
    <w:p w14:paraId="494F1AF5">
      <w:pPr>
        <w:pStyle w:val="47"/>
        <w:spacing w:before="0" w:beforeAutospacing="0" w:after="0" w:afterAutospacing="0" w:line="360" w:lineRule="auto"/>
        <w:ind w:firstLine="420"/>
        <w:jc w:val="both"/>
        <w:rPr>
          <w:rFonts w:hint="default" w:cs="宋体"/>
          <w:color w:val="auto"/>
          <w:sz w:val="21"/>
          <w:szCs w:val="21"/>
          <w:highlight w:val="none"/>
        </w:rPr>
      </w:pPr>
    </w:p>
    <w:p w14:paraId="07700D0E">
      <w:pPr>
        <w:pStyle w:val="47"/>
        <w:spacing w:before="0" w:beforeAutospacing="0" w:after="0" w:afterAutospacing="0" w:line="360" w:lineRule="auto"/>
        <w:ind w:firstLine="420"/>
        <w:jc w:val="both"/>
        <w:rPr>
          <w:rFonts w:hint="default" w:cs="宋体"/>
          <w:color w:val="auto"/>
          <w:sz w:val="21"/>
          <w:szCs w:val="21"/>
          <w:highlight w:val="none"/>
        </w:rPr>
      </w:pPr>
    </w:p>
    <w:p w14:paraId="2B557DE8">
      <w:pPr>
        <w:pStyle w:val="47"/>
        <w:spacing w:before="0" w:beforeAutospacing="0" w:after="0" w:afterAutospacing="0" w:line="360" w:lineRule="auto"/>
        <w:ind w:firstLine="420"/>
        <w:jc w:val="both"/>
        <w:rPr>
          <w:rFonts w:hint="default" w:cs="宋体"/>
          <w:color w:val="auto"/>
          <w:sz w:val="21"/>
          <w:szCs w:val="21"/>
          <w:highlight w:val="none"/>
        </w:rPr>
      </w:pPr>
    </w:p>
    <w:p w14:paraId="5CEA1755">
      <w:pPr>
        <w:pStyle w:val="47"/>
        <w:spacing w:before="0" w:beforeAutospacing="0" w:after="0" w:afterAutospacing="0" w:line="360" w:lineRule="auto"/>
        <w:ind w:firstLine="420"/>
        <w:jc w:val="both"/>
        <w:rPr>
          <w:rFonts w:hint="default" w:cs="宋体"/>
          <w:color w:val="auto"/>
          <w:sz w:val="21"/>
          <w:szCs w:val="21"/>
          <w:highlight w:val="none"/>
        </w:rPr>
      </w:pPr>
    </w:p>
    <w:p w14:paraId="3BD3D6AF">
      <w:pPr>
        <w:pStyle w:val="47"/>
        <w:spacing w:before="0" w:beforeAutospacing="0" w:after="0" w:afterAutospacing="0" w:line="360" w:lineRule="auto"/>
        <w:ind w:firstLine="420"/>
        <w:jc w:val="both"/>
        <w:rPr>
          <w:rFonts w:hint="default" w:cs="宋体"/>
          <w:color w:val="auto"/>
          <w:sz w:val="21"/>
          <w:szCs w:val="21"/>
          <w:highlight w:val="none"/>
        </w:rPr>
      </w:pPr>
    </w:p>
    <w:p w14:paraId="52127EFB">
      <w:pPr>
        <w:pStyle w:val="47"/>
        <w:spacing w:before="0" w:beforeAutospacing="0" w:after="0" w:afterAutospacing="0" w:line="360" w:lineRule="auto"/>
        <w:ind w:firstLine="420"/>
        <w:jc w:val="both"/>
        <w:rPr>
          <w:rFonts w:hint="default" w:cs="宋体"/>
          <w:color w:val="auto"/>
          <w:sz w:val="21"/>
          <w:szCs w:val="21"/>
          <w:highlight w:val="none"/>
        </w:rPr>
      </w:pPr>
    </w:p>
    <w:p w14:paraId="51DC7B18">
      <w:pPr>
        <w:pStyle w:val="47"/>
        <w:spacing w:before="0" w:beforeAutospacing="0" w:after="0" w:afterAutospacing="0" w:line="360" w:lineRule="auto"/>
        <w:rPr>
          <w:rFonts w:hint="default" w:cs="宋体"/>
          <w:color w:val="auto"/>
          <w:sz w:val="21"/>
          <w:szCs w:val="21"/>
          <w:highlight w:val="none"/>
        </w:rPr>
      </w:pPr>
      <w:r>
        <w:rPr>
          <w:rFonts w:cs="宋体"/>
          <w:b/>
          <w:bCs/>
          <w:color w:val="auto"/>
          <w:sz w:val="21"/>
          <w:szCs w:val="21"/>
          <w:highlight w:val="none"/>
        </w:rPr>
        <w:t>十</w:t>
      </w:r>
      <w:r>
        <w:rPr>
          <w:rFonts w:hint="eastAsia" w:cs="宋体"/>
          <w:b/>
          <w:bCs/>
          <w:color w:val="auto"/>
          <w:sz w:val="21"/>
          <w:szCs w:val="21"/>
          <w:highlight w:val="none"/>
          <w:lang w:val="en-US" w:eastAsia="zh-CN"/>
        </w:rPr>
        <w:t>三</w:t>
      </w:r>
      <w:r>
        <w:rPr>
          <w:rFonts w:cs="宋体"/>
          <w:b/>
          <w:bCs/>
          <w:color w:val="auto"/>
          <w:sz w:val="21"/>
          <w:szCs w:val="21"/>
          <w:highlight w:val="none"/>
        </w:rPr>
        <w:t>、投标保证承诺书</w:t>
      </w:r>
    </w:p>
    <w:p w14:paraId="41C12E18">
      <w:pPr>
        <w:spacing w:line="360" w:lineRule="auto"/>
        <w:jc w:val="center"/>
        <w:rPr>
          <w:rFonts w:ascii="宋体" w:hAnsi="宋体" w:cs="宋体"/>
          <w:b/>
          <w:bCs/>
          <w:color w:val="auto"/>
          <w:sz w:val="21"/>
          <w:szCs w:val="21"/>
          <w:highlight w:val="none"/>
        </w:rPr>
      </w:pPr>
    </w:p>
    <w:p w14:paraId="64165BFA">
      <w:pPr>
        <w:spacing w:line="360" w:lineRule="auto"/>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投标保证承诺书</w:t>
      </w:r>
    </w:p>
    <w:p w14:paraId="2DD11FFB">
      <w:pPr>
        <w:pStyle w:val="71"/>
        <w:ind w:firstLine="0"/>
        <w:jc w:val="center"/>
        <w:rPr>
          <w:rFonts w:hAnsi="宋体" w:cs="宋体"/>
          <w:color w:val="auto"/>
          <w:sz w:val="21"/>
          <w:szCs w:val="21"/>
          <w:highlight w:val="none"/>
        </w:rPr>
      </w:pPr>
    </w:p>
    <w:p w14:paraId="5DD49054">
      <w:pP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致：</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lang w:eastAsia="zh-CN"/>
        </w:rPr>
        <w:t>苏州高铁新城管理委员会</w:t>
      </w:r>
      <w:r>
        <w:rPr>
          <w:rFonts w:hint="eastAsia" w:ascii="宋体" w:hAnsi="宋体" w:cs="宋体"/>
          <w:color w:val="auto"/>
          <w:sz w:val="21"/>
          <w:szCs w:val="21"/>
          <w:highlight w:val="none"/>
          <w:u w:val="single"/>
        </w:rPr>
        <w:t>、</w:t>
      </w:r>
      <w:r>
        <w:rPr>
          <w:rFonts w:hint="eastAsia" w:ascii="宋体" w:hAnsi="宋体" w:cs="宋体"/>
          <w:color w:val="auto"/>
          <w:sz w:val="21"/>
          <w:szCs w:val="21"/>
          <w:highlight w:val="none"/>
          <w:u w:val="single"/>
          <w:lang w:eastAsia="zh-CN"/>
        </w:rPr>
        <w:t>众鑫工程管理（苏州）有限公司</w:t>
      </w:r>
      <w:r>
        <w:rPr>
          <w:rFonts w:hint="eastAsia" w:ascii="宋体" w:hAnsi="宋体" w:cs="宋体"/>
          <w:color w:val="auto"/>
          <w:sz w:val="21"/>
          <w:szCs w:val="21"/>
          <w:highlight w:val="none"/>
          <w:u w:val="single"/>
        </w:rPr>
        <w:t xml:space="preserve"> </w:t>
      </w:r>
    </w:p>
    <w:p w14:paraId="2C5EDA59">
      <w:pPr>
        <w:spacing w:line="360" w:lineRule="auto"/>
        <w:ind w:firstLine="420"/>
        <w:jc w:val="both"/>
        <w:rPr>
          <w:rFonts w:ascii="宋体" w:hAnsi="宋体" w:cs="宋体"/>
          <w:color w:val="auto"/>
          <w:sz w:val="21"/>
          <w:szCs w:val="21"/>
          <w:highlight w:val="none"/>
        </w:rPr>
      </w:pPr>
      <w:r>
        <w:rPr>
          <w:rFonts w:hint="eastAsia" w:ascii="宋体" w:hAnsi="宋体" w:cs="宋体"/>
          <w:color w:val="auto"/>
          <w:sz w:val="21"/>
          <w:szCs w:val="21"/>
          <w:highlight w:val="none"/>
        </w:rPr>
        <w:t>我（单位/本人，以下统称我单位）自愿参加</w:t>
      </w:r>
      <w:r>
        <w:rPr>
          <w:rFonts w:hint="eastAsia" w:ascii="宋体" w:hAnsi="宋体" w:cs="宋体"/>
          <w:color w:val="auto"/>
          <w:sz w:val="21"/>
          <w:szCs w:val="21"/>
          <w:highlight w:val="none"/>
          <w:u w:val="single"/>
        </w:rPr>
        <w:t xml:space="preserve">            （项目名称和项目编号）</w:t>
      </w:r>
      <w:r>
        <w:rPr>
          <w:rFonts w:hint="eastAsia" w:ascii="宋体" w:hAnsi="宋体" w:cs="宋体"/>
          <w:color w:val="auto"/>
          <w:sz w:val="21"/>
          <w:szCs w:val="21"/>
          <w:highlight w:val="none"/>
        </w:rPr>
        <w:t>的投标，并做出如下承诺：</w:t>
      </w:r>
    </w:p>
    <w:p w14:paraId="7ADA6105">
      <w:pPr>
        <w:spacing w:line="360" w:lineRule="auto"/>
        <w:ind w:firstLine="420"/>
        <w:jc w:val="both"/>
        <w:rPr>
          <w:rFonts w:ascii="宋体" w:hAnsi="宋体" w:cs="宋体"/>
          <w:color w:val="auto"/>
          <w:sz w:val="21"/>
          <w:szCs w:val="21"/>
          <w:highlight w:val="none"/>
        </w:rPr>
      </w:pPr>
      <w:r>
        <w:rPr>
          <w:rFonts w:hint="eastAsia" w:ascii="宋体" w:hAnsi="宋体" w:cs="宋体"/>
          <w:color w:val="auto"/>
          <w:sz w:val="21"/>
          <w:szCs w:val="21"/>
          <w:highlight w:val="none"/>
        </w:rPr>
        <w:t>一、除不可抗力外，我单位如果发生以下行为，将在行为发生的10个工作日内，向贵方</w:t>
      </w:r>
      <w:r>
        <w:rPr>
          <w:rFonts w:hint="eastAsia" w:ascii="宋体" w:hAnsi="宋体" w:cs="宋体"/>
          <w:color w:val="auto"/>
          <w:sz w:val="21"/>
          <w:szCs w:val="21"/>
          <w:highlight w:val="none"/>
          <w:u w:val="single"/>
        </w:rPr>
        <w:t xml:space="preserve">      （或采购人）</w:t>
      </w:r>
      <w:r>
        <w:rPr>
          <w:rFonts w:hint="eastAsia" w:ascii="宋体" w:hAnsi="宋体" w:cs="宋体"/>
          <w:color w:val="auto"/>
          <w:sz w:val="21"/>
          <w:szCs w:val="21"/>
          <w:highlight w:val="none"/>
        </w:rPr>
        <w:t>支付本招标文件公布的预算金额的2%作为违约赔偿金（数量不确定的单价采购须约定具体金额）。</w:t>
      </w:r>
    </w:p>
    <w:p w14:paraId="1A8CF8D0">
      <w:pPr>
        <w:spacing w:line="360" w:lineRule="auto"/>
        <w:ind w:firstLine="420"/>
        <w:jc w:val="both"/>
        <w:rPr>
          <w:rFonts w:ascii="宋体" w:hAnsi="宋体" w:cs="宋体"/>
          <w:color w:val="auto"/>
          <w:sz w:val="21"/>
          <w:szCs w:val="21"/>
          <w:highlight w:val="none"/>
        </w:rPr>
      </w:pPr>
      <w:r>
        <w:rPr>
          <w:rFonts w:hint="eastAsia" w:ascii="宋体" w:hAnsi="宋体" w:cs="宋体"/>
          <w:color w:val="auto"/>
          <w:sz w:val="21"/>
          <w:szCs w:val="21"/>
          <w:highlight w:val="none"/>
        </w:rPr>
        <w:t>1.自响应截止时间至本项目发布中标公告为止，撤销投标；</w:t>
      </w:r>
    </w:p>
    <w:p w14:paraId="071214EE">
      <w:pPr>
        <w:spacing w:line="360" w:lineRule="auto"/>
        <w:ind w:firstLine="420"/>
        <w:jc w:val="both"/>
        <w:rPr>
          <w:rFonts w:ascii="宋体" w:hAnsi="宋体" w:cs="宋体"/>
          <w:color w:val="auto"/>
          <w:sz w:val="21"/>
          <w:szCs w:val="21"/>
          <w:highlight w:val="none"/>
        </w:rPr>
      </w:pPr>
      <w:r>
        <w:rPr>
          <w:rFonts w:hint="eastAsia" w:ascii="宋体" w:hAnsi="宋体" w:cs="宋体"/>
          <w:color w:val="auto"/>
          <w:sz w:val="21"/>
          <w:szCs w:val="21"/>
          <w:highlight w:val="none"/>
        </w:rPr>
        <w:t>2.中标后不依法与采购人签订合同；</w:t>
      </w:r>
    </w:p>
    <w:p w14:paraId="7132F6F6">
      <w:pPr>
        <w:spacing w:line="360" w:lineRule="auto"/>
        <w:ind w:firstLine="420"/>
        <w:jc w:val="both"/>
        <w:rPr>
          <w:rFonts w:ascii="宋体" w:hAnsi="宋体" w:cs="宋体"/>
          <w:color w:val="auto"/>
          <w:sz w:val="21"/>
          <w:szCs w:val="21"/>
          <w:highlight w:val="none"/>
        </w:rPr>
      </w:pPr>
      <w:r>
        <w:rPr>
          <w:rFonts w:hint="eastAsia" w:ascii="宋体" w:hAnsi="宋体" w:cs="宋体"/>
          <w:color w:val="auto"/>
          <w:sz w:val="21"/>
          <w:szCs w:val="21"/>
          <w:highlight w:val="none"/>
        </w:rPr>
        <w:t>3.中标后不按本招标文件规定向采购人提交履约保证金（如有）；</w:t>
      </w:r>
    </w:p>
    <w:p w14:paraId="32AB9E0D">
      <w:pPr>
        <w:spacing w:line="360" w:lineRule="auto"/>
        <w:ind w:firstLine="420"/>
        <w:jc w:val="both"/>
        <w:rPr>
          <w:rFonts w:ascii="宋体" w:hAnsi="宋体" w:cs="宋体"/>
          <w:color w:val="auto"/>
          <w:sz w:val="21"/>
          <w:szCs w:val="21"/>
          <w:highlight w:val="none"/>
        </w:rPr>
      </w:pPr>
      <w:r>
        <w:rPr>
          <w:rFonts w:hint="eastAsia" w:ascii="宋体" w:hAnsi="宋体" w:cs="宋体"/>
          <w:color w:val="auto"/>
          <w:sz w:val="21"/>
          <w:szCs w:val="21"/>
          <w:highlight w:val="none"/>
        </w:rPr>
        <w:t>4.中标后不按本招标文件规定向贵方缴纳代理服务费。</w:t>
      </w:r>
    </w:p>
    <w:p w14:paraId="61A05A77">
      <w:pPr>
        <w:spacing w:line="360" w:lineRule="auto"/>
        <w:ind w:firstLine="420"/>
        <w:jc w:val="both"/>
        <w:rPr>
          <w:rFonts w:ascii="宋体" w:hAnsi="宋体" w:cs="宋体"/>
          <w:color w:val="auto"/>
          <w:sz w:val="21"/>
          <w:szCs w:val="21"/>
          <w:highlight w:val="none"/>
        </w:rPr>
      </w:pPr>
      <w:r>
        <w:rPr>
          <w:rFonts w:hint="eastAsia" w:ascii="宋体" w:hAnsi="宋体" w:cs="宋体"/>
          <w:color w:val="auto"/>
          <w:sz w:val="21"/>
          <w:szCs w:val="21"/>
          <w:highlight w:val="none"/>
        </w:rPr>
        <w:t>二、我单位知晓上述行为的法律后果，承认本承诺书作为贵方</w:t>
      </w:r>
      <w:r>
        <w:rPr>
          <w:rFonts w:hint="eastAsia" w:ascii="宋体" w:hAnsi="宋体" w:cs="宋体"/>
          <w:color w:val="auto"/>
          <w:sz w:val="21"/>
          <w:szCs w:val="21"/>
          <w:highlight w:val="none"/>
          <w:u w:val="single"/>
        </w:rPr>
        <w:t>（或采购人）</w:t>
      </w:r>
      <w:r>
        <w:rPr>
          <w:rFonts w:hint="eastAsia" w:ascii="宋体" w:hAnsi="宋体" w:cs="宋体"/>
          <w:color w:val="auto"/>
          <w:sz w:val="21"/>
          <w:szCs w:val="21"/>
          <w:highlight w:val="none"/>
        </w:rPr>
        <w:t>要求我单位履行违约赔偿义务的依据作用。</w:t>
      </w:r>
    </w:p>
    <w:p w14:paraId="20A6CFAE">
      <w:pPr>
        <w:spacing w:line="360" w:lineRule="auto"/>
        <w:ind w:firstLine="420"/>
        <w:jc w:val="both"/>
        <w:rPr>
          <w:rFonts w:ascii="宋体" w:hAnsi="宋体" w:cs="宋体"/>
          <w:color w:val="auto"/>
          <w:sz w:val="21"/>
          <w:szCs w:val="21"/>
          <w:highlight w:val="none"/>
        </w:rPr>
      </w:pPr>
    </w:p>
    <w:p w14:paraId="5B88B7FF">
      <w:pPr>
        <w:spacing w:line="360" w:lineRule="auto"/>
        <w:ind w:firstLine="420"/>
        <w:jc w:val="both"/>
        <w:rPr>
          <w:rFonts w:ascii="宋体" w:hAnsi="宋体" w:cs="宋体"/>
          <w:color w:val="auto"/>
          <w:sz w:val="21"/>
          <w:szCs w:val="21"/>
          <w:highlight w:val="none"/>
        </w:rPr>
      </w:pPr>
    </w:p>
    <w:p w14:paraId="157A660E">
      <w:pPr>
        <w:spacing w:line="360" w:lineRule="auto"/>
        <w:ind w:firstLine="420"/>
        <w:jc w:val="both"/>
        <w:rPr>
          <w:rFonts w:ascii="宋体" w:hAnsi="宋体" w:cs="宋体"/>
          <w:color w:val="auto"/>
          <w:sz w:val="21"/>
          <w:szCs w:val="21"/>
          <w:highlight w:val="none"/>
        </w:rPr>
      </w:pPr>
      <w:r>
        <w:rPr>
          <w:rFonts w:hint="eastAsia" w:ascii="宋体" w:hAnsi="宋体" w:cs="宋体"/>
          <w:color w:val="auto"/>
          <w:sz w:val="21"/>
          <w:szCs w:val="21"/>
          <w:highlight w:val="none"/>
        </w:rPr>
        <w:t>投标人（加盖CA电子公章）</w:t>
      </w:r>
    </w:p>
    <w:p w14:paraId="76ABDF94">
      <w:pPr>
        <w:spacing w:line="360" w:lineRule="auto"/>
        <w:ind w:firstLine="420"/>
        <w:jc w:val="both"/>
        <w:rPr>
          <w:rFonts w:ascii="宋体" w:hAnsi="宋体" w:cs="宋体"/>
          <w:color w:val="auto"/>
          <w:sz w:val="21"/>
          <w:szCs w:val="21"/>
          <w:highlight w:val="none"/>
        </w:rPr>
      </w:pPr>
      <w:r>
        <w:rPr>
          <w:rFonts w:hint="eastAsia" w:ascii="宋体" w:hAnsi="宋体" w:cs="宋体"/>
          <w:color w:val="auto"/>
          <w:sz w:val="21"/>
          <w:szCs w:val="21"/>
          <w:highlight w:val="none"/>
        </w:rPr>
        <w:t>地    址：</w:t>
      </w:r>
      <w:r>
        <w:rPr>
          <w:rFonts w:hint="eastAsia" w:ascii="宋体" w:hAnsi="宋体" w:cs="宋体"/>
          <w:color w:val="auto"/>
          <w:sz w:val="21"/>
          <w:szCs w:val="21"/>
          <w:highlight w:val="none"/>
          <w:u w:val="single"/>
        </w:rPr>
        <w:t xml:space="preserve">                             </w:t>
      </w:r>
    </w:p>
    <w:p w14:paraId="5139D73C">
      <w:pPr>
        <w:spacing w:line="360" w:lineRule="auto"/>
        <w:ind w:firstLine="420"/>
        <w:jc w:val="both"/>
        <w:rPr>
          <w:rFonts w:ascii="宋体" w:hAnsi="宋体" w:cs="宋体"/>
          <w:color w:val="auto"/>
          <w:sz w:val="21"/>
          <w:szCs w:val="21"/>
          <w:highlight w:val="none"/>
        </w:rPr>
      </w:pPr>
      <w:r>
        <w:rPr>
          <w:rFonts w:hint="eastAsia" w:ascii="宋体" w:hAnsi="宋体" w:cs="宋体"/>
          <w:color w:val="auto"/>
          <w:sz w:val="21"/>
          <w:szCs w:val="21"/>
          <w:highlight w:val="none"/>
        </w:rPr>
        <w:t>电    话：</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传真：</w:t>
      </w:r>
      <w:r>
        <w:rPr>
          <w:rFonts w:hint="eastAsia" w:ascii="宋体" w:hAnsi="宋体" w:cs="宋体"/>
          <w:color w:val="auto"/>
          <w:sz w:val="21"/>
          <w:szCs w:val="21"/>
          <w:highlight w:val="none"/>
          <w:u w:val="single"/>
        </w:rPr>
        <w:t xml:space="preserve">                   </w:t>
      </w:r>
    </w:p>
    <w:p w14:paraId="31684E5A">
      <w:pPr>
        <w:spacing w:line="360" w:lineRule="auto"/>
        <w:ind w:firstLine="420"/>
        <w:jc w:val="both"/>
        <w:rPr>
          <w:rFonts w:ascii="宋体" w:hAnsi="宋体" w:cs="宋体"/>
          <w:color w:val="auto"/>
          <w:sz w:val="21"/>
          <w:szCs w:val="21"/>
          <w:highlight w:val="none"/>
        </w:rPr>
      </w:pPr>
      <w:r>
        <w:rPr>
          <w:rFonts w:hint="eastAsia" w:ascii="宋体" w:hAnsi="宋体" w:cs="宋体"/>
          <w:color w:val="auto"/>
          <w:sz w:val="21"/>
          <w:szCs w:val="21"/>
          <w:highlight w:val="none"/>
        </w:rPr>
        <w:t>电子邮件：</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邮编：</w:t>
      </w:r>
      <w:r>
        <w:rPr>
          <w:rFonts w:hint="eastAsia" w:ascii="宋体" w:hAnsi="宋体" w:cs="宋体"/>
          <w:color w:val="auto"/>
          <w:sz w:val="21"/>
          <w:szCs w:val="21"/>
          <w:highlight w:val="none"/>
          <w:u w:val="single"/>
        </w:rPr>
        <w:t xml:space="preserve">                   </w:t>
      </w:r>
    </w:p>
    <w:p w14:paraId="5787F9C7">
      <w:pPr>
        <w:pStyle w:val="47"/>
        <w:spacing w:before="0" w:beforeAutospacing="0" w:after="0" w:afterAutospacing="0" w:line="360" w:lineRule="auto"/>
        <w:ind w:firstLine="420"/>
        <w:jc w:val="both"/>
        <w:rPr>
          <w:rFonts w:hint="default" w:cs="宋体"/>
          <w:color w:val="auto"/>
          <w:sz w:val="21"/>
          <w:szCs w:val="21"/>
          <w:highlight w:val="none"/>
        </w:rPr>
      </w:pPr>
      <w:r>
        <w:rPr>
          <w:rFonts w:cs="宋体"/>
          <w:color w:val="auto"/>
          <w:sz w:val="21"/>
          <w:szCs w:val="21"/>
          <w:highlight w:val="none"/>
        </w:rPr>
        <w:t>法定代表人或委托代理人（签字或盖章）</w:t>
      </w:r>
    </w:p>
    <w:p w14:paraId="07DEE473">
      <w:pPr>
        <w:pStyle w:val="47"/>
        <w:spacing w:before="0" w:beforeAutospacing="0" w:after="0" w:afterAutospacing="0" w:line="360" w:lineRule="auto"/>
        <w:rPr>
          <w:rFonts w:hint="default" w:cs="宋体"/>
          <w:b/>
          <w:bCs/>
          <w:color w:val="auto"/>
          <w:sz w:val="21"/>
          <w:szCs w:val="21"/>
          <w:highlight w:val="none"/>
        </w:rPr>
      </w:pPr>
    </w:p>
    <w:p w14:paraId="3C0E2DA9">
      <w:pPr>
        <w:pStyle w:val="47"/>
        <w:spacing w:before="0" w:beforeAutospacing="0" w:after="0" w:afterAutospacing="0" w:line="360" w:lineRule="auto"/>
        <w:rPr>
          <w:rFonts w:hint="default" w:cs="宋体"/>
          <w:b/>
          <w:bCs/>
          <w:color w:val="auto"/>
          <w:sz w:val="21"/>
          <w:szCs w:val="21"/>
          <w:highlight w:val="none"/>
        </w:rPr>
      </w:pPr>
    </w:p>
    <w:p w14:paraId="38FA8575">
      <w:pPr>
        <w:pStyle w:val="47"/>
        <w:spacing w:before="0" w:beforeAutospacing="0" w:after="0" w:afterAutospacing="0" w:line="360" w:lineRule="auto"/>
        <w:rPr>
          <w:rFonts w:hint="default" w:cs="宋体"/>
          <w:b/>
          <w:bCs/>
          <w:color w:val="auto"/>
          <w:sz w:val="21"/>
          <w:szCs w:val="21"/>
          <w:highlight w:val="none"/>
        </w:rPr>
      </w:pPr>
    </w:p>
    <w:p w14:paraId="2F1F5DF5">
      <w:pPr>
        <w:pStyle w:val="47"/>
        <w:spacing w:before="0" w:beforeAutospacing="0" w:after="0" w:afterAutospacing="0" w:line="360" w:lineRule="auto"/>
        <w:rPr>
          <w:rFonts w:hint="default" w:cs="宋体"/>
          <w:b/>
          <w:bCs/>
          <w:color w:val="auto"/>
          <w:sz w:val="21"/>
          <w:szCs w:val="21"/>
          <w:highlight w:val="none"/>
        </w:rPr>
      </w:pPr>
    </w:p>
    <w:p w14:paraId="607C59D9">
      <w:pPr>
        <w:pStyle w:val="47"/>
        <w:spacing w:before="0" w:beforeAutospacing="0" w:after="0" w:afterAutospacing="0" w:line="360" w:lineRule="auto"/>
        <w:rPr>
          <w:rFonts w:hint="default" w:cs="宋体"/>
          <w:b/>
          <w:bCs/>
          <w:color w:val="auto"/>
          <w:sz w:val="21"/>
          <w:szCs w:val="21"/>
          <w:highlight w:val="none"/>
        </w:rPr>
      </w:pPr>
    </w:p>
    <w:p w14:paraId="57F5439B">
      <w:pPr>
        <w:pStyle w:val="47"/>
        <w:spacing w:before="0" w:beforeAutospacing="0" w:after="0" w:afterAutospacing="0" w:line="360" w:lineRule="auto"/>
        <w:rPr>
          <w:rFonts w:hint="default" w:cs="宋体"/>
          <w:b/>
          <w:bCs/>
          <w:color w:val="auto"/>
          <w:sz w:val="21"/>
          <w:szCs w:val="21"/>
          <w:highlight w:val="none"/>
        </w:rPr>
      </w:pPr>
    </w:p>
    <w:p w14:paraId="5BF6C1BA">
      <w:pPr>
        <w:pStyle w:val="47"/>
        <w:spacing w:before="0" w:beforeAutospacing="0" w:after="0" w:afterAutospacing="0" w:line="360" w:lineRule="auto"/>
        <w:rPr>
          <w:rFonts w:hint="default" w:cs="宋体"/>
          <w:b/>
          <w:bCs/>
          <w:color w:val="auto"/>
          <w:sz w:val="21"/>
          <w:szCs w:val="21"/>
          <w:highlight w:val="none"/>
        </w:rPr>
      </w:pPr>
    </w:p>
    <w:p w14:paraId="7C544BB7">
      <w:pPr>
        <w:pStyle w:val="47"/>
        <w:spacing w:before="0" w:beforeAutospacing="0" w:after="0" w:afterAutospacing="0" w:line="360" w:lineRule="auto"/>
        <w:rPr>
          <w:rFonts w:hint="default" w:cs="宋体"/>
          <w:b/>
          <w:bCs/>
          <w:color w:val="auto"/>
          <w:sz w:val="21"/>
          <w:szCs w:val="21"/>
          <w:highlight w:val="none"/>
        </w:rPr>
      </w:pPr>
    </w:p>
    <w:p w14:paraId="61065B46">
      <w:pPr>
        <w:pStyle w:val="47"/>
        <w:spacing w:before="0" w:beforeAutospacing="0" w:after="0" w:afterAutospacing="0" w:line="360" w:lineRule="auto"/>
        <w:rPr>
          <w:rFonts w:hint="default" w:cs="宋体"/>
          <w:b/>
          <w:bCs/>
          <w:color w:val="auto"/>
          <w:sz w:val="21"/>
          <w:szCs w:val="21"/>
          <w:highlight w:val="none"/>
        </w:rPr>
      </w:pPr>
    </w:p>
    <w:p w14:paraId="1859EAF1">
      <w:pPr>
        <w:pStyle w:val="47"/>
        <w:spacing w:before="0" w:beforeAutospacing="0" w:after="0" w:afterAutospacing="0" w:line="360" w:lineRule="auto"/>
        <w:rPr>
          <w:rFonts w:hint="default" w:cs="宋体"/>
          <w:b/>
          <w:bCs/>
          <w:color w:val="auto"/>
          <w:sz w:val="21"/>
          <w:szCs w:val="21"/>
          <w:highlight w:val="none"/>
        </w:rPr>
      </w:pPr>
    </w:p>
    <w:p w14:paraId="6B173543">
      <w:pPr>
        <w:pStyle w:val="47"/>
        <w:spacing w:before="0" w:beforeAutospacing="0" w:after="0" w:afterAutospacing="0" w:line="360" w:lineRule="auto"/>
        <w:rPr>
          <w:rFonts w:hint="default" w:cs="宋体"/>
          <w:b/>
          <w:bCs/>
          <w:color w:val="auto"/>
          <w:sz w:val="21"/>
          <w:szCs w:val="21"/>
          <w:highlight w:val="none"/>
        </w:rPr>
      </w:pPr>
    </w:p>
    <w:p w14:paraId="1466CCE0">
      <w:pPr>
        <w:pStyle w:val="47"/>
        <w:spacing w:before="0" w:beforeAutospacing="0" w:after="0" w:afterAutospacing="0" w:line="360" w:lineRule="auto"/>
        <w:rPr>
          <w:rFonts w:hint="default" w:cs="宋体"/>
          <w:b/>
          <w:bCs/>
          <w:color w:val="auto"/>
          <w:sz w:val="21"/>
          <w:szCs w:val="21"/>
          <w:highlight w:val="none"/>
        </w:rPr>
      </w:pPr>
    </w:p>
    <w:p w14:paraId="0C16C496">
      <w:pPr>
        <w:pStyle w:val="47"/>
        <w:spacing w:before="0" w:beforeAutospacing="0" w:after="0" w:afterAutospacing="0" w:line="360" w:lineRule="auto"/>
        <w:rPr>
          <w:rFonts w:hint="default" w:cs="宋体"/>
          <w:b/>
          <w:bCs/>
          <w:color w:val="auto"/>
          <w:sz w:val="21"/>
          <w:szCs w:val="21"/>
          <w:highlight w:val="none"/>
        </w:rPr>
      </w:pPr>
    </w:p>
    <w:p w14:paraId="0527F7B8">
      <w:pPr>
        <w:pStyle w:val="47"/>
        <w:spacing w:before="0" w:beforeAutospacing="0" w:after="0" w:afterAutospacing="0" w:line="360" w:lineRule="auto"/>
        <w:rPr>
          <w:rFonts w:hint="default" w:cs="宋体"/>
          <w:b/>
          <w:bCs/>
          <w:color w:val="auto"/>
          <w:sz w:val="21"/>
          <w:szCs w:val="21"/>
          <w:highlight w:val="none"/>
        </w:rPr>
      </w:pPr>
    </w:p>
    <w:p w14:paraId="2FF69D1F">
      <w:pPr>
        <w:spacing w:line="360" w:lineRule="auto"/>
        <w:jc w:val="center"/>
        <w:outlineLvl w:val="0"/>
        <w:rPr>
          <w:rFonts w:ascii="宋体" w:hAnsi="宋体" w:cs="宋体"/>
          <w:color w:val="auto"/>
          <w:sz w:val="21"/>
          <w:szCs w:val="21"/>
          <w:highlight w:val="none"/>
        </w:rPr>
      </w:pPr>
      <w:bookmarkStart w:id="88" w:name="_Toc27732"/>
      <w:bookmarkStart w:id="89" w:name="_Toc22726"/>
      <w:bookmarkStart w:id="90" w:name="_Toc31912"/>
      <w:bookmarkStart w:id="91" w:name="_Toc25857"/>
      <w:r>
        <w:rPr>
          <w:rFonts w:hint="eastAsia" w:ascii="宋体" w:hAnsi="宋体" w:cs="宋体"/>
          <w:b/>
          <w:bCs/>
          <w:color w:val="auto"/>
          <w:sz w:val="32"/>
          <w:szCs w:val="32"/>
          <w:highlight w:val="none"/>
        </w:rPr>
        <w:t>第四章 招标书</w:t>
      </w:r>
      <w:bookmarkEnd w:id="88"/>
      <w:bookmarkEnd w:id="89"/>
      <w:bookmarkEnd w:id="90"/>
      <w:bookmarkEnd w:id="91"/>
    </w:p>
    <w:p w14:paraId="2F8819A9">
      <w:pPr>
        <w:pStyle w:val="40"/>
        <w:spacing w:line="360" w:lineRule="auto"/>
        <w:ind w:firstLine="420"/>
        <w:jc w:val="both"/>
        <w:rPr>
          <w:rFonts w:ascii="宋体" w:hAnsi="宋体" w:cs="宋体"/>
          <w:color w:val="auto"/>
          <w:sz w:val="21"/>
          <w:szCs w:val="21"/>
          <w:highlight w:val="none"/>
        </w:rPr>
      </w:pPr>
      <w:r>
        <w:rPr>
          <w:rFonts w:hint="eastAsia" w:ascii="宋体" w:hAnsi="宋体" w:cs="宋体"/>
          <w:color w:val="auto"/>
          <w:sz w:val="21"/>
          <w:szCs w:val="21"/>
          <w:highlight w:val="none"/>
          <w:lang w:eastAsia="zh-CN"/>
        </w:rPr>
        <w:t>众鑫工程管理（苏州）有限公司</w:t>
      </w:r>
      <w:r>
        <w:rPr>
          <w:rFonts w:hint="eastAsia" w:ascii="宋体" w:hAnsi="宋体" w:cs="宋体"/>
          <w:color w:val="auto"/>
          <w:sz w:val="21"/>
          <w:szCs w:val="21"/>
          <w:highlight w:val="none"/>
        </w:rPr>
        <w:t>受</w:t>
      </w:r>
      <w:r>
        <w:rPr>
          <w:rFonts w:hint="eastAsia" w:ascii="宋体" w:hAnsi="宋体" w:cs="宋体"/>
          <w:color w:val="auto"/>
          <w:sz w:val="21"/>
          <w:szCs w:val="21"/>
          <w:highlight w:val="none"/>
          <w:lang w:eastAsia="zh-CN"/>
        </w:rPr>
        <w:t>苏州高铁新城管理委员会</w:t>
      </w:r>
      <w:r>
        <w:rPr>
          <w:rFonts w:hint="eastAsia" w:ascii="宋体" w:hAnsi="宋体" w:cs="宋体"/>
          <w:color w:val="auto"/>
          <w:sz w:val="21"/>
          <w:szCs w:val="21"/>
          <w:highlight w:val="none"/>
        </w:rPr>
        <w:t>的委托，就其所需采购的</w:t>
      </w:r>
      <w:r>
        <w:rPr>
          <w:rFonts w:hint="eastAsia" w:ascii="宋体" w:hAnsi="宋体" w:cs="宋体"/>
          <w:color w:val="auto"/>
          <w:sz w:val="21"/>
          <w:szCs w:val="21"/>
          <w:highlight w:val="none"/>
          <w:lang w:eastAsia="zh-CN"/>
        </w:rPr>
        <w:t>2026-2027年国土空间咨询及土地报批</w:t>
      </w:r>
      <w:r>
        <w:rPr>
          <w:rFonts w:hint="eastAsia" w:ascii="宋体" w:hAnsi="宋体" w:cs="宋体"/>
          <w:color w:val="auto"/>
          <w:sz w:val="21"/>
          <w:szCs w:val="21"/>
          <w:highlight w:val="none"/>
        </w:rPr>
        <w:t>进行公开招标。欢迎符合资格条件的投标人前来参加投标。</w:t>
      </w:r>
    </w:p>
    <w:p w14:paraId="79B36CA7">
      <w:pPr>
        <w:pStyle w:val="40"/>
        <w:spacing w:line="360" w:lineRule="auto"/>
        <w:ind w:firstLine="422"/>
        <w:jc w:val="both"/>
        <w:rPr>
          <w:rFonts w:ascii="宋体" w:hAnsi="宋体" w:cs="宋体"/>
          <w:color w:val="auto"/>
          <w:sz w:val="21"/>
          <w:szCs w:val="21"/>
          <w:highlight w:val="none"/>
        </w:rPr>
      </w:pPr>
      <w:r>
        <w:rPr>
          <w:rFonts w:hint="eastAsia" w:ascii="宋体" w:hAnsi="宋体" w:cs="宋体"/>
          <w:b/>
          <w:bCs/>
          <w:color w:val="auto"/>
          <w:sz w:val="21"/>
          <w:szCs w:val="21"/>
          <w:highlight w:val="none"/>
        </w:rPr>
        <w:t>一、项目概况：</w:t>
      </w:r>
    </w:p>
    <w:p w14:paraId="082F7034">
      <w:pPr>
        <w:spacing w:line="360" w:lineRule="auto"/>
        <w:ind w:firstLine="422"/>
        <w:jc w:val="both"/>
        <w:rPr>
          <w:rFonts w:hint="eastAsia" w:ascii="宋体" w:hAnsi="宋体" w:eastAsia="宋体" w:cs="宋体"/>
          <w:color w:val="auto"/>
          <w:sz w:val="21"/>
          <w:szCs w:val="21"/>
          <w:highlight w:val="none"/>
          <w:lang w:eastAsia="zh-CN"/>
        </w:rPr>
      </w:pPr>
      <w:r>
        <w:rPr>
          <w:rFonts w:hint="eastAsia" w:ascii="宋体" w:hAnsi="宋体" w:cs="宋体"/>
          <w:b/>
          <w:bCs/>
          <w:color w:val="auto"/>
          <w:sz w:val="21"/>
          <w:szCs w:val="21"/>
          <w:highlight w:val="none"/>
        </w:rPr>
        <w:t>1.项目编号：</w:t>
      </w:r>
      <w:r>
        <w:rPr>
          <w:rFonts w:hint="eastAsia" w:ascii="宋体" w:hAnsi="宋体" w:cs="宋体"/>
          <w:b/>
          <w:bCs/>
          <w:color w:val="auto"/>
          <w:sz w:val="21"/>
          <w:szCs w:val="21"/>
          <w:highlight w:val="none"/>
          <w:lang w:eastAsia="zh-CN"/>
        </w:rPr>
        <w:t>JSZC-320507-ZXGG-G2026-0003</w:t>
      </w:r>
    </w:p>
    <w:p w14:paraId="5DE4C299">
      <w:pPr>
        <w:spacing w:line="360" w:lineRule="auto"/>
        <w:ind w:firstLine="422"/>
        <w:jc w:val="both"/>
        <w:rPr>
          <w:rFonts w:hint="eastAsia" w:ascii="宋体" w:hAnsi="宋体" w:eastAsia="宋体" w:cs="宋体"/>
          <w:color w:val="auto"/>
          <w:sz w:val="21"/>
          <w:szCs w:val="21"/>
          <w:highlight w:val="none"/>
          <w:lang w:eastAsia="zh-CN"/>
        </w:rPr>
      </w:pPr>
      <w:r>
        <w:rPr>
          <w:rFonts w:hint="eastAsia" w:ascii="宋体" w:hAnsi="宋体" w:cs="宋体"/>
          <w:b/>
          <w:bCs/>
          <w:color w:val="auto"/>
          <w:sz w:val="21"/>
          <w:szCs w:val="21"/>
          <w:highlight w:val="none"/>
        </w:rPr>
        <w:t>2.项目名称：</w:t>
      </w:r>
      <w:r>
        <w:rPr>
          <w:rFonts w:hint="eastAsia" w:ascii="宋体" w:hAnsi="宋体" w:cs="宋体"/>
          <w:color w:val="auto"/>
          <w:sz w:val="21"/>
          <w:szCs w:val="21"/>
          <w:highlight w:val="none"/>
          <w:lang w:eastAsia="zh-CN"/>
        </w:rPr>
        <w:t>2026-2027年国土空间咨询及土地报批</w:t>
      </w:r>
    </w:p>
    <w:p w14:paraId="13B34C3E">
      <w:pPr>
        <w:spacing w:line="360" w:lineRule="auto"/>
        <w:ind w:firstLine="422"/>
        <w:jc w:val="both"/>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★3.采购预算：550.000000万元</w:t>
      </w:r>
    </w:p>
    <w:p w14:paraId="3EA512D0">
      <w:pPr>
        <w:spacing w:line="360" w:lineRule="auto"/>
        <w:ind w:firstLine="422"/>
        <w:jc w:val="both"/>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其中：第一标段：250.000000万元</w:t>
      </w:r>
    </w:p>
    <w:p w14:paraId="6812F791">
      <w:pPr>
        <w:spacing w:line="360" w:lineRule="auto"/>
        <w:ind w:firstLine="422"/>
        <w:jc w:val="both"/>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第二标段：85.500000万元</w:t>
      </w:r>
    </w:p>
    <w:p w14:paraId="4D287074">
      <w:pPr>
        <w:spacing w:line="360" w:lineRule="auto"/>
        <w:ind w:firstLine="422"/>
        <w:jc w:val="both"/>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第三标段：75.000000万元</w:t>
      </w:r>
    </w:p>
    <w:p w14:paraId="208EC7BF">
      <w:pPr>
        <w:spacing w:line="360" w:lineRule="auto"/>
        <w:ind w:firstLine="422"/>
        <w:jc w:val="both"/>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第四标段：49.000000万元</w:t>
      </w:r>
    </w:p>
    <w:p w14:paraId="486EA1CB">
      <w:pPr>
        <w:spacing w:line="360" w:lineRule="auto"/>
        <w:ind w:firstLine="422"/>
        <w:jc w:val="both"/>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第五标段：47.500000万元</w:t>
      </w:r>
    </w:p>
    <w:p w14:paraId="5EB38560">
      <w:pPr>
        <w:spacing w:line="360" w:lineRule="auto"/>
        <w:ind w:firstLine="422"/>
        <w:jc w:val="both"/>
        <w:rPr>
          <w:rFonts w:ascii="宋体" w:hAnsi="宋体" w:cs="宋体"/>
          <w:color w:val="auto"/>
          <w:sz w:val="21"/>
          <w:szCs w:val="21"/>
          <w:highlight w:val="none"/>
        </w:rPr>
      </w:pPr>
      <w:r>
        <w:rPr>
          <w:rFonts w:hint="eastAsia" w:ascii="宋体" w:hAnsi="宋体" w:cs="宋体"/>
          <w:b/>
          <w:bCs/>
          <w:color w:val="auto"/>
          <w:sz w:val="21"/>
          <w:szCs w:val="21"/>
          <w:highlight w:val="none"/>
        </w:rPr>
        <w:t>第六标段：43.000000万元</w:t>
      </w:r>
    </w:p>
    <w:p w14:paraId="48911657">
      <w:pPr>
        <w:spacing w:line="360" w:lineRule="auto"/>
        <w:ind w:firstLine="422"/>
        <w:jc w:val="both"/>
        <w:rPr>
          <w:rFonts w:ascii="宋体" w:hAnsi="宋体" w:cs="宋体"/>
          <w:b/>
          <w:bCs/>
          <w:color w:val="auto"/>
          <w:sz w:val="21"/>
          <w:szCs w:val="21"/>
          <w:highlight w:val="none"/>
        </w:rPr>
      </w:pPr>
      <w:r>
        <w:rPr>
          <w:rFonts w:hint="eastAsia" w:ascii="宋体" w:hAnsi="宋体" w:cs="宋体"/>
          <w:b/>
          <w:bCs/>
          <w:color w:val="auto"/>
          <w:sz w:val="21"/>
          <w:szCs w:val="21"/>
          <w:highlight w:val="none"/>
        </w:rPr>
        <w:t>★二、采购需求</w:t>
      </w:r>
    </w:p>
    <w:p w14:paraId="09F7B51D">
      <w:pPr>
        <w:pStyle w:val="47"/>
        <w:spacing w:before="0" w:beforeAutospacing="0" w:after="0" w:afterAutospacing="0" w:line="360" w:lineRule="auto"/>
        <w:ind w:firstLine="422"/>
        <w:rPr>
          <w:rFonts w:hint="eastAsia" w:cs="宋体"/>
          <w:b w:val="0"/>
          <w:bCs/>
          <w:color w:val="auto"/>
          <w:sz w:val="21"/>
          <w:szCs w:val="21"/>
          <w:highlight w:val="none"/>
        </w:rPr>
      </w:pPr>
      <w:r>
        <w:rPr>
          <w:rFonts w:hint="eastAsia" w:cs="宋体"/>
          <w:b w:val="0"/>
          <w:bCs/>
          <w:color w:val="auto"/>
          <w:sz w:val="21"/>
          <w:szCs w:val="21"/>
          <w:highlight w:val="none"/>
        </w:rPr>
        <w:t>（一）项目概况</w:t>
      </w:r>
    </w:p>
    <w:p w14:paraId="43DD82C6">
      <w:pPr>
        <w:pStyle w:val="47"/>
        <w:spacing w:before="0" w:beforeAutospacing="0" w:after="0" w:afterAutospacing="0" w:line="360" w:lineRule="auto"/>
        <w:ind w:firstLine="422"/>
        <w:rPr>
          <w:rFonts w:hint="eastAsia" w:cs="宋体"/>
          <w:b w:val="0"/>
          <w:bCs/>
          <w:color w:val="auto"/>
          <w:sz w:val="21"/>
          <w:szCs w:val="21"/>
          <w:highlight w:val="none"/>
        </w:rPr>
      </w:pPr>
      <w:r>
        <w:rPr>
          <w:rFonts w:hint="eastAsia" w:cs="宋体"/>
          <w:b w:val="0"/>
          <w:bCs/>
          <w:color w:val="auto"/>
          <w:sz w:val="21"/>
          <w:szCs w:val="21"/>
          <w:highlight w:val="none"/>
        </w:rPr>
        <w:t>为改善相城高铁新城基础设施条件、完善路网，提高区域的空间品质和土地经济附加值，完善城市功能，改善生活环境，全面提升城市形象，从而促进经济可持续发展，相城高铁新城拟开展永昌泾南澄阳路西居住用地、建胜路、永昌泾开河等项目建设。根据《中华人民共和国土地管理法》规定：“建设占用土地，涉及农用地转为建设用地的，应当办理农用地转用审批手续。”新增建设用地报批手续即为办理土地征收、农用地转用审批。本次主要针对高铁新城2026年-2027年在土地利用总体规划确定的城市建设用地范围内、外的建设项目用地，进行用地报批及国土空间咨询等工作。</w:t>
      </w:r>
    </w:p>
    <w:p w14:paraId="0F9B717F">
      <w:pPr>
        <w:pStyle w:val="47"/>
        <w:spacing w:before="0" w:beforeAutospacing="0" w:after="0" w:afterAutospacing="0" w:line="360" w:lineRule="auto"/>
        <w:ind w:firstLine="422"/>
        <w:rPr>
          <w:rFonts w:hint="eastAsia" w:cs="宋体"/>
          <w:b w:val="0"/>
          <w:bCs/>
          <w:color w:val="auto"/>
          <w:sz w:val="21"/>
          <w:szCs w:val="21"/>
          <w:highlight w:val="none"/>
        </w:rPr>
      </w:pPr>
      <w:r>
        <w:rPr>
          <w:rFonts w:hint="eastAsia" w:cs="宋体"/>
          <w:b w:val="0"/>
          <w:bCs/>
          <w:color w:val="auto"/>
          <w:sz w:val="21"/>
          <w:szCs w:val="21"/>
          <w:highlight w:val="none"/>
        </w:rPr>
        <w:t>（二）项目服务内容</w:t>
      </w:r>
    </w:p>
    <w:p w14:paraId="5999FBE5">
      <w:pPr>
        <w:pStyle w:val="47"/>
        <w:spacing w:before="0" w:beforeAutospacing="0" w:after="0" w:afterAutospacing="0" w:line="360" w:lineRule="auto"/>
        <w:ind w:firstLine="422"/>
        <w:rPr>
          <w:rFonts w:hint="eastAsia" w:cs="宋体"/>
          <w:b w:val="0"/>
          <w:bCs/>
          <w:color w:val="auto"/>
          <w:sz w:val="21"/>
          <w:szCs w:val="21"/>
          <w:highlight w:val="none"/>
        </w:rPr>
      </w:pPr>
      <w:r>
        <w:rPr>
          <w:rFonts w:hint="eastAsia" w:cs="宋体"/>
          <w:b w:val="0"/>
          <w:bCs/>
          <w:color w:val="auto"/>
          <w:sz w:val="21"/>
          <w:szCs w:val="21"/>
          <w:highlight w:val="none"/>
        </w:rPr>
        <w:t>1</w:t>
      </w:r>
      <w:r>
        <w:rPr>
          <w:rFonts w:hint="eastAsia" w:cs="宋体"/>
          <w:b w:val="0"/>
          <w:bCs/>
          <w:color w:val="auto"/>
          <w:sz w:val="21"/>
          <w:szCs w:val="21"/>
          <w:highlight w:val="none"/>
          <w:lang w:val="en-US" w:eastAsia="zh-CN"/>
        </w:rPr>
        <w:t>.</w:t>
      </w:r>
      <w:r>
        <w:rPr>
          <w:rFonts w:hint="eastAsia" w:cs="宋体"/>
          <w:b w:val="0"/>
          <w:bCs/>
          <w:color w:val="auto"/>
          <w:sz w:val="21"/>
          <w:szCs w:val="21"/>
          <w:highlight w:val="none"/>
        </w:rPr>
        <w:t>国土空间开发利用咨询服务</w:t>
      </w:r>
    </w:p>
    <w:p w14:paraId="7DB6F8F8">
      <w:pPr>
        <w:pStyle w:val="47"/>
        <w:spacing w:before="0" w:beforeAutospacing="0" w:after="0" w:afterAutospacing="0" w:line="360" w:lineRule="auto"/>
        <w:ind w:firstLine="422"/>
        <w:rPr>
          <w:rFonts w:hint="eastAsia" w:cs="宋体"/>
          <w:b w:val="0"/>
          <w:bCs/>
          <w:color w:val="auto"/>
          <w:sz w:val="21"/>
          <w:szCs w:val="21"/>
          <w:highlight w:val="none"/>
        </w:rPr>
      </w:pPr>
      <w:r>
        <w:rPr>
          <w:rFonts w:hint="eastAsia" w:cs="宋体"/>
          <w:b w:val="0"/>
          <w:bCs/>
          <w:color w:val="auto"/>
          <w:sz w:val="21"/>
          <w:szCs w:val="21"/>
          <w:highlight w:val="none"/>
        </w:rPr>
        <w:t>（1）依据《中华人民共和国土地管理法》、《中国人民共和国土地管理法实施条例》、《江苏省土地管理条例》等提供有关农用地转用审批和土地征收审批方面的技术咨询服务，协助采购</w:t>
      </w:r>
      <w:r>
        <w:rPr>
          <w:rFonts w:hint="eastAsia" w:cs="宋体"/>
          <w:b w:val="0"/>
          <w:bCs/>
          <w:color w:val="auto"/>
          <w:sz w:val="21"/>
          <w:szCs w:val="21"/>
          <w:highlight w:val="none"/>
          <w:lang w:val="en-US" w:eastAsia="zh-CN"/>
        </w:rPr>
        <w:t>人</w:t>
      </w:r>
      <w:r>
        <w:rPr>
          <w:rFonts w:hint="eastAsia" w:cs="宋体"/>
          <w:b w:val="0"/>
          <w:bCs/>
          <w:color w:val="auto"/>
          <w:sz w:val="21"/>
          <w:szCs w:val="21"/>
          <w:highlight w:val="none"/>
        </w:rPr>
        <w:t>了解最新各地区土地管理的政策，协助采购</w:t>
      </w:r>
      <w:r>
        <w:rPr>
          <w:rFonts w:hint="eastAsia" w:cs="宋体"/>
          <w:b w:val="0"/>
          <w:bCs/>
          <w:color w:val="auto"/>
          <w:sz w:val="21"/>
          <w:szCs w:val="21"/>
          <w:highlight w:val="none"/>
          <w:lang w:val="en-US" w:eastAsia="zh-CN"/>
        </w:rPr>
        <w:t>人</w:t>
      </w:r>
      <w:r>
        <w:rPr>
          <w:rFonts w:hint="eastAsia" w:cs="宋体"/>
          <w:b w:val="0"/>
          <w:bCs/>
          <w:color w:val="auto"/>
          <w:sz w:val="21"/>
          <w:szCs w:val="21"/>
          <w:highlight w:val="none"/>
        </w:rPr>
        <w:t>制定项目的立项级别、规模、投资等，协助采购</w:t>
      </w:r>
      <w:r>
        <w:rPr>
          <w:rFonts w:hint="eastAsia" w:cs="宋体"/>
          <w:b w:val="0"/>
          <w:bCs/>
          <w:color w:val="auto"/>
          <w:sz w:val="21"/>
          <w:szCs w:val="21"/>
          <w:highlight w:val="none"/>
          <w:lang w:val="en-US" w:eastAsia="zh-CN"/>
        </w:rPr>
        <w:t>人</w:t>
      </w:r>
      <w:r>
        <w:rPr>
          <w:rFonts w:hint="eastAsia" w:cs="宋体"/>
          <w:b w:val="0"/>
          <w:bCs/>
          <w:color w:val="auto"/>
          <w:sz w:val="21"/>
          <w:szCs w:val="21"/>
          <w:highlight w:val="none"/>
        </w:rPr>
        <w:t>提供项目所涉及土地方面的描述，协助对于其他主管部门关于土地方面的情况介绍；按照项目用地红线按照要求处理、转换坐标、测算数据、图件制作以及项目合规性核查等。</w:t>
      </w:r>
    </w:p>
    <w:p w14:paraId="7A33E933">
      <w:pPr>
        <w:pStyle w:val="47"/>
        <w:spacing w:before="0" w:beforeAutospacing="0" w:after="0" w:afterAutospacing="0" w:line="360" w:lineRule="auto"/>
        <w:ind w:firstLine="422"/>
        <w:rPr>
          <w:rFonts w:hint="eastAsia" w:cs="宋体"/>
          <w:b w:val="0"/>
          <w:bCs/>
          <w:color w:val="auto"/>
          <w:sz w:val="21"/>
          <w:szCs w:val="21"/>
          <w:highlight w:val="none"/>
        </w:rPr>
      </w:pPr>
      <w:r>
        <w:rPr>
          <w:rFonts w:hint="eastAsia" w:cs="宋体"/>
          <w:b w:val="0"/>
          <w:bCs/>
          <w:color w:val="auto"/>
          <w:sz w:val="21"/>
          <w:szCs w:val="21"/>
          <w:highlight w:val="none"/>
        </w:rPr>
        <w:t>（2）辖区内土地利用梳理</w:t>
      </w:r>
    </w:p>
    <w:p w14:paraId="5817B150">
      <w:pPr>
        <w:pStyle w:val="47"/>
        <w:spacing w:before="0" w:beforeAutospacing="0" w:after="0" w:afterAutospacing="0" w:line="360" w:lineRule="auto"/>
        <w:ind w:firstLine="422"/>
        <w:rPr>
          <w:rFonts w:hint="eastAsia" w:cs="宋体"/>
          <w:b w:val="0"/>
          <w:bCs/>
          <w:color w:val="auto"/>
          <w:sz w:val="21"/>
          <w:szCs w:val="21"/>
          <w:highlight w:val="none"/>
        </w:rPr>
      </w:pPr>
      <w:r>
        <w:rPr>
          <w:rFonts w:hint="eastAsia" w:cs="宋体"/>
          <w:b w:val="0"/>
          <w:bCs/>
          <w:color w:val="auto"/>
          <w:sz w:val="21"/>
          <w:szCs w:val="21"/>
          <w:highlight w:val="none"/>
        </w:rPr>
        <w:t>依据高铁新城国土空间开发利用现状，对辖区内进行自然资源进行国土空间开发利用现状、规划基础梳理等工作，以各片区法定控制性详细规划、国土空间规划近期实施方案为分析底图，叠加分析各级各类规划要素，如永久基本农田、自然保护地、公益林、生态保护红线、生态管控区等，衔接国土空间规划“三线划定”成果，围绕国土空间规划“十四五”重点发展区域，进行土地利用梳理。</w:t>
      </w:r>
    </w:p>
    <w:p w14:paraId="2227133E">
      <w:pPr>
        <w:pStyle w:val="47"/>
        <w:spacing w:before="0" w:beforeAutospacing="0" w:after="0" w:afterAutospacing="0" w:line="360" w:lineRule="auto"/>
        <w:ind w:firstLine="422"/>
        <w:rPr>
          <w:rFonts w:hint="eastAsia" w:cs="宋体"/>
          <w:b w:val="0"/>
          <w:bCs/>
          <w:color w:val="auto"/>
          <w:sz w:val="21"/>
          <w:szCs w:val="21"/>
          <w:highlight w:val="none"/>
        </w:rPr>
      </w:pPr>
      <w:r>
        <w:rPr>
          <w:rFonts w:hint="eastAsia" w:cs="宋体"/>
          <w:b w:val="0"/>
          <w:bCs/>
          <w:color w:val="auto"/>
          <w:sz w:val="21"/>
          <w:szCs w:val="21"/>
          <w:highlight w:val="none"/>
        </w:rPr>
        <w:t>（3）根据采购</w:t>
      </w:r>
      <w:r>
        <w:rPr>
          <w:rFonts w:hint="eastAsia" w:cs="宋体"/>
          <w:b w:val="0"/>
          <w:bCs/>
          <w:color w:val="auto"/>
          <w:sz w:val="21"/>
          <w:szCs w:val="21"/>
          <w:highlight w:val="none"/>
          <w:lang w:val="en-US" w:eastAsia="zh-CN"/>
        </w:rPr>
        <w:t>人</w:t>
      </w:r>
      <w:r>
        <w:rPr>
          <w:rFonts w:hint="eastAsia" w:cs="宋体"/>
          <w:b w:val="0"/>
          <w:bCs/>
          <w:color w:val="auto"/>
          <w:sz w:val="21"/>
          <w:szCs w:val="21"/>
          <w:highlight w:val="none"/>
        </w:rPr>
        <w:t>的要求安排</w:t>
      </w:r>
      <w:r>
        <w:rPr>
          <w:rFonts w:hint="eastAsia" w:cs="宋体"/>
          <w:b w:val="0"/>
          <w:bCs/>
          <w:color w:val="auto"/>
          <w:sz w:val="21"/>
          <w:szCs w:val="21"/>
          <w:highlight w:val="none"/>
          <w:lang w:val="en-US" w:eastAsia="zh-CN"/>
        </w:rPr>
        <w:t>项目负责人</w:t>
      </w:r>
      <w:r>
        <w:rPr>
          <w:rFonts w:hint="eastAsia" w:cs="宋体"/>
          <w:b w:val="0"/>
          <w:bCs/>
          <w:color w:val="auto"/>
          <w:sz w:val="21"/>
          <w:szCs w:val="21"/>
          <w:highlight w:val="none"/>
        </w:rPr>
        <w:t>，</w:t>
      </w:r>
      <w:r>
        <w:rPr>
          <w:rFonts w:hint="eastAsia" w:cs="宋体"/>
          <w:b w:val="0"/>
          <w:bCs/>
          <w:color w:val="auto"/>
          <w:sz w:val="21"/>
          <w:szCs w:val="21"/>
          <w:highlight w:val="none"/>
        </w:rPr>
        <w:t>具体工作由采购</w:t>
      </w:r>
      <w:r>
        <w:rPr>
          <w:rFonts w:hint="eastAsia" w:cs="宋体"/>
          <w:b w:val="0"/>
          <w:bCs/>
          <w:color w:val="auto"/>
          <w:sz w:val="21"/>
          <w:szCs w:val="21"/>
          <w:highlight w:val="none"/>
          <w:lang w:val="en-US" w:eastAsia="zh-CN"/>
        </w:rPr>
        <w:t>人</w:t>
      </w:r>
      <w:r>
        <w:rPr>
          <w:rFonts w:hint="eastAsia" w:cs="宋体"/>
          <w:b w:val="0"/>
          <w:bCs/>
          <w:color w:val="auto"/>
          <w:sz w:val="21"/>
          <w:szCs w:val="21"/>
          <w:highlight w:val="none"/>
        </w:rPr>
        <w:t>安排，包括但不限于内业整理或外业违法举证等工作。</w:t>
      </w:r>
    </w:p>
    <w:p w14:paraId="62F21631">
      <w:pPr>
        <w:pStyle w:val="47"/>
        <w:spacing w:before="0" w:beforeAutospacing="0" w:after="0" w:afterAutospacing="0" w:line="360" w:lineRule="auto"/>
        <w:ind w:firstLine="422"/>
        <w:rPr>
          <w:rFonts w:hint="eastAsia" w:cs="宋体"/>
          <w:b w:val="0"/>
          <w:bCs/>
          <w:color w:val="auto"/>
          <w:sz w:val="21"/>
          <w:szCs w:val="21"/>
          <w:highlight w:val="none"/>
        </w:rPr>
      </w:pPr>
      <w:r>
        <w:rPr>
          <w:rFonts w:hint="eastAsia" w:cs="宋体"/>
          <w:b w:val="0"/>
          <w:bCs/>
          <w:color w:val="auto"/>
          <w:sz w:val="21"/>
          <w:szCs w:val="21"/>
          <w:highlight w:val="none"/>
        </w:rPr>
        <w:t>2</w:t>
      </w:r>
      <w:r>
        <w:rPr>
          <w:rFonts w:hint="eastAsia" w:cs="宋体"/>
          <w:b w:val="0"/>
          <w:bCs/>
          <w:color w:val="auto"/>
          <w:sz w:val="21"/>
          <w:szCs w:val="21"/>
          <w:highlight w:val="none"/>
          <w:lang w:val="en-US" w:eastAsia="zh-CN"/>
        </w:rPr>
        <w:t>.</w:t>
      </w:r>
      <w:r>
        <w:rPr>
          <w:rFonts w:hint="eastAsia" w:cs="宋体"/>
          <w:b w:val="0"/>
          <w:bCs/>
          <w:color w:val="auto"/>
          <w:sz w:val="21"/>
          <w:szCs w:val="21"/>
          <w:highlight w:val="none"/>
        </w:rPr>
        <w:t>勘测定界服务</w:t>
      </w:r>
    </w:p>
    <w:p w14:paraId="1ED261C9">
      <w:pPr>
        <w:pStyle w:val="47"/>
        <w:spacing w:before="0" w:beforeAutospacing="0" w:after="0" w:afterAutospacing="0" w:line="360" w:lineRule="auto"/>
        <w:ind w:firstLine="422"/>
        <w:rPr>
          <w:rFonts w:hint="eastAsia" w:cs="宋体"/>
          <w:b w:val="0"/>
          <w:bCs/>
          <w:color w:val="auto"/>
          <w:sz w:val="21"/>
          <w:szCs w:val="21"/>
          <w:highlight w:val="none"/>
        </w:rPr>
      </w:pPr>
      <w:r>
        <w:rPr>
          <w:rFonts w:hint="eastAsia" w:cs="宋体"/>
          <w:b w:val="0"/>
          <w:bCs/>
          <w:color w:val="auto"/>
          <w:sz w:val="21"/>
          <w:szCs w:val="21"/>
          <w:highlight w:val="none"/>
        </w:rPr>
        <w:t>主要包括实地踏勘和勘测定界资料编制：整理用地范围线、编制地块编号、完成勘测成果及权属调查。</w:t>
      </w:r>
    </w:p>
    <w:p w14:paraId="563655B9">
      <w:pPr>
        <w:pStyle w:val="47"/>
        <w:spacing w:before="0" w:beforeAutospacing="0" w:after="0" w:afterAutospacing="0" w:line="360" w:lineRule="auto"/>
        <w:ind w:firstLine="422"/>
        <w:rPr>
          <w:rFonts w:hint="eastAsia" w:cs="宋体"/>
          <w:b w:val="0"/>
          <w:bCs/>
          <w:color w:val="auto"/>
          <w:sz w:val="21"/>
          <w:szCs w:val="21"/>
          <w:highlight w:val="none"/>
        </w:rPr>
      </w:pPr>
      <w:r>
        <w:rPr>
          <w:rFonts w:hint="eastAsia" w:cs="宋体"/>
          <w:b w:val="0"/>
          <w:bCs/>
          <w:color w:val="auto"/>
          <w:sz w:val="21"/>
          <w:szCs w:val="21"/>
          <w:highlight w:val="none"/>
        </w:rPr>
        <w:t>3</w:t>
      </w:r>
      <w:r>
        <w:rPr>
          <w:rFonts w:hint="eastAsia" w:cs="宋体"/>
          <w:b w:val="0"/>
          <w:bCs/>
          <w:color w:val="auto"/>
          <w:sz w:val="21"/>
          <w:szCs w:val="21"/>
          <w:highlight w:val="none"/>
          <w:lang w:val="en-US" w:eastAsia="zh-CN"/>
        </w:rPr>
        <w:t>.</w:t>
      </w:r>
      <w:r>
        <w:rPr>
          <w:rFonts w:hint="eastAsia" w:cs="宋体"/>
          <w:b w:val="0"/>
          <w:bCs/>
          <w:color w:val="auto"/>
          <w:sz w:val="21"/>
          <w:szCs w:val="21"/>
          <w:highlight w:val="none"/>
        </w:rPr>
        <w:t>地质灾害危险性评估</w:t>
      </w:r>
    </w:p>
    <w:p w14:paraId="76956468">
      <w:pPr>
        <w:pStyle w:val="47"/>
        <w:spacing w:before="0" w:beforeAutospacing="0" w:after="0" w:afterAutospacing="0" w:line="360" w:lineRule="auto"/>
        <w:ind w:firstLine="422"/>
        <w:rPr>
          <w:rFonts w:hint="eastAsia" w:cs="宋体"/>
          <w:b w:val="0"/>
          <w:bCs/>
          <w:color w:val="auto"/>
          <w:sz w:val="21"/>
          <w:szCs w:val="21"/>
          <w:highlight w:val="none"/>
        </w:rPr>
      </w:pPr>
      <w:r>
        <w:rPr>
          <w:rFonts w:hint="eastAsia" w:cs="宋体"/>
          <w:b w:val="0"/>
          <w:bCs/>
          <w:color w:val="auto"/>
          <w:sz w:val="21"/>
          <w:szCs w:val="21"/>
          <w:highlight w:val="none"/>
        </w:rPr>
        <w:t>调查研究评估区地质环境条件基本特征，阐明评估区地质灾害类型、规模、特征、形成条件及诱发因素；分析认证工程建设区各种地质灾害的危险性，并进行现状评估、预测评估及综合评估；提出防治地质灾害的措施和建议，并做出建设场地适宜性评价结论。</w:t>
      </w:r>
    </w:p>
    <w:p w14:paraId="2293D505">
      <w:pPr>
        <w:pStyle w:val="47"/>
        <w:spacing w:before="0" w:beforeAutospacing="0" w:after="0" w:afterAutospacing="0" w:line="360" w:lineRule="auto"/>
        <w:ind w:firstLine="422"/>
        <w:rPr>
          <w:rFonts w:hint="eastAsia" w:cs="宋体"/>
          <w:b w:val="0"/>
          <w:bCs/>
          <w:color w:val="auto"/>
          <w:sz w:val="21"/>
          <w:szCs w:val="21"/>
          <w:highlight w:val="none"/>
        </w:rPr>
      </w:pPr>
      <w:r>
        <w:rPr>
          <w:rFonts w:hint="eastAsia" w:cs="宋体"/>
          <w:b w:val="0"/>
          <w:bCs/>
          <w:color w:val="auto"/>
          <w:sz w:val="21"/>
          <w:szCs w:val="21"/>
          <w:highlight w:val="none"/>
        </w:rPr>
        <w:t>4</w:t>
      </w:r>
      <w:r>
        <w:rPr>
          <w:rFonts w:hint="eastAsia" w:cs="宋体"/>
          <w:b w:val="0"/>
          <w:bCs/>
          <w:color w:val="auto"/>
          <w:sz w:val="21"/>
          <w:szCs w:val="21"/>
          <w:highlight w:val="none"/>
          <w:lang w:val="en-US" w:eastAsia="zh-CN"/>
        </w:rPr>
        <w:t>.</w:t>
      </w:r>
      <w:r>
        <w:rPr>
          <w:rFonts w:hint="eastAsia" w:cs="宋体"/>
          <w:b w:val="0"/>
          <w:bCs/>
          <w:color w:val="auto"/>
          <w:sz w:val="21"/>
          <w:szCs w:val="21"/>
          <w:highlight w:val="none"/>
        </w:rPr>
        <w:t>征地前程序协助办理</w:t>
      </w:r>
    </w:p>
    <w:p w14:paraId="5DDFECE1">
      <w:pPr>
        <w:pStyle w:val="47"/>
        <w:spacing w:before="0" w:beforeAutospacing="0" w:after="0" w:afterAutospacing="0" w:line="360" w:lineRule="auto"/>
        <w:ind w:firstLine="422"/>
        <w:rPr>
          <w:rFonts w:hint="eastAsia" w:cs="宋体"/>
          <w:b w:val="0"/>
          <w:bCs/>
          <w:color w:val="auto"/>
          <w:sz w:val="21"/>
          <w:szCs w:val="21"/>
          <w:highlight w:val="none"/>
        </w:rPr>
      </w:pPr>
      <w:r>
        <w:rPr>
          <w:rFonts w:hint="eastAsia" w:cs="宋体"/>
          <w:b w:val="0"/>
          <w:bCs/>
          <w:color w:val="auto"/>
          <w:sz w:val="21"/>
          <w:szCs w:val="21"/>
          <w:highlight w:val="none"/>
        </w:rPr>
        <w:t>协助开展征收土地现状情况调查，摸清现场实际利用情况；协助开展拟征收公告、征地补偿安置公告，协助拟定各类调查材料、协议文件等，并协助乡镇国土部门及建设单位完成征地前程序，形成符合上报要求的征地前材料。</w:t>
      </w:r>
    </w:p>
    <w:p w14:paraId="6E91D937">
      <w:pPr>
        <w:pStyle w:val="47"/>
        <w:spacing w:before="0" w:beforeAutospacing="0" w:after="0" w:afterAutospacing="0" w:line="360" w:lineRule="auto"/>
        <w:ind w:firstLine="422"/>
        <w:rPr>
          <w:rFonts w:hint="eastAsia" w:cs="宋体"/>
          <w:b w:val="0"/>
          <w:bCs/>
          <w:color w:val="auto"/>
          <w:sz w:val="21"/>
          <w:szCs w:val="21"/>
          <w:highlight w:val="none"/>
        </w:rPr>
      </w:pPr>
      <w:r>
        <w:rPr>
          <w:rFonts w:hint="eastAsia" w:cs="宋体"/>
          <w:b w:val="0"/>
          <w:bCs/>
          <w:color w:val="auto"/>
          <w:sz w:val="21"/>
          <w:szCs w:val="21"/>
          <w:highlight w:val="none"/>
        </w:rPr>
        <w:t>5</w:t>
      </w:r>
      <w:r>
        <w:rPr>
          <w:rFonts w:hint="eastAsia" w:cs="宋体"/>
          <w:b w:val="0"/>
          <w:bCs/>
          <w:color w:val="auto"/>
          <w:sz w:val="21"/>
          <w:szCs w:val="21"/>
          <w:highlight w:val="none"/>
          <w:lang w:val="en-US" w:eastAsia="zh-CN"/>
        </w:rPr>
        <w:t>.</w:t>
      </w:r>
      <w:r>
        <w:rPr>
          <w:rFonts w:hint="eastAsia" w:cs="宋体"/>
          <w:b w:val="0"/>
          <w:bCs/>
          <w:color w:val="auto"/>
          <w:sz w:val="21"/>
          <w:szCs w:val="21"/>
          <w:highlight w:val="none"/>
        </w:rPr>
        <w:t>用地预审(不含规划方案审查)</w:t>
      </w:r>
    </w:p>
    <w:p w14:paraId="1A173204">
      <w:pPr>
        <w:pStyle w:val="47"/>
        <w:spacing w:before="0" w:beforeAutospacing="0" w:after="0" w:afterAutospacing="0" w:line="360" w:lineRule="auto"/>
        <w:ind w:firstLine="422"/>
        <w:rPr>
          <w:rFonts w:hint="eastAsia" w:cs="宋体"/>
          <w:b w:val="0"/>
          <w:bCs/>
          <w:color w:val="auto"/>
          <w:sz w:val="21"/>
          <w:szCs w:val="21"/>
          <w:highlight w:val="none"/>
        </w:rPr>
      </w:pPr>
      <w:r>
        <w:rPr>
          <w:rFonts w:hint="eastAsia" w:cs="宋体"/>
          <w:b w:val="0"/>
          <w:bCs/>
          <w:color w:val="auto"/>
          <w:sz w:val="21"/>
          <w:szCs w:val="21"/>
          <w:highlight w:val="none"/>
        </w:rPr>
        <w:t>（1）同采购</w:t>
      </w:r>
      <w:r>
        <w:rPr>
          <w:rFonts w:hint="eastAsia" w:cs="宋体"/>
          <w:b w:val="0"/>
          <w:bCs/>
          <w:color w:val="auto"/>
          <w:sz w:val="21"/>
          <w:szCs w:val="21"/>
          <w:highlight w:val="none"/>
          <w:lang w:val="en-US" w:eastAsia="zh-CN"/>
        </w:rPr>
        <w:t>人</w:t>
      </w:r>
      <w:r>
        <w:rPr>
          <w:rFonts w:hint="eastAsia" w:cs="宋体"/>
          <w:b w:val="0"/>
          <w:bCs/>
          <w:color w:val="auto"/>
          <w:sz w:val="21"/>
          <w:szCs w:val="21"/>
          <w:highlight w:val="none"/>
        </w:rPr>
        <w:t>、设计单位根据用地预审的管理要求确定预审红线，划分功能分区并测算数据；</w:t>
      </w:r>
    </w:p>
    <w:p w14:paraId="71571E6D">
      <w:pPr>
        <w:pStyle w:val="47"/>
        <w:spacing w:before="0" w:beforeAutospacing="0" w:after="0" w:afterAutospacing="0" w:line="360" w:lineRule="auto"/>
        <w:ind w:firstLine="422"/>
        <w:rPr>
          <w:rFonts w:hint="eastAsia" w:cs="宋体"/>
          <w:b w:val="0"/>
          <w:bCs/>
          <w:color w:val="auto"/>
          <w:sz w:val="21"/>
          <w:szCs w:val="21"/>
          <w:highlight w:val="none"/>
        </w:rPr>
      </w:pPr>
      <w:r>
        <w:rPr>
          <w:rFonts w:hint="eastAsia" w:cs="宋体"/>
          <w:b w:val="0"/>
          <w:bCs/>
          <w:color w:val="auto"/>
          <w:sz w:val="21"/>
          <w:szCs w:val="21"/>
          <w:highlight w:val="none"/>
        </w:rPr>
        <w:t>（2）编制用地预审申请表、申请报告、图件等报件；</w:t>
      </w:r>
    </w:p>
    <w:p w14:paraId="39A81306">
      <w:pPr>
        <w:pStyle w:val="47"/>
        <w:spacing w:before="0" w:beforeAutospacing="0" w:after="0" w:afterAutospacing="0" w:line="360" w:lineRule="auto"/>
        <w:ind w:firstLine="422"/>
        <w:rPr>
          <w:rFonts w:hint="eastAsia" w:cs="宋体"/>
          <w:b w:val="0"/>
          <w:bCs/>
          <w:color w:val="auto"/>
          <w:sz w:val="21"/>
          <w:szCs w:val="21"/>
          <w:highlight w:val="none"/>
        </w:rPr>
      </w:pPr>
      <w:r>
        <w:rPr>
          <w:rFonts w:hint="eastAsia" w:cs="宋体"/>
          <w:b w:val="0"/>
          <w:bCs/>
          <w:color w:val="auto"/>
          <w:sz w:val="21"/>
          <w:szCs w:val="21"/>
          <w:highlight w:val="none"/>
        </w:rPr>
        <w:t>（3）提交区级自然资源主管部门开展审查，关注审查过程；</w:t>
      </w:r>
    </w:p>
    <w:p w14:paraId="4628933E">
      <w:pPr>
        <w:pStyle w:val="47"/>
        <w:spacing w:before="0" w:beforeAutospacing="0" w:after="0" w:afterAutospacing="0" w:line="360" w:lineRule="auto"/>
        <w:ind w:firstLine="422"/>
        <w:rPr>
          <w:rFonts w:hint="eastAsia" w:cs="宋体"/>
          <w:b w:val="0"/>
          <w:bCs/>
          <w:color w:val="auto"/>
          <w:sz w:val="21"/>
          <w:szCs w:val="21"/>
          <w:highlight w:val="none"/>
        </w:rPr>
      </w:pPr>
      <w:r>
        <w:rPr>
          <w:rFonts w:hint="eastAsia" w:cs="宋体"/>
          <w:b w:val="0"/>
          <w:bCs/>
          <w:color w:val="auto"/>
          <w:sz w:val="21"/>
          <w:szCs w:val="21"/>
          <w:highlight w:val="none"/>
        </w:rPr>
        <w:t>（4）完成区级用地预审审查，在采购</w:t>
      </w:r>
      <w:r>
        <w:rPr>
          <w:rFonts w:hint="eastAsia" w:cs="宋体"/>
          <w:b w:val="0"/>
          <w:bCs/>
          <w:color w:val="auto"/>
          <w:sz w:val="21"/>
          <w:szCs w:val="21"/>
          <w:highlight w:val="none"/>
          <w:lang w:val="en-US" w:eastAsia="zh-CN"/>
        </w:rPr>
        <w:t>人</w:t>
      </w:r>
      <w:r>
        <w:rPr>
          <w:rFonts w:hint="eastAsia" w:cs="宋体"/>
          <w:b w:val="0"/>
          <w:bCs/>
          <w:color w:val="auto"/>
          <w:sz w:val="21"/>
          <w:szCs w:val="21"/>
          <w:highlight w:val="none"/>
        </w:rPr>
        <w:t>完成选址方案审查后，获得用地预审及选址意见书。</w:t>
      </w:r>
    </w:p>
    <w:p w14:paraId="631E1E1C">
      <w:pPr>
        <w:pStyle w:val="47"/>
        <w:spacing w:before="0" w:beforeAutospacing="0" w:after="0" w:afterAutospacing="0" w:line="360" w:lineRule="auto"/>
        <w:ind w:firstLine="422"/>
        <w:rPr>
          <w:rFonts w:hint="eastAsia" w:cs="宋体"/>
          <w:b w:val="0"/>
          <w:bCs/>
          <w:color w:val="auto"/>
          <w:sz w:val="21"/>
          <w:szCs w:val="21"/>
          <w:highlight w:val="none"/>
        </w:rPr>
      </w:pPr>
      <w:r>
        <w:rPr>
          <w:rFonts w:hint="eastAsia" w:cs="宋体"/>
          <w:b w:val="0"/>
          <w:bCs/>
          <w:color w:val="auto"/>
          <w:sz w:val="21"/>
          <w:szCs w:val="21"/>
          <w:highlight w:val="none"/>
        </w:rPr>
        <w:t>6</w:t>
      </w:r>
      <w:r>
        <w:rPr>
          <w:rFonts w:hint="eastAsia" w:cs="宋体"/>
          <w:b w:val="0"/>
          <w:bCs/>
          <w:color w:val="auto"/>
          <w:sz w:val="21"/>
          <w:szCs w:val="21"/>
          <w:highlight w:val="none"/>
          <w:lang w:val="en-US" w:eastAsia="zh-CN"/>
        </w:rPr>
        <w:t>.</w:t>
      </w:r>
      <w:r>
        <w:rPr>
          <w:rFonts w:hint="eastAsia" w:cs="宋体"/>
          <w:b w:val="0"/>
          <w:bCs/>
          <w:color w:val="auto"/>
          <w:sz w:val="21"/>
          <w:szCs w:val="21"/>
          <w:highlight w:val="none"/>
        </w:rPr>
        <w:t>城乡建设用地报批 （批次）</w:t>
      </w:r>
    </w:p>
    <w:p w14:paraId="6142BB6E">
      <w:pPr>
        <w:pStyle w:val="47"/>
        <w:spacing w:before="0" w:beforeAutospacing="0" w:after="0" w:afterAutospacing="0" w:line="360" w:lineRule="auto"/>
        <w:ind w:firstLine="422"/>
        <w:rPr>
          <w:rFonts w:hint="eastAsia" w:cs="宋体"/>
          <w:b w:val="0"/>
          <w:bCs/>
          <w:color w:val="auto"/>
          <w:sz w:val="21"/>
          <w:szCs w:val="21"/>
          <w:highlight w:val="none"/>
        </w:rPr>
      </w:pPr>
      <w:r>
        <w:rPr>
          <w:rFonts w:hint="eastAsia" w:cs="宋体"/>
          <w:b w:val="0"/>
          <w:bCs/>
          <w:color w:val="auto"/>
          <w:sz w:val="21"/>
          <w:szCs w:val="21"/>
          <w:highlight w:val="none"/>
        </w:rPr>
        <w:t>用地报批组卷及流转工作，开展用地报批报件的区、市两级审查流转工作，获得建设项目的用地批文。</w:t>
      </w:r>
    </w:p>
    <w:p w14:paraId="5D16EBCB">
      <w:pPr>
        <w:pStyle w:val="47"/>
        <w:spacing w:before="0" w:beforeAutospacing="0" w:after="0" w:afterAutospacing="0" w:line="360" w:lineRule="auto"/>
        <w:ind w:firstLine="422"/>
        <w:rPr>
          <w:rFonts w:hint="eastAsia" w:cs="宋体"/>
          <w:b w:val="0"/>
          <w:bCs/>
          <w:color w:val="auto"/>
          <w:sz w:val="21"/>
          <w:szCs w:val="21"/>
          <w:highlight w:val="none"/>
        </w:rPr>
      </w:pPr>
      <w:r>
        <w:rPr>
          <w:rFonts w:hint="eastAsia" w:cs="宋体"/>
          <w:b w:val="0"/>
          <w:bCs/>
          <w:color w:val="auto"/>
          <w:sz w:val="21"/>
          <w:szCs w:val="21"/>
          <w:highlight w:val="none"/>
        </w:rPr>
        <w:t>7</w:t>
      </w:r>
      <w:r>
        <w:rPr>
          <w:rFonts w:hint="eastAsia" w:cs="宋体"/>
          <w:b w:val="0"/>
          <w:bCs/>
          <w:color w:val="auto"/>
          <w:sz w:val="21"/>
          <w:szCs w:val="21"/>
          <w:highlight w:val="none"/>
          <w:lang w:val="en-US" w:eastAsia="zh-CN"/>
        </w:rPr>
        <w:t>.</w:t>
      </w:r>
      <w:r>
        <w:rPr>
          <w:rFonts w:hint="eastAsia" w:cs="宋体"/>
          <w:b w:val="0"/>
          <w:bCs/>
          <w:color w:val="auto"/>
          <w:sz w:val="21"/>
          <w:szCs w:val="21"/>
          <w:highlight w:val="none"/>
        </w:rPr>
        <w:t>林地报批（面积&lt;1公顷）</w:t>
      </w:r>
    </w:p>
    <w:p w14:paraId="120D6114">
      <w:pPr>
        <w:pStyle w:val="47"/>
        <w:spacing w:before="0" w:beforeAutospacing="0" w:after="0" w:afterAutospacing="0" w:line="360" w:lineRule="auto"/>
        <w:ind w:firstLine="422"/>
        <w:rPr>
          <w:rFonts w:hint="eastAsia" w:cs="宋体"/>
          <w:b w:val="0"/>
          <w:bCs/>
          <w:color w:val="auto"/>
          <w:sz w:val="21"/>
          <w:szCs w:val="21"/>
          <w:highlight w:val="none"/>
        </w:rPr>
      </w:pPr>
      <w:r>
        <w:rPr>
          <w:rFonts w:hint="eastAsia" w:cs="宋体"/>
          <w:b w:val="0"/>
          <w:bCs/>
          <w:color w:val="auto"/>
          <w:sz w:val="21"/>
          <w:szCs w:val="21"/>
          <w:highlight w:val="none"/>
        </w:rPr>
        <w:t>依据项目红线进行数据处理，得到涉及林地相关数据信息并进行森林资源现场勘测调查，包括现场样地实测、小班数据记录等。整理分析得到林地基础数据库，同步搜集相关材料进行使用林地可行性研究报告或使用林地现状调查表及采伐作业设计书的编制，完成林地报告相关图件、表格等。组织召开征占用林地可行性研究的论证会。</w:t>
      </w:r>
    </w:p>
    <w:p w14:paraId="34B7E292">
      <w:pPr>
        <w:pStyle w:val="47"/>
        <w:spacing w:before="0" w:beforeAutospacing="0" w:after="0" w:afterAutospacing="0" w:line="360" w:lineRule="auto"/>
        <w:ind w:firstLine="422"/>
        <w:rPr>
          <w:rFonts w:hint="eastAsia" w:cs="宋体"/>
          <w:b w:val="0"/>
          <w:bCs/>
          <w:color w:val="auto"/>
          <w:sz w:val="21"/>
          <w:szCs w:val="21"/>
          <w:highlight w:val="none"/>
        </w:rPr>
      </w:pPr>
      <w:r>
        <w:rPr>
          <w:rFonts w:hint="eastAsia" w:cs="宋体"/>
          <w:b w:val="0"/>
          <w:bCs/>
          <w:color w:val="auto"/>
          <w:sz w:val="21"/>
          <w:szCs w:val="21"/>
          <w:highlight w:val="none"/>
        </w:rPr>
        <w:t>将相关材料进行组卷报批，协助配合与林业主管部门的现场查验等技术服务工作，最终取得使用林地征占用审核同意书及林木采伐许可证。</w:t>
      </w:r>
    </w:p>
    <w:p w14:paraId="0F66D228">
      <w:pPr>
        <w:pStyle w:val="47"/>
        <w:spacing w:before="0" w:beforeAutospacing="0" w:after="0" w:afterAutospacing="0" w:line="360" w:lineRule="auto"/>
        <w:ind w:firstLine="422"/>
        <w:rPr>
          <w:rFonts w:hint="eastAsia" w:cs="宋体"/>
          <w:b w:val="0"/>
          <w:bCs/>
          <w:color w:val="auto"/>
          <w:sz w:val="21"/>
          <w:szCs w:val="21"/>
          <w:highlight w:val="none"/>
        </w:rPr>
      </w:pPr>
      <w:r>
        <w:rPr>
          <w:rFonts w:hint="eastAsia" w:cs="宋体"/>
          <w:b w:val="0"/>
          <w:bCs/>
          <w:color w:val="auto"/>
          <w:sz w:val="21"/>
          <w:szCs w:val="21"/>
          <w:highlight w:val="none"/>
        </w:rPr>
        <w:t>8</w:t>
      </w:r>
      <w:r>
        <w:rPr>
          <w:rFonts w:hint="eastAsia" w:cs="宋体"/>
          <w:b w:val="0"/>
          <w:bCs/>
          <w:color w:val="auto"/>
          <w:sz w:val="21"/>
          <w:szCs w:val="21"/>
          <w:highlight w:val="none"/>
          <w:lang w:val="en-US" w:eastAsia="zh-CN"/>
        </w:rPr>
        <w:t>.</w:t>
      </w:r>
      <w:r>
        <w:rPr>
          <w:rFonts w:hint="eastAsia" w:cs="宋体"/>
          <w:b w:val="0"/>
          <w:bCs/>
          <w:color w:val="auto"/>
          <w:sz w:val="21"/>
          <w:szCs w:val="21"/>
          <w:highlight w:val="none"/>
        </w:rPr>
        <w:t>增减挂钩实施规划方案编制</w:t>
      </w:r>
    </w:p>
    <w:p w14:paraId="17EE0BF7">
      <w:pPr>
        <w:pStyle w:val="47"/>
        <w:spacing w:before="0" w:beforeAutospacing="0" w:after="0" w:afterAutospacing="0" w:line="360" w:lineRule="auto"/>
        <w:ind w:firstLine="422"/>
        <w:rPr>
          <w:rFonts w:hint="eastAsia" w:cs="宋体"/>
          <w:b w:val="0"/>
          <w:bCs/>
          <w:color w:val="auto"/>
          <w:sz w:val="21"/>
          <w:szCs w:val="21"/>
          <w:highlight w:val="none"/>
        </w:rPr>
      </w:pPr>
      <w:r>
        <w:rPr>
          <w:rFonts w:hint="eastAsia" w:cs="宋体"/>
          <w:b w:val="0"/>
          <w:bCs/>
          <w:color w:val="auto"/>
          <w:sz w:val="21"/>
          <w:szCs w:val="21"/>
          <w:highlight w:val="none"/>
        </w:rPr>
        <w:t>（1）实施规划成果的编制，包括挂钩专项调查、复垦项目备选库情况分析、项目区规划方案、项目区实施方案、规划方案评价、实施保障措施等内容。</w:t>
      </w:r>
    </w:p>
    <w:p w14:paraId="3E4E6AB8">
      <w:pPr>
        <w:pStyle w:val="47"/>
        <w:spacing w:before="0" w:beforeAutospacing="0" w:after="0" w:afterAutospacing="0" w:line="360" w:lineRule="auto"/>
        <w:ind w:firstLine="422"/>
        <w:rPr>
          <w:rFonts w:hint="eastAsia" w:cs="宋体"/>
          <w:b w:val="0"/>
          <w:bCs/>
          <w:color w:val="auto"/>
          <w:sz w:val="21"/>
          <w:szCs w:val="21"/>
          <w:highlight w:val="none"/>
        </w:rPr>
      </w:pPr>
      <w:r>
        <w:rPr>
          <w:rFonts w:hint="eastAsia" w:cs="宋体"/>
          <w:b w:val="0"/>
          <w:bCs/>
          <w:color w:val="auto"/>
          <w:sz w:val="21"/>
          <w:szCs w:val="21"/>
          <w:highlight w:val="none"/>
        </w:rPr>
        <w:t>（2）实施规划成果录入“城乡建设用地增减挂钩在线监管系统”。</w:t>
      </w:r>
    </w:p>
    <w:p w14:paraId="5ACD4972">
      <w:pPr>
        <w:pStyle w:val="47"/>
        <w:spacing w:before="0" w:beforeAutospacing="0" w:after="0" w:afterAutospacing="0" w:line="360" w:lineRule="auto"/>
        <w:ind w:firstLine="422"/>
        <w:rPr>
          <w:rFonts w:hint="eastAsia" w:cs="宋体"/>
          <w:b w:val="0"/>
          <w:bCs/>
          <w:color w:val="auto"/>
          <w:sz w:val="21"/>
          <w:szCs w:val="21"/>
          <w:highlight w:val="none"/>
        </w:rPr>
      </w:pPr>
      <w:r>
        <w:rPr>
          <w:rFonts w:hint="eastAsia" w:cs="宋体"/>
          <w:b w:val="0"/>
          <w:bCs/>
          <w:color w:val="auto"/>
          <w:sz w:val="21"/>
          <w:szCs w:val="21"/>
          <w:highlight w:val="none"/>
        </w:rPr>
        <w:t>9</w:t>
      </w:r>
      <w:r>
        <w:rPr>
          <w:rFonts w:hint="eastAsia" w:cs="宋体"/>
          <w:b w:val="0"/>
          <w:bCs/>
          <w:color w:val="auto"/>
          <w:sz w:val="21"/>
          <w:szCs w:val="21"/>
          <w:highlight w:val="none"/>
          <w:lang w:val="en-US" w:eastAsia="zh-CN"/>
        </w:rPr>
        <w:t>.</w:t>
      </w:r>
      <w:r>
        <w:rPr>
          <w:rFonts w:hint="eastAsia" w:cs="宋体"/>
          <w:b w:val="0"/>
          <w:bCs/>
          <w:color w:val="auto"/>
          <w:sz w:val="21"/>
          <w:szCs w:val="21"/>
          <w:highlight w:val="none"/>
        </w:rPr>
        <w:t>区、市、省三级报批</w:t>
      </w:r>
    </w:p>
    <w:p w14:paraId="3A1C033D">
      <w:pPr>
        <w:pStyle w:val="47"/>
        <w:spacing w:before="0" w:beforeAutospacing="0" w:after="0" w:afterAutospacing="0" w:line="360" w:lineRule="auto"/>
        <w:ind w:firstLine="422"/>
        <w:rPr>
          <w:rFonts w:hint="eastAsia" w:cs="宋体"/>
          <w:b w:val="0"/>
          <w:bCs/>
          <w:color w:val="auto"/>
          <w:sz w:val="21"/>
          <w:szCs w:val="21"/>
          <w:highlight w:val="none"/>
        </w:rPr>
      </w:pPr>
      <w:r>
        <w:rPr>
          <w:rFonts w:hint="eastAsia" w:cs="宋体"/>
          <w:b w:val="0"/>
          <w:bCs/>
          <w:color w:val="auto"/>
          <w:sz w:val="21"/>
          <w:szCs w:val="21"/>
          <w:highlight w:val="none"/>
        </w:rPr>
        <w:t>用地报批组卷及流转工作，办理区、市、省三级审查，最终获得主管部门对相应工程的建设用地批复文件。</w:t>
      </w:r>
    </w:p>
    <w:p w14:paraId="149F8876">
      <w:pPr>
        <w:pStyle w:val="47"/>
        <w:spacing w:before="0" w:beforeAutospacing="0" w:after="0" w:afterAutospacing="0" w:line="360" w:lineRule="auto"/>
        <w:ind w:firstLine="422"/>
        <w:rPr>
          <w:rFonts w:hint="eastAsia" w:cs="宋体"/>
          <w:b w:val="0"/>
          <w:bCs/>
          <w:color w:val="auto"/>
          <w:sz w:val="21"/>
          <w:szCs w:val="21"/>
          <w:highlight w:val="none"/>
        </w:rPr>
      </w:pPr>
      <w:r>
        <w:rPr>
          <w:rFonts w:hint="eastAsia" w:cs="宋体"/>
          <w:b w:val="0"/>
          <w:bCs/>
          <w:color w:val="auto"/>
          <w:sz w:val="21"/>
          <w:szCs w:val="21"/>
          <w:highlight w:val="none"/>
        </w:rPr>
        <w:t>10</w:t>
      </w:r>
      <w:r>
        <w:rPr>
          <w:rFonts w:hint="eastAsia" w:cs="宋体"/>
          <w:b w:val="0"/>
          <w:bCs/>
          <w:color w:val="auto"/>
          <w:sz w:val="21"/>
          <w:szCs w:val="21"/>
          <w:highlight w:val="none"/>
          <w:lang w:val="en-US" w:eastAsia="zh-CN"/>
        </w:rPr>
        <w:t>.</w:t>
      </w:r>
      <w:r>
        <w:rPr>
          <w:rFonts w:hint="eastAsia" w:cs="宋体"/>
          <w:b w:val="0"/>
          <w:bCs/>
          <w:color w:val="auto"/>
          <w:sz w:val="21"/>
          <w:szCs w:val="21"/>
          <w:highlight w:val="none"/>
        </w:rPr>
        <w:t>供地手续办理</w:t>
      </w:r>
    </w:p>
    <w:p w14:paraId="022380AC">
      <w:pPr>
        <w:pStyle w:val="47"/>
        <w:spacing w:before="0" w:beforeAutospacing="0" w:after="0" w:afterAutospacing="0" w:line="360" w:lineRule="auto"/>
        <w:ind w:firstLine="422"/>
        <w:rPr>
          <w:rFonts w:hint="eastAsia" w:cs="宋体"/>
          <w:b w:val="0"/>
          <w:bCs/>
          <w:color w:val="auto"/>
          <w:sz w:val="21"/>
          <w:szCs w:val="21"/>
          <w:highlight w:val="none"/>
        </w:rPr>
      </w:pPr>
      <w:r>
        <w:rPr>
          <w:rFonts w:hint="eastAsia" w:cs="宋体"/>
          <w:b w:val="0"/>
          <w:bCs/>
          <w:color w:val="auto"/>
          <w:sz w:val="21"/>
          <w:szCs w:val="21"/>
          <w:highlight w:val="none"/>
        </w:rPr>
        <w:t>根据项目的用地批复，协助编制项目征地告知及安置公示，并公开公示。</w:t>
      </w:r>
    </w:p>
    <w:p w14:paraId="44541754">
      <w:pPr>
        <w:pStyle w:val="47"/>
        <w:spacing w:before="0" w:beforeAutospacing="0" w:after="0" w:afterAutospacing="0" w:line="360" w:lineRule="auto"/>
        <w:ind w:firstLine="422"/>
        <w:rPr>
          <w:rFonts w:hint="eastAsia" w:cs="宋体"/>
          <w:b w:val="0"/>
          <w:bCs/>
          <w:color w:val="auto"/>
          <w:sz w:val="21"/>
          <w:szCs w:val="21"/>
          <w:highlight w:val="none"/>
        </w:rPr>
      </w:pPr>
      <w:r>
        <w:rPr>
          <w:rFonts w:hint="eastAsia" w:cs="宋体"/>
          <w:b w:val="0"/>
          <w:bCs/>
          <w:color w:val="auto"/>
          <w:sz w:val="21"/>
          <w:szCs w:val="21"/>
          <w:highlight w:val="none"/>
        </w:rPr>
        <w:t>编制项目供地手续资料，主要包括：供地申请、宗地图、土地分类明细表、现场踏勘报告等材料；汇总整理立项文件、规划选址意见书、规划用地许可证、规划红线图、环境影响登记表等材料。最终形成项目供地审批卷宗。</w:t>
      </w:r>
    </w:p>
    <w:p w14:paraId="411FE777">
      <w:pPr>
        <w:pStyle w:val="47"/>
        <w:spacing w:before="0" w:beforeAutospacing="0" w:after="0" w:afterAutospacing="0" w:line="360" w:lineRule="auto"/>
        <w:ind w:firstLine="422"/>
        <w:rPr>
          <w:rFonts w:hint="eastAsia" w:cs="宋体"/>
          <w:b w:val="0"/>
          <w:bCs/>
          <w:color w:val="auto"/>
          <w:sz w:val="21"/>
          <w:szCs w:val="21"/>
          <w:highlight w:val="none"/>
        </w:rPr>
      </w:pPr>
      <w:r>
        <w:rPr>
          <w:rFonts w:hint="eastAsia" w:cs="宋体"/>
          <w:b w:val="0"/>
          <w:bCs/>
          <w:color w:val="auto"/>
          <w:sz w:val="21"/>
          <w:szCs w:val="21"/>
          <w:highlight w:val="none"/>
        </w:rPr>
        <w:t>各标段涉及到的服务内容为：</w:t>
      </w:r>
    </w:p>
    <w:p w14:paraId="4E17F897">
      <w:pPr>
        <w:pStyle w:val="47"/>
        <w:spacing w:before="0" w:beforeAutospacing="0" w:after="0" w:afterAutospacing="0" w:line="360" w:lineRule="auto"/>
        <w:ind w:firstLine="422"/>
        <w:rPr>
          <w:rFonts w:hint="eastAsia" w:cs="宋体"/>
          <w:b w:val="0"/>
          <w:bCs/>
          <w:color w:val="auto"/>
          <w:sz w:val="21"/>
          <w:szCs w:val="21"/>
          <w:highlight w:val="none"/>
        </w:rPr>
      </w:pPr>
      <w:r>
        <w:rPr>
          <w:rFonts w:hint="eastAsia" w:cs="宋体"/>
          <w:b w:val="0"/>
          <w:bCs/>
          <w:color w:val="auto"/>
          <w:sz w:val="21"/>
          <w:szCs w:val="21"/>
          <w:highlight w:val="none"/>
        </w:rPr>
        <w:t>第一标段（分包1）：2026-2027年国土空间咨询及土地报批-中部片区</w:t>
      </w:r>
    </w:p>
    <w:p w14:paraId="43F677AF">
      <w:pPr>
        <w:pStyle w:val="47"/>
        <w:spacing w:before="0" w:beforeAutospacing="0" w:after="0" w:afterAutospacing="0" w:line="360" w:lineRule="auto"/>
        <w:ind w:firstLine="422"/>
        <w:rPr>
          <w:rFonts w:hint="eastAsia" w:cs="宋体"/>
          <w:b w:val="0"/>
          <w:bCs/>
          <w:color w:val="auto"/>
          <w:sz w:val="21"/>
          <w:szCs w:val="21"/>
          <w:highlight w:val="none"/>
        </w:rPr>
      </w:pPr>
      <w:r>
        <w:rPr>
          <w:rFonts w:hint="eastAsia" w:cs="宋体"/>
          <w:b w:val="0"/>
          <w:bCs/>
          <w:color w:val="auto"/>
          <w:sz w:val="21"/>
          <w:szCs w:val="21"/>
          <w:highlight w:val="none"/>
        </w:rPr>
        <w:t>第二标段（分包2）：2026-2027年国土空间咨询及土地报批-南部片区</w:t>
      </w:r>
    </w:p>
    <w:p w14:paraId="76340CDA">
      <w:pPr>
        <w:pStyle w:val="47"/>
        <w:spacing w:before="0" w:beforeAutospacing="0" w:after="0" w:afterAutospacing="0" w:line="360" w:lineRule="auto"/>
        <w:ind w:firstLine="422"/>
        <w:rPr>
          <w:rFonts w:hint="eastAsia" w:cs="宋体"/>
          <w:b w:val="0"/>
          <w:bCs/>
          <w:color w:val="auto"/>
          <w:sz w:val="21"/>
          <w:szCs w:val="21"/>
          <w:highlight w:val="none"/>
        </w:rPr>
      </w:pPr>
      <w:r>
        <w:rPr>
          <w:rFonts w:hint="eastAsia" w:cs="宋体"/>
          <w:b w:val="0"/>
          <w:bCs/>
          <w:color w:val="auto"/>
          <w:sz w:val="21"/>
          <w:szCs w:val="21"/>
          <w:highlight w:val="none"/>
        </w:rPr>
        <w:t>第三标段（分包3）：2026-2027年国土空间咨询及土地报批-中部片区（G524以西区域）</w:t>
      </w:r>
    </w:p>
    <w:p w14:paraId="6B733077">
      <w:pPr>
        <w:pStyle w:val="47"/>
        <w:spacing w:before="0" w:beforeAutospacing="0" w:after="0" w:afterAutospacing="0" w:line="360" w:lineRule="auto"/>
        <w:ind w:firstLine="422"/>
        <w:rPr>
          <w:rFonts w:hint="eastAsia" w:cs="宋体"/>
          <w:b w:val="0"/>
          <w:bCs/>
          <w:color w:val="auto"/>
          <w:sz w:val="21"/>
          <w:szCs w:val="21"/>
          <w:highlight w:val="none"/>
        </w:rPr>
      </w:pPr>
      <w:r>
        <w:rPr>
          <w:rFonts w:hint="eastAsia" w:cs="宋体"/>
          <w:b w:val="0"/>
          <w:bCs/>
          <w:color w:val="auto"/>
          <w:sz w:val="21"/>
          <w:szCs w:val="21"/>
          <w:highlight w:val="none"/>
        </w:rPr>
        <w:t>第四标段（分包4）：2026-2027年国土空间咨询及土地报批-南部片区（G524以西区域）</w:t>
      </w:r>
    </w:p>
    <w:p w14:paraId="73FFB03E">
      <w:pPr>
        <w:pStyle w:val="47"/>
        <w:spacing w:before="0" w:beforeAutospacing="0" w:after="0" w:afterAutospacing="0" w:line="360" w:lineRule="auto"/>
        <w:ind w:firstLine="422"/>
        <w:rPr>
          <w:rFonts w:hint="eastAsia" w:cs="宋体"/>
          <w:b w:val="0"/>
          <w:bCs/>
          <w:color w:val="auto"/>
          <w:sz w:val="21"/>
          <w:szCs w:val="21"/>
          <w:highlight w:val="none"/>
        </w:rPr>
      </w:pPr>
      <w:r>
        <w:rPr>
          <w:rFonts w:hint="eastAsia" w:cs="宋体"/>
          <w:b w:val="0"/>
          <w:bCs/>
          <w:color w:val="auto"/>
          <w:sz w:val="21"/>
          <w:szCs w:val="21"/>
          <w:highlight w:val="none"/>
        </w:rPr>
        <w:t>第五标段（分包6）：2026-2027年国土空间咨询及土地报批-北部片区</w:t>
      </w:r>
    </w:p>
    <w:p w14:paraId="051B8705">
      <w:pPr>
        <w:pStyle w:val="47"/>
        <w:spacing w:before="0" w:beforeAutospacing="0" w:after="0" w:afterAutospacing="0" w:line="360" w:lineRule="auto"/>
        <w:ind w:firstLine="422"/>
        <w:rPr>
          <w:rFonts w:hint="eastAsia" w:cs="宋体"/>
          <w:b w:val="0"/>
          <w:bCs/>
          <w:color w:val="auto"/>
          <w:sz w:val="21"/>
          <w:szCs w:val="21"/>
          <w:highlight w:val="none"/>
        </w:rPr>
      </w:pPr>
      <w:r>
        <w:rPr>
          <w:rFonts w:hint="eastAsia" w:cs="宋体"/>
          <w:b w:val="0"/>
          <w:bCs/>
          <w:color w:val="auto"/>
          <w:sz w:val="21"/>
          <w:szCs w:val="21"/>
          <w:highlight w:val="none"/>
        </w:rPr>
        <w:t>第六标段（分包6）：2026-2027年国土空间咨询及土地报批-北部片区（G524以西区域）</w:t>
      </w:r>
    </w:p>
    <w:p w14:paraId="45B4400E">
      <w:pPr>
        <w:pStyle w:val="47"/>
        <w:spacing w:before="0" w:beforeAutospacing="0" w:after="0" w:afterAutospacing="0" w:line="360" w:lineRule="auto"/>
        <w:ind w:firstLine="422"/>
        <w:rPr>
          <w:rFonts w:hint="eastAsia" w:cs="宋体"/>
          <w:b/>
          <w:bCs w:val="0"/>
          <w:color w:val="auto"/>
          <w:sz w:val="21"/>
          <w:szCs w:val="21"/>
          <w:highlight w:val="none"/>
        </w:rPr>
      </w:pPr>
      <w:r>
        <w:rPr>
          <w:rFonts w:hint="eastAsia" w:cs="宋体"/>
          <w:b/>
          <w:bCs w:val="0"/>
          <w:color w:val="auto"/>
          <w:sz w:val="21"/>
          <w:szCs w:val="21"/>
          <w:highlight w:val="none"/>
          <w:lang w:val="en-US" w:eastAsia="zh-CN"/>
        </w:rPr>
        <w:t>注：区域划分以采购人实际情况安排为准</w:t>
      </w:r>
      <w:r>
        <w:rPr>
          <w:rFonts w:hint="eastAsia" w:cs="宋体"/>
          <w:b/>
          <w:bCs w:val="0"/>
          <w:color w:val="auto"/>
          <w:sz w:val="21"/>
          <w:szCs w:val="21"/>
          <w:highlight w:val="none"/>
        </w:rPr>
        <w:t>。</w:t>
      </w:r>
    </w:p>
    <w:p w14:paraId="01925481">
      <w:pPr>
        <w:pStyle w:val="47"/>
        <w:spacing w:before="0" w:beforeAutospacing="0" w:after="0" w:afterAutospacing="0" w:line="360" w:lineRule="auto"/>
        <w:ind w:firstLine="422"/>
        <w:rPr>
          <w:rFonts w:hint="default" w:eastAsia="宋体" w:cs="宋体"/>
          <w:b/>
          <w:bCs w:val="0"/>
          <w:color w:val="auto"/>
          <w:sz w:val="21"/>
          <w:szCs w:val="21"/>
          <w:highlight w:val="none"/>
          <w:lang w:val="en-US" w:eastAsia="zh-CN"/>
        </w:rPr>
      </w:pPr>
      <w:r>
        <w:rPr>
          <w:rFonts w:hint="eastAsia" w:cs="宋体"/>
          <w:b/>
          <w:bCs w:val="0"/>
          <w:color w:val="auto"/>
          <w:sz w:val="21"/>
          <w:szCs w:val="21"/>
          <w:highlight w:val="none"/>
          <w:lang w:val="en-US" w:eastAsia="zh-CN"/>
        </w:rPr>
        <w:t>第一标段：</w:t>
      </w:r>
    </w:p>
    <w:tbl>
      <w:tblPr>
        <w:tblStyle w:val="52"/>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758"/>
        <w:gridCol w:w="4967"/>
        <w:gridCol w:w="2519"/>
      </w:tblGrid>
      <w:tr w14:paraId="5E4ABD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9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D4167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序号</w:t>
            </w:r>
          </w:p>
        </w:tc>
        <w:tc>
          <w:tcPr>
            <w:tcW w:w="26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18A14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服务类别</w:t>
            </w:r>
          </w:p>
        </w:tc>
        <w:tc>
          <w:tcPr>
            <w:tcW w:w="1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96429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数量（项）</w:t>
            </w:r>
          </w:p>
        </w:tc>
      </w:tr>
      <w:tr w14:paraId="138D88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9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FFFEF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26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90A1F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国土空间开发利用咨询服务</w:t>
            </w:r>
          </w:p>
        </w:tc>
        <w:tc>
          <w:tcPr>
            <w:tcW w:w="1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3E000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r>
      <w:tr w14:paraId="6594F9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9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642CD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w:t>
            </w:r>
          </w:p>
        </w:tc>
        <w:tc>
          <w:tcPr>
            <w:tcW w:w="26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5DD1C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勘测定界</w:t>
            </w:r>
          </w:p>
        </w:tc>
        <w:tc>
          <w:tcPr>
            <w:tcW w:w="1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ECFFC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6</w:t>
            </w:r>
          </w:p>
        </w:tc>
      </w:tr>
      <w:tr w14:paraId="36BCB5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9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395EE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w:t>
            </w:r>
          </w:p>
        </w:tc>
        <w:tc>
          <w:tcPr>
            <w:tcW w:w="26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FBC5C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地质灾害危险性评估</w:t>
            </w:r>
          </w:p>
        </w:tc>
        <w:tc>
          <w:tcPr>
            <w:tcW w:w="1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171D3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w:t>
            </w:r>
          </w:p>
        </w:tc>
      </w:tr>
      <w:tr w14:paraId="231BB5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9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73F28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w:t>
            </w:r>
          </w:p>
        </w:tc>
        <w:tc>
          <w:tcPr>
            <w:tcW w:w="26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BECE9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征地前程序协助办理</w:t>
            </w:r>
          </w:p>
        </w:tc>
        <w:tc>
          <w:tcPr>
            <w:tcW w:w="1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7CC1C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w:t>
            </w:r>
          </w:p>
        </w:tc>
      </w:tr>
      <w:tr w14:paraId="0C2FDB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9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B870F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w:t>
            </w:r>
          </w:p>
        </w:tc>
        <w:tc>
          <w:tcPr>
            <w:tcW w:w="26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07EFC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用地预审</w:t>
            </w:r>
          </w:p>
        </w:tc>
        <w:tc>
          <w:tcPr>
            <w:tcW w:w="1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70B42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7</w:t>
            </w:r>
          </w:p>
        </w:tc>
      </w:tr>
      <w:tr w14:paraId="17CA45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9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EF392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6</w:t>
            </w:r>
          </w:p>
        </w:tc>
        <w:tc>
          <w:tcPr>
            <w:tcW w:w="26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3C95B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城乡建设用地报批 （批次）</w:t>
            </w:r>
          </w:p>
        </w:tc>
        <w:tc>
          <w:tcPr>
            <w:tcW w:w="1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6D2BF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w:t>
            </w:r>
          </w:p>
        </w:tc>
      </w:tr>
      <w:tr w14:paraId="77D9A2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9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306A2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7</w:t>
            </w:r>
          </w:p>
        </w:tc>
        <w:tc>
          <w:tcPr>
            <w:tcW w:w="26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C761E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林地报批（面积&lt;1公顷）</w:t>
            </w:r>
          </w:p>
        </w:tc>
        <w:tc>
          <w:tcPr>
            <w:tcW w:w="1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03FAC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r>
      <w:tr w14:paraId="67B97D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9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7D85C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8</w:t>
            </w:r>
          </w:p>
        </w:tc>
        <w:tc>
          <w:tcPr>
            <w:tcW w:w="26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F9707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增减挂钩实施方案</w:t>
            </w:r>
          </w:p>
        </w:tc>
        <w:tc>
          <w:tcPr>
            <w:tcW w:w="1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3F749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r>
      <w:tr w14:paraId="4A1AE7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9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C0943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9</w:t>
            </w:r>
          </w:p>
        </w:tc>
        <w:tc>
          <w:tcPr>
            <w:tcW w:w="26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88433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区、市、省三级报批</w:t>
            </w:r>
          </w:p>
        </w:tc>
        <w:tc>
          <w:tcPr>
            <w:tcW w:w="1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528BE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w:t>
            </w:r>
          </w:p>
        </w:tc>
      </w:tr>
      <w:tr w14:paraId="44317B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9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9EE306">
            <w:pPr>
              <w:keepNext w:val="0"/>
              <w:keepLines w:val="0"/>
              <w:widowControl/>
              <w:suppressLineNumbers w:val="0"/>
              <w:jc w:val="center"/>
              <w:textAlignment w:val="center"/>
              <w:rPr>
                <w:rFonts w:hint="default"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10</w:t>
            </w:r>
          </w:p>
        </w:tc>
        <w:tc>
          <w:tcPr>
            <w:tcW w:w="26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1EF60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供地手续办理</w:t>
            </w:r>
          </w:p>
        </w:tc>
        <w:tc>
          <w:tcPr>
            <w:tcW w:w="1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400D0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w:t>
            </w:r>
          </w:p>
        </w:tc>
      </w:tr>
    </w:tbl>
    <w:p w14:paraId="1BA99932">
      <w:pPr>
        <w:pStyle w:val="47"/>
        <w:spacing w:before="0" w:beforeAutospacing="0" w:after="0" w:afterAutospacing="0" w:line="360" w:lineRule="auto"/>
        <w:ind w:firstLine="422"/>
        <w:rPr>
          <w:rFonts w:hint="eastAsia" w:cs="宋体"/>
          <w:b/>
          <w:bCs w:val="0"/>
          <w:color w:val="auto"/>
          <w:sz w:val="21"/>
          <w:szCs w:val="21"/>
          <w:highlight w:val="none"/>
          <w:lang w:val="en-US" w:eastAsia="zh-CN"/>
        </w:rPr>
      </w:pPr>
      <w:r>
        <w:rPr>
          <w:rFonts w:hint="eastAsia" w:cs="宋体"/>
          <w:b/>
          <w:bCs w:val="0"/>
          <w:color w:val="auto"/>
          <w:sz w:val="21"/>
          <w:szCs w:val="21"/>
          <w:highlight w:val="none"/>
          <w:lang w:val="en-US" w:eastAsia="zh-CN"/>
        </w:rPr>
        <w:t>第二标段：</w:t>
      </w:r>
    </w:p>
    <w:tbl>
      <w:tblPr>
        <w:tblStyle w:val="52"/>
        <w:tblW w:w="4996"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756"/>
        <w:gridCol w:w="4967"/>
        <w:gridCol w:w="2518"/>
      </w:tblGrid>
      <w:tr w14:paraId="1B4F68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2" w:hRule="atLeast"/>
        </w:trPr>
        <w:tc>
          <w:tcPr>
            <w:tcW w:w="9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58752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序号</w:t>
            </w:r>
          </w:p>
        </w:tc>
        <w:tc>
          <w:tcPr>
            <w:tcW w:w="26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A2A4E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服务类别</w:t>
            </w:r>
          </w:p>
        </w:tc>
        <w:tc>
          <w:tcPr>
            <w:tcW w:w="1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AC18E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数量（项）</w:t>
            </w:r>
          </w:p>
        </w:tc>
      </w:tr>
      <w:tr w14:paraId="510195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2" w:hRule="atLeast"/>
        </w:trPr>
        <w:tc>
          <w:tcPr>
            <w:tcW w:w="1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E6931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26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37647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勘测定界</w:t>
            </w:r>
          </w:p>
        </w:tc>
        <w:tc>
          <w:tcPr>
            <w:tcW w:w="1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CDCC9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w:t>
            </w:r>
          </w:p>
        </w:tc>
      </w:tr>
      <w:tr w14:paraId="08FC18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1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9041E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w:t>
            </w:r>
          </w:p>
        </w:tc>
        <w:tc>
          <w:tcPr>
            <w:tcW w:w="26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3CD2B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征地前程序协助办理</w:t>
            </w:r>
          </w:p>
        </w:tc>
        <w:tc>
          <w:tcPr>
            <w:tcW w:w="1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3266D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w:t>
            </w:r>
          </w:p>
        </w:tc>
      </w:tr>
      <w:tr w14:paraId="26A6EE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1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021D5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w:t>
            </w:r>
          </w:p>
        </w:tc>
        <w:tc>
          <w:tcPr>
            <w:tcW w:w="26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39D62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用地预审</w:t>
            </w:r>
          </w:p>
        </w:tc>
        <w:tc>
          <w:tcPr>
            <w:tcW w:w="1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18942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w:t>
            </w:r>
          </w:p>
        </w:tc>
      </w:tr>
      <w:tr w14:paraId="4DA666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1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B4A50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w:t>
            </w:r>
          </w:p>
        </w:tc>
        <w:tc>
          <w:tcPr>
            <w:tcW w:w="26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5C193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城乡建设用地报批 （批次）</w:t>
            </w:r>
          </w:p>
        </w:tc>
        <w:tc>
          <w:tcPr>
            <w:tcW w:w="1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B27EC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w:t>
            </w:r>
          </w:p>
        </w:tc>
      </w:tr>
      <w:tr w14:paraId="5FE240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1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6E5C1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w:t>
            </w:r>
          </w:p>
        </w:tc>
        <w:tc>
          <w:tcPr>
            <w:tcW w:w="26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98A8B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林地报批（面积&lt;1公顷）</w:t>
            </w:r>
          </w:p>
        </w:tc>
        <w:tc>
          <w:tcPr>
            <w:tcW w:w="1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A34E2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r>
      <w:tr w14:paraId="0A078D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1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A9615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rPr>
              <w:t>6</w:t>
            </w:r>
          </w:p>
        </w:tc>
        <w:tc>
          <w:tcPr>
            <w:tcW w:w="26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ED0FD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供地手续办理</w:t>
            </w:r>
          </w:p>
        </w:tc>
        <w:tc>
          <w:tcPr>
            <w:tcW w:w="1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56BAB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w:t>
            </w:r>
          </w:p>
        </w:tc>
      </w:tr>
    </w:tbl>
    <w:p w14:paraId="2C9E6C10">
      <w:pPr>
        <w:pStyle w:val="47"/>
        <w:spacing w:before="0" w:beforeAutospacing="0" w:after="0" w:afterAutospacing="0" w:line="360" w:lineRule="auto"/>
        <w:ind w:firstLine="422"/>
        <w:rPr>
          <w:rFonts w:hint="default" w:cs="宋体"/>
          <w:b/>
          <w:bCs w:val="0"/>
          <w:color w:val="auto"/>
          <w:sz w:val="21"/>
          <w:szCs w:val="21"/>
          <w:highlight w:val="none"/>
          <w:lang w:val="en-US" w:eastAsia="zh-CN"/>
        </w:rPr>
      </w:pPr>
      <w:r>
        <w:rPr>
          <w:rFonts w:hint="eastAsia" w:cs="宋体"/>
          <w:b/>
          <w:bCs w:val="0"/>
          <w:color w:val="auto"/>
          <w:sz w:val="21"/>
          <w:szCs w:val="21"/>
          <w:highlight w:val="none"/>
          <w:lang w:val="en-US" w:eastAsia="zh-CN"/>
        </w:rPr>
        <w:t>第三标段：</w:t>
      </w:r>
    </w:p>
    <w:tbl>
      <w:tblPr>
        <w:tblStyle w:val="52"/>
        <w:tblW w:w="4996"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756"/>
        <w:gridCol w:w="4967"/>
        <w:gridCol w:w="2518"/>
      </w:tblGrid>
      <w:tr w14:paraId="2C6653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9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B4402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序号</w:t>
            </w:r>
          </w:p>
        </w:tc>
        <w:tc>
          <w:tcPr>
            <w:tcW w:w="26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A65FD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服务类别</w:t>
            </w:r>
          </w:p>
        </w:tc>
        <w:tc>
          <w:tcPr>
            <w:tcW w:w="1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67A2B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数量（项）</w:t>
            </w:r>
          </w:p>
        </w:tc>
      </w:tr>
      <w:tr w14:paraId="625111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1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59D72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26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F64F6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勘测定界</w:t>
            </w:r>
          </w:p>
        </w:tc>
        <w:tc>
          <w:tcPr>
            <w:tcW w:w="1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0872A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w:t>
            </w:r>
          </w:p>
        </w:tc>
      </w:tr>
      <w:tr w14:paraId="1D287F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1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9EA0A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w:t>
            </w:r>
          </w:p>
        </w:tc>
        <w:tc>
          <w:tcPr>
            <w:tcW w:w="26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6B4FA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征地前程序协助办理</w:t>
            </w:r>
          </w:p>
        </w:tc>
        <w:tc>
          <w:tcPr>
            <w:tcW w:w="1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B7959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w:t>
            </w:r>
          </w:p>
        </w:tc>
      </w:tr>
      <w:tr w14:paraId="0E2123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1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DECDD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w:t>
            </w:r>
          </w:p>
        </w:tc>
        <w:tc>
          <w:tcPr>
            <w:tcW w:w="26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01641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用地预审</w:t>
            </w:r>
          </w:p>
        </w:tc>
        <w:tc>
          <w:tcPr>
            <w:tcW w:w="1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6CB41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w:t>
            </w:r>
          </w:p>
        </w:tc>
      </w:tr>
      <w:tr w14:paraId="67850F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1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6C449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w:t>
            </w:r>
          </w:p>
        </w:tc>
        <w:tc>
          <w:tcPr>
            <w:tcW w:w="26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50782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城乡建设用地报批 （批次）</w:t>
            </w:r>
          </w:p>
        </w:tc>
        <w:tc>
          <w:tcPr>
            <w:tcW w:w="1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41A45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w:t>
            </w:r>
          </w:p>
        </w:tc>
      </w:tr>
      <w:tr w14:paraId="09F4F2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1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46647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w:t>
            </w:r>
          </w:p>
        </w:tc>
        <w:tc>
          <w:tcPr>
            <w:tcW w:w="26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00001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供地手续办理</w:t>
            </w:r>
          </w:p>
        </w:tc>
        <w:tc>
          <w:tcPr>
            <w:tcW w:w="1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BC0C7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w:t>
            </w:r>
          </w:p>
        </w:tc>
      </w:tr>
    </w:tbl>
    <w:p w14:paraId="109B7904">
      <w:pPr>
        <w:pStyle w:val="47"/>
        <w:spacing w:before="0" w:beforeAutospacing="0" w:after="0" w:afterAutospacing="0" w:line="360" w:lineRule="auto"/>
        <w:ind w:firstLine="422"/>
        <w:rPr>
          <w:rFonts w:hint="eastAsia" w:cs="宋体"/>
          <w:b/>
          <w:bCs w:val="0"/>
          <w:color w:val="auto"/>
          <w:sz w:val="21"/>
          <w:szCs w:val="21"/>
          <w:highlight w:val="none"/>
          <w:lang w:val="en-US" w:eastAsia="zh-CN"/>
        </w:rPr>
      </w:pPr>
      <w:r>
        <w:rPr>
          <w:rFonts w:hint="eastAsia" w:cs="宋体"/>
          <w:b/>
          <w:bCs w:val="0"/>
          <w:color w:val="auto"/>
          <w:sz w:val="21"/>
          <w:szCs w:val="21"/>
          <w:highlight w:val="none"/>
          <w:lang w:val="en-US" w:eastAsia="zh-CN"/>
        </w:rPr>
        <w:t>第四标段：</w:t>
      </w:r>
    </w:p>
    <w:tbl>
      <w:tblPr>
        <w:tblStyle w:val="52"/>
        <w:tblW w:w="4996"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756"/>
        <w:gridCol w:w="4967"/>
        <w:gridCol w:w="2518"/>
      </w:tblGrid>
      <w:tr w14:paraId="555F58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9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BE93D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序号</w:t>
            </w:r>
          </w:p>
        </w:tc>
        <w:tc>
          <w:tcPr>
            <w:tcW w:w="26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9A2F8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服务类别</w:t>
            </w:r>
          </w:p>
        </w:tc>
        <w:tc>
          <w:tcPr>
            <w:tcW w:w="1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A5C09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数量（项）</w:t>
            </w:r>
          </w:p>
        </w:tc>
      </w:tr>
      <w:tr w14:paraId="06E614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1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50179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26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86C04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勘测定界</w:t>
            </w:r>
          </w:p>
        </w:tc>
        <w:tc>
          <w:tcPr>
            <w:tcW w:w="1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63A47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w:t>
            </w:r>
          </w:p>
        </w:tc>
      </w:tr>
      <w:tr w14:paraId="59AE3E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1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22BC4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w:t>
            </w:r>
          </w:p>
        </w:tc>
        <w:tc>
          <w:tcPr>
            <w:tcW w:w="26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8A02F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征地前程序协助办理</w:t>
            </w:r>
          </w:p>
        </w:tc>
        <w:tc>
          <w:tcPr>
            <w:tcW w:w="1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70E30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w:t>
            </w:r>
          </w:p>
        </w:tc>
      </w:tr>
      <w:tr w14:paraId="234F25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1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98AA2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w:t>
            </w:r>
          </w:p>
        </w:tc>
        <w:tc>
          <w:tcPr>
            <w:tcW w:w="26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C8124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用地预审</w:t>
            </w:r>
          </w:p>
        </w:tc>
        <w:tc>
          <w:tcPr>
            <w:tcW w:w="1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E51A2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w:t>
            </w:r>
          </w:p>
        </w:tc>
      </w:tr>
      <w:tr w14:paraId="68D016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1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10855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4</w:t>
            </w:r>
          </w:p>
        </w:tc>
        <w:tc>
          <w:tcPr>
            <w:tcW w:w="26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822B4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城乡建设用地报批 （批次）</w:t>
            </w:r>
          </w:p>
        </w:tc>
        <w:tc>
          <w:tcPr>
            <w:tcW w:w="1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2DFF7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w:t>
            </w:r>
          </w:p>
        </w:tc>
      </w:tr>
    </w:tbl>
    <w:p w14:paraId="52FC7962">
      <w:pPr>
        <w:pStyle w:val="47"/>
        <w:spacing w:before="0" w:beforeAutospacing="0" w:after="0" w:afterAutospacing="0" w:line="360" w:lineRule="auto"/>
        <w:ind w:firstLine="422"/>
        <w:rPr>
          <w:rFonts w:hint="eastAsia" w:cs="宋体"/>
          <w:b/>
          <w:bCs w:val="0"/>
          <w:color w:val="auto"/>
          <w:sz w:val="21"/>
          <w:szCs w:val="21"/>
          <w:highlight w:val="none"/>
          <w:lang w:val="en-US" w:eastAsia="zh-CN"/>
        </w:rPr>
      </w:pPr>
      <w:r>
        <w:rPr>
          <w:rFonts w:hint="eastAsia" w:cs="宋体"/>
          <w:b/>
          <w:bCs w:val="0"/>
          <w:color w:val="auto"/>
          <w:sz w:val="21"/>
          <w:szCs w:val="21"/>
          <w:highlight w:val="none"/>
          <w:lang w:val="en-US" w:eastAsia="zh-CN"/>
        </w:rPr>
        <w:t>第五标段：</w:t>
      </w:r>
    </w:p>
    <w:tbl>
      <w:tblPr>
        <w:tblStyle w:val="52"/>
        <w:tblW w:w="4996"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756"/>
        <w:gridCol w:w="4967"/>
        <w:gridCol w:w="2518"/>
      </w:tblGrid>
      <w:tr w14:paraId="0962CE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9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273A3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序号</w:t>
            </w:r>
          </w:p>
        </w:tc>
        <w:tc>
          <w:tcPr>
            <w:tcW w:w="26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09665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服务类别</w:t>
            </w:r>
          </w:p>
        </w:tc>
        <w:tc>
          <w:tcPr>
            <w:tcW w:w="1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4CB57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数量（项）</w:t>
            </w:r>
          </w:p>
        </w:tc>
      </w:tr>
      <w:tr w14:paraId="35CDF1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1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1D163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26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7F2FB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勘测定界</w:t>
            </w:r>
          </w:p>
        </w:tc>
        <w:tc>
          <w:tcPr>
            <w:tcW w:w="1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8C46F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w:t>
            </w:r>
          </w:p>
        </w:tc>
      </w:tr>
      <w:tr w14:paraId="738DDD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1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4975E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w:t>
            </w:r>
          </w:p>
        </w:tc>
        <w:tc>
          <w:tcPr>
            <w:tcW w:w="26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3BB65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征地前程序协助办理</w:t>
            </w:r>
          </w:p>
        </w:tc>
        <w:tc>
          <w:tcPr>
            <w:tcW w:w="1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6A6D8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w:t>
            </w:r>
          </w:p>
        </w:tc>
      </w:tr>
      <w:tr w14:paraId="20F959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1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8B4B0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w:t>
            </w:r>
          </w:p>
        </w:tc>
        <w:tc>
          <w:tcPr>
            <w:tcW w:w="26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DD545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用地预审</w:t>
            </w:r>
          </w:p>
        </w:tc>
        <w:tc>
          <w:tcPr>
            <w:tcW w:w="1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4420F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w:t>
            </w:r>
          </w:p>
        </w:tc>
      </w:tr>
      <w:tr w14:paraId="7578A4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1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78A57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4</w:t>
            </w:r>
          </w:p>
        </w:tc>
        <w:tc>
          <w:tcPr>
            <w:tcW w:w="26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22070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城乡建设用地报批 （批次）</w:t>
            </w:r>
          </w:p>
        </w:tc>
        <w:tc>
          <w:tcPr>
            <w:tcW w:w="1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7C8AB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w:t>
            </w:r>
          </w:p>
        </w:tc>
      </w:tr>
    </w:tbl>
    <w:p w14:paraId="5D984750">
      <w:pPr>
        <w:pStyle w:val="47"/>
        <w:spacing w:before="0" w:beforeAutospacing="0" w:after="0" w:afterAutospacing="0" w:line="360" w:lineRule="auto"/>
        <w:ind w:firstLine="422"/>
        <w:rPr>
          <w:rFonts w:hint="eastAsia" w:cs="宋体"/>
          <w:b/>
          <w:bCs w:val="0"/>
          <w:color w:val="auto"/>
          <w:sz w:val="21"/>
          <w:szCs w:val="21"/>
          <w:highlight w:val="none"/>
          <w:lang w:val="en-US" w:eastAsia="zh-CN"/>
        </w:rPr>
      </w:pPr>
      <w:r>
        <w:rPr>
          <w:rFonts w:hint="eastAsia" w:cs="宋体"/>
          <w:b/>
          <w:bCs w:val="0"/>
          <w:color w:val="auto"/>
          <w:sz w:val="21"/>
          <w:szCs w:val="21"/>
          <w:highlight w:val="none"/>
          <w:lang w:val="en-US" w:eastAsia="zh-CN"/>
        </w:rPr>
        <w:t>第六标段：</w:t>
      </w:r>
    </w:p>
    <w:tbl>
      <w:tblPr>
        <w:tblStyle w:val="52"/>
        <w:tblW w:w="4996"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756"/>
        <w:gridCol w:w="4967"/>
        <w:gridCol w:w="2518"/>
      </w:tblGrid>
      <w:tr w14:paraId="71C086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9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F1AA6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序号</w:t>
            </w:r>
          </w:p>
        </w:tc>
        <w:tc>
          <w:tcPr>
            <w:tcW w:w="26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99257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服务类别</w:t>
            </w:r>
          </w:p>
        </w:tc>
        <w:tc>
          <w:tcPr>
            <w:tcW w:w="1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1E44C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数量（项）</w:t>
            </w:r>
          </w:p>
        </w:tc>
      </w:tr>
      <w:tr w14:paraId="037195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1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850E9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26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DE0DF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勘测定界</w:t>
            </w:r>
          </w:p>
        </w:tc>
        <w:tc>
          <w:tcPr>
            <w:tcW w:w="1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AA6D3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w:t>
            </w:r>
          </w:p>
        </w:tc>
      </w:tr>
      <w:tr w14:paraId="2B4041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1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0ED8E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w:t>
            </w:r>
          </w:p>
        </w:tc>
        <w:tc>
          <w:tcPr>
            <w:tcW w:w="26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AE759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征地前程序协助办理</w:t>
            </w:r>
          </w:p>
        </w:tc>
        <w:tc>
          <w:tcPr>
            <w:tcW w:w="1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C232A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w:t>
            </w:r>
          </w:p>
        </w:tc>
      </w:tr>
      <w:tr w14:paraId="7EB980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1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D0398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w:t>
            </w:r>
          </w:p>
        </w:tc>
        <w:tc>
          <w:tcPr>
            <w:tcW w:w="26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257BF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用地预审</w:t>
            </w:r>
          </w:p>
        </w:tc>
        <w:tc>
          <w:tcPr>
            <w:tcW w:w="1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D051C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w:t>
            </w:r>
          </w:p>
        </w:tc>
      </w:tr>
      <w:tr w14:paraId="11B353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1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62B3B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4</w:t>
            </w:r>
          </w:p>
        </w:tc>
        <w:tc>
          <w:tcPr>
            <w:tcW w:w="26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7A878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城乡建设用地报批 （批次）</w:t>
            </w:r>
          </w:p>
        </w:tc>
        <w:tc>
          <w:tcPr>
            <w:tcW w:w="1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14D2D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w:t>
            </w:r>
          </w:p>
        </w:tc>
      </w:tr>
    </w:tbl>
    <w:p w14:paraId="5A6D6EDE">
      <w:pPr>
        <w:pStyle w:val="47"/>
        <w:spacing w:before="0" w:beforeAutospacing="0" w:after="0" w:afterAutospacing="0" w:line="360" w:lineRule="auto"/>
        <w:ind w:firstLine="422"/>
        <w:rPr>
          <w:rFonts w:hint="default" w:cs="宋体"/>
          <w:b/>
          <w:bCs w:val="0"/>
          <w:color w:val="auto"/>
          <w:sz w:val="21"/>
          <w:szCs w:val="21"/>
          <w:highlight w:val="none"/>
          <w:lang w:val="en-US" w:eastAsia="zh-CN"/>
        </w:rPr>
      </w:pPr>
      <w:r>
        <w:rPr>
          <w:rFonts w:hint="eastAsia" w:cs="宋体"/>
          <w:b/>
          <w:bCs w:val="0"/>
          <w:color w:val="auto"/>
          <w:sz w:val="21"/>
          <w:szCs w:val="21"/>
          <w:highlight w:val="none"/>
          <w:lang w:val="en-US" w:eastAsia="zh-CN"/>
        </w:rPr>
        <w:t>注：</w:t>
      </w:r>
      <w:r>
        <w:rPr>
          <w:rFonts w:hint="default" w:cs="宋体"/>
          <w:b/>
          <w:bCs w:val="0"/>
          <w:color w:val="auto"/>
          <w:sz w:val="21"/>
          <w:szCs w:val="21"/>
          <w:highlight w:val="none"/>
          <w:lang w:val="en-US" w:eastAsia="zh-CN"/>
        </w:rPr>
        <w:t>项目数量为初步预估，</w:t>
      </w:r>
      <w:r>
        <w:rPr>
          <w:rFonts w:hint="eastAsia" w:cs="宋体"/>
          <w:b/>
          <w:bCs w:val="0"/>
          <w:color w:val="auto"/>
          <w:sz w:val="21"/>
          <w:szCs w:val="21"/>
          <w:highlight w:val="none"/>
          <w:lang w:val="en-US" w:eastAsia="zh-CN"/>
        </w:rPr>
        <w:t>采购人</w:t>
      </w:r>
      <w:r>
        <w:rPr>
          <w:rFonts w:hint="default" w:cs="宋体"/>
          <w:b/>
          <w:bCs w:val="0"/>
          <w:color w:val="auto"/>
          <w:sz w:val="21"/>
          <w:szCs w:val="21"/>
          <w:highlight w:val="none"/>
          <w:lang w:val="en-US" w:eastAsia="zh-CN"/>
        </w:rPr>
        <w:t>可在预算范围内根据实际需求调整服务内容数量</w:t>
      </w:r>
      <w:r>
        <w:rPr>
          <w:rFonts w:hint="eastAsia" w:cs="宋体"/>
          <w:b/>
          <w:bCs w:val="0"/>
          <w:color w:val="auto"/>
          <w:sz w:val="21"/>
          <w:szCs w:val="21"/>
          <w:highlight w:val="none"/>
          <w:lang w:val="en-US" w:eastAsia="zh-CN"/>
        </w:rPr>
        <w:t>。</w:t>
      </w:r>
    </w:p>
    <w:p w14:paraId="11662B42">
      <w:pPr>
        <w:pStyle w:val="47"/>
        <w:spacing w:before="0" w:beforeAutospacing="0" w:after="0" w:afterAutospacing="0" w:line="360" w:lineRule="auto"/>
        <w:ind w:firstLine="422"/>
        <w:rPr>
          <w:rFonts w:hint="eastAsia" w:cs="宋体"/>
          <w:b w:val="0"/>
          <w:bCs/>
          <w:color w:val="auto"/>
          <w:sz w:val="21"/>
          <w:szCs w:val="21"/>
          <w:highlight w:val="none"/>
        </w:rPr>
      </w:pPr>
      <w:r>
        <w:rPr>
          <w:rFonts w:hint="eastAsia" w:cs="宋体"/>
          <w:b w:val="0"/>
          <w:bCs/>
          <w:color w:val="auto"/>
          <w:sz w:val="21"/>
          <w:szCs w:val="21"/>
          <w:highlight w:val="none"/>
        </w:rPr>
        <w:t>（三）服务周期</w:t>
      </w:r>
    </w:p>
    <w:p w14:paraId="3AE3E7E8">
      <w:pPr>
        <w:pStyle w:val="47"/>
        <w:spacing w:before="0" w:beforeAutospacing="0" w:after="0" w:afterAutospacing="0" w:line="360" w:lineRule="auto"/>
        <w:ind w:firstLine="422"/>
        <w:rPr>
          <w:rFonts w:hint="eastAsia" w:eastAsia="宋体" w:cs="宋体"/>
          <w:b w:val="0"/>
          <w:bCs/>
          <w:color w:val="auto"/>
          <w:sz w:val="21"/>
          <w:szCs w:val="21"/>
          <w:highlight w:val="none"/>
          <w:lang w:eastAsia="zh-CN"/>
        </w:rPr>
      </w:pPr>
      <w:r>
        <w:rPr>
          <w:rFonts w:hint="eastAsia" w:cs="宋体"/>
          <w:b w:val="0"/>
          <w:bCs/>
          <w:color w:val="auto"/>
          <w:sz w:val="21"/>
          <w:szCs w:val="21"/>
          <w:highlight w:val="none"/>
        </w:rPr>
        <w:t>服务时间：</w:t>
      </w:r>
      <w:r>
        <w:rPr>
          <w:rFonts w:hint="eastAsia" w:cs="宋体"/>
          <w:b w:val="0"/>
          <w:bCs/>
          <w:color w:val="auto"/>
          <w:sz w:val="21"/>
          <w:szCs w:val="21"/>
          <w:highlight w:val="none"/>
          <w:lang w:eastAsia="zh-CN"/>
        </w:rPr>
        <w:t>自政府采购合同签订生效后一年（具体时间以采购人通知为准），或累计结算金额达到各标段预算金额为止（以二者先达到者为准）。</w:t>
      </w:r>
    </w:p>
    <w:p w14:paraId="120B6DF5">
      <w:pPr>
        <w:pStyle w:val="47"/>
        <w:spacing w:before="0" w:beforeAutospacing="0" w:after="0" w:afterAutospacing="0" w:line="360" w:lineRule="auto"/>
        <w:ind w:firstLine="422"/>
        <w:rPr>
          <w:rFonts w:hint="eastAsia" w:cs="宋体"/>
          <w:b w:val="0"/>
          <w:bCs/>
          <w:color w:val="auto"/>
          <w:sz w:val="21"/>
          <w:szCs w:val="21"/>
          <w:highlight w:val="none"/>
        </w:rPr>
      </w:pPr>
      <w:r>
        <w:rPr>
          <w:rFonts w:hint="eastAsia" w:cs="宋体"/>
          <w:b w:val="0"/>
          <w:bCs/>
          <w:color w:val="auto"/>
          <w:sz w:val="21"/>
          <w:szCs w:val="21"/>
          <w:highlight w:val="none"/>
          <w:lang w:eastAsia="zh-CN"/>
        </w:rPr>
        <w:t>采购人</w:t>
      </w:r>
      <w:r>
        <w:rPr>
          <w:rFonts w:hint="eastAsia" w:cs="宋体"/>
          <w:b w:val="0"/>
          <w:bCs/>
          <w:color w:val="auto"/>
          <w:sz w:val="21"/>
          <w:szCs w:val="21"/>
          <w:highlight w:val="none"/>
        </w:rPr>
        <w:t>与中标人签订总中标合同，服务期内每发生一个子项目签订项目委托单，确定子项目服务内容、工作周期、单价及总价等。每项服务内容单价以本次中标单价为准，各项服务内容的工作周期如下：</w:t>
      </w:r>
    </w:p>
    <w:p w14:paraId="380249E7">
      <w:pPr>
        <w:pStyle w:val="47"/>
        <w:spacing w:before="0" w:beforeAutospacing="0" w:after="0" w:afterAutospacing="0" w:line="360" w:lineRule="auto"/>
        <w:ind w:firstLine="422"/>
        <w:rPr>
          <w:rFonts w:hint="eastAsia" w:cs="宋体"/>
          <w:b w:val="0"/>
          <w:bCs/>
          <w:color w:val="auto"/>
          <w:sz w:val="21"/>
          <w:szCs w:val="21"/>
          <w:highlight w:val="none"/>
        </w:rPr>
      </w:pPr>
      <w:r>
        <w:rPr>
          <w:rFonts w:hint="eastAsia" w:cs="宋体"/>
          <w:b w:val="0"/>
          <w:bCs/>
          <w:color w:val="auto"/>
          <w:sz w:val="21"/>
          <w:szCs w:val="21"/>
          <w:highlight w:val="none"/>
        </w:rPr>
        <w:t>1</w:t>
      </w:r>
      <w:r>
        <w:rPr>
          <w:rFonts w:hint="eastAsia" w:cs="宋体"/>
          <w:b w:val="0"/>
          <w:bCs/>
          <w:color w:val="auto"/>
          <w:sz w:val="21"/>
          <w:szCs w:val="21"/>
          <w:highlight w:val="none"/>
          <w:lang w:val="en-US" w:eastAsia="zh-CN"/>
        </w:rPr>
        <w:t>.</w:t>
      </w:r>
      <w:r>
        <w:rPr>
          <w:rFonts w:hint="eastAsia" w:cs="宋体"/>
          <w:b w:val="0"/>
          <w:bCs/>
          <w:color w:val="auto"/>
          <w:sz w:val="21"/>
          <w:szCs w:val="21"/>
          <w:highlight w:val="none"/>
        </w:rPr>
        <w:t>国土空间开发利用咨询服务：委托单签订后为采购方提供日常土地咨询服务工作，每个服务周期为一年。</w:t>
      </w:r>
    </w:p>
    <w:p w14:paraId="2EF08C2F">
      <w:pPr>
        <w:pStyle w:val="47"/>
        <w:spacing w:before="0" w:beforeAutospacing="0" w:after="0" w:afterAutospacing="0" w:line="360" w:lineRule="auto"/>
        <w:ind w:firstLine="422"/>
        <w:rPr>
          <w:rFonts w:hint="eastAsia" w:cs="宋体"/>
          <w:b w:val="0"/>
          <w:bCs/>
          <w:color w:val="auto"/>
          <w:sz w:val="21"/>
          <w:szCs w:val="21"/>
          <w:highlight w:val="none"/>
        </w:rPr>
      </w:pPr>
      <w:r>
        <w:rPr>
          <w:rFonts w:hint="eastAsia" w:cs="宋体"/>
          <w:b w:val="0"/>
          <w:bCs/>
          <w:color w:val="auto"/>
          <w:sz w:val="21"/>
          <w:szCs w:val="21"/>
          <w:highlight w:val="none"/>
        </w:rPr>
        <w:t>2</w:t>
      </w:r>
      <w:r>
        <w:rPr>
          <w:rFonts w:hint="eastAsia" w:cs="宋体"/>
          <w:b w:val="0"/>
          <w:bCs/>
          <w:color w:val="auto"/>
          <w:sz w:val="21"/>
          <w:szCs w:val="21"/>
          <w:highlight w:val="none"/>
          <w:lang w:val="en-US" w:eastAsia="zh-CN"/>
        </w:rPr>
        <w:t>.</w:t>
      </w:r>
      <w:r>
        <w:rPr>
          <w:rFonts w:hint="eastAsia" w:cs="宋体"/>
          <w:b w:val="0"/>
          <w:bCs/>
          <w:color w:val="auto"/>
          <w:sz w:val="21"/>
          <w:szCs w:val="21"/>
          <w:highlight w:val="none"/>
        </w:rPr>
        <w:t>勘测定界报告：委托单签订后，获得用地预审及选址意见书后20个日历天内完成材料编制，并经县（市、区）级自然资源主管部门审核确认。</w:t>
      </w:r>
    </w:p>
    <w:p w14:paraId="73691755">
      <w:pPr>
        <w:pStyle w:val="47"/>
        <w:spacing w:before="0" w:beforeAutospacing="0" w:after="0" w:afterAutospacing="0" w:line="360" w:lineRule="auto"/>
        <w:ind w:firstLine="422"/>
        <w:rPr>
          <w:rFonts w:hint="eastAsia" w:cs="宋体"/>
          <w:b w:val="0"/>
          <w:bCs/>
          <w:color w:val="auto"/>
          <w:sz w:val="21"/>
          <w:szCs w:val="21"/>
          <w:highlight w:val="none"/>
        </w:rPr>
      </w:pPr>
      <w:r>
        <w:rPr>
          <w:rFonts w:hint="eastAsia" w:cs="宋体"/>
          <w:b w:val="0"/>
          <w:bCs/>
          <w:color w:val="auto"/>
          <w:sz w:val="21"/>
          <w:szCs w:val="21"/>
          <w:highlight w:val="none"/>
        </w:rPr>
        <w:t>3</w:t>
      </w:r>
      <w:r>
        <w:rPr>
          <w:rFonts w:hint="eastAsia" w:cs="宋体"/>
          <w:b w:val="0"/>
          <w:bCs/>
          <w:color w:val="auto"/>
          <w:sz w:val="21"/>
          <w:szCs w:val="21"/>
          <w:highlight w:val="none"/>
          <w:lang w:val="en-US" w:eastAsia="zh-CN"/>
        </w:rPr>
        <w:t>.</w:t>
      </w:r>
      <w:r>
        <w:rPr>
          <w:rFonts w:hint="eastAsia" w:cs="宋体"/>
          <w:b w:val="0"/>
          <w:bCs/>
          <w:color w:val="auto"/>
          <w:sz w:val="21"/>
          <w:szCs w:val="21"/>
          <w:highlight w:val="none"/>
        </w:rPr>
        <w:t>地质灾害危险性评估：委托单签订后，获得用地预审及选址意见书后30个日历天内获得、地质灾害危险性评估专家论证意见。</w:t>
      </w:r>
    </w:p>
    <w:p w14:paraId="206FB07F">
      <w:pPr>
        <w:pStyle w:val="47"/>
        <w:spacing w:before="0" w:beforeAutospacing="0" w:after="0" w:afterAutospacing="0" w:line="360" w:lineRule="auto"/>
        <w:ind w:firstLine="422"/>
        <w:rPr>
          <w:rFonts w:hint="eastAsia" w:cs="宋体"/>
          <w:b w:val="0"/>
          <w:bCs/>
          <w:color w:val="auto"/>
          <w:sz w:val="21"/>
          <w:szCs w:val="21"/>
          <w:highlight w:val="none"/>
        </w:rPr>
      </w:pPr>
      <w:r>
        <w:rPr>
          <w:rFonts w:hint="eastAsia" w:cs="宋体"/>
          <w:b w:val="0"/>
          <w:bCs/>
          <w:color w:val="auto"/>
          <w:sz w:val="21"/>
          <w:szCs w:val="21"/>
          <w:highlight w:val="none"/>
        </w:rPr>
        <w:t>4</w:t>
      </w:r>
      <w:r>
        <w:rPr>
          <w:rFonts w:hint="eastAsia" w:cs="宋体"/>
          <w:b w:val="0"/>
          <w:bCs/>
          <w:color w:val="auto"/>
          <w:sz w:val="21"/>
          <w:szCs w:val="21"/>
          <w:highlight w:val="none"/>
          <w:lang w:val="en-US" w:eastAsia="zh-CN"/>
        </w:rPr>
        <w:t>.</w:t>
      </w:r>
      <w:r>
        <w:rPr>
          <w:rFonts w:hint="eastAsia" w:cs="宋体"/>
          <w:b w:val="0"/>
          <w:bCs/>
          <w:color w:val="auto"/>
          <w:sz w:val="21"/>
          <w:szCs w:val="21"/>
          <w:highlight w:val="none"/>
        </w:rPr>
        <w:t>征地前程序协助办理：委托单签订后，获得区政府分配的用地计划后，项目无征地矛盾情况下，协助完成征地前程序，以上所有材料通过自然资源主管部门审查。</w:t>
      </w:r>
    </w:p>
    <w:p w14:paraId="04B5005A">
      <w:pPr>
        <w:pStyle w:val="47"/>
        <w:spacing w:before="0" w:beforeAutospacing="0" w:after="0" w:afterAutospacing="0" w:line="360" w:lineRule="auto"/>
        <w:ind w:firstLine="422"/>
        <w:rPr>
          <w:rFonts w:hint="eastAsia" w:cs="宋体"/>
          <w:b w:val="0"/>
          <w:bCs/>
          <w:color w:val="auto"/>
          <w:sz w:val="21"/>
          <w:szCs w:val="21"/>
          <w:highlight w:val="none"/>
        </w:rPr>
      </w:pPr>
      <w:r>
        <w:rPr>
          <w:rFonts w:hint="eastAsia" w:cs="宋体"/>
          <w:b w:val="0"/>
          <w:bCs/>
          <w:color w:val="auto"/>
          <w:sz w:val="21"/>
          <w:szCs w:val="21"/>
          <w:highlight w:val="none"/>
        </w:rPr>
        <w:t>5</w:t>
      </w:r>
      <w:r>
        <w:rPr>
          <w:rFonts w:hint="eastAsia" w:cs="宋体"/>
          <w:b w:val="0"/>
          <w:bCs/>
          <w:color w:val="auto"/>
          <w:sz w:val="21"/>
          <w:szCs w:val="21"/>
          <w:highlight w:val="none"/>
          <w:lang w:val="en-US" w:eastAsia="zh-CN"/>
        </w:rPr>
        <w:t>.</w:t>
      </w:r>
      <w:r>
        <w:rPr>
          <w:rFonts w:hint="eastAsia" w:cs="宋体"/>
          <w:b w:val="0"/>
          <w:bCs/>
          <w:color w:val="auto"/>
          <w:sz w:val="21"/>
          <w:szCs w:val="21"/>
          <w:highlight w:val="none"/>
        </w:rPr>
        <w:t>办理用地预审与选址意见书（不含规划方案审查）：委托单签订后，获得用地红线、项目建议书批复以及通过审查的规划方案后30个日历天内取得区级自然资源主管部门对该工程的用地预审及选址意见书。</w:t>
      </w:r>
    </w:p>
    <w:p w14:paraId="34F00A81">
      <w:pPr>
        <w:pStyle w:val="47"/>
        <w:spacing w:before="0" w:beforeAutospacing="0" w:after="0" w:afterAutospacing="0" w:line="360" w:lineRule="auto"/>
        <w:ind w:firstLine="422"/>
        <w:rPr>
          <w:rFonts w:hint="eastAsia" w:cs="宋体"/>
          <w:b w:val="0"/>
          <w:bCs/>
          <w:color w:val="auto"/>
          <w:sz w:val="21"/>
          <w:szCs w:val="21"/>
          <w:highlight w:val="none"/>
        </w:rPr>
      </w:pPr>
      <w:r>
        <w:rPr>
          <w:rFonts w:hint="eastAsia" w:cs="宋体"/>
          <w:b w:val="0"/>
          <w:bCs/>
          <w:color w:val="auto"/>
          <w:sz w:val="21"/>
          <w:szCs w:val="21"/>
          <w:highlight w:val="none"/>
        </w:rPr>
        <w:t>6</w:t>
      </w:r>
      <w:r>
        <w:rPr>
          <w:rFonts w:hint="eastAsia" w:cs="宋体"/>
          <w:b w:val="0"/>
          <w:bCs/>
          <w:color w:val="auto"/>
          <w:sz w:val="21"/>
          <w:szCs w:val="21"/>
          <w:highlight w:val="none"/>
          <w:lang w:val="en-US" w:eastAsia="zh-CN"/>
        </w:rPr>
        <w:t>.</w:t>
      </w:r>
      <w:r>
        <w:rPr>
          <w:rFonts w:hint="eastAsia" w:cs="宋体"/>
          <w:b w:val="0"/>
          <w:bCs/>
          <w:color w:val="auto"/>
          <w:sz w:val="21"/>
          <w:szCs w:val="21"/>
          <w:highlight w:val="none"/>
        </w:rPr>
        <w:t>城乡建设用地报批 （批次）：按文件规定完成征地前告知程序后90日历天内，取得主管部门下发的建设用地批复。</w:t>
      </w:r>
    </w:p>
    <w:p w14:paraId="2E370C67">
      <w:pPr>
        <w:pStyle w:val="47"/>
        <w:spacing w:before="0" w:beforeAutospacing="0" w:after="0" w:afterAutospacing="0" w:line="360" w:lineRule="auto"/>
        <w:ind w:firstLine="422"/>
        <w:rPr>
          <w:rFonts w:hint="eastAsia" w:cs="宋体"/>
          <w:b w:val="0"/>
          <w:bCs/>
          <w:color w:val="auto"/>
          <w:sz w:val="21"/>
          <w:szCs w:val="21"/>
          <w:highlight w:val="none"/>
        </w:rPr>
      </w:pPr>
      <w:r>
        <w:rPr>
          <w:rFonts w:hint="eastAsia" w:cs="宋体"/>
          <w:b w:val="0"/>
          <w:bCs/>
          <w:color w:val="auto"/>
          <w:sz w:val="21"/>
          <w:szCs w:val="21"/>
          <w:highlight w:val="none"/>
        </w:rPr>
        <w:t>7</w:t>
      </w:r>
      <w:r>
        <w:rPr>
          <w:rFonts w:hint="eastAsia" w:cs="宋体"/>
          <w:b w:val="0"/>
          <w:bCs/>
          <w:color w:val="auto"/>
          <w:sz w:val="21"/>
          <w:szCs w:val="21"/>
          <w:highlight w:val="none"/>
          <w:lang w:val="en-US" w:eastAsia="zh-CN"/>
        </w:rPr>
        <w:t>.</w:t>
      </w:r>
      <w:r>
        <w:rPr>
          <w:rFonts w:hint="eastAsia" w:cs="宋体"/>
          <w:b w:val="0"/>
          <w:bCs/>
          <w:color w:val="auto"/>
          <w:sz w:val="21"/>
          <w:szCs w:val="21"/>
          <w:highlight w:val="none"/>
        </w:rPr>
        <w:t>林地报批（面积&lt;1公顷）：接受项目工单后，提供项目工程可行性研究报告批复后，90个日历天获取林地征占用审核同意书及采伐证。</w:t>
      </w:r>
    </w:p>
    <w:p w14:paraId="5DC20608">
      <w:pPr>
        <w:pStyle w:val="47"/>
        <w:spacing w:before="0" w:beforeAutospacing="0" w:after="0" w:afterAutospacing="0" w:line="360" w:lineRule="auto"/>
        <w:ind w:firstLine="422"/>
        <w:rPr>
          <w:rFonts w:hint="eastAsia" w:cs="宋体"/>
          <w:b w:val="0"/>
          <w:bCs/>
          <w:color w:val="auto"/>
          <w:sz w:val="21"/>
          <w:szCs w:val="21"/>
          <w:highlight w:val="none"/>
        </w:rPr>
      </w:pPr>
      <w:r>
        <w:rPr>
          <w:rFonts w:hint="eastAsia" w:cs="宋体"/>
          <w:b w:val="0"/>
          <w:bCs/>
          <w:color w:val="auto"/>
          <w:sz w:val="21"/>
          <w:szCs w:val="21"/>
          <w:highlight w:val="none"/>
        </w:rPr>
        <w:t>8</w:t>
      </w:r>
      <w:r>
        <w:rPr>
          <w:rFonts w:hint="eastAsia" w:cs="宋体"/>
          <w:b w:val="0"/>
          <w:bCs/>
          <w:color w:val="auto"/>
          <w:sz w:val="21"/>
          <w:szCs w:val="21"/>
          <w:highlight w:val="none"/>
          <w:lang w:val="en-US" w:eastAsia="zh-CN"/>
        </w:rPr>
        <w:t>.</w:t>
      </w:r>
      <w:r>
        <w:rPr>
          <w:rFonts w:hint="eastAsia" w:cs="宋体"/>
          <w:b w:val="0"/>
          <w:bCs/>
          <w:color w:val="auto"/>
          <w:sz w:val="21"/>
          <w:szCs w:val="21"/>
          <w:highlight w:val="none"/>
        </w:rPr>
        <w:t>增减挂钩实施规划方案编制：委托单签订后，取得用地预审及选址意见书后，50个日历天完成增减挂钩实施规划方案编制。</w:t>
      </w:r>
    </w:p>
    <w:p w14:paraId="477BA253">
      <w:pPr>
        <w:pStyle w:val="47"/>
        <w:spacing w:before="0" w:beforeAutospacing="0" w:after="0" w:afterAutospacing="0" w:line="360" w:lineRule="auto"/>
        <w:ind w:firstLine="422"/>
        <w:rPr>
          <w:rFonts w:hint="eastAsia" w:cs="宋体"/>
          <w:b w:val="0"/>
          <w:bCs/>
          <w:color w:val="auto"/>
          <w:sz w:val="21"/>
          <w:szCs w:val="21"/>
          <w:highlight w:val="none"/>
        </w:rPr>
      </w:pPr>
      <w:r>
        <w:rPr>
          <w:rFonts w:hint="eastAsia" w:cs="宋体"/>
          <w:b w:val="0"/>
          <w:bCs/>
          <w:color w:val="auto"/>
          <w:sz w:val="21"/>
          <w:szCs w:val="21"/>
          <w:highlight w:val="none"/>
        </w:rPr>
        <w:t>9</w:t>
      </w:r>
      <w:r>
        <w:rPr>
          <w:rFonts w:hint="eastAsia" w:cs="宋体"/>
          <w:b w:val="0"/>
          <w:bCs/>
          <w:color w:val="auto"/>
          <w:sz w:val="21"/>
          <w:szCs w:val="21"/>
          <w:highlight w:val="none"/>
          <w:lang w:val="en-US" w:eastAsia="zh-CN"/>
        </w:rPr>
        <w:t>.</w:t>
      </w:r>
      <w:r>
        <w:rPr>
          <w:rFonts w:hint="eastAsia" w:cs="宋体"/>
          <w:b w:val="0"/>
          <w:bCs/>
          <w:color w:val="auto"/>
          <w:sz w:val="21"/>
          <w:szCs w:val="21"/>
          <w:highlight w:val="none"/>
        </w:rPr>
        <w:t>区、市、省三级报批：委托单签订后，获得项目初步设计及概算批复并完成征地前程序后120个日历天内，取得省级主管部门对相应工程的用地审批文件。</w:t>
      </w:r>
    </w:p>
    <w:p w14:paraId="4FB16869">
      <w:pPr>
        <w:pStyle w:val="47"/>
        <w:spacing w:before="0" w:beforeAutospacing="0" w:after="0" w:afterAutospacing="0" w:line="360" w:lineRule="auto"/>
        <w:ind w:firstLine="422"/>
        <w:rPr>
          <w:rFonts w:hint="eastAsia" w:cs="宋体"/>
          <w:b w:val="0"/>
          <w:bCs/>
          <w:color w:val="auto"/>
          <w:sz w:val="21"/>
          <w:szCs w:val="21"/>
          <w:highlight w:val="none"/>
        </w:rPr>
      </w:pPr>
      <w:r>
        <w:rPr>
          <w:rFonts w:hint="eastAsia" w:cs="宋体"/>
          <w:b w:val="0"/>
          <w:bCs/>
          <w:color w:val="auto"/>
          <w:sz w:val="21"/>
          <w:szCs w:val="21"/>
          <w:highlight w:val="none"/>
        </w:rPr>
        <w:t>10</w:t>
      </w:r>
      <w:r>
        <w:rPr>
          <w:rFonts w:hint="eastAsia" w:cs="宋体"/>
          <w:b w:val="0"/>
          <w:bCs/>
          <w:color w:val="auto"/>
          <w:sz w:val="21"/>
          <w:szCs w:val="21"/>
          <w:highlight w:val="none"/>
          <w:lang w:val="en-US" w:eastAsia="zh-CN"/>
        </w:rPr>
        <w:t>.</w:t>
      </w:r>
      <w:r>
        <w:rPr>
          <w:rFonts w:hint="eastAsia" w:cs="宋体"/>
          <w:b w:val="0"/>
          <w:bCs/>
          <w:color w:val="auto"/>
          <w:sz w:val="21"/>
          <w:szCs w:val="21"/>
          <w:highlight w:val="none"/>
        </w:rPr>
        <w:t>供地手续办理：取得项目建设用地批复文件后，约45天取得项目的划拨批复文件。</w:t>
      </w:r>
    </w:p>
    <w:p w14:paraId="09B824A7">
      <w:pPr>
        <w:pStyle w:val="47"/>
        <w:spacing w:before="0" w:beforeAutospacing="0" w:after="0" w:afterAutospacing="0" w:line="360" w:lineRule="auto"/>
        <w:ind w:firstLine="422"/>
        <w:rPr>
          <w:rFonts w:hint="eastAsia" w:cs="宋体"/>
          <w:b w:val="0"/>
          <w:bCs/>
          <w:color w:val="auto"/>
          <w:sz w:val="21"/>
          <w:szCs w:val="21"/>
          <w:highlight w:val="none"/>
        </w:rPr>
      </w:pPr>
      <w:r>
        <w:rPr>
          <w:rFonts w:hint="eastAsia" w:cs="宋体"/>
          <w:b w:val="0"/>
          <w:bCs/>
          <w:color w:val="auto"/>
          <w:sz w:val="21"/>
          <w:szCs w:val="21"/>
          <w:highlight w:val="none"/>
        </w:rPr>
        <w:t>（四）付款方式</w:t>
      </w:r>
    </w:p>
    <w:p w14:paraId="228A758E">
      <w:pPr>
        <w:pStyle w:val="47"/>
        <w:spacing w:before="0" w:beforeAutospacing="0" w:after="0" w:afterAutospacing="0" w:line="360" w:lineRule="auto"/>
        <w:ind w:firstLine="422"/>
        <w:rPr>
          <w:rFonts w:hint="eastAsia" w:cs="宋体"/>
          <w:b w:val="0"/>
          <w:bCs/>
          <w:color w:val="auto"/>
          <w:sz w:val="21"/>
          <w:szCs w:val="21"/>
          <w:highlight w:val="none"/>
          <w:lang w:val="en-US" w:eastAsia="zh-CN"/>
        </w:rPr>
      </w:pPr>
      <w:r>
        <w:rPr>
          <w:rFonts w:hint="eastAsia" w:cs="宋体"/>
          <w:b w:val="0"/>
          <w:bCs/>
          <w:color w:val="auto"/>
          <w:sz w:val="21"/>
          <w:szCs w:val="21"/>
          <w:highlight w:val="none"/>
          <w:lang w:val="en-US" w:eastAsia="zh-CN"/>
        </w:rPr>
        <w:t>详见合同付款方式。</w:t>
      </w:r>
    </w:p>
    <w:p w14:paraId="6AAD1DC7">
      <w:pPr>
        <w:pStyle w:val="47"/>
        <w:spacing w:before="0" w:beforeAutospacing="0" w:after="0" w:afterAutospacing="0" w:line="360" w:lineRule="auto"/>
        <w:ind w:firstLine="422"/>
        <w:rPr>
          <w:rFonts w:hint="default" w:cs="宋体"/>
          <w:b/>
          <w:color w:val="auto"/>
          <w:sz w:val="21"/>
          <w:szCs w:val="21"/>
          <w:highlight w:val="none"/>
        </w:rPr>
      </w:pPr>
      <w:r>
        <w:rPr>
          <w:rFonts w:cs="宋体"/>
          <w:b/>
          <w:color w:val="auto"/>
          <w:sz w:val="21"/>
          <w:szCs w:val="21"/>
          <w:highlight w:val="none"/>
        </w:rPr>
        <w:t>三、综合说明</w:t>
      </w:r>
    </w:p>
    <w:p w14:paraId="196D33E6">
      <w:pPr>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1.投标人提供的服务应符合国家（或行业）技术标准、规范、规定。</w:t>
      </w:r>
    </w:p>
    <w:p w14:paraId="44ABE275">
      <w:pPr>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2.投标人必须承诺招标文件中提出的全部要求，如果其中某些条款不响应时，应在文件中逐条列出，未列出的视同响应。投标人完全同意条款</w:t>
      </w:r>
      <w:r>
        <w:rPr>
          <w:rFonts w:hint="eastAsia" w:ascii="宋体" w:hAnsi="宋体" w:cs="宋体"/>
          <w:b/>
          <w:bCs/>
          <w:color w:val="auto"/>
          <w:sz w:val="21"/>
          <w:szCs w:val="21"/>
          <w:highlight w:val="none"/>
        </w:rPr>
        <w:t>（即无偏离）</w:t>
      </w:r>
      <w:r>
        <w:rPr>
          <w:rFonts w:hint="eastAsia" w:ascii="宋体" w:hAnsi="宋体" w:cs="宋体"/>
          <w:color w:val="auto"/>
          <w:sz w:val="21"/>
          <w:szCs w:val="21"/>
          <w:highlight w:val="none"/>
        </w:rPr>
        <w:t>或提出对</w:t>
      </w:r>
      <w:r>
        <w:rPr>
          <w:rFonts w:hint="eastAsia" w:ascii="宋体" w:hAnsi="宋体" w:cs="宋体"/>
          <w:color w:val="auto"/>
          <w:sz w:val="21"/>
          <w:szCs w:val="21"/>
          <w:highlight w:val="none"/>
          <w:lang w:eastAsia="zh-CN"/>
        </w:rPr>
        <w:t>采购人</w:t>
      </w:r>
      <w:r>
        <w:rPr>
          <w:rFonts w:hint="eastAsia" w:ascii="宋体" w:hAnsi="宋体" w:cs="宋体"/>
          <w:color w:val="auto"/>
          <w:sz w:val="21"/>
          <w:szCs w:val="21"/>
          <w:highlight w:val="none"/>
        </w:rPr>
        <w:t>更有利的条款</w:t>
      </w:r>
      <w:r>
        <w:rPr>
          <w:rFonts w:hint="eastAsia" w:ascii="宋体" w:hAnsi="宋体" w:cs="宋体"/>
          <w:b/>
          <w:bCs/>
          <w:color w:val="auto"/>
          <w:sz w:val="21"/>
          <w:szCs w:val="21"/>
          <w:highlight w:val="none"/>
        </w:rPr>
        <w:t>（即正偏离）</w:t>
      </w:r>
      <w:r>
        <w:rPr>
          <w:rFonts w:hint="eastAsia" w:ascii="宋体" w:hAnsi="宋体" w:cs="宋体"/>
          <w:color w:val="auto"/>
          <w:sz w:val="21"/>
          <w:szCs w:val="21"/>
          <w:highlight w:val="none"/>
        </w:rPr>
        <w:t>都属于响应，</w:t>
      </w:r>
      <w:r>
        <w:rPr>
          <w:rFonts w:hint="eastAsia" w:ascii="宋体" w:hAnsi="宋体" w:cs="宋体"/>
          <w:b/>
          <w:bCs/>
          <w:color w:val="auto"/>
          <w:sz w:val="21"/>
          <w:szCs w:val="21"/>
          <w:highlight w:val="none"/>
        </w:rPr>
        <w:t>投标人不同意某项条款（即负偏离）的属于不实质性响应，按无效处理</w:t>
      </w:r>
      <w:r>
        <w:rPr>
          <w:rFonts w:hint="eastAsia" w:ascii="宋体" w:hAnsi="宋体" w:cs="宋体"/>
          <w:color w:val="auto"/>
          <w:sz w:val="21"/>
          <w:szCs w:val="21"/>
          <w:highlight w:val="none"/>
        </w:rPr>
        <w:t>。</w:t>
      </w:r>
    </w:p>
    <w:p w14:paraId="3760185B">
      <w:pPr>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★3.本项目按</w:t>
      </w:r>
      <w:r>
        <w:rPr>
          <w:rFonts w:hint="eastAsia" w:ascii="宋体" w:hAnsi="宋体" w:cs="宋体"/>
          <w:color w:val="auto"/>
          <w:sz w:val="21"/>
          <w:szCs w:val="21"/>
          <w:highlight w:val="none"/>
          <w:lang w:val="en-US" w:eastAsia="zh-CN"/>
        </w:rPr>
        <w:t>总价</w:t>
      </w:r>
      <w:r>
        <w:rPr>
          <w:rFonts w:hint="eastAsia" w:ascii="宋体" w:hAnsi="宋体" w:cs="宋体"/>
          <w:color w:val="auto"/>
          <w:sz w:val="21"/>
          <w:szCs w:val="21"/>
          <w:highlight w:val="none"/>
        </w:rPr>
        <w:t>报价，报价包括为履行本项目服务合同而发生的所有费用。</w:t>
      </w:r>
    </w:p>
    <w:p w14:paraId="4FE1711F">
      <w:pPr>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4.中标人必须遵守《中华人民共和国劳动法》的规定，为</w:t>
      </w:r>
      <w:r>
        <w:rPr>
          <w:rFonts w:hint="eastAsia" w:ascii="宋体" w:hAnsi="宋体" w:cs="宋体"/>
          <w:color w:val="auto"/>
          <w:sz w:val="21"/>
          <w:szCs w:val="21"/>
          <w:highlight w:val="none"/>
          <w:lang w:eastAsia="zh-CN"/>
        </w:rPr>
        <w:t>采购人</w:t>
      </w:r>
      <w:r>
        <w:rPr>
          <w:rFonts w:hint="eastAsia" w:ascii="宋体" w:hAnsi="宋体" w:cs="宋体"/>
          <w:color w:val="auto"/>
          <w:sz w:val="21"/>
          <w:szCs w:val="21"/>
          <w:highlight w:val="none"/>
        </w:rPr>
        <w:t>提供的服务人员如遇到工资纠纷问题由中标人自行解决。中标人须为本项目配备的所有服务人员按规定缴纳社会保险及人身意外险，若工作人员在</w:t>
      </w:r>
      <w:r>
        <w:rPr>
          <w:rFonts w:hint="eastAsia" w:ascii="宋体" w:hAnsi="宋体"/>
          <w:bCs/>
          <w:color w:val="auto"/>
          <w:sz w:val="21"/>
          <w:szCs w:val="21"/>
          <w:highlight w:val="none"/>
          <w:lang w:val="en-US" w:eastAsia="zh-CN"/>
        </w:rPr>
        <w:t>合同履行期限内</w:t>
      </w:r>
      <w:r>
        <w:rPr>
          <w:rFonts w:hint="eastAsia" w:ascii="宋体" w:hAnsi="宋体" w:cs="宋体"/>
          <w:color w:val="auto"/>
          <w:sz w:val="21"/>
          <w:szCs w:val="21"/>
          <w:highlight w:val="none"/>
        </w:rPr>
        <w:t>出现的工伤及其他意外事故，均由中标人自行负责，</w:t>
      </w:r>
      <w:r>
        <w:rPr>
          <w:rFonts w:hint="eastAsia" w:ascii="宋体" w:hAnsi="宋体" w:cs="宋体"/>
          <w:color w:val="auto"/>
          <w:sz w:val="21"/>
          <w:szCs w:val="21"/>
          <w:highlight w:val="none"/>
          <w:lang w:eastAsia="zh-CN"/>
        </w:rPr>
        <w:t>采购人</w:t>
      </w:r>
      <w:r>
        <w:rPr>
          <w:rFonts w:hint="eastAsia" w:ascii="宋体" w:hAnsi="宋体" w:cs="宋体"/>
          <w:color w:val="auto"/>
          <w:sz w:val="21"/>
          <w:szCs w:val="21"/>
          <w:highlight w:val="none"/>
        </w:rPr>
        <w:t>不承担任何责任。</w:t>
      </w:r>
    </w:p>
    <w:p w14:paraId="10F1CD02">
      <w:pPr>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5.若中标人在本项目</w:t>
      </w:r>
      <w:r>
        <w:rPr>
          <w:rFonts w:hint="eastAsia" w:ascii="宋体" w:hAnsi="宋体"/>
          <w:bCs/>
          <w:color w:val="auto"/>
          <w:sz w:val="21"/>
          <w:szCs w:val="21"/>
          <w:highlight w:val="none"/>
          <w:lang w:val="en-US" w:eastAsia="zh-CN"/>
        </w:rPr>
        <w:t>合同履行期限内</w:t>
      </w:r>
      <w:r>
        <w:rPr>
          <w:rFonts w:hint="eastAsia" w:ascii="宋体" w:hAnsi="宋体" w:cs="宋体"/>
          <w:color w:val="auto"/>
          <w:sz w:val="21"/>
          <w:szCs w:val="21"/>
          <w:highlight w:val="none"/>
        </w:rPr>
        <w:t>，违反下列规定将被解除服务合同：</w:t>
      </w:r>
    </w:p>
    <w:p w14:paraId="2B625F68">
      <w:pPr>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（1）将承包的服务内容转包或未经</w:t>
      </w:r>
      <w:r>
        <w:rPr>
          <w:rFonts w:hint="eastAsia" w:ascii="宋体" w:hAnsi="宋体" w:cs="宋体"/>
          <w:color w:val="auto"/>
          <w:sz w:val="21"/>
          <w:szCs w:val="21"/>
          <w:highlight w:val="none"/>
          <w:lang w:eastAsia="zh-CN"/>
        </w:rPr>
        <w:t>采购人</w:t>
      </w:r>
      <w:r>
        <w:rPr>
          <w:rFonts w:hint="eastAsia" w:ascii="宋体" w:hAnsi="宋体" w:cs="宋体"/>
          <w:color w:val="auto"/>
          <w:sz w:val="21"/>
          <w:szCs w:val="21"/>
          <w:highlight w:val="none"/>
        </w:rPr>
        <w:t>同意分包他人；</w:t>
      </w:r>
    </w:p>
    <w:p w14:paraId="24EE8907">
      <w:pPr>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（2）出现重大技术责任问题；</w:t>
      </w:r>
    </w:p>
    <w:p w14:paraId="56DC6431">
      <w:pPr>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（3）未按照国家劳动法规定聘用服务人员；</w:t>
      </w:r>
    </w:p>
    <w:p w14:paraId="2C2C6A3F">
      <w:pPr>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（4）其他招标文件中约定的可解除合同的情况。</w:t>
      </w:r>
    </w:p>
    <w:p w14:paraId="70FDE7A1">
      <w:pPr>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6.中标人在项目内的服务工作，接受</w:t>
      </w:r>
      <w:r>
        <w:rPr>
          <w:rFonts w:hint="eastAsia" w:ascii="宋体" w:hAnsi="宋体" w:cs="宋体"/>
          <w:color w:val="auto"/>
          <w:sz w:val="21"/>
          <w:szCs w:val="21"/>
          <w:highlight w:val="none"/>
          <w:lang w:eastAsia="zh-CN"/>
        </w:rPr>
        <w:t>采购人</w:t>
      </w:r>
      <w:r>
        <w:rPr>
          <w:rFonts w:hint="eastAsia" w:ascii="宋体" w:hAnsi="宋体" w:cs="宋体"/>
          <w:color w:val="auto"/>
          <w:sz w:val="21"/>
          <w:szCs w:val="21"/>
          <w:highlight w:val="none"/>
        </w:rPr>
        <w:t>管理部门的日常工作的监督和管理。</w:t>
      </w:r>
    </w:p>
    <w:p w14:paraId="38F1A9CD">
      <w:pPr>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7.采购人有权检查监督中标人在</w:t>
      </w:r>
      <w:r>
        <w:rPr>
          <w:rFonts w:hint="eastAsia" w:ascii="宋体" w:hAnsi="宋体"/>
          <w:bCs/>
          <w:color w:val="auto"/>
          <w:sz w:val="21"/>
          <w:szCs w:val="21"/>
          <w:highlight w:val="none"/>
          <w:lang w:val="en-US" w:eastAsia="zh-CN"/>
        </w:rPr>
        <w:t>合同履行期限内</w:t>
      </w:r>
      <w:r>
        <w:rPr>
          <w:rFonts w:hint="eastAsia" w:ascii="宋体" w:hAnsi="宋体" w:cs="宋体"/>
          <w:color w:val="auto"/>
          <w:sz w:val="21"/>
          <w:szCs w:val="21"/>
          <w:highlight w:val="none"/>
        </w:rPr>
        <w:t>的服务质量，对不称职的工作人员有权要求中标人在一周内更换，直至人选合格为止。</w:t>
      </w:r>
    </w:p>
    <w:p w14:paraId="77A01673">
      <w:pPr>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8.中标人对服务缺陷不予更正，</w:t>
      </w:r>
      <w:r>
        <w:rPr>
          <w:rFonts w:hint="eastAsia" w:ascii="宋体" w:hAnsi="宋体" w:cs="宋体"/>
          <w:color w:val="auto"/>
          <w:sz w:val="21"/>
          <w:szCs w:val="21"/>
          <w:highlight w:val="none"/>
          <w:lang w:eastAsia="zh-CN"/>
        </w:rPr>
        <w:t>采购人</w:t>
      </w:r>
      <w:r>
        <w:rPr>
          <w:rFonts w:hint="eastAsia" w:ascii="宋体" w:hAnsi="宋体" w:cs="宋体"/>
          <w:color w:val="auto"/>
          <w:sz w:val="21"/>
          <w:szCs w:val="21"/>
          <w:highlight w:val="none"/>
        </w:rPr>
        <w:t>有权另请其他单位更正，所发生的费用在剩余合同价款中扣除。</w:t>
      </w:r>
    </w:p>
    <w:p w14:paraId="3EB9F56A">
      <w:pPr>
        <w:spacing w:line="360" w:lineRule="auto"/>
        <w:ind w:firstLine="420"/>
        <w:jc w:val="both"/>
        <w:rPr>
          <w:rFonts w:ascii="宋体" w:hAnsi="宋体" w:cs="宋体"/>
          <w:b/>
          <w:bCs/>
          <w:color w:val="auto"/>
          <w:sz w:val="21"/>
          <w:szCs w:val="21"/>
          <w:highlight w:val="none"/>
        </w:rPr>
      </w:pPr>
      <w:r>
        <w:rPr>
          <w:rFonts w:hint="eastAsia" w:ascii="宋体" w:hAnsi="宋体" w:cs="宋体"/>
          <w:b/>
          <w:bCs/>
          <w:color w:val="auto"/>
          <w:sz w:val="21"/>
          <w:szCs w:val="21"/>
          <w:highlight w:val="none"/>
        </w:rPr>
        <w:t>四、凡涉及招标文件的补充说明和修改，均以财政部门指定的政府采购信息发布媒体发布的内容为准。</w:t>
      </w:r>
    </w:p>
    <w:p w14:paraId="74B763D0">
      <w:pPr>
        <w:spacing w:line="360" w:lineRule="auto"/>
        <w:jc w:val="center"/>
        <w:outlineLvl w:val="0"/>
        <w:rPr>
          <w:rStyle w:val="55"/>
          <w:rFonts w:ascii="宋体" w:hAnsi="宋体" w:cs="宋体"/>
          <w:color w:val="auto"/>
          <w:sz w:val="43"/>
          <w:szCs w:val="43"/>
          <w:highlight w:val="none"/>
        </w:rPr>
      </w:pPr>
      <w:r>
        <w:rPr>
          <w:rFonts w:hint="eastAsia" w:ascii="宋体" w:hAnsi="宋体" w:cs="宋体"/>
          <w:color w:val="auto"/>
          <w:sz w:val="32"/>
          <w:szCs w:val="32"/>
          <w:highlight w:val="none"/>
        </w:rPr>
        <w:br w:type="page" w:clear="all"/>
      </w:r>
      <w:bookmarkStart w:id="92" w:name="_Toc27914"/>
      <w:bookmarkStart w:id="93" w:name="_Toc20926"/>
      <w:bookmarkStart w:id="94" w:name="_Toc18732"/>
      <w:bookmarkStart w:id="95" w:name="_Toc3848"/>
      <w:bookmarkStart w:id="96" w:name="_Toc3073"/>
      <w:bookmarkStart w:id="97" w:name="_Toc15293"/>
      <w:r>
        <w:rPr>
          <w:rFonts w:hint="eastAsia" w:ascii="宋体" w:hAnsi="宋体" w:cs="宋体"/>
          <w:b/>
          <w:bCs/>
          <w:color w:val="auto"/>
          <w:sz w:val="32"/>
          <w:szCs w:val="32"/>
          <w:highlight w:val="none"/>
        </w:rPr>
        <w:t>第五章 合同主要条款</w:t>
      </w:r>
      <w:bookmarkEnd w:id="92"/>
      <w:bookmarkEnd w:id="93"/>
      <w:bookmarkEnd w:id="94"/>
      <w:bookmarkEnd w:id="95"/>
      <w:bookmarkEnd w:id="96"/>
      <w:bookmarkEnd w:id="97"/>
    </w:p>
    <w:p w14:paraId="0D2130DE">
      <w:pPr>
        <w:spacing w:line="360" w:lineRule="auto"/>
        <w:jc w:val="both"/>
        <w:rPr>
          <w:rFonts w:hint="eastAsia" w:ascii="宋体" w:hAnsi="宋体" w:eastAsia="宋体" w:cs="宋体"/>
          <w:color w:val="auto"/>
          <w:sz w:val="21"/>
          <w:szCs w:val="21"/>
          <w:highlight w:val="none"/>
          <w:u w:val="single"/>
          <w:lang w:eastAsia="zh-CN"/>
        </w:rPr>
      </w:pPr>
      <w:r>
        <w:rPr>
          <w:rFonts w:hint="eastAsia" w:ascii="宋体" w:hAnsi="宋体" w:cs="宋体"/>
          <w:color w:val="auto"/>
          <w:sz w:val="21"/>
          <w:szCs w:val="21"/>
          <w:highlight w:val="none"/>
        </w:rPr>
        <w:t>甲方（采购人）：</w:t>
      </w:r>
      <w:r>
        <w:rPr>
          <w:rFonts w:hint="eastAsia" w:ascii="宋体" w:hAnsi="宋体" w:cs="宋体"/>
          <w:b/>
          <w:color w:val="auto"/>
          <w:sz w:val="21"/>
          <w:szCs w:val="21"/>
          <w:highlight w:val="none"/>
          <w:lang w:eastAsia="zh-CN"/>
        </w:rPr>
        <w:t>苏州高铁新城管理委员会</w:t>
      </w:r>
    </w:p>
    <w:p w14:paraId="7170A1BC">
      <w:pPr>
        <w:spacing w:line="360" w:lineRule="auto"/>
        <w:jc w:val="both"/>
        <w:rPr>
          <w:rFonts w:ascii="宋体" w:hAnsi="宋体" w:cs="宋体"/>
          <w:color w:val="auto"/>
          <w:sz w:val="21"/>
          <w:szCs w:val="21"/>
          <w:highlight w:val="none"/>
        </w:rPr>
      </w:pPr>
      <w:r>
        <w:rPr>
          <w:rFonts w:hint="eastAsia" w:ascii="宋体" w:hAnsi="宋体" w:cs="宋体"/>
          <w:color w:val="auto"/>
          <w:sz w:val="21"/>
          <w:szCs w:val="21"/>
          <w:highlight w:val="none"/>
        </w:rPr>
        <w:t>地址：</w:t>
      </w:r>
    </w:p>
    <w:p w14:paraId="7D2E7147">
      <w:pPr>
        <w:spacing w:line="360" w:lineRule="auto"/>
        <w:jc w:val="both"/>
        <w:rPr>
          <w:rFonts w:ascii="宋体" w:hAnsi="宋体" w:cs="宋体"/>
          <w:color w:val="auto"/>
          <w:sz w:val="21"/>
          <w:szCs w:val="21"/>
          <w:highlight w:val="none"/>
        </w:rPr>
      </w:pPr>
      <w:r>
        <w:rPr>
          <w:rFonts w:hint="eastAsia" w:ascii="宋体" w:hAnsi="宋体" w:cs="宋体"/>
          <w:color w:val="auto"/>
          <w:sz w:val="21"/>
          <w:szCs w:val="21"/>
          <w:highlight w:val="none"/>
        </w:rPr>
        <w:t>联系人：</w:t>
      </w:r>
    </w:p>
    <w:p w14:paraId="3696C9E8">
      <w:pPr>
        <w:spacing w:line="360" w:lineRule="auto"/>
        <w:jc w:val="both"/>
        <w:rPr>
          <w:rFonts w:ascii="宋体" w:hAnsi="宋体" w:cs="宋体"/>
          <w:color w:val="auto"/>
          <w:sz w:val="21"/>
          <w:szCs w:val="21"/>
          <w:highlight w:val="none"/>
        </w:rPr>
      </w:pPr>
      <w:r>
        <w:rPr>
          <w:rFonts w:hint="eastAsia" w:ascii="宋体" w:hAnsi="宋体" w:cs="宋体"/>
          <w:color w:val="auto"/>
          <w:sz w:val="21"/>
          <w:szCs w:val="21"/>
          <w:highlight w:val="none"/>
        </w:rPr>
        <w:t>电话：</w:t>
      </w:r>
    </w:p>
    <w:p w14:paraId="5EA01A98">
      <w:pPr>
        <w:spacing w:line="360" w:lineRule="auto"/>
        <w:jc w:val="both"/>
        <w:rPr>
          <w:rFonts w:ascii="宋体" w:hAnsi="宋体" w:cs="宋体"/>
          <w:color w:val="auto"/>
          <w:sz w:val="21"/>
          <w:szCs w:val="21"/>
          <w:highlight w:val="none"/>
        </w:rPr>
      </w:pPr>
      <w:r>
        <w:rPr>
          <w:rFonts w:hint="eastAsia" w:ascii="宋体" w:hAnsi="宋体" w:cs="宋体"/>
          <w:color w:val="auto"/>
          <w:sz w:val="21"/>
          <w:szCs w:val="21"/>
          <w:highlight w:val="none"/>
        </w:rPr>
        <w:t>乙方（中标人）：</w:t>
      </w:r>
      <w:r>
        <w:rPr>
          <w:rFonts w:hint="eastAsia" w:ascii="宋体" w:hAnsi="宋体" w:cs="宋体"/>
          <w:color w:val="auto"/>
          <w:sz w:val="21"/>
          <w:szCs w:val="21"/>
          <w:highlight w:val="none"/>
          <w:u w:val="single"/>
        </w:rPr>
        <w:t xml:space="preserve">                           </w:t>
      </w:r>
    </w:p>
    <w:p w14:paraId="03E02C2F">
      <w:pPr>
        <w:spacing w:line="360" w:lineRule="auto"/>
        <w:jc w:val="both"/>
        <w:rPr>
          <w:rFonts w:ascii="宋体" w:hAnsi="宋体" w:cs="宋体"/>
          <w:color w:val="auto"/>
          <w:sz w:val="21"/>
          <w:szCs w:val="21"/>
          <w:highlight w:val="none"/>
        </w:rPr>
      </w:pPr>
      <w:r>
        <w:rPr>
          <w:rFonts w:hint="eastAsia" w:ascii="宋体" w:hAnsi="宋体" w:cs="宋体"/>
          <w:color w:val="auto"/>
          <w:sz w:val="21"/>
          <w:szCs w:val="21"/>
          <w:highlight w:val="none"/>
        </w:rPr>
        <w:t>地址：</w:t>
      </w:r>
    </w:p>
    <w:p w14:paraId="59515E49">
      <w:pPr>
        <w:spacing w:line="360" w:lineRule="auto"/>
        <w:jc w:val="both"/>
        <w:rPr>
          <w:rFonts w:ascii="宋体" w:hAnsi="宋体" w:cs="宋体"/>
          <w:color w:val="auto"/>
          <w:sz w:val="21"/>
          <w:szCs w:val="21"/>
          <w:highlight w:val="none"/>
        </w:rPr>
      </w:pPr>
      <w:r>
        <w:rPr>
          <w:rFonts w:hint="eastAsia" w:ascii="宋体" w:hAnsi="宋体" w:cs="宋体"/>
          <w:color w:val="auto"/>
          <w:sz w:val="21"/>
          <w:szCs w:val="21"/>
          <w:highlight w:val="none"/>
        </w:rPr>
        <w:t>联系人：</w:t>
      </w:r>
    </w:p>
    <w:p w14:paraId="38F99EDB">
      <w:pPr>
        <w:spacing w:line="360" w:lineRule="auto"/>
        <w:jc w:val="both"/>
        <w:rPr>
          <w:rFonts w:ascii="宋体" w:hAnsi="宋体" w:cs="宋体"/>
          <w:color w:val="auto"/>
          <w:sz w:val="21"/>
          <w:szCs w:val="21"/>
          <w:highlight w:val="none"/>
        </w:rPr>
      </w:pPr>
      <w:r>
        <w:rPr>
          <w:rFonts w:hint="eastAsia" w:ascii="宋体" w:hAnsi="宋体" w:cs="宋体"/>
          <w:color w:val="auto"/>
          <w:sz w:val="21"/>
          <w:szCs w:val="21"/>
          <w:highlight w:val="none"/>
        </w:rPr>
        <w:t>电话：</w:t>
      </w:r>
    </w:p>
    <w:p w14:paraId="0E98484E">
      <w:pPr>
        <w:rPr>
          <w:rFonts w:ascii="宋体" w:hAnsi="宋体" w:cs="宋体"/>
          <w:color w:val="auto"/>
          <w:sz w:val="21"/>
          <w:szCs w:val="21"/>
          <w:highlight w:val="none"/>
        </w:rPr>
      </w:pPr>
      <w:bookmarkStart w:id="98" w:name="_Toc7819"/>
      <w:bookmarkStart w:id="99" w:name="_Toc25025"/>
      <w:r>
        <w:rPr>
          <w:rFonts w:hint="eastAsia" w:ascii="宋体" w:hAnsi="宋体" w:cs="仿宋_GB2312"/>
          <w:color w:val="auto"/>
          <w:sz w:val="21"/>
          <w:szCs w:val="21"/>
          <w:highlight w:val="none"/>
        </w:rPr>
        <w:t xml:space="preserve"> </w:t>
      </w:r>
      <w:r>
        <w:rPr>
          <w:rFonts w:hint="eastAsia" w:ascii="宋体" w:hAnsi="宋体" w:cs="仿宋_GB2312"/>
          <w:color w:val="auto"/>
          <w:highlight w:val="none"/>
        </w:rPr>
        <w:t xml:space="preserve"> </w:t>
      </w:r>
    </w:p>
    <w:p w14:paraId="7A7DEC20">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根据</w:t>
      </w:r>
      <w:r>
        <w:rPr>
          <w:rFonts w:hint="eastAsia" w:ascii="宋体" w:hAnsi="宋体" w:eastAsia="宋体" w:cs="宋体"/>
          <w:color w:val="000000"/>
          <w:sz w:val="21"/>
          <w:szCs w:val="21"/>
          <w:highlight w:val="none"/>
          <w:u w:val="single"/>
        </w:rPr>
        <w:t xml:space="preserve"> 苏州高铁新城管理委员会  </w:t>
      </w:r>
      <w:r>
        <w:rPr>
          <w:rFonts w:hint="eastAsia" w:ascii="宋体" w:hAnsi="宋体" w:eastAsia="宋体" w:cs="宋体"/>
          <w:color w:val="000000"/>
          <w:sz w:val="21"/>
          <w:szCs w:val="21"/>
          <w:highlight w:val="none"/>
        </w:rPr>
        <w:t>委托</w:t>
      </w:r>
      <w:r>
        <w:rPr>
          <w:rFonts w:hint="eastAsia" w:ascii="宋体" w:hAnsi="宋体" w:eastAsia="宋体" w:cs="宋体"/>
          <w:color w:val="000000"/>
          <w:sz w:val="21"/>
          <w:szCs w:val="21"/>
          <w:highlight w:val="none"/>
          <w:u w:val="single"/>
        </w:rPr>
        <w:t>众鑫工程管理（苏州）有限公司</w:t>
      </w:r>
      <w:r>
        <w:rPr>
          <w:rFonts w:hint="eastAsia" w:ascii="宋体" w:hAnsi="宋体" w:eastAsia="宋体" w:cs="宋体"/>
          <w:color w:val="000000"/>
          <w:sz w:val="21"/>
          <w:szCs w:val="21"/>
          <w:highlight w:val="none"/>
        </w:rPr>
        <w:t>进行本项目政府采购</w:t>
      </w:r>
      <w:r>
        <w:rPr>
          <w:rFonts w:hint="eastAsia" w:ascii="宋体" w:hAnsi="宋体" w:eastAsia="宋体" w:cs="宋体"/>
          <w:color w:val="000000"/>
          <w:sz w:val="21"/>
          <w:szCs w:val="21"/>
          <w:highlight w:val="none"/>
          <w:u w:val="single"/>
        </w:rPr>
        <w:t>2026-2027年国土空间咨询及土地报批</w:t>
      </w:r>
      <w:r>
        <w:rPr>
          <w:rFonts w:hint="eastAsia" w:ascii="宋体" w:hAnsi="宋体" w:eastAsia="宋体" w:cs="宋体"/>
          <w:color w:val="000000"/>
          <w:sz w:val="21"/>
          <w:szCs w:val="21"/>
          <w:highlight w:val="none"/>
        </w:rPr>
        <w:t>的招标结果，确定乙方为本次中标</w:t>
      </w:r>
      <w:r>
        <w:rPr>
          <w:rFonts w:hint="eastAsia" w:ascii="宋体" w:hAnsi="宋体" w:eastAsia="宋体" w:cs="宋体"/>
          <w:color w:val="000000"/>
          <w:sz w:val="21"/>
          <w:szCs w:val="21"/>
          <w:highlight w:val="none"/>
          <w:lang w:val="en-US" w:eastAsia="zh-CN"/>
        </w:rPr>
        <w:t>人</w:t>
      </w:r>
      <w:r>
        <w:rPr>
          <w:rFonts w:hint="eastAsia" w:ascii="宋体" w:hAnsi="宋体" w:eastAsia="宋体" w:cs="宋体"/>
          <w:color w:val="000000"/>
          <w:sz w:val="21"/>
          <w:szCs w:val="21"/>
          <w:highlight w:val="none"/>
        </w:rPr>
        <w:t>，现依照招标文件、乙方的投标文件及相关文件的内容，签订本合同书。</w:t>
      </w:r>
    </w:p>
    <w:p w14:paraId="12C62B61">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sz w:val="21"/>
          <w:szCs w:val="21"/>
          <w:highlight w:val="none"/>
        </w:rPr>
      </w:pPr>
      <w:r>
        <w:rPr>
          <w:rFonts w:hint="eastAsia" w:ascii="宋体" w:hAnsi="宋体" w:eastAsia="宋体" w:cs="宋体"/>
          <w:b/>
          <w:color w:val="000000"/>
          <w:sz w:val="21"/>
          <w:szCs w:val="21"/>
          <w:highlight w:val="none"/>
        </w:rPr>
        <w:t>一、定义</w:t>
      </w:r>
    </w:p>
    <w:p w14:paraId="02FAFC83">
      <w:pPr>
        <w:pBdr>
          <w:top w:val="none" w:color="000000" w:sz="0" w:space="0"/>
          <w:left w:val="none" w:color="000000" w:sz="0" w:space="0"/>
          <w:bottom w:val="none" w:color="000000" w:sz="0" w:space="0"/>
          <w:right w:val="none" w:color="000000" w:sz="0" w:space="0"/>
        </w:pBdr>
        <w:spacing w:line="360" w:lineRule="auto"/>
        <w:ind w:firstLine="47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除非另有特别解释或说明，本合同有关词语应按如下定义解释：</w:t>
      </w:r>
    </w:p>
    <w:p w14:paraId="46F64441">
      <w:pPr>
        <w:pBdr>
          <w:top w:val="none" w:color="000000" w:sz="0" w:space="0"/>
          <w:left w:val="none" w:color="000000" w:sz="0" w:space="0"/>
          <w:bottom w:val="none" w:color="000000" w:sz="0" w:space="0"/>
          <w:right w:val="none" w:color="000000" w:sz="0" w:space="0"/>
        </w:pBdr>
        <w:spacing w:line="360" w:lineRule="auto"/>
        <w:ind w:firstLine="47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1</w:t>
      </w:r>
      <w:r>
        <w:rPr>
          <w:rFonts w:hint="eastAsia" w:ascii="宋体" w:hAnsi="宋体" w:eastAsia="宋体" w:cs="宋体"/>
          <w:color w:val="000000"/>
          <w:sz w:val="21"/>
          <w:szCs w:val="21"/>
          <w:highlight w:val="none"/>
          <w:lang w:val="en-US" w:eastAsia="zh-CN"/>
        </w:rPr>
        <w:t>.</w:t>
      </w:r>
      <w:r>
        <w:rPr>
          <w:rFonts w:hint="eastAsia" w:ascii="宋体" w:hAnsi="宋体" w:eastAsia="宋体" w:cs="宋体"/>
          <w:color w:val="000000"/>
          <w:sz w:val="21"/>
          <w:szCs w:val="21"/>
          <w:highlight w:val="none"/>
        </w:rPr>
        <w:t>合同：甲乙双方签署的，与本项目相关的协议、附件、附录和其他一切文件。</w:t>
      </w:r>
    </w:p>
    <w:p w14:paraId="4982A591">
      <w:pPr>
        <w:pBdr>
          <w:top w:val="none" w:color="000000" w:sz="0" w:space="0"/>
          <w:left w:val="none" w:color="000000" w:sz="0" w:space="0"/>
          <w:bottom w:val="none" w:color="000000" w:sz="0" w:space="0"/>
          <w:right w:val="none" w:color="000000" w:sz="0" w:space="0"/>
        </w:pBdr>
        <w:spacing w:line="360" w:lineRule="auto"/>
        <w:ind w:firstLine="47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w:t>
      </w:r>
      <w:r>
        <w:rPr>
          <w:rFonts w:hint="eastAsia" w:ascii="宋体" w:hAnsi="宋体" w:eastAsia="宋体" w:cs="宋体"/>
          <w:color w:val="000000"/>
          <w:sz w:val="21"/>
          <w:szCs w:val="21"/>
          <w:highlight w:val="none"/>
          <w:lang w:val="en-US" w:eastAsia="zh-CN"/>
        </w:rPr>
        <w:t>.</w:t>
      </w:r>
      <w:r>
        <w:rPr>
          <w:rFonts w:hint="eastAsia" w:ascii="宋体" w:hAnsi="宋体" w:eastAsia="宋体" w:cs="宋体"/>
          <w:color w:val="000000"/>
          <w:sz w:val="21"/>
          <w:szCs w:val="21"/>
          <w:highlight w:val="none"/>
        </w:rPr>
        <w:t>甲方：委托本次招标活动的</w:t>
      </w:r>
      <w:r>
        <w:rPr>
          <w:rFonts w:hint="eastAsia" w:ascii="宋体" w:hAnsi="宋体" w:eastAsia="宋体" w:cs="宋体"/>
          <w:color w:val="000000"/>
          <w:sz w:val="21"/>
          <w:szCs w:val="21"/>
          <w:highlight w:val="none"/>
          <w:u w:val="single"/>
        </w:rPr>
        <w:t xml:space="preserve">   苏州高铁新城管理委员会   </w:t>
      </w:r>
      <w:r>
        <w:rPr>
          <w:rFonts w:hint="eastAsia" w:ascii="宋体" w:hAnsi="宋体" w:eastAsia="宋体" w:cs="宋体"/>
          <w:color w:val="000000"/>
          <w:sz w:val="21"/>
          <w:szCs w:val="21"/>
          <w:highlight w:val="none"/>
        </w:rPr>
        <w:t>。</w:t>
      </w:r>
    </w:p>
    <w:p w14:paraId="34159ADD">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3</w:t>
      </w:r>
      <w:r>
        <w:rPr>
          <w:rFonts w:hint="eastAsia" w:ascii="宋体" w:hAnsi="宋体" w:eastAsia="宋体" w:cs="宋体"/>
          <w:color w:val="000000"/>
          <w:sz w:val="21"/>
          <w:szCs w:val="21"/>
          <w:highlight w:val="none"/>
          <w:lang w:val="en-US" w:eastAsia="zh-CN"/>
        </w:rPr>
        <w:t>.</w:t>
      </w:r>
      <w:r>
        <w:rPr>
          <w:rFonts w:hint="eastAsia" w:ascii="宋体" w:hAnsi="宋体" w:eastAsia="宋体" w:cs="宋体"/>
          <w:color w:val="000000"/>
          <w:sz w:val="21"/>
          <w:szCs w:val="21"/>
          <w:highlight w:val="none"/>
        </w:rPr>
        <w:t>乙方：提供本合同项下服务的法人、其他组织或自然人。</w:t>
      </w:r>
    </w:p>
    <w:p w14:paraId="3287F975">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4</w:t>
      </w:r>
      <w:r>
        <w:rPr>
          <w:rFonts w:hint="eastAsia" w:ascii="宋体" w:hAnsi="宋体" w:eastAsia="宋体" w:cs="宋体"/>
          <w:color w:val="000000"/>
          <w:sz w:val="21"/>
          <w:szCs w:val="21"/>
          <w:highlight w:val="none"/>
          <w:lang w:val="en-US" w:eastAsia="zh-CN"/>
        </w:rPr>
        <w:t>.</w:t>
      </w:r>
      <w:r>
        <w:rPr>
          <w:rFonts w:hint="eastAsia" w:ascii="宋体" w:hAnsi="宋体" w:eastAsia="宋体" w:cs="宋体"/>
          <w:color w:val="000000"/>
          <w:sz w:val="21"/>
          <w:szCs w:val="21"/>
          <w:highlight w:val="none"/>
        </w:rPr>
        <w:t>服务：根据合同规定乙方承担的</w:t>
      </w:r>
      <w:r>
        <w:rPr>
          <w:rFonts w:hint="eastAsia" w:ascii="宋体" w:hAnsi="宋体" w:eastAsia="宋体" w:cs="宋体"/>
          <w:color w:val="000000"/>
          <w:sz w:val="21"/>
          <w:szCs w:val="21"/>
          <w:highlight w:val="none"/>
          <w:u w:val="single"/>
        </w:rPr>
        <w:t>2026-2027年国土空间咨询及土地报批</w:t>
      </w:r>
      <w:r>
        <w:rPr>
          <w:rFonts w:hint="eastAsia" w:ascii="宋体" w:hAnsi="宋体" w:eastAsia="宋体" w:cs="宋体"/>
          <w:color w:val="000000"/>
          <w:sz w:val="21"/>
          <w:szCs w:val="21"/>
          <w:highlight w:val="none"/>
        </w:rPr>
        <w:t>有关的工作内容。</w:t>
      </w:r>
    </w:p>
    <w:p w14:paraId="0469614D">
      <w:pPr>
        <w:pBdr>
          <w:top w:val="none" w:color="000000" w:sz="0" w:space="0"/>
          <w:left w:val="none" w:color="000000" w:sz="0" w:space="0"/>
          <w:bottom w:val="none" w:color="000000" w:sz="0" w:space="0"/>
          <w:right w:val="none" w:color="000000" w:sz="0" w:space="0"/>
        </w:pBdr>
        <w:spacing w:line="360" w:lineRule="auto"/>
        <w:ind w:firstLine="47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5</w:t>
      </w:r>
      <w:r>
        <w:rPr>
          <w:rFonts w:hint="eastAsia" w:ascii="宋体" w:hAnsi="宋体" w:eastAsia="宋体" w:cs="宋体"/>
          <w:color w:val="000000"/>
          <w:sz w:val="21"/>
          <w:szCs w:val="21"/>
          <w:highlight w:val="none"/>
          <w:lang w:val="en-US" w:eastAsia="zh-CN"/>
        </w:rPr>
        <w:t>.</w:t>
      </w:r>
      <w:r>
        <w:rPr>
          <w:rFonts w:hint="eastAsia" w:ascii="宋体" w:hAnsi="宋体" w:eastAsia="宋体" w:cs="宋体"/>
          <w:color w:val="000000"/>
          <w:sz w:val="21"/>
          <w:szCs w:val="21"/>
          <w:highlight w:val="none"/>
        </w:rPr>
        <w:t>服务收费：包括为履行本项目服务合同而发生的所有费用。</w:t>
      </w:r>
    </w:p>
    <w:p w14:paraId="21700832">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sz w:val="21"/>
          <w:szCs w:val="21"/>
          <w:highlight w:val="none"/>
        </w:rPr>
      </w:pPr>
      <w:r>
        <w:rPr>
          <w:rFonts w:hint="eastAsia" w:ascii="宋体" w:hAnsi="宋体" w:eastAsia="宋体" w:cs="宋体"/>
          <w:b/>
          <w:color w:val="000000"/>
          <w:sz w:val="21"/>
          <w:szCs w:val="21"/>
          <w:highlight w:val="none"/>
        </w:rPr>
        <w:t>二、组成本合同的文件</w:t>
      </w:r>
    </w:p>
    <w:p w14:paraId="7B532177">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下列文件是组成本合同的不可分割的部分：</w:t>
      </w:r>
    </w:p>
    <w:p w14:paraId="7BA74859">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（1）招标文件；</w:t>
      </w:r>
    </w:p>
    <w:p w14:paraId="01A62B3A">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（2）乙方提交的投标文件；</w:t>
      </w:r>
    </w:p>
    <w:p w14:paraId="14EDAC5A">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（3）乙方所作的相关书面澄清；</w:t>
      </w:r>
    </w:p>
    <w:p w14:paraId="7414F4E5">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（4）中标通知书；</w:t>
      </w:r>
    </w:p>
    <w:p w14:paraId="09156376">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（5）甲乙双方商定的其他必要文件。</w:t>
      </w:r>
    </w:p>
    <w:p w14:paraId="346FC9DA">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sz w:val="21"/>
          <w:szCs w:val="21"/>
          <w:highlight w:val="none"/>
        </w:rPr>
      </w:pPr>
      <w:r>
        <w:rPr>
          <w:rFonts w:hint="eastAsia" w:ascii="宋体" w:hAnsi="宋体" w:eastAsia="宋体" w:cs="宋体"/>
          <w:b/>
          <w:color w:val="000000"/>
          <w:sz w:val="21"/>
          <w:szCs w:val="21"/>
          <w:highlight w:val="none"/>
        </w:rPr>
        <w:t>三、服务时间</w:t>
      </w:r>
    </w:p>
    <w:p w14:paraId="77325494">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自政府采购合同签订生效后一年（具体时间以采购人通知为准），或累计结算金额达到各标段预算金额为止（以二者先达到者为准）。</w:t>
      </w:r>
    </w:p>
    <w:p w14:paraId="3A71DF01">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甲方</w:t>
      </w:r>
      <w:r>
        <w:rPr>
          <w:rFonts w:hint="eastAsia" w:ascii="宋体" w:hAnsi="宋体" w:eastAsia="宋体" w:cs="宋体"/>
          <w:color w:val="000000"/>
          <w:sz w:val="21"/>
          <w:szCs w:val="21"/>
          <w:highlight w:val="none"/>
        </w:rPr>
        <w:t>与</w:t>
      </w:r>
      <w:r>
        <w:rPr>
          <w:rFonts w:hint="eastAsia" w:ascii="宋体" w:hAnsi="宋体" w:eastAsia="宋体" w:cs="宋体"/>
          <w:color w:val="000000"/>
          <w:sz w:val="21"/>
          <w:szCs w:val="21"/>
          <w:highlight w:val="none"/>
          <w:lang w:val="en-US" w:eastAsia="zh-CN"/>
        </w:rPr>
        <w:t>乙方</w:t>
      </w:r>
      <w:r>
        <w:rPr>
          <w:rFonts w:hint="eastAsia" w:ascii="宋体" w:hAnsi="宋体" w:eastAsia="宋体" w:cs="宋体"/>
          <w:color w:val="000000"/>
          <w:sz w:val="21"/>
          <w:szCs w:val="21"/>
          <w:highlight w:val="none"/>
        </w:rPr>
        <w:t>签订总中标合同，服务期内每发生一个子项目签订项目委托单，确定子项目服务内容、工作周期、单价及总价等。每项服务内容单价以本次中标单价为准，各项服务内容的工作周期如下：</w:t>
      </w:r>
    </w:p>
    <w:p w14:paraId="65450F49">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1.国土空间开发利用咨询服务：委托单签订后为</w:t>
      </w:r>
      <w:r>
        <w:rPr>
          <w:rFonts w:hint="eastAsia" w:ascii="宋体" w:hAnsi="宋体" w:eastAsia="宋体" w:cs="宋体"/>
          <w:color w:val="000000"/>
          <w:sz w:val="21"/>
          <w:szCs w:val="21"/>
          <w:highlight w:val="none"/>
          <w:lang w:val="en-US" w:eastAsia="zh-CN"/>
        </w:rPr>
        <w:t>甲方</w:t>
      </w:r>
      <w:r>
        <w:rPr>
          <w:rFonts w:hint="eastAsia" w:ascii="宋体" w:hAnsi="宋体" w:eastAsia="宋体" w:cs="宋体"/>
          <w:color w:val="000000"/>
          <w:sz w:val="21"/>
          <w:szCs w:val="21"/>
          <w:highlight w:val="none"/>
        </w:rPr>
        <w:t>提供日常土地咨询服务工作，每个服务周期为一年。</w:t>
      </w:r>
    </w:p>
    <w:p w14:paraId="7AC69A29">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2.勘测定界报告：委托单签订后，获得用地预审及选址意见书后20个日历天内完成材料编制，并经县（市、区）级自然资源主管部门审核确认。</w:t>
      </w:r>
    </w:p>
    <w:p w14:paraId="58E97A41">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3.地质灾害危险性评估：委托单签订后，获得用地预审及选址意见书后30个日历天内获得、地质灾害危险性评估专家论证意见。</w:t>
      </w:r>
    </w:p>
    <w:p w14:paraId="50066D6C">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4.征地前程序协助办理：委托单签订后，获得区政府分配的用地计划后，项目无征地矛盾情况下，协助完成征地前程序，以上所有材料通过自然资源主管部门审查。</w:t>
      </w:r>
    </w:p>
    <w:p w14:paraId="5CAECC5D">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5.办理用地预审与选址意见书（不含规划方案审查）：委托单签订后，获得用地红线、项目建议书批复以及通过审查的规划方案后30个日历天内取得区级自然资源主管部门对该工程的用地预审及选址意见书。</w:t>
      </w:r>
    </w:p>
    <w:p w14:paraId="2946A18A">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6.城乡建设用地报批 （批次）：按文件规定完成征地前告知程序后90日历天内，取得主管部门下发的建设用地批复。</w:t>
      </w:r>
    </w:p>
    <w:p w14:paraId="7E61CAC8">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7.林地报批（面积&lt;1公顷）：接受项目工单后，提供项目工程可行性研究报告批复后，90个日历天获取林地征占用审核同意书及采伐证。</w:t>
      </w:r>
    </w:p>
    <w:p w14:paraId="281CEFE6">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8.增减挂钩实施规划方案编制：委托单签订后，取得用地预审及选址意见书后，50个日历天完成增减挂钩实施规划方案编制。</w:t>
      </w:r>
    </w:p>
    <w:p w14:paraId="0788246C">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9.区、市、省三级报批：委托单签订后，获得项目初步设计及概算批复并完成征地前程序后120个日历天内，取得省级主管部门对相应工程的用地审批文件。</w:t>
      </w:r>
    </w:p>
    <w:p w14:paraId="67CE90D0">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10.供地手续办理：取得项目建设用地批复文件后，约45天取得项目的划拨批复文件。</w:t>
      </w:r>
    </w:p>
    <w:p w14:paraId="5E526FB0">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sz w:val="21"/>
          <w:szCs w:val="21"/>
          <w:highlight w:val="none"/>
        </w:rPr>
      </w:pPr>
      <w:r>
        <w:rPr>
          <w:rFonts w:hint="eastAsia" w:ascii="宋体" w:hAnsi="宋体" w:eastAsia="宋体" w:cs="宋体"/>
          <w:b/>
          <w:color w:val="000000"/>
          <w:sz w:val="21"/>
          <w:szCs w:val="21"/>
          <w:highlight w:val="none"/>
        </w:rPr>
        <w:t>四、服务内容及要求：详见采购需求。</w:t>
      </w:r>
    </w:p>
    <w:p w14:paraId="33CBB1E7">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sz w:val="21"/>
          <w:szCs w:val="21"/>
          <w:highlight w:val="none"/>
        </w:rPr>
      </w:pPr>
      <w:r>
        <w:rPr>
          <w:rFonts w:hint="eastAsia" w:ascii="宋体" w:hAnsi="宋体" w:eastAsia="宋体" w:cs="宋体"/>
          <w:b/>
          <w:color w:val="000000"/>
          <w:sz w:val="21"/>
          <w:szCs w:val="21"/>
          <w:highlight w:val="none"/>
        </w:rPr>
        <w:t>五、合同价款和支付</w:t>
      </w:r>
    </w:p>
    <w:p w14:paraId="1694F2F1">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1</w:t>
      </w:r>
      <w:r>
        <w:rPr>
          <w:rFonts w:hint="eastAsia" w:ascii="宋体" w:hAnsi="宋体" w:eastAsia="宋体" w:cs="宋体"/>
          <w:color w:val="000000"/>
          <w:sz w:val="21"/>
          <w:szCs w:val="21"/>
          <w:highlight w:val="none"/>
          <w:lang w:val="en-US" w:eastAsia="zh-CN"/>
        </w:rPr>
        <w:t>.</w:t>
      </w:r>
      <w:r>
        <w:rPr>
          <w:rFonts w:hint="eastAsia" w:ascii="宋体" w:hAnsi="宋体" w:eastAsia="宋体" w:cs="宋体"/>
          <w:color w:val="000000"/>
          <w:sz w:val="21"/>
          <w:szCs w:val="21"/>
          <w:highlight w:val="none"/>
        </w:rPr>
        <w:t>合同价格按此次中标价格执行，</w:t>
      </w:r>
      <w:r>
        <w:rPr>
          <w:rFonts w:hint="eastAsia" w:ascii="宋体" w:hAnsi="宋体" w:eastAsia="宋体" w:cs="宋体"/>
          <w:b/>
          <w:color w:val="000000"/>
          <w:sz w:val="21"/>
          <w:szCs w:val="21"/>
          <w:highlight w:val="none"/>
        </w:rPr>
        <w:t>合同总金额为人民币</w:t>
      </w:r>
      <w:r>
        <w:rPr>
          <w:rFonts w:hint="eastAsia" w:ascii="宋体" w:hAnsi="宋体" w:eastAsia="宋体" w:cs="宋体"/>
          <w:b/>
          <w:color w:val="000000"/>
          <w:sz w:val="21"/>
          <w:szCs w:val="21"/>
          <w:highlight w:val="none"/>
          <w:u w:val="single"/>
        </w:rPr>
        <w:t>       </w:t>
      </w:r>
      <w:r>
        <w:rPr>
          <w:rFonts w:hint="eastAsia" w:ascii="宋体" w:hAnsi="宋体" w:eastAsia="宋体" w:cs="宋体"/>
          <w:b/>
          <w:color w:val="000000"/>
          <w:sz w:val="21"/>
          <w:szCs w:val="21"/>
          <w:highlight w:val="none"/>
        </w:rPr>
        <w:t>元，合同单价、合同总金额</w:t>
      </w:r>
      <w:r>
        <w:rPr>
          <w:rFonts w:hint="eastAsia" w:ascii="宋体" w:hAnsi="宋体" w:eastAsia="宋体" w:cs="宋体"/>
          <w:color w:val="000000"/>
          <w:sz w:val="21"/>
          <w:szCs w:val="21"/>
          <w:highlight w:val="none"/>
        </w:rPr>
        <w:t>在合同期内不作任何调整。</w:t>
      </w:r>
    </w:p>
    <w:p w14:paraId="7D88CC00">
      <w:pPr>
        <w:pBdr>
          <w:top w:val="none" w:color="000000" w:sz="0" w:space="0"/>
          <w:left w:val="none" w:color="000000" w:sz="0" w:space="0"/>
          <w:bottom w:val="none" w:color="000000" w:sz="0" w:space="0"/>
          <w:right w:val="none" w:color="000000" w:sz="0" w:space="0"/>
        </w:pBdr>
        <w:spacing w:line="360" w:lineRule="auto"/>
        <w:ind w:firstLine="482"/>
        <w:rPr>
          <w:rFonts w:hint="eastAsia" w:ascii="宋体" w:hAnsi="宋体" w:eastAsia="宋体" w:cs="宋体"/>
          <w:b/>
          <w:sz w:val="21"/>
          <w:szCs w:val="21"/>
          <w:highlight w:val="none"/>
        </w:rPr>
      </w:pPr>
      <w:r>
        <w:rPr>
          <w:rFonts w:hint="eastAsia" w:ascii="宋体" w:hAnsi="宋体" w:eastAsia="宋体" w:cs="宋体"/>
          <w:b/>
          <w:sz w:val="21"/>
          <w:szCs w:val="21"/>
          <w:highlight w:val="none"/>
        </w:rPr>
        <w:t>2</w:t>
      </w:r>
      <w:r>
        <w:rPr>
          <w:rFonts w:hint="eastAsia" w:ascii="宋体" w:hAnsi="宋体" w:eastAsia="宋体" w:cs="宋体"/>
          <w:b/>
          <w:sz w:val="21"/>
          <w:szCs w:val="21"/>
          <w:highlight w:val="none"/>
          <w:lang w:val="en-US" w:eastAsia="zh-CN"/>
        </w:rPr>
        <w:t>.</w:t>
      </w:r>
      <w:r>
        <w:rPr>
          <w:rFonts w:hint="eastAsia" w:ascii="宋体" w:hAnsi="宋体" w:eastAsia="宋体" w:cs="宋体"/>
          <w:b/>
          <w:sz w:val="21"/>
          <w:szCs w:val="21"/>
          <w:highlight w:val="none"/>
        </w:rPr>
        <w:t>付款步骤：</w:t>
      </w:r>
      <w:r>
        <w:rPr>
          <w:rFonts w:hint="eastAsia" w:ascii="宋体" w:hAnsi="宋体" w:eastAsia="宋体" w:cs="宋体"/>
          <w:b/>
          <w:bCs w:val="0"/>
          <w:sz w:val="21"/>
          <w:szCs w:val="21"/>
          <w:highlight w:val="none"/>
        </w:rPr>
        <w:t>合同签订后</w:t>
      </w:r>
      <w:r>
        <w:rPr>
          <w:rFonts w:hint="eastAsia" w:ascii="宋体" w:hAnsi="宋体" w:cs="宋体"/>
          <w:b/>
          <w:bCs w:val="0"/>
          <w:sz w:val="21"/>
          <w:szCs w:val="21"/>
          <w:highlight w:val="none"/>
          <w:lang w:val="en-US" w:eastAsia="zh-CN"/>
        </w:rPr>
        <w:t>支付预付款10%</w:t>
      </w:r>
      <w:r>
        <w:rPr>
          <w:rFonts w:hint="eastAsia" w:ascii="宋体" w:hAnsi="宋体" w:cs="宋体"/>
          <w:b/>
          <w:sz w:val="21"/>
          <w:szCs w:val="21"/>
          <w:highlight w:val="none"/>
          <w:lang w:val="en-US" w:eastAsia="zh-CN"/>
        </w:rPr>
        <w:t>，</w:t>
      </w:r>
      <w:r>
        <w:rPr>
          <w:rFonts w:hint="eastAsia" w:ascii="宋体" w:hAnsi="宋体" w:eastAsia="宋体" w:cs="宋体"/>
          <w:b/>
          <w:sz w:val="21"/>
          <w:szCs w:val="21"/>
          <w:highlight w:val="none"/>
        </w:rPr>
        <w:t>根据实际项目的发生情况，由</w:t>
      </w:r>
      <w:r>
        <w:rPr>
          <w:rFonts w:hint="eastAsia" w:ascii="宋体" w:hAnsi="宋体" w:eastAsia="宋体" w:cs="宋体"/>
          <w:b/>
          <w:sz w:val="21"/>
          <w:szCs w:val="21"/>
          <w:highlight w:val="none"/>
          <w:lang w:val="en-US" w:eastAsia="zh-CN"/>
        </w:rPr>
        <w:t>乙方</w:t>
      </w:r>
      <w:r>
        <w:rPr>
          <w:rFonts w:hint="eastAsia" w:ascii="宋体" w:hAnsi="宋体" w:eastAsia="宋体" w:cs="宋体"/>
          <w:b/>
          <w:sz w:val="21"/>
          <w:szCs w:val="21"/>
          <w:highlight w:val="none"/>
        </w:rPr>
        <w:t>与</w:t>
      </w:r>
      <w:r>
        <w:rPr>
          <w:rFonts w:hint="eastAsia" w:ascii="宋体" w:hAnsi="宋体" w:eastAsia="宋体" w:cs="宋体"/>
          <w:b/>
          <w:sz w:val="21"/>
          <w:szCs w:val="21"/>
          <w:highlight w:val="none"/>
          <w:lang w:val="en-US" w:eastAsia="zh-CN"/>
        </w:rPr>
        <w:t>甲方</w:t>
      </w:r>
      <w:r>
        <w:rPr>
          <w:rFonts w:hint="eastAsia" w:ascii="宋体" w:hAnsi="宋体" w:eastAsia="宋体" w:cs="宋体"/>
          <w:b/>
          <w:sz w:val="21"/>
          <w:szCs w:val="21"/>
          <w:highlight w:val="none"/>
        </w:rPr>
        <w:t>下属单位苏州市高铁新城规划建设局另行签订每个子项目的委派单，根据每个子项目进行单独结算。</w:t>
      </w:r>
    </w:p>
    <w:p w14:paraId="1914A993">
      <w:pPr>
        <w:pBdr>
          <w:top w:val="none" w:color="000000" w:sz="0" w:space="0"/>
          <w:left w:val="none" w:color="000000" w:sz="0" w:space="0"/>
          <w:bottom w:val="none" w:color="000000" w:sz="0" w:space="0"/>
          <w:right w:val="none" w:color="000000" w:sz="0" w:space="0"/>
        </w:pBdr>
        <w:spacing w:line="360" w:lineRule="auto"/>
        <w:ind w:firstLine="482"/>
        <w:rPr>
          <w:rFonts w:hint="eastAsia" w:ascii="宋体" w:hAnsi="宋体" w:eastAsia="宋体" w:cs="宋体"/>
          <w:b/>
          <w:sz w:val="21"/>
          <w:szCs w:val="21"/>
          <w:highlight w:val="none"/>
        </w:rPr>
      </w:pPr>
      <w:r>
        <w:rPr>
          <w:rFonts w:hint="eastAsia" w:ascii="宋体" w:hAnsi="宋体" w:eastAsia="宋体" w:cs="宋体"/>
          <w:b/>
          <w:sz w:val="21"/>
          <w:szCs w:val="21"/>
          <w:highlight w:val="none"/>
        </w:rPr>
        <w:t>独立选址报批项目：完成勘测定界、地质灾害危险性评估、用地预审、增减挂钩实施方案编制（若有），获取主管部门关于项目</w:t>
      </w:r>
      <w:r>
        <w:rPr>
          <w:rFonts w:hint="eastAsia" w:ascii="宋体" w:hAnsi="宋体" w:cs="宋体"/>
          <w:b/>
          <w:sz w:val="21"/>
          <w:szCs w:val="21"/>
          <w:highlight w:val="none"/>
          <w:lang w:val="en-US" w:eastAsia="zh-CN"/>
        </w:rPr>
        <w:t xml:space="preserve"> </w:t>
      </w:r>
      <w:r>
        <w:rPr>
          <w:rFonts w:hint="eastAsia" w:ascii="宋体" w:hAnsi="宋体" w:eastAsia="宋体" w:cs="宋体"/>
          <w:b/>
          <w:sz w:val="21"/>
          <w:szCs w:val="21"/>
          <w:highlight w:val="none"/>
        </w:rPr>
        <w:t>的用地批复后支付60%合同款，余款在取得批复后半年内付清。</w:t>
      </w:r>
    </w:p>
    <w:p w14:paraId="52E447D8">
      <w:pPr>
        <w:pBdr>
          <w:top w:val="none" w:color="000000" w:sz="0" w:space="0"/>
          <w:left w:val="none" w:color="000000" w:sz="0" w:space="0"/>
          <w:bottom w:val="none" w:color="000000" w:sz="0" w:space="0"/>
          <w:right w:val="none" w:color="000000" w:sz="0" w:space="0"/>
        </w:pBdr>
        <w:spacing w:line="360" w:lineRule="auto"/>
        <w:ind w:firstLine="482"/>
        <w:rPr>
          <w:rFonts w:hint="eastAsia" w:ascii="宋体" w:hAnsi="宋体" w:eastAsia="宋体" w:cs="宋体"/>
          <w:b/>
          <w:sz w:val="21"/>
          <w:szCs w:val="21"/>
          <w:highlight w:val="none"/>
        </w:rPr>
      </w:pPr>
      <w:r>
        <w:rPr>
          <w:rFonts w:hint="eastAsia" w:ascii="宋体" w:hAnsi="宋体" w:eastAsia="宋体" w:cs="宋体"/>
          <w:b/>
          <w:sz w:val="21"/>
          <w:szCs w:val="21"/>
          <w:highlight w:val="none"/>
        </w:rPr>
        <w:t>批次征地项目：完成征前工作及相关报批材料编制，获取主管部门关于项目的用地批复后支付60%合同款，余款在取得批复后半年内付清。</w:t>
      </w:r>
    </w:p>
    <w:p w14:paraId="155ABA72">
      <w:pPr>
        <w:pBdr>
          <w:top w:val="none" w:color="000000" w:sz="0" w:space="0"/>
          <w:left w:val="none" w:color="000000" w:sz="0" w:space="0"/>
          <w:bottom w:val="none" w:color="000000" w:sz="0" w:space="0"/>
          <w:right w:val="none" w:color="000000" w:sz="0" w:space="0"/>
        </w:pBdr>
        <w:spacing w:line="360" w:lineRule="auto"/>
        <w:ind w:firstLine="482"/>
        <w:rPr>
          <w:rFonts w:hint="eastAsia" w:ascii="宋体" w:hAnsi="宋体" w:eastAsia="宋体" w:cs="宋体"/>
          <w:b/>
          <w:sz w:val="21"/>
          <w:szCs w:val="21"/>
          <w:highlight w:val="none"/>
        </w:rPr>
      </w:pPr>
      <w:r>
        <w:rPr>
          <w:rFonts w:hint="eastAsia" w:ascii="宋体" w:hAnsi="宋体" w:eastAsia="宋体" w:cs="宋体"/>
          <w:b/>
          <w:sz w:val="21"/>
          <w:szCs w:val="21"/>
          <w:highlight w:val="none"/>
        </w:rPr>
        <w:t>国土空间开发利用咨询服务：合同签订后</w:t>
      </w:r>
      <w:r>
        <w:rPr>
          <w:rFonts w:hint="eastAsia" w:ascii="宋体" w:hAnsi="宋体" w:cs="宋体"/>
          <w:b/>
          <w:sz w:val="21"/>
          <w:szCs w:val="21"/>
          <w:highlight w:val="none"/>
          <w:lang w:eastAsia="zh-CN"/>
        </w:rPr>
        <w:t>，</w:t>
      </w:r>
      <w:r>
        <w:rPr>
          <w:rFonts w:hint="eastAsia" w:ascii="宋体" w:hAnsi="宋体" w:cs="宋体"/>
          <w:b/>
          <w:sz w:val="21"/>
          <w:szCs w:val="21"/>
          <w:highlight w:val="none"/>
          <w:lang w:val="en-US" w:eastAsia="zh-CN"/>
        </w:rPr>
        <w:t>服务完成2个月，</w:t>
      </w:r>
      <w:r>
        <w:rPr>
          <w:rFonts w:hint="eastAsia" w:ascii="宋体" w:hAnsi="宋体" w:eastAsia="宋体" w:cs="宋体"/>
          <w:b/>
          <w:sz w:val="21"/>
          <w:szCs w:val="21"/>
          <w:highlight w:val="none"/>
        </w:rPr>
        <w:t>甲方支付乙方30%合同款，服务期满后甲方向乙方支付30%合同款，</w:t>
      </w:r>
      <w:r>
        <w:rPr>
          <w:rFonts w:hint="eastAsia" w:ascii="宋体" w:hAnsi="宋体" w:cs="宋体"/>
          <w:b/>
          <w:sz w:val="21"/>
          <w:szCs w:val="21"/>
          <w:highlight w:val="none"/>
          <w:lang w:val="en-US" w:eastAsia="zh-CN"/>
        </w:rPr>
        <w:t>余款</w:t>
      </w:r>
      <w:r>
        <w:rPr>
          <w:rFonts w:hint="eastAsia" w:ascii="宋体" w:hAnsi="宋体" w:eastAsia="宋体" w:cs="宋体"/>
          <w:b/>
          <w:sz w:val="21"/>
          <w:szCs w:val="21"/>
          <w:highlight w:val="none"/>
        </w:rPr>
        <w:t>按甲方对乙方的考核结果按比例支付。</w:t>
      </w:r>
    </w:p>
    <w:p w14:paraId="3DEA3010">
      <w:pPr>
        <w:pBdr>
          <w:top w:val="none" w:color="000000" w:sz="0" w:space="0"/>
          <w:left w:val="none" w:color="000000" w:sz="0" w:space="0"/>
          <w:bottom w:val="none" w:color="000000" w:sz="0" w:space="0"/>
          <w:right w:val="none" w:color="000000" w:sz="0" w:space="0"/>
        </w:pBdr>
        <w:spacing w:line="360" w:lineRule="auto"/>
        <w:ind w:firstLine="482"/>
        <w:rPr>
          <w:rFonts w:hint="eastAsia" w:ascii="宋体" w:hAnsi="宋体" w:eastAsia="宋体" w:cs="宋体"/>
          <w:b/>
          <w:sz w:val="21"/>
          <w:szCs w:val="21"/>
          <w:highlight w:val="none"/>
        </w:rPr>
      </w:pPr>
      <w:r>
        <w:rPr>
          <w:rFonts w:hint="eastAsia" w:ascii="宋体" w:hAnsi="宋体" w:eastAsia="宋体" w:cs="宋体"/>
          <w:b/>
          <w:sz w:val="21"/>
          <w:szCs w:val="21"/>
          <w:highlight w:val="none"/>
        </w:rPr>
        <w:t>林地报批服务：完成林地报批获取林地批文后支付项目60%合同款，完成采伐证办理后支付余款。</w:t>
      </w:r>
    </w:p>
    <w:p w14:paraId="1A539781">
      <w:pPr>
        <w:pBdr>
          <w:top w:val="none" w:color="000000" w:sz="0" w:space="0"/>
          <w:left w:val="none" w:color="000000" w:sz="0" w:space="0"/>
          <w:bottom w:val="none" w:color="000000" w:sz="0" w:space="0"/>
          <w:right w:val="none" w:color="000000" w:sz="0" w:space="0"/>
        </w:pBdr>
        <w:spacing w:line="360" w:lineRule="auto"/>
        <w:ind w:firstLine="482"/>
        <w:rPr>
          <w:rFonts w:hint="eastAsia" w:ascii="宋体" w:hAnsi="宋体" w:eastAsia="宋体" w:cs="宋体"/>
          <w:sz w:val="21"/>
          <w:szCs w:val="21"/>
          <w:highlight w:val="none"/>
        </w:rPr>
      </w:pPr>
      <w:r>
        <w:rPr>
          <w:rFonts w:hint="eastAsia" w:ascii="宋体" w:hAnsi="宋体" w:eastAsia="宋体" w:cs="宋体"/>
          <w:b/>
          <w:sz w:val="21"/>
          <w:szCs w:val="21"/>
          <w:highlight w:val="none"/>
        </w:rPr>
        <w:t>注：按项目分阶段支付咨询服务费用，如因上级政策变化或采购方等不可抗力原因导致分项工作无法继续开展的，则按实际发生工作量结算技术服务费。</w:t>
      </w:r>
    </w:p>
    <w:p w14:paraId="633A637B">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3</w:t>
      </w:r>
      <w:r>
        <w:rPr>
          <w:rFonts w:hint="eastAsia" w:ascii="宋体" w:hAnsi="宋体" w:eastAsia="宋体" w:cs="宋体"/>
          <w:color w:val="000000"/>
          <w:sz w:val="21"/>
          <w:szCs w:val="21"/>
          <w:highlight w:val="none"/>
          <w:lang w:val="en-US" w:eastAsia="zh-CN"/>
        </w:rPr>
        <w:t>.</w:t>
      </w:r>
      <w:r>
        <w:rPr>
          <w:rFonts w:hint="eastAsia" w:ascii="宋体" w:hAnsi="宋体" w:eastAsia="宋体" w:cs="宋体"/>
          <w:color w:val="000000"/>
          <w:sz w:val="21"/>
          <w:szCs w:val="21"/>
          <w:highlight w:val="none"/>
        </w:rPr>
        <w:t>付款方式：银行汇票或转帐</w:t>
      </w:r>
      <w:r>
        <w:rPr>
          <w:rFonts w:hint="eastAsia" w:ascii="宋体" w:hAnsi="宋体" w:cs="宋体"/>
          <w:color w:val="000000"/>
          <w:sz w:val="21"/>
          <w:szCs w:val="21"/>
          <w:highlight w:val="none"/>
          <w:lang w:val="en-US" w:eastAsia="zh-CN"/>
        </w:rPr>
        <w:t>或数币支付</w:t>
      </w:r>
      <w:r>
        <w:rPr>
          <w:rFonts w:hint="eastAsia" w:ascii="宋体" w:hAnsi="宋体" w:eastAsia="宋体" w:cs="宋体"/>
          <w:color w:val="000000"/>
          <w:sz w:val="21"/>
          <w:szCs w:val="21"/>
          <w:highlight w:val="none"/>
        </w:rPr>
        <w:t>。</w:t>
      </w:r>
    </w:p>
    <w:p w14:paraId="0B685E23">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4</w:t>
      </w:r>
      <w:r>
        <w:rPr>
          <w:rFonts w:hint="eastAsia" w:ascii="宋体" w:hAnsi="宋体" w:eastAsia="宋体" w:cs="宋体"/>
          <w:color w:val="000000"/>
          <w:sz w:val="21"/>
          <w:szCs w:val="21"/>
          <w:highlight w:val="none"/>
          <w:lang w:val="en-US" w:eastAsia="zh-CN"/>
        </w:rPr>
        <w:t>.</w:t>
      </w:r>
      <w:r>
        <w:rPr>
          <w:rFonts w:hint="eastAsia" w:ascii="宋体" w:hAnsi="宋体" w:eastAsia="宋体" w:cs="宋体"/>
          <w:color w:val="000000"/>
          <w:sz w:val="21"/>
          <w:szCs w:val="21"/>
          <w:highlight w:val="none"/>
        </w:rPr>
        <w:t>乙方应按照双方签订的合同规定服务并在合同规定的期限内持下列单据结算合同款项：合格的发票（经税务部门认可的发票）；</w:t>
      </w:r>
    </w:p>
    <w:p w14:paraId="241C388B">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5</w:t>
      </w:r>
      <w:r>
        <w:rPr>
          <w:rFonts w:hint="eastAsia" w:ascii="宋体" w:hAnsi="宋体" w:eastAsia="宋体" w:cs="宋体"/>
          <w:color w:val="000000"/>
          <w:sz w:val="21"/>
          <w:szCs w:val="21"/>
          <w:highlight w:val="none"/>
          <w:lang w:val="en-US" w:eastAsia="zh-CN"/>
        </w:rPr>
        <w:t>.</w:t>
      </w:r>
      <w:r>
        <w:rPr>
          <w:rFonts w:hint="eastAsia" w:ascii="宋体" w:hAnsi="宋体" w:eastAsia="宋体" w:cs="宋体"/>
          <w:color w:val="000000"/>
          <w:sz w:val="21"/>
          <w:szCs w:val="21"/>
          <w:highlight w:val="none"/>
        </w:rPr>
        <w:t>根据现行税法对甲方征收的与本合同有关的一切税费均由甲方承担；根据现行税法对乙方征收的与本合同有关的一切税费均由乙方承担。</w:t>
      </w:r>
    </w:p>
    <w:p w14:paraId="51B67DF6">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sz w:val="21"/>
          <w:szCs w:val="21"/>
          <w:highlight w:val="none"/>
        </w:rPr>
      </w:pPr>
      <w:r>
        <w:rPr>
          <w:rFonts w:hint="eastAsia" w:ascii="宋体" w:hAnsi="宋体" w:eastAsia="宋体" w:cs="宋体"/>
          <w:b/>
          <w:color w:val="000000"/>
          <w:sz w:val="21"/>
          <w:szCs w:val="21"/>
          <w:highlight w:val="none"/>
        </w:rPr>
        <w:t>六、违约责任</w:t>
      </w:r>
    </w:p>
    <w:p w14:paraId="66AE1EFA">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1</w:t>
      </w:r>
      <w:r>
        <w:rPr>
          <w:rFonts w:hint="eastAsia" w:ascii="宋体" w:hAnsi="宋体" w:eastAsia="宋体" w:cs="宋体"/>
          <w:color w:val="000000"/>
          <w:sz w:val="21"/>
          <w:szCs w:val="21"/>
          <w:highlight w:val="none"/>
          <w:lang w:val="en-US" w:eastAsia="zh-CN"/>
        </w:rPr>
        <w:t>.</w:t>
      </w:r>
      <w:r>
        <w:rPr>
          <w:rFonts w:hint="eastAsia" w:ascii="宋体" w:hAnsi="宋体" w:eastAsia="宋体" w:cs="宋体"/>
          <w:color w:val="000000"/>
          <w:sz w:val="21"/>
          <w:szCs w:val="21"/>
          <w:highlight w:val="none"/>
        </w:rPr>
        <w:t>甲方违约责任及违约金支付</w:t>
      </w:r>
    </w:p>
    <w:p w14:paraId="7D899998">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1.1在合同生效后，甲方无理由要求终止服务的，应向乙方偿付合同总价款的5%作为违约金，违约金不足以补偿损失的，乙方有权要求甲方补足。                                      </w:t>
      </w:r>
    </w:p>
    <w:p w14:paraId="40C9D131">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w:t>
      </w:r>
      <w:r>
        <w:rPr>
          <w:rFonts w:hint="eastAsia" w:ascii="宋体" w:hAnsi="宋体" w:eastAsia="宋体" w:cs="宋体"/>
          <w:color w:val="000000"/>
          <w:sz w:val="21"/>
          <w:szCs w:val="21"/>
          <w:highlight w:val="none"/>
          <w:lang w:val="en-US" w:eastAsia="zh-CN"/>
        </w:rPr>
        <w:t>.</w:t>
      </w:r>
      <w:r>
        <w:rPr>
          <w:rFonts w:hint="eastAsia" w:ascii="宋体" w:hAnsi="宋体" w:eastAsia="宋体" w:cs="宋体"/>
          <w:color w:val="000000"/>
          <w:sz w:val="21"/>
          <w:szCs w:val="21"/>
          <w:highlight w:val="none"/>
        </w:rPr>
        <w:t>乙方违约责任及违约金支付</w:t>
      </w:r>
    </w:p>
    <w:p w14:paraId="0A0AB8D4">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2.1乙方不能提供服务的，或服务不合格从而影响甲方按期正常使用的，应向甲方偿付合同总价款5%的违约金，违约金不足以补偿损失的甲方有权要求乙方补足。</w:t>
      </w:r>
    </w:p>
    <w:p w14:paraId="2AECD64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2.2乙方逾期提供服务的，应与甲方和政府采购管理部门协商，甲方仍有需求的，乙方应立即提供服务按照逾期服务的每天万分之四支付逾期违约金，同时承担甲方因此遭致的损失费用。</w:t>
      </w:r>
    </w:p>
    <w:p w14:paraId="2FE40490">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sz w:val="21"/>
          <w:szCs w:val="21"/>
          <w:highlight w:val="none"/>
        </w:rPr>
      </w:pPr>
      <w:r>
        <w:rPr>
          <w:rFonts w:hint="eastAsia" w:ascii="宋体" w:hAnsi="宋体" w:eastAsia="宋体" w:cs="宋体"/>
          <w:b/>
          <w:color w:val="000000"/>
          <w:sz w:val="21"/>
          <w:szCs w:val="21"/>
          <w:highlight w:val="none"/>
        </w:rPr>
        <w:t>七、不可抗力</w:t>
      </w:r>
    </w:p>
    <w:p w14:paraId="30C935AA">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1</w:t>
      </w:r>
      <w:r>
        <w:rPr>
          <w:rFonts w:hint="eastAsia" w:ascii="宋体" w:hAnsi="宋体" w:eastAsia="宋体" w:cs="宋体"/>
          <w:color w:val="000000"/>
          <w:sz w:val="21"/>
          <w:szCs w:val="21"/>
          <w:highlight w:val="none"/>
          <w:lang w:val="en-US" w:eastAsia="zh-CN"/>
        </w:rPr>
        <w:t>.</w:t>
      </w:r>
      <w:r>
        <w:rPr>
          <w:rFonts w:hint="eastAsia" w:ascii="宋体" w:hAnsi="宋体" w:eastAsia="宋体" w:cs="宋体"/>
          <w:color w:val="000000"/>
          <w:sz w:val="21"/>
          <w:szCs w:val="21"/>
          <w:highlight w:val="none"/>
        </w:rPr>
        <w:t>因不可抗力不能履行合同的，根据不可抗力的影响，部分或者全部免除责任。但合同一方延迟履行后发生不可抗力的，不能免除责任。</w:t>
      </w:r>
    </w:p>
    <w:p w14:paraId="7BCD3C86">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w:t>
      </w:r>
      <w:r>
        <w:rPr>
          <w:rFonts w:hint="eastAsia" w:ascii="宋体" w:hAnsi="宋体" w:eastAsia="宋体" w:cs="宋体"/>
          <w:color w:val="000000"/>
          <w:sz w:val="21"/>
          <w:szCs w:val="21"/>
          <w:highlight w:val="none"/>
          <w:lang w:val="en-US" w:eastAsia="zh-CN"/>
        </w:rPr>
        <w:t>.</w:t>
      </w:r>
      <w:r>
        <w:rPr>
          <w:rFonts w:hint="eastAsia" w:ascii="宋体" w:hAnsi="宋体" w:eastAsia="宋体" w:cs="宋体"/>
          <w:color w:val="000000"/>
          <w:sz w:val="21"/>
          <w:szCs w:val="21"/>
          <w:highlight w:val="none"/>
        </w:rPr>
        <w:t>合同一方因不可抗力不能履行合同的，应当及时通知对方，以减轻可能给对方造成的损失，并应当在合理期限内提供证明。</w:t>
      </w:r>
    </w:p>
    <w:p w14:paraId="234E8539">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sz w:val="21"/>
          <w:szCs w:val="21"/>
          <w:highlight w:val="none"/>
        </w:rPr>
      </w:pPr>
      <w:r>
        <w:rPr>
          <w:rFonts w:hint="eastAsia" w:ascii="宋体" w:hAnsi="宋体" w:eastAsia="宋体" w:cs="宋体"/>
          <w:b/>
          <w:color w:val="000000"/>
          <w:sz w:val="21"/>
          <w:szCs w:val="21"/>
          <w:highlight w:val="none"/>
        </w:rPr>
        <w:t>八、合同的变更、中止</w:t>
      </w:r>
    </w:p>
    <w:p w14:paraId="09EC2FA1">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1</w:t>
      </w:r>
      <w:r>
        <w:rPr>
          <w:rFonts w:hint="eastAsia" w:ascii="宋体" w:hAnsi="宋体" w:eastAsia="宋体" w:cs="宋体"/>
          <w:color w:val="000000"/>
          <w:sz w:val="21"/>
          <w:szCs w:val="21"/>
          <w:highlight w:val="none"/>
          <w:lang w:val="en-US" w:eastAsia="zh-CN"/>
        </w:rPr>
        <w:t>.</w:t>
      </w:r>
      <w:r>
        <w:rPr>
          <w:rFonts w:hint="eastAsia" w:ascii="宋体" w:hAnsi="宋体" w:eastAsia="宋体" w:cs="宋体"/>
          <w:color w:val="000000"/>
          <w:sz w:val="21"/>
          <w:szCs w:val="21"/>
          <w:highlight w:val="none"/>
        </w:rPr>
        <w:t>本合同一经签订，合同双方均不得擅自变更或中止合同，除非合同的继续履行将损害国家利益和社会公共利益。</w:t>
      </w:r>
    </w:p>
    <w:p w14:paraId="1E6D1B80">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w:t>
      </w:r>
      <w:r>
        <w:rPr>
          <w:rFonts w:hint="eastAsia" w:ascii="宋体" w:hAnsi="宋体" w:eastAsia="宋体" w:cs="宋体"/>
          <w:color w:val="000000"/>
          <w:sz w:val="21"/>
          <w:szCs w:val="21"/>
          <w:highlight w:val="none"/>
          <w:lang w:val="en-US" w:eastAsia="zh-CN"/>
        </w:rPr>
        <w:t>.</w:t>
      </w:r>
      <w:r>
        <w:rPr>
          <w:rFonts w:hint="eastAsia" w:ascii="宋体" w:hAnsi="宋体" w:eastAsia="宋体" w:cs="宋体"/>
          <w:color w:val="000000"/>
          <w:sz w:val="21"/>
          <w:szCs w:val="21"/>
          <w:highlight w:val="none"/>
        </w:rPr>
        <w:t>如需修改或补充合同内容，应经甲乙双方协商，签署书面修改或补充协议并报相关主管部门备案同意。该协议为本合同不可分割的一部分。</w:t>
      </w:r>
    </w:p>
    <w:p w14:paraId="10EBC616">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sz w:val="21"/>
          <w:szCs w:val="21"/>
          <w:highlight w:val="none"/>
        </w:rPr>
      </w:pPr>
      <w:r>
        <w:rPr>
          <w:rFonts w:hint="eastAsia" w:ascii="宋体" w:hAnsi="宋体" w:eastAsia="宋体" w:cs="宋体"/>
          <w:b/>
          <w:color w:val="000000"/>
          <w:sz w:val="21"/>
          <w:szCs w:val="21"/>
          <w:highlight w:val="none"/>
        </w:rPr>
        <w:t>九、违约终止合同</w:t>
      </w:r>
    </w:p>
    <w:p w14:paraId="791E92B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1</w:t>
      </w:r>
      <w:r>
        <w:rPr>
          <w:rFonts w:hint="eastAsia" w:ascii="宋体" w:hAnsi="宋体" w:eastAsia="宋体" w:cs="宋体"/>
          <w:color w:val="000000"/>
          <w:sz w:val="21"/>
          <w:szCs w:val="21"/>
          <w:highlight w:val="none"/>
          <w:lang w:val="en-US" w:eastAsia="zh-CN"/>
        </w:rPr>
        <w:t>.</w:t>
      </w:r>
      <w:r>
        <w:rPr>
          <w:rFonts w:hint="eastAsia" w:ascii="宋体" w:hAnsi="宋体" w:eastAsia="宋体" w:cs="宋体"/>
          <w:color w:val="000000"/>
          <w:sz w:val="21"/>
          <w:szCs w:val="21"/>
          <w:highlight w:val="none"/>
        </w:rPr>
        <w:t>在本合同执行过程中，甲方将不定期组织有关部门对乙方执行合同的情况进行检查，如有下列任一情况出现，在甲方对乙方违约而采取的任何补救措施不受影响的情况下，甲方可向乙方发出终止合同的书面通知。</w:t>
      </w:r>
    </w:p>
    <w:p w14:paraId="771F9F79">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w:t>
      </w:r>
      <w:r>
        <w:rPr>
          <w:rFonts w:hint="eastAsia" w:ascii="宋体" w:hAnsi="宋体" w:eastAsia="宋体" w:cs="宋体"/>
          <w:color w:val="000000"/>
          <w:sz w:val="21"/>
          <w:szCs w:val="21"/>
          <w:highlight w:val="none"/>
          <w:lang w:val="en-US" w:eastAsia="zh-CN"/>
        </w:rPr>
        <w:t>.</w:t>
      </w:r>
      <w:r>
        <w:rPr>
          <w:rFonts w:hint="eastAsia" w:ascii="宋体" w:hAnsi="宋体" w:eastAsia="宋体" w:cs="宋体"/>
          <w:color w:val="000000"/>
          <w:sz w:val="21"/>
          <w:szCs w:val="21"/>
          <w:highlight w:val="none"/>
        </w:rPr>
        <w:t>乙方有下列情形之一的，甲方有权终止本合同：</w:t>
      </w:r>
    </w:p>
    <w:p w14:paraId="3A898F7B">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（1）在合同有效期内，被行业主管部门取消执业资格的。</w:t>
      </w:r>
    </w:p>
    <w:p w14:paraId="1431F45A">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（2）在合同有效期内，乙方擅自变更、转让、租借服务商资格的。</w:t>
      </w:r>
    </w:p>
    <w:p w14:paraId="6C1760F6">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（3）乙方提供不实或内容虚假的结果，以及擅自对外透露相关信息，经查实且情节严重的。</w:t>
      </w:r>
    </w:p>
    <w:p w14:paraId="1D6923FF">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（4）未按承诺的价格提供服务的。</w:t>
      </w:r>
    </w:p>
    <w:p w14:paraId="43980983">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（5）未经甲方同意，擅自更换磋商承诺的投入本项目人员的。</w:t>
      </w:r>
    </w:p>
    <w:p w14:paraId="08F89573">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（6）在服务期限内，乙方无特殊情况和充分理由拒绝甲方提出的要求的。</w:t>
      </w:r>
    </w:p>
    <w:p w14:paraId="2F304BF1">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3</w:t>
      </w:r>
      <w:r>
        <w:rPr>
          <w:rFonts w:hint="eastAsia" w:ascii="宋体" w:hAnsi="宋体" w:eastAsia="宋体" w:cs="宋体"/>
          <w:color w:val="000000"/>
          <w:sz w:val="21"/>
          <w:szCs w:val="21"/>
          <w:highlight w:val="none"/>
          <w:lang w:val="en-US" w:eastAsia="zh-CN"/>
        </w:rPr>
        <w:t>.</w:t>
      </w:r>
      <w:r>
        <w:rPr>
          <w:rFonts w:hint="eastAsia" w:ascii="宋体" w:hAnsi="宋体" w:eastAsia="宋体" w:cs="宋体"/>
          <w:color w:val="000000"/>
          <w:sz w:val="21"/>
          <w:szCs w:val="21"/>
          <w:highlight w:val="none"/>
        </w:rPr>
        <w:t>甲方如有以下情形的，经甲方同意，乙方有权终止合同：</w:t>
      </w:r>
    </w:p>
    <w:p w14:paraId="790C30CC">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（1）甲方未按规定支付乙方服务费用的。</w:t>
      </w:r>
    </w:p>
    <w:p w14:paraId="21BCCE0E">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sz w:val="21"/>
          <w:szCs w:val="21"/>
          <w:highlight w:val="none"/>
        </w:rPr>
      </w:pPr>
      <w:r>
        <w:rPr>
          <w:rFonts w:hint="eastAsia" w:ascii="宋体" w:hAnsi="宋体" w:eastAsia="宋体" w:cs="宋体"/>
          <w:b/>
          <w:color w:val="000000"/>
          <w:sz w:val="21"/>
          <w:szCs w:val="21"/>
          <w:highlight w:val="none"/>
        </w:rPr>
        <w:t>十、合同的转让</w:t>
      </w:r>
    </w:p>
    <w:p w14:paraId="319F21E8">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未经甲方书面同意，乙方不得将其合同项下的权利义务部分或全部转让给第三方。</w:t>
      </w:r>
    </w:p>
    <w:p w14:paraId="0C524D59">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sz w:val="21"/>
          <w:szCs w:val="21"/>
          <w:highlight w:val="none"/>
        </w:rPr>
      </w:pPr>
      <w:r>
        <w:rPr>
          <w:rFonts w:hint="eastAsia" w:ascii="宋体" w:hAnsi="宋体" w:eastAsia="宋体" w:cs="宋体"/>
          <w:b/>
          <w:color w:val="000000"/>
          <w:sz w:val="21"/>
          <w:szCs w:val="21"/>
          <w:highlight w:val="none"/>
        </w:rPr>
        <w:t>十一、合同的解除</w:t>
      </w:r>
    </w:p>
    <w:p w14:paraId="0465764F">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有下列情形之一，合同一方可以解除合同：</w:t>
      </w:r>
    </w:p>
    <w:p w14:paraId="33E29A41">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因不可抗力致使不能实现合同目的，未受不可抗力影响的一方有权解除合同；</w:t>
      </w:r>
    </w:p>
    <w:p w14:paraId="7FC83806">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因合同一方违约导致合同不能履行，另一方有权解除合同。</w:t>
      </w:r>
    </w:p>
    <w:p w14:paraId="7EDD8BBC">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有权解除合同的一方，应当在违约事实或不可抗力发生之后三十天内书面通知对方以主张解除合同，合同在书面通知到达对方时解除。</w:t>
      </w:r>
    </w:p>
    <w:p w14:paraId="51D2E7DD">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sz w:val="21"/>
          <w:szCs w:val="21"/>
          <w:highlight w:val="none"/>
        </w:rPr>
      </w:pPr>
      <w:r>
        <w:rPr>
          <w:rFonts w:hint="eastAsia" w:ascii="宋体" w:hAnsi="宋体" w:eastAsia="宋体" w:cs="宋体"/>
          <w:b/>
          <w:color w:val="000000"/>
          <w:sz w:val="21"/>
          <w:szCs w:val="21"/>
          <w:highlight w:val="none"/>
        </w:rPr>
        <w:t>十二、争议解决方式</w:t>
      </w:r>
    </w:p>
    <w:p w14:paraId="6E021C68">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甲乙双方因合同发生争议，应在采购代理机构的主持下进行调解，协商不成，任何一方可以向甲方所在地人民法院起诉。</w:t>
      </w:r>
    </w:p>
    <w:p w14:paraId="4ED4C35B">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sz w:val="21"/>
          <w:szCs w:val="21"/>
          <w:highlight w:val="none"/>
        </w:rPr>
      </w:pPr>
      <w:r>
        <w:rPr>
          <w:rFonts w:hint="eastAsia" w:ascii="宋体" w:hAnsi="宋体" w:eastAsia="宋体" w:cs="宋体"/>
          <w:b/>
          <w:color w:val="000000"/>
          <w:sz w:val="21"/>
          <w:szCs w:val="21"/>
          <w:highlight w:val="none"/>
        </w:rPr>
        <w:t>十三、合同生效及其他</w:t>
      </w:r>
    </w:p>
    <w:p w14:paraId="676B857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1</w:t>
      </w:r>
      <w:r>
        <w:rPr>
          <w:rFonts w:hint="eastAsia" w:ascii="宋体" w:hAnsi="宋体" w:eastAsia="宋体" w:cs="宋体"/>
          <w:color w:val="000000"/>
          <w:sz w:val="21"/>
          <w:szCs w:val="21"/>
          <w:highlight w:val="none"/>
          <w:lang w:val="en-US" w:eastAsia="zh-CN"/>
        </w:rPr>
        <w:t>.</w:t>
      </w:r>
      <w:r>
        <w:rPr>
          <w:rFonts w:hint="eastAsia" w:ascii="宋体" w:hAnsi="宋体" w:eastAsia="宋体" w:cs="宋体"/>
          <w:color w:val="000000"/>
          <w:sz w:val="21"/>
          <w:szCs w:val="21"/>
          <w:highlight w:val="none"/>
        </w:rPr>
        <w:t>本合同经招标代理机构加盖骑缝章，并在甲乙双方签字盖章后生效，生效合同需至苏州市相城区政府采购管理机构备案。</w:t>
      </w:r>
    </w:p>
    <w:p w14:paraId="6258DB73">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w:t>
      </w:r>
      <w:r>
        <w:rPr>
          <w:rFonts w:hint="eastAsia" w:ascii="宋体" w:hAnsi="宋体" w:eastAsia="宋体" w:cs="宋体"/>
          <w:color w:val="000000"/>
          <w:sz w:val="21"/>
          <w:szCs w:val="21"/>
          <w:highlight w:val="none"/>
          <w:lang w:val="en-US" w:eastAsia="zh-CN"/>
        </w:rPr>
        <w:t>.</w:t>
      </w:r>
      <w:r>
        <w:rPr>
          <w:rFonts w:hint="eastAsia" w:ascii="宋体" w:hAnsi="宋体" w:eastAsia="宋体" w:cs="宋体"/>
          <w:color w:val="000000"/>
          <w:sz w:val="21"/>
          <w:szCs w:val="21"/>
          <w:highlight w:val="none"/>
        </w:rPr>
        <w:t>合同在执行过程中出现的未尽事宜，双方在不违背本合同和招标文件的原则下协商解决，协商结果以书面形式盖章记录在案，作为本合同的附件，与本合同具有同等效力，提交代理机构备存。</w:t>
      </w:r>
    </w:p>
    <w:p w14:paraId="4F458C3C">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sz w:val="21"/>
          <w:szCs w:val="21"/>
          <w:highlight w:val="none"/>
        </w:rPr>
      </w:pPr>
      <w:r>
        <w:rPr>
          <w:rFonts w:hint="eastAsia" w:ascii="宋体" w:hAnsi="宋体" w:eastAsia="宋体" w:cs="宋体"/>
          <w:b/>
          <w:color w:val="000000"/>
          <w:sz w:val="21"/>
          <w:szCs w:val="21"/>
          <w:highlight w:val="none"/>
        </w:rPr>
        <w:t>十四、附则</w:t>
      </w:r>
    </w:p>
    <w:p w14:paraId="7D0035EA">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1</w:t>
      </w:r>
      <w:r>
        <w:rPr>
          <w:rFonts w:hint="eastAsia" w:ascii="宋体" w:hAnsi="宋体" w:eastAsia="宋体" w:cs="宋体"/>
          <w:color w:val="000000"/>
          <w:sz w:val="21"/>
          <w:szCs w:val="21"/>
          <w:highlight w:val="none"/>
          <w:lang w:val="en-US" w:eastAsia="zh-CN"/>
        </w:rPr>
        <w:t>.</w:t>
      </w:r>
      <w:r>
        <w:rPr>
          <w:rFonts w:hint="eastAsia" w:ascii="宋体" w:hAnsi="宋体" w:eastAsia="宋体" w:cs="宋体"/>
          <w:color w:val="000000"/>
          <w:sz w:val="21"/>
          <w:szCs w:val="21"/>
          <w:highlight w:val="none"/>
        </w:rPr>
        <w:t>合同份数</w:t>
      </w:r>
    </w:p>
    <w:p w14:paraId="44CB3E1D">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本合同一式</w:t>
      </w:r>
      <w:r>
        <w:rPr>
          <w:rFonts w:hint="eastAsia" w:ascii="宋体" w:hAnsi="宋体" w:eastAsia="宋体" w:cs="宋体"/>
          <w:color w:val="000000"/>
          <w:sz w:val="21"/>
          <w:szCs w:val="21"/>
          <w:highlight w:val="none"/>
          <w:u w:val="single"/>
        </w:rPr>
        <w:t> 陆 </w:t>
      </w:r>
      <w:r>
        <w:rPr>
          <w:rFonts w:hint="eastAsia" w:ascii="宋体" w:hAnsi="宋体" w:eastAsia="宋体" w:cs="宋体"/>
          <w:color w:val="000000"/>
          <w:sz w:val="21"/>
          <w:szCs w:val="21"/>
          <w:highlight w:val="none"/>
        </w:rPr>
        <w:t>份，甲乙双方各执</w:t>
      </w:r>
      <w:r>
        <w:rPr>
          <w:rFonts w:hint="eastAsia" w:ascii="宋体" w:hAnsi="宋体" w:eastAsia="宋体" w:cs="宋体"/>
          <w:color w:val="000000"/>
          <w:sz w:val="21"/>
          <w:szCs w:val="21"/>
          <w:highlight w:val="none"/>
          <w:u w:val="single"/>
        </w:rPr>
        <w:t xml:space="preserve"> 贰 </w:t>
      </w:r>
      <w:r>
        <w:rPr>
          <w:rFonts w:hint="eastAsia" w:ascii="宋体" w:hAnsi="宋体" w:eastAsia="宋体" w:cs="宋体"/>
          <w:color w:val="000000"/>
          <w:sz w:val="21"/>
          <w:szCs w:val="21"/>
          <w:highlight w:val="none"/>
        </w:rPr>
        <w:t>份，招标代理机构壹份，政府采购管理部门壹份。</w:t>
      </w:r>
    </w:p>
    <w:p w14:paraId="3AC986D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w:t>
      </w:r>
      <w:r>
        <w:rPr>
          <w:rFonts w:hint="eastAsia" w:ascii="宋体" w:hAnsi="宋体" w:eastAsia="宋体" w:cs="宋体"/>
          <w:color w:val="000000"/>
          <w:sz w:val="21"/>
          <w:szCs w:val="21"/>
          <w:highlight w:val="none"/>
          <w:lang w:val="en-US" w:eastAsia="zh-CN"/>
        </w:rPr>
        <w:t>.</w:t>
      </w:r>
      <w:r>
        <w:rPr>
          <w:rFonts w:hint="eastAsia" w:ascii="宋体" w:hAnsi="宋体" w:eastAsia="宋体" w:cs="宋体"/>
          <w:color w:val="000000"/>
          <w:sz w:val="21"/>
          <w:szCs w:val="21"/>
          <w:highlight w:val="none"/>
        </w:rPr>
        <w:t>未尽事宜</w:t>
      </w:r>
    </w:p>
    <w:p w14:paraId="7AF38C21">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本合同未尽事宜应按《中华人民共和国民法典》、《中华人民共和国政府采购法》以及其同相关法律、法规之规定解释。</w:t>
      </w:r>
    </w:p>
    <w:p w14:paraId="6AC0658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sz w:val="21"/>
          <w:szCs w:val="21"/>
          <w:highlight w:val="none"/>
        </w:rPr>
      </w:pPr>
      <w:bookmarkStart w:id="100" w:name="OLE_LINK3"/>
      <w:r>
        <w:rPr>
          <w:rFonts w:hint="eastAsia" w:ascii="宋体" w:hAnsi="宋体" w:eastAsia="宋体" w:cs="宋体"/>
          <w:color w:val="000000"/>
          <w:sz w:val="21"/>
          <w:szCs w:val="21"/>
          <w:highlight w:val="none"/>
        </w:rPr>
        <w:t>附件：</w:t>
      </w:r>
      <w:bookmarkEnd w:id="100"/>
      <w:r>
        <w:rPr>
          <w:rFonts w:hint="eastAsia" w:ascii="宋体" w:hAnsi="宋体" w:eastAsia="宋体" w:cs="宋体"/>
          <w:color w:val="000000"/>
          <w:sz w:val="21"/>
          <w:szCs w:val="21"/>
          <w:highlight w:val="none"/>
        </w:rPr>
        <w:t>2026-2027年国土空间咨询及土地报批服务考核表</w:t>
      </w:r>
    </w:p>
    <w:p w14:paraId="18AB5723">
      <w:pPr>
        <w:pBdr>
          <w:top w:val="none" w:color="000000" w:sz="0" w:space="0"/>
          <w:left w:val="none" w:color="000000" w:sz="0" w:space="0"/>
          <w:bottom w:val="none" w:color="000000" w:sz="0" w:space="0"/>
          <w:right w:val="none" w:color="000000" w:sz="0" w:space="0"/>
        </w:pBdr>
        <w:spacing w:line="360" w:lineRule="auto"/>
        <w:ind w:left="57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w:t>
      </w:r>
    </w:p>
    <w:tbl>
      <w:tblPr>
        <w:tblStyle w:val="5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4706"/>
        <w:gridCol w:w="4542"/>
      </w:tblGrid>
      <w:tr w14:paraId="3AA90BA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35" w:hRule="atLeast"/>
        </w:trPr>
        <w:tc>
          <w:tcPr>
            <w:tcW w:w="4768" w:type="dxa"/>
            <w:tcBorders>
              <w:top w:val="nil"/>
              <w:left w:val="nil"/>
              <w:bottom w:val="nil"/>
              <w:right w:val="nil"/>
            </w:tcBorders>
            <w:shd w:val="clear" w:color="FFFFFF" w:fill="FFFFFF"/>
            <w:tcMar>
              <w:top w:w="0" w:type="dxa"/>
              <w:left w:w="108" w:type="dxa"/>
              <w:bottom w:w="0" w:type="dxa"/>
              <w:right w:w="108" w:type="dxa"/>
            </w:tcMar>
            <w:vAlign w:val="center"/>
          </w:tcPr>
          <w:p w14:paraId="0221D69F">
            <w:pPr>
              <w:pBdr>
                <w:top w:val="none" w:color="000000" w:sz="0" w:space="0"/>
                <w:left w:val="none" w:color="000000" w:sz="0" w:space="0"/>
                <w:bottom w:val="none" w:color="000000" w:sz="0" w:space="0"/>
                <w:right w:val="none" w:color="000000" w:sz="0" w:space="0"/>
              </w:pBdr>
              <w:spacing w:line="85" w:lineRule="atLeast"/>
              <w:ind w:firstLine="48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甲方（盖章）：</w:t>
            </w:r>
          </w:p>
        </w:tc>
        <w:tc>
          <w:tcPr>
            <w:tcW w:w="4587" w:type="dxa"/>
            <w:tcBorders>
              <w:top w:val="nil"/>
              <w:left w:val="nil"/>
              <w:bottom w:val="nil"/>
              <w:right w:val="nil"/>
            </w:tcBorders>
            <w:shd w:val="clear" w:color="FFFFFF" w:fill="FFFFFF"/>
            <w:tcMar>
              <w:top w:w="0" w:type="dxa"/>
              <w:left w:w="108" w:type="dxa"/>
              <w:bottom w:w="0" w:type="dxa"/>
              <w:right w:w="108" w:type="dxa"/>
            </w:tcMar>
            <w:vAlign w:val="center"/>
          </w:tcPr>
          <w:p w14:paraId="2D106C9B">
            <w:pPr>
              <w:pBdr>
                <w:top w:val="none" w:color="000000" w:sz="0" w:space="0"/>
                <w:left w:val="none" w:color="000000" w:sz="0" w:space="0"/>
                <w:bottom w:val="none" w:color="000000" w:sz="0" w:space="0"/>
                <w:right w:val="none" w:color="000000" w:sz="0" w:space="0"/>
              </w:pBdr>
              <w:spacing w:line="85" w:lineRule="atLeast"/>
              <w:ind w:firstLine="48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乙方（盖章）：</w:t>
            </w:r>
          </w:p>
        </w:tc>
      </w:tr>
      <w:tr w14:paraId="157DF90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23" w:hRule="atLeast"/>
        </w:trPr>
        <w:tc>
          <w:tcPr>
            <w:tcW w:w="4768" w:type="dxa"/>
            <w:tcBorders>
              <w:top w:val="nil"/>
              <w:left w:val="nil"/>
              <w:bottom w:val="nil"/>
              <w:right w:val="nil"/>
            </w:tcBorders>
            <w:shd w:val="clear" w:color="FFFFFF" w:fill="FFFFFF"/>
            <w:tcMar>
              <w:top w:w="0" w:type="dxa"/>
              <w:left w:w="108" w:type="dxa"/>
              <w:bottom w:w="0" w:type="dxa"/>
              <w:right w:w="108" w:type="dxa"/>
            </w:tcMar>
            <w:vAlign w:val="center"/>
          </w:tcPr>
          <w:p w14:paraId="15E69593">
            <w:pPr>
              <w:pBdr>
                <w:top w:val="none" w:color="000000" w:sz="0" w:space="0"/>
                <w:left w:val="none" w:color="000000" w:sz="0" w:space="0"/>
                <w:bottom w:val="none" w:color="000000" w:sz="0" w:space="0"/>
                <w:right w:val="none" w:color="000000" w:sz="0" w:space="0"/>
              </w:pBdr>
              <w:spacing w:line="85" w:lineRule="atLeast"/>
              <w:ind w:firstLine="48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法定（授权）代表人（签字）：</w:t>
            </w:r>
          </w:p>
        </w:tc>
        <w:tc>
          <w:tcPr>
            <w:tcW w:w="4587" w:type="dxa"/>
            <w:tcBorders>
              <w:top w:val="nil"/>
              <w:left w:val="nil"/>
              <w:bottom w:val="nil"/>
              <w:right w:val="nil"/>
            </w:tcBorders>
            <w:shd w:val="clear" w:color="FFFFFF" w:fill="FFFFFF"/>
            <w:tcMar>
              <w:top w:w="0" w:type="dxa"/>
              <w:left w:w="108" w:type="dxa"/>
              <w:bottom w:w="0" w:type="dxa"/>
              <w:right w:w="108" w:type="dxa"/>
            </w:tcMar>
            <w:vAlign w:val="center"/>
          </w:tcPr>
          <w:p w14:paraId="648C5775">
            <w:pPr>
              <w:pBdr>
                <w:top w:val="none" w:color="000000" w:sz="0" w:space="0"/>
                <w:left w:val="none" w:color="000000" w:sz="0" w:space="0"/>
                <w:bottom w:val="none" w:color="000000" w:sz="0" w:space="0"/>
                <w:right w:val="none" w:color="000000" w:sz="0" w:space="0"/>
              </w:pBdr>
              <w:spacing w:line="85" w:lineRule="atLeast"/>
              <w:ind w:firstLine="48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法定（授权）代表人（签字）：     </w:t>
            </w:r>
          </w:p>
        </w:tc>
      </w:tr>
      <w:tr w14:paraId="2163E20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68" w:hRule="atLeast"/>
        </w:trPr>
        <w:tc>
          <w:tcPr>
            <w:tcW w:w="4768" w:type="dxa"/>
            <w:tcBorders>
              <w:top w:val="nil"/>
              <w:left w:val="nil"/>
              <w:bottom w:val="nil"/>
              <w:right w:val="nil"/>
            </w:tcBorders>
            <w:shd w:val="clear" w:color="FFFFFF" w:fill="FFFFFF"/>
            <w:tcMar>
              <w:top w:w="0" w:type="dxa"/>
              <w:left w:w="108" w:type="dxa"/>
              <w:bottom w:w="0" w:type="dxa"/>
              <w:right w:w="108" w:type="dxa"/>
            </w:tcMar>
            <w:vAlign w:val="center"/>
          </w:tcPr>
          <w:p w14:paraId="6C953844">
            <w:pPr>
              <w:pBdr>
                <w:top w:val="none" w:color="000000" w:sz="0" w:space="0"/>
                <w:left w:val="none" w:color="000000" w:sz="0" w:space="0"/>
                <w:bottom w:val="none" w:color="000000" w:sz="0" w:space="0"/>
                <w:right w:val="none" w:color="000000" w:sz="0" w:space="0"/>
              </w:pBdr>
              <w:spacing w:line="85" w:lineRule="atLeast"/>
              <w:ind w:firstLine="48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电话：</w:t>
            </w:r>
          </w:p>
        </w:tc>
        <w:tc>
          <w:tcPr>
            <w:tcW w:w="4587" w:type="dxa"/>
            <w:tcBorders>
              <w:top w:val="nil"/>
              <w:left w:val="nil"/>
              <w:bottom w:val="nil"/>
              <w:right w:val="nil"/>
            </w:tcBorders>
            <w:shd w:val="clear" w:color="FFFFFF" w:fill="FFFFFF"/>
            <w:tcMar>
              <w:top w:w="0" w:type="dxa"/>
              <w:left w:w="108" w:type="dxa"/>
              <w:bottom w:w="0" w:type="dxa"/>
              <w:right w:w="108" w:type="dxa"/>
            </w:tcMar>
            <w:vAlign w:val="center"/>
          </w:tcPr>
          <w:p w14:paraId="37E4F0B7">
            <w:pPr>
              <w:pBdr>
                <w:top w:val="none" w:color="000000" w:sz="0" w:space="0"/>
                <w:left w:val="none" w:color="000000" w:sz="0" w:space="0"/>
                <w:bottom w:val="none" w:color="000000" w:sz="0" w:space="0"/>
                <w:right w:val="none" w:color="000000" w:sz="0" w:space="0"/>
              </w:pBdr>
              <w:spacing w:line="85" w:lineRule="atLeast"/>
              <w:ind w:firstLine="48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电话：</w:t>
            </w:r>
          </w:p>
        </w:tc>
      </w:tr>
      <w:tr w14:paraId="1463222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23" w:hRule="atLeast"/>
        </w:trPr>
        <w:tc>
          <w:tcPr>
            <w:tcW w:w="4768" w:type="dxa"/>
            <w:tcBorders>
              <w:top w:val="nil"/>
              <w:left w:val="nil"/>
              <w:bottom w:val="nil"/>
              <w:right w:val="nil"/>
            </w:tcBorders>
            <w:shd w:val="clear" w:color="FFFFFF" w:fill="FFFFFF"/>
            <w:tcMar>
              <w:top w:w="0" w:type="dxa"/>
              <w:left w:w="108" w:type="dxa"/>
              <w:bottom w:w="0" w:type="dxa"/>
              <w:right w:w="108" w:type="dxa"/>
            </w:tcMar>
            <w:vAlign w:val="center"/>
          </w:tcPr>
          <w:p w14:paraId="15E3B69F">
            <w:pPr>
              <w:pBdr>
                <w:top w:val="none" w:color="000000" w:sz="0" w:space="0"/>
                <w:left w:val="none" w:color="000000" w:sz="0" w:space="0"/>
                <w:bottom w:val="none" w:color="000000" w:sz="0" w:space="0"/>
                <w:right w:val="none" w:color="000000" w:sz="0" w:space="0"/>
              </w:pBdr>
              <w:spacing w:line="85" w:lineRule="atLeast"/>
              <w:ind w:firstLine="48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w:t>
            </w:r>
          </w:p>
        </w:tc>
        <w:tc>
          <w:tcPr>
            <w:tcW w:w="4587" w:type="dxa"/>
            <w:tcBorders>
              <w:top w:val="nil"/>
              <w:left w:val="nil"/>
              <w:bottom w:val="nil"/>
              <w:right w:val="nil"/>
            </w:tcBorders>
            <w:shd w:val="clear" w:color="FFFFFF" w:fill="FFFFFF"/>
            <w:tcMar>
              <w:top w:w="0" w:type="dxa"/>
              <w:left w:w="108" w:type="dxa"/>
              <w:bottom w:w="0" w:type="dxa"/>
              <w:right w:w="108" w:type="dxa"/>
            </w:tcMar>
            <w:vAlign w:val="center"/>
          </w:tcPr>
          <w:p w14:paraId="37581532">
            <w:pPr>
              <w:pBdr>
                <w:top w:val="none" w:color="000000" w:sz="0" w:space="0"/>
                <w:left w:val="none" w:color="000000" w:sz="0" w:space="0"/>
                <w:bottom w:val="none" w:color="000000" w:sz="0" w:space="0"/>
                <w:right w:val="none" w:color="000000" w:sz="0" w:space="0"/>
              </w:pBdr>
              <w:spacing w:line="85" w:lineRule="atLeast"/>
              <w:ind w:firstLine="48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开户银行：</w:t>
            </w:r>
          </w:p>
        </w:tc>
      </w:tr>
      <w:tr w14:paraId="54B2835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23" w:hRule="atLeast"/>
        </w:trPr>
        <w:tc>
          <w:tcPr>
            <w:tcW w:w="4768" w:type="dxa"/>
            <w:tcBorders>
              <w:top w:val="nil"/>
              <w:left w:val="nil"/>
              <w:bottom w:val="nil"/>
              <w:right w:val="nil"/>
            </w:tcBorders>
            <w:shd w:val="clear" w:color="FFFFFF" w:fill="FFFFFF"/>
            <w:tcMar>
              <w:top w:w="0" w:type="dxa"/>
              <w:left w:w="108" w:type="dxa"/>
              <w:bottom w:w="0" w:type="dxa"/>
              <w:right w:w="108" w:type="dxa"/>
            </w:tcMar>
            <w:vAlign w:val="center"/>
          </w:tcPr>
          <w:p w14:paraId="74055D2D">
            <w:pPr>
              <w:pBdr>
                <w:top w:val="none" w:color="000000" w:sz="0" w:space="0"/>
                <w:left w:val="none" w:color="000000" w:sz="0" w:space="0"/>
                <w:bottom w:val="none" w:color="000000" w:sz="0" w:space="0"/>
                <w:right w:val="none" w:color="000000" w:sz="0" w:space="0"/>
              </w:pBdr>
              <w:spacing w:line="85" w:lineRule="atLeast"/>
              <w:ind w:firstLine="48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w:t>
            </w:r>
          </w:p>
        </w:tc>
        <w:tc>
          <w:tcPr>
            <w:tcW w:w="4587" w:type="dxa"/>
            <w:tcBorders>
              <w:top w:val="nil"/>
              <w:left w:val="nil"/>
              <w:bottom w:val="nil"/>
              <w:right w:val="nil"/>
            </w:tcBorders>
            <w:shd w:val="clear" w:color="FFFFFF" w:fill="FFFFFF"/>
            <w:tcMar>
              <w:top w:w="0" w:type="dxa"/>
              <w:left w:w="108" w:type="dxa"/>
              <w:bottom w:w="0" w:type="dxa"/>
              <w:right w:w="108" w:type="dxa"/>
            </w:tcMar>
            <w:vAlign w:val="center"/>
          </w:tcPr>
          <w:p w14:paraId="290C13F4">
            <w:pPr>
              <w:pBdr>
                <w:top w:val="none" w:color="000000" w:sz="0" w:space="0"/>
                <w:left w:val="none" w:color="000000" w:sz="0" w:space="0"/>
                <w:bottom w:val="none" w:color="000000" w:sz="0" w:space="0"/>
                <w:right w:val="none" w:color="000000" w:sz="0" w:space="0"/>
              </w:pBdr>
              <w:spacing w:line="85" w:lineRule="atLeast"/>
              <w:ind w:firstLine="48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帐号：</w:t>
            </w:r>
          </w:p>
        </w:tc>
      </w:tr>
    </w:tbl>
    <w:p w14:paraId="61AD8255">
      <w:pPr>
        <w:pBdr>
          <w:top w:val="none" w:color="000000" w:sz="0" w:space="0"/>
          <w:left w:val="none" w:color="000000" w:sz="0" w:space="0"/>
          <w:bottom w:val="none" w:color="000000" w:sz="0" w:space="0"/>
          <w:right w:val="none" w:color="000000" w:sz="0" w:space="0"/>
        </w:pBdr>
        <w:rPr>
          <w:rFonts w:hint="eastAsia" w:ascii="宋体" w:hAnsi="宋体" w:eastAsia="宋体" w:cs="宋体"/>
          <w:sz w:val="21"/>
          <w:szCs w:val="21"/>
          <w:highlight w:val="none"/>
        </w:rPr>
        <w:sectPr>
          <w:footerReference r:id="rId8" w:type="first"/>
          <w:footerReference r:id="rId7" w:type="default"/>
          <w:pgSz w:w="11906" w:h="16838"/>
          <w:pgMar w:top="907" w:right="1366" w:bottom="907" w:left="1508" w:header="567" w:footer="675" w:gutter="0"/>
          <w:pgBorders>
            <w:top w:val="none" w:sz="0" w:space="0"/>
            <w:left w:val="none" w:sz="0" w:space="0"/>
            <w:bottom w:val="none" w:sz="0" w:space="0"/>
            <w:right w:val="none" w:sz="0" w:space="0"/>
          </w:pgBorders>
          <w:pgNumType w:fmt="decimal" w:start="1"/>
          <w:cols w:space="720" w:num="1"/>
          <w:titlePg/>
          <w:docGrid w:linePitch="360" w:charSpace="0"/>
        </w:sectPr>
      </w:pPr>
    </w:p>
    <w:p w14:paraId="165F0DB3">
      <w:pPr>
        <w:spacing w:line="360" w:lineRule="auto"/>
        <w:outlineLvl w:val="0"/>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附件：2026-2027年国土空间咨询及土地报批服务考核表</w:t>
      </w:r>
    </w:p>
    <w:tbl>
      <w:tblPr>
        <w:tblStyle w:val="52"/>
        <w:tblpPr w:leftFromText="180" w:rightFromText="180" w:vertAnchor="page" w:horzAnchor="page" w:tblpX="1353" w:tblpY="2345"/>
        <w:tblW w:w="14340" w:type="dxa"/>
        <w:jc w:val="center"/>
        <w:tblLayout w:type="autofit"/>
        <w:tblCellMar>
          <w:top w:w="0" w:type="dxa"/>
          <w:left w:w="108" w:type="dxa"/>
          <w:bottom w:w="0" w:type="dxa"/>
          <w:right w:w="108" w:type="dxa"/>
        </w:tblCellMar>
      </w:tblPr>
      <w:tblGrid>
        <w:gridCol w:w="817"/>
        <w:gridCol w:w="6237"/>
        <w:gridCol w:w="851"/>
        <w:gridCol w:w="4536"/>
        <w:gridCol w:w="1197"/>
        <w:gridCol w:w="702"/>
      </w:tblGrid>
      <w:tr w14:paraId="5E6FEC45">
        <w:tblPrEx>
          <w:tblCellMar>
            <w:top w:w="0" w:type="dxa"/>
            <w:left w:w="108" w:type="dxa"/>
            <w:bottom w:w="0" w:type="dxa"/>
            <w:right w:w="108" w:type="dxa"/>
          </w:tblCellMar>
        </w:tblPrEx>
        <w:trPr>
          <w:trHeight w:val="432" w:hRule="atLeast"/>
          <w:jc w:val="center"/>
        </w:trPr>
        <w:tc>
          <w:tcPr>
            <w:tcW w:w="14340" w:type="dxa"/>
            <w:gridSpan w:val="6"/>
            <w:tcBorders>
              <w:top w:val="nil"/>
              <w:left w:val="nil"/>
              <w:bottom w:val="nil"/>
              <w:right w:val="nil"/>
            </w:tcBorders>
            <w:vAlign w:val="center"/>
          </w:tcPr>
          <w:p w14:paraId="61C0F0D2">
            <w:pPr>
              <w:jc w:val="center"/>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rPr>
              <w:t>2026-2027年国土空间咨询及土地报批服务考核</w:t>
            </w:r>
            <w:r>
              <w:rPr>
                <w:rFonts w:hint="eastAsia" w:ascii="宋体" w:hAnsi="宋体" w:eastAsia="宋体" w:cs="宋体"/>
                <w:b/>
                <w:bCs/>
                <w:sz w:val="21"/>
                <w:szCs w:val="21"/>
                <w:highlight w:val="none"/>
                <w:lang w:val="en-US" w:eastAsia="zh-CN"/>
              </w:rPr>
              <w:t>表</w:t>
            </w:r>
          </w:p>
        </w:tc>
      </w:tr>
      <w:tr w14:paraId="616CF68D">
        <w:tblPrEx>
          <w:tblCellMar>
            <w:top w:w="0" w:type="dxa"/>
            <w:left w:w="108" w:type="dxa"/>
            <w:bottom w:w="0" w:type="dxa"/>
            <w:right w:w="108" w:type="dxa"/>
          </w:tblCellMar>
        </w:tblPrEx>
        <w:trPr>
          <w:trHeight w:val="401" w:hRule="atLeast"/>
          <w:jc w:val="center"/>
        </w:trPr>
        <w:tc>
          <w:tcPr>
            <w:tcW w:w="7054" w:type="dxa"/>
            <w:gridSpan w:val="2"/>
            <w:tcBorders>
              <w:top w:val="nil"/>
              <w:left w:val="nil"/>
              <w:bottom w:val="nil"/>
              <w:right w:val="nil"/>
            </w:tcBorders>
            <w:noWrap/>
            <w:vAlign w:val="center"/>
          </w:tcPr>
          <w:p w14:paraId="642B907B">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项目名称： </w:t>
            </w:r>
          </w:p>
        </w:tc>
        <w:tc>
          <w:tcPr>
            <w:tcW w:w="5387" w:type="dxa"/>
            <w:gridSpan w:val="2"/>
            <w:tcBorders>
              <w:top w:val="nil"/>
              <w:left w:val="nil"/>
              <w:bottom w:val="nil"/>
              <w:right w:val="nil"/>
            </w:tcBorders>
            <w:noWrap/>
            <w:vAlign w:val="center"/>
          </w:tcPr>
          <w:p w14:paraId="74E5CE43">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服务单位：              </w:t>
            </w:r>
          </w:p>
        </w:tc>
        <w:tc>
          <w:tcPr>
            <w:tcW w:w="1197" w:type="dxa"/>
            <w:tcBorders>
              <w:top w:val="nil"/>
              <w:left w:val="nil"/>
              <w:bottom w:val="nil"/>
              <w:right w:val="nil"/>
            </w:tcBorders>
            <w:noWrap/>
            <w:vAlign w:val="center"/>
          </w:tcPr>
          <w:p w14:paraId="37380A65">
            <w:pPr>
              <w:rPr>
                <w:rFonts w:hint="eastAsia" w:ascii="宋体" w:hAnsi="宋体" w:eastAsia="宋体" w:cs="宋体"/>
                <w:sz w:val="21"/>
                <w:szCs w:val="21"/>
                <w:highlight w:val="none"/>
              </w:rPr>
            </w:pPr>
          </w:p>
        </w:tc>
        <w:tc>
          <w:tcPr>
            <w:tcW w:w="702" w:type="dxa"/>
            <w:tcBorders>
              <w:top w:val="nil"/>
              <w:left w:val="nil"/>
              <w:bottom w:val="nil"/>
              <w:right w:val="nil"/>
            </w:tcBorders>
            <w:noWrap/>
            <w:vAlign w:val="center"/>
          </w:tcPr>
          <w:p w14:paraId="2A1DE6B4">
            <w:pPr>
              <w:rPr>
                <w:rFonts w:hint="eastAsia" w:ascii="宋体" w:hAnsi="宋体" w:eastAsia="宋体" w:cs="宋体"/>
                <w:sz w:val="21"/>
                <w:szCs w:val="21"/>
                <w:highlight w:val="none"/>
              </w:rPr>
            </w:pPr>
          </w:p>
        </w:tc>
      </w:tr>
      <w:tr w14:paraId="44351355">
        <w:tblPrEx>
          <w:tblCellMar>
            <w:top w:w="0" w:type="dxa"/>
            <w:left w:w="108" w:type="dxa"/>
            <w:bottom w:w="0" w:type="dxa"/>
            <w:right w:w="108" w:type="dxa"/>
          </w:tblCellMar>
        </w:tblPrEx>
        <w:trPr>
          <w:trHeight w:val="392" w:hRule="atLeast"/>
          <w:jc w:val="center"/>
        </w:trPr>
        <w:tc>
          <w:tcPr>
            <w:tcW w:w="817" w:type="dxa"/>
            <w:tcBorders>
              <w:top w:val="single" w:color="auto" w:sz="4" w:space="0"/>
              <w:left w:val="single" w:color="auto" w:sz="4" w:space="0"/>
              <w:bottom w:val="single" w:color="auto" w:sz="4" w:space="0"/>
              <w:right w:val="single" w:color="auto" w:sz="4" w:space="0"/>
            </w:tcBorders>
            <w:noWrap/>
            <w:vAlign w:val="center"/>
          </w:tcPr>
          <w:p w14:paraId="45A47BF5">
            <w:pP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序号</w:t>
            </w:r>
          </w:p>
        </w:tc>
        <w:tc>
          <w:tcPr>
            <w:tcW w:w="6237" w:type="dxa"/>
            <w:tcBorders>
              <w:top w:val="single" w:color="auto" w:sz="4" w:space="0"/>
              <w:left w:val="nil"/>
              <w:bottom w:val="single" w:color="auto" w:sz="4" w:space="0"/>
              <w:right w:val="single" w:color="auto" w:sz="4" w:space="0"/>
            </w:tcBorders>
            <w:noWrap/>
            <w:vAlign w:val="center"/>
          </w:tcPr>
          <w:p w14:paraId="32534E64">
            <w:pP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考核内容</w:t>
            </w:r>
          </w:p>
        </w:tc>
        <w:tc>
          <w:tcPr>
            <w:tcW w:w="851" w:type="dxa"/>
            <w:tcBorders>
              <w:top w:val="single" w:color="auto" w:sz="4" w:space="0"/>
              <w:left w:val="nil"/>
              <w:bottom w:val="single" w:color="auto" w:sz="4" w:space="0"/>
              <w:right w:val="single" w:color="auto" w:sz="4" w:space="0"/>
            </w:tcBorders>
            <w:noWrap/>
            <w:vAlign w:val="center"/>
          </w:tcPr>
          <w:p w14:paraId="00BBD6FD">
            <w:pP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分值</w:t>
            </w:r>
          </w:p>
        </w:tc>
        <w:tc>
          <w:tcPr>
            <w:tcW w:w="4536" w:type="dxa"/>
            <w:tcBorders>
              <w:top w:val="single" w:color="auto" w:sz="4" w:space="0"/>
              <w:left w:val="nil"/>
              <w:bottom w:val="single" w:color="auto" w:sz="4" w:space="0"/>
              <w:right w:val="single" w:color="auto" w:sz="4" w:space="0"/>
            </w:tcBorders>
            <w:noWrap/>
            <w:vAlign w:val="center"/>
          </w:tcPr>
          <w:p w14:paraId="6D828451">
            <w:pP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说明</w:t>
            </w:r>
          </w:p>
        </w:tc>
        <w:tc>
          <w:tcPr>
            <w:tcW w:w="1197" w:type="dxa"/>
            <w:tcBorders>
              <w:top w:val="single" w:color="auto" w:sz="4" w:space="0"/>
              <w:left w:val="nil"/>
              <w:bottom w:val="single" w:color="auto" w:sz="4" w:space="0"/>
              <w:right w:val="single" w:color="auto" w:sz="4" w:space="0"/>
            </w:tcBorders>
            <w:vAlign w:val="center"/>
          </w:tcPr>
          <w:p w14:paraId="62C9F10A">
            <w:pP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考核得分</w:t>
            </w:r>
          </w:p>
        </w:tc>
        <w:tc>
          <w:tcPr>
            <w:tcW w:w="702" w:type="dxa"/>
            <w:tcBorders>
              <w:top w:val="single" w:color="auto" w:sz="4" w:space="0"/>
              <w:left w:val="nil"/>
              <w:bottom w:val="single" w:color="auto" w:sz="4" w:space="0"/>
              <w:right w:val="single" w:color="auto" w:sz="4" w:space="0"/>
            </w:tcBorders>
            <w:noWrap/>
            <w:vAlign w:val="center"/>
          </w:tcPr>
          <w:p w14:paraId="2A14E061">
            <w:pPr>
              <w:rPr>
                <w:rFonts w:hint="eastAsia" w:ascii="宋体" w:hAnsi="宋体" w:eastAsia="宋体" w:cs="宋体"/>
                <w:sz w:val="21"/>
                <w:szCs w:val="21"/>
                <w:highlight w:val="none"/>
              </w:rPr>
            </w:pPr>
            <w:r>
              <w:rPr>
                <w:rFonts w:hint="eastAsia" w:ascii="宋体" w:hAnsi="宋体" w:eastAsia="宋体" w:cs="宋体"/>
                <w:sz w:val="21"/>
                <w:szCs w:val="21"/>
                <w:highlight w:val="none"/>
              </w:rPr>
              <w:t>备注</w:t>
            </w:r>
          </w:p>
        </w:tc>
      </w:tr>
      <w:tr w14:paraId="1A232F0B">
        <w:tblPrEx>
          <w:tblCellMar>
            <w:top w:w="0" w:type="dxa"/>
            <w:left w:w="108" w:type="dxa"/>
            <w:bottom w:w="0" w:type="dxa"/>
            <w:right w:w="108" w:type="dxa"/>
          </w:tblCellMar>
        </w:tblPrEx>
        <w:trPr>
          <w:trHeight w:val="302" w:hRule="atLeast"/>
          <w:jc w:val="center"/>
        </w:trPr>
        <w:tc>
          <w:tcPr>
            <w:tcW w:w="817" w:type="dxa"/>
            <w:tcBorders>
              <w:top w:val="nil"/>
              <w:left w:val="single" w:color="auto" w:sz="4" w:space="0"/>
              <w:bottom w:val="single" w:color="auto" w:sz="4" w:space="0"/>
              <w:right w:val="single" w:color="auto" w:sz="4" w:space="0"/>
            </w:tcBorders>
            <w:noWrap/>
            <w:vAlign w:val="center"/>
          </w:tcPr>
          <w:p w14:paraId="06CD1ABD">
            <w:pP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一</w:t>
            </w:r>
          </w:p>
        </w:tc>
        <w:tc>
          <w:tcPr>
            <w:tcW w:w="6237" w:type="dxa"/>
            <w:tcBorders>
              <w:top w:val="nil"/>
              <w:left w:val="nil"/>
              <w:bottom w:val="single" w:color="auto" w:sz="4" w:space="0"/>
              <w:right w:val="single" w:color="auto" w:sz="4" w:space="0"/>
            </w:tcBorders>
            <w:noWrap/>
            <w:vAlign w:val="center"/>
          </w:tcPr>
          <w:p w14:paraId="0C0F84C0">
            <w:pP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服务态度评价:</w:t>
            </w:r>
          </w:p>
        </w:tc>
        <w:tc>
          <w:tcPr>
            <w:tcW w:w="851" w:type="dxa"/>
            <w:tcBorders>
              <w:top w:val="nil"/>
              <w:left w:val="nil"/>
              <w:bottom w:val="single" w:color="auto" w:sz="4" w:space="0"/>
              <w:right w:val="single" w:color="auto" w:sz="4" w:space="0"/>
            </w:tcBorders>
            <w:noWrap/>
            <w:vAlign w:val="center"/>
          </w:tcPr>
          <w:p w14:paraId="5475D0CF">
            <w:pPr>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2</w:t>
            </w:r>
            <w:r>
              <w:rPr>
                <w:rFonts w:hint="eastAsia" w:ascii="宋体" w:hAnsi="宋体" w:eastAsia="宋体" w:cs="宋体"/>
                <w:b/>
                <w:bCs/>
                <w:sz w:val="21"/>
                <w:szCs w:val="21"/>
                <w:highlight w:val="none"/>
              </w:rPr>
              <w:t>0</w:t>
            </w:r>
          </w:p>
        </w:tc>
        <w:tc>
          <w:tcPr>
            <w:tcW w:w="4536" w:type="dxa"/>
            <w:tcBorders>
              <w:top w:val="nil"/>
              <w:left w:val="nil"/>
              <w:bottom w:val="single" w:color="auto" w:sz="4" w:space="0"/>
              <w:right w:val="single" w:color="auto" w:sz="4" w:space="0"/>
            </w:tcBorders>
            <w:noWrap/>
            <w:vAlign w:val="center"/>
          </w:tcPr>
          <w:p w14:paraId="49BCD0B3">
            <w:pPr>
              <w:rPr>
                <w:rFonts w:hint="eastAsia" w:ascii="宋体" w:hAnsi="宋体" w:eastAsia="宋体" w:cs="宋体"/>
                <w:sz w:val="21"/>
                <w:szCs w:val="21"/>
                <w:highlight w:val="none"/>
              </w:rPr>
            </w:pPr>
            <w:r>
              <w:rPr>
                <w:rFonts w:hint="eastAsia" w:ascii="宋体" w:hAnsi="宋体" w:eastAsia="宋体" w:cs="宋体"/>
                <w:sz w:val="21"/>
                <w:szCs w:val="21"/>
                <w:highlight w:val="none"/>
              </w:rPr>
              <w:t>　</w:t>
            </w:r>
          </w:p>
        </w:tc>
        <w:tc>
          <w:tcPr>
            <w:tcW w:w="1197" w:type="dxa"/>
            <w:tcBorders>
              <w:top w:val="nil"/>
              <w:left w:val="nil"/>
              <w:bottom w:val="single" w:color="auto" w:sz="4" w:space="0"/>
              <w:right w:val="single" w:color="auto" w:sz="4" w:space="0"/>
            </w:tcBorders>
            <w:noWrap/>
            <w:vAlign w:val="center"/>
          </w:tcPr>
          <w:p w14:paraId="2638ACBA">
            <w:pPr>
              <w:rPr>
                <w:rFonts w:hint="eastAsia" w:ascii="宋体" w:hAnsi="宋体" w:eastAsia="宋体" w:cs="宋体"/>
                <w:sz w:val="21"/>
                <w:szCs w:val="21"/>
                <w:highlight w:val="none"/>
              </w:rPr>
            </w:pPr>
            <w:r>
              <w:rPr>
                <w:rFonts w:hint="eastAsia" w:ascii="宋体" w:hAnsi="宋体" w:eastAsia="宋体" w:cs="宋体"/>
                <w:sz w:val="21"/>
                <w:szCs w:val="21"/>
                <w:highlight w:val="none"/>
              </w:rPr>
              <w:t>　</w:t>
            </w:r>
          </w:p>
        </w:tc>
        <w:tc>
          <w:tcPr>
            <w:tcW w:w="702" w:type="dxa"/>
            <w:tcBorders>
              <w:top w:val="nil"/>
              <w:left w:val="nil"/>
              <w:bottom w:val="single" w:color="auto" w:sz="4" w:space="0"/>
              <w:right w:val="single" w:color="auto" w:sz="4" w:space="0"/>
            </w:tcBorders>
            <w:noWrap/>
            <w:vAlign w:val="center"/>
          </w:tcPr>
          <w:p w14:paraId="38E53E57">
            <w:pPr>
              <w:rPr>
                <w:rFonts w:hint="eastAsia" w:ascii="宋体" w:hAnsi="宋体" w:eastAsia="宋体" w:cs="宋体"/>
                <w:sz w:val="21"/>
                <w:szCs w:val="21"/>
                <w:highlight w:val="none"/>
              </w:rPr>
            </w:pPr>
            <w:r>
              <w:rPr>
                <w:rFonts w:hint="eastAsia" w:ascii="宋体" w:hAnsi="宋体" w:eastAsia="宋体" w:cs="宋体"/>
                <w:sz w:val="21"/>
                <w:szCs w:val="21"/>
                <w:highlight w:val="none"/>
              </w:rPr>
              <w:t>　</w:t>
            </w:r>
          </w:p>
        </w:tc>
      </w:tr>
      <w:tr w14:paraId="672BEC4F">
        <w:tblPrEx>
          <w:tblCellMar>
            <w:top w:w="0" w:type="dxa"/>
            <w:left w:w="108" w:type="dxa"/>
            <w:bottom w:w="0" w:type="dxa"/>
            <w:right w:w="108" w:type="dxa"/>
          </w:tblCellMar>
        </w:tblPrEx>
        <w:trPr>
          <w:trHeight w:val="671" w:hRule="atLeast"/>
          <w:jc w:val="center"/>
        </w:trPr>
        <w:tc>
          <w:tcPr>
            <w:tcW w:w="817" w:type="dxa"/>
            <w:tcBorders>
              <w:top w:val="nil"/>
              <w:left w:val="single" w:color="auto" w:sz="4" w:space="0"/>
              <w:bottom w:val="single" w:color="auto" w:sz="4" w:space="0"/>
              <w:right w:val="single" w:color="auto" w:sz="4" w:space="0"/>
            </w:tcBorders>
            <w:noWrap/>
            <w:vAlign w:val="center"/>
          </w:tcPr>
          <w:p w14:paraId="4C17D087">
            <w:pP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1</w:t>
            </w:r>
          </w:p>
        </w:tc>
        <w:tc>
          <w:tcPr>
            <w:tcW w:w="6237" w:type="dxa"/>
            <w:tcBorders>
              <w:top w:val="nil"/>
              <w:left w:val="nil"/>
              <w:bottom w:val="single" w:color="auto" w:sz="4" w:space="0"/>
              <w:right w:val="single" w:color="auto" w:sz="4" w:space="0"/>
            </w:tcBorders>
            <w:vAlign w:val="center"/>
          </w:tcPr>
          <w:p w14:paraId="42EBC6E1">
            <w:pPr>
              <w:rPr>
                <w:rFonts w:hint="eastAsia" w:ascii="宋体" w:hAnsi="宋体" w:eastAsia="宋体" w:cs="宋体"/>
                <w:sz w:val="21"/>
                <w:szCs w:val="21"/>
                <w:highlight w:val="none"/>
              </w:rPr>
            </w:pPr>
            <w:r>
              <w:rPr>
                <w:rFonts w:hint="eastAsia" w:ascii="宋体" w:hAnsi="宋体" w:eastAsia="宋体" w:cs="宋体"/>
                <w:sz w:val="21"/>
                <w:szCs w:val="21"/>
                <w:highlight w:val="none"/>
              </w:rPr>
              <w:t>工作保障有力（固定项目负责人，配备人员专业符合、人员稳定、响应及时、设备配置齐全等）。</w:t>
            </w:r>
          </w:p>
        </w:tc>
        <w:tc>
          <w:tcPr>
            <w:tcW w:w="851" w:type="dxa"/>
            <w:tcBorders>
              <w:top w:val="nil"/>
              <w:left w:val="nil"/>
              <w:bottom w:val="single" w:color="auto" w:sz="4" w:space="0"/>
              <w:right w:val="single" w:color="auto" w:sz="4" w:space="0"/>
            </w:tcBorders>
            <w:noWrap/>
            <w:vAlign w:val="center"/>
          </w:tcPr>
          <w:p w14:paraId="0873C2F9">
            <w:pP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w:t>
            </w:r>
            <w:r>
              <w:rPr>
                <w:rFonts w:hint="eastAsia" w:ascii="宋体" w:hAnsi="宋体" w:eastAsia="宋体" w:cs="宋体"/>
                <w:sz w:val="21"/>
                <w:szCs w:val="21"/>
                <w:highlight w:val="none"/>
              </w:rPr>
              <w:t>0</w:t>
            </w:r>
          </w:p>
        </w:tc>
        <w:tc>
          <w:tcPr>
            <w:tcW w:w="4536" w:type="dxa"/>
            <w:tcBorders>
              <w:top w:val="nil"/>
              <w:left w:val="nil"/>
              <w:bottom w:val="single" w:color="auto" w:sz="4" w:space="0"/>
              <w:right w:val="single" w:color="auto" w:sz="4" w:space="0"/>
            </w:tcBorders>
            <w:vAlign w:val="center"/>
          </w:tcPr>
          <w:p w14:paraId="17BFE70F">
            <w:pPr>
              <w:rPr>
                <w:rFonts w:hint="eastAsia" w:ascii="宋体" w:hAnsi="宋体" w:eastAsia="宋体" w:cs="宋体"/>
                <w:sz w:val="21"/>
                <w:szCs w:val="21"/>
                <w:highlight w:val="none"/>
              </w:rPr>
            </w:pPr>
            <w:r>
              <w:rPr>
                <w:rFonts w:hint="eastAsia" w:ascii="宋体" w:hAnsi="宋体" w:eastAsia="宋体" w:cs="宋体"/>
                <w:sz w:val="21"/>
                <w:szCs w:val="21"/>
                <w:highlight w:val="none"/>
              </w:rPr>
              <w:t>不能及时响应甲方需求的扣1分，未指定项目负责人扣3分。</w:t>
            </w:r>
          </w:p>
        </w:tc>
        <w:tc>
          <w:tcPr>
            <w:tcW w:w="1197" w:type="dxa"/>
            <w:tcBorders>
              <w:top w:val="nil"/>
              <w:left w:val="nil"/>
              <w:bottom w:val="single" w:color="auto" w:sz="4" w:space="0"/>
              <w:right w:val="single" w:color="auto" w:sz="4" w:space="0"/>
            </w:tcBorders>
            <w:noWrap/>
            <w:vAlign w:val="center"/>
          </w:tcPr>
          <w:p w14:paraId="26E83E62">
            <w:pPr>
              <w:rPr>
                <w:rFonts w:hint="eastAsia" w:ascii="宋体" w:hAnsi="宋体" w:eastAsia="宋体" w:cs="宋体"/>
                <w:sz w:val="21"/>
                <w:szCs w:val="21"/>
                <w:highlight w:val="none"/>
              </w:rPr>
            </w:pPr>
            <w:r>
              <w:rPr>
                <w:rFonts w:hint="eastAsia" w:ascii="宋体" w:hAnsi="宋体" w:eastAsia="宋体" w:cs="宋体"/>
                <w:sz w:val="21"/>
                <w:szCs w:val="21"/>
                <w:highlight w:val="none"/>
              </w:rPr>
              <w:t>　</w:t>
            </w:r>
          </w:p>
        </w:tc>
        <w:tc>
          <w:tcPr>
            <w:tcW w:w="702" w:type="dxa"/>
            <w:tcBorders>
              <w:top w:val="nil"/>
              <w:left w:val="nil"/>
              <w:bottom w:val="single" w:color="auto" w:sz="4" w:space="0"/>
              <w:right w:val="single" w:color="auto" w:sz="4" w:space="0"/>
            </w:tcBorders>
            <w:noWrap/>
            <w:vAlign w:val="center"/>
          </w:tcPr>
          <w:p w14:paraId="6664BD5F">
            <w:pPr>
              <w:rPr>
                <w:rFonts w:hint="eastAsia" w:ascii="宋体" w:hAnsi="宋体" w:eastAsia="宋体" w:cs="宋体"/>
                <w:sz w:val="21"/>
                <w:szCs w:val="21"/>
                <w:highlight w:val="none"/>
              </w:rPr>
            </w:pPr>
            <w:r>
              <w:rPr>
                <w:rFonts w:hint="eastAsia" w:ascii="宋体" w:hAnsi="宋体" w:eastAsia="宋体" w:cs="宋体"/>
                <w:sz w:val="21"/>
                <w:szCs w:val="21"/>
                <w:highlight w:val="none"/>
              </w:rPr>
              <w:t>　</w:t>
            </w:r>
          </w:p>
        </w:tc>
      </w:tr>
      <w:tr w14:paraId="26F9AC99">
        <w:tblPrEx>
          <w:tblCellMar>
            <w:top w:w="0" w:type="dxa"/>
            <w:left w:w="108" w:type="dxa"/>
            <w:bottom w:w="0" w:type="dxa"/>
            <w:right w:w="108" w:type="dxa"/>
          </w:tblCellMar>
        </w:tblPrEx>
        <w:trPr>
          <w:trHeight w:val="540" w:hRule="atLeast"/>
          <w:jc w:val="center"/>
        </w:trPr>
        <w:tc>
          <w:tcPr>
            <w:tcW w:w="817" w:type="dxa"/>
            <w:tcBorders>
              <w:top w:val="nil"/>
              <w:left w:val="single" w:color="auto" w:sz="4" w:space="0"/>
              <w:bottom w:val="single" w:color="auto" w:sz="4" w:space="0"/>
              <w:right w:val="single" w:color="auto" w:sz="4" w:space="0"/>
            </w:tcBorders>
            <w:noWrap/>
            <w:vAlign w:val="center"/>
          </w:tcPr>
          <w:p w14:paraId="700E93FE">
            <w:pP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2</w:t>
            </w:r>
          </w:p>
        </w:tc>
        <w:tc>
          <w:tcPr>
            <w:tcW w:w="6237" w:type="dxa"/>
            <w:tcBorders>
              <w:top w:val="nil"/>
              <w:left w:val="nil"/>
              <w:bottom w:val="single" w:color="auto" w:sz="4" w:space="0"/>
              <w:right w:val="single" w:color="auto" w:sz="4" w:space="0"/>
            </w:tcBorders>
            <w:vAlign w:val="center"/>
          </w:tcPr>
          <w:p w14:paraId="21E7B5BA">
            <w:pPr>
              <w:rPr>
                <w:rFonts w:hint="eastAsia" w:ascii="宋体" w:hAnsi="宋体" w:eastAsia="宋体" w:cs="宋体"/>
                <w:sz w:val="21"/>
                <w:szCs w:val="21"/>
                <w:highlight w:val="none"/>
              </w:rPr>
            </w:pPr>
            <w:r>
              <w:rPr>
                <w:rFonts w:hint="eastAsia" w:ascii="宋体" w:hAnsi="宋体" w:eastAsia="宋体" w:cs="宋体"/>
                <w:sz w:val="21"/>
                <w:szCs w:val="21"/>
                <w:highlight w:val="none"/>
              </w:rPr>
              <w:t>熟悉了解省、市、区相关规定，严格按照合同约定的工作和责任，给业主提供有效的土地咨询服务。</w:t>
            </w:r>
          </w:p>
        </w:tc>
        <w:tc>
          <w:tcPr>
            <w:tcW w:w="851" w:type="dxa"/>
            <w:tcBorders>
              <w:top w:val="nil"/>
              <w:left w:val="nil"/>
              <w:bottom w:val="single" w:color="auto" w:sz="4" w:space="0"/>
              <w:right w:val="single" w:color="auto" w:sz="4" w:space="0"/>
            </w:tcBorders>
            <w:noWrap/>
            <w:vAlign w:val="center"/>
          </w:tcPr>
          <w:p w14:paraId="69B5EFB0">
            <w:pP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w:t>
            </w:r>
            <w:r>
              <w:rPr>
                <w:rFonts w:hint="eastAsia" w:ascii="宋体" w:hAnsi="宋体" w:eastAsia="宋体" w:cs="宋体"/>
                <w:sz w:val="21"/>
                <w:szCs w:val="21"/>
                <w:highlight w:val="none"/>
              </w:rPr>
              <w:t>0</w:t>
            </w:r>
          </w:p>
        </w:tc>
        <w:tc>
          <w:tcPr>
            <w:tcW w:w="4536" w:type="dxa"/>
            <w:tcBorders>
              <w:top w:val="nil"/>
              <w:left w:val="nil"/>
              <w:bottom w:val="single" w:color="auto" w:sz="4" w:space="0"/>
              <w:right w:val="single" w:color="auto" w:sz="4" w:space="0"/>
            </w:tcBorders>
            <w:vAlign w:val="center"/>
          </w:tcPr>
          <w:p w14:paraId="2C3D75E5">
            <w:pPr>
              <w:rPr>
                <w:rFonts w:hint="eastAsia" w:ascii="宋体" w:hAnsi="宋体" w:eastAsia="宋体" w:cs="宋体"/>
                <w:sz w:val="21"/>
                <w:szCs w:val="21"/>
                <w:highlight w:val="none"/>
              </w:rPr>
            </w:pPr>
            <w:r>
              <w:rPr>
                <w:rFonts w:hint="eastAsia" w:ascii="宋体" w:hAnsi="宋体" w:eastAsia="宋体" w:cs="宋体"/>
                <w:sz w:val="21"/>
                <w:szCs w:val="21"/>
                <w:highlight w:val="none"/>
              </w:rPr>
              <w:t>不按要求积极配合业主工作的每次扣1分，造成工作延误的每次扣3分。</w:t>
            </w:r>
          </w:p>
        </w:tc>
        <w:tc>
          <w:tcPr>
            <w:tcW w:w="1197" w:type="dxa"/>
            <w:tcBorders>
              <w:top w:val="nil"/>
              <w:left w:val="nil"/>
              <w:bottom w:val="single" w:color="auto" w:sz="4" w:space="0"/>
              <w:right w:val="single" w:color="auto" w:sz="4" w:space="0"/>
            </w:tcBorders>
            <w:noWrap/>
            <w:vAlign w:val="center"/>
          </w:tcPr>
          <w:p w14:paraId="066111E0">
            <w:pPr>
              <w:rPr>
                <w:rFonts w:hint="eastAsia" w:ascii="宋体" w:hAnsi="宋体" w:eastAsia="宋体" w:cs="宋体"/>
                <w:sz w:val="21"/>
                <w:szCs w:val="21"/>
                <w:highlight w:val="none"/>
              </w:rPr>
            </w:pPr>
            <w:r>
              <w:rPr>
                <w:rFonts w:hint="eastAsia" w:ascii="宋体" w:hAnsi="宋体" w:eastAsia="宋体" w:cs="宋体"/>
                <w:sz w:val="21"/>
                <w:szCs w:val="21"/>
                <w:highlight w:val="none"/>
              </w:rPr>
              <w:t>　</w:t>
            </w:r>
          </w:p>
        </w:tc>
        <w:tc>
          <w:tcPr>
            <w:tcW w:w="702" w:type="dxa"/>
            <w:tcBorders>
              <w:top w:val="nil"/>
              <w:left w:val="nil"/>
              <w:bottom w:val="single" w:color="auto" w:sz="4" w:space="0"/>
              <w:right w:val="single" w:color="auto" w:sz="4" w:space="0"/>
            </w:tcBorders>
            <w:noWrap/>
            <w:vAlign w:val="center"/>
          </w:tcPr>
          <w:p w14:paraId="03D1AB60">
            <w:pPr>
              <w:rPr>
                <w:rFonts w:hint="eastAsia" w:ascii="宋体" w:hAnsi="宋体" w:eastAsia="宋体" w:cs="宋体"/>
                <w:sz w:val="21"/>
                <w:szCs w:val="21"/>
                <w:highlight w:val="none"/>
              </w:rPr>
            </w:pPr>
            <w:r>
              <w:rPr>
                <w:rFonts w:hint="eastAsia" w:ascii="宋体" w:hAnsi="宋体" w:eastAsia="宋体" w:cs="宋体"/>
                <w:sz w:val="21"/>
                <w:szCs w:val="21"/>
                <w:highlight w:val="none"/>
              </w:rPr>
              <w:t>　</w:t>
            </w:r>
          </w:p>
        </w:tc>
      </w:tr>
      <w:tr w14:paraId="7ABE119F">
        <w:tblPrEx>
          <w:tblCellMar>
            <w:top w:w="0" w:type="dxa"/>
            <w:left w:w="108" w:type="dxa"/>
            <w:bottom w:w="0" w:type="dxa"/>
            <w:right w:w="108" w:type="dxa"/>
          </w:tblCellMar>
        </w:tblPrEx>
        <w:trPr>
          <w:trHeight w:val="419" w:hRule="atLeast"/>
          <w:jc w:val="center"/>
        </w:trPr>
        <w:tc>
          <w:tcPr>
            <w:tcW w:w="817" w:type="dxa"/>
            <w:tcBorders>
              <w:top w:val="nil"/>
              <w:left w:val="single" w:color="auto" w:sz="4" w:space="0"/>
              <w:bottom w:val="single" w:color="auto" w:sz="4" w:space="0"/>
              <w:right w:val="single" w:color="auto" w:sz="4" w:space="0"/>
            </w:tcBorders>
            <w:noWrap/>
            <w:vAlign w:val="center"/>
          </w:tcPr>
          <w:p w14:paraId="74CDDA71">
            <w:pP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二</w:t>
            </w:r>
          </w:p>
        </w:tc>
        <w:tc>
          <w:tcPr>
            <w:tcW w:w="6237" w:type="dxa"/>
            <w:tcBorders>
              <w:top w:val="nil"/>
              <w:left w:val="nil"/>
              <w:bottom w:val="single" w:color="auto" w:sz="4" w:space="0"/>
              <w:right w:val="single" w:color="auto" w:sz="4" w:space="0"/>
            </w:tcBorders>
            <w:noWrap/>
            <w:vAlign w:val="center"/>
          </w:tcPr>
          <w:p w14:paraId="4699CB45">
            <w:pP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工作进度评价:</w:t>
            </w:r>
          </w:p>
        </w:tc>
        <w:tc>
          <w:tcPr>
            <w:tcW w:w="851" w:type="dxa"/>
            <w:tcBorders>
              <w:top w:val="nil"/>
              <w:left w:val="nil"/>
              <w:bottom w:val="single" w:color="auto" w:sz="4" w:space="0"/>
              <w:right w:val="single" w:color="auto" w:sz="4" w:space="0"/>
            </w:tcBorders>
            <w:noWrap/>
            <w:vAlign w:val="center"/>
          </w:tcPr>
          <w:p w14:paraId="0AEBB961">
            <w:pP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50</w:t>
            </w:r>
          </w:p>
        </w:tc>
        <w:tc>
          <w:tcPr>
            <w:tcW w:w="4536" w:type="dxa"/>
            <w:tcBorders>
              <w:top w:val="nil"/>
              <w:left w:val="nil"/>
              <w:bottom w:val="single" w:color="auto" w:sz="4" w:space="0"/>
              <w:right w:val="single" w:color="auto" w:sz="4" w:space="0"/>
            </w:tcBorders>
            <w:noWrap/>
            <w:vAlign w:val="center"/>
          </w:tcPr>
          <w:p w14:paraId="1CD69F6B">
            <w:pPr>
              <w:rPr>
                <w:rFonts w:hint="eastAsia" w:ascii="宋体" w:hAnsi="宋体" w:eastAsia="宋体" w:cs="宋体"/>
                <w:sz w:val="21"/>
                <w:szCs w:val="21"/>
                <w:highlight w:val="none"/>
              </w:rPr>
            </w:pPr>
            <w:r>
              <w:rPr>
                <w:rFonts w:hint="eastAsia" w:ascii="宋体" w:hAnsi="宋体" w:eastAsia="宋体" w:cs="宋体"/>
                <w:sz w:val="21"/>
                <w:szCs w:val="21"/>
                <w:highlight w:val="none"/>
              </w:rPr>
              <w:t>　</w:t>
            </w:r>
          </w:p>
        </w:tc>
        <w:tc>
          <w:tcPr>
            <w:tcW w:w="1197" w:type="dxa"/>
            <w:tcBorders>
              <w:top w:val="nil"/>
              <w:left w:val="nil"/>
              <w:bottom w:val="single" w:color="auto" w:sz="4" w:space="0"/>
              <w:right w:val="single" w:color="auto" w:sz="4" w:space="0"/>
            </w:tcBorders>
            <w:noWrap/>
            <w:vAlign w:val="center"/>
          </w:tcPr>
          <w:p w14:paraId="03ACDF16">
            <w:pPr>
              <w:rPr>
                <w:rFonts w:hint="eastAsia" w:ascii="宋体" w:hAnsi="宋体" w:eastAsia="宋体" w:cs="宋体"/>
                <w:sz w:val="21"/>
                <w:szCs w:val="21"/>
                <w:highlight w:val="none"/>
              </w:rPr>
            </w:pPr>
            <w:r>
              <w:rPr>
                <w:rFonts w:hint="eastAsia" w:ascii="宋体" w:hAnsi="宋体" w:eastAsia="宋体" w:cs="宋体"/>
                <w:sz w:val="21"/>
                <w:szCs w:val="21"/>
                <w:highlight w:val="none"/>
              </w:rPr>
              <w:t>　</w:t>
            </w:r>
          </w:p>
        </w:tc>
        <w:tc>
          <w:tcPr>
            <w:tcW w:w="702" w:type="dxa"/>
            <w:tcBorders>
              <w:top w:val="nil"/>
              <w:left w:val="nil"/>
              <w:bottom w:val="single" w:color="auto" w:sz="4" w:space="0"/>
              <w:right w:val="single" w:color="auto" w:sz="4" w:space="0"/>
            </w:tcBorders>
            <w:noWrap/>
            <w:vAlign w:val="center"/>
          </w:tcPr>
          <w:p w14:paraId="56321390">
            <w:pPr>
              <w:rPr>
                <w:rFonts w:hint="eastAsia" w:ascii="宋体" w:hAnsi="宋体" w:eastAsia="宋体" w:cs="宋体"/>
                <w:sz w:val="21"/>
                <w:szCs w:val="21"/>
                <w:highlight w:val="none"/>
              </w:rPr>
            </w:pPr>
            <w:r>
              <w:rPr>
                <w:rFonts w:hint="eastAsia" w:ascii="宋体" w:hAnsi="宋体" w:eastAsia="宋体" w:cs="宋体"/>
                <w:sz w:val="21"/>
                <w:szCs w:val="21"/>
                <w:highlight w:val="none"/>
              </w:rPr>
              <w:t>　</w:t>
            </w:r>
          </w:p>
        </w:tc>
      </w:tr>
      <w:tr w14:paraId="58F3E300">
        <w:tblPrEx>
          <w:tblCellMar>
            <w:top w:w="0" w:type="dxa"/>
            <w:left w:w="108" w:type="dxa"/>
            <w:bottom w:w="0" w:type="dxa"/>
            <w:right w:w="108" w:type="dxa"/>
          </w:tblCellMar>
        </w:tblPrEx>
        <w:trPr>
          <w:trHeight w:val="489" w:hRule="atLeast"/>
          <w:jc w:val="center"/>
        </w:trPr>
        <w:tc>
          <w:tcPr>
            <w:tcW w:w="817" w:type="dxa"/>
            <w:tcBorders>
              <w:top w:val="nil"/>
              <w:left w:val="single" w:color="auto" w:sz="4" w:space="0"/>
              <w:bottom w:val="single" w:color="auto" w:sz="4" w:space="0"/>
              <w:right w:val="single" w:color="auto" w:sz="4" w:space="0"/>
            </w:tcBorders>
            <w:noWrap/>
            <w:vAlign w:val="center"/>
          </w:tcPr>
          <w:p w14:paraId="2982D91C">
            <w:pP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1</w:t>
            </w:r>
          </w:p>
        </w:tc>
        <w:tc>
          <w:tcPr>
            <w:tcW w:w="6237" w:type="dxa"/>
            <w:tcBorders>
              <w:top w:val="nil"/>
              <w:left w:val="nil"/>
              <w:bottom w:val="single" w:color="auto" w:sz="4" w:space="0"/>
              <w:right w:val="single" w:color="auto" w:sz="4" w:space="0"/>
            </w:tcBorders>
            <w:vAlign w:val="center"/>
          </w:tcPr>
          <w:p w14:paraId="40D7B4B9">
            <w:pPr>
              <w:rPr>
                <w:rFonts w:hint="eastAsia" w:ascii="宋体" w:hAnsi="宋体" w:eastAsia="宋体" w:cs="宋体"/>
                <w:sz w:val="21"/>
                <w:szCs w:val="21"/>
                <w:highlight w:val="none"/>
              </w:rPr>
            </w:pPr>
            <w:r>
              <w:rPr>
                <w:rFonts w:hint="eastAsia" w:ascii="宋体" w:hAnsi="宋体" w:eastAsia="宋体" w:cs="宋体"/>
                <w:sz w:val="21"/>
                <w:szCs w:val="21"/>
                <w:highlight w:val="none"/>
              </w:rPr>
              <w:t>按照时间要求完成合同约定各项任务的合同要求的工作。</w:t>
            </w:r>
          </w:p>
        </w:tc>
        <w:tc>
          <w:tcPr>
            <w:tcW w:w="851" w:type="dxa"/>
            <w:tcBorders>
              <w:top w:val="nil"/>
              <w:left w:val="nil"/>
              <w:bottom w:val="single" w:color="auto" w:sz="4" w:space="0"/>
              <w:right w:val="single" w:color="auto" w:sz="4" w:space="0"/>
            </w:tcBorders>
            <w:noWrap/>
            <w:vAlign w:val="center"/>
          </w:tcPr>
          <w:p w14:paraId="079E1E07">
            <w:pPr>
              <w:rPr>
                <w:rFonts w:hint="eastAsia" w:ascii="宋体" w:hAnsi="宋体" w:eastAsia="宋体" w:cs="宋体"/>
                <w:sz w:val="21"/>
                <w:szCs w:val="21"/>
                <w:highlight w:val="none"/>
              </w:rPr>
            </w:pPr>
            <w:r>
              <w:rPr>
                <w:rFonts w:hint="eastAsia" w:ascii="宋体" w:hAnsi="宋体" w:eastAsia="宋体" w:cs="宋体"/>
                <w:sz w:val="21"/>
                <w:szCs w:val="21"/>
                <w:highlight w:val="none"/>
              </w:rPr>
              <w:t>40</w:t>
            </w:r>
          </w:p>
        </w:tc>
        <w:tc>
          <w:tcPr>
            <w:tcW w:w="4536" w:type="dxa"/>
            <w:tcBorders>
              <w:top w:val="nil"/>
              <w:left w:val="nil"/>
              <w:bottom w:val="single" w:color="auto" w:sz="4" w:space="0"/>
              <w:right w:val="single" w:color="auto" w:sz="4" w:space="0"/>
            </w:tcBorders>
            <w:vAlign w:val="center"/>
          </w:tcPr>
          <w:p w14:paraId="5DADB433">
            <w:pPr>
              <w:rPr>
                <w:rFonts w:hint="eastAsia" w:ascii="宋体" w:hAnsi="宋体" w:eastAsia="宋体" w:cs="宋体"/>
                <w:sz w:val="21"/>
                <w:szCs w:val="21"/>
                <w:highlight w:val="none"/>
              </w:rPr>
            </w:pPr>
            <w:r>
              <w:rPr>
                <w:rFonts w:hint="eastAsia" w:ascii="宋体" w:hAnsi="宋体" w:eastAsia="宋体" w:cs="宋体"/>
                <w:sz w:val="21"/>
                <w:szCs w:val="21"/>
                <w:highlight w:val="none"/>
              </w:rPr>
              <w:t>未按照要求完成合同节点任务的，每次扣1分。</w:t>
            </w:r>
          </w:p>
        </w:tc>
        <w:tc>
          <w:tcPr>
            <w:tcW w:w="1197" w:type="dxa"/>
            <w:tcBorders>
              <w:top w:val="nil"/>
              <w:left w:val="nil"/>
              <w:bottom w:val="single" w:color="auto" w:sz="4" w:space="0"/>
              <w:right w:val="single" w:color="auto" w:sz="4" w:space="0"/>
            </w:tcBorders>
            <w:noWrap/>
            <w:vAlign w:val="center"/>
          </w:tcPr>
          <w:p w14:paraId="0FDEFA14">
            <w:pPr>
              <w:rPr>
                <w:rFonts w:hint="eastAsia" w:ascii="宋体" w:hAnsi="宋体" w:eastAsia="宋体" w:cs="宋体"/>
                <w:sz w:val="21"/>
                <w:szCs w:val="21"/>
                <w:highlight w:val="none"/>
              </w:rPr>
            </w:pPr>
            <w:r>
              <w:rPr>
                <w:rFonts w:hint="eastAsia" w:ascii="宋体" w:hAnsi="宋体" w:eastAsia="宋体" w:cs="宋体"/>
                <w:sz w:val="21"/>
                <w:szCs w:val="21"/>
                <w:highlight w:val="none"/>
              </w:rPr>
              <w:t>　</w:t>
            </w:r>
          </w:p>
        </w:tc>
        <w:tc>
          <w:tcPr>
            <w:tcW w:w="702" w:type="dxa"/>
            <w:tcBorders>
              <w:top w:val="nil"/>
              <w:left w:val="nil"/>
              <w:bottom w:val="single" w:color="auto" w:sz="4" w:space="0"/>
              <w:right w:val="single" w:color="auto" w:sz="4" w:space="0"/>
            </w:tcBorders>
            <w:noWrap/>
            <w:vAlign w:val="center"/>
          </w:tcPr>
          <w:p w14:paraId="0493F942">
            <w:pPr>
              <w:rPr>
                <w:rFonts w:hint="eastAsia" w:ascii="宋体" w:hAnsi="宋体" w:eastAsia="宋体" w:cs="宋体"/>
                <w:sz w:val="21"/>
                <w:szCs w:val="21"/>
                <w:highlight w:val="none"/>
              </w:rPr>
            </w:pPr>
            <w:r>
              <w:rPr>
                <w:rFonts w:hint="eastAsia" w:ascii="宋体" w:hAnsi="宋体" w:eastAsia="宋体" w:cs="宋体"/>
                <w:sz w:val="21"/>
                <w:szCs w:val="21"/>
                <w:highlight w:val="none"/>
              </w:rPr>
              <w:t>　</w:t>
            </w:r>
          </w:p>
        </w:tc>
      </w:tr>
      <w:tr w14:paraId="2B1AB8A3">
        <w:tblPrEx>
          <w:tblCellMar>
            <w:top w:w="0" w:type="dxa"/>
            <w:left w:w="108" w:type="dxa"/>
            <w:bottom w:w="0" w:type="dxa"/>
            <w:right w:w="108" w:type="dxa"/>
          </w:tblCellMar>
        </w:tblPrEx>
        <w:trPr>
          <w:trHeight w:val="437" w:hRule="atLeast"/>
          <w:jc w:val="center"/>
        </w:trPr>
        <w:tc>
          <w:tcPr>
            <w:tcW w:w="817" w:type="dxa"/>
            <w:tcBorders>
              <w:top w:val="nil"/>
              <w:left w:val="single" w:color="auto" w:sz="4" w:space="0"/>
              <w:bottom w:val="single" w:color="auto" w:sz="4" w:space="0"/>
              <w:right w:val="single" w:color="auto" w:sz="4" w:space="0"/>
            </w:tcBorders>
            <w:noWrap/>
            <w:vAlign w:val="center"/>
          </w:tcPr>
          <w:p w14:paraId="0E8859B9">
            <w:pP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2</w:t>
            </w:r>
          </w:p>
        </w:tc>
        <w:tc>
          <w:tcPr>
            <w:tcW w:w="6237" w:type="dxa"/>
            <w:tcBorders>
              <w:top w:val="nil"/>
              <w:left w:val="nil"/>
              <w:bottom w:val="single" w:color="auto" w:sz="4" w:space="0"/>
              <w:right w:val="single" w:color="auto" w:sz="4" w:space="0"/>
            </w:tcBorders>
            <w:vAlign w:val="center"/>
          </w:tcPr>
          <w:p w14:paraId="71B42799">
            <w:pPr>
              <w:rPr>
                <w:rFonts w:hint="eastAsia" w:ascii="宋体" w:hAnsi="宋体" w:eastAsia="宋体" w:cs="宋体"/>
                <w:sz w:val="21"/>
                <w:szCs w:val="21"/>
                <w:highlight w:val="none"/>
              </w:rPr>
            </w:pPr>
            <w:r>
              <w:rPr>
                <w:rFonts w:hint="eastAsia" w:ascii="宋体" w:hAnsi="宋体" w:eastAsia="宋体" w:cs="宋体"/>
                <w:sz w:val="21"/>
                <w:szCs w:val="21"/>
                <w:highlight w:val="none"/>
              </w:rPr>
              <w:t>与业主等相关单位积极沟通项目，积极配合解决项目问题。</w:t>
            </w:r>
          </w:p>
        </w:tc>
        <w:tc>
          <w:tcPr>
            <w:tcW w:w="851" w:type="dxa"/>
            <w:tcBorders>
              <w:top w:val="nil"/>
              <w:left w:val="nil"/>
              <w:bottom w:val="single" w:color="auto" w:sz="4" w:space="0"/>
              <w:right w:val="single" w:color="auto" w:sz="4" w:space="0"/>
            </w:tcBorders>
            <w:noWrap/>
            <w:vAlign w:val="center"/>
          </w:tcPr>
          <w:p w14:paraId="54CF6D2B">
            <w:pPr>
              <w:rPr>
                <w:rFonts w:hint="eastAsia" w:ascii="宋体" w:hAnsi="宋体" w:eastAsia="宋体" w:cs="宋体"/>
                <w:sz w:val="21"/>
                <w:szCs w:val="21"/>
                <w:highlight w:val="none"/>
              </w:rPr>
            </w:pPr>
            <w:r>
              <w:rPr>
                <w:rFonts w:hint="eastAsia" w:ascii="宋体" w:hAnsi="宋体" w:eastAsia="宋体" w:cs="宋体"/>
                <w:sz w:val="21"/>
                <w:szCs w:val="21"/>
                <w:highlight w:val="none"/>
              </w:rPr>
              <w:t>10</w:t>
            </w:r>
          </w:p>
        </w:tc>
        <w:tc>
          <w:tcPr>
            <w:tcW w:w="4536" w:type="dxa"/>
            <w:tcBorders>
              <w:top w:val="nil"/>
              <w:left w:val="nil"/>
              <w:bottom w:val="single" w:color="auto" w:sz="4" w:space="0"/>
              <w:right w:val="single" w:color="auto" w:sz="4" w:space="0"/>
            </w:tcBorders>
            <w:vAlign w:val="center"/>
          </w:tcPr>
          <w:p w14:paraId="0DA2D3FC">
            <w:pPr>
              <w:rPr>
                <w:rFonts w:hint="eastAsia" w:ascii="宋体" w:hAnsi="宋体" w:eastAsia="宋体" w:cs="宋体"/>
                <w:sz w:val="21"/>
                <w:szCs w:val="21"/>
                <w:highlight w:val="none"/>
              </w:rPr>
            </w:pPr>
            <w:r>
              <w:rPr>
                <w:rFonts w:hint="eastAsia" w:ascii="宋体" w:hAnsi="宋体" w:eastAsia="宋体" w:cs="宋体"/>
                <w:sz w:val="21"/>
                <w:szCs w:val="21"/>
                <w:highlight w:val="none"/>
              </w:rPr>
              <w:t>工作不主动沟通，相互推诿的，每次扣1分。</w:t>
            </w:r>
          </w:p>
        </w:tc>
        <w:tc>
          <w:tcPr>
            <w:tcW w:w="1197" w:type="dxa"/>
            <w:tcBorders>
              <w:top w:val="nil"/>
              <w:left w:val="nil"/>
              <w:bottom w:val="single" w:color="auto" w:sz="4" w:space="0"/>
              <w:right w:val="single" w:color="auto" w:sz="4" w:space="0"/>
            </w:tcBorders>
            <w:noWrap/>
            <w:vAlign w:val="center"/>
          </w:tcPr>
          <w:p w14:paraId="65AEB7D7">
            <w:pPr>
              <w:rPr>
                <w:rFonts w:hint="eastAsia" w:ascii="宋体" w:hAnsi="宋体" w:eastAsia="宋体" w:cs="宋体"/>
                <w:sz w:val="21"/>
                <w:szCs w:val="21"/>
                <w:highlight w:val="none"/>
              </w:rPr>
            </w:pPr>
            <w:r>
              <w:rPr>
                <w:rFonts w:hint="eastAsia" w:ascii="宋体" w:hAnsi="宋体" w:eastAsia="宋体" w:cs="宋体"/>
                <w:sz w:val="21"/>
                <w:szCs w:val="21"/>
                <w:highlight w:val="none"/>
              </w:rPr>
              <w:t>　</w:t>
            </w:r>
          </w:p>
        </w:tc>
        <w:tc>
          <w:tcPr>
            <w:tcW w:w="702" w:type="dxa"/>
            <w:tcBorders>
              <w:top w:val="nil"/>
              <w:left w:val="nil"/>
              <w:bottom w:val="single" w:color="auto" w:sz="4" w:space="0"/>
              <w:right w:val="single" w:color="auto" w:sz="4" w:space="0"/>
            </w:tcBorders>
            <w:noWrap/>
            <w:vAlign w:val="center"/>
          </w:tcPr>
          <w:p w14:paraId="33946703">
            <w:pPr>
              <w:rPr>
                <w:rFonts w:hint="eastAsia" w:ascii="宋体" w:hAnsi="宋体" w:eastAsia="宋体" w:cs="宋体"/>
                <w:sz w:val="21"/>
                <w:szCs w:val="21"/>
                <w:highlight w:val="none"/>
              </w:rPr>
            </w:pPr>
            <w:r>
              <w:rPr>
                <w:rFonts w:hint="eastAsia" w:ascii="宋体" w:hAnsi="宋体" w:eastAsia="宋体" w:cs="宋体"/>
                <w:sz w:val="21"/>
                <w:szCs w:val="21"/>
                <w:highlight w:val="none"/>
              </w:rPr>
              <w:t>　</w:t>
            </w:r>
          </w:p>
        </w:tc>
      </w:tr>
      <w:tr w14:paraId="6A66D0CA">
        <w:tblPrEx>
          <w:tblCellMar>
            <w:top w:w="0" w:type="dxa"/>
            <w:left w:w="108" w:type="dxa"/>
            <w:bottom w:w="0" w:type="dxa"/>
            <w:right w:w="108" w:type="dxa"/>
          </w:tblCellMar>
        </w:tblPrEx>
        <w:trPr>
          <w:trHeight w:val="384" w:hRule="atLeast"/>
          <w:jc w:val="center"/>
        </w:trPr>
        <w:tc>
          <w:tcPr>
            <w:tcW w:w="817" w:type="dxa"/>
            <w:tcBorders>
              <w:top w:val="nil"/>
              <w:left w:val="single" w:color="auto" w:sz="4" w:space="0"/>
              <w:bottom w:val="single" w:color="auto" w:sz="4" w:space="0"/>
              <w:right w:val="single" w:color="auto" w:sz="4" w:space="0"/>
            </w:tcBorders>
            <w:noWrap/>
            <w:vAlign w:val="center"/>
          </w:tcPr>
          <w:p w14:paraId="5B8DD883">
            <w:pP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三</w:t>
            </w:r>
          </w:p>
        </w:tc>
        <w:tc>
          <w:tcPr>
            <w:tcW w:w="6237" w:type="dxa"/>
            <w:tcBorders>
              <w:top w:val="nil"/>
              <w:left w:val="nil"/>
              <w:bottom w:val="single" w:color="auto" w:sz="4" w:space="0"/>
              <w:right w:val="single" w:color="auto" w:sz="4" w:space="0"/>
            </w:tcBorders>
            <w:noWrap/>
            <w:vAlign w:val="center"/>
          </w:tcPr>
          <w:p w14:paraId="001F3ED2">
            <w:pP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工作质量方面:</w:t>
            </w:r>
          </w:p>
        </w:tc>
        <w:tc>
          <w:tcPr>
            <w:tcW w:w="851" w:type="dxa"/>
            <w:tcBorders>
              <w:top w:val="nil"/>
              <w:left w:val="nil"/>
              <w:bottom w:val="single" w:color="auto" w:sz="4" w:space="0"/>
              <w:right w:val="single" w:color="auto" w:sz="4" w:space="0"/>
            </w:tcBorders>
            <w:noWrap/>
            <w:vAlign w:val="center"/>
          </w:tcPr>
          <w:p w14:paraId="15487824">
            <w:pP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30</w:t>
            </w:r>
          </w:p>
        </w:tc>
        <w:tc>
          <w:tcPr>
            <w:tcW w:w="4536" w:type="dxa"/>
            <w:tcBorders>
              <w:top w:val="nil"/>
              <w:left w:val="nil"/>
              <w:bottom w:val="single" w:color="auto" w:sz="4" w:space="0"/>
              <w:right w:val="single" w:color="auto" w:sz="4" w:space="0"/>
            </w:tcBorders>
            <w:noWrap/>
            <w:vAlign w:val="center"/>
          </w:tcPr>
          <w:p w14:paraId="212B458C">
            <w:pPr>
              <w:rPr>
                <w:rFonts w:hint="eastAsia" w:ascii="宋体" w:hAnsi="宋体" w:eastAsia="宋体" w:cs="宋体"/>
                <w:sz w:val="21"/>
                <w:szCs w:val="21"/>
                <w:highlight w:val="none"/>
              </w:rPr>
            </w:pPr>
            <w:r>
              <w:rPr>
                <w:rFonts w:hint="eastAsia" w:ascii="宋体" w:hAnsi="宋体" w:eastAsia="宋体" w:cs="宋体"/>
                <w:sz w:val="21"/>
                <w:szCs w:val="21"/>
                <w:highlight w:val="none"/>
              </w:rPr>
              <w:t>　</w:t>
            </w:r>
          </w:p>
        </w:tc>
        <w:tc>
          <w:tcPr>
            <w:tcW w:w="1197" w:type="dxa"/>
            <w:tcBorders>
              <w:top w:val="nil"/>
              <w:left w:val="nil"/>
              <w:bottom w:val="single" w:color="auto" w:sz="4" w:space="0"/>
              <w:right w:val="single" w:color="auto" w:sz="4" w:space="0"/>
            </w:tcBorders>
            <w:noWrap/>
            <w:vAlign w:val="center"/>
          </w:tcPr>
          <w:p w14:paraId="7B456BB4">
            <w:pPr>
              <w:rPr>
                <w:rFonts w:hint="eastAsia" w:ascii="宋体" w:hAnsi="宋体" w:eastAsia="宋体" w:cs="宋体"/>
                <w:sz w:val="21"/>
                <w:szCs w:val="21"/>
                <w:highlight w:val="none"/>
              </w:rPr>
            </w:pPr>
            <w:r>
              <w:rPr>
                <w:rFonts w:hint="eastAsia" w:ascii="宋体" w:hAnsi="宋体" w:eastAsia="宋体" w:cs="宋体"/>
                <w:sz w:val="21"/>
                <w:szCs w:val="21"/>
                <w:highlight w:val="none"/>
              </w:rPr>
              <w:t>　</w:t>
            </w:r>
          </w:p>
        </w:tc>
        <w:tc>
          <w:tcPr>
            <w:tcW w:w="702" w:type="dxa"/>
            <w:tcBorders>
              <w:top w:val="nil"/>
              <w:left w:val="nil"/>
              <w:bottom w:val="single" w:color="auto" w:sz="4" w:space="0"/>
              <w:right w:val="single" w:color="auto" w:sz="4" w:space="0"/>
            </w:tcBorders>
            <w:noWrap/>
            <w:vAlign w:val="center"/>
          </w:tcPr>
          <w:p w14:paraId="1A13F76D">
            <w:pPr>
              <w:rPr>
                <w:rFonts w:hint="eastAsia" w:ascii="宋体" w:hAnsi="宋体" w:eastAsia="宋体" w:cs="宋体"/>
                <w:sz w:val="21"/>
                <w:szCs w:val="21"/>
                <w:highlight w:val="none"/>
              </w:rPr>
            </w:pPr>
            <w:r>
              <w:rPr>
                <w:rFonts w:hint="eastAsia" w:ascii="宋体" w:hAnsi="宋体" w:eastAsia="宋体" w:cs="宋体"/>
                <w:sz w:val="21"/>
                <w:szCs w:val="21"/>
                <w:highlight w:val="none"/>
              </w:rPr>
              <w:t>　</w:t>
            </w:r>
          </w:p>
        </w:tc>
      </w:tr>
      <w:tr w14:paraId="70545B0C">
        <w:tblPrEx>
          <w:tblCellMar>
            <w:top w:w="0" w:type="dxa"/>
            <w:left w:w="108" w:type="dxa"/>
            <w:bottom w:w="0" w:type="dxa"/>
            <w:right w:w="108" w:type="dxa"/>
          </w:tblCellMar>
        </w:tblPrEx>
        <w:trPr>
          <w:trHeight w:val="445" w:hRule="atLeast"/>
          <w:jc w:val="center"/>
        </w:trPr>
        <w:tc>
          <w:tcPr>
            <w:tcW w:w="817" w:type="dxa"/>
            <w:tcBorders>
              <w:top w:val="nil"/>
              <w:left w:val="single" w:color="auto" w:sz="4" w:space="0"/>
              <w:bottom w:val="single" w:color="auto" w:sz="4" w:space="0"/>
              <w:right w:val="single" w:color="auto" w:sz="4" w:space="0"/>
            </w:tcBorders>
            <w:noWrap/>
            <w:vAlign w:val="center"/>
          </w:tcPr>
          <w:p w14:paraId="40CB3935">
            <w:pP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1</w:t>
            </w:r>
          </w:p>
        </w:tc>
        <w:tc>
          <w:tcPr>
            <w:tcW w:w="6237" w:type="dxa"/>
            <w:tcBorders>
              <w:top w:val="nil"/>
              <w:left w:val="nil"/>
              <w:bottom w:val="single" w:color="auto" w:sz="4" w:space="0"/>
              <w:right w:val="single" w:color="auto" w:sz="4" w:space="0"/>
            </w:tcBorders>
            <w:noWrap/>
            <w:vAlign w:val="center"/>
          </w:tcPr>
          <w:p w14:paraId="27B8437E">
            <w:pPr>
              <w:rPr>
                <w:rFonts w:hint="eastAsia" w:ascii="宋体" w:hAnsi="宋体" w:eastAsia="宋体" w:cs="宋体"/>
                <w:sz w:val="21"/>
                <w:szCs w:val="21"/>
                <w:highlight w:val="none"/>
              </w:rPr>
            </w:pPr>
            <w:r>
              <w:rPr>
                <w:rFonts w:hint="eastAsia" w:ascii="宋体" w:hAnsi="宋体" w:eastAsia="宋体" w:cs="宋体"/>
                <w:sz w:val="21"/>
                <w:szCs w:val="21"/>
                <w:highlight w:val="none"/>
              </w:rPr>
              <w:t>严格遵守相关法律法规、规章制度、作业程序及行业执业规范。</w:t>
            </w:r>
          </w:p>
        </w:tc>
        <w:tc>
          <w:tcPr>
            <w:tcW w:w="851" w:type="dxa"/>
            <w:tcBorders>
              <w:top w:val="nil"/>
              <w:left w:val="nil"/>
              <w:bottom w:val="single" w:color="auto" w:sz="4" w:space="0"/>
              <w:right w:val="single" w:color="auto" w:sz="4" w:space="0"/>
            </w:tcBorders>
            <w:noWrap/>
            <w:vAlign w:val="center"/>
          </w:tcPr>
          <w:p w14:paraId="760DE28D">
            <w:pPr>
              <w:rPr>
                <w:rFonts w:hint="eastAsia" w:ascii="宋体" w:hAnsi="宋体" w:eastAsia="宋体" w:cs="宋体"/>
                <w:sz w:val="21"/>
                <w:szCs w:val="21"/>
                <w:highlight w:val="none"/>
              </w:rPr>
            </w:pPr>
            <w:r>
              <w:rPr>
                <w:rFonts w:hint="eastAsia" w:ascii="宋体" w:hAnsi="宋体" w:eastAsia="宋体" w:cs="宋体"/>
                <w:sz w:val="21"/>
                <w:szCs w:val="21"/>
                <w:highlight w:val="none"/>
              </w:rPr>
              <w:t>10</w:t>
            </w:r>
          </w:p>
        </w:tc>
        <w:tc>
          <w:tcPr>
            <w:tcW w:w="4536" w:type="dxa"/>
            <w:tcBorders>
              <w:top w:val="nil"/>
              <w:left w:val="nil"/>
              <w:bottom w:val="single" w:color="auto" w:sz="4" w:space="0"/>
              <w:right w:val="single" w:color="auto" w:sz="4" w:space="0"/>
            </w:tcBorders>
            <w:vAlign w:val="center"/>
          </w:tcPr>
          <w:p w14:paraId="3A65FF3C">
            <w:pPr>
              <w:rPr>
                <w:rFonts w:hint="eastAsia" w:ascii="宋体" w:hAnsi="宋体" w:eastAsia="宋体" w:cs="宋体"/>
                <w:sz w:val="21"/>
                <w:szCs w:val="21"/>
                <w:highlight w:val="none"/>
              </w:rPr>
            </w:pPr>
            <w:r>
              <w:rPr>
                <w:rFonts w:hint="eastAsia" w:ascii="宋体" w:hAnsi="宋体" w:eastAsia="宋体" w:cs="宋体"/>
                <w:sz w:val="21"/>
                <w:szCs w:val="21"/>
                <w:highlight w:val="none"/>
              </w:rPr>
              <w:t>违反一条扣1分。</w:t>
            </w:r>
          </w:p>
        </w:tc>
        <w:tc>
          <w:tcPr>
            <w:tcW w:w="1197" w:type="dxa"/>
            <w:tcBorders>
              <w:top w:val="nil"/>
              <w:left w:val="nil"/>
              <w:bottom w:val="single" w:color="auto" w:sz="4" w:space="0"/>
              <w:right w:val="single" w:color="auto" w:sz="4" w:space="0"/>
            </w:tcBorders>
            <w:noWrap/>
            <w:vAlign w:val="center"/>
          </w:tcPr>
          <w:p w14:paraId="2A945DDC">
            <w:pPr>
              <w:rPr>
                <w:rFonts w:hint="eastAsia" w:ascii="宋体" w:hAnsi="宋体" w:eastAsia="宋体" w:cs="宋体"/>
                <w:sz w:val="21"/>
                <w:szCs w:val="21"/>
                <w:highlight w:val="none"/>
              </w:rPr>
            </w:pPr>
            <w:r>
              <w:rPr>
                <w:rFonts w:hint="eastAsia" w:ascii="宋体" w:hAnsi="宋体" w:eastAsia="宋体" w:cs="宋体"/>
                <w:sz w:val="21"/>
                <w:szCs w:val="21"/>
                <w:highlight w:val="none"/>
              </w:rPr>
              <w:t>　</w:t>
            </w:r>
          </w:p>
        </w:tc>
        <w:tc>
          <w:tcPr>
            <w:tcW w:w="702" w:type="dxa"/>
            <w:tcBorders>
              <w:top w:val="nil"/>
              <w:left w:val="nil"/>
              <w:bottom w:val="single" w:color="auto" w:sz="4" w:space="0"/>
              <w:right w:val="single" w:color="auto" w:sz="4" w:space="0"/>
            </w:tcBorders>
            <w:noWrap/>
            <w:vAlign w:val="center"/>
          </w:tcPr>
          <w:p w14:paraId="0228F77C">
            <w:pPr>
              <w:rPr>
                <w:rFonts w:hint="eastAsia" w:ascii="宋体" w:hAnsi="宋体" w:eastAsia="宋体" w:cs="宋体"/>
                <w:sz w:val="21"/>
                <w:szCs w:val="21"/>
                <w:highlight w:val="none"/>
              </w:rPr>
            </w:pPr>
            <w:r>
              <w:rPr>
                <w:rFonts w:hint="eastAsia" w:ascii="宋体" w:hAnsi="宋体" w:eastAsia="宋体" w:cs="宋体"/>
                <w:sz w:val="21"/>
                <w:szCs w:val="21"/>
                <w:highlight w:val="none"/>
              </w:rPr>
              <w:t>　</w:t>
            </w:r>
          </w:p>
        </w:tc>
      </w:tr>
      <w:tr w14:paraId="2D2B6CA6">
        <w:tblPrEx>
          <w:tblCellMar>
            <w:top w:w="0" w:type="dxa"/>
            <w:left w:w="108" w:type="dxa"/>
            <w:bottom w:w="0" w:type="dxa"/>
            <w:right w:w="108" w:type="dxa"/>
          </w:tblCellMar>
        </w:tblPrEx>
        <w:trPr>
          <w:trHeight w:val="399" w:hRule="atLeast"/>
          <w:jc w:val="center"/>
        </w:trPr>
        <w:tc>
          <w:tcPr>
            <w:tcW w:w="817" w:type="dxa"/>
            <w:tcBorders>
              <w:top w:val="nil"/>
              <w:left w:val="single" w:color="auto" w:sz="4" w:space="0"/>
              <w:bottom w:val="single" w:color="auto" w:sz="4" w:space="0"/>
              <w:right w:val="single" w:color="auto" w:sz="4" w:space="0"/>
            </w:tcBorders>
            <w:noWrap/>
            <w:vAlign w:val="center"/>
          </w:tcPr>
          <w:p w14:paraId="0563A64A">
            <w:pP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2</w:t>
            </w:r>
          </w:p>
        </w:tc>
        <w:tc>
          <w:tcPr>
            <w:tcW w:w="6237" w:type="dxa"/>
            <w:tcBorders>
              <w:top w:val="nil"/>
              <w:left w:val="nil"/>
              <w:bottom w:val="single" w:color="auto" w:sz="4" w:space="0"/>
              <w:right w:val="single" w:color="auto" w:sz="4" w:space="0"/>
            </w:tcBorders>
            <w:noWrap/>
            <w:vAlign w:val="center"/>
          </w:tcPr>
          <w:p w14:paraId="366CF38F">
            <w:pPr>
              <w:rPr>
                <w:rFonts w:hint="eastAsia" w:ascii="宋体" w:hAnsi="宋体" w:eastAsia="宋体" w:cs="宋体"/>
                <w:sz w:val="21"/>
                <w:szCs w:val="21"/>
                <w:highlight w:val="none"/>
              </w:rPr>
            </w:pPr>
            <w:r>
              <w:rPr>
                <w:rFonts w:hint="eastAsia" w:ascii="宋体" w:hAnsi="宋体" w:eastAsia="宋体" w:cs="宋体"/>
                <w:sz w:val="21"/>
                <w:szCs w:val="21"/>
                <w:highlight w:val="none"/>
              </w:rPr>
              <w:t>分析报告，出图，前期分析等服务事项。</w:t>
            </w:r>
          </w:p>
        </w:tc>
        <w:tc>
          <w:tcPr>
            <w:tcW w:w="851" w:type="dxa"/>
            <w:tcBorders>
              <w:top w:val="nil"/>
              <w:left w:val="nil"/>
              <w:bottom w:val="single" w:color="auto" w:sz="4" w:space="0"/>
              <w:right w:val="single" w:color="auto" w:sz="4" w:space="0"/>
            </w:tcBorders>
            <w:noWrap/>
            <w:vAlign w:val="center"/>
          </w:tcPr>
          <w:p w14:paraId="53800BC7">
            <w:pPr>
              <w:rPr>
                <w:rFonts w:hint="eastAsia" w:ascii="宋体" w:hAnsi="宋体" w:eastAsia="宋体" w:cs="宋体"/>
                <w:sz w:val="21"/>
                <w:szCs w:val="21"/>
                <w:highlight w:val="none"/>
              </w:rPr>
            </w:pPr>
            <w:r>
              <w:rPr>
                <w:rFonts w:hint="eastAsia" w:ascii="宋体" w:hAnsi="宋体" w:eastAsia="宋体" w:cs="宋体"/>
                <w:sz w:val="21"/>
                <w:szCs w:val="21"/>
                <w:highlight w:val="none"/>
              </w:rPr>
              <w:t>20</w:t>
            </w:r>
          </w:p>
        </w:tc>
        <w:tc>
          <w:tcPr>
            <w:tcW w:w="4536" w:type="dxa"/>
            <w:tcBorders>
              <w:top w:val="nil"/>
              <w:left w:val="nil"/>
              <w:bottom w:val="single" w:color="auto" w:sz="4" w:space="0"/>
              <w:right w:val="single" w:color="auto" w:sz="4" w:space="0"/>
            </w:tcBorders>
            <w:vAlign w:val="center"/>
          </w:tcPr>
          <w:p w14:paraId="4AFED2BB">
            <w:pPr>
              <w:rPr>
                <w:rFonts w:hint="eastAsia" w:ascii="宋体" w:hAnsi="宋体" w:eastAsia="宋体" w:cs="宋体"/>
                <w:sz w:val="21"/>
                <w:szCs w:val="21"/>
                <w:highlight w:val="none"/>
              </w:rPr>
            </w:pPr>
            <w:r>
              <w:rPr>
                <w:rFonts w:hint="eastAsia" w:ascii="宋体" w:hAnsi="宋体" w:eastAsia="宋体" w:cs="宋体"/>
                <w:sz w:val="21"/>
                <w:szCs w:val="21"/>
                <w:highlight w:val="none"/>
              </w:rPr>
              <w:t>分析有误的扣1分。</w:t>
            </w:r>
          </w:p>
        </w:tc>
        <w:tc>
          <w:tcPr>
            <w:tcW w:w="1197" w:type="dxa"/>
            <w:tcBorders>
              <w:top w:val="nil"/>
              <w:left w:val="nil"/>
              <w:bottom w:val="single" w:color="auto" w:sz="4" w:space="0"/>
              <w:right w:val="single" w:color="auto" w:sz="4" w:space="0"/>
            </w:tcBorders>
            <w:noWrap/>
            <w:vAlign w:val="center"/>
          </w:tcPr>
          <w:p w14:paraId="5F0F30E1">
            <w:pPr>
              <w:rPr>
                <w:rFonts w:hint="eastAsia" w:ascii="宋体" w:hAnsi="宋体" w:eastAsia="宋体" w:cs="宋体"/>
                <w:sz w:val="21"/>
                <w:szCs w:val="21"/>
                <w:highlight w:val="none"/>
              </w:rPr>
            </w:pPr>
            <w:r>
              <w:rPr>
                <w:rFonts w:hint="eastAsia" w:ascii="宋体" w:hAnsi="宋体" w:eastAsia="宋体" w:cs="宋体"/>
                <w:sz w:val="21"/>
                <w:szCs w:val="21"/>
                <w:highlight w:val="none"/>
              </w:rPr>
              <w:t>　</w:t>
            </w:r>
          </w:p>
        </w:tc>
        <w:tc>
          <w:tcPr>
            <w:tcW w:w="702" w:type="dxa"/>
            <w:tcBorders>
              <w:top w:val="nil"/>
              <w:left w:val="nil"/>
              <w:bottom w:val="single" w:color="auto" w:sz="4" w:space="0"/>
              <w:right w:val="single" w:color="auto" w:sz="4" w:space="0"/>
            </w:tcBorders>
            <w:noWrap/>
            <w:vAlign w:val="center"/>
          </w:tcPr>
          <w:p w14:paraId="6A8D958F">
            <w:pPr>
              <w:rPr>
                <w:rFonts w:hint="eastAsia" w:ascii="宋体" w:hAnsi="宋体" w:eastAsia="宋体" w:cs="宋体"/>
                <w:sz w:val="21"/>
                <w:szCs w:val="21"/>
                <w:highlight w:val="none"/>
              </w:rPr>
            </w:pPr>
            <w:r>
              <w:rPr>
                <w:rFonts w:hint="eastAsia" w:ascii="宋体" w:hAnsi="宋体" w:eastAsia="宋体" w:cs="宋体"/>
                <w:sz w:val="21"/>
                <w:szCs w:val="21"/>
                <w:highlight w:val="none"/>
              </w:rPr>
              <w:t>　</w:t>
            </w:r>
          </w:p>
        </w:tc>
      </w:tr>
      <w:tr w14:paraId="25B464A8">
        <w:tblPrEx>
          <w:tblCellMar>
            <w:top w:w="0" w:type="dxa"/>
            <w:left w:w="108" w:type="dxa"/>
            <w:bottom w:w="0" w:type="dxa"/>
            <w:right w:w="108" w:type="dxa"/>
          </w:tblCellMar>
        </w:tblPrEx>
        <w:trPr>
          <w:trHeight w:val="452" w:hRule="atLeast"/>
          <w:jc w:val="center"/>
        </w:trPr>
        <w:tc>
          <w:tcPr>
            <w:tcW w:w="817" w:type="dxa"/>
            <w:tcBorders>
              <w:top w:val="nil"/>
              <w:left w:val="single" w:color="auto" w:sz="4" w:space="0"/>
              <w:bottom w:val="single" w:color="auto" w:sz="4" w:space="0"/>
              <w:right w:val="single" w:color="auto" w:sz="4" w:space="0"/>
            </w:tcBorders>
            <w:noWrap/>
            <w:vAlign w:val="center"/>
          </w:tcPr>
          <w:p w14:paraId="3558FA37">
            <w:pPr>
              <w:rPr>
                <w:rFonts w:hint="eastAsia" w:ascii="宋体" w:hAnsi="宋体" w:eastAsia="宋体" w:cs="宋体"/>
                <w:sz w:val="21"/>
                <w:szCs w:val="21"/>
                <w:highlight w:val="none"/>
              </w:rPr>
            </w:pPr>
            <w:r>
              <w:rPr>
                <w:rFonts w:hint="eastAsia" w:ascii="宋体" w:hAnsi="宋体" w:eastAsia="宋体" w:cs="宋体"/>
                <w:sz w:val="21"/>
                <w:szCs w:val="21"/>
                <w:highlight w:val="none"/>
              </w:rPr>
              <w:t>　</w:t>
            </w:r>
          </w:p>
        </w:tc>
        <w:tc>
          <w:tcPr>
            <w:tcW w:w="6237" w:type="dxa"/>
            <w:tcBorders>
              <w:top w:val="nil"/>
              <w:left w:val="nil"/>
              <w:bottom w:val="single" w:color="auto" w:sz="4" w:space="0"/>
              <w:right w:val="single" w:color="auto" w:sz="4" w:space="0"/>
            </w:tcBorders>
            <w:noWrap/>
            <w:vAlign w:val="center"/>
          </w:tcPr>
          <w:p w14:paraId="2A38F0CE">
            <w:pP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最终质量考核结果</w:t>
            </w:r>
          </w:p>
        </w:tc>
        <w:tc>
          <w:tcPr>
            <w:tcW w:w="851" w:type="dxa"/>
            <w:tcBorders>
              <w:top w:val="nil"/>
              <w:left w:val="nil"/>
              <w:bottom w:val="single" w:color="auto" w:sz="4" w:space="0"/>
              <w:right w:val="single" w:color="auto" w:sz="4" w:space="0"/>
            </w:tcBorders>
            <w:noWrap/>
            <w:vAlign w:val="center"/>
          </w:tcPr>
          <w:p w14:paraId="4247D9A0">
            <w:pP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100</w:t>
            </w:r>
          </w:p>
        </w:tc>
        <w:tc>
          <w:tcPr>
            <w:tcW w:w="4536" w:type="dxa"/>
            <w:tcBorders>
              <w:top w:val="nil"/>
              <w:left w:val="nil"/>
              <w:bottom w:val="single" w:color="auto" w:sz="4" w:space="0"/>
              <w:right w:val="single" w:color="auto" w:sz="4" w:space="0"/>
            </w:tcBorders>
            <w:noWrap/>
            <w:vAlign w:val="center"/>
          </w:tcPr>
          <w:p w14:paraId="785C0C7D">
            <w:pPr>
              <w:rPr>
                <w:rFonts w:hint="eastAsia" w:ascii="宋体" w:hAnsi="宋体" w:eastAsia="宋体" w:cs="宋体"/>
                <w:sz w:val="21"/>
                <w:szCs w:val="21"/>
                <w:highlight w:val="none"/>
              </w:rPr>
            </w:pPr>
            <w:r>
              <w:rPr>
                <w:rFonts w:hint="eastAsia" w:ascii="宋体" w:hAnsi="宋体" w:eastAsia="宋体" w:cs="宋体"/>
                <w:sz w:val="21"/>
                <w:szCs w:val="21"/>
                <w:highlight w:val="none"/>
              </w:rPr>
              <w:t>　</w:t>
            </w:r>
          </w:p>
        </w:tc>
        <w:tc>
          <w:tcPr>
            <w:tcW w:w="1197" w:type="dxa"/>
            <w:tcBorders>
              <w:top w:val="nil"/>
              <w:left w:val="nil"/>
              <w:bottom w:val="single" w:color="auto" w:sz="4" w:space="0"/>
              <w:right w:val="single" w:color="auto" w:sz="4" w:space="0"/>
            </w:tcBorders>
            <w:noWrap/>
            <w:vAlign w:val="center"/>
          </w:tcPr>
          <w:p w14:paraId="65D1037A">
            <w:pPr>
              <w:rPr>
                <w:rFonts w:hint="eastAsia" w:ascii="宋体" w:hAnsi="宋体" w:eastAsia="宋体" w:cs="宋体"/>
                <w:sz w:val="21"/>
                <w:szCs w:val="21"/>
                <w:highlight w:val="none"/>
              </w:rPr>
            </w:pPr>
            <w:r>
              <w:rPr>
                <w:rFonts w:hint="eastAsia" w:ascii="宋体" w:hAnsi="宋体" w:eastAsia="宋体" w:cs="宋体"/>
                <w:sz w:val="21"/>
                <w:szCs w:val="21"/>
                <w:highlight w:val="none"/>
              </w:rPr>
              <w:t>　</w:t>
            </w:r>
          </w:p>
        </w:tc>
        <w:tc>
          <w:tcPr>
            <w:tcW w:w="702" w:type="dxa"/>
            <w:tcBorders>
              <w:top w:val="nil"/>
              <w:left w:val="nil"/>
              <w:bottom w:val="single" w:color="auto" w:sz="4" w:space="0"/>
              <w:right w:val="single" w:color="auto" w:sz="4" w:space="0"/>
            </w:tcBorders>
            <w:noWrap/>
            <w:vAlign w:val="center"/>
          </w:tcPr>
          <w:p w14:paraId="4BFFAE82">
            <w:pPr>
              <w:rPr>
                <w:rFonts w:hint="eastAsia" w:ascii="宋体" w:hAnsi="宋体" w:eastAsia="宋体" w:cs="宋体"/>
                <w:sz w:val="21"/>
                <w:szCs w:val="21"/>
                <w:highlight w:val="none"/>
              </w:rPr>
            </w:pPr>
            <w:r>
              <w:rPr>
                <w:rFonts w:hint="eastAsia" w:ascii="宋体" w:hAnsi="宋体" w:eastAsia="宋体" w:cs="宋体"/>
                <w:sz w:val="21"/>
                <w:szCs w:val="21"/>
                <w:highlight w:val="none"/>
              </w:rPr>
              <w:t>　</w:t>
            </w:r>
          </w:p>
        </w:tc>
      </w:tr>
      <w:tr w14:paraId="1D1AA536">
        <w:tblPrEx>
          <w:tblCellMar>
            <w:top w:w="0" w:type="dxa"/>
            <w:left w:w="108" w:type="dxa"/>
            <w:bottom w:w="0" w:type="dxa"/>
            <w:right w:w="108" w:type="dxa"/>
          </w:tblCellMar>
        </w:tblPrEx>
        <w:trPr>
          <w:trHeight w:val="1006" w:hRule="atLeast"/>
          <w:jc w:val="center"/>
        </w:trPr>
        <w:tc>
          <w:tcPr>
            <w:tcW w:w="14340" w:type="dxa"/>
            <w:gridSpan w:val="6"/>
            <w:tcBorders>
              <w:top w:val="single" w:color="auto" w:sz="4" w:space="0"/>
              <w:left w:val="single" w:color="auto" w:sz="4" w:space="0"/>
              <w:bottom w:val="single" w:color="000000" w:sz="4" w:space="0"/>
              <w:right w:val="single" w:color="000000" w:sz="4" w:space="0"/>
            </w:tcBorders>
          </w:tcPr>
          <w:p w14:paraId="438C7CC8">
            <w:pPr>
              <w:rPr>
                <w:rFonts w:hint="eastAsia" w:ascii="宋体" w:hAnsi="宋体" w:eastAsia="宋体" w:cs="宋体"/>
                <w:sz w:val="21"/>
                <w:szCs w:val="21"/>
                <w:highlight w:val="none"/>
              </w:rPr>
            </w:pPr>
            <w:r>
              <w:rPr>
                <w:rFonts w:hint="eastAsia" w:ascii="宋体" w:hAnsi="宋体" w:eastAsia="宋体" w:cs="宋体"/>
                <w:sz w:val="21"/>
                <w:szCs w:val="21"/>
                <w:highlight w:val="none"/>
              </w:rPr>
              <w:t>考核小组人员：</w:t>
            </w:r>
          </w:p>
          <w:p w14:paraId="4AC0A4A4">
            <w:pPr>
              <w:rPr>
                <w:rFonts w:hint="eastAsia" w:ascii="宋体" w:hAnsi="宋体" w:eastAsia="宋体" w:cs="宋体"/>
                <w:sz w:val="21"/>
                <w:szCs w:val="21"/>
                <w:highlight w:val="none"/>
              </w:rPr>
            </w:pPr>
          </w:p>
          <w:p w14:paraId="0604CB54">
            <w:pPr>
              <w:rPr>
                <w:rFonts w:hint="eastAsia" w:ascii="宋体" w:hAnsi="宋体" w:eastAsia="宋体" w:cs="宋体"/>
                <w:sz w:val="21"/>
                <w:szCs w:val="21"/>
                <w:highlight w:val="none"/>
              </w:rPr>
            </w:pPr>
            <w:r>
              <w:rPr>
                <w:rFonts w:hint="eastAsia" w:ascii="宋体" w:hAnsi="宋体" w:eastAsia="宋体" w:cs="宋体"/>
                <w:sz w:val="21"/>
                <w:szCs w:val="21"/>
                <w:highlight w:val="none"/>
              </w:rPr>
              <w:t>考核日期：     年     月     日</w:t>
            </w:r>
          </w:p>
        </w:tc>
      </w:tr>
    </w:tbl>
    <w:p w14:paraId="25483537">
      <w:pPr>
        <w:pBdr>
          <w:top w:val="none" w:color="000000" w:sz="0" w:space="0"/>
          <w:left w:val="none" w:color="000000" w:sz="0" w:space="0"/>
          <w:bottom w:val="none" w:color="000000" w:sz="0" w:space="0"/>
          <w:right w:val="none" w:color="000000" w:sz="0" w:space="0"/>
        </w:pBdr>
        <w:rPr>
          <w:rFonts w:hint="eastAsia" w:ascii="宋体" w:hAnsi="宋体" w:eastAsia="宋体" w:cs="宋体"/>
          <w:sz w:val="21"/>
          <w:szCs w:val="21"/>
          <w:highlight w:val="none"/>
        </w:rPr>
        <w:sectPr>
          <w:pgSz w:w="16838" w:h="11906" w:orient="landscape"/>
          <w:pgMar w:top="1508" w:right="907" w:bottom="1366" w:left="907" w:header="567" w:footer="675" w:gutter="0"/>
          <w:pgBorders>
            <w:top w:val="none" w:sz="0" w:space="0"/>
            <w:left w:val="none" w:sz="0" w:space="0"/>
            <w:bottom w:val="none" w:sz="0" w:space="0"/>
            <w:right w:val="none" w:sz="0" w:space="0"/>
          </w:pgBorders>
          <w:pgNumType w:fmt="decimal"/>
          <w:cols w:space="720" w:num="1"/>
          <w:titlePg/>
          <w:docGrid w:linePitch="360" w:charSpace="0"/>
        </w:sectPr>
      </w:pPr>
    </w:p>
    <w:p w14:paraId="319593FC">
      <w:pPr>
        <w:widowControl w:val="0"/>
        <w:jc w:val="both"/>
        <w:rPr>
          <w:rFonts w:ascii="Calibri" w:hAnsi="Calibri"/>
          <w:color w:val="auto"/>
          <w:sz w:val="21"/>
          <w:szCs w:val="22"/>
          <w:highlight w:val="none"/>
        </w:rPr>
      </w:pPr>
    </w:p>
    <w:p w14:paraId="22197067">
      <w:pPr>
        <w:spacing w:line="360" w:lineRule="auto"/>
        <w:jc w:val="center"/>
        <w:outlineLvl w:val="0"/>
        <w:rPr>
          <w:rFonts w:ascii="宋体" w:hAnsi="宋体" w:cs="宋体"/>
          <w:b/>
          <w:bCs/>
          <w:color w:val="auto"/>
          <w:sz w:val="32"/>
          <w:szCs w:val="32"/>
          <w:highlight w:val="none"/>
        </w:rPr>
      </w:pPr>
      <w:bookmarkStart w:id="101" w:name="_Toc32667"/>
      <w:bookmarkStart w:id="102" w:name="_Toc25289"/>
      <w:bookmarkStart w:id="103" w:name="_Toc12706"/>
      <w:bookmarkStart w:id="104" w:name="_Toc28824"/>
      <w:r>
        <w:rPr>
          <w:rFonts w:hint="eastAsia" w:ascii="宋体" w:hAnsi="宋体" w:cs="宋体"/>
          <w:b/>
          <w:bCs/>
          <w:color w:val="auto"/>
          <w:sz w:val="32"/>
          <w:szCs w:val="32"/>
          <w:highlight w:val="none"/>
        </w:rPr>
        <w:t>第六章 评标方法和评分标准</w:t>
      </w:r>
      <w:bookmarkEnd w:id="98"/>
      <w:bookmarkEnd w:id="99"/>
      <w:bookmarkEnd w:id="101"/>
      <w:bookmarkEnd w:id="102"/>
      <w:bookmarkEnd w:id="103"/>
      <w:bookmarkEnd w:id="104"/>
    </w:p>
    <w:p w14:paraId="7240E7B9">
      <w:pPr>
        <w:spacing w:line="360" w:lineRule="auto"/>
        <w:ind w:firstLine="442"/>
        <w:rPr>
          <w:rFonts w:ascii="宋体" w:hAnsi="宋体" w:cs="宋体"/>
          <w:b/>
          <w:color w:val="auto"/>
          <w:sz w:val="22"/>
          <w:szCs w:val="21"/>
          <w:highlight w:val="none"/>
        </w:rPr>
      </w:pPr>
      <w:r>
        <w:rPr>
          <w:rFonts w:hint="eastAsia" w:ascii="宋体" w:hAnsi="宋体" w:cs="宋体"/>
          <w:b/>
          <w:color w:val="auto"/>
          <w:sz w:val="22"/>
          <w:szCs w:val="21"/>
          <w:highlight w:val="none"/>
        </w:rPr>
        <w:t>一、评标方法</w:t>
      </w:r>
    </w:p>
    <w:p w14:paraId="26D0DB71">
      <w:pPr>
        <w:widowControl w:val="0"/>
        <w:spacing w:line="360" w:lineRule="auto"/>
        <w:ind w:firstLine="420"/>
        <w:rPr>
          <w:rFonts w:ascii="宋体" w:hAnsi="宋体" w:cs="宋体"/>
          <w:color w:val="auto"/>
          <w:sz w:val="21"/>
          <w:szCs w:val="21"/>
          <w:highlight w:val="none"/>
        </w:rPr>
      </w:pPr>
      <w:bookmarkStart w:id="105" w:name="OLE_LINK40"/>
      <w:r>
        <w:rPr>
          <w:rFonts w:hint="eastAsia" w:ascii="宋体" w:hAnsi="宋体" w:cs="宋体"/>
          <w:color w:val="auto"/>
          <w:sz w:val="21"/>
          <w:szCs w:val="21"/>
          <w:highlight w:val="none"/>
        </w:rPr>
        <w:t>1.本次招标评标采用综合评分法，是指投标文件满足招标文件全部实质性要求，且按照评审因素的量化指标评审得分最高的投标人为排名第一的中标候选人的评标方法。</w:t>
      </w:r>
    </w:p>
    <w:p w14:paraId="676A5BE1">
      <w:pPr>
        <w:widowControl w:val="0"/>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2.评标委员会各成员独立对每个进入打分程序的有效投标人的投标文件以打分的形式进行评审和评价。</w:t>
      </w:r>
    </w:p>
    <w:p w14:paraId="55687952">
      <w:pPr>
        <w:widowControl w:val="0"/>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3.对评委的评分（除价格分外）进行统计汇总，直接算术平均计算出每个投标人的得分（计算结果四舍五入，保留两位小数），加上价格得分即为每个投标人的综合得分。</w:t>
      </w:r>
    </w:p>
    <w:p w14:paraId="65C653CD">
      <w:pPr>
        <w:widowControl w:val="0"/>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4.如出现评审得分最高的投标人有两个或两个以上的，以投标报价较低者优先作为排名第一的中标候选人，如果投标报价也相同的，则由评标委员会组织以抽签方式确定排名第一的中标候选人。</w:t>
      </w:r>
      <w:bookmarkEnd w:id="105"/>
    </w:p>
    <w:p w14:paraId="2C505EBF">
      <w:pPr>
        <w:widowControl w:val="0"/>
        <w:spacing w:line="360" w:lineRule="auto"/>
        <w:ind w:firstLine="422"/>
        <w:rPr>
          <w:rFonts w:ascii="宋体" w:hAnsi="宋体" w:cs="宋体"/>
          <w:color w:val="auto"/>
          <w:sz w:val="21"/>
          <w:szCs w:val="21"/>
          <w:highlight w:val="none"/>
        </w:rPr>
      </w:pPr>
      <w:r>
        <w:rPr>
          <w:rFonts w:hint="eastAsia" w:ascii="宋体" w:hAnsi="宋体" w:cs="宋体"/>
          <w:b/>
          <w:color w:val="auto"/>
          <w:sz w:val="21"/>
          <w:szCs w:val="21"/>
          <w:highlight w:val="none"/>
        </w:rPr>
        <w:t>二、评分标准</w:t>
      </w:r>
    </w:p>
    <w:p w14:paraId="7195C4BA">
      <w:pPr>
        <w:spacing w:line="360" w:lineRule="auto"/>
        <w:ind w:firstLine="422"/>
        <w:rPr>
          <w:rFonts w:ascii="宋体" w:hAnsi="宋体" w:cs="宋体"/>
          <w:b/>
          <w:color w:val="auto"/>
          <w:sz w:val="21"/>
          <w:szCs w:val="21"/>
          <w:highlight w:val="none"/>
        </w:rPr>
      </w:pPr>
      <w:bookmarkStart w:id="106" w:name="OLE_LINK41"/>
      <w:r>
        <w:rPr>
          <w:rFonts w:hint="eastAsia" w:ascii="宋体" w:hAnsi="宋体" w:cs="宋体"/>
          <w:b/>
          <w:color w:val="auto"/>
          <w:sz w:val="21"/>
          <w:szCs w:val="21"/>
          <w:highlight w:val="none"/>
        </w:rPr>
        <w:t>（一）投标报价（</w:t>
      </w:r>
      <w:r>
        <w:rPr>
          <w:rFonts w:hint="eastAsia" w:ascii="宋体" w:hAnsi="宋体" w:cs="宋体"/>
          <w:b/>
          <w:color w:val="auto"/>
          <w:sz w:val="21"/>
          <w:szCs w:val="21"/>
          <w:highlight w:val="none"/>
          <w:lang w:val="en-US" w:eastAsia="zh-CN"/>
        </w:rPr>
        <w:t>2</w:t>
      </w:r>
      <w:r>
        <w:rPr>
          <w:rFonts w:hint="eastAsia" w:ascii="宋体" w:hAnsi="宋体" w:cs="宋体"/>
          <w:b/>
          <w:color w:val="auto"/>
          <w:sz w:val="21"/>
          <w:szCs w:val="21"/>
          <w:highlight w:val="none"/>
        </w:rPr>
        <w:t>0分）</w:t>
      </w:r>
    </w:p>
    <w:p w14:paraId="79C80035">
      <w:pPr>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价格分统一采用低价优先法计算，即满足招标文件要求且报价最低的投标人的价格为投标基准价，其价格分为</w:t>
      </w:r>
      <w:r>
        <w:rPr>
          <w:rFonts w:hint="eastAsia" w:ascii="宋体" w:hAnsi="宋体" w:cs="宋体"/>
          <w:color w:val="auto"/>
          <w:sz w:val="21"/>
          <w:szCs w:val="21"/>
          <w:highlight w:val="none"/>
          <w:lang w:val="en-US" w:eastAsia="zh-CN"/>
        </w:rPr>
        <w:t>2</w:t>
      </w:r>
      <w:r>
        <w:rPr>
          <w:rFonts w:hint="eastAsia" w:ascii="宋体" w:hAnsi="宋体" w:cs="宋体"/>
          <w:color w:val="auto"/>
          <w:sz w:val="21"/>
          <w:szCs w:val="21"/>
          <w:highlight w:val="none"/>
        </w:rPr>
        <w:t>0分。其他投标人的价格分统一按照下列公式计算：</w:t>
      </w:r>
    </w:p>
    <w:p w14:paraId="399E1991">
      <w:pPr>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报价得分=【投标基准价/投标报价）×价格权值（本项目为</w:t>
      </w:r>
      <w:r>
        <w:rPr>
          <w:rFonts w:hint="eastAsia" w:ascii="宋体" w:hAnsi="宋体" w:cs="宋体"/>
          <w:color w:val="auto"/>
          <w:sz w:val="21"/>
          <w:szCs w:val="21"/>
          <w:highlight w:val="none"/>
          <w:lang w:val="en-US" w:eastAsia="zh-CN"/>
        </w:rPr>
        <w:t>2</w:t>
      </w:r>
      <w:r>
        <w:rPr>
          <w:rFonts w:hint="eastAsia" w:ascii="宋体" w:hAnsi="宋体" w:cs="宋体"/>
          <w:color w:val="auto"/>
          <w:sz w:val="21"/>
          <w:szCs w:val="21"/>
          <w:highlight w:val="none"/>
        </w:rPr>
        <w:t>0%）×100】，小数点后四舍五入保留两位小数。</w:t>
      </w:r>
    </w:p>
    <w:p w14:paraId="660FEF91">
      <w:pPr>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投标报价不超过采购预算价的为有效报价，否则为无效响应。</w:t>
      </w:r>
    </w:p>
    <w:bookmarkEnd w:id="106"/>
    <w:p w14:paraId="3AF7580F">
      <w:pPr>
        <w:spacing w:line="360" w:lineRule="auto"/>
        <w:ind w:firstLine="42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（二）技术方案（60分）</w:t>
      </w:r>
    </w:p>
    <w:p w14:paraId="6A705421">
      <w:pPr>
        <w:pStyle w:val="17"/>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1.对招标项目的理解（7分）</w:t>
      </w:r>
    </w:p>
    <w:p w14:paraId="367F4E2D">
      <w:pPr>
        <w:pStyle w:val="17"/>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对本项目的理解与对整个项目的整体把握，包括但不限于对项目概况、项目工作范围、项目目标、项目主要工作内容、最终成果等内容进行阐述，结合本项目的实际情况进行了解调查的文字说明，对项目认知明确、项目需求分析透彻、具体深入，提供详细的说明和分析，满足采购需求的得7分；对项目情况基本了解，并提供相关分析，基本符合采购需求的为4分；对项目情况了解一般，提供相关分析一般，符合采购需求的为2分；对项目情况不够了解，相关分析合理性较差，有描述但内容欠缺的得1分；未提供不得分。</w:t>
      </w:r>
    </w:p>
    <w:p w14:paraId="4AD85B6A">
      <w:pPr>
        <w:pStyle w:val="17"/>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2.工作技术方案（18分）</w:t>
      </w:r>
    </w:p>
    <w:p w14:paraId="2F143AF0">
      <w:pPr>
        <w:pStyle w:val="17"/>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根据投标人的工作方法、工作思路、工作计划安排的完整性、可行性及对本项目的重点难点分析认识、提出的对策措施等方面评分；</w:t>
      </w:r>
    </w:p>
    <w:p w14:paraId="3571B234">
      <w:pPr>
        <w:pStyle w:val="17"/>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2.1主要的工作方法、工作思路（7分）</w:t>
      </w:r>
    </w:p>
    <w:p w14:paraId="7DECE70F">
      <w:pPr>
        <w:pStyle w:val="17"/>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工作方法及思路先进、科学合理、有落地措施的得7分；方法及思路较先进、较合理、有措施的得4分；方法及思路一般、基本合理、有措施的得2分；方法及思路简单或有欠缺的得1分；无内容描述不得分。</w:t>
      </w:r>
    </w:p>
    <w:p w14:paraId="5A7E0838">
      <w:pPr>
        <w:pStyle w:val="17"/>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2.2项目的重点、难点分析（7分）</w:t>
      </w:r>
    </w:p>
    <w:p w14:paraId="2FDB6BD7">
      <w:pPr>
        <w:pStyle w:val="17"/>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对本项目关键技术问题及难点分析，并结合本项目的关键技术问题及难点分析，提出有针对性的应对措施综合评定。重难点分析完整、科学合理的得7分；重难点分析较为全面、较合理的得4分；重难点分析一般、合理性一般的得2分；重难点分析基本贴合实际、不太合理、分析有所欠缺的得1分；未提供不得分。</w:t>
      </w:r>
    </w:p>
    <w:p w14:paraId="7CADDEDC">
      <w:pPr>
        <w:pStyle w:val="17"/>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2.3针对重点难点的应对策略（4分）</w:t>
      </w:r>
    </w:p>
    <w:p w14:paraId="5107CA44">
      <w:pPr>
        <w:pStyle w:val="17"/>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策略科学先进、可具体落地措施的得4分；策略一般、有措施的得2分；策略欠缺、有明显的不足、无措施的得1分；未提供不得分。</w:t>
      </w:r>
    </w:p>
    <w:p w14:paraId="175D2C1B">
      <w:pPr>
        <w:pStyle w:val="17"/>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3.项目组织实施方案（18分）</w:t>
      </w:r>
    </w:p>
    <w:p w14:paraId="4F87A424">
      <w:pPr>
        <w:pStyle w:val="17"/>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从各投标人的项目管理机构的工作流程及工作内容组织实施、后续安排与服务承诺等方面酌情评分</w:t>
      </w:r>
    </w:p>
    <w:p w14:paraId="4C5200F6">
      <w:pPr>
        <w:pStyle w:val="17"/>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3.1项目工作流程（7分）</w:t>
      </w:r>
    </w:p>
    <w:p w14:paraId="74F0A47F">
      <w:pPr>
        <w:pStyle w:val="17"/>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工作流程清晰明了、合理、可行性高的得7分；工作流程较清晰、较合理、可行性较高的得4分；工作流程清晰度一般、合理性一般、可行性一般的得2分；工作流程模糊不清、可行性较低的得1分；未提供不得分。</w:t>
      </w:r>
    </w:p>
    <w:p w14:paraId="241C272E">
      <w:pPr>
        <w:pStyle w:val="17"/>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3.2工作内容组织实施（7分）</w:t>
      </w:r>
    </w:p>
    <w:p w14:paraId="4C16E062">
      <w:pPr>
        <w:pStyle w:val="17"/>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实施方案思路清晰，合理齐全，实施方法可行、全面，完全符合采购要求，各类专业人员分工明确，岗位职责清晰的得7分；方案基本完整、具有一定可实施性的，人员有分工的得4分；方案内容描述一般、可实施的得2分；方案内容有涉及，但存在缺陷的得1分；未提供不得分。</w:t>
      </w:r>
    </w:p>
    <w:p w14:paraId="0B61AB7E">
      <w:pPr>
        <w:pStyle w:val="17"/>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3.3后续安排与服务承诺（4分）</w:t>
      </w:r>
    </w:p>
    <w:p w14:paraId="4FB4F8E5">
      <w:pPr>
        <w:pStyle w:val="17"/>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完全满足采购人要求、安排科学、服务承诺全面详实的得4分；基本满足采购人要求、安排科学性一般，服务一般的得2分；安排不够科学且服务欠缺的得1分；未提供不得分。</w:t>
      </w:r>
    </w:p>
    <w:p w14:paraId="4BD976EC">
      <w:pPr>
        <w:pStyle w:val="17"/>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4.工作进度、质量及保证措施（12分）</w:t>
      </w:r>
    </w:p>
    <w:p w14:paraId="17E06910">
      <w:pPr>
        <w:pStyle w:val="17"/>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4.1项目进度保证措施（4分）</w:t>
      </w:r>
    </w:p>
    <w:p w14:paraId="2F169911">
      <w:pPr>
        <w:pStyle w:val="17"/>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计划安排及措施科学合理、附有详细说明、有具体落地措施的得4分；计划安排及措施一般的得2分；措施内容有缺失的得1分；未提供不得分。</w:t>
      </w:r>
    </w:p>
    <w:p w14:paraId="6690F9FF">
      <w:pPr>
        <w:pStyle w:val="17"/>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4.2技术质量保障措施（4分）</w:t>
      </w:r>
    </w:p>
    <w:p w14:paraId="0E22609C">
      <w:pPr>
        <w:pStyle w:val="17"/>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措施安排科学合理、附有详细说明、有具体落地措施的得4分；计划安排及措施一般的得2分；措施内容有缺失的得1分；未提供不得分。</w:t>
      </w:r>
    </w:p>
    <w:p w14:paraId="4C19FBAB">
      <w:pPr>
        <w:pStyle w:val="17"/>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4.3安全保密保障措施（4分）</w:t>
      </w:r>
    </w:p>
    <w:p w14:paraId="5501FB3E">
      <w:pPr>
        <w:pStyle w:val="17"/>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措施安排科学合理、附有详细说明、有具体落地措施的得4分；计划安排及措施一般的得2分；措施内容有缺失的得1分；未提供不得分。</w:t>
      </w:r>
    </w:p>
    <w:p w14:paraId="02EE25D7">
      <w:pPr>
        <w:pStyle w:val="17"/>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5.项目优化措施（5分）</w:t>
      </w:r>
    </w:p>
    <w:p w14:paraId="60030386">
      <w:pPr>
        <w:pStyle w:val="17"/>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对可缩短报批周期、减少采购人工作量、提高报批服务质量的各类服务优化措施等方面评分：措施科学、合理、可行的得5分；措施较合理可行的得3分；措施合理可行性一般的得2分；措施较简单或欠缺的得1分；未提供不得分。</w:t>
      </w:r>
    </w:p>
    <w:p w14:paraId="63E07DDF">
      <w:pPr>
        <w:pStyle w:val="17"/>
        <w:spacing w:line="360" w:lineRule="auto"/>
        <w:ind w:firstLine="42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（三）本项目人员配置（13分）</w:t>
      </w:r>
    </w:p>
    <w:p w14:paraId="364E03F5">
      <w:pPr>
        <w:pStyle w:val="17"/>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项目负责人（2分）</w:t>
      </w:r>
    </w:p>
    <w:p w14:paraId="34CBA41A">
      <w:pPr>
        <w:pStyle w:val="17"/>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1.1项目负责人具备高级职称得2分，具备中级职称得1分，其余不得分。</w:t>
      </w:r>
    </w:p>
    <w:p w14:paraId="2D1AA1B1">
      <w:pPr>
        <w:pStyle w:val="17"/>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技术负责人（1分）</w:t>
      </w:r>
    </w:p>
    <w:p w14:paraId="23810FCE">
      <w:pPr>
        <w:pStyle w:val="17"/>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2.1技术负责人具备具备中级</w:t>
      </w:r>
      <w:r>
        <w:rPr>
          <w:rFonts w:hint="eastAsia" w:ascii="宋体" w:hAnsi="宋体" w:eastAsia="宋体" w:cs="宋体"/>
          <w:color w:val="auto"/>
          <w:sz w:val="21"/>
          <w:szCs w:val="21"/>
          <w:highlight w:val="none"/>
          <w:lang w:val="en-US" w:eastAsia="zh-CN"/>
        </w:rPr>
        <w:t>及以上</w:t>
      </w:r>
      <w:r>
        <w:rPr>
          <w:rFonts w:hint="eastAsia" w:ascii="宋体" w:hAnsi="宋体" w:eastAsia="宋体" w:cs="宋体"/>
          <w:color w:val="auto"/>
          <w:sz w:val="21"/>
          <w:szCs w:val="21"/>
          <w:highlight w:val="none"/>
        </w:rPr>
        <w:t>职称得</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分，其余不得分。</w:t>
      </w:r>
    </w:p>
    <w:p w14:paraId="372FD359">
      <w:pPr>
        <w:pStyle w:val="17"/>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项目组成员（不含项目负责人与技术负责人）（10分）</w:t>
      </w:r>
    </w:p>
    <w:p w14:paraId="73734012">
      <w:pPr>
        <w:pStyle w:val="17"/>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3.1项目组成员满足5人得基本分</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分，每增加一人得</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分；本项最高得</w:t>
      </w: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分。</w:t>
      </w:r>
    </w:p>
    <w:p w14:paraId="259C7A8A">
      <w:pPr>
        <w:pStyle w:val="17"/>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3.2项目组成员中具备中级及以上职称的，每提供一人得</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分；本项最高得</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分。</w:t>
      </w:r>
    </w:p>
    <w:p w14:paraId="252A3117">
      <w:pPr>
        <w:pStyle w:val="17"/>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注：1）投标文件中须提供人员相关证书扫描件并加盖公章，否则不得分。</w:t>
      </w:r>
    </w:p>
    <w:p w14:paraId="223A7851">
      <w:pPr>
        <w:pStyle w:val="17"/>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2）投标文件中须提供投标</w:t>
      </w:r>
      <w:r>
        <w:rPr>
          <w:rFonts w:hint="eastAsia" w:ascii="宋体" w:hAnsi="宋体" w:eastAsia="宋体" w:cs="宋体"/>
          <w:color w:val="auto"/>
          <w:sz w:val="21"/>
          <w:szCs w:val="21"/>
          <w:highlight w:val="none"/>
          <w:lang w:val="en-US" w:eastAsia="zh-CN"/>
        </w:rPr>
        <w:t>人</w:t>
      </w:r>
      <w:r>
        <w:rPr>
          <w:rFonts w:hint="eastAsia" w:ascii="宋体" w:hAnsi="宋体" w:eastAsia="宋体" w:cs="宋体"/>
          <w:color w:val="auto"/>
          <w:sz w:val="21"/>
          <w:szCs w:val="21"/>
          <w:highlight w:val="none"/>
        </w:rPr>
        <w:t>为上述人员缴纳的近</w:t>
      </w:r>
      <w:r>
        <w:rPr>
          <w:rFonts w:hint="eastAsia" w:ascii="宋体" w:hAnsi="宋体" w:eastAsia="宋体" w:cs="宋体"/>
          <w:color w:val="auto"/>
          <w:sz w:val="21"/>
          <w:szCs w:val="21"/>
          <w:highlight w:val="none"/>
          <w:lang w:val="en-US" w:eastAsia="zh-CN"/>
        </w:rPr>
        <w:t>六个月内任意</w:t>
      </w:r>
      <w:r>
        <w:rPr>
          <w:rFonts w:hint="eastAsia" w:ascii="宋体" w:hAnsi="宋体" w:eastAsia="宋体" w:cs="宋体"/>
          <w:color w:val="auto"/>
          <w:sz w:val="21"/>
          <w:szCs w:val="21"/>
          <w:highlight w:val="none"/>
        </w:rPr>
        <w:t>一期社保缴费证明扫描件并加盖公章。</w:t>
      </w:r>
    </w:p>
    <w:p w14:paraId="17ED0AB2">
      <w:pPr>
        <w:pStyle w:val="17"/>
        <w:spacing w:line="360" w:lineRule="auto"/>
        <w:ind w:firstLine="42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（四）履约能力（7分）</w:t>
      </w:r>
    </w:p>
    <w:p w14:paraId="7DDAAF3F">
      <w:pPr>
        <w:pStyle w:val="17"/>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企业具有有效的质量管理体系认证证书、环境管理体系认证证书、职业健康安全管理体系认证证书的，有一个得1分；本项最高得3分。（须提供有效的认证证书扫描件及对应证书在国家认可监督管理委员会官网查询结果的完整网页截图，未按要求提供或未提供不得分。）</w:t>
      </w:r>
    </w:p>
    <w:p w14:paraId="118AA348">
      <w:pPr>
        <w:pStyle w:val="17"/>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项目业绩（4分）</w:t>
      </w:r>
    </w:p>
    <w:p w14:paraId="27BF1E44">
      <w:pPr>
        <w:pStyle w:val="17"/>
        <w:spacing w:line="360" w:lineRule="auto"/>
        <w:ind w:firstLine="42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投标单位自202</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月1日以来</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以合同签订时间为准</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承担过</w:t>
      </w:r>
      <w:r>
        <w:rPr>
          <w:rFonts w:hint="eastAsia" w:ascii="宋体" w:hAnsi="宋体" w:eastAsia="宋体" w:cs="宋体"/>
          <w:color w:val="auto"/>
          <w:sz w:val="21"/>
          <w:szCs w:val="21"/>
          <w:highlight w:val="none"/>
          <w:lang w:val="en-US" w:eastAsia="zh-CN"/>
        </w:rPr>
        <w:t>类似</w:t>
      </w:r>
      <w:r>
        <w:rPr>
          <w:rFonts w:hint="eastAsia" w:ascii="宋体" w:hAnsi="宋体" w:eastAsia="宋体" w:cs="宋体"/>
          <w:color w:val="auto"/>
          <w:sz w:val="21"/>
          <w:szCs w:val="21"/>
          <w:highlight w:val="none"/>
        </w:rPr>
        <w:t>项目业绩的，每有一个得0.5分；本项最高得4分。</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须</w:t>
      </w:r>
      <w:r>
        <w:rPr>
          <w:rFonts w:hint="eastAsia" w:ascii="宋体" w:hAnsi="宋体" w:eastAsia="宋体" w:cs="宋体"/>
          <w:color w:val="auto"/>
          <w:sz w:val="21"/>
          <w:szCs w:val="21"/>
          <w:highlight w:val="none"/>
        </w:rPr>
        <w:t>提供合同扫描件</w:t>
      </w:r>
      <w:r>
        <w:rPr>
          <w:rFonts w:hint="eastAsia" w:ascii="宋体" w:hAnsi="宋体" w:eastAsia="宋体" w:cs="宋体"/>
          <w:color w:val="auto"/>
          <w:sz w:val="21"/>
          <w:szCs w:val="21"/>
          <w:highlight w:val="none"/>
          <w:lang w:eastAsia="zh-CN"/>
        </w:rPr>
        <w:t>）</w:t>
      </w:r>
    </w:p>
    <w:p w14:paraId="73A39F20">
      <w:pPr>
        <w:adjustRightInd w:val="0"/>
        <w:snapToGrid w:val="0"/>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注：1.付款方式如有负偏离的不得中标。</w:t>
      </w:r>
    </w:p>
    <w:p w14:paraId="644FA7E7">
      <w:pPr>
        <w:spacing w:line="360" w:lineRule="auto"/>
        <w:ind w:firstLine="422" w:firstLineChars="200"/>
        <w:rPr>
          <w:rFonts w:ascii="宋体" w:hAnsi="宋体" w:cs="宋体"/>
          <w:b/>
          <w:bCs/>
          <w:color w:val="auto"/>
          <w:sz w:val="21"/>
          <w:szCs w:val="21"/>
          <w:highlight w:val="none"/>
        </w:rPr>
      </w:pPr>
      <w:r>
        <w:rPr>
          <w:rFonts w:hint="eastAsia" w:ascii="宋体" w:hAnsi="宋体" w:cs="宋体"/>
          <w:b/>
          <w:bCs/>
          <w:color w:val="auto"/>
          <w:sz w:val="21"/>
          <w:szCs w:val="21"/>
          <w:highlight w:val="none"/>
        </w:rPr>
        <w:t>2.针对评分标准中评分的每一条，投标人均应提供相关资料或作出相应说明供评委评判，不提供相关资料或说明的视为不具备该项得分的条件。</w:t>
      </w:r>
    </w:p>
    <w:p w14:paraId="67AAF6AF">
      <w:pPr>
        <w:spacing w:line="360" w:lineRule="auto"/>
        <w:jc w:val="right"/>
        <w:rPr>
          <w:rFonts w:ascii="宋体" w:hAnsi="宋体" w:cs="宋体"/>
          <w:color w:val="auto"/>
          <w:sz w:val="21"/>
          <w:szCs w:val="21"/>
          <w:highlight w:val="none"/>
        </w:rPr>
      </w:pPr>
      <w:r>
        <w:rPr>
          <w:rFonts w:hint="eastAsia" w:ascii="宋体" w:hAnsi="宋体" w:cs="宋体"/>
          <w:color w:val="auto"/>
          <w:sz w:val="21"/>
          <w:szCs w:val="21"/>
          <w:highlight w:val="none"/>
        </w:rPr>
        <w:t>（全文完）</w:t>
      </w:r>
    </w:p>
    <w:p w14:paraId="2A68F3DE">
      <w:pPr>
        <w:pStyle w:val="17"/>
        <w:spacing w:line="360" w:lineRule="auto"/>
        <w:ind w:firstLine="420"/>
        <w:rPr>
          <w:rFonts w:ascii="宋体" w:hAnsi="宋体" w:eastAsia="宋体" w:cs="宋体"/>
          <w:color w:val="auto"/>
          <w:sz w:val="21"/>
          <w:szCs w:val="21"/>
          <w:highlight w:val="none"/>
        </w:rPr>
      </w:pPr>
    </w:p>
    <w:sectPr>
      <w:footerReference r:id="rId13" w:type="first"/>
      <w:headerReference r:id="rId9" w:type="default"/>
      <w:footerReference r:id="rId11" w:type="default"/>
      <w:headerReference r:id="rId10" w:type="even"/>
      <w:footerReference r:id="rId12" w:type="even"/>
      <w:pgSz w:w="11906" w:h="16838"/>
      <w:pgMar w:top="907" w:right="1077" w:bottom="907" w:left="1077" w:header="851" w:footer="850" w:gutter="0"/>
      <w:pgBorders>
        <w:top w:val="none" w:sz="0" w:space="0"/>
        <w:left w:val="none" w:sz="0" w:space="0"/>
        <w:bottom w:val="none" w:sz="0" w:space="0"/>
        <w:right w:val="none" w:sz="0" w:space="0"/>
      </w:pgBorders>
      <w:pgNumType w:fmt="decimal"/>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0000000000000000000"/>
    <w:charset w:val="00"/>
    <w:family w:val="auto"/>
    <w:pitch w:val="default"/>
    <w:sig w:usb0="00000000" w:usb1="00000000" w:usb2="00000000" w:usb3="00000000" w:csb0="00000000" w:csb1="00000000"/>
  </w:font>
  <w:font w:name="楷体">
    <w:panose1 w:val="02010609060101010101"/>
    <w:charset w:val="86"/>
    <w:family w:val="modern"/>
    <w:pitch w:val="default"/>
    <w:sig w:usb0="800002BF" w:usb1="38CF7CFA" w:usb2="00000016" w:usb3="00000000" w:csb0="00040001"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KaiTi_GB2312">
    <w:altName w:val="楷体"/>
    <w:panose1 w:val="02010609060101010101"/>
    <w:charset w:val="00"/>
    <w:family w:val="roman"/>
    <w:pitch w:val="default"/>
    <w:sig w:usb0="00000000" w:usb1="00000000" w:usb2="00000000" w:usb3="00000000" w:csb0="00000000" w:csb1="00000000"/>
  </w:font>
  <w:font w:name="Microsoft New Tai Lue">
    <w:panose1 w:val="020B0502040204020203"/>
    <w:charset w:val="00"/>
    <w:family w:val="swiss"/>
    <w:pitch w:val="default"/>
    <w:sig w:usb0="00000003" w:usb1="00000000" w:usb2="80000000" w:usb3="00000000" w:csb0="0000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DFAB47">
    <w:pPr>
      <w:pStyle w:val="3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3076D8">
    <w:pPr>
      <w:pStyle w:val="33"/>
      <w:framePr w:wrap="around" w:vAnchor="text" w:hAnchor="margin" w:xAlign="right" w:y="1"/>
      <w:rPr>
        <w:rStyle w:val="57"/>
      </w:rPr>
    </w:pPr>
    <w:r>
      <w:fldChar w:fldCharType="begin"/>
    </w:r>
    <w:r>
      <w:rPr>
        <w:rStyle w:val="57"/>
      </w:rPr>
      <w:instrText xml:space="preserve">PAGE  </w:instrText>
    </w:r>
    <w:r>
      <w:fldChar w:fldCharType="end"/>
    </w:r>
  </w:p>
  <w:p w14:paraId="10D43977">
    <w:pPr>
      <w:pStyle w:val="33"/>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5056F8">
    <w:pPr>
      <w:pStyle w:val="33"/>
      <w:ind w:right="36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DA5ED52">
                          <w:pPr>
                            <w:pStyle w:val="33"/>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57</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0DA5ED52">
                    <w:pPr>
                      <w:pStyle w:val="33"/>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57</w:t>
                    </w:r>
                    <w:r>
                      <w:fldChar w:fldCharType="end"/>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26DC7E">
    <w:pPr>
      <w:pStyle w:val="33"/>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B91BFE3">
                          <w:pPr>
                            <w:pStyle w:val="33"/>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57</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5B91BFE3">
                    <w:pPr>
                      <w:pStyle w:val="33"/>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57</w:t>
                    </w:r>
                    <w:r>
                      <w:fldChar w:fldCharType="end"/>
                    </w:r>
                    <w: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174E2C">
    <w:pPr>
      <w:pStyle w:val="33"/>
      <w:pBdr>
        <w:top w:val="single" w:color="000000" w:sz="4" w:space="1"/>
      </w:pBdr>
      <w:rPr>
        <w:rFonts w:ascii="楷体" w:hAnsi="楷体" w:eastAsia="楷体"/>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53936D8">
                          <w:pPr>
                            <w:pStyle w:val="33"/>
                          </w:pPr>
                          <w:r>
                            <w:t xml:space="preserve">第 </w:t>
                          </w:r>
                          <w:r>
                            <w:fldChar w:fldCharType="begin"/>
                          </w:r>
                          <w:r>
                            <w:instrText xml:space="preserve"> PAGE  \* MERGEFORMAT </w:instrText>
                          </w:r>
                          <w:r>
                            <w:fldChar w:fldCharType="separate"/>
                          </w:r>
                          <w:r>
                            <w:t>54</w:t>
                          </w:r>
                          <w:r>
                            <w:fldChar w:fldCharType="end"/>
                          </w:r>
                          <w:r>
                            <w:t xml:space="preserve"> 页 共 </w:t>
                          </w:r>
                          <w:r>
                            <w:rPr>
                              <w:rFonts w:hint="eastAsia"/>
                              <w:lang w:val="en-US" w:eastAsia="zh-CN"/>
                            </w:rPr>
                            <w:t>55</w:t>
                          </w:r>
                          <w: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353936D8">
                    <w:pPr>
                      <w:pStyle w:val="33"/>
                    </w:pPr>
                    <w:r>
                      <w:t xml:space="preserve">第 </w:t>
                    </w:r>
                    <w:r>
                      <w:fldChar w:fldCharType="begin"/>
                    </w:r>
                    <w:r>
                      <w:instrText xml:space="preserve"> PAGE  \* MERGEFORMAT </w:instrText>
                    </w:r>
                    <w:r>
                      <w:fldChar w:fldCharType="separate"/>
                    </w:r>
                    <w:r>
                      <w:t>54</w:t>
                    </w:r>
                    <w:r>
                      <w:fldChar w:fldCharType="end"/>
                    </w:r>
                    <w:r>
                      <w:t xml:space="preserve"> 页 共 </w:t>
                    </w:r>
                    <w:r>
                      <w:rPr>
                        <w:rFonts w:hint="eastAsia"/>
                        <w:lang w:val="en-US" w:eastAsia="zh-CN"/>
                      </w:rPr>
                      <w:t>55</w:t>
                    </w:r>
                    <w:r>
                      <w:t>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A90E3B">
    <w:pPr>
      <w:pStyle w:val="33"/>
      <w:framePr w:wrap="around" w:vAnchor="text" w:hAnchor="margin" w:xAlign="right" w:y="1"/>
      <w:rPr>
        <w:rStyle w:val="57"/>
      </w:rPr>
    </w:pPr>
    <w:r>
      <w:fldChar w:fldCharType="begin"/>
    </w:r>
    <w:r>
      <w:rPr>
        <w:rStyle w:val="57"/>
      </w:rPr>
      <w:instrText xml:space="preserve">PAGE  </w:instrText>
    </w:r>
    <w:r>
      <w:fldChar w:fldCharType="end"/>
    </w:r>
  </w:p>
  <w:p w14:paraId="70EE6460">
    <w:pPr>
      <w:pStyle w:val="33"/>
      <w:ind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AFB20C">
    <w:pPr>
      <w:pStyle w:val="33"/>
      <w:pBdr>
        <w:top w:val="single" w:color="000000" w:sz="4" w:space="1"/>
      </w:pBdr>
      <w:jc w:val="center"/>
      <w:rPr>
        <w:b/>
        <w:bCs/>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AD5842F">
                          <w:pPr>
                            <w:pStyle w:val="33"/>
                          </w:pPr>
                          <w:r>
                            <w:t xml:space="preserve">第 </w:t>
                          </w:r>
                          <w:r>
                            <w:fldChar w:fldCharType="begin"/>
                          </w:r>
                          <w:r>
                            <w:instrText xml:space="preserve"> PAGE  \* MERGEFORMAT </w:instrText>
                          </w:r>
                          <w:r>
                            <w:fldChar w:fldCharType="separate"/>
                          </w:r>
                          <w:r>
                            <w:t>53</w:t>
                          </w:r>
                          <w:r>
                            <w:fldChar w:fldCharType="end"/>
                          </w:r>
                          <w:r>
                            <w:t xml:space="preserve"> 页 共 </w:t>
                          </w:r>
                          <w:r>
                            <w:fldChar w:fldCharType="begin"/>
                          </w:r>
                          <w:r>
                            <w:instrText xml:space="preserve"> NUMPAGES  \* MERGEFORMAT </w:instrText>
                          </w:r>
                          <w:r>
                            <w:fldChar w:fldCharType="separate"/>
                          </w:r>
                          <w:r>
                            <w:t>57</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0AD5842F">
                    <w:pPr>
                      <w:pStyle w:val="33"/>
                    </w:pPr>
                    <w:r>
                      <w:t xml:space="preserve">第 </w:t>
                    </w:r>
                    <w:r>
                      <w:fldChar w:fldCharType="begin"/>
                    </w:r>
                    <w:r>
                      <w:instrText xml:space="preserve"> PAGE  \* MERGEFORMAT </w:instrText>
                    </w:r>
                    <w:r>
                      <w:fldChar w:fldCharType="separate"/>
                    </w:r>
                    <w:r>
                      <w:t>53</w:t>
                    </w:r>
                    <w:r>
                      <w:fldChar w:fldCharType="end"/>
                    </w:r>
                    <w:r>
                      <w:t xml:space="preserve"> 页 共 </w:t>
                    </w:r>
                    <w:r>
                      <w:fldChar w:fldCharType="begin"/>
                    </w:r>
                    <w:r>
                      <w:instrText xml:space="preserve"> NUMPAGES  \* MERGEFORMAT </w:instrText>
                    </w:r>
                    <w:r>
                      <w:fldChar w:fldCharType="separate"/>
                    </w:r>
                    <w:r>
                      <w:t>57</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4AF650">
    <w:pPr>
      <w:pStyle w:val="34"/>
      <w:jc w:val="left"/>
      <w:rPr>
        <w:rFonts w:asciiTheme="minorEastAsia" w:hAnsiTheme="minorEastAsia" w:eastAsiaTheme="minorEastAsi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DB27C1">
    <w:pPr>
      <w:pStyle w:val="34"/>
      <w:jc w:val="left"/>
      <w:rPr>
        <w:rFonts w:asciiTheme="minorEastAsia" w:hAnsiTheme="minorEastAsia"/>
      </w:rPr>
    </w:pPr>
    <w:r>
      <w:rPr>
        <w:rFonts w:hint="eastAsia" w:asciiTheme="minorEastAsia" w:hAnsiTheme="minorEastAsia" w:eastAsiaTheme="minorEastAsia"/>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6C82DC">
    <w:pPr>
      <w:pStyle w:val="34"/>
      <w:pBdr>
        <w:bottom w:val="single" w:color="000000" w:sz="4" w:space="1"/>
      </w:pBdr>
      <w:rPr>
        <w:rFonts w:hint="eastAsia" w:ascii="楷体" w:hAnsi="楷体" w:eastAsia="楷体"/>
        <w:color w:val="000000"/>
        <w:lang w:eastAsia="zh-CN"/>
      </w:rPr>
    </w:pPr>
    <w:r>
      <w:rPr>
        <w:rFonts w:hint="eastAsia" w:ascii="楷体" w:hAnsi="楷体" w:eastAsia="楷体"/>
      </w:rPr>
      <w:t>政府</w:t>
    </w:r>
    <w:r>
      <w:rPr>
        <w:rFonts w:ascii="楷体" w:hAnsi="楷体" w:eastAsia="楷体"/>
      </w:rPr>
      <w:t>采购</w:t>
    </w:r>
    <w:r>
      <w:rPr>
        <w:rFonts w:hint="eastAsia" w:ascii="楷体" w:hAnsi="楷体" w:eastAsia="楷体"/>
      </w:rPr>
      <w:t xml:space="preserve">招标文件                                                    </w:t>
    </w:r>
    <w:r>
      <w:rPr>
        <w:rFonts w:hint="eastAsia" w:ascii="楷体" w:hAnsi="楷体" w:eastAsia="楷体"/>
        <w:color w:val="000000"/>
      </w:rPr>
      <w:t xml:space="preserve">   项目编号：</w:t>
    </w:r>
    <w:r>
      <w:rPr>
        <w:rFonts w:hint="eastAsia" w:ascii="楷体" w:hAnsi="楷体" w:eastAsia="楷体"/>
        <w:color w:val="000000"/>
        <w:lang w:eastAsia="zh-CN"/>
      </w:rPr>
      <w:t>JSZC-320507-ZXGG-G2026-0003</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B3256A">
    <w:pPr>
      <w:pStyle w:val="34"/>
      <w:pBdr>
        <w:bottom w:val="none" w:color="000000"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CF092B84"/>
    <w:multiLevelType w:val="multilevel"/>
    <w:tmpl w:val="CF092B84"/>
    <w:lvl w:ilvl="0" w:tentative="0">
      <w:start w:val="1"/>
      <w:numFmt w:val="bullet"/>
      <w:pStyle w:val="27"/>
      <w:lvlText w:val=""/>
      <w:lvlJc w:val="left"/>
      <w:pPr>
        <w:tabs>
          <w:tab w:val="left" w:pos="2040"/>
        </w:tabs>
        <w:ind w:left="2040" w:hanging="360"/>
      </w:pPr>
      <w:rPr>
        <w:rFonts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EFBA86B6"/>
    <w:multiLevelType w:val="singleLevel"/>
    <w:tmpl w:val="EFBA86B6"/>
    <w:lvl w:ilvl="0" w:tentative="0">
      <w:start w:val="3"/>
      <w:numFmt w:val="chineseCounting"/>
      <w:suff w:val="nothing"/>
      <w:lvlText w:val="%1、"/>
      <w:lvlJc w:val="left"/>
      <w:rPr>
        <w:rFonts w:hint="eastAsia"/>
      </w:rPr>
    </w:lvl>
  </w:abstractNum>
  <w:abstractNum w:abstractNumId="3">
    <w:nsid w:val="0053208E"/>
    <w:multiLevelType w:val="multilevel"/>
    <w:tmpl w:val="0053208E"/>
    <w:lvl w:ilvl="0" w:tentative="0">
      <w:start w:val="1"/>
      <w:numFmt w:val="decimal"/>
      <w:pStyle w:val="15"/>
      <w:lvlText w:val="%1)"/>
      <w:lvlJc w:val="left"/>
      <w:pPr>
        <w:tabs>
          <w:tab w:val="left" w:pos="420"/>
        </w:tabs>
        <w:ind w:left="420"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hdrShapeDefaults>
    <o:shapelayout v:ext="edit">
      <o:idmap v:ext="edit" data="1"/>
    </o:shapelayout>
  </w:hdrShapeDefault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dlNTM2YWFjODM1MWMxMTliMWZlMGI3NGQ3Y2ExOGIifQ=="/>
  </w:docVars>
  <w:rsids>
    <w:rsidRoot w:val="00573993"/>
    <w:rsid w:val="000F0A43"/>
    <w:rsid w:val="00573993"/>
    <w:rsid w:val="00733E26"/>
    <w:rsid w:val="00AA04FE"/>
    <w:rsid w:val="00DB0302"/>
    <w:rsid w:val="00FB0193"/>
    <w:rsid w:val="012B01CE"/>
    <w:rsid w:val="013F1B08"/>
    <w:rsid w:val="01AA6DBD"/>
    <w:rsid w:val="025A264D"/>
    <w:rsid w:val="055C0026"/>
    <w:rsid w:val="05634989"/>
    <w:rsid w:val="05F7437F"/>
    <w:rsid w:val="063B7194"/>
    <w:rsid w:val="08F024B8"/>
    <w:rsid w:val="0A0855DF"/>
    <w:rsid w:val="12076CA5"/>
    <w:rsid w:val="13C8187F"/>
    <w:rsid w:val="172501AB"/>
    <w:rsid w:val="18AE3E3D"/>
    <w:rsid w:val="198D168A"/>
    <w:rsid w:val="1A53565F"/>
    <w:rsid w:val="1B0C7777"/>
    <w:rsid w:val="1BAB10A6"/>
    <w:rsid w:val="1CF5089D"/>
    <w:rsid w:val="1D32781B"/>
    <w:rsid w:val="1FE07CF0"/>
    <w:rsid w:val="22DC2CE1"/>
    <w:rsid w:val="232020E2"/>
    <w:rsid w:val="23503E27"/>
    <w:rsid w:val="27132DC6"/>
    <w:rsid w:val="27822F59"/>
    <w:rsid w:val="289F3AEC"/>
    <w:rsid w:val="292234B9"/>
    <w:rsid w:val="29AE0014"/>
    <w:rsid w:val="2B794F8D"/>
    <w:rsid w:val="2BD80E5D"/>
    <w:rsid w:val="2C215096"/>
    <w:rsid w:val="2C6B74B9"/>
    <w:rsid w:val="2CB70517"/>
    <w:rsid w:val="2EE75CEA"/>
    <w:rsid w:val="31234940"/>
    <w:rsid w:val="314B03B7"/>
    <w:rsid w:val="31745F1A"/>
    <w:rsid w:val="31CB42BB"/>
    <w:rsid w:val="33F63025"/>
    <w:rsid w:val="34B57171"/>
    <w:rsid w:val="3749250B"/>
    <w:rsid w:val="37922E3E"/>
    <w:rsid w:val="379A38D4"/>
    <w:rsid w:val="38852C3B"/>
    <w:rsid w:val="39682956"/>
    <w:rsid w:val="3A647D60"/>
    <w:rsid w:val="3BB2256A"/>
    <w:rsid w:val="3D8E3349"/>
    <w:rsid w:val="3E6242B0"/>
    <w:rsid w:val="3ED6747E"/>
    <w:rsid w:val="3F556D19"/>
    <w:rsid w:val="41772AA4"/>
    <w:rsid w:val="4AEF11DB"/>
    <w:rsid w:val="4B047271"/>
    <w:rsid w:val="4D62552D"/>
    <w:rsid w:val="4D9220AA"/>
    <w:rsid w:val="4E2D2E33"/>
    <w:rsid w:val="4F3723FB"/>
    <w:rsid w:val="4F7432C8"/>
    <w:rsid w:val="51460B31"/>
    <w:rsid w:val="553C0CBF"/>
    <w:rsid w:val="57026F16"/>
    <w:rsid w:val="574E24EF"/>
    <w:rsid w:val="58E314FE"/>
    <w:rsid w:val="5C3D343C"/>
    <w:rsid w:val="5C96316D"/>
    <w:rsid w:val="5CE8313C"/>
    <w:rsid w:val="5D83481E"/>
    <w:rsid w:val="5EDD3B4C"/>
    <w:rsid w:val="5EF41D40"/>
    <w:rsid w:val="5EFC4888"/>
    <w:rsid w:val="5F12079A"/>
    <w:rsid w:val="5F73441E"/>
    <w:rsid w:val="610A2B60"/>
    <w:rsid w:val="61911991"/>
    <w:rsid w:val="62A00697"/>
    <w:rsid w:val="63145872"/>
    <w:rsid w:val="6466525C"/>
    <w:rsid w:val="66A335DD"/>
    <w:rsid w:val="67672A43"/>
    <w:rsid w:val="67C34BE8"/>
    <w:rsid w:val="6A09670C"/>
    <w:rsid w:val="6A743222"/>
    <w:rsid w:val="6C61162B"/>
    <w:rsid w:val="6E297F43"/>
    <w:rsid w:val="6E8F0BBE"/>
    <w:rsid w:val="70082960"/>
    <w:rsid w:val="70F0225A"/>
    <w:rsid w:val="71E04D78"/>
    <w:rsid w:val="72A9188A"/>
    <w:rsid w:val="744F5002"/>
    <w:rsid w:val="74E10A41"/>
    <w:rsid w:val="75223900"/>
    <w:rsid w:val="76006D71"/>
    <w:rsid w:val="76253271"/>
    <w:rsid w:val="76F53C3E"/>
    <w:rsid w:val="797F6A38"/>
    <w:rsid w:val="7B014A3C"/>
    <w:rsid w:val="7C4B7F0D"/>
    <w:rsid w:val="7E273F28"/>
    <w:rsid w:val="7F7B2AF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iPriority="9" w:semiHidden="0" w:name="heading 7"/>
    <w:lsdException w:qFormat="1" w:uiPriority="9" w:semiHidden="0" w:name="heading 8"/>
    <w:lsdException w:qFormat="1" w:uiPriority="9" w:semiHidden="0" w:name="heading 9"/>
    <w:lsdException w:qFormat="1" w:unhideWhenUsed="0" w:uiPriority="0" w:semiHidden="0" w:name="index 1"/>
    <w:lsdException w:uiPriority="99" w:name="index 2"/>
    <w:lsdException w:uiPriority="99" w:name="index 3"/>
    <w:lsdException w:uiPriority="99" w:name="index 4"/>
    <w:lsdException w:qFormat="1" w:unhideWhenUsed="0" w:uiPriority="0" w:semiHidden="0"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nhideWhenUsed="0" w:uiPriority="0"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qFormat="1" w:unhideWhenUsed="0" w:uiPriority="0" w:semiHidden="0" w:name="List Bullet"/>
    <w:lsdException w:uiPriority="99" w:name="List Number"/>
    <w:lsdException w:qFormat="1" w:unhideWhenUsed="0" w:uiPriority="0" w:semiHidden="0" w:name="List 2"/>
    <w:lsdException w:uiPriority="99" w:name="List 3"/>
    <w:lsdException w:qFormat="1" w:unhideWhenUsed="0" w:uiPriority="0" w:semiHidden="0" w:name="List 4"/>
    <w:lsdException w:uiPriority="99" w:name="List 5"/>
    <w:lsdException w:uiPriority="99" w:name="List Bullet 2"/>
    <w:lsdException w:uiPriority="99" w:name="List Bullet 3"/>
    <w:lsdException w:uiPriority="99" w:name="List Bullet 4"/>
    <w:lsdException w:qFormat="1" w:unhideWhenUsed="0" w:uiPriority="0" w:semiHidden="0"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uiPriority="99" w:name="Body Text First Indent"/>
    <w:lsdException w:qFormat="1" w:uiPriority="99"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99" w:semiHidden="0" w:name="Normal (Web)"/>
    <w:lsdException w:qFormat="1" w:unhideWhenUsed="0" w:uiPriority="0" w:semiHidden="0" w:name="HTML Acronym"/>
    <w:lsdException w:uiPriority="99"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宋体" w:cs="Times New Roman"/>
      <w:sz w:val="24"/>
      <w:szCs w:val="24"/>
      <w:lang w:val="en-US" w:eastAsia="zh-CN" w:bidi="ar-SA"/>
    </w:rPr>
  </w:style>
  <w:style w:type="paragraph" w:styleId="2">
    <w:name w:val="heading 1"/>
    <w:basedOn w:val="1"/>
    <w:next w:val="1"/>
    <w:link w:val="255"/>
    <w:qFormat/>
    <w:uiPriority w:val="0"/>
    <w:pPr>
      <w:keepNext/>
      <w:keepLines/>
      <w:widowControl w:val="0"/>
      <w:spacing w:before="340" w:after="330" w:line="578" w:lineRule="auto"/>
      <w:jc w:val="both"/>
      <w:outlineLvl w:val="0"/>
    </w:pPr>
    <w:rPr>
      <w:b/>
      <w:sz w:val="44"/>
      <w:szCs w:val="20"/>
    </w:rPr>
  </w:style>
  <w:style w:type="paragraph" w:styleId="3">
    <w:name w:val="heading 2"/>
    <w:basedOn w:val="1"/>
    <w:next w:val="1"/>
    <w:link w:val="108"/>
    <w:qFormat/>
    <w:uiPriority w:val="0"/>
    <w:pPr>
      <w:keepNext/>
      <w:keepLines/>
      <w:widowControl w:val="0"/>
      <w:jc w:val="center"/>
      <w:outlineLvl w:val="1"/>
    </w:pPr>
    <w:rPr>
      <w:rFonts w:ascii="宋体" w:hAnsi="宋体" w:eastAsia="楷体_GB2312"/>
      <w:b/>
      <w:sz w:val="44"/>
      <w:szCs w:val="20"/>
    </w:rPr>
  </w:style>
  <w:style w:type="paragraph" w:styleId="4">
    <w:name w:val="heading 3"/>
    <w:basedOn w:val="1"/>
    <w:next w:val="1"/>
    <w:link w:val="109"/>
    <w:qFormat/>
    <w:uiPriority w:val="0"/>
    <w:pPr>
      <w:keepNext/>
      <w:keepLines/>
      <w:widowControl w:val="0"/>
      <w:jc w:val="center"/>
      <w:outlineLvl w:val="2"/>
    </w:pPr>
    <w:rPr>
      <w:rFonts w:eastAsia="楷体_GB2312"/>
      <w:b/>
      <w:sz w:val="32"/>
      <w:szCs w:val="20"/>
    </w:rPr>
  </w:style>
  <w:style w:type="paragraph" w:styleId="5">
    <w:name w:val="heading 4"/>
    <w:basedOn w:val="1"/>
    <w:next w:val="1"/>
    <w:link w:val="110"/>
    <w:qFormat/>
    <w:uiPriority w:val="0"/>
    <w:pPr>
      <w:keepNext/>
      <w:keepLines/>
      <w:widowControl w:val="0"/>
      <w:spacing w:before="280" w:after="290" w:line="376" w:lineRule="auto"/>
      <w:jc w:val="both"/>
      <w:outlineLvl w:val="3"/>
    </w:pPr>
    <w:rPr>
      <w:rFonts w:ascii="Arial" w:hAnsi="Arial" w:eastAsia="黑体"/>
      <w:b/>
      <w:bCs/>
      <w:sz w:val="28"/>
      <w:szCs w:val="28"/>
    </w:rPr>
  </w:style>
  <w:style w:type="paragraph" w:styleId="6">
    <w:name w:val="heading 5"/>
    <w:basedOn w:val="1"/>
    <w:next w:val="1"/>
    <w:link w:val="111"/>
    <w:qFormat/>
    <w:uiPriority w:val="0"/>
    <w:pPr>
      <w:keepNext/>
      <w:widowControl w:val="0"/>
      <w:jc w:val="both"/>
      <w:outlineLvl w:val="4"/>
    </w:pPr>
    <w:rPr>
      <w:rFonts w:hint="eastAsia" w:ascii="宋体" w:hAnsi="宋体"/>
      <w:color w:val="000000"/>
      <w:sz w:val="28"/>
      <w:szCs w:val="20"/>
    </w:rPr>
  </w:style>
  <w:style w:type="paragraph" w:styleId="7">
    <w:name w:val="heading 6"/>
    <w:basedOn w:val="1"/>
    <w:next w:val="1"/>
    <w:link w:val="112"/>
    <w:qFormat/>
    <w:uiPriority w:val="0"/>
    <w:pPr>
      <w:keepNext/>
      <w:widowControl w:val="0"/>
      <w:jc w:val="both"/>
      <w:outlineLvl w:val="5"/>
    </w:pPr>
    <w:rPr>
      <w:rFonts w:hint="eastAsia" w:ascii="宋体" w:hAnsi="宋体"/>
      <w:sz w:val="28"/>
      <w:szCs w:val="20"/>
    </w:rPr>
  </w:style>
  <w:style w:type="paragraph" w:styleId="8">
    <w:name w:val="heading 7"/>
    <w:basedOn w:val="1"/>
    <w:next w:val="1"/>
    <w:link w:val="113"/>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114"/>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115"/>
    <w:unhideWhenUsed/>
    <w:qFormat/>
    <w:uiPriority w:val="9"/>
    <w:pPr>
      <w:keepNext/>
      <w:keepLines/>
      <w:spacing w:before="320" w:after="200"/>
      <w:outlineLvl w:val="8"/>
    </w:pPr>
    <w:rPr>
      <w:rFonts w:ascii="Arial" w:hAnsi="Arial" w:eastAsia="Arial" w:cs="Arial"/>
      <w:i/>
      <w:iCs/>
      <w:sz w:val="21"/>
      <w:szCs w:val="21"/>
    </w:rPr>
  </w:style>
  <w:style w:type="character" w:default="1" w:styleId="54">
    <w:name w:val="Default Paragraph Font"/>
    <w:semiHidden/>
    <w:unhideWhenUsed/>
    <w:qFormat/>
    <w:uiPriority w:val="1"/>
  </w:style>
  <w:style w:type="table" w:default="1" w:styleId="52">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Normal Indent"/>
    <w:basedOn w:val="1"/>
    <w:link w:val="256"/>
    <w:qFormat/>
    <w:uiPriority w:val="0"/>
    <w:pPr>
      <w:widowControl w:val="0"/>
      <w:ind w:firstLine="420"/>
      <w:jc w:val="both"/>
    </w:pPr>
    <w:rPr>
      <w:sz w:val="21"/>
      <w:szCs w:val="20"/>
    </w:rPr>
  </w:style>
  <w:style w:type="paragraph" w:styleId="13">
    <w:name w:val="caption"/>
    <w:basedOn w:val="1"/>
    <w:next w:val="1"/>
    <w:semiHidden/>
    <w:unhideWhenUsed/>
    <w:qFormat/>
    <w:uiPriority w:val="35"/>
    <w:pPr>
      <w:spacing w:line="276" w:lineRule="auto"/>
    </w:pPr>
    <w:rPr>
      <w:b/>
      <w:bCs/>
      <w:color w:val="4F81BD"/>
      <w:sz w:val="18"/>
      <w:szCs w:val="18"/>
    </w:rPr>
  </w:style>
  <w:style w:type="paragraph" w:styleId="14">
    <w:name w:val="index 5"/>
    <w:basedOn w:val="1"/>
    <w:next w:val="1"/>
    <w:qFormat/>
    <w:uiPriority w:val="0"/>
    <w:pPr>
      <w:widowControl w:val="0"/>
      <w:ind w:left="1680"/>
      <w:jc w:val="both"/>
    </w:pPr>
    <w:rPr>
      <w:rFonts w:eastAsia="楷体_GB2312"/>
      <w:sz w:val="26"/>
      <w:szCs w:val="20"/>
    </w:rPr>
  </w:style>
  <w:style w:type="paragraph" w:styleId="15">
    <w:name w:val="List Bullet"/>
    <w:basedOn w:val="1"/>
    <w:qFormat/>
    <w:uiPriority w:val="0"/>
    <w:pPr>
      <w:widowControl w:val="0"/>
      <w:numPr>
        <w:ilvl w:val="0"/>
        <w:numId w:val="1"/>
      </w:numPr>
      <w:tabs>
        <w:tab w:val="left" w:pos="1155"/>
      </w:tabs>
      <w:jc w:val="both"/>
    </w:pPr>
    <w:rPr>
      <w:rFonts w:eastAsia="仿宋_GB2312"/>
      <w:sz w:val="30"/>
      <w:szCs w:val="20"/>
    </w:rPr>
  </w:style>
  <w:style w:type="paragraph" w:styleId="16">
    <w:name w:val="Document Map"/>
    <w:basedOn w:val="1"/>
    <w:qFormat/>
    <w:uiPriority w:val="0"/>
    <w:pPr>
      <w:shd w:val="clear" w:color="auto" w:fill="000080"/>
    </w:pPr>
  </w:style>
  <w:style w:type="paragraph" w:styleId="17">
    <w:name w:val="annotation text"/>
    <w:basedOn w:val="1"/>
    <w:qFormat/>
    <w:uiPriority w:val="0"/>
    <w:pPr>
      <w:widowControl w:val="0"/>
    </w:pPr>
    <w:rPr>
      <w:rFonts w:eastAsia="楷体_GB2312"/>
      <w:sz w:val="28"/>
      <w:szCs w:val="20"/>
    </w:rPr>
  </w:style>
  <w:style w:type="paragraph" w:styleId="18">
    <w:name w:val="Body Text 3"/>
    <w:basedOn w:val="1"/>
    <w:qFormat/>
    <w:uiPriority w:val="0"/>
    <w:pPr>
      <w:widowControl w:val="0"/>
      <w:spacing w:after="120"/>
      <w:jc w:val="both"/>
    </w:pPr>
    <w:rPr>
      <w:rFonts w:eastAsia="楷体_GB2312"/>
      <w:sz w:val="16"/>
      <w:szCs w:val="16"/>
    </w:rPr>
  </w:style>
  <w:style w:type="paragraph" w:styleId="19">
    <w:name w:val="Body Text"/>
    <w:basedOn w:val="1"/>
    <w:qFormat/>
    <w:uiPriority w:val="0"/>
    <w:pPr>
      <w:spacing w:line="360" w:lineRule="auto"/>
    </w:pPr>
    <w:rPr>
      <w:szCs w:val="20"/>
    </w:rPr>
  </w:style>
  <w:style w:type="paragraph" w:styleId="20">
    <w:name w:val="Body Text Indent"/>
    <w:basedOn w:val="1"/>
    <w:qFormat/>
    <w:uiPriority w:val="0"/>
    <w:pPr>
      <w:spacing w:after="120"/>
      <w:ind w:left="420"/>
    </w:pPr>
  </w:style>
  <w:style w:type="paragraph" w:styleId="21">
    <w:name w:val="List 2"/>
    <w:basedOn w:val="2"/>
    <w:next w:val="22"/>
    <w:qFormat/>
    <w:uiPriority w:val="0"/>
    <w:pPr>
      <w:spacing w:before="0" w:after="0" w:line="240" w:lineRule="auto"/>
      <w:ind w:left="100" w:firstLine="3640"/>
    </w:pPr>
  </w:style>
  <w:style w:type="paragraph" w:customStyle="1" w:styleId="22">
    <w:name w:val="目录 71"/>
    <w:basedOn w:val="2"/>
    <w:next w:val="1"/>
    <w:qFormat/>
    <w:uiPriority w:val="0"/>
    <w:pPr>
      <w:spacing w:before="0" w:after="0" w:line="360" w:lineRule="auto"/>
      <w:ind w:left="1640" w:firstLine="3784"/>
    </w:pPr>
  </w:style>
  <w:style w:type="paragraph" w:styleId="23">
    <w:name w:val="Block Text"/>
    <w:basedOn w:val="1"/>
    <w:qFormat/>
    <w:uiPriority w:val="0"/>
    <w:pPr>
      <w:widowControl w:val="0"/>
      <w:spacing w:line="360" w:lineRule="auto"/>
      <w:ind w:left="630" w:right="-609" w:firstLine="420"/>
      <w:jc w:val="both"/>
    </w:pPr>
    <w:rPr>
      <w:rFonts w:hint="eastAsia" w:ascii="仿宋_GB2312" w:eastAsia="仿宋_GB2312"/>
      <w:sz w:val="21"/>
      <w:szCs w:val="20"/>
    </w:rPr>
  </w:style>
  <w:style w:type="paragraph" w:styleId="24">
    <w:name w:val="toc 5"/>
    <w:basedOn w:val="1"/>
    <w:next w:val="1"/>
    <w:unhideWhenUsed/>
    <w:qFormat/>
    <w:uiPriority w:val="39"/>
    <w:pPr>
      <w:spacing w:after="57"/>
      <w:ind w:left="1134"/>
    </w:pPr>
  </w:style>
  <w:style w:type="paragraph" w:styleId="25">
    <w:name w:val="toc 3"/>
    <w:basedOn w:val="1"/>
    <w:next w:val="1"/>
    <w:unhideWhenUsed/>
    <w:qFormat/>
    <w:uiPriority w:val="39"/>
    <w:pPr>
      <w:spacing w:after="57"/>
      <w:ind w:left="567"/>
    </w:pPr>
  </w:style>
  <w:style w:type="paragraph" w:styleId="26">
    <w:name w:val="Plain Text"/>
    <w:basedOn w:val="1"/>
    <w:link w:val="258"/>
    <w:qFormat/>
    <w:uiPriority w:val="0"/>
    <w:pPr>
      <w:widowControl w:val="0"/>
      <w:jc w:val="both"/>
    </w:pPr>
    <w:rPr>
      <w:rFonts w:ascii="宋体" w:hAnsi="Courier New"/>
      <w:sz w:val="21"/>
      <w:szCs w:val="20"/>
    </w:rPr>
  </w:style>
  <w:style w:type="paragraph" w:styleId="27">
    <w:name w:val="List Bullet 5"/>
    <w:basedOn w:val="1"/>
    <w:qFormat/>
    <w:uiPriority w:val="0"/>
    <w:pPr>
      <w:numPr>
        <w:ilvl w:val="0"/>
        <w:numId w:val="2"/>
      </w:numPr>
    </w:pPr>
  </w:style>
  <w:style w:type="paragraph" w:styleId="28">
    <w:name w:val="toc 8"/>
    <w:basedOn w:val="1"/>
    <w:next w:val="1"/>
    <w:unhideWhenUsed/>
    <w:qFormat/>
    <w:uiPriority w:val="39"/>
    <w:pPr>
      <w:spacing w:after="57"/>
      <w:ind w:left="1984"/>
    </w:pPr>
  </w:style>
  <w:style w:type="paragraph" w:styleId="29">
    <w:name w:val="Date"/>
    <w:basedOn w:val="1"/>
    <w:next w:val="1"/>
    <w:link w:val="259"/>
    <w:qFormat/>
    <w:uiPriority w:val="0"/>
    <w:pPr>
      <w:ind w:left="100"/>
    </w:pPr>
  </w:style>
  <w:style w:type="paragraph" w:styleId="30">
    <w:name w:val="Body Text Indent 2"/>
    <w:basedOn w:val="1"/>
    <w:qFormat/>
    <w:uiPriority w:val="0"/>
    <w:pPr>
      <w:widowControl w:val="0"/>
      <w:spacing w:after="120" w:line="480" w:lineRule="auto"/>
      <w:ind w:left="420"/>
      <w:jc w:val="both"/>
    </w:pPr>
    <w:rPr>
      <w:rFonts w:eastAsia="楷体_GB2312"/>
      <w:sz w:val="28"/>
      <w:szCs w:val="20"/>
    </w:rPr>
  </w:style>
  <w:style w:type="paragraph" w:styleId="31">
    <w:name w:val="endnote text"/>
    <w:basedOn w:val="1"/>
    <w:link w:val="253"/>
    <w:semiHidden/>
    <w:unhideWhenUsed/>
    <w:qFormat/>
    <w:uiPriority w:val="99"/>
    <w:rPr>
      <w:sz w:val="20"/>
    </w:rPr>
  </w:style>
  <w:style w:type="paragraph" w:styleId="32">
    <w:name w:val="Balloon Text"/>
    <w:basedOn w:val="1"/>
    <w:qFormat/>
    <w:uiPriority w:val="0"/>
    <w:rPr>
      <w:sz w:val="18"/>
      <w:szCs w:val="18"/>
    </w:rPr>
  </w:style>
  <w:style w:type="paragraph" w:styleId="33">
    <w:name w:val="footer"/>
    <w:basedOn w:val="1"/>
    <w:link w:val="260"/>
    <w:qFormat/>
    <w:uiPriority w:val="99"/>
    <w:pPr>
      <w:widowControl w:val="0"/>
      <w:tabs>
        <w:tab w:val="center" w:pos="4153"/>
        <w:tab w:val="right" w:pos="8306"/>
      </w:tabs>
    </w:pPr>
    <w:rPr>
      <w:sz w:val="18"/>
      <w:szCs w:val="18"/>
    </w:rPr>
  </w:style>
  <w:style w:type="paragraph" w:styleId="34">
    <w:name w:val="header"/>
    <w:basedOn w:val="1"/>
    <w:link w:val="261"/>
    <w:qFormat/>
    <w:uiPriority w:val="99"/>
    <w:pPr>
      <w:widowControl w:val="0"/>
      <w:pBdr>
        <w:bottom w:val="single" w:color="000000" w:sz="6" w:space="1"/>
      </w:pBdr>
      <w:tabs>
        <w:tab w:val="center" w:pos="4153"/>
        <w:tab w:val="right" w:pos="8306"/>
      </w:tabs>
      <w:jc w:val="center"/>
    </w:pPr>
    <w:rPr>
      <w:sz w:val="18"/>
      <w:szCs w:val="18"/>
    </w:rPr>
  </w:style>
  <w:style w:type="paragraph" w:styleId="35">
    <w:name w:val="toc 1"/>
    <w:basedOn w:val="1"/>
    <w:next w:val="1"/>
    <w:unhideWhenUsed/>
    <w:qFormat/>
    <w:uiPriority w:val="39"/>
    <w:pPr>
      <w:spacing w:after="57"/>
    </w:pPr>
  </w:style>
  <w:style w:type="paragraph" w:styleId="36">
    <w:name w:val="toc 4"/>
    <w:basedOn w:val="1"/>
    <w:next w:val="1"/>
    <w:unhideWhenUsed/>
    <w:qFormat/>
    <w:uiPriority w:val="39"/>
    <w:pPr>
      <w:spacing w:after="57"/>
      <w:ind w:left="850"/>
    </w:pPr>
  </w:style>
  <w:style w:type="paragraph" w:styleId="37">
    <w:name w:val="Subtitle"/>
    <w:basedOn w:val="1"/>
    <w:next w:val="1"/>
    <w:link w:val="119"/>
    <w:qFormat/>
    <w:uiPriority w:val="0"/>
    <w:pPr>
      <w:widowControl w:val="0"/>
      <w:spacing w:before="240" w:after="60" w:line="312" w:lineRule="auto"/>
      <w:jc w:val="center"/>
      <w:outlineLvl w:val="1"/>
    </w:pPr>
    <w:rPr>
      <w:rFonts w:ascii="Cambria" w:hAnsi="Cambria"/>
      <w:b/>
      <w:bCs/>
      <w:sz w:val="32"/>
      <w:szCs w:val="32"/>
    </w:rPr>
  </w:style>
  <w:style w:type="paragraph" w:styleId="38">
    <w:name w:val="footnote text"/>
    <w:basedOn w:val="1"/>
    <w:next w:val="14"/>
    <w:link w:val="252"/>
    <w:qFormat/>
    <w:uiPriority w:val="0"/>
    <w:pPr>
      <w:widowControl w:val="0"/>
    </w:pPr>
    <w:rPr>
      <w:sz w:val="18"/>
      <w:szCs w:val="18"/>
    </w:rPr>
  </w:style>
  <w:style w:type="paragraph" w:styleId="39">
    <w:name w:val="toc 6"/>
    <w:basedOn w:val="1"/>
    <w:next w:val="1"/>
    <w:unhideWhenUsed/>
    <w:qFormat/>
    <w:uiPriority w:val="39"/>
    <w:pPr>
      <w:spacing w:after="57"/>
      <w:ind w:left="1417"/>
    </w:pPr>
  </w:style>
  <w:style w:type="paragraph" w:styleId="40">
    <w:name w:val="Body Text Indent 3"/>
    <w:basedOn w:val="1"/>
    <w:qFormat/>
    <w:uiPriority w:val="0"/>
    <w:pPr>
      <w:widowControl w:val="0"/>
      <w:spacing w:line="300" w:lineRule="auto"/>
      <w:ind w:firstLine="480"/>
    </w:pPr>
  </w:style>
  <w:style w:type="paragraph" w:styleId="41">
    <w:name w:val="table of figures"/>
    <w:basedOn w:val="1"/>
    <w:next w:val="1"/>
    <w:unhideWhenUsed/>
    <w:qFormat/>
    <w:uiPriority w:val="99"/>
  </w:style>
  <w:style w:type="paragraph" w:styleId="42">
    <w:name w:val="toc 2"/>
    <w:basedOn w:val="1"/>
    <w:next w:val="1"/>
    <w:unhideWhenUsed/>
    <w:qFormat/>
    <w:uiPriority w:val="39"/>
    <w:pPr>
      <w:spacing w:after="57"/>
      <w:ind w:left="283"/>
    </w:pPr>
  </w:style>
  <w:style w:type="paragraph" w:styleId="43">
    <w:name w:val="toc 9"/>
    <w:basedOn w:val="1"/>
    <w:next w:val="1"/>
    <w:unhideWhenUsed/>
    <w:qFormat/>
    <w:uiPriority w:val="39"/>
    <w:pPr>
      <w:spacing w:after="57"/>
      <w:ind w:left="2268"/>
    </w:pPr>
  </w:style>
  <w:style w:type="paragraph" w:styleId="44">
    <w:name w:val="Body Text 2"/>
    <w:basedOn w:val="1"/>
    <w:qFormat/>
    <w:uiPriority w:val="0"/>
    <w:pPr>
      <w:widowControl w:val="0"/>
      <w:spacing w:line="180" w:lineRule="exact"/>
      <w:jc w:val="both"/>
    </w:pPr>
    <w:rPr>
      <w:sz w:val="15"/>
    </w:rPr>
  </w:style>
  <w:style w:type="paragraph" w:styleId="45">
    <w:name w:val="List 4"/>
    <w:basedOn w:val="1"/>
    <w:qFormat/>
    <w:uiPriority w:val="0"/>
    <w:pPr>
      <w:widowControl w:val="0"/>
      <w:ind w:left="100" w:hanging="200"/>
      <w:jc w:val="both"/>
    </w:pPr>
    <w:rPr>
      <w:sz w:val="21"/>
    </w:rPr>
  </w:style>
  <w:style w:type="paragraph" w:styleId="46">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w:hAnsi="Arial" w:cs="Arial"/>
    </w:rPr>
  </w:style>
  <w:style w:type="paragraph" w:styleId="47">
    <w:name w:val="Normal (Web)"/>
    <w:basedOn w:val="1"/>
    <w:qFormat/>
    <w:uiPriority w:val="99"/>
    <w:pPr>
      <w:spacing w:before="100" w:beforeAutospacing="1" w:after="100" w:afterAutospacing="1"/>
    </w:pPr>
    <w:rPr>
      <w:rFonts w:hint="eastAsia" w:ascii="宋体" w:hAnsi="宋体"/>
    </w:rPr>
  </w:style>
  <w:style w:type="paragraph" w:styleId="48">
    <w:name w:val="index 1"/>
    <w:basedOn w:val="1"/>
    <w:next w:val="1"/>
    <w:qFormat/>
    <w:uiPriority w:val="0"/>
    <w:pPr>
      <w:widowControl w:val="0"/>
      <w:jc w:val="both"/>
    </w:pPr>
    <w:rPr>
      <w:sz w:val="21"/>
    </w:rPr>
  </w:style>
  <w:style w:type="paragraph" w:styleId="49">
    <w:name w:val="Title"/>
    <w:basedOn w:val="1"/>
    <w:next w:val="1"/>
    <w:link w:val="118"/>
    <w:qFormat/>
    <w:uiPriority w:val="10"/>
    <w:pPr>
      <w:spacing w:before="300" w:after="200"/>
      <w:contextualSpacing/>
    </w:pPr>
    <w:rPr>
      <w:sz w:val="48"/>
      <w:szCs w:val="48"/>
    </w:rPr>
  </w:style>
  <w:style w:type="paragraph" w:styleId="50">
    <w:name w:val="annotation subject"/>
    <w:basedOn w:val="17"/>
    <w:next w:val="17"/>
    <w:qFormat/>
    <w:uiPriority w:val="0"/>
    <w:rPr>
      <w:b/>
      <w:bCs/>
    </w:rPr>
  </w:style>
  <w:style w:type="paragraph" w:styleId="51">
    <w:name w:val="Body Text First Indent 2"/>
    <w:basedOn w:val="20"/>
    <w:unhideWhenUsed/>
    <w:qFormat/>
    <w:uiPriority w:val="99"/>
    <w:pPr>
      <w:spacing w:after="0" w:line="480" w:lineRule="exact"/>
      <w:ind w:left="0" w:firstLine="420"/>
    </w:pPr>
  </w:style>
  <w:style w:type="table" w:styleId="53">
    <w:name w:val="Table Grid"/>
    <w:basedOn w:val="52"/>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55">
    <w:name w:val="Strong"/>
    <w:qFormat/>
    <w:uiPriority w:val="0"/>
    <w:rPr>
      <w:b/>
      <w:bCs/>
    </w:rPr>
  </w:style>
  <w:style w:type="character" w:styleId="56">
    <w:name w:val="endnote reference"/>
    <w:semiHidden/>
    <w:unhideWhenUsed/>
    <w:qFormat/>
    <w:uiPriority w:val="99"/>
    <w:rPr>
      <w:vertAlign w:val="superscript"/>
    </w:rPr>
  </w:style>
  <w:style w:type="character" w:styleId="57">
    <w:name w:val="page number"/>
    <w:basedOn w:val="54"/>
    <w:qFormat/>
    <w:uiPriority w:val="0"/>
  </w:style>
  <w:style w:type="character" w:styleId="58">
    <w:name w:val="FollowedHyperlink"/>
    <w:qFormat/>
    <w:uiPriority w:val="0"/>
    <w:rPr>
      <w:color w:val="800080"/>
      <w:u w:val="none"/>
    </w:rPr>
  </w:style>
  <w:style w:type="character" w:styleId="59">
    <w:name w:val="Emphasis"/>
    <w:qFormat/>
    <w:uiPriority w:val="0"/>
    <w:rPr>
      <w:b/>
      <w:shd w:val="clear" w:color="auto" w:fill="FFFFFF"/>
    </w:rPr>
  </w:style>
  <w:style w:type="character" w:styleId="60">
    <w:name w:val="HTML Definition"/>
    <w:qFormat/>
    <w:uiPriority w:val="0"/>
  </w:style>
  <w:style w:type="character" w:styleId="61">
    <w:name w:val="HTML Typewriter"/>
    <w:qFormat/>
    <w:uiPriority w:val="0"/>
    <w:rPr>
      <w:rFonts w:ascii="monospace" w:hAnsi="monospace" w:eastAsia="monospace" w:cs="monospace"/>
      <w:sz w:val="20"/>
    </w:rPr>
  </w:style>
  <w:style w:type="character" w:styleId="62">
    <w:name w:val="HTML Acronym"/>
    <w:qFormat/>
    <w:uiPriority w:val="0"/>
  </w:style>
  <w:style w:type="character" w:styleId="63">
    <w:name w:val="HTML Variable"/>
    <w:qFormat/>
    <w:uiPriority w:val="0"/>
    <w:rPr>
      <w:shd w:val="clear" w:color="auto" w:fill="FFFFFF"/>
    </w:rPr>
  </w:style>
  <w:style w:type="character" w:styleId="64">
    <w:name w:val="Hyperlink"/>
    <w:qFormat/>
    <w:uiPriority w:val="99"/>
    <w:rPr>
      <w:color w:val="0000FF"/>
      <w:u w:val="none"/>
    </w:rPr>
  </w:style>
  <w:style w:type="character" w:styleId="65">
    <w:name w:val="HTML Code"/>
    <w:qFormat/>
    <w:uiPriority w:val="0"/>
    <w:rPr>
      <w:rFonts w:ascii="monospace" w:hAnsi="monospace" w:eastAsia="monospace" w:cs="monospace"/>
      <w:sz w:val="20"/>
    </w:rPr>
  </w:style>
  <w:style w:type="character" w:styleId="66">
    <w:name w:val="annotation reference"/>
    <w:qFormat/>
    <w:uiPriority w:val="0"/>
    <w:rPr>
      <w:sz w:val="21"/>
      <w:szCs w:val="21"/>
    </w:rPr>
  </w:style>
  <w:style w:type="character" w:styleId="67">
    <w:name w:val="HTML Cite"/>
    <w:qFormat/>
    <w:uiPriority w:val="0"/>
  </w:style>
  <w:style w:type="character" w:styleId="68">
    <w:name w:val="footnote reference"/>
    <w:qFormat/>
    <w:uiPriority w:val="0"/>
    <w:rPr>
      <w:vertAlign w:val="superscript"/>
    </w:rPr>
  </w:style>
  <w:style w:type="character" w:styleId="69">
    <w:name w:val="HTML Keyboard"/>
    <w:qFormat/>
    <w:uiPriority w:val="0"/>
    <w:rPr>
      <w:rFonts w:ascii="monospace" w:hAnsi="monospace" w:eastAsia="monospace" w:cs="monospace"/>
      <w:sz w:val="20"/>
    </w:rPr>
  </w:style>
  <w:style w:type="character" w:styleId="70">
    <w:name w:val="HTML Sample"/>
    <w:qFormat/>
    <w:uiPriority w:val="0"/>
    <w:rPr>
      <w:rFonts w:ascii="monospace" w:hAnsi="monospace" w:eastAsia="monospace" w:cs="monospace"/>
    </w:rPr>
  </w:style>
  <w:style w:type="paragraph" w:customStyle="1" w:styleId="71">
    <w:name w:val="段"/>
    <w:next w:val="1"/>
    <w:qFormat/>
    <w:uiPriority w:val="0"/>
    <w:pPr>
      <w:spacing w:line="360" w:lineRule="auto"/>
      <w:ind w:firstLine="200"/>
      <w:jc w:val="both"/>
    </w:pPr>
    <w:rPr>
      <w:rFonts w:ascii="宋体" w:hAnsi="Times New Roman" w:eastAsia="宋体" w:cs="Times New Roman"/>
      <w:sz w:val="24"/>
      <w:szCs w:val="22"/>
      <w:lang w:val="en-US" w:eastAsia="zh-CN" w:bidi="ar-SA"/>
    </w:rPr>
  </w:style>
  <w:style w:type="paragraph" w:customStyle="1" w:styleId="72">
    <w:name w:val="Char Char Char Char Char Char Char Char Char Char Char Char Char"/>
    <w:basedOn w:val="2"/>
    <w:next w:val="1"/>
    <w:qFormat/>
    <w:uiPriority w:val="0"/>
    <w:pPr>
      <w:spacing w:before="0" w:after="160" w:line="240" w:lineRule="exact"/>
      <w:ind w:firstLine="3584"/>
    </w:pPr>
  </w:style>
  <w:style w:type="table" w:customStyle="1" w:styleId="73">
    <w:name w:val="Plain Table 1"/>
    <w:basedOn w:val="52"/>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4">
    <w:name w:val="Plain Table 2"/>
    <w:basedOn w:val="52"/>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5">
    <w:name w:val="Plain Table 3"/>
    <w:basedOn w:val="52"/>
    <w:qFormat/>
    <w:uiPriority w:val="99"/>
    <w:tblPr>
      <w:tblCellMar>
        <w:top w:w="0" w:type="dxa"/>
        <w:left w:w="108" w:type="dxa"/>
        <w:bottom w:w="0" w:type="dxa"/>
        <w:right w:w="108"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6">
    <w:name w:val="Plain Table 4"/>
    <w:basedOn w:val="52"/>
    <w:qFormat/>
    <w:uiPriority w:val="99"/>
    <w:tblPr>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7">
    <w:name w:val="Plain Table 5"/>
    <w:basedOn w:val="52"/>
    <w:qFormat/>
    <w:uiPriority w:val="99"/>
    <w:tblPr>
      <w:tblCellMar>
        <w:top w:w="0" w:type="dxa"/>
        <w:left w:w="108" w:type="dxa"/>
        <w:bottom w:w="0" w:type="dxa"/>
        <w:right w:w="108"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8">
    <w:name w:val="Grid Table 1 Light"/>
    <w:basedOn w:val="52"/>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108" w:type="dxa"/>
        <w:bottom w:w="0" w:type="dxa"/>
        <w:right w:w="108"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9">
    <w:name w:val="Grid Table 2"/>
    <w:basedOn w:val="52"/>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0">
    <w:name w:val="Grid Table 3"/>
    <w:basedOn w:val="52"/>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1">
    <w:name w:val="Grid Table 4"/>
    <w:basedOn w:val="52"/>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2">
    <w:name w:val="Grid Table 5 Dark"/>
    <w:basedOn w:val="5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83">
    <w:name w:val="Grid Table 6 Colorful"/>
    <w:basedOn w:val="52"/>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84">
    <w:name w:val="Grid Table 7 Colorful"/>
    <w:basedOn w:val="52"/>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85">
    <w:name w:val="List Table 1 Light"/>
    <w:basedOn w:val="52"/>
    <w:qFormat/>
    <w:uiPriority w:val="99"/>
    <w:tblPr>
      <w:tblCellMar>
        <w:top w:w="0" w:type="dxa"/>
        <w:left w:w="108" w:type="dxa"/>
        <w:bottom w:w="0" w:type="dxa"/>
        <w:right w:w="108"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86">
    <w:name w:val="List Table 2"/>
    <w:basedOn w:val="52"/>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87">
    <w:name w:val="List Table 3"/>
    <w:basedOn w:val="52"/>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88">
    <w:name w:val="List Table 4"/>
    <w:basedOn w:val="52"/>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89">
    <w:name w:val="List Table 5 Dark"/>
    <w:basedOn w:val="52"/>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90">
    <w:name w:val="List Table 6 Colorful"/>
    <w:basedOn w:val="52"/>
    <w:qFormat/>
    <w:uiPriority w:val="99"/>
    <w:tblPr>
      <w:tblBorders>
        <w:top w:val="single" w:color="7E7E7E" w:themeColor="text1" w:themeTint="80" w:sz="4" w:space="0"/>
        <w:bottom w:val="single" w:color="7E7E7E" w:themeColor="text1" w:themeTint="80" w:sz="4" w:space="0"/>
      </w:tblBorders>
      <w:tblCellMar>
        <w:top w:w="0" w:type="dxa"/>
        <w:left w:w="108" w:type="dxa"/>
        <w:bottom w:w="0" w:type="dxa"/>
        <w:right w:w="108"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91">
    <w:name w:val="List Table 7 Colorful"/>
    <w:basedOn w:val="52"/>
    <w:qFormat/>
    <w:uiPriority w:val="99"/>
    <w:tblPr>
      <w:tblBorders>
        <w:right w:val="single" w:color="7E7E7E" w:themeColor="text1" w:themeTint="80" w:sz="4" w:space="0"/>
      </w:tblBorders>
      <w:tblCellMar>
        <w:top w:w="0" w:type="dxa"/>
        <w:left w:w="108" w:type="dxa"/>
        <w:bottom w:w="0" w:type="dxa"/>
        <w:right w:w="108"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paragraph" w:customStyle="1" w:styleId="92">
    <w:name w:val="TOC 标题1"/>
    <w:unhideWhenUsed/>
    <w:qFormat/>
    <w:uiPriority w:val="39"/>
    <w:rPr>
      <w:rFonts w:ascii="Times New Roman" w:hAnsi="Times New Roman" w:eastAsia="宋体" w:cs="Times New Roman"/>
      <w:lang w:val="en-US" w:eastAsia="zh-CN" w:bidi="ar-SA"/>
    </w:rPr>
  </w:style>
  <w:style w:type="character" w:customStyle="1" w:styleId="93">
    <w:name w:val="Heading 2 Char"/>
    <w:basedOn w:val="54"/>
    <w:qFormat/>
    <w:uiPriority w:val="9"/>
    <w:rPr>
      <w:rFonts w:ascii="Arial" w:hAnsi="Arial" w:eastAsia="Arial" w:cs="Arial"/>
      <w:sz w:val="34"/>
    </w:rPr>
  </w:style>
  <w:style w:type="character" w:customStyle="1" w:styleId="94">
    <w:name w:val="Heading 3 Char"/>
    <w:basedOn w:val="54"/>
    <w:qFormat/>
    <w:uiPriority w:val="9"/>
    <w:rPr>
      <w:rFonts w:ascii="Arial" w:hAnsi="Arial" w:eastAsia="Arial" w:cs="Arial"/>
      <w:sz w:val="30"/>
      <w:szCs w:val="30"/>
    </w:rPr>
  </w:style>
  <w:style w:type="character" w:customStyle="1" w:styleId="95">
    <w:name w:val="Heading 4 Char"/>
    <w:basedOn w:val="54"/>
    <w:qFormat/>
    <w:uiPriority w:val="9"/>
    <w:rPr>
      <w:rFonts w:ascii="Arial" w:hAnsi="Arial" w:eastAsia="Arial" w:cs="Arial"/>
      <w:b/>
      <w:bCs/>
      <w:sz w:val="26"/>
      <w:szCs w:val="26"/>
    </w:rPr>
  </w:style>
  <w:style w:type="character" w:customStyle="1" w:styleId="96">
    <w:name w:val="Heading 5 Char"/>
    <w:basedOn w:val="54"/>
    <w:qFormat/>
    <w:uiPriority w:val="9"/>
    <w:rPr>
      <w:rFonts w:ascii="Arial" w:hAnsi="Arial" w:eastAsia="Arial" w:cs="Arial"/>
      <w:b/>
      <w:bCs/>
      <w:sz w:val="24"/>
      <w:szCs w:val="24"/>
    </w:rPr>
  </w:style>
  <w:style w:type="character" w:customStyle="1" w:styleId="97">
    <w:name w:val="Heading 6 Char"/>
    <w:basedOn w:val="54"/>
    <w:qFormat/>
    <w:uiPriority w:val="9"/>
    <w:rPr>
      <w:rFonts w:ascii="Arial" w:hAnsi="Arial" w:eastAsia="Arial" w:cs="Arial"/>
      <w:b/>
      <w:bCs/>
      <w:sz w:val="22"/>
      <w:szCs w:val="22"/>
    </w:rPr>
  </w:style>
  <w:style w:type="character" w:customStyle="1" w:styleId="98">
    <w:name w:val="Heading 7 Char"/>
    <w:basedOn w:val="54"/>
    <w:qFormat/>
    <w:uiPriority w:val="9"/>
    <w:rPr>
      <w:rFonts w:ascii="Arial" w:hAnsi="Arial" w:eastAsia="Arial" w:cs="Arial"/>
      <w:b/>
      <w:bCs/>
      <w:i/>
      <w:iCs/>
      <w:sz w:val="22"/>
      <w:szCs w:val="22"/>
    </w:rPr>
  </w:style>
  <w:style w:type="character" w:customStyle="1" w:styleId="99">
    <w:name w:val="Heading 8 Char"/>
    <w:basedOn w:val="54"/>
    <w:qFormat/>
    <w:uiPriority w:val="9"/>
    <w:rPr>
      <w:rFonts w:ascii="Arial" w:hAnsi="Arial" w:eastAsia="Arial" w:cs="Arial"/>
      <w:i/>
      <w:iCs/>
      <w:sz w:val="22"/>
      <w:szCs w:val="22"/>
    </w:rPr>
  </w:style>
  <w:style w:type="character" w:customStyle="1" w:styleId="100">
    <w:name w:val="Heading 9 Char"/>
    <w:basedOn w:val="54"/>
    <w:qFormat/>
    <w:uiPriority w:val="9"/>
    <w:rPr>
      <w:rFonts w:ascii="Arial" w:hAnsi="Arial" w:eastAsia="Arial" w:cs="Arial"/>
      <w:i/>
      <w:iCs/>
      <w:sz w:val="21"/>
      <w:szCs w:val="21"/>
    </w:rPr>
  </w:style>
  <w:style w:type="character" w:customStyle="1" w:styleId="101">
    <w:name w:val="Title Char"/>
    <w:basedOn w:val="54"/>
    <w:qFormat/>
    <w:uiPriority w:val="10"/>
    <w:rPr>
      <w:sz w:val="48"/>
      <w:szCs w:val="48"/>
    </w:rPr>
  </w:style>
  <w:style w:type="character" w:customStyle="1" w:styleId="102">
    <w:name w:val="Subtitle Char"/>
    <w:basedOn w:val="54"/>
    <w:qFormat/>
    <w:uiPriority w:val="11"/>
    <w:rPr>
      <w:sz w:val="24"/>
      <w:szCs w:val="24"/>
    </w:rPr>
  </w:style>
  <w:style w:type="character" w:customStyle="1" w:styleId="103">
    <w:name w:val="Quote Char"/>
    <w:qFormat/>
    <w:uiPriority w:val="29"/>
    <w:rPr>
      <w:i/>
    </w:rPr>
  </w:style>
  <w:style w:type="character" w:customStyle="1" w:styleId="104">
    <w:name w:val="Intense Quote Char"/>
    <w:qFormat/>
    <w:uiPriority w:val="30"/>
    <w:rPr>
      <w:i/>
    </w:rPr>
  </w:style>
  <w:style w:type="character" w:customStyle="1" w:styleId="105">
    <w:name w:val="Footnote Text Char"/>
    <w:qFormat/>
    <w:uiPriority w:val="99"/>
    <w:rPr>
      <w:sz w:val="18"/>
    </w:rPr>
  </w:style>
  <w:style w:type="character" w:customStyle="1" w:styleId="106">
    <w:name w:val="Endnote Text Char"/>
    <w:qFormat/>
    <w:uiPriority w:val="99"/>
    <w:rPr>
      <w:sz w:val="20"/>
    </w:rPr>
  </w:style>
  <w:style w:type="character" w:customStyle="1" w:styleId="107">
    <w:name w:val="Heading 1 Char"/>
    <w:qFormat/>
    <w:uiPriority w:val="9"/>
    <w:rPr>
      <w:rFonts w:ascii="Arial" w:hAnsi="Arial" w:eastAsia="Arial" w:cs="Arial"/>
      <w:sz w:val="40"/>
      <w:szCs w:val="40"/>
    </w:rPr>
  </w:style>
  <w:style w:type="character" w:customStyle="1" w:styleId="108">
    <w:name w:val="标题 2 Char"/>
    <w:link w:val="3"/>
    <w:qFormat/>
    <w:uiPriority w:val="9"/>
    <w:rPr>
      <w:rFonts w:ascii="Arial" w:hAnsi="Arial" w:eastAsia="Arial" w:cs="Arial"/>
      <w:sz w:val="34"/>
    </w:rPr>
  </w:style>
  <w:style w:type="character" w:customStyle="1" w:styleId="109">
    <w:name w:val="标题 3 Char"/>
    <w:link w:val="4"/>
    <w:qFormat/>
    <w:uiPriority w:val="9"/>
    <w:rPr>
      <w:rFonts w:ascii="Arial" w:hAnsi="Arial" w:eastAsia="Arial" w:cs="Arial"/>
      <w:sz w:val="30"/>
      <w:szCs w:val="30"/>
    </w:rPr>
  </w:style>
  <w:style w:type="character" w:customStyle="1" w:styleId="110">
    <w:name w:val="标题 4 Char"/>
    <w:link w:val="5"/>
    <w:qFormat/>
    <w:uiPriority w:val="9"/>
    <w:rPr>
      <w:rFonts w:ascii="Arial" w:hAnsi="Arial" w:eastAsia="Arial" w:cs="Arial"/>
      <w:b/>
      <w:bCs/>
      <w:sz w:val="26"/>
      <w:szCs w:val="26"/>
    </w:rPr>
  </w:style>
  <w:style w:type="character" w:customStyle="1" w:styleId="111">
    <w:name w:val="标题 5 Char"/>
    <w:link w:val="6"/>
    <w:qFormat/>
    <w:uiPriority w:val="9"/>
    <w:rPr>
      <w:rFonts w:ascii="Arial" w:hAnsi="Arial" w:eastAsia="Arial" w:cs="Arial"/>
      <w:b/>
      <w:bCs/>
      <w:sz w:val="24"/>
      <w:szCs w:val="24"/>
    </w:rPr>
  </w:style>
  <w:style w:type="character" w:customStyle="1" w:styleId="112">
    <w:name w:val="标题 6 Char"/>
    <w:link w:val="7"/>
    <w:qFormat/>
    <w:uiPriority w:val="9"/>
    <w:rPr>
      <w:rFonts w:ascii="Arial" w:hAnsi="Arial" w:eastAsia="Arial" w:cs="Arial"/>
      <w:b/>
      <w:bCs/>
      <w:sz w:val="22"/>
      <w:szCs w:val="22"/>
    </w:rPr>
  </w:style>
  <w:style w:type="character" w:customStyle="1" w:styleId="113">
    <w:name w:val="标题 7 Char"/>
    <w:link w:val="8"/>
    <w:qFormat/>
    <w:uiPriority w:val="9"/>
    <w:rPr>
      <w:rFonts w:ascii="Arial" w:hAnsi="Arial" w:eastAsia="Arial" w:cs="Arial"/>
      <w:b/>
      <w:bCs/>
      <w:i/>
      <w:iCs/>
      <w:sz w:val="22"/>
      <w:szCs w:val="22"/>
    </w:rPr>
  </w:style>
  <w:style w:type="character" w:customStyle="1" w:styleId="114">
    <w:name w:val="标题 8 Char"/>
    <w:link w:val="9"/>
    <w:qFormat/>
    <w:uiPriority w:val="9"/>
    <w:rPr>
      <w:rFonts w:ascii="Arial" w:hAnsi="Arial" w:eastAsia="Arial" w:cs="Arial"/>
      <w:i/>
      <w:iCs/>
      <w:sz w:val="22"/>
      <w:szCs w:val="22"/>
    </w:rPr>
  </w:style>
  <w:style w:type="character" w:customStyle="1" w:styleId="115">
    <w:name w:val="标题 9 Char"/>
    <w:link w:val="10"/>
    <w:qFormat/>
    <w:uiPriority w:val="9"/>
    <w:rPr>
      <w:rFonts w:ascii="Arial" w:hAnsi="Arial" w:eastAsia="Arial" w:cs="Arial"/>
      <w:i/>
      <w:iCs/>
      <w:sz w:val="21"/>
      <w:szCs w:val="21"/>
    </w:rPr>
  </w:style>
  <w:style w:type="paragraph" w:styleId="116">
    <w:name w:val="List Paragraph"/>
    <w:basedOn w:val="1"/>
    <w:qFormat/>
    <w:uiPriority w:val="34"/>
    <w:pPr>
      <w:ind w:left="720"/>
      <w:contextualSpacing/>
    </w:pPr>
  </w:style>
  <w:style w:type="paragraph" w:styleId="117">
    <w:name w:val="No Spacing"/>
    <w:qFormat/>
    <w:uiPriority w:val="1"/>
    <w:rPr>
      <w:rFonts w:ascii="Times New Roman" w:hAnsi="Times New Roman" w:eastAsia="宋体" w:cs="Times New Roman"/>
      <w:lang w:val="en-US" w:eastAsia="zh-CN" w:bidi="ar-SA"/>
    </w:rPr>
  </w:style>
  <w:style w:type="character" w:customStyle="1" w:styleId="118">
    <w:name w:val="标题 Char"/>
    <w:link w:val="49"/>
    <w:qFormat/>
    <w:uiPriority w:val="10"/>
    <w:rPr>
      <w:sz w:val="48"/>
      <w:szCs w:val="48"/>
    </w:rPr>
  </w:style>
  <w:style w:type="character" w:customStyle="1" w:styleId="119">
    <w:name w:val="副标题 Char"/>
    <w:link w:val="37"/>
    <w:qFormat/>
    <w:uiPriority w:val="11"/>
    <w:rPr>
      <w:sz w:val="24"/>
      <w:szCs w:val="24"/>
    </w:rPr>
  </w:style>
  <w:style w:type="paragraph" w:styleId="120">
    <w:name w:val="Quote"/>
    <w:basedOn w:val="1"/>
    <w:next w:val="1"/>
    <w:link w:val="121"/>
    <w:qFormat/>
    <w:uiPriority w:val="29"/>
    <w:pPr>
      <w:ind w:left="720" w:right="720"/>
    </w:pPr>
    <w:rPr>
      <w:i/>
    </w:rPr>
  </w:style>
  <w:style w:type="character" w:customStyle="1" w:styleId="121">
    <w:name w:val="引用 Char"/>
    <w:link w:val="120"/>
    <w:qFormat/>
    <w:uiPriority w:val="29"/>
    <w:rPr>
      <w:i/>
    </w:rPr>
  </w:style>
  <w:style w:type="paragraph" w:styleId="122">
    <w:name w:val="Intense Quote"/>
    <w:basedOn w:val="1"/>
    <w:next w:val="1"/>
    <w:link w:val="123"/>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23">
    <w:name w:val="明显引用 Char"/>
    <w:link w:val="122"/>
    <w:qFormat/>
    <w:uiPriority w:val="30"/>
    <w:rPr>
      <w:i/>
    </w:rPr>
  </w:style>
  <w:style w:type="character" w:customStyle="1" w:styleId="124">
    <w:name w:val="Header Char"/>
    <w:qFormat/>
    <w:uiPriority w:val="99"/>
  </w:style>
  <w:style w:type="character" w:customStyle="1" w:styleId="125">
    <w:name w:val="Footer Char"/>
    <w:qFormat/>
    <w:uiPriority w:val="99"/>
  </w:style>
  <w:style w:type="character" w:customStyle="1" w:styleId="126">
    <w:name w:val="Caption Char"/>
    <w:qFormat/>
    <w:uiPriority w:val="99"/>
  </w:style>
  <w:style w:type="table" w:customStyle="1" w:styleId="127">
    <w:name w:val="Table Grid Light"/>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128">
    <w:name w:val="无格式表格 11"/>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129">
    <w:name w:val="无格式表格 21"/>
    <w:qFormat/>
    <w:uiPriority w:val="59"/>
    <w:tblPr>
      <w:tblBorders>
        <w:top w:val="single" w:color="000000" w:sz="4" w:space="0"/>
        <w:left w:val="none" w:color="000000" w:sz="4" w:space="0"/>
        <w:bottom w:val="single" w:color="000000" w:sz="4" w:space="0"/>
        <w:right w:val="none" w:color="000000" w:sz="4" w:space="0"/>
      </w:tblBorders>
      <w:tblCellMar>
        <w:top w:w="0" w:type="dxa"/>
        <w:left w:w="108" w:type="dxa"/>
        <w:bottom w:w="0" w:type="dxa"/>
        <w:right w:w="108" w:type="dxa"/>
      </w:tblCellMar>
    </w:tblPr>
  </w:style>
  <w:style w:type="table" w:customStyle="1" w:styleId="130">
    <w:name w:val="无格式表格 31"/>
    <w:qFormat/>
    <w:uiPriority w:val="99"/>
    <w:tblPr>
      <w:tblCellMar>
        <w:top w:w="0" w:type="dxa"/>
        <w:left w:w="0" w:type="dxa"/>
        <w:bottom w:w="0" w:type="dxa"/>
        <w:right w:w="0" w:type="dxa"/>
      </w:tblCellMar>
    </w:tblPr>
  </w:style>
  <w:style w:type="table" w:customStyle="1" w:styleId="131">
    <w:name w:val="无格式表格 41"/>
    <w:qFormat/>
    <w:uiPriority w:val="99"/>
    <w:tblPr>
      <w:tblCellMar>
        <w:top w:w="0" w:type="dxa"/>
        <w:left w:w="0" w:type="dxa"/>
        <w:bottom w:w="0" w:type="dxa"/>
        <w:right w:w="0" w:type="dxa"/>
      </w:tblCellMar>
    </w:tblPr>
  </w:style>
  <w:style w:type="table" w:customStyle="1" w:styleId="132">
    <w:name w:val="无格式表格 51"/>
    <w:qFormat/>
    <w:uiPriority w:val="99"/>
    <w:tblPr>
      <w:tblCellMar>
        <w:top w:w="0" w:type="dxa"/>
        <w:left w:w="0" w:type="dxa"/>
        <w:bottom w:w="0" w:type="dxa"/>
        <w:right w:w="0" w:type="dxa"/>
      </w:tblCellMar>
    </w:tblPr>
  </w:style>
  <w:style w:type="table" w:customStyle="1" w:styleId="133">
    <w:name w:val="网格表 1 浅色1"/>
    <w:qFormat/>
    <w:uiPriority w:val="99"/>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top w:w="0" w:type="dxa"/>
        <w:left w:w="0" w:type="dxa"/>
        <w:bottom w:w="0" w:type="dxa"/>
        <w:right w:w="0" w:type="dxa"/>
      </w:tblCellMar>
    </w:tblPr>
  </w:style>
  <w:style w:type="table" w:customStyle="1" w:styleId="134">
    <w:name w:val="Grid Table 1 Light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135">
    <w:name w:val="Grid Table 1 Light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136">
    <w:name w:val="Grid Table 1 Light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137">
    <w:name w:val="Grid Table 1 Light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138">
    <w:name w:val="Grid Table 1 Light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139">
    <w:name w:val="Grid Table 1 Light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table" w:customStyle="1" w:styleId="140">
    <w:name w:val="网格表 21"/>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141">
    <w:name w:val="Grid Table 2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142">
    <w:name w:val="Grid Table 2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43">
    <w:name w:val="Grid Table 2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44">
    <w:name w:val="Grid Table 2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45">
    <w:name w:val="Grid Table 2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46">
    <w:name w:val="Grid Table 2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47">
    <w:name w:val="网格表 31"/>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148">
    <w:name w:val="Grid Table 3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149">
    <w:name w:val="Grid Table 3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50">
    <w:name w:val="Grid Table 3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51">
    <w:name w:val="Grid Table 3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52">
    <w:name w:val="Grid Table 3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53">
    <w:name w:val="Grid Table 3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54">
    <w:name w:val="网格表 41"/>
    <w:qFormat/>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top w:w="0" w:type="dxa"/>
        <w:left w:w="0" w:type="dxa"/>
        <w:bottom w:w="0" w:type="dxa"/>
        <w:right w:w="0" w:type="dxa"/>
      </w:tblCellMar>
    </w:tblPr>
  </w:style>
  <w:style w:type="table" w:customStyle="1" w:styleId="155">
    <w:name w:val="Grid Table 4 - Accent 1"/>
    <w:qFormat/>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top w:w="0" w:type="dxa"/>
        <w:left w:w="0" w:type="dxa"/>
        <w:bottom w:w="0" w:type="dxa"/>
        <w:right w:w="0" w:type="dxa"/>
      </w:tblCellMar>
    </w:tblPr>
  </w:style>
  <w:style w:type="table" w:customStyle="1" w:styleId="156">
    <w:name w:val="Grid Table 4 - Accent 2"/>
    <w:qFormat/>
    <w:uiPriority w:val="59"/>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top w:w="0" w:type="dxa"/>
        <w:left w:w="0" w:type="dxa"/>
        <w:bottom w:w="0" w:type="dxa"/>
        <w:right w:w="0" w:type="dxa"/>
      </w:tblCellMar>
    </w:tblPr>
  </w:style>
  <w:style w:type="table" w:customStyle="1" w:styleId="157">
    <w:name w:val="Grid Table 4 - Accent 3"/>
    <w:qFormat/>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top w:w="0" w:type="dxa"/>
        <w:left w:w="0" w:type="dxa"/>
        <w:bottom w:w="0" w:type="dxa"/>
        <w:right w:w="0" w:type="dxa"/>
      </w:tblCellMar>
    </w:tblPr>
  </w:style>
  <w:style w:type="table" w:customStyle="1" w:styleId="158">
    <w:name w:val="Grid Table 4 - Accent 4"/>
    <w:qFormat/>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top w:w="0" w:type="dxa"/>
        <w:left w:w="0" w:type="dxa"/>
        <w:bottom w:w="0" w:type="dxa"/>
        <w:right w:w="0" w:type="dxa"/>
      </w:tblCellMar>
    </w:tblPr>
  </w:style>
  <w:style w:type="table" w:customStyle="1" w:styleId="159">
    <w:name w:val="Grid Table 4 - Accent 5"/>
    <w:qFormat/>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60">
    <w:name w:val="Grid Table 4 - Accent 6"/>
    <w:qFormat/>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61">
    <w:name w:val="网格表 5 深色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62">
    <w:name w:val="Grid Table 5 Dark- Accent 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63">
    <w:name w:val="Grid Table 5 Dark - Accent 2"/>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64">
    <w:name w:val="Grid Table 5 Dark - Accent 3"/>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65">
    <w:name w:val="Grid Table 5 Dark- Accent 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66">
    <w:name w:val="Grid Table 5 Dark - Accent 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67">
    <w:name w:val="Grid Table 5 Dark - Accent 6"/>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68">
    <w:name w:val="网格表 6 彩色1"/>
    <w:qFormat/>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169">
    <w:name w:val="Grid Table 6 Colorful - Accent 1"/>
    <w:qFormat/>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70">
    <w:name w:val="Grid Table 6 Colorful - Accent 2"/>
    <w:qFormat/>
    <w:uiPriority w:val="99"/>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71">
    <w:name w:val="Grid Table 6 Colorful - Accent 3"/>
    <w:qFormat/>
    <w:uiPriority w:val="99"/>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72">
    <w:name w:val="Grid Table 6 Colorful - Accent 4"/>
    <w:qFormat/>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73">
    <w:name w:val="Grid Table 6 Colorful - Accent 5"/>
    <w:qFormat/>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74">
    <w:name w:val="Grid Table 6 Colorful - Accent 6"/>
    <w:qFormat/>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75">
    <w:name w:val="网格表 7 彩色1"/>
    <w:qFormat/>
    <w:uiPriority w:val="99"/>
    <w:tblPr>
      <w:tblBorders>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176">
    <w:name w:val="Grid Table 7 Colorful - Accent 1"/>
    <w:qFormat/>
    <w:uiPriority w:val="99"/>
    <w:tblPr>
      <w:tblBorders>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77">
    <w:name w:val="Grid Table 7 Colorful - Accent 2"/>
    <w:qFormat/>
    <w:uiPriority w:val="99"/>
    <w:tblPr>
      <w:tblBorders>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78">
    <w:name w:val="Grid Table 7 Colorful - Accent 3"/>
    <w:qFormat/>
    <w:uiPriority w:val="99"/>
    <w:tblPr>
      <w:tblBorders>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79">
    <w:name w:val="Grid Table 7 Colorful - Accent 4"/>
    <w:qFormat/>
    <w:uiPriority w:val="99"/>
    <w:tblPr>
      <w:tblBorders>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80">
    <w:name w:val="Grid Table 7 Colorful - Accent 5"/>
    <w:qFormat/>
    <w:uiPriority w:val="99"/>
    <w:tblPr>
      <w:tblBorders>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81">
    <w:name w:val="Grid Table 7 Colorful - Accent 6"/>
    <w:qFormat/>
    <w:uiPriority w:val="99"/>
    <w:tblPr>
      <w:tblBorders>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82">
    <w:name w:val="清单表 1 浅色1"/>
    <w:qFormat/>
    <w:uiPriority w:val="99"/>
    <w:tblPr>
      <w:tblCellMar>
        <w:top w:w="0" w:type="dxa"/>
        <w:left w:w="0" w:type="dxa"/>
        <w:bottom w:w="0" w:type="dxa"/>
        <w:right w:w="0" w:type="dxa"/>
      </w:tblCellMar>
    </w:tblPr>
  </w:style>
  <w:style w:type="table" w:customStyle="1" w:styleId="183">
    <w:name w:val="List Table 1 Light - Accent 1"/>
    <w:qFormat/>
    <w:uiPriority w:val="99"/>
    <w:tblPr>
      <w:tblCellMar>
        <w:top w:w="0" w:type="dxa"/>
        <w:left w:w="0" w:type="dxa"/>
        <w:bottom w:w="0" w:type="dxa"/>
        <w:right w:w="0" w:type="dxa"/>
      </w:tblCellMar>
    </w:tblPr>
  </w:style>
  <w:style w:type="table" w:customStyle="1" w:styleId="184">
    <w:name w:val="List Table 1 Light - Accent 2"/>
    <w:qFormat/>
    <w:uiPriority w:val="99"/>
    <w:tblPr>
      <w:tblCellMar>
        <w:top w:w="0" w:type="dxa"/>
        <w:left w:w="0" w:type="dxa"/>
        <w:bottom w:w="0" w:type="dxa"/>
        <w:right w:w="0" w:type="dxa"/>
      </w:tblCellMar>
    </w:tblPr>
  </w:style>
  <w:style w:type="table" w:customStyle="1" w:styleId="185">
    <w:name w:val="List Table 1 Light - Accent 3"/>
    <w:qFormat/>
    <w:uiPriority w:val="99"/>
    <w:tblPr>
      <w:tblCellMar>
        <w:top w:w="0" w:type="dxa"/>
        <w:left w:w="0" w:type="dxa"/>
        <w:bottom w:w="0" w:type="dxa"/>
        <w:right w:w="0" w:type="dxa"/>
      </w:tblCellMar>
    </w:tblPr>
  </w:style>
  <w:style w:type="table" w:customStyle="1" w:styleId="186">
    <w:name w:val="List Table 1 Light - Accent 4"/>
    <w:qFormat/>
    <w:uiPriority w:val="99"/>
    <w:tblPr>
      <w:tblCellMar>
        <w:top w:w="0" w:type="dxa"/>
        <w:left w:w="0" w:type="dxa"/>
        <w:bottom w:w="0" w:type="dxa"/>
        <w:right w:w="0" w:type="dxa"/>
      </w:tblCellMar>
    </w:tblPr>
  </w:style>
  <w:style w:type="table" w:customStyle="1" w:styleId="187">
    <w:name w:val="List Table 1 Light - Accent 5"/>
    <w:qFormat/>
    <w:uiPriority w:val="99"/>
    <w:tblPr>
      <w:tblCellMar>
        <w:top w:w="0" w:type="dxa"/>
        <w:left w:w="0" w:type="dxa"/>
        <w:bottom w:w="0" w:type="dxa"/>
        <w:right w:w="0" w:type="dxa"/>
      </w:tblCellMar>
    </w:tblPr>
  </w:style>
  <w:style w:type="table" w:customStyle="1" w:styleId="188">
    <w:name w:val="List Table 1 Light - Accent 6"/>
    <w:qFormat/>
    <w:uiPriority w:val="99"/>
    <w:tblPr>
      <w:tblCellMar>
        <w:top w:w="0" w:type="dxa"/>
        <w:left w:w="0" w:type="dxa"/>
        <w:bottom w:w="0" w:type="dxa"/>
        <w:right w:w="0" w:type="dxa"/>
      </w:tblCellMar>
    </w:tblPr>
  </w:style>
  <w:style w:type="table" w:customStyle="1" w:styleId="189">
    <w:name w:val="清单表 21"/>
    <w:qFormat/>
    <w:uiPriority w:val="99"/>
    <w:tblPr>
      <w:tblBorders>
        <w:top w:val="single" w:color="6F6F6F" w:sz="4" w:space="0"/>
        <w:bottom w:val="single" w:color="6F6F6F" w:sz="4" w:space="0"/>
        <w:insideH w:val="single" w:color="6F6F6F" w:sz="4" w:space="0"/>
      </w:tblBorders>
      <w:tblCellMar>
        <w:top w:w="0" w:type="dxa"/>
        <w:left w:w="0" w:type="dxa"/>
        <w:bottom w:w="0" w:type="dxa"/>
        <w:right w:w="0" w:type="dxa"/>
      </w:tblCellMar>
    </w:tblPr>
  </w:style>
  <w:style w:type="table" w:customStyle="1" w:styleId="190">
    <w:name w:val="List Table 2 - Accent 1"/>
    <w:qFormat/>
    <w:uiPriority w:val="99"/>
    <w:tblPr>
      <w:tblBorders>
        <w:top w:val="single" w:color="9BB7D9" w:sz="4" w:space="0"/>
        <w:bottom w:val="single" w:color="9BB7D9" w:sz="4" w:space="0"/>
        <w:insideH w:val="single" w:color="9BB7D9" w:sz="4" w:space="0"/>
      </w:tblBorders>
      <w:tblCellMar>
        <w:top w:w="0" w:type="dxa"/>
        <w:left w:w="0" w:type="dxa"/>
        <w:bottom w:w="0" w:type="dxa"/>
        <w:right w:w="0" w:type="dxa"/>
      </w:tblCellMar>
    </w:tblPr>
  </w:style>
  <w:style w:type="table" w:customStyle="1" w:styleId="191">
    <w:name w:val="List Table 2 - Accent 2"/>
    <w:qFormat/>
    <w:uiPriority w:val="99"/>
    <w:tblPr>
      <w:tblBorders>
        <w:top w:val="single" w:color="DB9B9A" w:sz="4" w:space="0"/>
        <w:bottom w:val="single" w:color="DB9B9A" w:sz="4" w:space="0"/>
        <w:insideH w:val="single" w:color="DB9B9A" w:sz="4" w:space="0"/>
      </w:tblBorders>
      <w:tblCellMar>
        <w:top w:w="0" w:type="dxa"/>
        <w:left w:w="0" w:type="dxa"/>
        <w:bottom w:w="0" w:type="dxa"/>
        <w:right w:w="0" w:type="dxa"/>
      </w:tblCellMar>
    </w:tblPr>
  </w:style>
  <w:style w:type="table" w:customStyle="1" w:styleId="192">
    <w:name w:val="List Table 2 - Accent 3"/>
    <w:qFormat/>
    <w:uiPriority w:val="99"/>
    <w:tblPr>
      <w:tblBorders>
        <w:top w:val="single" w:color="C6D8A1" w:sz="4" w:space="0"/>
        <w:bottom w:val="single" w:color="C6D8A1" w:sz="4" w:space="0"/>
        <w:insideH w:val="single" w:color="C6D8A1" w:sz="4" w:space="0"/>
      </w:tblBorders>
      <w:tblCellMar>
        <w:top w:w="0" w:type="dxa"/>
        <w:left w:w="0" w:type="dxa"/>
        <w:bottom w:w="0" w:type="dxa"/>
        <w:right w:w="0" w:type="dxa"/>
      </w:tblCellMar>
    </w:tblPr>
  </w:style>
  <w:style w:type="table" w:customStyle="1" w:styleId="193">
    <w:name w:val="List Table 2 - Accent 4"/>
    <w:qFormat/>
    <w:uiPriority w:val="99"/>
    <w:tblPr>
      <w:tblBorders>
        <w:top w:val="single" w:color="B7A7CA" w:sz="4" w:space="0"/>
        <w:bottom w:val="single" w:color="B7A7CA" w:sz="4" w:space="0"/>
        <w:insideH w:val="single" w:color="B7A7CA" w:sz="4" w:space="0"/>
      </w:tblBorders>
      <w:tblCellMar>
        <w:top w:w="0" w:type="dxa"/>
        <w:left w:w="0" w:type="dxa"/>
        <w:bottom w:w="0" w:type="dxa"/>
        <w:right w:w="0" w:type="dxa"/>
      </w:tblCellMar>
    </w:tblPr>
  </w:style>
  <w:style w:type="table" w:customStyle="1" w:styleId="194">
    <w:name w:val="List Table 2 - Accent 5"/>
    <w:qFormat/>
    <w:uiPriority w:val="99"/>
    <w:tblPr>
      <w:tblBorders>
        <w:top w:val="single" w:color="99D0DE" w:sz="4" w:space="0"/>
        <w:bottom w:val="single" w:color="99D0DE" w:sz="4" w:space="0"/>
        <w:insideH w:val="single" w:color="99D0DE" w:sz="4" w:space="0"/>
      </w:tblBorders>
      <w:tblCellMar>
        <w:top w:w="0" w:type="dxa"/>
        <w:left w:w="0" w:type="dxa"/>
        <w:bottom w:w="0" w:type="dxa"/>
        <w:right w:w="0" w:type="dxa"/>
      </w:tblCellMar>
    </w:tblPr>
  </w:style>
  <w:style w:type="table" w:customStyle="1" w:styleId="195">
    <w:name w:val="List Table 2 - Accent 6"/>
    <w:qFormat/>
    <w:uiPriority w:val="99"/>
    <w:tblPr>
      <w:tblBorders>
        <w:top w:val="single" w:color="FAC396" w:sz="4" w:space="0"/>
        <w:bottom w:val="single" w:color="FAC396" w:sz="4" w:space="0"/>
        <w:insideH w:val="single" w:color="FAC396" w:sz="4" w:space="0"/>
      </w:tblBorders>
      <w:tblCellMar>
        <w:top w:w="0" w:type="dxa"/>
        <w:left w:w="0" w:type="dxa"/>
        <w:bottom w:w="0" w:type="dxa"/>
        <w:right w:w="0" w:type="dxa"/>
      </w:tblCellMar>
    </w:tblPr>
  </w:style>
  <w:style w:type="table" w:customStyle="1" w:styleId="196">
    <w:name w:val="清单表 31"/>
    <w:qFormat/>
    <w:uiPriority w:val="99"/>
    <w:tblPr>
      <w:tblBorders>
        <w:top w:val="single" w:color="000000" w:sz="4" w:space="0"/>
        <w:left w:val="single" w:color="000000" w:sz="4" w:space="0"/>
        <w:bottom w:val="single" w:color="000000" w:sz="4" w:space="0"/>
        <w:right w:val="single" w:color="000000" w:sz="4" w:space="0"/>
      </w:tblBorders>
      <w:tblCellMar>
        <w:top w:w="0" w:type="dxa"/>
        <w:left w:w="0" w:type="dxa"/>
        <w:bottom w:w="0" w:type="dxa"/>
        <w:right w:w="0" w:type="dxa"/>
      </w:tblCellMar>
    </w:tblPr>
  </w:style>
  <w:style w:type="table" w:customStyle="1" w:styleId="197">
    <w:name w:val="List Table 3 - Accent 1"/>
    <w:qFormat/>
    <w:uiPriority w:val="99"/>
    <w:tblPr>
      <w:tblBorders>
        <w:top w:val="single" w:color="4F81BD" w:sz="4" w:space="0"/>
        <w:left w:val="single" w:color="4F81BD" w:sz="4" w:space="0"/>
        <w:bottom w:val="single" w:color="4F81BD" w:sz="4" w:space="0"/>
        <w:right w:val="single" w:color="4F81BD" w:sz="4" w:space="0"/>
      </w:tblBorders>
      <w:tblCellMar>
        <w:top w:w="0" w:type="dxa"/>
        <w:left w:w="0" w:type="dxa"/>
        <w:bottom w:w="0" w:type="dxa"/>
        <w:right w:w="0" w:type="dxa"/>
      </w:tblCellMar>
    </w:tblPr>
  </w:style>
  <w:style w:type="table" w:customStyle="1" w:styleId="198">
    <w:name w:val="List Table 3 - Accent 2"/>
    <w:qFormat/>
    <w:uiPriority w:val="99"/>
    <w:tblPr>
      <w:tblBorders>
        <w:top w:val="single" w:color="D99695" w:sz="4" w:space="0"/>
        <w:left w:val="single" w:color="D99695" w:sz="4" w:space="0"/>
        <w:bottom w:val="single" w:color="D99695" w:sz="4" w:space="0"/>
        <w:right w:val="single" w:color="D99695" w:sz="4" w:space="0"/>
      </w:tblBorders>
      <w:tblCellMar>
        <w:top w:w="0" w:type="dxa"/>
        <w:left w:w="0" w:type="dxa"/>
        <w:bottom w:w="0" w:type="dxa"/>
        <w:right w:w="0" w:type="dxa"/>
      </w:tblCellMar>
    </w:tblPr>
  </w:style>
  <w:style w:type="table" w:customStyle="1" w:styleId="199">
    <w:name w:val="List Table 3 - Accent 3"/>
    <w:qFormat/>
    <w:uiPriority w:val="99"/>
    <w:tblPr>
      <w:tblBorders>
        <w:top w:val="single" w:color="C3D69B" w:sz="4" w:space="0"/>
        <w:left w:val="single" w:color="C3D69B" w:sz="4" w:space="0"/>
        <w:bottom w:val="single" w:color="C3D69B" w:sz="4" w:space="0"/>
        <w:right w:val="single" w:color="C3D69B" w:sz="4" w:space="0"/>
      </w:tblBorders>
      <w:tblCellMar>
        <w:top w:w="0" w:type="dxa"/>
        <w:left w:w="0" w:type="dxa"/>
        <w:bottom w:w="0" w:type="dxa"/>
        <w:right w:w="0" w:type="dxa"/>
      </w:tblCellMar>
    </w:tblPr>
  </w:style>
  <w:style w:type="table" w:customStyle="1" w:styleId="200">
    <w:name w:val="List Table 3 - Accent 4"/>
    <w:qFormat/>
    <w:uiPriority w:val="99"/>
    <w:tblPr>
      <w:tblBorders>
        <w:top w:val="single" w:color="B2A1C6" w:sz="4" w:space="0"/>
        <w:left w:val="single" w:color="B2A1C6" w:sz="4" w:space="0"/>
        <w:bottom w:val="single" w:color="B2A1C6" w:sz="4" w:space="0"/>
        <w:right w:val="single" w:color="B2A1C6" w:sz="4" w:space="0"/>
      </w:tblBorders>
      <w:tblCellMar>
        <w:top w:w="0" w:type="dxa"/>
        <w:left w:w="0" w:type="dxa"/>
        <w:bottom w:w="0" w:type="dxa"/>
        <w:right w:w="0" w:type="dxa"/>
      </w:tblCellMar>
    </w:tblPr>
  </w:style>
  <w:style w:type="table" w:customStyle="1" w:styleId="201">
    <w:name w:val="List Table 3 - Accent 5"/>
    <w:qFormat/>
    <w:uiPriority w:val="99"/>
    <w:tblPr>
      <w:tblBorders>
        <w:top w:val="single" w:color="92CCDC" w:sz="4" w:space="0"/>
        <w:left w:val="single" w:color="92CCDC" w:sz="4" w:space="0"/>
        <w:bottom w:val="single" w:color="92CCDC" w:sz="4" w:space="0"/>
        <w:right w:val="single" w:color="92CCDC" w:sz="4" w:space="0"/>
      </w:tblBorders>
      <w:tblCellMar>
        <w:top w:w="0" w:type="dxa"/>
        <w:left w:w="0" w:type="dxa"/>
        <w:bottom w:w="0" w:type="dxa"/>
        <w:right w:w="0" w:type="dxa"/>
      </w:tblCellMar>
    </w:tblPr>
  </w:style>
  <w:style w:type="table" w:customStyle="1" w:styleId="202">
    <w:name w:val="List Table 3 - Accent 6"/>
    <w:qFormat/>
    <w:uiPriority w:val="99"/>
    <w:tblPr>
      <w:tblBorders>
        <w:top w:val="single" w:color="FAC090" w:sz="4" w:space="0"/>
        <w:left w:val="single" w:color="FAC090" w:sz="4" w:space="0"/>
        <w:bottom w:val="single" w:color="FAC090" w:sz="4" w:space="0"/>
        <w:right w:val="single" w:color="FAC090" w:sz="4" w:space="0"/>
      </w:tblBorders>
      <w:tblCellMar>
        <w:top w:w="0" w:type="dxa"/>
        <w:left w:w="0" w:type="dxa"/>
        <w:bottom w:w="0" w:type="dxa"/>
        <w:right w:w="0" w:type="dxa"/>
      </w:tblCellMar>
    </w:tblPr>
  </w:style>
  <w:style w:type="table" w:customStyle="1" w:styleId="203">
    <w:name w:val="清单表 41"/>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top w:w="0" w:type="dxa"/>
        <w:left w:w="0" w:type="dxa"/>
        <w:bottom w:w="0" w:type="dxa"/>
        <w:right w:w="0" w:type="dxa"/>
      </w:tblCellMar>
    </w:tblPr>
  </w:style>
  <w:style w:type="table" w:customStyle="1" w:styleId="204">
    <w:name w:val="List Table 4 - Accent 1"/>
    <w:qFormat/>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top w:w="0" w:type="dxa"/>
        <w:left w:w="0" w:type="dxa"/>
        <w:bottom w:w="0" w:type="dxa"/>
        <w:right w:w="0" w:type="dxa"/>
      </w:tblCellMar>
    </w:tblPr>
  </w:style>
  <w:style w:type="table" w:customStyle="1" w:styleId="205">
    <w:name w:val="List Table 4 - Accent 2"/>
    <w:qFormat/>
    <w:uiPriority w:val="99"/>
    <w:tblPr>
      <w:tblBorders>
        <w:top w:val="single" w:color="DB9B9A" w:sz="4" w:space="0"/>
        <w:left w:val="single" w:color="DB9B9A" w:sz="4" w:space="0"/>
        <w:bottom w:val="single" w:color="DB9B9A" w:sz="4" w:space="0"/>
        <w:right w:val="single" w:color="DB9B9A" w:sz="4" w:space="0"/>
        <w:insideH w:val="single" w:color="DB9B9A" w:sz="4" w:space="0"/>
      </w:tblBorders>
      <w:tblCellMar>
        <w:top w:w="0" w:type="dxa"/>
        <w:left w:w="0" w:type="dxa"/>
        <w:bottom w:w="0" w:type="dxa"/>
        <w:right w:w="0" w:type="dxa"/>
      </w:tblCellMar>
    </w:tblPr>
  </w:style>
  <w:style w:type="table" w:customStyle="1" w:styleId="206">
    <w:name w:val="List Table 4 - Accent 3"/>
    <w:qFormat/>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top w:w="0" w:type="dxa"/>
        <w:left w:w="0" w:type="dxa"/>
        <w:bottom w:w="0" w:type="dxa"/>
        <w:right w:w="0" w:type="dxa"/>
      </w:tblCellMar>
    </w:tblPr>
  </w:style>
  <w:style w:type="table" w:customStyle="1" w:styleId="207">
    <w:name w:val="List Table 4 - Accent 4"/>
    <w:qFormat/>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top w:w="0" w:type="dxa"/>
        <w:left w:w="0" w:type="dxa"/>
        <w:bottom w:w="0" w:type="dxa"/>
        <w:right w:w="0" w:type="dxa"/>
      </w:tblCellMar>
    </w:tblPr>
  </w:style>
  <w:style w:type="table" w:customStyle="1" w:styleId="208">
    <w:name w:val="List Table 4 - Accent 5"/>
    <w:qFormat/>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top w:w="0" w:type="dxa"/>
        <w:left w:w="0" w:type="dxa"/>
        <w:bottom w:w="0" w:type="dxa"/>
        <w:right w:w="0" w:type="dxa"/>
      </w:tblCellMar>
    </w:tblPr>
  </w:style>
  <w:style w:type="table" w:customStyle="1" w:styleId="209">
    <w:name w:val="List Table 4 - Accent 6"/>
    <w:qFormat/>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top w:w="0" w:type="dxa"/>
        <w:left w:w="0" w:type="dxa"/>
        <w:bottom w:w="0" w:type="dxa"/>
        <w:right w:w="0" w:type="dxa"/>
      </w:tblCellMar>
    </w:tblPr>
  </w:style>
  <w:style w:type="table" w:customStyle="1" w:styleId="210">
    <w:name w:val="清单表 5 深色1"/>
    <w:qFormat/>
    <w:uiPriority w:val="99"/>
    <w:tblPr>
      <w:tblBorders>
        <w:top w:val="single" w:color="7F7F7F" w:sz="32" w:space="0"/>
        <w:left w:val="single" w:color="7F7F7F" w:sz="32" w:space="0"/>
        <w:bottom w:val="single" w:color="7F7F7F" w:sz="32" w:space="0"/>
        <w:right w:val="single" w:color="7F7F7F" w:sz="32" w:space="0"/>
      </w:tblBorders>
      <w:tblCellMar>
        <w:top w:w="0" w:type="dxa"/>
        <w:left w:w="0" w:type="dxa"/>
        <w:bottom w:w="0" w:type="dxa"/>
        <w:right w:w="0" w:type="dxa"/>
      </w:tblCellMar>
    </w:tblPr>
  </w:style>
  <w:style w:type="table" w:customStyle="1" w:styleId="211">
    <w:name w:val="List Table 5 Dark - Accent 1"/>
    <w:qFormat/>
    <w:uiPriority w:val="99"/>
    <w:tblPr>
      <w:tblBorders>
        <w:top w:val="single" w:color="4F81BD" w:sz="32" w:space="0"/>
        <w:left w:val="single" w:color="4F81BD" w:sz="32" w:space="0"/>
        <w:bottom w:val="single" w:color="4F81BD" w:sz="32" w:space="0"/>
        <w:right w:val="single" w:color="4F81BD" w:sz="32" w:space="0"/>
      </w:tblBorders>
      <w:tblCellMar>
        <w:top w:w="0" w:type="dxa"/>
        <w:left w:w="0" w:type="dxa"/>
        <w:bottom w:w="0" w:type="dxa"/>
        <w:right w:w="0" w:type="dxa"/>
      </w:tblCellMar>
    </w:tblPr>
  </w:style>
  <w:style w:type="table" w:customStyle="1" w:styleId="212">
    <w:name w:val="List Table 5 Dark - Accent 2"/>
    <w:qFormat/>
    <w:uiPriority w:val="99"/>
    <w:tblPr>
      <w:tblBorders>
        <w:top w:val="single" w:color="D99695" w:sz="32" w:space="0"/>
        <w:left w:val="single" w:color="D99695" w:sz="32" w:space="0"/>
        <w:bottom w:val="single" w:color="D99695" w:sz="32" w:space="0"/>
        <w:right w:val="single" w:color="D99695" w:sz="32" w:space="0"/>
      </w:tblBorders>
      <w:tblCellMar>
        <w:top w:w="0" w:type="dxa"/>
        <w:left w:w="0" w:type="dxa"/>
        <w:bottom w:w="0" w:type="dxa"/>
        <w:right w:w="0" w:type="dxa"/>
      </w:tblCellMar>
    </w:tblPr>
  </w:style>
  <w:style w:type="table" w:customStyle="1" w:styleId="213">
    <w:name w:val="List Table 5 Dark - Accent 3"/>
    <w:qFormat/>
    <w:uiPriority w:val="99"/>
    <w:tblPr>
      <w:tblBorders>
        <w:top w:val="single" w:color="C3D69B" w:sz="32" w:space="0"/>
        <w:left w:val="single" w:color="C3D69B" w:sz="32" w:space="0"/>
        <w:bottom w:val="single" w:color="C3D69B" w:sz="32" w:space="0"/>
        <w:right w:val="single" w:color="C3D69B" w:sz="32" w:space="0"/>
      </w:tblBorders>
      <w:tblCellMar>
        <w:top w:w="0" w:type="dxa"/>
        <w:left w:w="0" w:type="dxa"/>
        <w:bottom w:w="0" w:type="dxa"/>
        <w:right w:w="0" w:type="dxa"/>
      </w:tblCellMar>
    </w:tblPr>
  </w:style>
  <w:style w:type="table" w:customStyle="1" w:styleId="214">
    <w:name w:val="List Table 5 Dark - Accent 4"/>
    <w:qFormat/>
    <w:uiPriority w:val="99"/>
    <w:tblPr>
      <w:tblBorders>
        <w:top w:val="single" w:color="B2A1C6" w:sz="32" w:space="0"/>
        <w:left w:val="single" w:color="B2A1C6" w:sz="32" w:space="0"/>
        <w:bottom w:val="single" w:color="B2A1C6" w:sz="32" w:space="0"/>
        <w:right w:val="single" w:color="B2A1C6" w:sz="32" w:space="0"/>
      </w:tblBorders>
      <w:tblCellMar>
        <w:top w:w="0" w:type="dxa"/>
        <w:left w:w="0" w:type="dxa"/>
        <w:bottom w:w="0" w:type="dxa"/>
        <w:right w:w="0" w:type="dxa"/>
      </w:tblCellMar>
    </w:tblPr>
  </w:style>
  <w:style w:type="table" w:customStyle="1" w:styleId="215">
    <w:name w:val="List Table 5 Dark - Accent 5"/>
    <w:qFormat/>
    <w:uiPriority w:val="99"/>
    <w:tblPr>
      <w:tblBorders>
        <w:top w:val="single" w:color="92CCDC" w:sz="32" w:space="0"/>
        <w:left w:val="single" w:color="92CCDC" w:sz="32" w:space="0"/>
        <w:bottom w:val="single" w:color="92CCDC" w:sz="32" w:space="0"/>
        <w:right w:val="single" w:color="92CCDC" w:sz="32" w:space="0"/>
      </w:tblBorders>
      <w:tblCellMar>
        <w:top w:w="0" w:type="dxa"/>
        <w:left w:w="0" w:type="dxa"/>
        <w:bottom w:w="0" w:type="dxa"/>
        <w:right w:w="0" w:type="dxa"/>
      </w:tblCellMar>
    </w:tblPr>
  </w:style>
  <w:style w:type="table" w:customStyle="1" w:styleId="216">
    <w:name w:val="List Table 5 Dark - Accent 6"/>
    <w:qFormat/>
    <w:uiPriority w:val="99"/>
    <w:tblPr>
      <w:tblBorders>
        <w:top w:val="single" w:color="FAC090" w:sz="32" w:space="0"/>
        <w:left w:val="single" w:color="FAC090" w:sz="32" w:space="0"/>
        <w:bottom w:val="single" w:color="FAC090" w:sz="32" w:space="0"/>
        <w:right w:val="single" w:color="FAC090" w:sz="32" w:space="0"/>
      </w:tblBorders>
      <w:tblCellMar>
        <w:top w:w="0" w:type="dxa"/>
        <w:left w:w="0" w:type="dxa"/>
        <w:bottom w:w="0" w:type="dxa"/>
        <w:right w:w="0" w:type="dxa"/>
      </w:tblCellMar>
    </w:tblPr>
  </w:style>
  <w:style w:type="table" w:customStyle="1" w:styleId="217">
    <w:name w:val="清单表 6 彩色1"/>
    <w:qFormat/>
    <w:uiPriority w:val="99"/>
    <w:tblPr>
      <w:tblBorders>
        <w:top w:val="single" w:color="7F7F7F" w:sz="4" w:space="0"/>
        <w:bottom w:val="single" w:color="7F7F7F" w:sz="4" w:space="0"/>
      </w:tblBorders>
      <w:tblCellMar>
        <w:top w:w="0" w:type="dxa"/>
        <w:left w:w="0" w:type="dxa"/>
        <w:bottom w:w="0" w:type="dxa"/>
        <w:right w:w="0" w:type="dxa"/>
      </w:tblCellMar>
    </w:tblPr>
  </w:style>
  <w:style w:type="table" w:customStyle="1" w:styleId="218">
    <w:name w:val="List Table 6 Colorful - Accent 1"/>
    <w:qFormat/>
    <w:uiPriority w:val="99"/>
    <w:tblPr>
      <w:tblBorders>
        <w:top w:val="single" w:color="4F81BD" w:sz="4" w:space="0"/>
        <w:bottom w:val="single" w:color="4F81BD" w:sz="4" w:space="0"/>
      </w:tblBorders>
      <w:tblCellMar>
        <w:top w:w="0" w:type="dxa"/>
        <w:left w:w="0" w:type="dxa"/>
        <w:bottom w:w="0" w:type="dxa"/>
        <w:right w:w="0" w:type="dxa"/>
      </w:tblCellMar>
    </w:tblPr>
  </w:style>
  <w:style w:type="table" w:customStyle="1" w:styleId="219">
    <w:name w:val="List Table 6 Colorful - Accent 2"/>
    <w:qFormat/>
    <w:uiPriority w:val="99"/>
    <w:tblPr>
      <w:tblBorders>
        <w:top w:val="single" w:color="D99695" w:sz="4" w:space="0"/>
        <w:bottom w:val="single" w:color="D99695" w:sz="4" w:space="0"/>
      </w:tblBorders>
      <w:tblCellMar>
        <w:top w:w="0" w:type="dxa"/>
        <w:left w:w="0" w:type="dxa"/>
        <w:bottom w:w="0" w:type="dxa"/>
        <w:right w:w="0" w:type="dxa"/>
      </w:tblCellMar>
    </w:tblPr>
  </w:style>
  <w:style w:type="table" w:customStyle="1" w:styleId="220">
    <w:name w:val="List Table 6 Colorful - Accent 3"/>
    <w:qFormat/>
    <w:uiPriority w:val="99"/>
    <w:tblPr>
      <w:tblBorders>
        <w:top w:val="single" w:color="C3D69B" w:sz="4" w:space="0"/>
        <w:bottom w:val="single" w:color="C3D69B" w:sz="4" w:space="0"/>
      </w:tblBorders>
      <w:tblCellMar>
        <w:top w:w="0" w:type="dxa"/>
        <w:left w:w="0" w:type="dxa"/>
        <w:bottom w:w="0" w:type="dxa"/>
        <w:right w:w="0" w:type="dxa"/>
      </w:tblCellMar>
    </w:tblPr>
  </w:style>
  <w:style w:type="table" w:customStyle="1" w:styleId="221">
    <w:name w:val="List Table 6 Colorful - Accent 4"/>
    <w:qFormat/>
    <w:uiPriority w:val="99"/>
    <w:tblPr>
      <w:tblBorders>
        <w:top w:val="single" w:color="B2A1C6" w:sz="4" w:space="0"/>
        <w:bottom w:val="single" w:color="B2A1C6" w:sz="4" w:space="0"/>
      </w:tblBorders>
      <w:tblCellMar>
        <w:top w:w="0" w:type="dxa"/>
        <w:left w:w="0" w:type="dxa"/>
        <w:bottom w:w="0" w:type="dxa"/>
        <w:right w:w="0" w:type="dxa"/>
      </w:tblCellMar>
    </w:tblPr>
  </w:style>
  <w:style w:type="table" w:customStyle="1" w:styleId="222">
    <w:name w:val="List Table 6 Colorful - Accent 5"/>
    <w:qFormat/>
    <w:uiPriority w:val="99"/>
    <w:tblPr>
      <w:tblBorders>
        <w:top w:val="single" w:color="92CCDC" w:sz="4" w:space="0"/>
        <w:bottom w:val="single" w:color="92CCDC" w:sz="4" w:space="0"/>
      </w:tblBorders>
      <w:tblCellMar>
        <w:top w:w="0" w:type="dxa"/>
        <w:left w:w="0" w:type="dxa"/>
        <w:bottom w:w="0" w:type="dxa"/>
        <w:right w:w="0" w:type="dxa"/>
      </w:tblCellMar>
    </w:tblPr>
  </w:style>
  <w:style w:type="table" w:customStyle="1" w:styleId="223">
    <w:name w:val="List Table 6 Colorful - Accent 6"/>
    <w:qFormat/>
    <w:uiPriority w:val="99"/>
    <w:tblPr>
      <w:tblBorders>
        <w:top w:val="single" w:color="FAC090" w:sz="4" w:space="0"/>
        <w:bottom w:val="single" w:color="FAC090" w:sz="4" w:space="0"/>
      </w:tblBorders>
      <w:tblCellMar>
        <w:top w:w="0" w:type="dxa"/>
        <w:left w:w="0" w:type="dxa"/>
        <w:bottom w:w="0" w:type="dxa"/>
        <w:right w:w="0" w:type="dxa"/>
      </w:tblCellMar>
    </w:tblPr>
  </w:style>
  <w:style w:type="table" w:customStyle="1" w:styleId="224">
    <w:name w:val="清单表 7 彩色1"/>
    <w:qFormat/>
    <w:uiPriority w:val="99"/>
    <w:tblPr>
      <w:tblBorders>
        <w:right w:val="single" w:color="7F7F7F" w:sz="4" w:space="0"/>
      </w:tblBorders>
      <w:tblCellMar>
        <w:top w:w="0" w:type="dxa"/>
        <w:left w:w="0" w:type="dxa"/>
        <w:bottom w:w="0" w:type="dxa"/>
        <w:right w:w="0" w:type="dxa"/>
      </w:tblCellMar>
    </w:tblPr>
  </w:style>
  <w:style w:type="table" w:customStyle="1" w:styleId="225">
    <w:name w:val="List Table 7 Colorful - Accent 1"/>
    <w:qFormat/>
    <w:uiPriority w:val="99"/>
    <w:tblPr>
      <w:tblBorders>
        <w:right w:val="single" w:color="4F81BD" w:sz="4" w:space="0"/>
      </w:tblBorders>
      <w:tblCellMar>
        <w:top w:w="0" w:type="dxa"/>
        <w:left w:w="0" w:type="dxa"/>
        <w:bottom w:w="0" w:type="dxa"/>
        <w:right w:w="0" w:type="dxa"/>
      </w:tblCellMar>
    </w:tblPr>
  </w:style>
  <w:style w:type="table" w:customStyle="1" w:styleId="226">
    <w:name w:val="List Table 7 Colorful - Accent 2"/>
    <w:qFormat/>
    <w:uiPriority w:val="99"/>
    <w:tblPr>
      <w:tblBorders>
        <w:right w:val="single" w:color="D99695" w:sz="4" w:space="0"/>
      </w:tblBorders>
      <w:tblCellMar>
        <w:top w:w="0" w:type="dxa"/>
        <w:left w:w="0" w:type="dxa"/>
        <w:bottom w:w="0" w:type="dxa"/>
        <w:right w:w="0" w:type="dxa"/>
      </w:tblCellMar>
    </w:tblPr>
  </w:style>
  <w:style w:type="table" w:customStyle="1" w:styleId="227">
    <w:name w:val="List Table 7 Colorful - Accent 3"/>
    <w:qFormat/>
    <w:uiPriority w:val="99"/>
    <w:tblPr>
      <w:tblBorders>
        <w:right w:val="single" w:color="C3D69B" w:sz="4" w:space="0"/>
      </w:tblBorders>
      <w:tblCellMar>
        <w:top w:w="0" w:type="dxa"/>
        <w:left w:w="0" w:type="dxa"/>
        <w:bottom w:w="0" w:type="dxa"/>
        <w:right w:w="0" w:type="dxa"/>
      </w:tblCellMar>
    </w:tblPr>
  </w:style>
  <w:style w:type="table" w:customStyle="1" w:styleId="228">
    <w:name w:val="List Table 7 Colorful - Accent 4"/>
    <w:qFormat/>
    <w:uiPriority w:val="99"/>
    <w:tblPr>
      <w:tblBorders>
        <w:right w:val="single" w:color="B2A1C6" w:sz="4" w:space="0"/>
      </w:tblBorders>
      <w:tblCellMar>
        <w:top w:w="0" w:type="dxa"/>
        <w:left w:w="0" w:type="dxa"/>
        <w:bottom w:w="0" w:type="dxa"/>
        <w:right w:w="0" w:type="dxa"/>
      </w:tblCellMar>
    </w:tblPr>
  </w:style>
  <w:style w:type="table" w:customStyle="1" w:styleId="229">
    <w:name w:val="List Table 7 Colorful - Accent 5"/>
    <w:qFormat/>
    <w:uiPriority w:val="99"/>
    <w:tblPr>
      <w:tblBorders>
        <w:right w:val="single" w:color="92CCDC" w:sz="4" w:space="0"/>
      </w:tblBorders>
      <w:tblCellMar>
        <w:top w:w="0" w:type="dxa"/>
        <w:left w:w="0" w:type="dxa"/>
        <w:bottom w:w="0" w:type="dxa"/>
        <w:right w:w="0" w:type="dxa"/>
      </w:tblCellMar>
    </w:tblPr>
  </w:style>
  <w:style w:type="table" w:customStyle="1" w:styleId="230">
    <w:name w:val="List Table 7 Colorful - Accent 6"/>
    <w:qFormat/>
    <w:uiPriority w:val="99"/>
    <w:tblPr>
      <w:tblBorders>
        <w:right w:val="single" w:color="FAC090" w:sz="4" w:space="0"/>
      </w:tblBorders>
      <w:tblCellMar>
        <w:top w:w="0" w:type="dxa"/>
        <w:left w:w="0" w:type="dxa"/>
        <w:bottom w:w="0" w:type="dxa"/>
        <w:right w:w="0" w:type="dxa"/>
      </w:tblCellMar>
    </w:tblPr>
  </w:style>
  <w:style w:type="table" w:customStyle="1" w:styleId="231">
    <w:name w:val="Lined - Accent"/>
    <w:qFormat/>
    <w:uiPriority w:val="99"/>
    <w:rPr>
      <w:color w:val="404040"/>
    </w:rPr>
    <w:tblPr>
      <w:tblCellMar>
        <w:top w:w="0" w:type="dxa"/>
        <w:left w:w="0" w:type="dxa"/>
        <w:bottom w:w="0" w:type="dxa"/>
        <w:right w:w="0" w:type="dxa"/>
      </w:tblCellMar>
    </w:tblPr>
  </w:style>
  <w:style w:type="table" w:customStyle="1" w:styleId="232">
    <w:name w:val="Lined - Accent 1"/>
    <w:qFormat/>
    <w:uiPriority w:val="99"/>
    <w:rPr>
      <w:color w:val="404040"/>
    </w:rPr>
    <w:tblPr>
      <w:tblCellMar>
        <w:top w:w="0" w:type="dxa"/>
        <w:left w:w="0" w:type="dxa"/>
        <w:bottom w:w="0" w:type="dxa"/>
        <w:right w:w="0" w:type="dxa"/>
      </w:tblCellMar>
    </w:tblPr>
  </w:style>
  <w:style w:type="table" w:customStyle="1" w:styleId="233">
    <w:name w:val="Lined - Accent 2"/>
    <w:qFormat/>
    <w:uiPriority w:val="99"/>
    <w:rPr>
      <w:color w:val="404040"/>
    </w:rPr>
    <w:tblPr>
      <w:tblCellMar>
        <w:top w:w="0" w:type="dxa"/>
        <w:left w:w="0" w:type="dxa"/>
        <w:bottom w:w="0" w:type="dxa"/>
        <w:right w:w="0" w:type="dxa"/>
      </w:tblCellMar>
    </w:tblPr>
  </w:style>
  <w:style w:type="table" w:customStyle="1" w:styleId="234">
    <w:name w:val="Lined - Accent 3"/>
    <w:qFormat/>
    <w:uiPriority w:val="99"/>
    <w:rPr>
      <w:color w:val="404040"/>
    </w:rPr>
    <w:tblPr>
      <w:tblCellMar>
        <w:top w:w="0" w:type="dxa"/>
        <w:left w:w="0" w:type="dxa"/>
        <w:bottom w:w="0" w:type="dxa"/>
        <w:right w:w="0" w:type="dxa"/>
      </w:tblCellMar>
    </w:tblPr>
  </w:style>
  <w:style w:type="table" w:customStyle="1" w:styleId="235">
    <w:name w:val="Lined - Accent 4"/>
    <w:qFormat/>
    <w:uiPriority w:val="99"/>
    <w:rPr>
      <w:color w:val="404040"/>
    </w:rPr>
    <w:tblPr>
      <w:tblCellMar>
        <w:top w:w="0" w:type="dxa"/>
        <w:left w:w="0" w:type="dxa"/>
        <w:bottom w:w="0" w:type="dxa"/>
        <w:right w:w="0" w:type="dxa"/>
      </w:tblCellMar>
    </w:tblPr>
  </w:style>
  <w:style w:type="table" w:customStyle="1" w:styleId="236">
    <w:name w:val="Lined - Accent 5"/>
    <w:qFormat/>
    <w:uiPriority w:val="99"/>
    <w:rPr>
      <w:color w:val="404040"/>
    </w:rPr>
    <w:tblPr>
      <w:tblCellMar>
        <w:top w:w="0" w:type="dxa"/>
        <w:left w:w="0" w:type="dxa"/>
        <w:bottom w:w="0" w:type="dxa"/>
        <w:right w:w="0" w:type="dxa"/>
      </w:tblCellMar>
    </w:tblPr>
  </w:style>
  <w:style w:type="table" w:customStyle="1" w:styleId="237">
    <w:name w:val="Lined - Accent 6"/>
    <w:qFormat/>
    <w:uiPriority w:val="99"/>
    <w:rPr>
      <w:color w:val="404040"/>
    </w:rPr>
    <w:tblPr>
      <w:tblCellMar>
        <w:top w:w="0" w:type="dxa"/>
        <w:left w:w="0" w:type="dxa"/>
        <w:bottom w:w="0" w:type="dxa"/>
        <w:right w:w="0" w:type="dxa"/>
      </w:tblCellMar>
    </w:tblPr>
  </w:style>
  <w:style w:type="table" w:customStyle="1" w:styleId="238">
    <w:name w:val="Bordered &amp; Lined - Accent"/>
    <w:qFormat/>
    <w:uiPriority w:val="99"/>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top w:w="0" w:type="dxa"/>
        <w:left w:w="0" w:type="dxa"/>
        <w:bottom w:w="0" w:type="dxa"/>
        <w:right w:w="0" w:type="dxa"/>
      </w:tblCellMar>
    </w:tblPr>
  </w:style>
  <w:style w:type="table" w:customStyle="1" w:styleId="239">
    <w:name w:val="Bordered &amp; Lined - Accent 1"/>
    <w:qFormat/>
    <w:uiPriority w:val="99"/>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top w:w="0" w:type="dxa"/>
        <w:left w:w="0" w:type="dxa"/>
        <w:bottom w:w="0" w:type="dxa"/>
        <w:right w:w="0" w:type="dxa"/>
      </w:tblCellMar>
    </w:tblPr>
  </w:style>
  <w:style w:type="table" w:customStyle="1" w:styleId="240">
    <w:name w:val="Bordered &amp; Lined - Accent 2"/>
    <w:qFormat/>
    <w:uiPriority w:val="99"/>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top w:w="0" w:type="dxa"/>
        <w:left w:w="0" w:type="dxa"/>
        <w:bottom w:w="0" w:type="dxa"/>
        <w:right w:w="0" w:type="dxa"/>
      </w:tblCellMar>
    </w:tblPr>
  </w:style>
  <w:style w:type="table" w:customStyle="1" w:styleId="241">
    <w:name w:val="Bordered &amp; Lined - Accent 3"/>
    <w:qFormat/>
    <w:uiPriority w:val="99"/>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top w:w="0" w:type="dxa"/>
        <w:left w:w="0" w:type="dxa"/>
        <w:bottom w:w="0" w:type="dxa"/>
        <w:right w:w="0" w:type="dxa"/>
      </w:tblCellMar>
    </w:tblPr>
  </w:style>
  <w:style w:type="table" w:customStyle="1" w:styleId="242">
    <w:name w:val="Bordered &amp; Lined - Accent 4"/>
    <w:qFormat/>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top w:w="0" w:type="dxa"/>
        <w:left w:w="0" w:type="dxa"/>
        <w:bottom w:w="0" w:type="dxa"/>
        <w:right w:w="0" w:type="dxa"/>
      </w:tblCellMar>
    </w:tblPr>
  </w:style>
  <w:style w:type="table" w:customStyle="1" w:styleId="243">
    <w:name w:val="Bordered &amp; Lined - Accent 5"/>
    <w:qFormat/>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top w:w="0" w:type="dxa"/>
        <w:left w:w="0" w:type="dxa"/>
        <w:bottom w:w="0" w:type="dxa"/>
        <w:right w:w="0" w:type="dxa"/>
      </w:tblCellMar>
    </w:tblPr>
  </w:style>
  <w:style w:type="table" w:customStyle="1" w:styleId="244">
    <w:name w:val="Bordered &amp; Lined - Accent 6"/>
    <w:qFormat/>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top w:w="0" w:type="dxa"/>
        <w:left w:w="0" w:type="dxa"/>
        <w:bottom w:w="0" w:type="dxa"/>
        <w:right w:w="0" w:type="dxa"/>
      </w:tblCellMar>
    </w:tblPr>
  </w:style>
  <w:style w:type="table" w:customStyle="1" w:styleId="245">
    <w:name w:val="Bordered"/>
    <w:qFormat/>
    <w:uiPriority w:val="99"/>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top w:w="0" w:type="dxa"/>
        <w:left w:w="0" w:type="dxa"/>
        <w:bottom w:w="0" w:type="dxa"/>
        <w:right w:w="0" w:type="dxa"/>
      </w:tblCellMar>
    </w:tblPr>
  </w:style>
  <w:style w:type="table" w:customStyle="1" w:styleId="246">
    <w:name w:val="Bordered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247">
    <w:name w:val="Bordered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248">
    <w:name w:val="Bordered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249">
    <w:name w:val="Bordered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250">
    <w:name w:val="Bordered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251">
    <w:name w:val="Bordered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character" w:customStyle="1" w:styleId="252">
    <w:name w:val="脚注文本 Char"/>
    <w:link w:val="38"/>
    <w:qFormat/>
    <w:uiPriority w:val="99"/>
    <w:rPr>
      <w:sz w:val="18"/>
    </w:rPr>
  </w:style>
  <w:style w:type="character" w:customStyle="1" w:styleId="253">
    <w:name w:val="尾注文本 Char"/>
    <w:link w:val="31"/>
    <w:qFormat/>
    <w:uiPriority w:val="99"/>
    <w:rPr>
      <w:sz w:val="20"/>
    </w:rPr>
  </w:style>
  <w:style w:type="paragraph" w:customStyle="1" w:styleId="254">
    <w:name w:val="TOC 标题11"/>
    <w:unhideWhenUsed/>
    <w:qFormat/>
    <w:uiPriority w:val="39"/>
    <w:rPr>
      <w:rFonts w:ascii="Times New Roman" w:hAnsi="Times New Roman" w:eastAsia="宋体" w:cs="Times New Roman"/>
      <w:lang w:val="en-US" w:eastAsia="zh-CN" w:bidi="ar-SA"/>
    </w:rPr>
  </w:style>
  <w:style w:type="character" w:customStyle="1" w:styleId="255">
    <w:name w:val="标题 1 Char"/>
    <w:link w:val="2"/>
    <w:qFormat/>
    <w:uiPriority w:val="0"/>
    <w:rPr>
      <w:rFonts w:ascii="Times New Roman" w:hAnsi="Times New Roman" w:eastAsia="宋体"/>
      <w:b/>
      <w:sz w:val="44"/>
      <w:szCs w:val="20"/>
    </w:rPr>
  </w:style>
  <w:style w:type="character" w:customStyle="1" w:styleId="256">
    <w:name w:val="正文缩进 Char2"/>
    <w:link w:val="12"/>
    <w:qFormat/>
    <w:uiPriority w:val="0"/>
    <w:rPr>
      <w:rFonts w:eastAsia="宋体"/>
      <w:sz w:val="21"/>
      <w:lang w:val="en-US" w:eastAsia="zh-CN" w:bidi="ar-SA"/>
    </w:rPr>
  </w:style>
  <w:style w:type="paragraph" w:customStyle="1" w:styleId="257">
    <w:name w:val="目录 31"/>
    <w:basedOn w:val="1"/>
    <w:next w:val="1"/>
    <w:qFormat/>
    <w:uiPriority w:val="39"/>
    <w:pPr>
      <w:widowControl w:val="0"/>
      <w:ind w:left="840"/>
      <w:jc w:val="both"/>
    </w:pPr>
    <w:rPr>
      <w:rFonts w:eastAsia="楷体_GB2312"/>
      <w:sz w:val="28"/>
      <w:szCs w:val="20"/>
    </w:rPr>
  </w:style>
  <w:style w:type="character" w:customStyle="1" w:styleId="258">
    <w:name w:val="纯文本 Char"/>
    <w:link w:val="26"/>
    <w:qFormat/>
    <w:uiPriority w:val="0"/>
    <w:rPr>
      <w:rFonts w:ascii="宋体" w:hAnsi="Courier New" w:eastAsia="宋体"/>
      <w:sz w:val="21"/>
      <w:lang w:val="en-US" w:eastAsia="zh-CN" w:bidi="ar-SA"/>
    </w:rPr>
  </w:style>
  <w:style w:type="character" w:customStyle="1" w:styleId="259">
    <w:name w:val="日期 Char"/>
    <w:link w:val="29"/>
    <w:qFormat/>
    <w:uiPriority w:val="0"/>
    <w:rPr>
      <w:rFonts w:eastAsia="宋体"/>
      <w:sz w:val="24"/>
      <w:szCs w:val="24"/>
      <w:lang w:val="en-US" w:eastAsia="zh-CN" w:bidi="ar-SA"/>
    </w:rPr>
  </w:style>
  <w:style w:type="character" w:customStyle="1" w:styleId="260">
    <w:name w:val="页脚 Char"/>
    <w:link w:val="33"/>
    <w:qFormat/>
    <w:uiPriority w:val="99"/>
    <w:rPr>
      <w:sz w:val="18"/>
      <w:szCs w:val="18"/>
    </w:rPr>
  </w:style>
  <w:style w:type="character" w:customStyle="1" w:styleId="261">
    <w:name w:val="页眉 Char"/>
    <w:link w:val="34"/>
    <w:qFormat/>
    <w:uiPriority w:val="99"/>
    <w:rPr>
      <w:sz w:val="18"/>
      <w:szCs w:val="18"/>
    </w:rPr>
  </w:style>
  <w:style w:type="paragraph" w:customStyle="1" w:styleId="262">
    <w:name w:val="目录 11"/>
    <w:basedOn w:val="1"/>
    <w:next w:val="1"/>
    <w:qFormat/>
    <w:uiPriority w:val="39"/>
    <w:pPr>
      <w:widowControl w:val="0"/>
    </w:pPr>
    <w:rPr>
      <w:rFonts w:eastAsia="楷体_GB2312"/>
      <w:szCs w:val="20"/>
    </w:rPr>
  </w:style>
  <w:style w:type="paragraph" w:customStyle="1" w:styleId="263">
    <w:name w:val="目录 21"/>
    <w:basedOn w:val="1"/>
    <w:next w:val="1"/>
    <w:qFormat/>
    <w:uiPriority w:val="39"/>
    <w:pPr>
      <w:widowControl w:val="0"/>
      <w:ind w:left="420"/>
      <w:jc w:val="both"/>
    </w:pPr>
    <w:rPr>
      <w:rFonts w:eastAsia="楷体_GB2312"/>
      <w:sz w:val="28"/>
      <w:szCs w:val="20"/>
    </w:rPr>
  </w:style>
  <w:style w:type="paragraph" w:customStyle="1" w:styleId="264">
    <w:name w:val="正文首行缩进 21"/>
    <w:basedOn w:val="265"/>
    <w:link w:val="266"/>
    <w:qFormat/>
    <w:uiPriority w:val="0"/>
    <w:pPr>
      <w:widowControl w:val="0"/>
      <w:ind w:firstLine="420"/>
      <w:jc w:val="both"/>
    </w:pPr>
    <w:rPr>
      <w:rFonts w:eastAsia="楷体_GB2312"/>
      <w:sz w:val="28"/>
      <w:szCs w:val="20"/>
    </w:rPr>
  </w:style>
  <w:style w:type="paragraph" w:customStyle="1" w:styleId="265">
    <w:name w:val="正文文本缩进1"/>
    <w:basedOn w:val="1"/>
    <w:qFormat/>
    <w:uiPriority w:val="0"/>
    <w:pPr>
      <w:spacing w:after="120"/>
      <w:ind w:left="420"/>
    </w:pPr>
  </w:style>
  <w:style w:type="character" w:customStyle="1" w:styleId="266">
    <w:name w:val="正文首行缩进 2 Char"/>
    <w:link w:val="264"/>
    <w:qFormat/>
    <w:uiPriority w:val="0"/>
    <w:rPr>
      <w:rFonts w:eastAsia="楷体_GB2312"/>
      <w:sz w:val="28"/>
      <w:lang w:bidi="ar-SA"/>
    </w:rPr>
  </w:style>
  <w:style w:type="paragraph" w:customStyle="1" w:styleId="267">
    <w:name w:val="标题 31"/>
    <w:basedOn w:val="1"/>
    <w:next w:val="1"/>
    <w:qFormat/>
    <w:uiPriority w:val="0"/>
    <w:pPr>
      <w:keepNext/>
      <w:keepLines/>
      <w:tabs>
        <w:tab w:val="left" w:pos="709"/>
      </w:tabs>
      <w:spacing w:before="260" w:after="260" w:line="416" w:lineRule="auto"/>
      <w:ind w:left="709" w:hanging="709"/>
      <w:outlineLvl w:val="2"/>
    </w:pPr>
    <w:rPr>
      <w:rFonts w:ascii="Arial" w:hAnsi="Arial"/>
      <w:b/>
      <w:bCs/>
      <w:sz w:val="32"/>
      <w:szCs w:val="32"/>
    </w:rPr>
  </w:style>
  <w:style w:type="character" w:customStyle="1" w:styleId="268">
    <w:name w:val="正文缩进 Char1"/>
    <w:qFormat/>
    <w:uiPriority w:val="0"/>
    <w:rPr>
      <w:rFonts w:eastAsia="宋体"/>
      <w:sz w:val="21"/>
      <w:lang w:val="en-US" w:eastAsia="zh-CN" w:bidi="ar-SA"/>
    </w:rPr>
  </w:style>
  <w:style w:type="character" w:customStyle="1" w:styleId="269">
    <w:name w:val="hover1"/>
    <w:qFormat/>
    <w:uiPriority w:val="0"/>
    <w:rPr>
      <w:color w:val="2590EB"/>
    </w:rPr>
  </w:style>
  <w:style w:type="character" w:customStyle="1" w:styleId="270">
    <w:name w:val="正文双线 Char"/>
    <w:qFormat/>
    <w:uiPriority w:val="0"/>
    <w:rPr>
      <w:rFonts w:eastAsia="楷体_GB2312"/>
      <w:sz w:val="24"/>
    </w:rPr>
  </w:style>
  <w:style w:type="character" w:customStyle="1" w:styleId="271">
    <w:name w:val="zihao_18 jiacu"/>
    <w:qFormat/>
    <w:uiPriority w:val="0"/>
  </w:style>
  <w:style w:type="character" w:customStyle="1" w:styleId="272">
    <w:name w:val="hover3"/>
    <w:qFormat/>
    <w:uiPriority w:val="0"/>
  </w:style>
  <w:style w:type="character" w:customStyle="1" w:styleId="273">
    <w:name w:val="headline-content2"/>
    <w:qFormat/>
    <w:uiPriority w:val="0"/>
  </w:style>
  <w:style w:type="character" w:customStyle="1" w:styleId="274">
    <w:name w:val="普通文字1 Char1"/>
    <w:qFormat/>
    <w:uiPriority w:val="0"/>
    <w:rPr>
      <w:rFonts w:ascii="宋体" w:hAnsi="Courier New" w:eastAsia="楷体_GB2312"/>
      <w:sz w:val="28"/>
      <w:lang w:val="en-US" w:eastAsia="zh-CN" w:bidi="ar-SA"/>
    </w:rPr>
  </w:style>
  <w:style w:type="character" w:customStyle="1" w:styleId="275">
    <w:name w:val="正文缩进 Char"/>
    <w:qFormat/>
    <w:uiPriority w:val="0"/>
    <w:rPr>
      <w:rFonts w:eastAsia="宋体"/>
      <w:sz w:val="21"/>
      <w:lang w:val="en-US" w:eastAsia="zh-CN" w:bidi="ar-SA"/>
    </w:rPr>
  </w:style>
  <w:style w:type="character" w:customStyle="1" w:styleId="276">
    <w:name w:val="apple-converted-space"/>
    <w:qFormat/>
    <w:uiPriority w:val="0"/>
  </w:style>
  <w:style w:type="character" w:customStyle="1" w:styleId="277">
    <w:name w:val="hover2"/>
    <w:qFormat/>
    <w:uiPriority w:val="0"/>
    <w:rPr>
      <w:color w:val="2590EB"/>
    </w:rPr>
  </w:style>
  <w:style w:type="character" w:customStyle="1" w:styleId="278">
    <w:name w:val="grame"/>
    <w:qFormat/>
    <w:uiPriority w:val="0"/>
  </w:style>
  <w:style w:type="character" w:customStyle="1" w:styleId="279">
    <w:name w:val="NormalCharacter1"/>
    <w:qFormat/>
    <w:uiPriority w:val="0"/>
  </w:style>
  <w:style w:type="character" w:customStyle="1" w:styleId="280">
    <w:name w:val="Andy_正文 Char"/>
    <w:link w:val="281"/>
    <w:qFormat/>
    <w:uiPriority w:val="0"/>
    <w:rPr>
      <w:rFonts w:ascii="Calibri" w:hAnsi="Calibri"/>
      <w:sz w:val="24"/>
      <w:szCs w:val="24"/>
    </w:rPr>
  </w:style>
  <w:style w:type="paragraph" w:customStyle="1" w:styleId="281">
    <w:name w:val="Andy_正文"/>
    <w:basedOn w:val="1"/>
    <w:link w:val="280"/>
    <w:qFormat/>
    <w:uiPriority w:val="0"/>
    <w:pPr>
      <w:widowControl w:val="0"/>
      <w:spacing w:line="360" w:lineRule="auto"/>
      <w:ind w:firstLine="480"/>
      <w:jc w:val="both"/>
    </w:pPr>
  </w:style>
  <w:style w:type="character" w:customStyle="1" w:styleId="282">
    <w:name w:val="s1"/>
    <w:qFormat/>
    <w:uiPriority w:val="0"/>
  </w:style>
  <w:style w:type="character" w:customStyle="1" w:styleId="283">
    <w:name w:val="Char Char33"/>
    <w:qFormat/>
    <w:uiPriority w:val="0"/>
    <w:rPr>
      <w:rFonts w:eastAsia="楷体_GB2312"/>
      <w:sz w:val="24"/>
      <w:lang w:val="en-US" w:eastAsia="zh-CN" w:bidi="ar-SA"/>
    </w:rPr>
  </w:style>
  <w:style w:type="paragraph" w:customStyle="1" w:styleId="284">
    <w:name w:val="xl41"/>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仿宋_GB2312" w:hAnsi="宋体" w:eastAsia="仿宋_GB2312" w:cs="宋体"/>
      <w:sz w:val="18"/>
      <w:szCs w:val="18"/>
    </w:rPr>
  </w:style>
  <w:style w:type="paragraph" w:customStyle="1" w:styleId="285">
    <w:name w:val="字元5"/>
    <w:basedOn w:val="1"/>
    <w:qFormat/>
    <w:uiPriority w:val="0"/>
    <w:pPr>
      <w:widowControl w:val="0"/>
      <w:jc w:val="both"/>
    </w:pPr>
    <w:rPr>
      <w:rFonts w:ascii="宋体" w:hAnsi="宋体"/>
      <w:szCs w:val="20"/>
      <w:lang w:eastAsia="en-US"/>
    </w:rPr>
  </w:style>
  <w:style w:type="paragraph" w:customStyle="1" w:styleId="286">
    <w:name w:val="xl40"/>
    <w:basedOn w:val="1"/>
    <w:qFormat/>
    <w:uiPriority w:val="0"/>
    <w:pPr>
      <w:pBdr>
        <w:left w:val="single" w:color="000000" w:sz="4" w:space="0"/>
        <w:bottom w:val="single" w:color="000000" w:sz="4" w:space="0"/>
      </w:pBdr>
      <w:spacing w:before="100" w:beforeAutospacing="1" w:after="100" w:afterAutospacing="1"/>
      <w:jc w:val="center"/>
    </w:pPr>
    <w:rPr>
      <w:b/>
      <w:bCs/>
      <w:sz w:val="18"/>
      <w:szCs w:val="18"/>
    </w:rPr>
  </w:style>
  <w:style w:type="paragraph" w:customStyle="1" w:styleId="287">
    <w:name w:val="xl48"/>
    <w:basedOn w:val="1"/>
    <w:qFormat/>
    <w:uiPriority w:val="0"/>
    <w:pPr>
      <w:spacing w:before="100" w:beforeAutospacing="1" w:after="100" w:afterAutospacing="1"/>
      <w:jc w:val="center"/>
    </w:pPr>
    <w:rPr>
      <w:sz w:val="18"/>
      <w:szCs w:val="18"/>
    </w:rPr>
  </w:style>
  <w:style w:type="paragraph" w:customStyle="1" w:styleId="288">
    <w:name w:val="font8"/>
    <w:basedOn w:val="1"/>
    <w:qFormat/>
    <w:uiPriority w:val="0"/>
    <w:pPr>
      <w:spacing w:before="100" w:beforeAutospacing="1" w:after="100" w:afterAutospacing="1"/>
    </w:pPr>
  </w:style>
  <w:style w:type="paragraph" w:customStyle="1" w:styleId="289">
    <w:name w:val="首行缩进"/>
    <w:basedOn w:val="1"/>
    <w:qFormat/>
    <w:uiPriority w:val="0"/>
    <w:pPr>
      <w:ind w:firstLine="480"/>
    </w:pPr>
    <w:rPr>
      <w:szCs w:val="20"/>
      <w:lang w:val="zh-CN"/>
    </w:rPr>
  </w:style>
  <w:style w:type="paragraph" w:customStyle="1" w:styleId="290">
    <w:name w:val="xl45"/>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仿宋_GB2312" w:hAnsi="宋体" w:eastAsia="仿宋_GB2312" w:cs="宋体"/>
      <w:b/>
      <w:bCs/>
      <w:sz w:val="18"/>
      <w:szCs w:val="18"/>
    </w:rPr>
  </w:style>
  <w:style w:type="paragraph" w:customStyle="1" w:styleId="291">
    <w:name w:val="xl50"/>
    <w:basedOn w:val="1"/>
    <w:qFormat/>
    <w:uiPriority w:val="0"/>
    <w:pPr>
      <w:spacing w:before="100" w:beforeAutospacing="1" w:after="100" w:afterAutospacing="1"/>
      <w:jc w:val="right"/>
    </w:pPr>
    <w:rPr>
      <w:sz w:val="18"/>
      <w:szCs w:val="18"/>
    </w:rPr>
  </w:style>
  <w:style w:type="paragraph" w:customStyle="1" w:styleId="292">
    <w:name w:val="纯文本1"/>
    <w:basedOn w:val="1"/>
    <w:qFormat/>
    <w:uiPriority w:val="0"/>
    <w:pPr>
      <w:widowControl w:val="0"/>
      <w:jc w:val="both"/>
    </w:pPr>
    <w:rPr>
      <w:rFonts w:ascii="宋体" w:hAnsi="Courier New" w:eastAsia="楷体_GB2312"/>
      <w:sz w:val="28"/>
      <w:szCs w:val="20"/>
    </w:rPr>
  </w:style>
  <w:style w:type="paragraph" w:customStyle="1" w:styleId="293">
    <w:name w:val="font5"/>
    <w:basedOn w:val="1"/>
    <w:qFormat/>
    <w:uiPriority w:val="0"/>
    <w:pPr>
      <w:spacing w:before="100" w:beforeAutospacing="1" w:after="100" w:afterAutospacing="1"/>
    </w:pPr>
    <w:rPr>
      <w:rFonts w:ascii="宋体" w:hAnsi="宋体" w:cs="宋体"/>
      <w:sz w:val="18"/>
      <w:szCs w:val="18"/>
    </w:rPr>
  </w:style>
  <w:style w:type="paragraph" w:customStyle="1" w:styleId="294">
    <w:name w:val="xl35"/>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宋体" w:hAnsi="宋体" w:cs="宋体"/>
      <w:b/>
      <w:bCs/>
      <w:sz w:val="18"/>
      <w:szCs w:val="18"/>
    </w:rPr>
  </w:style>
  <w:style w:type="paragraph" w:customStyle="1" w:styleId="295">
    <w:name w:val="xl70"/>
    <w:basedOn w:val="1"/>
    <w:qFormat/>
    <w:uiPriority w:val="0"/>
    <w:pPr>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pPr>
    <w:rPr>
      <w:rFonts w:ascii="宋体" w:hAnsi="宋体" w:cs="宋体"/>
    </w:rPr>
  </w:style>
  <w:style w:type="paragraph" w:customStyle="1" w:styleId="296">
    <w:name w:val="xl38"/>
    <w:basedOn w:val="1"/>
    <w:qFormat/>
    <w:uiPriority w:val="0"/>
    <w:pPr>
      <w:pBdr>
        <w:top w:val="single" w:color="000000" w:sz="4" w:space="0"/>
        <w:bottom w:val="single" w:color="000000" w:sz="4" w:space="0"/>
      </w:pBdr>
      <w:spacing w:before="100" w:beforeAutospacing="1" w:after="100" w:afterAutospacing="1"/>
    </w:pPr>
    <w:rPr>
      <w:b/>
      <w:bCs/>
      <w:sz w:val="18"/>
      <w:szCs w:val="18"/>
    </w:rPr>
  </w:style>
  <w:style w:type="paragraph" w:customStyle="1" w:styleId="297">
    <w:name w:val="xl43"/>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sz w:val="18"/>
      <w:szCs w:val="18"/>
    </w:rPr>
  </w:style>
  <w:style w:type="paragraph" w:customStyle="1" w:styleId="298">
    <w:name w:val="WPSOffice手动目录 1"/>
    <w:qFormat/>
    <w:uiPriority w:val="0"/>
    <w:rPr>
      <w:rFonts w:ascii="Times New Roman" w:hAnsi="Times New Roman" w:eastAsia="宋体" w:cs="Times New Roman"/>
      <w:lang w:val="en-US" w:eastAsia="zh-CN" w:bidi="ar-SA"/>
    </w:rPr>
  </w:style>
  <w:style w:type="paragraph" w:customStyle="1" w:styleId="299">
    <w:name w:val="_正文段落"/>
    <w:basedOn w:val="1"/>
    <w:qFormat/>
    <w:uiPriority w:val="0"/>
    <w:pPr>
      <w:spacing w:line="360" w:lineRule="auto"/>
      <w:ind w:firstLine="200"/>
    </w:pPr>
    <w:rPr>
      <w:rFonts w:ascii="宋体" w:hAnsi="宋体"/>
    </w:rPr>
  </w:style>
  <w:style w:type="paragraph" w:customStyle="1" w:styleId="300">
    <w:name w:val="默认段落字体 Para Char Char Char Char Char Char Char"/>
    <w:basedOn w:val="1"/>
    <w:qFormat/>
    <w:uiPriority w:val="0"/>
    <w:pPr>
      <w:widowControl w:val="0"/>
      <w:spacing w:line="360" w:lineRule="auto"/>
    </w:pPr>
  </w:style>
  <w:style w:type="paragraph" w:customStyle="1" w:styleId="301">
    <w:name w:val="Default"/>
    <w:qFormat/>
    <w:uiPriority w:val="0"/>
    <w:pPr>
      <w:widowControl w:val="0"/>
    </w:pPr>
    <w:rPr>
      <w:rFonts w:ascii="Times New Roman" w:hAnsi="Times New Roman" w:eastAsia="宋体" w:cs="Times New Roman"/>
      <w:sz w:val="24"/>
      <w:szCs w:val="24"/>
      <w:lang w:val="en-US" w:eastAsia="zh-CN" w:bidi="ar-SA"/>
    </w:rPr>
  </w:style>
  <w:style w:type="paragraph" w:customStyle="1" w:styleId="302">
    <w:name w:val="纯文本2"/>
    <w:basedOn w:val="1"/>
    <w:qFormat/>
    <w:uiPriority w:val="0"/>
    <w:rPr>
      <w:rFonts w:ascii="宋体" w:hAnsi="Courier New"/>
    </w:rPr>
  </w:style>
  <w:style w:type="paragraph" w:customStyle="1" w:styleId="303">
    <w:name w:val="纯文本3"/>
    <w:basedOn w:val="1"/>
    <w:qFormat/>
    <w:uiPriority w:val="0"/>
    <w:rPr>
      <w:rFonts w:ascii="宋体" w:hAnsi="Courier New" w:eastAsia="楷体_GB2312"/>
      <w:sz w:val="26"/>
      <w:szCs w:val="20"/>
    </w:rPr>
  </w:style>
  <w:style w:type="paragraph" w:customStyle="1" w:styleId="304">
    <w:name w:val="纯文本4"/>
    <w:basedOn w:val="1"/>
    <w:qFormat/>
    <w:uiPriority w:val="0"/>
    <w:pPr>
      <w:widowControl w:val="0"/>
      <w:jc w:val="both"/>
    </w:pPr>
    <w:rPr>
      <w:rFonts w:ascii="宋体" w:hAnsi="Courier New" w:eastAsia="楷体_GB2312"/>
      <w:sz w:val="26"/>
      <w:szCs w:val="20"/>
    </w:rPr>
  </w:style>
  <w:style w:type="paragraph" w:customStyle="1" w:styleId="305">
    <w:name w:val="纯文本5"/>
    <w:basedOn w:val="1"/>
    <w:qFormat/>
    <w:uiPriority w:val="0"/>
    <w:rPr>
      <w:rFonts w:ascii="宋体" w:hAnsi="Courier New" w:eastAsia="楷体_GB2312"/>
      <w:sz w:val="26"/>
      <w:szCs w:val="20"/>
    </w:rPr>
  </w:style>
  <w:style w:type="paragraph" w:customStyle="1" w:styleId="306">
    <w:name w:val="Table Text"/>
    <w:basedOn w:val="1"/>
    <w:semiHidden/>
    <w:qFormat/>
    <w:uiPriority w:val="0"/>
    <w:rPr>
      <w:rFonts w:ascii="宋体" w:hAnsi="宋体" w:cs="宋体"/>
      <w:sz w:val="20"/>
      <w:szCs w:val="20"/>
      <w:lang w:eastAsia="en-US"/>
    </w:rPr>
  </w:style>
  <w:style w:type="table" w:customStyle="1" w:styleId="307">
    <w:name w:val="Table Normal"/>
    <w:semiHidden/>
    <w:unhideWhenUsed/>
    <w:qFormat/>
    <w:uiPriority w:val="0"/>
    <w:tblPr>
      <w:tblCellMar>
        <w:top w:w="0" w:type="dxa"/>
        <w:left w:w="0" w:type="dxa"/>
        <w:bottom w:w="0" w:type="dxa"/>
        <w:right w:w="0" w:type="dxa"/>
      </w:tblCellMar>
    </w:tblPr>
  </w:style>
  <w:style w:type="paragraph" w:customStyle="1" w:styleId="308">
    <w:name w:val="正文缩进1"/>
    <w:basedOn w:val="1"/>
    <w:next w:val="1"/>
    <w:qFormat/>
    <w:uiPriority w:val="0"/>
    <w:pPr>
      <w:widowControl w:val="0"/>
      <w:ind w:firstLine="420"/>
      <w:jc w:val="both"/>
    </w:pPr>
    <w:rPr>
      <w:sz w:val="21"/>
      <w:szCs w:val="20"/>
    </w:rPr>
  </w:style>
  <w:style w:type="character" w:customStyle="1" w:styleId="309">
    <w:name w:val="超链接1"/>
    <w:qFormat/>
    <w:uiPriority w:val="99"/>
    <w:rPr>
      <w:color w:val="0000FF"/>
      <w:u w:val="none"/>
    </w:rPr>
  </w:style>
  <w:style w:type="paragraph" w:customStyle="1" w:styleId="310">
    <w:name w:val="正文文本缩进 31"/>
    <w:basedOn w:val="1"/>
    <w:qFormat/>
    <w:uiPriority w:val="0"/>
    <w:pPr>
      <w:widowControl w:val="0"/>
      <w:spacing w:line="300" w:lineRule="auto"/>
      <w:ind w:firstLine="480"/>
    </w:pPr>
  </w:style>
  <w:style w:type="paragraph" w:customStyle="1" w:styleId="311">
    <w:name w:val="xl31"/>
    <w:basedOn w:val="1"/>
    <w:qFormat/>
    <w:uiPriority w:val="0"/>
    <w:pPr>
      <w:spacing w:before="100" w:beforeAutospacing="1" w:after="100" w:afterAutospacing="1"/>
      <w:jc w:val="center"/>
    </w:pPr>
    <w:rPr>
      <w:rFonts w:ascii="宋体" w:hAnsi="宋体" w:cs="宋体"/>
      <w:sz w:val="18"/>
      <w:szCs w:val="18"/>
    </w:rPr>
  </w:style>
  <w:style w:type="paragraph" w:customStyle="1" w:styleId="312">
    <w:name w:val="Char Char Char Char Char Char Char1 Char"/>
    <w:basedOn w:val="1"/>
    <w:qFormat/>
    <w:uiPriority w:val="0"/>
    <w:rPr>
      <w:rFonts w:ascii="Arial" w:hAnsi="Arial" w:cs="Arial"/>
    </w:rPr>
  </w:style>
  <w:style w:type="paragraph" w:customStyle="1" w:styleId="313">
    <w:name w:val="纯文本6"/>
    <w:basedOn w:val="1"/>
    <w:qFormat/>
    <w:uiPriority w:val="0"/>
    <w:pPr>
      <w:adjustRightInd w:val="0"/>
      <w:textAlignment w:val="baseline"/>
    </w:pPr>
    <w:rPr>
      <w:rFonts w:ascii="宋体" w:hAnsi="Courier New"/>
    </w:rPr>
  </w:style>
  <w:style w:type="paragraph" w:customStyle="1" w:styleId="314">
    <w:name w:val="正文文本缩进11"/>
    <w:basedOn w:val="1"/>
    <w:next w:val="1"/>
    <w:unhideWhenUsed/>
    <w:qFormat/>
    <w:uiPriority w:val="99"/>
    <w:pPr>
      <w:spacing w:after="120"/>
      <w:ind w:left="420"/>
    </w:pPr>
  </w:style>
  <w:style w:type="table" w:customStyle="1" w:styleId="315">
    <w:name w:val="网格型11"/>
    <w:qFormat/>
    <w:uiPriority w:val="59"/>
    <w:tblPr>
      <w:tblCellMar>
        <w:top w:w="0" w:type="dxa"/>
        <w:left w:w="0" w:type="dxa"/>
        <w:bottom w:w="0" w:type="dxa"/>
        <w:right w:w="0" w:type="dxa"/>
      </w:tblCellMar>
    </w:tblPr>
  </w:style>
  <w:style w:type="paragraph" w:customStyle="1" w:styleId="316">
    <w:name w:val="纯文本61"/>
    <w:basedOn w:val="1"/>
    <w:qFormat/>
    <w:uiPriority w:val="0"/>
    <w:pPr>
      <w:adjustRightInd w:val="0"/>
      <w:textAlignment w:val="baseline"/>
    </w:pPr>
    <w:rPr>
      <w:rFonts w:ascii="宋体" w:hAnsi="Courier New" w:eastAsia="KaiTi_GB2312"/>
      <w:sz w:val="28"/>
      <w:szCs w:val="20"/>
    </w:rPr>
  </w:style>
  <w:style w:type="paragraph" w:customStyle="1" w:styleId="317">
    <w:name w:val="纯文本111"/>
    <w:basedOn w:val="1"/>
    <w:qFormat/>
    <w:uiPriority w:val="0"/>
    <w:rPr>
      <w:rFonts w:ascii="宋体" w:hAnsi="Courier New"/>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theme" Target="theme/theme1.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57</Pages>
  <Words>22316</Words>
  <Characters>24253</Characters>
  <Lines>320</Lines>
  <Paragraphs>90</Paragraphs>
  <TotalTime>3</TotalTime>
  <ScaleCrop>false</ScaleCrop>
  <LinksUpToDate>false</LinksUpToDate>
  <CharactersWithSpaces>24629</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2026-07-13T10:29:00Z</dcterms:created>
  <dc:creator>Administrator</dc:creator>
  <cp:lastModifiedBy>J</cp:lastModifiedBy>
  <dcterms:modified xsi:type="dcterms:W3CDTF">2026-09-09T08:14:32Z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5B32BF9132B44743A36491B467C56576_13</vt:lpwstr>
  </property>
  <property fmtid="{D5CDD505-2E9C-101B-9397-08002B2CF9AE}" pid="4" name="KSOTemplateDocerSaveRecord">
    <vt:lpwstr>eyJoZGlkIjoiYWQyOGMzMTAwMGU2NThkZDNmMDgwNDVhZDI4ZmM5YjAiLCJ1c2VySWQiOiIzODg2ODI1NTgifQ==</vt:lpwstr>
  </property>
</Properties>
</file>