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D1EAE1">
      <w:pPr>
        <w:widowControl/>
        <w:shd w:val="clear" w:color="auto" w:fill="FFFFFF"/>
        <w:spacing w:line="360" w:lineRule="auto"/>
        <w:jc w:val="center"/>
        <w:rPr>
          <w:rFonts w:eastAsiaTheme="minorEastAsia"/>
          <w:b/>
          <w:color w:val="auto"/>
          <w:kern w:val="0"/>
          <w:sz w:val="48"/>
          <w:szCs w:val="48"/>
        </w:rPr>
      </w:pPr>
      <w:bookmarkStart w:id="0" w:name="_Hlk74841385"/>
      <w:bookmarkStart w:id="1" w:name="_Hlk77778371"/>
    </w:p>
    <w:p w14:paraId="172C7E00">
      <w:pPr>
        <w:pStyle w:val="69"/>
        <w:spacing w:line="360" w:lineRule="auto"/>
        <w:rPr>
          <w:rFonts w:ascii="Times New Roman" w:hAnsi="Times New Roman" w:eastAsiaTheme="minorEastAsia"/>
          <w:color w:val="auto"/>
        </w:rPr>
      </w:pPr>
    </w:p>
    <w:p w14:paraId="20EA8BAF">
      <w:pPr>
        <w:pStyle w:val="69"/>
        <w:spacing w:line="360" w:lineRule="auto"/>
        <w:jc w:val="center"/>
        <w:rPr>
          <w:rFonts w:ascii="Times New Roman" w:hAnsi="Times New Roman" w:eastAsiaTheme="minorEastAsia"/>
          <w:color w:val="auto"/>
          <w:sz w:val="24"/>
          <w:szCs w:val="28"/>
        </w:rPr>
      </w:pPr>
      <w:r>
        <w:rPr>
          <w:rFonts w:ascii="Times New Roman" w:hAnsi="Times New Roman" w:eastAsiaTheme="minorEastAsia"/>
          <w:b/>
          <w:bCs/>
          <w:color w:val="auto"/>
          <w:sz w:val="52"/>
          <w:szCs w:val="52"/>
        </w:rPr>
        <w:t>龙江院区维保类服务外包项目</w:t>
      </w:r>
    </w:p>
    <w:p w14:paraId="60FD8F90">
      <w:pPr>
        <w:widowControl/>
        <w:spacing w:line="360" w:lineRule="auto"/>
        <w:jc w:val="center"/>
        <w:rPr>
          <w:rFonts w:eastAsiaTheme="minorEastAsia"/>
          <w:b/>
          <w:color w:val="auto"/>
          <w:kern w:val="0"/>
          <w:sz w:val="72"/>
          <w:szCs w:val="72"/>
        </w:rPr>
      </w:pPr>
    </w:p>
    <w:p w14:paraId="7A798317">
      <w:pPr>
        <w:pStyle w:val="33"/>
        <w:spacing w:line="360" w:lineRule="auto"/>
        <w:ind w:left="1260"/>
        <w:rPr>
          <w:rFonts w:ascii="Times New Roman" w:hAnsi="Times New Roman" w:eastAsiaTheme="minorEastAsia"/>
          <w:color w:val="auto"/>
        </w:rPr>
      </w:pPr>
    </w:p>
    <w:p w14:paraId="22A70C42">
      <w:pPr>
        <w:pStyle w:val="33"/>
        <w:tabs>
          <w:tab w:val="left" w:pos="7253"/>
        </w:tabs>
        <w:spacing w:line="360" w:lineRule="auto"/>
        <w:ind w:left="1260"/>
        <w:rPr>
          <w:rFonts w:ascii="Times New Roman" w:hAnsi="Times New Roman" w:eastAsiaTheme="minorEastAsia"/>
          <w:color w:val="auto"/>
        </w:rPr>
      </w:pPr>
      <w:r>
        <w:rPr>
          <w:rFonts w:ascii="Times New Roman" w:hAnsi="Times New Roman" w:eastAsiaTheme="minorEastAsia"/>
          <w:color w:val="auto"/>
        </w:rPr>
        <w:tab/>
      </w:r>
    </w:p>
    <w:p w14:paraId="7D8E0009">
      <w:pPr>
        <w:spacing w:line="360" w:lineRule="auto"/>
        <w:rPr>
          <w:rFonts w:eastAsiaTheme="minorEastAsia"/>
          <w:color w:val="auto"/>
        </w:rPr>
      </w:pPr>
    </w:p>
    <w:p w14:paraId="4BA46516">
      <w:pPr>
        <w:widowControl/>
        <w:spacing w:line="360" w:lineRule="auto"/>
        <w:jc w:val="center"/>
        <w:rPr>
          <w:rFonts w:eastAsiaTheme="minorEastAsia"/>
          <w:b/>
          <w:color w:val="auto"/>
          <w:kern w:val="0"/>
          <w:sz w:val="72"/>
          <w:szCs w:val="72"/>
        </w:rPr>
      </w:pPr>
      <w:r>
        <w:rPr>
          <w:rFonts w:eastAsiaTheme="minorEastAsia"/>
          <w:b/>
          <w:color w:val="auto"/>
          <w:kern w:val="0"/>
          <w:sz w:val="72"/>
          <w:szCs w:val="72"/>
        </w:rPr>
        <w:t>采购文件</w:t>
      </w:r>
    </w:p>
    <w:p w14:paraId="7CC6D4BB">
      <w:pPr>
        <w:widowControl/>
        <w:spacing w:line="360" w:lineRule="auto"/>
        <w:jc w:val="center"/>
        <w:rPr>
          <w:rFonts w:eastAsiaTheme="minorEastAsia"/>
          <w:b/>
          <w:color w:val="auto"/>
          <w:kern w:val="0"/>
          <w:sz w:val="36"/>
          <w:szCs w:val="36"/>
        </w:rPr>
      </w:pPr>
    </w:p>
    <w:p w14:paraId="72DBFEAB">
      <w:pPr>
        <w:spacing w:line="360" w:lineRule="auto"/>
        <w:ind w:firstLine="1606" w:firstLineChars="500"/>
        <w:rPr>
          <w:rFonts w:hint="eastAsia" w:eastAsiaTheme="minorEastAsia"/>
          <w:b/>
          <w:bCs/>
          <w:color w:val="auto"/>
          <w:sz w:val="32"/>
          <w:lang w:eastAsia="zh-CN"/>
        </w:rPr>
      </w:pPr>
      <w:r>
        <w:rPr>
          <w:rFonts w:eastAsiaTheme="minorEastAsia"/>
          <w:b/>
          <w:bCs/>
          <w:color w:val="auto"/>
          <w:sz w:val="32"/>
        </w:rPr>
        <w:t>采购编号：</w:t>
      </w:r>
      <w:r>
        <w:rPr>
          <w:rFonts w:hint="eastAsia" w:eastAsiaTheme="minorEastAsia"/>
          <w:b/>
          <w:bCs/>
          <w:color w:val="auto"/>
          <w:sz w:val="32"/>
          <w:lang w:eastAsia="zh-CN"/>
        </w:rPr>
        <w:t>JSZC-320000-JCEC-G2026-0415</w:t>
      </w:r>
    </w:p>
    <w:p w14:paraId="7CC5E652">
      <w:pPr>
        <w:widowControl/>
        <w:spacing w:line="360" w:lineRule="auto"/>
        <w:jc w:val="center"/>
        <w:rPr>
          <w:rFonts w:hint="eastAsia" w:eastAsiaTheme="minorEastAsia"/>
          <w:b/>
          <w:color w:val="auto"/>
          <w:kern w:val="0"/>
          <w:sz w:val="36"/>
          <w:szCs w:val="36"/>
          <w:lang w:eastAsia="zh-CN"/>
        </w:rPr>
      </w:pPr>
      <w:r>
        <w:rPr>
          <w:rFonts w:eastAsiaTheme="minorEastAsia"/>
          <w:b/>
          <w:bCs/>
          <w:color w:val="auto"/>
          <w:sz w:val="32"/>
        </w:rPr>
        <w:t>代理机构编号：</w:t>
      </w:r>
      <w:r>
        <w:rPr>
          <w:rFonts w:hint="eastAsia" w:eastAsiaTheme="minorEastAsia"/>
          <w:b/>
          <w:bCs/>
          <w:color w:val="auto"/>
          <w:sz w:val="32"/>
          <w:lang w:eastAsia="zh-CN"/>
        </w:rPr>
        <w:t>ZJ066026K0ZC04022</w:t>
      </w:r>
    </w:p>
    <w:p w14:paraId="4F21CFE6">
      <w:pPr>
        <w:widowControl/>
        <w:spacing w:line="360" w:lineRule="auto"/>
        <w:jc w:val="center"/>
        <w:rPr>
          <w:rFonts w:eastAsiaTheme="minorEastAsia"/>
          <w:b/>
          <w:color w:val="auto"/>
          <w:kern w:val="0"/>
          <w:sz w:val="28"/>
          <w:szCs w:val="28"/>
        </w:rPr>
      </w:pPr>
    </w:p>
    <w:p w14:paraId="5F318AFC">
      <w:pPr>
        <w:widowControl/>
        <w:shd w:val="clear" w:color="auto" w:fill="FFFFFF"/>
        <w:spacing w:line="360" w:lineRule="auto"/>
        <w:rPr>
          <w:rFonts w:eastAsiaTheme="minorEastAsia"/>
          <w:color w:val="auto"/>
          <w:kern w:val="0"/>
          <w:sz w:val="32"/>
          <w:szCs w:val="32"/>
        </w:rPr>
      </w:pPr>
      <w:r>
        <w:rPr>
          <w:rFonts w:eastAsiaTheme="minorEastAsia"/>
          <w:color w:val="auto"/>
          <w:kern w:val="0"/>
          <w:sz w:val="32"/>
          <w:szCs w:val="32"/>
        </w:rPr>
        <w:t>  </w:t>
      </w:r>
    </w:p>
    <w:p w14:paraId="0AADDCFC">
      <w:pPr>
        <w:pStyle w:val="33"/>
        <w:spacing w:line="360" w:lineRule="auto"/>
        <w:ind w:left="1260"/>
        <w:rPr>
          <w:rFonts w:ascii="Times New Roman" w:hAnsi="Times New Roman" w:eastAsiaTheme="minorEastAsia"/>
          <w:color w:val="auto"/>
          <w:kern w:val="0"/>
          <w:sz w:val="32"/>
          <w:szCs w:val="32"/>
        </w:rPr>
      </w:pPr>
    </w:p>
    <w:p w14:paraId="4B03778D">
      <w:pPr>
        <w:pStyle w:val="33"/>
        <w:spacing w:line="360" w:lineRule="auto"/>
        <w:ind w:left="1260"/>
        <w:rPr>
          <w:rFonts w:ascii="Times New Roman" w:hAnsi="Times New Roman" w:eastAsiaTheme="minorEastAsia"/>
          <w:color w:val="auto"/>
        </w:rPr>
      </w:pPr>
    </w:p>
    <w:p w14:paraId="5F0E4B6A">
      <w:pPr>
        <w:spacing w:line="360" w:lineRule="auto"/>
        <w:rPr>
          <w:rFonts w:eastAsiaTheme="minorEastAsia"/>
          <w:color w:val="auto"/>
        </w:rPr>
      </w:pPr>
    </w:p>
    <w:p w14:paraId="427010A0">
      <w:pPr>
        <w:widowControl/>
        <w:spacing w:line="360" w:lineRule="auto"/>
        <w:jc w:val="center"/>
        <w:rPr>
          <w:rFonts w:eastAsiaTheme="minorEastAsia"/>
          <w:b/>
          <w:color w:val="auto"/>
          <w:kern w:val="0"/>
          <w:sz w:val="36"/>
          <w:szCs w:val="36"/>
        </w:rPr>
      </w:pPr>
    </w:p>
    <w:p w14:paraId="603AB246">
      <w:pPr>
        <w:widowControl/>
        <w:spacing w:line="360" w:lineRule="auto"/>
        <w:jc w:val="center"/>
        <w:rPr>
          <w:rFonts w:eastAsiaTheme="minorEastAsia"/>
          <w:b/>
          <w:color w:val="auto"/>
          <w:kern w:val="0"/>
          <w:sz w:val="32"/>
          <w:szCs w:val="32"/>
        </w:rPr>
      </w:pPr>
      <w:r>
        <w:rPr>
          <w:rFonts w:eastAsiaTheme="minorEastAsia"/>
          <w:b/>
          <w:color w:val="auto"/>
          <w:kern w:val="0"/>
          <w:sz w:val="32"/>
          <w:szCs w:val="32"/>
        </w:rPr>
        <w:t>采购人：江苏省人民医院</w:t>
      </w:r>
    </w:p>
    <w:p w14:paraId="46D613B3">
      <w:pPr>
        <w:widowControl/>
        <w:spacing w:line="360" w:lineRule="auto"/>
        <w:jc w:val="center"/>
        <w:rPr>
          <w:rFonts w:eastAsiaTheme="minorEastAsia"/>
          <w:b/>
          <w:color w:val="auto"/>
          <w:kern w:val="0"/>
          <w:sz w:val="32"/>
          <w:szCs w:val="32"/>
        </w:rPr>
      </w:pPr>
      <w:r>
        <w:rPr>
          <w:rFonts w:eastAsiaTheme="minorEastAsia"/>
          <w:b/>
          <w:color w:val="auto"/>
          <w:kern w:val="0"/>
          <w:sz w:val="32"/>
          <w:szCs w:val="32"/>
        </w:rPr>
        <w:t>采购代理机构：江苏省设备成套股份有限公司</w:t>
      </w:r>
    </w:p>
    <w:p w14:paraId="1DBEA5ED">
      <w:pPr>
        <w:widowControl/>
        <w:shd w:val="clear" w:color="auto" w:fill="FFFFFF"/>
        <w:spacing w:line="360" w:lineRule="auto"/>
        <w:jc w:val="center"/>
        <w:rPr>
          <w:rFonts w:eastAsiaTheme="minorEastAsia"/>
          <w:b/>
          <w:color w:val="auto"/>
          <w:kern w:val="0"/>
          <w:sz w:val="32"/>
          <w:szCs w:val="32"/>
        </w:rPr>
      </w:pPr>
      <w:r>
        <w:rPr>
          <w:rFonts w:eastAsiaTheme="minorEastAsia"/>
          <w:b/>
          <w:color w:val="auto"/>
          <w:kern w:val="0"/>
          <w:sz w:val="32"/>
          <w:szCs w:val="32"/>
        </w:rPr>
        <w:t>2026年10月</w:t>
      </w:r>
    </w:p>
    <w:p w14:paraId="35F03E27">
      <w:pPr>
        <w:widowControl/>
        <w:shd w:val="clear" w:color="auto" w:fill="FFFFFF"/>
        <w:spacing w:line="360" w:lineRule="auto"/>
        <w:jc w:val="center"/>
        <w:rPr>
          <w:rFonts w:eastAsiaTheme="minorEastAsia"/>
          <w:b/>
          <w:color w:val="auto"/>
          <w:kern w:val="0"/>
          <w:sz w:val="32"/>
          <w:szCs w:val="32"/>
        </w:rPr>
      </w:pPr>
    </w:p>
    <w:p w14:paraId="5C8D3BD4">
      <w:pPr>
        <w:widowControl/>
        <w:shd w:val="clear" w:color="auto" w:fill="FFFFFF"/>
        <w:spacing w:line="360" w:lineRule="auto"/>
        <w:jc w:val="center"/>
        <w:rPr>
          <w:rFonts w:eastAsiaTheme="minorEastAsia"/>
          <w:b/>
          <w:color w:val="auto"/>
          <w:kern w:val="0"/>
          <w:sz w:val="36"/>
          <w:szCs w:val="36"/>
        </w:rPr>
      </w:pPr>
      <w:r>
        <w:rPr>
          <w:rFonts w:eastAsiaTheme="minorEastAsia"/>
          <w:b/>
          <w:color w:val="auto"/>
          <w:kern w:val="0"/>
          <w:sz w:val="36"/>
          <w:szCs w:val="36"/>
        </w:rPr>
        <w:br w:type="page"/>
      </w:r>
    </w:p>
    <w:p w14:paraId="313D0FCE">
      <w:pPr>
        <w:pStyle w:val="174"/>
        <w:spacing w:line="360" w:lineRule="auto"/>
        <w:jc w:val="center"/>
        <w:rPr>
          <w:rFonts w:ascii="Times New Roman" w:hAnsi="Times New Roman" w:eastAsiaTheme="minorEastAsia"/>
          <w:color w:val="auto"/>
          <w:sz w:val="36"/>
          <w:szCs w:val="36"/>
        </w:rPr>
      </w:pPr>
      <w:r>
        <w:rPr>
          <w:rFonts w:ascii="Times New Roman" w:hAnsi="Times New Roman" w:eastAsiaTheme="minorEastAsia"/>
          <w:color w:val="auto"/>
          <w:sz w:val="36"/>
          <w:szCs w:val="36"/>
          <w:lang w:val="zh-CN"/>
        </w:rPr>
        <w:t>目录</w:t>
      </w:r>
    </w:p>
    <w:p w14:paraId="0E9418DF">
      <w:pPr>
        <w:pStyle w:val="44"/>
        <w:tabs>
          <w:tab w:val="right" w:leader="dot" w:pos="8296"/>
        </w:tabs>
        <w:spacing w:line="360" w:lineRule="auto"/>
        <w:rPr>
          <w:rFonts w:eastAsiaTheme="minorEastAsia"/>
          <w:color w:val="auto"/>
          <w:sz w:val="28"/>
          <w:szCs w:val="28"/>
        </w:rPr>
      </w:pPr>
    </w:p>
    <w:p w14:paraId="628ADDFA">
      <w:pPr>
        <w:pStyle w:val="44"/>
        <w:tabs>
          <w:tab w:val="right" w:leader="dot" w:pos="8299"/>
        </w:tabs>
        <w:spacing w:line="360" w:lineRule="auto"/>
        <w:rPr>
          <w:rFonts w:eastAsiaTheme="minorEastAsia"/>
          <w:color w:val="auto"/>
          <w:sz w:val="28"/>
          <w:szCs w:val="28"/>
        </w:rPr>
      </w:pPr>
      <w:r>
        <w:rPr>
          <w:rFonts w:eastAsiaTheme="minorEastAsia"/>
          <w:color w:val="auto"/>
          <w:sz w:val="28"/>
          <w:szCs w:val="28"/>
        </w:rPr>
        <w:fldChar w:fldCharType="begin"/>
      </w:r>
      <w:r>
        <w:rPr>
          <w:rFonts w:eastAsiaTheme="minorEastAsia"/>
          <w:color w:val="auto"/>
          <w:sz w:val="28"/>
          <w:szCs w:val="28"/>
        </w:rPr>
        <w:instrText xml:space="preserve">TOC \o "1-1" \h \u </w:instrText>
      </w:r>
      <w:r>
        <w:rPr>
          <w:rFonts w:eastAsiaTheme="minorEastAsia"/>
          <w:color w:val="auto"/>
          <w:sz w:val="28"/>
          <w:szCs w:val="28"/>
        </w:rPr>
        <w:fldChar w:fldCharType="separate"/>
      </w:r>
      <w:r>
        <w:rPr>
          <w:color w:val="auto"/>
        </w:rPr>
        <w:fldChar w:fldCharType="begin"/>
      </w:r>
      <w:r>
        <w:rPr>
          <w:color w:val="auto"/>
        </w:rPr>
        <w:instrText xml:space="preserve"> HYPERLINK \l "_Toc12498" </w:instrText>
      </w:r>
      <w:r>
        <w:rPr>
          <w:color w:val="auto"/>
        </w:rPr>
        <w:fldChar w:fldCharType="separate"/>
      </w:r>
      <w:r>
        <w:rPr>
          <w:rFonts w:eastAsiaTheme="minorEastAsia"/>
          <w:color w:val="auto"/>
          <w:kern w:val="0"/>
          <w:sz w:val="28"/>
          <w:szCs w:val="28"/>
        </w:rPr>
        <w:t xml:space="preserve">第一章 </w:t>
      </w:r>
      <w:r>
        <w:rPr>
          <w:rFonts w:eastAsiaTheme="minorEastAsia"/>
          <w:color w:val="auto"/>
          <w:sz w:val="28"/>
          <w:szCs w:val="28"/>
        </w:rPr>
        <w:t>采购公告</w:t>
      </w:r>
      <w:r>
        <w:rPr>
          <w:rFonts w:eastAsiaTheme="minorEastAsia"/>
          <w:color w:val="auto"/>
          <w:sz w:val="28"/>
          <w:szCs w:val="28"/>
        </w:rPr>
        <w:tab/>
      </w:r>
      <w:r>
        <w:rPr>
          <w:rFonts w:eastAsiaTheme="minorEastAsia"/>
          <w:color w:val="auto"/>
          <w:sz w:val="28"/>
          <w:szCs w:val="28"/>
        </w:rPr>
        <w:fldChar w:fldCharType="begin"/>
      </w:r>
      <w:r>
        <w:rPr>
          <w:rFonts w:eastAsiaTheme="minorEastAsia"/>
          <w:color w:val="auto"/>
          <w:sz w:val="28"/>
          <w:szCs w:val="28"/>
        </w:rPr>
        <w:instrText xml:space="preserve"> PAGEREF _Toc12498 \h </w:instrText>
      </w:r>
      <w:r>
        <w:rPr>
          <w:rFonts w:eastAsiaTheme="minorEastAsia"/>
          <w:color w:val="auto"/>
          <w:sz w:val="28"/>
          <w:szCs w:val="28"/>
        </w:rPr>
        <w:fldChar w:fldCharType="separate"/>
      </w:r>
      <w:r>
        <w:rPr>
          <w:rFonts w:eastAsiaTheme="minorEastAsia"/>
          <w:color w:val="auto"/>
          <w:sz w:val="28"/>
          <w:szCs w:val="28"/>
        </w:rPr>
        <w:t>1</w:t>
      </w:r>
      <w:r>
        <w:rPr>
          <w:rFonts w:eastAsiaTheme="minorEastAsia"/>
          <w:color w:val="auto"/>
          <w:sz w:val="28"/>
          <w:szCs w:val="28"/>
        </w:rPr>
        <w:fldChar w:fldCharType="end"/>
      </w:r>
      <w:r>
        <w:rPr>
          <w:rFonts w:eastAsiaTheme="minorEastAsia"/>
          <w:color w:val="auto"/>
          <w:sz w:val="28"/>
          <w:szCs w:val="28"/>
        </w:rPr>
        <w:fldChar w:fldCharType="end"/>
      </w:r>
    </w:p>
    <w:p w14:paraId="0472BE27">
      <w:pPr>
        <w:pStyle w:val="44"/>
        <w:tabs>
          <w:tab w:val="right" w:leader="dot" w:pos="8299"/>
        </w:tabs>
        <w:spacing w:line="360" w:lineRule="auto"/>
        <w:rPr>
          <w:rFonts w:eastAsiaTheme="minorEastAsia"/>
          <w:color w:val="auto"/>
          <w:sz w:val="28"/>
          <w:szCs w:val="28"/>
        </w:rPr>
      </w:pPr>
      <w:r>
        <w:rPr>
          <w:color w:val="auto"/>
        </w:rPr>
        <w:fldChar w:fldCharType="begin"/>
      </w:r>
      <w:r>
        <w:rPr>
          <w:color w:val="auto"/>
        </w:rPr>
        <w:instrText xml:space="preserve"> HYPERLINK \l "_Toc17613" </w:instrText>
      </w:r>
      <w:r>
        <w:rPr>
          <w:color w:val="auto"/>
        </w:rPr>
        <w:fldChar w:fldCharType="separate"/>
      </w:r>
      <w:r>
        <w:rPr>
          <w:rFonts w:eastAsiaTheme="minorEastAsia"/>
          <w:color w:val="auto"/>
          <w:sz w:val="28"/>
          <w:szCs w:val="28"/>
        </w:rPr>
        <w:t>第二章 供应商须知</w:t>
      </w:r>
      <w:r>
        <w:rPr>
          <w:rFonts w:eastAsiaTheme="minorEastAsia"/>
          <w:color w:val="auto"/>
          <w:sz w:val="28"/>
          <w:szCs w:val="28"/>
        </w:rPr>
        <w:tab/>
      </w:r>
      <w:r>
        <w:rPr>
          <w:rFonts w:eastAsiaTheme="minorEastAsia"/>
          <w:color w:val="auto"/>
          <w:sz w:val="28"/>
          <w:szCs w:val="28"/>
        </w:rPr>
        <w:fldChar w:fldCharType="begin"/>
      </w:r>
      <w:r>
        <w:rPr>
          <w:rFonts w:eastAsiaTheme="minorEastAsia"/>
          <w:color w:val="auto"/>
          <w:sz w:val="28"/>
          <w:szCs w:val="28"/>
        </w:rPr>
        <w:instrText xml:space="preserve"> PAGEREF _Toc17613 \h </w:instrText>
      </w:r>
      <w:r>
        <w:rPr>
          <w:rFonts w:eastAsiaTheme="minorEastAsia"/>
          <w:color w:val="auto"/>
          <w:sz w:val="28"/>
          <w:szCs w:val="28"/>
        </w:rPr>
        <w:fldChar w:fldCharType="separate"/>
      </w:r>
      <w:r>
        <w:rPr>
          <w:rFonts w:eastAsiaTheme="minorEastAsia"/>
          <w:color w:val="auto"/>
          <w:sz w:val="28"/>
          <w:szCs w:val="28"/>
        </w:rPr>
        <w:t>5</w:t>
      </w:r>
      <w:r>
        <w:rPr>
          <w:rFonts w:eastAsiaTheme="minorEastAsia"/>
          <w:color w:val="auto"/>
          <w:sz w:val="28"/>
          <w:szCs w:val="28"/>
        </w:rPr>
        <w:fldChar w:fldCharType="end"/>
      </w:r>
      <w:r>
        <w:rPr>
          <w:rFonts w:eastAsiaTheme="minorEastAsia"/>
          <w:color w:val="auto"/>
          <w:sz w:val="28"/>
          <w:szCs w:val="28"/>
        </w:rPr>
        <w:fldChar w:fldCharType="end"/>
      </w:r>
    </w:p>
    <w:p w14:paraId="40F59B16">
      <w:pPr>
        <w:pStyle w:val="44"/>
        <w:tabs>
          <w:tab w:val="right" w:leader="dot" w:pos="8299"/>
        </w:tabs>
        <w:spacing w:line="360" w:lineRule="auto"/>
        <w:rPr>
          <w:rFonts w:eastAsiaTheme="minorEastAsia"/>
          <w:color w:val="auto"/>
          <w:sz w:val="28"/>
          <w:szCs w:val="28"/>
        </w:rPr>
      </w:pPr>
      <w:r>
        <w:rPr>
          <w:color w:val="auto"/>
        </w:rPr>
        <w:fldChar w:fldCharType="begin"/>
      </w:r>
      <w:r>
        <w:rPr>
          <w:color w:val="auto"/>
        </w:rPr>
        <w:instrText xml:space="preserve"> HYPERLINK \l "_Toc9740" </w:instrText>
      </w:r>
      <w:r>
        <w:rPr>
          <w:color w:val="auto"/>
        </w:rPr>
        <w:fldChar w:fldCharType="separate"/>
      </w:r>
      <w:r>
        <w:rPr>
          <w:rFonts w:eastAsiaTheme="minorEastAsia"/>
          <w:color w:val="auto"/>
          <w:kern w:val="0"/>
          <w:sz w:val="28"/>
          <w:szCs w:val="28"/>
        </w:rPr>
        <w:t>第三章 评标标准</w:t>
      </w:r>
      <w:r>
        <w:rPr>
          <w:rFonts w:eastAsiaTheme="minorEastAsia"/>
          <w:color w:val="auto"/>
          <w:sz w:val="28"/>
          <w:szCs w:val="28"/>
        </w:rPr>
        <w:tab/>
      </w:r>
      <w:r>
        <w:rPr>
          <w:rFonts w:eastAsiaTheme="minorEastAsia"/>
          <w:color w:val="auto"/>
          <w:sz w:val="28"/>
          <w:szCs w:val="28"/>
        </w:rPr>
        <w:t>2</w:t>
      </w:r>
      <w:r>
        <w:rPr>
          <w:rFonts w:eastAsiaTheme="minorEastAsia"/>
          <w:color w:val="auto"/>
          <w:sz w:val="28"/>
          <w:szCs w:val="28"/>
        </w:rPr>
        <w:fldChar w:fldCharType="end"/>
      </w:r>
      <w:r>
        <w:rPr>
          <w:rFonts w:eastAsiaTheme="minorEastAsia"/>
          <w:color w:val="auto"/>
          <w:sz w:val="28"/>
          <w:szCs w:val="28"/>
        </w:rPr>
        <w:t>2</w:t>
      </w:r>
    </w:p>
    <w:p w14:paraId="294B6852">
      <w:pPr>
        <w:pStyle w:val="44"/>
        <w:tabs>
          <w:tab w:val="right" w:leader="dot" w:pos="8299"/>
        </w:tabs>
        <w:spacing w:line="360" w:lineRule="auto"/>
        <w:rPr>
          <w:rFonts w:eastAsiaTheme="minorEastAsia"/>
          <w:color w:val="auto"/>
          <w:sz w:val="28"/>
          <w:szCs w:val="28"/>
        </w:rPr>
      </w:pPr>
      <w:r>
        <w:rPr>
          <w:color w:val="auto"/>
        </w:rPr>
        <w:fldChar w:fldCharType="begin"/>
      </w:r>
      <w:r>
        <w:rPr>
          <w:color w:val="auto"/>
        </w:rPr>
        <w:instrText xml:space="preserve"> HYPERLINK \l "_Toc26668" </w:instrText>
      </w:r>
      <w:r>
        <w:rPr>
          <w:color w:val="auto"/>
        </w:rPr>
        <w:fldChar w:fldCharType="separate"/>
      </w:r>
      <w:r>
        <w:rPr>
          <w:rFonts w:eastAsiaTheme="minorEastAsia"/>
          <w:color w:val="auto"/>
          <w:kern w:val="0"/>
          <w:sz w:val="28"/>
          <w:szCs w:val="28"/>
        </w:rPr>
        <w:t>第四章 采购需求</w:t>
      </w:r>
      <w:r>
        <w:rPr>
          <w:rFonts w:eastAsiaTheme="minorEastAsia"/>
          <w:color w:val="auto"/>
          <w:sz w:val="28"/>
          <w:szCs w:val="28"/>
        </w:rPr>
        <w:tab/>
      </w:r>
      <w:r>
        <w:rPr>
          <w:rFonts w:eastAsiaTheme="minorEastAsia"/>
          <w:color w:val="auto"/>
          <w:sz w:val="28"/>
          <w:szCs w:val="28"/>
        </w:rPr>
        <w:fldChar w:fldCharType="begin"/>
      </w:r>
      <w:r>
        <w:rPr>
          <w:rFonts w:eastAsiaTheme="minorEastAsia"/>
          <w:color w:val="auto"/>
          <w:sz w:val="28"/>
          <w:szCs w:val="28"/>
        </w:rPr>
        <w:instrText xml:space="preserve"> PAGEREF _Toc26668 \h </w:instrText>
      </w:r>
      <w:r>
        <w:rPr>
          <w:rFonts w:eastAsiaTheme="minorEastAsia"/>
          <w:color w:val="auto"/>
          <w:sz w:val="28"/>
          <w:szCs w:val="28"/>
        </w:rPr>
        <w:fldChar w:fldCharType="separate"/>
      </w:r>
      <w:r>
        <w:rPr>
          <w:rFonts w:eastAsiaTheme="minorEastAsia"/>
          <w:color w:val="auto"/>
          <w:sz w:val="28"/>
          <w:szCs w:val="28"/>
        </w:rPr>
        <w:t>20</w:t>
      </w:r>
      <w:r>
        <w:rPr>
          <w:rFonts w:eastAsiaTheme="minorEastAsia"/>
          <w:color w:val="auto"/>
          <w:sz w:val="28"/>
          <w:szCs w:val="28"/>
        </w:rPr>
        <w:fldChar w:fldCharType="end"/>
      </w:r>
      <w:r>
        <w:rPr>
          <w:rFonts w:eastAsiaTheme="minorEastAsia"/>
          <w:color w:val="auto"/>
          <w:sz w:val="28"/>
          <w:szCs w:val="28"/>
        </w:rPr>
        <w:fldChar w:fldCharType="end"/>
      </w:r>
    </w:p>
    <w:p w14:paraId="4CEDD6A6">
      <w:pPr>
        <w:pStyle w:val="44"/>
        <w:tabs>
          <w:tab w:val="right" w:leader="dot" w:pos="8299"/>
        </w:tabs>
        <w:spacing w:line="360" w:lineRule="auto"/>
        <w:rPr>
          <w:rFonts w:eastAsiaTheme="minorEastAsia"/>
          <w:color w:val="auto"/>
          <w:sz w:val="28"/>
          <w:szCs w:val="28"/>
        </w:rPr>
      </w:pPr>
      <w:r>
        <w:rPr>
          <w:color w:val="auto"/>
        </w:rPr>
        <w:fldChar w:fldCharType="begin"/>
      </w:r>
      <w:r>
        <w:rPr>
          <w:color w:val="auto"/>
        </w:rPr>
        <w:instrText xml:space="preserve"> HYPERLINK \l "_Toc30691" </w:instrText>
      </w:r>
      <w:r>
        <w:rPr>
          <w:color w:val="auto"/>
        </w:rPr>
        <w:fldChar w:fldCharType="separate"/>
      </w:r>
      <w:r>
        <w:rPr>
          <w:rFonts w:eastAsiaTheme="minorEastAsia"/>
          <w:color w:val="auto"/>
          <w:kern w:val="0"/>
          <w:sz w:val="28"/>
          <w:szCs w:val="28"/>
        </w:rPr>
        <w:t>第五章 合同主要条款及格式</w:t>
      </w:r>
      <w:r>
        <w:rPr>
          <w:rFonts w:eastAsiaTheme="minorEastAsia"/>
          <w:color w:val="auto"/>
          <w:sz w:val="28"/>
          <w:szCs w:val="28"/>
        </w:rPr>
        <w:tab/>
      </w:r>
      <w:r>
        <w:rPr>
          <w:rFonts w:eastAsiaTheme="minorEastAsia"/>
          <w:color w:val="auto"/>
          <w:sz w:val="28"/>
          <w:szCs w:val="28"/>
        </w:rPr>
        <w:fldChar w:fldCharType="begin"/>
      </w:r>
      <w:r>
        <w:rPr>
          <w:rFonts w:eastAsiaTheme="minorEastAsia"/>
          <w:color w:val="auto"/>
          <w:sz w:val="28"/>
          <w:szCs w:val="28"/>
        </w:rPr>
        <w:instrText xml:space="preserve"> PAGEREF _Toc30691 \h </w:instrText>
      </w:r>
      <w:r>
        <w:rPr>
          <w:rFonts w:eastAsiaTheme="minorEastAsia"/>
          <w:color w:val="auto"/>
          <w:sz w:val="28"/>
          <w:szCs w:val="28"/>
        </w:rPr>
        <w:fldChar w:fldCharType="separate"/>
      </w:r>
      <w:r>
        <w:rPr>
          <w:rFonts w:eastAsiaTheme="minorEastAsia"/>
          <w:color w:val="auto"/>
          <w:sz w:val="28"/>
          <w:szCs w:val="28"/>
        </w:rPr>
        <w:t>31</w:t>
      </w:r>
      <w:r>
        <w:rPr>
          <w:rFonts w:eastAsiaTheme="minorEastAsia"/>
          <w:color w:val="auto"/>
          <w:sz w:val="28"/>
          <w:szCs w:val="28"/>
        </w:rPr>
        <w:fldChar w:fldCharType="end"/>
      </w:r>
      <w:r>
        <w:rPr>
          <w:rFonts w:eastAsiaTheme="minorEastAsia"/>
          <w:color w:val="auto"/>
          <w:sz w:val="28"/>
          <w:szCs w:val="28"/>
        </w:rPr>
        <w:fldChar w:fldCharType="end"/>
      </w:r>
    </w:p>
    <w:p w14:paraId="5B50755F">
      <w:pPr>
        <w:pStyle w:val="44"/>
        <w:tabs>
          <w:tab w:val="right" w:leader="dot" w:pos="8299"/>
        </w:tabs>
        <w:spacing w:line="360" w:lineRule="auto"/>
        <w:rPr>
          <w:rFonts w:eastAsiaTheme="minorEastAsia"/>
          <w:color w:val="auto"/>
          <w:sz w:val="28"/>
          <w:szCs w:val="28"/>
        </w:rPr>
      </w:pPr>
      <w:r>
        <w:rPr>
          <w:color w:val="auto"/>
        </w:rPr>
        <w:fldChar w:fldCharType="begin"/>
      </w:r>
      <w:r>
        <w:rPr>
          <w:color w:val="auto"/>
        </w:rPr>
        <w:instrText xml:space="preserve"> HYPERLINK \l "_Toc28523" </w:instrText>
      </w:r>
      <w:r>
        <w:rPr>
          <w:color w:val="auto"/>
        </w:rPr>
        <w:fldChar w:fldCharType="separate"/>
      </w:r>
      <w:r>
        <w:rPr>
          <w:rFonts w:eastAsiaTheme="minorEastAsia"/>
          <w:color w:val="auto"/>
          <w:sz w:val="28"/>
          <w:szCs w:val="28"/>
        </w:rPr>
        <w:t xml:space="preserve">第六章 </w:t>
      </w:r>
      <w:r>
        <w:rPr>
          <w:rFonts w:hint="eastAsia" w:eastAsiaTheme="minorEastAsia"/>
          <w:color w:val="auto"/>
          <w:sz w:val="28"/>
          <w:szCs w:val="28"/>
        </w:rPr>
        <w:t>投标文件格式及附件</w:t>
      </w:r>
      <w:r>
        <w:rPr>
          <w:rFonts w:eastAsiaTheme="minorEastAsia"/>
          <w:color w:val="auto"/>
          <w:sz w:val="28"/>
          <w:szCs w:val="28"/>
        </w:rPr>
        <w:tab/>
      </w:r>
      <w:r>
        <w:rPr>
          <w:rFonts w:eastAsiaTheme="minorEastAsia"/>
          <w:color w:val="auto"/>
          <w:sz w:val="28"/>
          <w:szCs w:val="28"/>
        </w:rPr>
        <w:t>4</w:t>
      </w:r>
      <w:r>
        <w:rPr>
          <w:rFonts w:eastAsiaTheme="minorEastAsia"/>
          <w:color w:val="auto"/>
          <w:sz w:val="28"/>
          <w:szCs w:val="28"/>
        </w:rPr>
        <w:fldChar w:fldCharType="end"/>
      </w:r>
      <w:r>
        <w:rPr>
          <w:rFonts w:eastAsiaTheme="minorEastAsia"/>
          <w:color w:val="auto"/>
          <w:sz w:val="28"/>
          <w:szCs w:val="28"/>
        </w:rPr>
        <w:t>9</w:t>
      </w:r>
    </w:p>
    <w:p w14:paraId="38B399E6">
      <w:pPr>
        <w:spacing w:line="360" w:lineRule="auto"/>
        <w:rPr>
          <w:rFonts w:eastAsiaTheme="minorEastAsia"/>
          <w:color w:val="auto"/>
          <w:sz w:val="52"/>
          <w:szCs w:val="52"/>
        </w:rPr>
      </w:pPr>
      <w:r>
        <w:rPr>
          <w:rFonts w:eastAsiaTheme="minorEastAsia"/>
          <w:color w:val="auto"/>
          <w:sz w:val="28"/>
          <w:szCs w:val="28"/>
        </w:rPr>
        <w:fldChar w:fldCharType="end"/>
      </w:r>
    </w:p>
    <w:p w14:paraId="5D23E4F8">
      <w:pPr>
        <w:widowControl/>
        <w:shd w:val="clear" w:color="auto" w:fill="FFFFFF"/>
        <w:spacing w:line="360" w:lineRule="auto"/>
        <w:jc w:val="center"/>
        <w:rPr>
          <w:rFonts w:eastAsiaTheme="minorEastAsia"/>
          <w:b/>
          <w:color w:val="auto"/>
          <w:kern w:val="0"/>
          <w:sz w:val="36"/>
          <w:szCs w:val="36"/>
        </w:rPr>
      </w:pPr>
    </w:p>
    <w:p w14:paraId="4513E4D2">
      <w:pPr>
        <w:pStyle w:val="13"/>
        <w:spacing w:line="360" w:lineRule="auto"/>
        <w:rPr>
          <w:rFonts w:eastAsiaTheme="minorEastAsia"/>
          <w:color w:val="auto"/>
          <w:kern w:val="0"/>
          <w:szCs w:val="21"/>
        </w:rPr>
        <w:sectPr>
          <w:pgSz w:w="11905" w:h="16838"/>
          <w:pgMar w:top="1440" w:right="1803" w:bottom="1440" w:left="1803" w:header="850" w:footer="992" w:gutter="0"/>
          <w:cols w:space="0" w:num="1"/>
          <w:titlePg/>
          <w:docGrid w:type="lines" w:linePitch="317" w:charSpace="0"/>
        </w:sectPr>
      </w:pPr>
      <w:bookmarkStart w:id="2" w:name="_Toc481057143"/>
    </w:p>
    <w:p w14:paraId="273E2741">
      <w:pPr>
        <w:pStyle w:val="13"/>
        <w:spacing w:line="360" w:lineRule="auto"/>
        <w:rPr>
          <w:rFonts w:eastAsiaTheme="minorEastAsia"/>
          <w:color w:val="auto"/>
          <w:kern w:val="0"/>
          <w:szCs w:val="21"/>
        </w:rPr>
      </w:pPr>
      <w:r>
        <w:rPr>
          <w:rFonts w:eastAsiaTheme="minorEastAsia"/>
          <w:color w:val="auto"/>
          <w:kern w:val="0"/>
          <w:sz w:val="36"/>
          <w:szCs w:val="36"/>
          <w:shd w:val="clear" w:color="auto" w:fill="FFFFFF"/>
        </w:rPr>
        <w:t xml:space="preserve"> </w:t>
      </w:r>
      <w:bookmarkStart w:id="3" w:name="_Toc12498"/>
      <w:bookmarkStart w:id="4" w:name="_Hlk85716974"/>
      <w:r>
        <w:rPr>
          <w:rFonts w:eastAsiaTheme="minorEastAsia"/>
          <w:color w:val="auto"/>
        </w:rPr>
        <w:t>采购公告</w:t>
      </w:r>
      <w:bookmarkEnd w:id="2"/>
      <w:bookmarkEnd w:id="3"/>
      <w:bookmarkStart w:id="5" w:name="OLE_LINK1"/>
      <w:bookmarkStart w:id="6" w:name="OLE_LINK7"/>
      <w:bookmarkStart w:id="7" w:name="OLE_LINK5"/>
      <w:bookmarkStart w:id="8" w:name="OLE_LINK6"/>
      <w:bookmarkStart w:id="9" w:name="_Hlk74842529"/>
    </w:p>
    <w:p w14:paraId="1674AFB9">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eastAsiaTheme="minorEastAsia"/>
          <w:color w:val="auto"/>
          <w:spacing w:val="8"/>
          <w:kern w:val="0"/>
          <w:szCs w:val="21"/>
        </w:rPr>
      </w:pPr>
      <w:bookmarkStart w:id="10" w:name="OLE_LINK4"/>
      <w:bookmarkStart w:id="11" w:name="OLE_LINK2"/>
      <w:bookmarkStart w:id="12" w:name="OLE_LINK3"/>
      <w:bookmarkStart w:id="13" w:name="_Hlk74841176"/>
      <w:r>
        <w:rPr>
          <w:rFonts w:eastAsiaTheme="minorEastAsia"/>
          <w:color w:val="auto"/>
          <w:spacing w:val="8"/>
          <w:kern w:val="0"/>
          <w:szCs w:val="21"/>
        </w:rPr>
        <w:t>项目概况</w:t>
      </w:r>
    </w:p>
    <w:p w14:paraId="15860E26">
      <w:pPr>
        <w:widowControl/>
        <w:pBdr>
          <w:top w:val="single" w:color="auto" w:sz="4" w:space="1"/>
          <w:left w:val="single" w:color="auto" w:sz="4" w:space="4"/>
          <w:bottom w:val="single" w:color="auto" w:sz="4" w:space="1"/>
          <w:right w:val="single" w:color="auto" w:sz="4" w:space="4"/>
        </w:pBdr>
        <w:shd w:val="clear" w:color="auto" w:fill="FFFFFF"/>
        <w:spacing w:line="360" w:lineRule="auto"/>
        <w:ind w:firstLine="369"/>
        <w:rPr>
          <w:rFonts w:eastAsiaTheme="minorEastAsia"/>
          <w:color w:val="auto"/>
          <w:spacing w:val="8"/>
          <w:kern w:val="0"/>
          <w:szCs w:val="21"/>
        </w:rPr>
      </w:pPr>
      <w:r>
        <w:rPr>
          <w:rFonts w:eastAsiaTheme="minorEastAsia"/>
          <w:color w:val="auto"/>
          <w:spacing w:val="8"/>
          <w:kern w:val="0"/>
          <w:szCs w:val="21"/>
          <w:u w:val="single"/>
        </w:rPr>
        <w:t> </w:t>
      </w:r>
      <w:r>
        <w:rPr>
          <w:rFonts w:eastAsiaTheme="minorEastAsia"/>
          <w:color w:val="auto"/>
          <w:kern w:val="0"/>
          <w:szCs w:val="21"/>
          <w:u w:val="single"/>
        </w:rPr>
        <w:t xml:space="preserve">龙江院区维保类服务外包项目 </w:t>
      </w:r>
      <w:r>
        <w:rPr>
          <w:rFonts w:eastAsiaTheme="minorEastAsia"/>
          <w:color w:val="auto"/>
          <w:spacing w:val="8"/>
          <w:kern w:val="0"/>
          <w:szCs w:val="21"/>
        </w:rPr>
        <w:t>的潜在供应商应在</w:t>
      </w:r>
      <w:r>
        <w:rPr>
          <w:rFonts w:eastAsiaTheme="minorEastAsia"/>
          <w:color w:val="auto"/>
          <w:kern w:val="0"/>
          <w:szCs w:val="21"/>
          <w:u w:val="single"/>
        </w:rPr>
        <w:t>江苏政府采购网</w:t>
      </w:r>
      <w:r>
        <w:rPr>
          <w:rFonts w:eastAsiaTheme="minorEastAsia"/>
          <w:color w:val="auto"/>
          <w:spacing w:val="8"/>
          <w:kern w:val="0"/>
          <w:szCs w:val="21"/>
        </w:rPr>
        <w:t>获取招标文件，并于</w:t>
      </w:r>
      <w:r>
        <w:rPr>
          <w:rFonts w:eastAsiaTheme="minorEastAsia"/>
          <w:color w:val="auto"/>
          <w:kern w:val="0"/>
          <w:szCs w:val="21"/>
          <w:u w:val="single"/>
        </w:rPr>
        <w:t>2026年</w:t>
      </w:r>
      <w:r>
        <w:rPr>
          <w:rFonts w:hint="eastAsia" w:eastAsiaTheme="minorEastAsia"/>
          <w:color w:val="auto"/>
          <w:kern w:val="0"/>
          <w:szCs w:val="21"/>
          <w:u w:val="single"/>
          <w:lang w:val="en-US" w:eastAsia="zh-CN"/>
        </w:rPr>
        <w:t>11</w:t>
      </w:r>
      <w:r>
        <w:rPr>
          <w:rFonts w:eastAsiaTheme="minorEastAsia"/>
          <w:color w:val="auto"/>
          <w:kern w:val="0"/>
          <w:szCs w:val="21"/>
          <w:u w:val="single"/>
        </w:rPr>
        <w:t>月</w:t>
      </w:r>
      <w:r>
        <w:rPr>
          <w:rFonts w:hint="eastAsia" w:eastAsiaTheme="minorEastAsia"/>
          <w:color w:val="auto"/>
          <w:kern w:val="0"/>
          <w:szCs w:val="21"/>
          <w:u w:val="single"/>
          <w:lang w:val="en-US" w:eastAsia="zh-CN"/>
        </w:rPr>
        <w:t>11</w:t>
      </w:r>
      <w:r>
        <w:rPr>
          <w:rFonts w:eastAsiaTheme="minorEastAsia"/>
          <w:color w:val="auto"/>
          <w:kern w:val="0"/>
          <w:szCs w:val="21"/>
          <w:u w:val="single"/>
        </w:rPr>
        <w:t>日09点30分</w:t>
      </w:r>
      <w:r>
        <w:rPr>
          <w:rFonts w:eastAsiaTheme="minorEastAsia"/>
          <w:color w:val="auto"/>
          <w:spacing w:val="8"/>
          <w:kern w:val="0"/>
          <w:szCs w:val="21"/>
        </w:rPr>
        <w:t>（北京时间）前递交投标文件。</w:t>
      </w:r>
    </w:p>
    <w:p w14:paraId="5F516927">
      <w:pPr>
        <w:widowControl/>
        <w:shd w:val="clear" w:color="auto" w:fill="FFFFFF" w:themeFill="background1"/>
        <w:spacing w:line="360" w:lineRule="auto"/>
        <w:outlineLvl w:val="1"/>
        <w:rPr>
          <w:rFonts w:eastAsiaTheme="minorEastAsia"/>
          <w:b/>
          <w:color w:val="auto"/>
          <w:spacing w:val="8"/>
          <w:kern w:val="0"/>
          <w:sz w:val="24"/>
        </w:rPr>
      </w:pPr>
      <w:r>
        <w:rPr>
          <w:rFonts w:eastAsiaTheme="minorEastAsia"/>
          <w:b/>
          <w:color w:val="auto"/>
          <w:spacing w:val="8"/>
          <w:kern w:val="0"/>
          <w:sz w:val="24"/>
        </w:rPr>
        <w:t>一、项目基本情况</w:t>
      </w:r>
    </w:p>
    <w:p w14:paraId="513BD3DC">
      <w:pPr>
        <w:widowControl/>
        <w:shd w:val="clear" w:color="auto" w:fill="FFFFFF" w:themeFill="background1"/>
        <w:spacing w:line="360" w:lineRule="auto"/>
        <w:ind w:firstLine="452" w:firstLineChars="200"/>
        <w:rPr>
          <w:rFonts w:hint="eastAsia" w:eastAsiaTheme="minorEastAsia"/>
          <w:color w:val="auto"/>
          <w:spacing w:val="8"/>
          <w:kern w:val="0"/>
          <w:szCs w:val="21"/>
          <w:lang w:eastAsia="zh-CN"/>
        </w:rPr>
      </w:pPr>
      <w:r>
        <w:rPr>
          <w:rFonts w:eastAsiaTheme="minorEastAsia"/>
          <w:color w:val="auto"/>
          <w:spacing w:val="8"/>
          <w:kern w:val="0"/>
          <w:szCs w:val="21"/>
        </w:rPr>
        <w:t>1.1项目编号：</w:t>
      </w:r>
      <w:r>
        <w:rPr>
          <w:rFonts w:hint="eastAsia" w:eastAsiaTheme="minorEastAsia"/>
          <w:color w:val="auto"/>
          <w:spacing w:val="8"/>
          <w:kern w:val="0"/>
          <w:szCs w:val="21"/>
          <w:lang w:eastAsia="zh-CN"/>
        </w:rPr>
        <w:t>JSZC-320000-JCEC-G2026-0415</w:t>
      </w:r>
    </w:p>
    <w:p w14:paraId="7F3B7ED4">
      <w:pPr>
        <w:widowControl/>
        <w:shd w:val="clear" w:color="auto" w:fill="FFFFFF" w:themeFill="background1"/>
        <w:spacing w:line="360" w:lineRule="auto"/>
        <w:ind w:firstLine="452" w:firstLineChars="200"/>
        <w:rPr>
          <w:rFonts w:eastAsiaTheme="minorEastAsia"/>
          <w:color w:val="auto"/>
          <w:spacing w:val="8"/>
          <w:kern w:val="0"/>
          <w:szCs w:val="21"/>
        </w:rPr>
      </w:pPr>
      <w:r>
        <w:rPr>
          <w:rFonts w:eastAsiaTheme="minorEastAsia"/>
          <w:color w:val="auto"/>
          <w:spacing w:val="8"/>
          <w:kern w:val="0"/>
          <w:szCs w:val="21"/>
        </w:rPr>
        <w:t>1.2项目名称：龙江院区维保类服务外包项目</w:t>
      </w:r>
    </w:p>
    <w:p w14:paraId="287D780A">
      <w:pPr>
        <w:widowControl/>
        <w:shd w:val="clear" w:color="auto" w:fill="FFFFFF" w:themeFill="background1"/>
        <w:spacing w:line="360" w:lineRule="auto"/>
        <w:ind w:firstLine="452" w:firstLineChars="200"/>
        <w:rPr>
          <w:rFonts w:eastAsiaTheme="minorEastAsia"/>
          <w:color w:val="auto"/>
          <w:spacing w:val="8"/>
          <w:kern w:val="0"/>
          <w:szCs w:val="21"/>
        </w:rPr>
      </w:pPr>
      <w:r>
        <w:rPr>
          <w:rFonts w:eastAsiaTheme="minorEastAsia"/>
          <w:color w:val="auto"/>
          <w:spacing w:val="8"/>
          <w:kern w:val="0"/>
          <w:szCs w:val="21"/>
        </w:rPr>
        <w:t>1.3预算金额：人民币178万元/年</w:t>
      </w:r>
    </w:p>
    <w:p w14:paraId="7072D632">
      <w:pPr>
        <w:widowControl/>
        <w:shd w:val="clear" w:color="auto" w:fill="FFFFFF" w:themeFill="background1"/>
        <w:spacing w:line="360" w:lineRule="auto"/>
        <w:ind w:firstLine="452" w:firstLineChars="200"/>
        <w:rPr>
          <w:rFonts w:eastAsiaTheme="minorEastAsia"/>
          <w:color w:val="auto"/>
          <w:spacing w:val="8"/>
          <w:kern w:val="0"/>
          <w:szCs w:val="21"/>
        </w:rPr>
      </w:pPr>
      <w:r>
        <w:rPr>
          <w:rFonts w:eastAsiaTheme="minorEastAsia"/>
          <w:color w:val="auto"/>
          <w:spacing w:val="8"/>
          <w:kern w:val="0"/>
          <w:szCs w:val="21"/>
        </w:rPr>
        <w:t>1.4最高限价：人民币178万元/年</w:t>
      </w:r>
    </w:p>
    <w:p w14:paraId="00902FB5">
      <w:pPr>
        <w:widowControl/>
        <w:shd w:val="clear" w:color="auto" w:fill="FFFFFF" w:themeFill="background1"/>
        <w:spacing w:line="360" w:lineRule="auto"/>
        <w:ind w:firstLine="452" w:firstLineChars="200"/>
        <w:rPr>
          <w:rFonts w:eastAsiaTheme="minorEastAsia"/>
          <w:color w:val="auto"/>
          <w:spacing w:val="8"/>
          <w:kern w:val="0"/>
          <w:szCs w:val="21"/>
        </w:rPr>
      </w:pPr>
      <w:r>
        <w:rPr>
          <w:rFonts w:eastAsiaTheme="minorEastAsia"/>
          <w:color w:val="auto"/>
          <w:spacing w:val="8"/>
          <w:kern w:val="0"/>
          <w:szCs w:val="21"/>
        </w:rPr>
        <w:t>1.5采购需求：包括但不限于变配电所（含发电机房）、风机房、生活水泵房、室外雨污水管网、医用三气机房及其附属设备与管道，院内水电气、家具、门窗等设施，以及净水系统、光伏发电系统、院内气动物流、电梯等设备设施的日常运行、巡查、维护维修与管理工作，具体内容详见招标文件“第四章 采购需求”。</w:t>
      </w:r>
    </w:p>
    <w:p w14:paraId="3682E9D4">
      <w:pPr>
        <w:pStyle w:val="36"/>
        <w:spacing w:line="360" w:lineRule="auto"/>
        <w:ind w:firstLine="452" w:firstLineChars="200"/>
        <w:rPr>
          <w:rFonts w:ascii="Times New Roman" w:eastAsiaTheme="minorEastAsia"/>
          <w:color w:val="auto"/>
          <w:szCs w:val="21"/>
        </w:rPr>
      </w:pPr>
      <w:r>
        <w:rPr>
          <w:rFonts w:ascii="Times New Roman" w:eastAsiaTheme="minorEastAsia"/>
          <w:color w:val="auto"/>
          <w:spacing w:val="8"/>
          <w:kern w:val="0"/>
          <w:szCs w:val="21"/>
        </w:rPr>
        <w:t>1.6合同履行期限：一年。本项目招标有效期三年，合同一年一签，采购人将根据成交供应商日常履约情况及考核结果，决定是否续签下一年合同。</w:t>
      </w:r>
    </w:p>
    <w:p w14:paraId="575130E6">
      <w:pPr>
        <w:widowControl/>
        <w:shd w:val="clear" w:color="auto" w:fill="FFFFFF" w:themeFill="background1"/>
        <w:spacing w:line="360" w:lineRule="auto"/>
        <w:ind w:firstLine="452" w:firstLineChars="200"/>
        <w:rPr>
          <w:rFonts w:eastAsiaTheme="minorEastAsia"/>
          <w:color w:val="auto"/>
          <w:spacing w:val="8"/>
          <w:kern w:val="0"/>
          <w:szCs w:val="21"/>
        </w:rPr>
      </w:pPr>
      <w:r>
        <w:rPr>
          <w:rFonts w:eastAsiaTheme="minorEastAsia"/>
          <w:color w:val="auto"/>
          <w:spacing w:val="8"/>
          <w:kern w:val="0"/>
          <w:szCs w:val="21"/>
        </w:rPr>
        <w:t>1.7本项目标的所属行业：其他未列明行业。</w:t>
      </w:r>
    </w:p>
    <w:p w14:paraId="60CDC66A">
      <w:pPr>
        <w:widowControl/>
        <w:shd w:val="clear" w:color="auto" w:fill="FFFFFF" w:themeFill="background1"/>
        <w:spacing w:line="360" w:lineRule="auto"/>
        <w:ind w:firstLine="452" w:firstLineChars="200"/>
        <w:rPr>
          <w:rFonts w:eastAsiaTheme="minorEastAsia"/>
          <w:color w:val="auto"/>
          <w:spacing w:val="8"/>
          <w:kern w:val="0"/>
          <w:szCs w:val="21"/>
        </w:rPr>
      </w:pPr>
      <w:r>
        <w:rPr>
          <w:rFonts w:eastAsiaTheme="minorEastAsia"/>
          <w:color w:val="auto"/>
          <w:spacing w:val="8"/>
          <w:kern w:val="0"/>
          <w:szCs w:val="21"/>
        </w:rPr>
        <w:t>1.8本项目</w:t>
      </w:r>
      <w:r>
        <w:rPr>
          <w:rFonts w:eastAsiaTheme="minorEastAsia"/>
          <w:b/>
          <w:bCs/>
          <w:color w:val="auto"/>
          <w:spacing w:val="8"/>
          <w:kern w:val="0"/>
          <w:szCs w:val="21"/>
        </w:rPr>
        <w:t>非专门</w:t>
      </w:r>
      <w:r>
        <w:rPr>
          <w:rFonts w:eastAsiaTheme="minorEastAsia"/>
          <w:color w:val="auto"/>
          <w:spacing w:val="8"/>
          <w:kern w:val="0"/>
          <w:szCs w:val="21"/>
        </w:rPr>
        <w:t>面向中小企业采购。</w:t>
      </w:r>
    </w:p>
    <w:p w14:paraId="5141A8B3">
      <w:pPr>
        <w:widowControl/>
        <w:shd w:val="clear" w:color="auto" w:fill="FFFFFF"/>
        <w:spacing w:line="360" w:lineRule="auto"/>
        <w:ind w:firstLine="452" w:firstLineChars="200"/>
        <w:rPr>
          <w:rFonts w:eastAsiaTheme="minorEastAsia"/>
          <w:color w:val="auto"/>
          <w:spacing w:val="8"/>
          <w:kern w:val="0"/>
          <w:szCs w:val="21"/>
        </w:rPr>
      </w:pPr>
      <w:r>
        <w:rPr>
          <w:rFonts w:eastAsiaTheme="minorEastAsia"/>
          <w:color w:val="auto"/>
          <w:spacing w:val="8"/>
          <w:kern w:val="0"/>
          <w:szCs w:val="21"/>
        </w:rPr>
        <w:t>1.9本项目</w:t>
      </w:r>
      <w:r>
        <w:rPr>
          <w:rFonts w:eastAsiaTheme="minorEastAsia"/>
          <w:b/>
          <w:bCs/>
          <w:color w:val="auto"/>
          <w:spacing w:val="8"/>
          <w:kern w:val="0"/>
          <w:szCs w:val="21"/>
        </w:rPr>
        <w:t>不接受</w:t>
      </w:r>
      <w:r>
        <w:rPr>
          <w:rFonts w:eastAsiaTheme="minorEastAsia"/>
          <w:color w:val="auto"/>
          <w:spacing w:val="8"/>
          <w:kern w:val="0"/>
          <w:szCs w:val="21"/>
        </w:rPr>
        <w:t>进口产品。</w:t>
      </w:r>
    </w:p>
    <w:p w14:paraId="5EF1ACD9">
      <w:pPr>
        <w:widowControl/>
        <w:shd w:val="clear" w:color="auto" w:fill="FFFFFF" w:themeFill="background1"/>
        <w:spacing w:line="360" w:lineRule="auto"/>
        <w:ind w:firstLine="452" w:firstLineChars="200"/>
        <w:rPr>
          <w:rFonts w:eastAsiaTheme="minorEastAsia"/>
          <w:color w:val="auto"/>
          <w:spacing w:val="8"/>
          <w:kern w:val="0"/>
          <w:szCs w:val="21"/>
        </w:rPr>
      </w:pPr>
      <w:r>
        <w:rPr>
          <w:rFonts w:eastAsiaTheme="minorEastAsia"/>
          <w:color w:val="auto"/>
          <w:spacing w:val="8"/>
          <w:kern w:val="0"/>
          <w:szCs w:val="21"/>
        </w:rPr>
        <w:t>1.10本项目</w:t>
      </w:r>
      <w:r>
        <w:rPr>
          <w:rFonts w:eastAsiaTheme="minorEastAsia"/>
          <w:b/>
          <w:bCs/>
          <w:color w:val="auto"/>
          <w:spacing w:val="8"/>
          <w:kern w:val="0"/>
          <w:szCs w:val="21"/>
        </w:rPr>
        <w:t>不接受</w:t>
      </w:r>
      <w:r>
        <w:rPr>
          <w:rFonts w:eastAsiaTheme="minorEastAsia"/>
          <w:color w:val="auto"/>
          <w:spacing w:val="8"/>
          <w:kern w:val="0"/>
          <w:szCs w:val="21"/>
        </w:rPr>
        <w:t>联合体投标。</w:t>
      </w:r>
    </w:p>
    <w:p w14:paraId="7880E828">
      <w:pPr>
        <w:widowControl/>
        <w:shd w:val="clear" w:color="auto" w:fill="FFFFFF" w:themeFill="background1"/>
        <w:spacing w:line="360" w:lineRule="auto"/>
        <w:outlineLvl w:val="1"/>
        <w:rPr>
          <w:rFonts w:eastAsiaTheme="minorEastAsia"/>
          <w:b/>
          <w:color w:val="auto"/>
          <w:spacing w:val="8"/>
          <w:kern w:val="0"/>
          <w:sz w:val="24"/>
        </w:rPr>
      </w:pPr>
      <w:r>
        <w:rPr>
          <w:rFonts w:eastAsiaTheme="minorEastAsia"/>
          <w:b/>
          <w:color w:val="auto"/>
          <w:spacing w:val="8"/>
          <w:kern w:val="0"/>
          <w:sz w:val="24"/>
        </w:rPr>
        <w:t>二、申请人的资格要求：</w:t>
      </w:r>
    </w:p>
    <w:p w14:paraId="045732E2">
      <w:pPr>
        <w:widowControl/>
        <w:shd w:val="clear" w:color="auto" w:fill="FFFFFF" w:themeFill="background1"/>
        <w:spacing w:line="360" w:lineRule="auto"/>
        <w:ind w:firstLine="454" w:firstLineChars="200"/>
        <w:rPr>
          <w:rFonts w:eastAsiaTheme="minorEastAsia"/>
          <w:b/>
          <w:bCs/>
          <w:color w:val="auto"/>
          <w:spacing w:val="8"/>
          <w:kern w:val="0"/>
          <w:szCs w:val="21"/>
        </w:rPr>
      </w:pPr>
      <w:r>
        <w:rPr>
          <w:rFonts w:eastAsiaTheme="minorEastAsia"/>
          <w:b/>
          <w:bCs/>
          <w:color w:val="auto"/>
          <w:spacing w:val="8"/>
          <w:kern w:val="0"/>
          <w:szCs w:val="21"/>
        </w:rPr>
        <w:t>2.1满足《中华人民共和国政府采购法》第二十二条规定；</w:t>
      </w:r>
    </w:p>
    <w:p w14:paraId="2047AE64">
      <w:pPr>
        <w:spacing w:line="360" w:lineRule="auto"/>
        <w:ind w:firstLine="424" w:firstLineChars="202"/>
        <w:rPr>
          <w:rFonts w:eastAsiaTheme="minorEastAsia"/>
          <w:bCs/>
          <w:color w:val="auto"/>
          <w:szCs w:val="21"/>
        </w:rPr>
      </w:pPr>
      <w:r>
        <w:rPr>
          <w:rFonts w:eastAsiaTheme="minorEastAsia"/>
          <w:bCs/>
          <w:color w:val="auto"/>
          <w:szCs w:val="21"/>
        </w:rPr>
        <w:t>（1）具有独立承担民事责任的能力</w:t>
      </w:r>
      <w:r>
        <w:rPr>
          <w:rFonts w:eastAsiaTheme="minorEastAsia"/>
          <w:b/>
          <w:color w:val="auto"/>
          <w:szCs w:val="21"/>
        </w:rPr>
        <w:t>（提供法人或者其他组织的营业执照；供应商为自然人的提供其身份证）</w:t>
      </w:r>
      <w:r>
        <w:rPr>
          <w:rFonts w:eastAsiaTheme="minorEastAsia"/>
          <w:bCs/>
          <w:color w:val="auto"/>
          <w:szCs w:val="21"/>
        </w:rPr>
        <w:t xml:space="preserve">； </w:t>
      </w:r>
    </w:p>
    <w:p w14:paraId="78FA0532">
      <w:pPr>
        <w:spacing w:line="360" w:lineRule="auto"/>
        <w:ind w:firstLine="424" w:firstLineChars="202"/>
        <w:rPr>
          <w:rFonts w:eastAsiaTheme="minorEastAsia"/>
          <w:color w:val="auto"/>
        </w:rPr>
      </w:pPr>
      <w:r>
        <w:rPr>
          <w:rFonts w:eastAsiaTheme="minorEastAsia"/>
          <w:bCs/>
          <w:color w:val="auto"/>
          <w:szCs w:val="21"/>
        </w:rPr>
        <w:t>（2）具有良好的商业信誉和健全的财务会计制度</w:t>
      </w:r>
      <w:r>
        <w:rPr>
          <w:rFonts w:eastAsiaTheme="minorEastAsia"/>
          <w:b/>
          <w:color w:val="auto"/>
          <w:szCs w:val="21"/>
        </w:rPr>
        <w:t>（提供2024年度或者2025年度的财务报告，至少包含资产负债表、利润表;或投标截止时间前六个月内银行出具的资信证明;成立不满一年无须提供）；</w:t>
      </w:r>
    </w:p>
    <w:p w14:paraId="2AA64B52">
      <w:pPr>
        <w:spacing w:line="360" w:lineRule="auto"/>
        <w:ind w:firstLine="424" w:firstLineChars="202"/>
        <w:rPr>
          <w:rFonts w:eastAsiaTheme="minorEastAsia"/>
          <w:bCs/>
          <w:color w:val="auto"/>
          <w:szCs w:val="21"/>
        </w:rPr>
      </w:pPr>
      <w:r>
        <w:rPr>
          <w:rFonts w:eastAsiaTheme="minorEastAsia"/>
          <w:bCs/>
          <w:color w:val="auto"/>
          <w:szCs w:val="21"/>
        </w:rPr>
        <w:t>（3）具有履行合同所必需的设备和专业技术能力</w:t>
      </w:r>
      <w:r>
        <w:rPr>
          <w:rFonts w:eastAsiaTheme="minorEastAsia"/>
          <w:b/>
          <w:color w:val="auto"/>
          <w:szCs w:val="21"/>
        </w:rPr>
        <w:t>（供应商根据履行采购项目合同需要，提供履行合同所必需的设备和专业技术能力的证明材料或承诺书）</w:t>
      </w:r>
      <w:r>
        <w:rPr>
          <w:rFonts w:eastAsiaTheme="minorEastAsia"/>
          <w:bCs/>
          <w:color w:val="auto"/>
          <w:szCs w:val="21"/>
        </w:rPr>
        <w:t>；</w:t>
      </w:r>
    </w:p>
    <w:p w14:paraId="48A461E1">
      <w:pPr>
        <w:spacing w:line="360" w:lineRule="auto"/>
        <w:ind w:firstLine="424" w:firstLineChars="202"/>
        <w:rPr>
          <w:rFonts w:eastAsiaTheme="minorEastAsia"/>
          <w:bCs/>
          <w:color w:val="auto"/>
          <w:szCs w:val="21"/>
        </w:rPr>
      </w:pPr>
      <w:r>
        <w:rPr>
          <w:rFonts w:eastAsiaTheme="minorEastAsia"/>
          <w:bCs/>
          <w:color w:val="auto"/>
          <w:szCs w:val="21"/>
        </w:rPr>
        <w:t>（4）有依法缴纳税收和社会保障资金的良好记录</w:t>
      </w:r>
      <w:r>
        <w:rPr>
          <w:rFonts w:eastAsiaTheme="minorEastAsia"/>
          <w:b/>
          <w:color w:val="auto"/>
          <w:szCs w:val="21"/>
        </w:rPr>
        <w:t>（提供自投标截止时间前六个月内任意一个月份：</w:t>
      </w:r>
      <w:r>
        <w:rPr>
          <w:rFonts w:ascii="Cambria Math" w:hAnsi="Cambria Math" w:cs="Cambria Math" w:eastAsiaTheme="minorEastAsia"/>
          <w:b/>
          <w:color w:val="auto"/>
          <w:szCs w:val="21"/>
        </w:rPr>
        <w:t>①</w:t>
      </w:r>
      <w:r>
        <w:rPr>
          <w:rFonts w:eastAsiaTheme="minorEastAsia"/>
          <w:b/>
          <w:color w:val="auto"/>
          <w:szCs w:val="21"/>
        </w:rPr>
        <w:t>提供缴纳税收的凭证；</w:t>
      </w:r>
      <w:r>
        <w:rPr>
          <w:rFonts w:ascii="Cambria Math" w:hAnsi="Cambria Math" w:cs="Cambria Math" w:eastAsiaTheme="minorEastAsia"/>
          <w:b/>
          <w:color w:val="auto"/>
          <w:szCs w:val="21"/>
        </w:rPr>
        <w:t>②</w:t>
      </w:r>
      <w:r>
        <w:rPr>
          <w:rFonts w:eastAsiaTheme="minorEastAsia"/>
          <w:b/>
          <w:color w:val="auto"/>
          <w:szCs w:val="21"/>
        </w:rPr>
        <w:t>提供缴纳社会保险的凭据，依法享受免缴、缓缴的，提供证明材料）</w:t>
      </w:r>
      <w:r>
        <w:rPr>
          <w:rFonts w:eastAsiaTheme="minorEastAsia"/>
          <w:bCs/>
          <w:color w:val="auto"/>
          <w:szCs w:val="21"/>
        </w:rPr>
        <w:t>；</w:t>
      </w:r>
    </w:p>
    <w:p w14:paraId="654BCD74">
      <w:pPr>
        <w:spacing w:line="360" w:lineRule="auto"/>
        <w:ind w:firstLine="424" w:firstLineChars="202"/>
        <w:rPr>
          <w:rFonts w:eastAsiaTheme="minorEastAsia"/>
          <w:bCs/>
          <w:color w:val="auto"/>
          <w:szCs w:val="21"/>
        </w:rPr>
      </w:pPr>
      <w:r>
        <w:rPr>
          <w:rFonts w:eastAsiaTheme="minorEastAsia"/>
          <w:bCs/>
          <w:color w:val="auto"/>
          <w:szCs w:val="21"/>
        </w:rPr>
        <w:t>（5）参加政府采购活动前三年内，在经营活动中没有重大违法记录</w:t>
      </w:r>
      <w:r>
        <w:rPr>
          <w:rFonts w:eastAsiaTheme="minorEastAsia"/>
          <w:b/>
          <w:color w:val="auto"/>
          <w:szCs w:val="21"/>
        </w:rPr>
        <w:t>（提供承诺书）</w:t>
      </w:r>
      <w:r>
        <w:rPr>
          <w:rFonts w:eastAsiaTheme="minorEastAsia"/>
          <w:bCs/>
          <w:color w:val="auto"/>
          <w:szCs w:val="21"/>
        </w:rPr>
        <w:t>；</w:t>
      </w:r>
    </w:p>
    <w:p w14:paraId="2815B761">
      <w:pPr>
        <w:spacing w:line="360" w:lineRule="auto"/>
        <w:ind w:firstLine="424" w:firstLineChars="202"/>
        <w:rPr>
          <w:rFonts w:eastAsiaTheme="minorEastAsia"/>
          <w:bCs/>
          <w:color w:val="auto"/>
          <w:szCs w:val="21"/>
        </w:rPr>
      </w:pPr>
      <w:r>
        <w:rPr>
          <w:rFonts w:eastAsiaTheme="minorEastAsia"/>
          <w:bCs/>
          <w:color w:val="auto"/>
          <w:szCs w:val="21"/>
        </w:rPr>
        <w:t>（6）法律、行政法规规定的其他条件：无。</w:t>
      </w:r>
    </w:p>
    <w:p w14:paraId="6428CEB7">
      <w:pPr>
        <w:widowControl/>
        <w:shd w:val="clear" w:color="auto" w:fill="FFFFFF" w:themeFill="background1"/>
        <w:spacing w:line="360" w:lineRule="auto"/>
        <w:ind w:firstLine="454" w:firstLineChars="200"/>
        <w:rPr>
          <w:rFonts w:eastAsiaTheme="minorEastAsia"/>
          <w:b/>
          <w:bCs/>
          <w:color w:val="auto"/>
          <w:spacing w:val="8"/>
          <w:kern w:val="0"/>
          <w:szCs w:val="21"/>
        </w:rPr>
      </w:pPr>
      <w:r>
        <w:rPr>
          <w:rFonts w:eastAsiaTheme="minorEastAsia"/>
          <w:b/>
          <w:bCs/>
          <w:color w:val="auto"/>
          <w:spacing w:val="8"/>
          <w:kern w:val="0"/>
          <w:szCs w:val="21"/>
        </w:rPr>
        <w:t>2.2落实政府采购政策需满足的资格要求：无。</w:t>
      </w:r>
    </w:p>
    <w:p w14:paraId="0C8F3174">
      <w:pPr>
        <w:spacing w:line="360" w:lineRule="auto"/>
        <w:ind w:firstLine="454" w:firstLineChars="200"/>
        <w:jc w:val="left"/>
        <w:rPr>
          <w:rFonts w:eastAsiaTheme="minorEastAsia"/>
          <w:color w:val="auto"/>
        </w:rPr>
      </w:pPr>
      <w:r>
        <w:rPr>
          <w:rFonts w:eastAsiaTheme="minorEastAsia"/>
          <w:b/>
          <w:color w:val="auto"/>
          <w:spacing w:val="8"/>
          <w:kern w:val="0"/>
          <w:szCs w:val="21"/>
        </w:rPr>
        <w:t>2.3采购人根据采购项目的特殊要求规定的特定条件，并提供符合特殊要求的证明材料或者情况说明：</w:t>
      </w:r>
    </w:p>
    <w:p w14:paraId="6C68E2FD">
      <w:pPr>
        <w:spacing w:line="360" w:lineRule="auto"/>
        <w:ind w:firstLine="424" w:firstLineChars="202"/>
        <w:rPr>
          <w:rFonts w:eastAsiaTheme="minorEastAsia"/>
          <w:bCs/>
          <w:color w:val="auto"/>
          <w:szCs w:val="21"/>
        </w:rPr>
      </w:pPr>
      <w:r>
        <w:rPr>
          <w:rFonts w:eastAsiaTheme="minorEastAsia"/>
          <w:bCs/>
          <w:color w:val="auto"/>
          <w:szCs w:val="21"/>
        </w:rPr>
        <w:t>（1）</w:t>
      </w:r>
      <w:bookmarkStart w:id="48" w:name="_GoBack"/>
      <w:bookmarkEnd w:id="48"/>
      <w:r>
        <w:rPr>
          <w:rFonts w:eastAsiaTheme="minorEastAsia"/>
          <w:bCs/>
          <w:color w:val="auto"/>
          <w:szCs w:val="21"/>
        </w:rPr>
        <w:t>拒绝列入失信被执行人、重大税收违法失信主体人名单、政府采购严重违法失信行为记录名单及其他不符合《中华人民共和国政府采购法》第二十二条规定条件的供应商参与政府采购活动。</w:t>
      </w:r>
    </w:p>
    <w:p w14:paraId="0ED8F86D">
      <w:pPr>
        <w:spacing w:line="360" w:lineRule="auto"/>
        <w:ind w:firstLine="424" w:firstLineChars="202"/>
        <w:rPr>
          <w:rFonts w:eastAsiaTheme="minorEastAsia"/>
          <w:bCs/>
          <w:color w:val="auto"/>
          <w:szCs w:val="21"/>
        </w:rPr>
      </w:pPr>
      <w:r>
        <w:rPr>
          <w:rFonts w:eastAsiaTheme="minorEastAsia"/>
          <w:bCs/>
          <w:color w:val="auto"/>
          <w:szCs w:val="21"/>
        </w:rPr>
        <w:t>注：</w:t>
      </w:r>
      <w:r>
        <w:rPr>
          <w:rFonts w:ascii="Cambria Math" w:hAnsi="Cambria Math" w:cs="Cambria Math" w:eastAsiaTheme="minorEastAsia"/>
          <w:bCs/>
          <w:color w:val="auto"/>
          <w:szCs w:val="21"/>
        </w:rPr>
        <w:t>①</w:t>
      </w:r>
      <w:r>
        <w:rPr>
          <w:rFonts w:eastAsiaTheme="minorEastAsia"/>
          <w:bCs/>
          <w:color w:val="auto"/>
          <w:szCs w:val="21"/>
        </w:rPr>
        <w:t>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34BF3275">
      <w:pPr>
        <w:spacing w:line="360" w:lineRule="auto"/>
        <w:ind w:firstLine="630" w:firstLineChars="300"/>
        <w:rPr>
          <w:rFonts w:eastAsiaTheme="minorEastAsia"/>
          <w:bCs/>
          <w:color w:val="auto"/>
          <w:szCs w:val="21"/>
        </w:rPr>
      </w:pPr>
      <w:r>
        <w:rPr>
          <w:rFonts w:ascii="Cambria Math" w:hAnsi="Cambria Math" w:cs="Cambria Math" w:eastAsiaTheme="minorEastAsia"/>
          <w:bCs/>
          <w:color w:val="auto"/>
          <w:szCs w:val="21"/>
        </w:rPr>
        <w:t>②</w:t>
      </w:r>
      <w:r>
        <w:rPr>
          <w:rFonts w:eastAsiaTheme="minorEastAsia"/>
          <w:bCs/>
          <w:color w:val="auto"/>
          <w:szCs w:val="21"/>
        </w:rPr>
        <w:t>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25FF8993">
      <w:pPr>
        <w:numPr>
          <w:ilvl w:val="0"/>
          <w:numId w:val="5"/>
        </w:numPr>
        <w:spacing w:line="360" w:lineRule="auto"/>
        <w:ind w:firstLine="424" w:firstLineChars="202"/>
        <w:rPr>
          <w:rFonts w:eastAsiaTheme="minorEastAsia"/>
          <w:bCs/>
          <w:color w:val="auto"/>
          <w:szCs w:val="21"/>
        </w:rPr>
      </w:pPr>
      <w:r>
        <w:rPr>
          <w:rFonts w:eastAsiaTheme="minorEastAsia"/>
          <w:bCs/>
          <w:color w:val="auto"/>
          <w:szCs w:val="21"/>
        </w:rPr>
        <w:t>该项目不允许分包、转包。</w:t>
      </w:r>
    </w:p>
    <w:p w14:paraId="574D826D">
      <w:pPr>
        <w:spacing w:line="360" w:lineRule="auto"/>
        <w:ind w:firstLine="424" w:firstLineChars="202"/>
        <w:rPr>
          <w:rFonts w:eastAsiaTheme="minorEastAsia"/>
          <w:bCs/>
          <w:color w:val="auto"/>
          <w:szCs w:val="21"/>
        </w:rPr>
      </w:pPr>
      <w:r>
        <w:rPr>
          <w:rFonts w:eastAsiaTheme="minorEastAsia"/>
          <w:bCs/>
          <w:color w:val="auto"/>
          <w:szCs w:val="21"/>
        </w:rPr>
        <w:t>2.4 单位负责人为同一人或者存在直接控股、管理关系的不同供应商，不得同时参加本项目同一包的投标。</w:t>
      </w:r>
    </w:p>
    <w:p w14:paraId="53916803">
      <w:pPr>
        <w:spacing w:line="360" w:lineRule="auto"/>
        <w:ind w:firstLine="424" w:firstLineChars="202"/>
        <w:rPr>
          <w:rFonts w:eastAsiaTheme="minorEastAsia"/>
          <w:bCs/>
          <w:color w:val="auto"/>
          <w:szCs w:val="21"/>
        </w:rPr>
      </w:pPr>
      <w:r>
        <w:rPr>
          <w:rFonts w:eastAsiaTheme="minorEastAsia"/>
          <w:bCs/>
          <w:color w:val="auto"/>
          <w:szCs w:val="21"/>
        </w:rPr>
        <w:t>2.5供应商在参加政府采购活动前3年内因违法经营被禁止在一定期限内参加政府采购活动，期限届满的，可以参加政府采购活动。</w:t>
      </w:r>
    </w:p>
    <w:p w14:paraId="0C5021D2">
      <w:pPr>
        <w:widowControl/>
        <w:shd w:val="clear" w:color="auto" w:fill="FFFFFF" w:themeFill="background1"/>
        <w:spacing w:line="360" w:lineRule="auto"/>
        <w:outlineLvl w:val="1"/>
        <w:rPr>
          <w:rFonts w:eastAsiaTheme="minorEastAsia"/>
          <w:b/>
          <w:color w:val="auto"/>
          <w:spacing w:val="8"/>
          <w:kern w:val="0"/>
          <w:sz w:val="24"/>
        </w:rPr>
      </w:pPr>
      <w:r>
        <w:rPr>
          <w:rFonts w:eastAsiaTheme="minorEastAsia"/>
          <w:b/>
          <w:color w:val="auto"/>
          <w:spacing w:val="8"/>
          <w:kern w:val="0"/>
          <w:sz w:val="24"/>
        </w:rPr>
        <w:t>三、获取招标文件</w:t>
      </w:r>
    </w:p>
    <w:p w14:paraId="792E29E3">
      <w:pPr>
        <w:widowControl/>
        <w:shd w:val="clear" w:color="auto" w:fill="FFFFFF" w:themeFill="background1"/>
        <w:spacing w:line="360" w:lineRule="auto"/>
        <w:ind w:firstLine="420" w:firstLineChars="200"/>
        <w:rPr>
          <w:rFonts w:eastAsiaTheme="minorEastAsia"/>
          <w:bCs/>
          <w:color w:val="auto"/>
          <w:szCs w:val="21"/>
        </w:rPr>
      </w:pPr>
      <w:r>
        <w:rPr>
          <w:rFonts w:eastAsiaTheme="minorEastAsia"/>
          <w:bCs/>
          <w:color w:val="auto"/>
          <w:szCs w:val="21"/>
        </w:rPr>
        <w:t>3.1时间：自招标文件公告发布之日起5个工作日</w:t>
      </w:r>
    </w:p>
    <w:p w14:paraId="7B09D6EF">
      <w:pPr>
        <w:widowControl/>
        <w:shd w:val="clear" w:color="auto" w:fill="FFFFFF" w:themeFill="background1"/>
        <w:spacing w:line="360" w:lineRule="auto"/>
        <w:ind w:firstLine="420" w:firstLineChars="200"/>
        <w:rPr>
          <w:rFonts w:eastAsiaTheme="minorEastAsia"/>
          <w:bCs/>
          <w:color w:val="auto"/>
          <w:szCs w:val="21"/>
        </w:rPr>
      </w:pPr>
      <w:r>
        <w:rPr>
          <w:rFonts w:eastAsiaTheme="minorEastAsia"/>
          <w:bCs/>
          <w:color w:val="auto"/>
          <w:szCs w:val="21"/>
        </w:rPr>
        <w:t>3.2地点：苏采云系统注册登记成功后系统内免费下载</w:t>
      </w:r>
    </w:p>
    <w:p w14:paraId="43877733">
      <w:pPr>
        <w:widowControl/>
        <w:shd w:val="clear" w:color="auto" w:fill="FFFFFF" w:themeFill="background1"/>
        <w:spacing w:line="360" w:lineRule="auto"/>
        <w:ind w:firstLine="420" w:firstLineChars="200"/>
        <w:rPr>
          <w:rFonts w:eastAsiaTheme="minorEastAsia"/>
          <w:color w:val="auto"/>
          <w:spacing w:val="15"/>
          <w:szCs w:val="21"/>
          <w:shd w:val="clear" w:color="auto" w:fill="FFFFFF"/>
        </w:rPr>
      </w:pPr>
      <w:r>
        <w:rPr>
          <w:rFonts w:eastAsiaTheme="minorEastAsia"/>
          <w:bCs/>
          <w:color w:val="auto"/>
          <w:szCs w:val="21"/>
        </w:rPr>
        <w:t>3.3方式：</w:t>
      </w:r>
      <w:r>
        <w:rPr>
          <w:rFonts w:eastAsiaTheme="minorEastAsia"/>
          <w:color w:val="auto"/>
          <w:szCs w:val="21"/>
        </w:rPr>
        <w:t>采用网上注册登记方式 </w:t>
      </w:r>
    </w:p>
    <w:p w14:paraId="3EF4BA6A">
      <w:pPr>
        <w:spacing w:line="360" w:lineRule="auto"/>
        <w:ind w:firstLine="424" w:firstLineChars="202"/>
        <w:rPr>
          <w:rFonts w:eastAsiaTheme="minorEastAsia"/>
          <w:bCs/>
          <w:color w:val="auto"/>
          <w:szCs w:val="21"/>
        </w:rPr>
      </w:pPr>
      <w:r>
        <w:rPr>
          <w:rFonts w:eastAsiaTheme="minorEastAsia"/>
          <w:bCs/>
          <w:color w:val="auto"/>
          <w:szCs w:val="21"/>
        </w:rPr>
        <w:t>3.4</w:t>
      </w:r>
      <w:r>
        <w:rPr>
          <w:rFonts w:eastAsiaTheme="minorEastAsia"/>
          <w:color w:val="auto"/>
          <w:spacing w:val="8"/>
          <w:kern w:val="0"/>
          <w:szCs w:val="21"/>
        </w:rPr>
        <w:t>售价：0.00元</w:t>
      </w:r>
    </w:p>
    <w:p w14:paraId="4DA05B02">
      <w:pPr>
        <w:widowControl/>
        <w:shd w:val="clear" w:color="auto" w:fill="FFFFFF" w:themeFill="background1"/>
        <w:spacing w:line="360" w:lineRule="auto"/>
        <w:outlineLvl w:val="1"/>
        <w:rPr>
          <w:rFonts w:eastAsiaTheme="minorEastAsia"/>
          <w:b/>
          <w:color w:val="auto"/>
          <w:spacing w:val="8"/>
          <w:kern w:val="0"/>
          <w:sz w:val="24"/>
        </w:rPr>
      </w:pPr>
      <w:r>
        <w:rPr>
          <w:rFonts w:eastAsiaTheme="minorEastAsia"/>
          <w:b/>
          <w:color w:val="auto"/>
          <w:spacing w:val="8"/>
          <w:kern w:val="0"/>
          <w:sz w:val="24"/>
        </w:rPr>
        <w:t>四、提交投标文件截止时间、开标时间和地点</w:t>
      </w:r>
    </w:p>
    <w:p w14:paraId="1BD04826">
      <w:pPr>
        <w:widowControl/>
        <w:spacing w:line="360" w:lineRule="auto"/>
        <w:ind w:firstLine="370"/>
        <w:rPr>
          <w:rFonts w:eastAsiaTheme="minorEastAsia"/>
          <w:color w:val="auto"/>
          <w:spacing w:val="8"/>
          <w:kern w:val="0"/>
          <w:szCs w:val="21"/>
        </w:rPr>
      </w:pPr>
      <w:r>
        <w:rPr>
          <w:rFonts w:eastAsiaTheme="minorEastAsia"/>
          <w:color w:val="auto"/>
          <w:spacing w:val="8"/>
          <w:kern w:val="0"/>
          <w:szCs w:val="21"/>
        </w:rPr>
        <w:t>4.1</w:t>
      </w:r>
      <w:r>
        <w:rPr>
          <w:rFonts w:eastAsiaTheme="minorEastAsia"/>
          <w:color w:val="auto"/>
          <w:spacing w:val="15"/>
          <w:kern w:val="0"/>
          <w:szCs w:val="21"/>
          <w:shd w:val="clear" w:color="auto" w:fill="FFFFFF"/>
        </w:rPr>
        <w:t>提交投标文件截止时间、开标时间：</w:t>
      </w:r>
      <w:r>
        <w:rPr>
          <w:rFonts w:eastAsiaTheme="minorEastAsia"/>
          <w:color w:val="auto"/>
          <w:kern w:val="0"/>
          <w:szCs w:val="21"/>
          <w:u w:val="single"/>
        </w:rPr>
        <w:t>2026年</w:t>
      </w:r>
      <w:r>
        <w:rPr>
          <w:rFonts w:hint="eastAsia" w:eastAsiaTheme="minorEastAsia"/>
          <w:color w:val="auto"/>
          <w:kern w:val="0"/>
          <w:szCs w:val="21"/>
          <w:u w:val="single"/>
          <w:lang w:val="en-US" w:eastAsia="zh-CN"/>
        </w:rPr>
        <w:t>11</w:t>
      </w:r>
      <w:r>
        <w:rPr>
          <w:rFonts w:eastAsiaTheme="minorEastAsia"/>
          <w:color w:val="auto"/>
          <w:kern w:val="0"/>
          <w:szCs w:val="21"/>
          <w:u w:val="single"/>
        </w:rPr>
        <w:t>月</w:t>
      </w:r>
      <w:r>
        <w:rPr>
          <w:rFonts w:hint="eastAsia" w:eastAsiaTheme="minorEastAsia"/>
          <w:color w:val="auto"/>
          <w:kern w:val="0"/>
          <w:szCs w:val="21"/>
          <w:u w:val="single"/>
          <w:lang w:val="en-US" w:eastAsia="zh-CN"/>
        </w:rPr>
        <w:t>11</w:t>
      </w:r>
      <w:r>
        <w:rPr>
          <w:rFonts w:eastAsiaTheme="minorEastAsia"/>
          <w:color w:val="auto"/>
          <w:kern w:val="0"/>
          <w:szCs w:val="21"/>
          <w:u w:val="single"/>
        </w:rPr>
        <w:t>日09点30分</w:t>
      </w:r>
      <w:r>
        <w:rPr>
          <w:rFonts w:eastAsiaTheme="minorEastAsia"/>
          <w:color w:val="auto"/>
          <w:spacing w:val="8"/>
          <w:kern w:val="0"/>
          <w:szCs w:val="21"/>
        </w:rPr>
        <w:t>（北京时间）</w:t>
      </w:r>
    </w:p>
    <w:p w14:paraId="206CAD47">
      <w:pPr>
        <w:pStyle w:val="52"/>
        <w:spacing w:before="0" w:beforeAutospacing="0" w:after="0" w:afterAutospacing="0" w:line="360" w:lineRule="auto"/>
        <w:ind w:firstLine="375"/>
        <w:rPr>
          <w:rFonts w:ascii="Times New Roman" w:hAnsi="Times New Roman" w:cs="Times New Roman" w:eastAsiaTheme="minorEastAsia"/>
          <w:color w:val="auto"/>
          <w:spacing w:val="15"/>
          <w:sz w:val="21"/>
          <w:szCs w:val="21"/>
          <w:shd w:val="clear" w:color="auto" w:fill="FFFFFF"/>
        </w:rPr>
      </w:pPr>
      <w:r>
        <w:rPr>
          <w:rFonts w:ascii="Times New Roman" w:hAnsi="Times New Roman" w:cs="Times New Roman" w:eastAsiaTheme="minorEastAsia"/>
          <w:color w:val="auto"/>
          <w:spacing w:val="15"/>
          <w:sz w:val="21"/>
          <w:szCs w:val="21"/>
          <w:shd w:val="clear" w:color="auto" w:fill="FFFFFF"/>
        </w:rPr>
        <w:t>4.2提交投标文件地点：江苏省政府采购管理交易系统（苏采云）（以下简称“苏采云”）（网址：http://jszfcg.jsczt.cn/）</w:t>
      </w:r>
    </w:p>
    <w:p w14:paraId="04403D9C">
      <w:pPr>
        <w:spacing w:line="360" w:lineRule="auto"/>
        <w:ind w:firstLine="484" w:firstLineChars="202"/>
        <w:rPr>
          <w:rFonts w:eastAsiaTheme="minorEastAsia"/>
          <w:bCs/>
          <w:color w:val="auto"/>
          <w:szCs w:val="21"/>
        </w:rPr>
      </w:pPr>
      <w:r>
        <w:rPr>
          <w:rFonts w:eastAsiaTheme="minorEastAsia"/>
          <w:color w:val="auto"/>
          <w:spacing w:val="15"/>
          <w:szCs w:val="21"/>
          <w:shd w:val="clear" w:color="auto" w:fill="FFFFFF"/>
        </w:rPr>
        <w:t>4.3开标地点：“苏采云”网上开标大厅。</w:t>
      </w:r>
    </w:p>
    <w:p w14:paraId="2F8841B8">
      <w:pPr>
        <w:widowControl/>
        <w:shd w:val="clear" w:color="auto" w:fill="FFFFFF" w:themeFill="background1"/>
        <w:spacing w:line="360" w:lineRule="auto"/>
        <w:outlineLvl w:val="1"/>
        <w:rPr>
          <w:rFonts w:eastAsiaTheme="minorEastAsia"/>
          <w:b/>
          <w:color w:val="auto"/>
          <w:spacing w:val="8"/>
          <w:kern w:val="0"/>
          <w:sz w:val="24"/>
        </w:rPr>
      </w:pPr>
      <w:r>
        <w:rPr>
          <w:rFonts w:eastAsiaTheme="minorEastAsia"/>
          <w:b/>
          <w:color w:val="auto"/>
          <w:spacing w:val="8"/>
          <w:kern w:val="0"/>
          <w:sz w:val="24"/>
        </w:rPr>
        <w:t>五、公告期限</w:t>
      </w:r>
    </w:p>
    <w:p w14:paraId="194E0497">
      <w:pPr>
        <w:widowControl/>
        <w:shd w:val="clear" w:color="auto" w:fill="FFFFFF" w:themeFill="background1"/>
        <w:spacing w:line="360" w:lineRule="auto"/>
        <w:ind w:firstLine="370"/>
        <w:rPr>
          <w:rFonts w:eastAsiaTheme="minorEastAsia"/>
          <w:color w:val="auto"/>
          <w:spacing w:val="8"/>
          <w:kern w:val="0"/>
          <w:szCs w:val="21"/>
        </w:rPr>
      </w:pPr>
      <w:r>
        <w:rPr>
          <w:rFonts w:eastAsiaTheme="minorEastAsia"/>
          <w:color w:val="auto"/>
          <w:spacing w:val="8"/>
          <w:kern w:val="0"/>
          <w:szCs w:val="21"/>
        </w:rPr>
        <w:t>自本公告发布之日起5个工作日。</w:t>
      </w:r>
    </w:p>
    <w:p w14:paraId="6112D90A">
      <w:pPr>
        <w:widowControl/>
        <w:shd w:val="clear" w:color="auto" w:fill="FFFFFF" w:themeFill="background1"/>
        <w:spacing w:line="360" w:lineRule="auto"/>
        <w:outlineLvl w:val="1"/>
        <w:rPr>
          <w:rFonts w:eastAsiaTheme="minorEastAsia"/>
          <w:b/>
          <w:color w:val="auto"/>
          <w:spacing w:val="8"/>
          <w:kern w:val="0"/>
          <w:sz w:val="24"/>
        </w:rPr>
      </w:pPr>
      <w:r>
        <w:rPr>
          <w:rFonts w:eastAsiaTheme="minorEastAsia"/>
          <w:b/>
          <w:color w:val="auto"/>
          <w:spacing w:val="8"/>
          <w:kern w:val="0"/>
          <w:sz w:val="24"/>
        </w:rPr>
        <w:t>六、其他补充事宜</w:t>
      </w:r>
    </w:p>
    <w:p w14:paraId="2B1D39B6">
      <w:pPr>
        <w:spacing w:line="360" w:lineRule="auto"/>
        <w:ind w:firstLine="424" w:firstLineChars="202"/>
        <w:rPr>
          <w:rFonts w:eastAsiaTheme="minorEastAsia"/>
          <w:bCs/>
          <w:color w:val="auto"/>
          <w:szCs w:val="21"/>
          <w:lang w:val="zh-CN"/>
        </w:rPr>
      </w:pPr>
      <w:r>
        <w:rPr>
          <w:rFonts w:eastAsiaTheme="minorEastAsia"/>
          <w:bCs/>
          <w:color w:val="auto"/>
          <w:szCs w:val="21"/>
          <w:lang w:val="zh-CN"/>
        </w:rPr>
        <w:t>6.1本项目在</w:t>
      </w:r>
      <w:r>
        <w:rPr>
          <w:rFonts w:eastAsiaTheme="minorEastAsia"/>
          <w:b/>
          <w:color w:val="auto"/>
          <w:szCs w:val="21"/>
          <w:u w:val="single"/>
        </w:rPr>
        <w:t>江苏政府采购网、中国政府采购网</w:t>
      </w:r>
      <w:r>
        <w:rPr>
          <w:rFonts w:eastAsiaTheme="minorEastAsia"/>
          <w:bCs/>
          <w:color w:val="auto"/>
          <w:szCs w:val="21"/>
          <w:lang w:val="zh-CN"/>
        </w:rPr>
        <w:t>发布公告。</w:t>
      </w:r>
    </w:p>
    <w:p w14:paraId="1B3BD63C">
      <w:pPr>
        <w:spacing w:line="360" w:lineRule="auto"/>
        <w:ind w:firstLine="424" w:firstLineChars="202"/>
        <w:rPr>
          <w:rFonts w:eastAsiaTheme="minorEastAsia"/>
          <w:bCs/>
          <w:color w:val="auto"/>
          <w:szCs w:val="21"/>
        </w:rPr>
      </w:pPr>
      <w:r>
        <w:rPr>
          <w:rFonts w:eastAsiaTheme="minorEastAsia"/>
          <w:bCs/>
          <w:color w:val="auto"/>
          <w:szCs w:val="21"/>
        </w:rPr>
        <w:t>6.2勘察现场或答疑地点：无。</w:t>
      </w:r>
    </w:p>
    <w:p w14:paraId="61966A7A">
      <w:pPr>
        <w:spacing w:line="360" w:lineRule="auto"/>
        <w:ind w:firstLine="424" w:firstLineChars="202"/>
        <w:rPr>
          <w:rFonts w:eastAsiaTheme="minorEastAsia"/>
          <w:bCs/>
          <w:color w:val="auto"/>
          <w:szCs w:val="21"/>
        </w:rPr>
      </w:pPr>
      <w:r>
        <w:rPr>
          <w:rFonts w:eastAsiaTheme="minorEastAsia"/>
          <w:bCs/>
          <w:color w:val="auto"/>
          <w:szCs w:val="21"/>
        </w:rPr>
        <w:t>6.3获取招标文件方式补充：本项目采用网上注册登记方式。</w:t>
      </w:r>
    </w:p>
    <w:p w14:paraId="627FAA60">
      <w:pPr>
        <w:spacing w:line="360" w:lineRule="auto"/>
        <w:ind w:firstLine="424" w:firstLineChars="202"/>
        <w:rPr>
          <w:rFonts w:eastAsiaTheme="minorEastAsia"/>
          <w:bCs/>
          <w:color w:val="auto"/>
          <w:szCs w:val="21"/>
        </w:rPr>
      </w:pPr>
      <w:r>
        <w:rPr>
          <w:rFonts w:ascii="Cambria Math" w:hAnsi="Cambria Math" w:cs="Cambria Math" w:eastAsiaTheme="minorEastAsia"/>
          <w:bCs/>
          <w:color w:val="auto"/>
          <w:szCs w:val="21"/>
        </w:rPr>
        <w:t>①</w:t>
      </w:r>
      <w:r>
        <w:rPr>
          <w:rFonts w:eastAsiaTheme="minorEastAsia"/>
          <w:bCs/>
          <w:color w:val="auto"/>
          <w:szCs w:val="21"/>
        </w:rPr>
        <w:t>潜在供应商访问电子招标响应交易平台的网络地址和方法：</w:t>
      </w:r>
    </w:p>
    <w:p w14:paraId="56B81FD5">
      <w:pPr>
        <w:spacing w:line="360" w:lineRule="auto"/>
        <w:ind w:firstLine="424" w:firstLineChars="202"/>
        <w:rPr>
          <w:rFonts w:eastAsiaTheme="minorEastAsia"/>
          <w:bCs/>
          <w:color w:val="auto"/>
          <w:szCs w:val="21"/>
        </w:rPr>
      </w:pPr>
      <w:r>
        <w:rPr>
          <w:rFonts w:eastAsiaTheme="minorEastAsia"/>
          <w:bCs/>
          <w:color w:val="auto"/>
          <w:szCs w:val="21"/>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70AA0AFD">
      <w:pPr>
        <w:spacing w:line="360" w:lineRule="auto"/>
        <w:ind w:firstLine="424" w:firstLineChars="202"/>
        <w:rPr>
          <w:rFonts w:eastAsiaTheme="minorEastAsia"/>
          <w:bCs/>
          <w:color w:val="auto"/>
          <w:szCs w:val="21"/>
        </w:rPr>
      </w:pPr>
      <w:r>
        <w:rPr>
          <w:rFonts w:ascii="Cambria Math" w:hAnsi="Cambria Math" w:cs="Cambria Math" w:eastAsiaTheme="minorEastAsia"/>
          <w:bCs/>
          <w:color w:val="auto"/>
          <w:szCs w:val="21"/>
        </w:rPr>
        <w:t>②</w:t>
      </w:r>
      <w:r>
        <w:rPr>
          <w:rFonts w:eastAsiaTheme="minorEastAsia"/>
          <w:bCs/>
          <w:color w:val="auto"/>
          <w:szCs w:val="21"/>
        </w:rPr>
        <w:t>潜在供应商访问“苏采云”系统的网络地址和方法：“苏采云”系统的网址：http：//jszfcg.jsczt.cn/。</w:t>
      </w:r>
    </w:p>
    <w:p w14:paraId="4674793B">
      <w:pPr>
        <w:spacing w:line="360" w:lineRule="auto"/>
        <w:ind w:firstLine="424" w:firstLineChars="202"/>
        <w:rPr>
          <w:rFonts w:eastAsiaTheme="minorEastAsia"/>
          <w:bCs/>
          <w:color w:val="auto"/>
          <w:szCs w:val="21"/>
        </w:rPr>
      </w:pPr>
      <w:r>
        <w:rPr>
          <w:rFonts w:ascii="Cambria Math" w:hAnsi="Cambria Math" w:cs="Cambria Math" w:eastAsiaTheme="minorEastAsia"/>
          <w:bCs/>
          <w:color w:val="auto"/>
          <w:szCs w:val="21"/>
        </w:rPr>
        <w:t>③</w:t>
      </w:r>
      <w:r>
        <w:rPr>
          <w:rFonts w:eastAsiaTheme="minorEastAsia"/>
          <w:bCs/>
          <w:color w:val="auto"/>
          <w:szCs w:val="21"/>
        </w:rPr>
        <w:t>“CA数字证书”的获取：</w:t>
      </w:r>
    </w:p>
    <w:p w14:paraId="7D5BA6DE">
      <w:pPr>
        <w:spacing w:line="360" w:lineRule="auto"/>
        <w:ind w:firstLine="424" w:firstLineChars="202"/>
        <w:rPr>
          <w:rFonts w:eastAsiaTheme="minorEastAsia"/>
          <w:bCs/>
          <w:color w:val="auto"/>
          <w:szCs w:val="21"/>
        </w:rPr>
      </w:pPr>
      <w:r>
        <w:rPr>
          <w:rFonts w:eastAsiaTheme="minorEastAsia"/>
          <w:bCs/>
          <w:color w:val="auto"/>
          <w:szCs w:val="21"/>
        </w:rPr>
        <w:t>响应供应商需办理“CA 数字证书”，CA办理指南及“苏采云”操作手册可至江苏省政府采购网―办事指南-资料下载中心下载。</w:t>
      </w:r>
    </w:p>
    <w:p w14:paraId="401D9C11">
      <w:pPr>
        <w:spacing w:line="360" w:lineRule="auto"/>
        <w:ind w:firstLine="424" w:firstLineChars="202"/>
        <w:rPr>
          <w:rFonts w:eastAsiaTheme="minorEastAsia"/>
          <w:bCs/>
          <w:color w:val="auto"/>
          <w:szCs w:val="21"/>
        </w:rPr>
      </w:pPr>
      <w:r>
        <w:rPr>
          <w:rFonts w:eastAsiaTheme="minorEastAsia"/>
          <w:bCs/>
          <w:color w:val="auto"/>
          <w:szCs w:val="21"/>
        </w:rPr>
        <w:t>通过苏采云系统首页（http：//jszfcg.jscz.gov.cn/）的“苏采云控件驱动下载”，选择“政务CA、方正签章控件驱动安装包及安装说明”下载安装，具体安装方法详见下载文件内的《安装说明》。</w:t>
      </w:r>
    </w:p>
    <w:p w14:paraId="4AF9171C">
      <w:pPr>
        <w:spacing w:line="360" w:lineRule="auto"/>
        <w:ind w:firstLine="424" w:firstLineChars="202"/>
        <w:rPr>
          <w:rFonts w:eastAsiaTheme="minorEastAsia"/>
          <w:bCs/>
          <w:color w:val="auto"/>
          <w:szCs w:val="21"/>
        </w:rPr>
      </w:pPr>
      <w:r>
        <w:rPr>
          <w:rFonts w:ascii="Cambria Math" w:hAnsi="Cambria Math" w:cs="Cambria Math" w:eastAsiaTheme="minorEastAsia"/>
          <w:bCs/>
          <w:color w:val="auto"/>
          <w:szCs w:val="21"/>
        </w:rPr>
        <w:t>④</w:t>
      </w:r>
      <w:r>
        <w:rPr>
          <w:rFonts w:eastAsiaTheme="minorEastAsia"/>
          <w:bCs/>
          <w:color w:val="auto"/>
          <w:szCs w:val="21"/>
        </w:rPr>
        <w:t>采购文件（后缀名为“.kedt”）、供应商操作手册及政府采购客户端工具可通过“苏采云”系统--已报名项目--报名详情页面内相应链接进行下载。</w:t>
      </w:r>
    </w:p>
    <w:p w14:paraId="50F86C55">
      <w:pPr>
        <w:spacing w:line="360" w:lineRule="auto"/>
        <w:ind w:firstLine="424" w:firstLineChars="202"/>
        <w:rPr>
          <w:rFonts w:eastAsiaTheme="minorEastAsia"/>
          <w:bCs/>
          <w:color w:val="auto"/>
          <w:szCs w:val="21"/>
        </w:rPr>
      </w:pPr>
      <w:r>
        <w:rPr>
          <w:rFonts w:ascii="Cambria Math" w:hAnsi="Cambria Math" w:cs="Cambria Math" w:eastAsiaTheme="minorEastAsia"/>
          <w:bCs/>
          <w:color w:val="auto"/>
          <w:szCs w:val="21"/>
        </w:rPr>
        <w:t>⑤</w:t>
      </w:r>
      <w:r>
        <w:rPr>
          <w:rFonts w:eastAsiaTheme="minorEastAsia"/>
          <w:bCs/>
          <w:color w:val="auto"/>
          <w:szCs w:val="21"/>
        </w:rPr>
        <w:t>采购人或采购代理机构将数据电文形式的采购文件加载至“苏采云”系统，供潜在供应商下载或者查阅。</w:t>
      </w:r>
    </w:p>
    <w:p w14:paraId="6560C694">
      <w:pPr>
        <w:spacing w:line="360" w:lineRule="auto"/>
        <w:ind w:firstLine="424" w:firstLineChars="202"/>
        <w:rPr>
          <w:rFonts w:eastAsiaTheme="minorEastAsia"/>
          <w:bCs/>
          <w:color w:val="auto"/>
          <w:szCs w:val="21"/>
        </w:rPr>
      </w:pPr>
      <w:r>
        <w:rPr>
          <w:rFonts w:ascii="Cambria Math" w:hAnsi="Cambria Math" w:cs="Cambria Math" w:eastAsiaTheme="minorEastAsia"/>
          <w:bCs/>
          <w:color w:val="auto"/>
          <w:szCs w:val="21"/>
        </w:rPr>
        <w:t>⑥</w:t>
      </w:r>
      <w:r>
        <w:rPr>
          <w:rFonts w:eastAsiaTheme="minorEastAsia"/>
          <w:bCs/>
          <w:color w:val="auto"/>
          <w:szCs w:val="21"/>
        </w:rPr>
        <w:t>请潜在供应商提前安装相应的控件（详见《江苏省政府采购管理交易系统（苏采云）供应商操作手册》）并使用谷歌浏览器登录“苏采云”系统参与不见面开评标。</w:t>
      </w:r>
    </w:p>
    <w:p w14:paraId="4CAF0377">
      <w:pPr>
        <w:spacing w:line="360" w:lineRule="auto"/>
        <w:ind w:firstLine="424" w:firstLineChars="202"/>
        <w:rPr>
          <w:rFonts w:eastAsiaTheme="minorEastAsia"/>
          <w:bCs/>
          <w:color w:val="auto"/>
          <w:szCs w:val="21"/>
        </w:rPr>
      </w:pPr>
      <w:r>
        <w:rPr>
          <w:rFonts w:eastAsiaTheme="minorEastAsia"/>
          <w:bCs/>
          <w:color w:val="auto"/>
          <w:szCs w:val="21"/>
        </w:rPr>
        <w:t>注：如潜在供应商未按上述要求操作，将自行承担所产生的风险。</w:t>
      </w:r>
    </w:p>
    <w:p w14:paraId="7124D50D">
      <w:pPr>
        <w:widowControl/>
        <w:shd w:val="clear" w:color="auto" w:fill="FFFFFF" w:themeFill="background1"/>
        <w:spacing w:line="360" w:lineRule="auto"/>
        <w:rPr>
          <w:rFonts w:eastAsiaTheme="minorEastAsia"/>
          <w:b/>
          <w:color w:val="auto"/>
          <w:spacing w:val="8"/>
          <w:kern w:val="0"/>
          <w:sz w:val="24"/>
        </w:rPr>
      </w:pPr>
      <w:r>
        <w:rPr>
          <w:rFonts w:eastAsiaTheme="minorEastAsia"/>
          <w:b/>
          <w:color w:val="auto"/>
          <w:spacing w:val="8"/>
          <w:kern w:val="0"/>
          <w:sz w:val="24"/>
        </w:rPr>
        <w:t>七、对本次招标提出询问，请按以下方式联系</w:t>
      </w:r>
    </w:p>
    <w:bookmarkEnd w:id="5"/>
    <w:bookmarkEnd w:id="6"/>
    <w:bookmarkEnd w:id="7"/>
    <w:bookmarkEnd w:id="8"/>
    <w:bookmarkEnd w:id="10"/>
    <w:bookmarkEnd w:id="11"/>
    <w:bookmarkEnd w:id="12"/>
    <w:p w14:paraId="2D0E5859">
      <w:pPr>
        <w:spacing w:line="360" w:lineRule="auto"/>
        <w:ind w:firstLine="424" w:firstLineChars="202"/>
        <w:rPr>
          <w:rFonts w:eastAsiaTheme="minorEastAsia"/>
          <w:bCs/>
          <w:color w:val="auto"/>
          <w:szCs w:val="21"/>
          <w:lang w:val="zh-CN"/>
        </w:rPr>
      </w:pPr>
      <w:r>
        <w:rPr>
          <w:rFonts w:eastAsiaTheme="minorEastAsia"/>
          <w:bCs/>
          <w:color w:val="auto"/>
          <w:szCs w:val="21"/>
          <w:lang w:val="zh-CN"/>
        </w:rPr>
        <w:t>7.1采购人信息</w:t>
      </w:r>
    </w:p>
    <w:p w14:paraId="1A60154B">
      <w:pPr>
        <w:spacing w:line="360" w:lineRule="auto"/>
        <w:ind w:firstLine="424" w:firstLineChars="202"/>
        <w:rPr>
          <w:rFonts w:eastAsiaTheme="minorEastAsia"/>
          <w:bCs/>
          <w:color w:val="auto"/>
          <w:szCs w:val="21"/>
          <w:lang w:val="zh-CN"/>
        </w:rPr>
      </w:pPr>
      <w:r>
        <w:rPr>
          <w:rFonts w:eastAsiaTheme="minorEastAsia"/>
          <w:bCs/>
          <w:color w:val="auto"/>
          <w:szCs w:val="21"/>
          <w:lang w:val="zh-CN"/>
        </w:rPr>
        <w:t>名 称：江苏省人民医院</w:t>
      </w:r>
    </w:p>
    <w:p w14:paraId="731D923E">
      <w:pPr>
        <w:spacing w:line="360" w:lineRule="auto"/>
        <w:ind w:firstLine="424" w:firstLineChars="202"/>
        <w:rPr>
          <w:rFonts w:eastAsiaTheme="minorEastAsia"/>
          <w:bCs/>
          <w:color w:val="auto"/>
          <w:szCs w:val="21"/>
          <w:lang w:val="zh-CN"/>
        </w:rPr>
      </w:pPr>
      <w:r>
        <w:rPr>
          <w:rFonts w:eastAsiaTheme="minorEastAsia"/>
          <w:bCs/>
          <w:color w:val="auto"/>
          <w:szCs w:val="21"/>
          <w:lang w:val="zh-CN"/>
        </w:rPr>
        <w:t>地址：南京市鼓楼区广州路300号</w:t>
      </w:r>
    </w:p>
    <w:p w14:paraId="508056F9">
      <w:pPr>
        <w:spacing w:line="360" w:lineRule="auto"/>
        <w:ind w:firstLine="424" w:firstLineChars="202"/>
        <w:rPr>
          <w:rFonts w:eastAsiaTheme="minorEastAsia"/>
          <w:bCs/>
          <w:color w:val="auto"/>
          <w:szCs w:val="21"/>
        </w:rPr>
      </w:pPr>
      <w:r>
        <w:rPr>
          <w:rFonts w:eastAsiaTheme="minorEastAsia"/>
          <w:bCs/>
          <w:color w:val="auto"/>
          <w:szCs w:val="21"/>
          <w:lang w:val="zh-CN"/>
        </w:rPr>
        <w:t>联系</w:t>
      </w:r>
      <w:r>
        <w:rPr>
          <w:rFonts w:eastAsiaTheme="minorEastAsia"/>
          <w:bCs/>
          <w:color w:val="auto"/>
          <w:szCs w:val="21"/>
        </w:rPr>
        <w:t>人</w:t>
      </w:r>
      <w:r>
        <w:rPr>
          <w:rFonts w:eastAsiaTheme="minorEastAsia"/>
          <w:bCs/>
          <w:color w:val="auto"/>
          <w:szCs w:val="21"/>
          <w:lang w:val="zh-CN"/>
        </w:rPr>
        <w:t>：严鹏华</w:t>
      </w:r>
      <w:r>
        <w:rPr>
          <w:rFonts w:eastAsiaTheme="minorEastAsia"/>
          <w:bCs/>
          <w:color w:val="auto"/>
          <w:szCs w:val="21"/>
        </w:rPr>
        <w:t xml:space="preserve"> </w:t>
      </w:r>
    </w:p>
    <w:p w14:paraId="6695716F">
      <w:pPr>
        <w:spacing w:line="360" w:lineRule="auto"/>
        <w:ind w:firstLine="424" w:firstLineChars="202"/>
        <w:rPr>
          <w:rFonts w:eastAsiaTheme="minorEastAsia"/>
          <w:bCs/>
          <w:color w:val="auto"/>
          <w:szCs w:val="21"/>
        </w:rPr>
      </w:pPr>
      <w:r>
        <w:rPr>
          <w:rFonts w:eastAsiaTheme="minorEastAsia"/>
          <w:bCs/>
          <w:color w:val="auto"/>
          <w:szCs w:val="21"/>
        </w:rPr>
        <w:t xml:space="preserve">电话：025-68308854    </w:t>
      </w:r>
    </w:p>
    <w:p w14:paraId="0E2DAD82">
      <w:pPr>
        <w:spacing w:line="360" w:lineRule="auto"/>
        <w:ind w:firstLine="424" w:firstLineChars="202"/>
        <w:rPr>
          <w:rFonts w:eastAsiaTheme="minorEastAsia"/>
          <w:bCs/>
          <w:color w:val="auto"/>
          <w:szCs w:val="21"/>
          <w:lang w:val="zh-CN"/>
        </w:rPr>
      </w:pPr>
      <w:r>
        <w:rPr>
          <w:rFonts w:eastAsiaTheme="minorEastAsia"/>
          <w:bCs/>
          <w:color w:val="auto"/>
          <w:szCs w:val="21"/>
          <w:lang w:val="zh-CN"/>
        </w:rPr>
        <w:t>7.2采购代理机构信息</w:t>
      </w:r>
    </w:p>
    <w:p w14:paraId="09660336">
      <w:pPr>
        <w:spacing w:line="360" w:lineRule="auto"/>
        <w:ind w:firstLine="424" w:firstLineChars="202"/>
        <w:rPr>
          <w:rFonts w:eastAsiaTheme="minorEastAsia"/>
          <w:bCs/>
          <w:color w:val="auto"/>
          <w:szCs w:val="21"/>
          <w:lang w:val="zh-CN"/>
        </w:rPr>
      </w:pPr>
      <w:r>
        <w:rPr>
          <w:rFonts w:eastAsiaTheme="minorEastAsia"/>
          <w:bCs/>
          <w:color w:val="auto"/>
          <w:szCs w:val="21"/>
          <w:lang w:val="zh-CN"/>
        </w:rPr>
        <w:t>名 称：江苏省设备成套股份有限公司</w:t>
      </w:r>
    </w:p>
    <w:p w14:paraId="756BABC2">
      <w:pPr>
        <w:spacing w:line="360" w:lineRule="auto"/>
        <w:ind w:firstLine="424" w:firstLineChars="202"/>
        <w:rPr>
          <w:rFonts w:eastAsiaTheme="minorEastAsia"/>
          <w:bCs/>
          <w:color w:val="auto"/>
          <w:szCs w:val="21"/>
          <w:lang w:val="zh-CN"/>
        </w:rPr>
      </w:pPr>
      <w:r>
        <w:rPr>
          <w:rFonts w:eastAsiaTheme="minorEastAsia"/>
          <w:bCs/>
          <w:color w:val="auto"/>
          <w:szCs w:val="21"/>
          <w:lang w:val="zh-CN"/>
        </w:rPr>
        <w:t>地　址：南京市鼓楼区清江南路18号鼓楼创新广场10楼100</w:t>
      </w:r>
      <w:r>
        <w:rPr>
          <w:rFonts w:eastAsiaTheme="minorEastAsia"/>
          <w:bCs/>
          <w:color w:val="auto"/>
          <w:szCs w:val="21"/>
        </w:rPr>
        <w:t>4</w:t>
      </w:r>
      <w:r>
        <w:rPr>
          <w:rFonts w:eastAsiaTheme="minorEastAsia"/>
          <w:bCs/>
          <w:color w:val="auto"/>
          <w:szCs w:val="21"/>
          <w:lang w:val="zh-CN"/>
        </w:rPr>
        <w:t>室</w:t>
      </w:r>
    </w:p>
    <w:p w14:paraId="3EA935F3">
      <w:pPr>
        <w:spacing w:line="360" w:lineRule="auto"/>
        <w:ind w:firstLine="424" w:firstLineChars="202"/>
        <w:rPr>
          <w:rFonts w:eastAsiaTheme="minorEastAsia"/>
          <w:bCs/>
          <w:color w:val="auto"/>
          <w:szCs w:val="21"/>
        </w:rPr>
      </w:pPr>
      <w:r>
        <w:rPr>
          <w:rFonts w:eastAsiaTheme="minorEastAsia"/>
          <w:bCs/>
          <w:color w:val="auto"/>
          <w:szCs w:val="21"/>
          <w:lang w:val="zh-CN"/>
        </w:rPr>
        <w:t>联系方式：</w:t>
      </w:r>
      <w:r>
        <w:rPr>
          <w:rFonts w:eastAsiaTheme="minorEastAsia"/>
          <w:bCs/>
          <w:color w:val="auto"/>
          <w:szCs w:val="21"/>
        </w:rPr>
        <w:t>汪惠子</w:t>
      </w:r>
      <w:r>
        <w:rPr>
          <w:rFonts w:eastAsiaTheme="minorEastAsia"/>
          <w:bCs/>
          <w:color w:val="auto"/>
          <w:szCs w:val="21"/>
          <w:lang w:val="zh-CN"/>
        </w:rPr>
        <w:t xml:space="preserve"> </w:t>
      </w:r>
      <w:r>
        <w:rPr>
          <w:rFonts w:eastAsiaTheme="minorEastAsia"/>
          <w:bCs/>
          <w:color w:val="auto"/>
          <w:szCs w:val="21"/>
        </w:rPr>
        <w:t>13655172889</w:t>
      </w:r>
    </w:p>
    <w:p w14:paraId="7C878A82">
      <w:pPr>
        <w:spacing w:line="360" w:lineRule="auto"/>
        <w:ind w:firstLine="424" w:firstLineChars="202"/>
        <w:rPr>
          <w:rFonts w:eastAsiaTheme="minorEastAsia"/>
          <w:bCs/>
          <w:color w:val="auto"/>
          <w:szCs w:val="21"/>
          <w:lang w:val="zh-CN"/>
        </w:rPr>
      </w:pPr>
      <w:r>
        <w:rPr>
          <w:rFonts w:eastAsiaTheme="minorEastAsia"/>
          <w:bCs/>
          <w:color w:val="auto"/>
          <w:szCs w:val="21"/>
          <w:lang w:val="zh-CN"/>
        </w:rPr>
        <w:t>7.3项目联系方式</w:t>
      </w:r>
    </w:p>
    <w:p w14:paraId="76D99841">
      <w:pPr>
        <w:spacing w:line="360" w:lineRule="auto"/>
        <w:ind w:firstLine="424" w:firstLineChars="202"/>
        <w:rPr>
          <w:rFonts w:eastAsiaTheme="minorEastAsia"/>
          <w:bCs/>
          <w:color w:val="auto"/>
          <w:szCs w:val="21"/>
          <w:lang w:val="zh-CN"/>
        </w:rPr>
      </w:pPr>
      <w:r>
        <w:rPr>
          <w:rFonts w:eastAsiaTheme="minorEastAsia"/>
          <w:bCs/>
          <w:color w:val="auto"/>
          <w:szCs w:val="21"/>
          <w:lang w:val="zh-CN"/>
        </w:rPr>
        <w:t>项目联系人：</w:t>
      </w:r>
      <w:r>
        <w:rPr>
          <w:rFonts w:eastAsiaTheme="minorEastAsia"/>
          <w:bCs/>
          <w:color w:val="auto"/>
          <w:szCs w:val="21"/>
        </w:rPr>
        <w:t>汪惠子</w:t>
      </w:r>
    </w:p>
    <w:p w14:paraId="14B2FFB6">
      <w:pPr>
        <w:spacing w:line="360" w:lineRule="auto"/>
        <w:ind w:firstLine="424" w:firstLineChars="202"/>
        <w:rPr>
          <w:rFonts w:eastAsiaTheme="minorEastAsia"/>
          <w:bCs/>
          <w:color w:val="auto"/>
          <w:szCs w:val="21"/>
        </w:rPr>
      </w:pPr>
      <w:r>
        <w:rPr>
          <w:rFonts w:eastAsiaTheme="minorEastAsia"/>
          <w:bCs/>
          <w:color w:val="auto"/>
          <w:szCs w:val="21"/>
          <w:lang w:val="zh-CN"/>
        </w:rPr>
        <w:t xml:space="preserve">电　话： </w:t>
      </w:r>
      <w:r>
        <w:rPr>
          <w:rFonts w:eastAsiaTheme="minorEastAsia"/>
          <w:bCs/>
          <w:color w:val="auto"/>
          <w:szCs w:val="21"/>
        </w:rPr>
        <w:t>13655172889</w:t>
      </w:r>
    </w:p>
    <w:p w14:paraId="3208939A">
      <w:pPr>
        <w:spacing w:line="360" w:lineRule="auto"/>
        <w:ind w:firstLine="424" w:firstLineChars="202"/>
        <w:rPr>
          <w:rFonts w:eastAsiaTheme="minorEastAsia"/>
          <w:color w:val="auto"/>
          <w:szCs w:val="21"/>
        </w:rPr>
      </w:pPr>
      <w:r>
        <w:rPr>
          <w:rFonts w:eastAsiaTheme="minorEastAsia"/>
          <w:bCs/>
          <w:color w:val="auto"/>
          <w:szCs w:val="21"/>
        </w:rPr>
        <w:t>邮箱：2277893572@qq.com</w:t>
      </w:r>
      <w:bookmarkEnd w:id="4"/>
      <w:bookmarkEnd w:id="9"/>
      <w:bookmarkEnd w:id="13"/>
      <w:r>
        <w:rPr>
          <w:rFonts w:eastAsiaTheme="minorEastAsia"/>
          <w:color w:val="auto"/>
          <w:szCs w:val="21"/>
        </w:rPr>
        <w:br w:type="page"/>
      </w:r>
    </w:p>
    <w:p w14:paraId="0E13546A">
      <w:pPr>
        <w:pStyle w:val="13"/>
        <w:spacing w:line="360" w:lineRule="auto"/>
        <w:rPr>
          <w:rFonts w:eastAsiaTheme="minorEastAsia"/>
          <w:color w:val="auto"/>
          <w:kern w:val="0"/>
          <w:sz w:val="36"/>
          <w:szCs w:val="36"/>
          <w:shd w:val="clear" w:color="auto" w:fill="FFFFFF"/>
        </w:rPr>
      </w:pPr>
      <w:bookmarkStart w:id="14" w:name="_Toc17613"/>
      <w:bookmarkStart w:id="15" w:name="_Toc452625218"/>
      <w:r>
        <w:rPr>
          <w:rFonts w:eastAsiaTheme="minorEastAsia"/>
          <w:color w:val="auto"/>
          <w:kern w:val="0"/>
          <w:sz w:val="36"/>
          <w:szCs w:val="36"/>
          <w:shd w:val="clear" w:color="auto" w:fill="FFFFFF"/>
        </w:rPr>
        <w:t xml:space="preserve"> 供应商须知</w:t>
      </w:r>
      <w:bookmarkEnd w:id="14"/>
      <w:bookmarkEnd w:id="15"/>
    </w:p>
    <w:p w14:paraId="169A1557">
      <w:pPr>
        <w:widowControl/>
        <w:shd w:val="clear" w:color="auto" w:fill="FFFFFF"/>
        <w:spacing w:line="360" w:lineRule="auto"/>
        <w:ind w:firstLine="424" w:firstLineChars="201"/>
        <w:rPr>
          <w:rFonts w:eastAsiaTheme="minorEastAsia"/>
          <w:color w:val="auto"/>
          <w:kern w:val="0"/>
          <w:szCs w:val="21"/>
        </w:rPr>
      </w:pPr>
      <w:bookmarkStart w:id="16" w:name="_Toc25340"/>
      <w:bookmarkStart w:id="17" w:name="_Toc481057145"/>
      <w:r>
        <w:rPr>
          <w:rFonts w:eastAsiaTheme="minorEastAsia"/>
          <w:b/>
          <w:bCs/>
          <w:color w:val="auto"/>
          <w:kern w:val="0"/>
          <w:szCs w:val="21"/>
        </w:rPr>
        <w:t>一、总 则</w:t>
      </w:r>
    </w:p>
    <w:p w14:paraId="3031723D">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1、适用法律</w:t>
      </w:r>
    </w:p>
    <w:p w14:paraId="73F85A8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19B530F4">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2、定义</w:t>
      </w:r>
    </w:p>
    <w:p w14:paraId="5723C0B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2.1“采购人”是指依法进行政府采购的国家机关、事业单位、团体组织。</w:t>
      </w:r>
    </w:p>
    <w:p w14:paraId="11A49ED9">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2.2“供应商（供应商）”是指参加投标竞争，并符合招标文件规定资格条件的法人、其他组织或者自然人。</w:t>
      </w:r>
    </w:p>
    <w:p w14:paraId="736E9C0F">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2.3“采购代理机构”是指集中采购机构和集中采购机构以外的采购代理机构，集中采购机构以外的采购代理机构，是从事采购代理业务的社会中介机构。</w:t>
      </w:r>
    </w:p>
    <w:p w14:paraId="7565D23F">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2.4“货物和服务”指本招标文件中所述</w:t>
      </w:r>
      <w:r>
        <w:rPr>
          <w:rFonts w:eastAsiaTheme="minorEastAsia"/>
          <w:bCs/>
          <w:color w:val="auto"/>
          <w:kern w:val="0"/>
          <w:szCs w:val="21"/>
        </w:rPr>
        <w:t>产品</w:t>
      </w:r>
      <w:r>
        <w:rPr>
          <w:rFonts w:eastAsiaTheme="minorEastAsia"/>
          <w:color w:val="auto"/>
          <w:kern w:val="0"/>
          <w:szCs w:val="21"/>
        </w:rPr>
        <w:t>及相关服务。</w:t>
      </w:r>
    </w:p>
    <w:p w14:paraId="5E3FC32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2.5“用户或使用单位”是指使用货物，接受服务的单位。</w:t>
      </w:r>
    </w:p>
    <w:p w14:paraId="4F2FA522">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3、政策功能</w:t>
      </w:r>
    </w:p>
    <w:p w14:paraId="71DEF8F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12031AD8">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1C29799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7E2AFE6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p>
    <w:p w14:paraId="526FBAF8">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2364A36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3.6进口产品政策</w:t>
      </w:r>
    </w:p>
    <w:p w14:paraId="66DE2C37">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（1）除采购公告载明接受进口产品参加外，不允许进口产品参加。进口产品认定依照《财政部关于政府采购进口产品管理有关问题的通知》（财办库〔2008〕248号）的规定。</w:t>
      </w:r>
    </w:p>
    <w:p w14:paraId="74532CD8">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（2）允许进口产品参加的，满足需求的国内产品可以参加。</w:t>
      </w:r>
    </w:p>
    <w:p w14:paraId="35EC45C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（3）允许进口产品参加的，优先采购向我国企业转让技术、与我国企业签订消化吸收再创新方案的供应商的进口产品。</w:t>
      </w:r>
    </w:p>
    <w:p w14:paraId="443D4E3D">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3.7本国产品支持政策</w:t>
      </w:r>
    </w:p>
    <w:p w14:paraId="7EEF526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本国产品标准适用于货物，包括政府采购货物项目和服务项目中涉及的货物。政府采购活动涉及本国产品的，供应商应当出具《关于符合本国产品标准的声明函》（格式见第六章），否则不得享受价格评审优惠。本国产品支持政策详见《国务院办公厅关于在政府采购中实施本国产品标准及相关政策的通知》（国办发〔2025〕34号）。</w:t>
      </w:r>
    </w:p>
    <w:p w14:paraId="3E39F86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3.8未按要求提供相关材料的，不享受相关政策。</w:t>
      </w:r>
    </w:p>
    <w:p w14:paraId="50FAD13E">
      <w:pPr>
        <w:widowControl/>
        <w:shd w:val="clear" w:color="auto" w:fill="FFFFFF"/>
        <w:spacing w:line="360" w:lineRule="auto"/>
        <w:ind w:firstLine="412"/>
        <w:rPr>
          <w:rFonts w:eastAsiaTheme="minorEastAsia"/>
          <w:color w:val="auto"/>
          <w:kern w:val="0"/>
          <w:szCs w:val="21"/>
        </w:rPr>
      </w:pPr>
      <w:r>
        <w:rPr>
          <w:rFonts w:eastAsiaTheme="minorEastAsia"/>
          <w:b/>
          <w:bCs/>
          <w:color w:val="auto"/>
          <w:kern w:val="0"/>
          <w:szCs w:val="21"/>
        </w:rPr>
        <w:t>二、招标文件构成</w:t>
      </w:r>
    </w:p>
    <w:p w14:paraId="413A2B37">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4、招标文件组成</w:t>
      </w:r>
    </w:p>
    <w:p w14:paraId="6F98A1D6">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4.1招标文件包括以下主要内容：采购公告；供应商须知；供应商应当提交的资格、资信证明文件；为落实政府采购政策，采购标的需满足的要求，以及供应商须提供的证明材料；投标文件编制要求、投标报价要求；招标项目预算金额，设定最高限价的，还应当公开最高限价；招标项目的技术规格、数量、服务标准、验收等要求，包括附件、图纸等；拟签订的合同文本；货物、服务提供的时间、地点、方式；采购资金的支付方式、时间、条件；评标方法、评标标准和投标无效情形；投标有效期；投标截止时间、开标时间及地点；采购代理机构代理费用的收取标准和方式；供应商信用信息查询渠道及截止时点、信用信息查询记录和证据留存的具体方式、信用信息的使用规则等。</w:t>
      </w:r>
    </w:p>
    <w:p w14:paraId="4D858C2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4.2招标的最小单位是包。招标货物数量及技术要求中未分包的，供应商对要求提供的货物和服务不得部分投标；招标货物数量及技术要求中已经分包的，可以以包为单位投标。</w:t>
      </w:r>
    </w:p>
    <w:p w14:paraId="175F5086">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4.3采购代理机构如果要求供应商按照招标文件规定提交备选投标方案的，供应商可以提交备选方案；否则，备选方案将被拒绝。</w:t>
      </w:r>
    </w:p>
    <w:p w14:paraId="3EA0E4A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4.4招标文件中要求的产品品牌或型号，是采购人根据项目所要实现的功能推荐的品牌或型号，仅供供应商参考，并不是限制条件。</w:t>
      </w:r>
    </w:p>
    <w:p w14:paraId="3D71529B">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5、招标文件的澄清或者修改</w:t>
      </w:r>
    </w:p>
    <w:p w14:paraId="3F7AE00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67F1063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5.2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p>
    <w:p w14:paraId="24895DFA">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三、投标文件的编制</w:t>
      </w:r>
    </w:p>
    <w:p w14:paraId="44E71769">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6、投标文件的语言、计量单位、货币和编制</w:t>
      </w:r>
    </w:p>
    <w:p w14:paraId="7079FDF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6.1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p>
    <w:p w14:paraId="13100ED9">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6.2供应商所使用的计量单位应为国家法定计量单位。</w:t>
      </w:r>
    </w:p>
    <w:p w14:paraId="6A165DE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6.3供应商应用人民币报价。投标产品如果是进口产品的，应提供人民币与</w:t>
      </w:r>
      <w:r>
        <w:rPr>
          <w:rFonts w:eastAsiaTheme="minorEastAsia"/>
          <w:b/>
          <w:bCs/>
          <w:color w:val="auto"/>
          <w:kern w:val="0"/>
          <w:szCs w:val="21"/>
        </w:rPr>
        <w:t>外币之间的汇率。</w:t>
      </w:r>
    </w:p>
    <w:p w14:paraId="771CE378">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6.4供应商应在投标文件中写清相应的项目编号、项目名称、供应商全称、地址、电话、传真等。</w:t>
      </w:r>
    </w:p>
    <w:p w14:paraId="2A4F6529">
      <w:pPr>
        <w:widowControl/>
        <w:shd w:val="clear" w:color="auto" w:fill="FFFFFF"/>
        <w:spacing w:line="360" w:lineRule="auto"/>
        <w:ind w:firstLine="412"/>
        <w:rPr>
          <w:rFonts w:eastAsiaTheme="minorEastAsia"/>
          <w:color w:val="auto"/>
          <w:kern w:val="0"/>
          <w:szCs w:val="21"/>
        </w:rPr>
      </w:pPr>
      <w:r>
        <w:rPr>
          <w:rFonts w:eastAsiaTheme="minorEastAsia"/>
          <w:bCs/>
          <w:color w:val="auto"/>
          <w:kern w:val="0"/>
          <w:szCs w:val="21"/>
        </w:rPr>
        <w:t>6.5</w:t>
      </w:r>
      <w:r>
        <w:rPr>
          <w:rFonts w:eastAsiaTheme="minorEastAsia"/>
          <w:color w:val="auto"/>
          <w:kern w:val="0"/>
          <w:szCs w:val="21"/>
        </w:rPr>
        <w:t>供应商根据招标文件载明的标的采购项目实际情况，拟在中标后将中标项目的非主体、非关键性工作交由他人完成的，应当在投标文件中载明。</w:t>
      </w:r>
    </w:p>
    <w:p w14:paraId="42E8A565">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7、联合体投标</w:t>
      </w:r>
    </w:p>
    <w:p w14:paraId="721DE2D0">
      <w:pPr>
        <w:widowControl/>
        <w:shd w:val="clear" w:color="auto" w:fill="FFFFFF"/>
        <w:spacing w:line="360" w:lineRule="auto"/>
        <w:ind w:firstLine="420"/>
        <w:rPr>
          <w:rFonts w:eastAsiaTheme="minorEastAsia"/>
          <w:bCs/>
          <w:color w:val="auto"/>
          <w:kern w:val="0"/>
          <w:szCs w:val="21"/>
        </w:rPr>
      </w:pPr>
      <w:r>
        <w:rPr>
          <w:rFonts w:eastAsiaTheme="minorEastAsia"/>
          <w:bCs/>
          <w:color w:val="auto"/>
          <w:kern w:val="0"/>
          <w:szCs w:val="21"/>
        </w:rPr>
        <w:t>7.1 两个以上的自然人、法人或者其他组织可以组成一个联合体，以一个供应商的身份共同参加政府采购。</w:t>
      </w:r>
    </w:p>
    <w:p w14:paraId="7F933E91">
      <w:pPr>
        <w:widowControl/>
        <w:shd w:val="clear" w:color="auto" w:fill="FFFFFF"/>
        <w:spacing w:line="360" w:lineRule="auto"/>
        <w:ind w:firstLine="420"/>
        <w:rPr>
          <w:rFonts w:eastAsiaTheme="minorEastAsia"/>
          <w:bCs/>
          <w:color w:val="auto"/>
          <w:kern w:val="0"/>
          <w:szCs w:val="21"/>
        </w:rPr>
      </w:pPr>
      <w:r>
        <w:rPr>
          <w:rFonts w:eastAsiaTheme="minorEastAsia"/>
          <w:bCs/>
          <w:color w:val="auto"/>
          <w:kern w:val="0"/>
          <w:szCs w:val="21"/>
        </w:rPr>
        <w:t>7.2 联合体中有同类资质的供应商按照联合体分工承担相同工作的，按照资质等级较低的供应商确定资质等级。</w:t>
      </w:r>
    </w:p>
    <w:p w14:paraId="4ED44E5D">
      <w:pPr>
        <w:widowControl/>
        <w:shd w:val="clear" w:color="auto" w:fill="FFFFFF"/>
        <w:spacing w:line="360" w:lineRule="auto"/>
        <w:ind w:firstLine="420"/>
        <w:rPr>
          <w:rFonts w:eastAsiaTheme="minorEastAsia"/>
          <w:bCs/>
          <w:color w:val="auto"/>
          <w:kern w:val="0"/>
          <w:szCs w:val="21"/>
        </w:rPr>
      </w:pPr>
      <w:r>
        <w:rPr>
          <w:rFonts w:eastAsiaTheme="minorEastAsia"/>
          <w:bCs/>
          <w:color w:val="auto"/>
          <w:kern w:val="0"/>
          <w:szCs w:val="21"/>
        </w:rPr>
        <w:t>7.3 联合体各方之间应当签订联合体协议，明确约定联合体各方承担的工作和相应的责任，并将联合体协议连同投标文件一同提交。</w:t>
      </w:r>
    </w:p>
    <w:p w14:paraId="41CF3235">
      <w:pPr>
        <w:widowControl/>
        <w:shd w:val="clear" w:color="auto" w:fill="FFFFFF"/>
        <w:spacing w:line="360" w:lineRule="auto"/>
        <w:ind w:firstLine="412"/>
        <w:rPr>
          <w:rFonts w:eastAsiaTheme="minorEastAsia"/>
          <w:color w:val="auto"/>
          <w:kern w:val="0"/>
          <w:szCs w:val="21"/>
        </w:rPr>
      </w:pPr>
      <w:r>
        <w:rPr>
          <w:rFonts w:eastAsiaTheme="minorEastAsia"/>
          <w:bCs/>
          <w:color w:val="auto"/>
          <w:kern w:val="0"/>
          <w:szCs w:val="21"/>
        </w:rPr>
        <w:t>7.4 以联合体形式参加政府采购活动的，联合体各方不得再单独参加或者与其他供应商另外组成联合体参加同一合同项下的政府采购活动。</w:t>
      </w:r>
    </w:p>
    <w:p w14:paraId="44C5EEB9">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8、投标文件的组成</w:t>
      </w:r>
    </w:p>
    <w:p w14:paraId="78641661">
      <w:pPr>
        <w:widowControl/>
        <w:shd w:val="clear" w:color="auto" w:fill="FFFFFF"/>
        <w:spacing w:line="360" w:lineRule="auto"/>
        <w:ind w:firstLine="420"/>
        <w:jc w:val="left"/>
        <w:rPr>
          <w:rFonts w:eastAsiaTheme="minorEastAsia"/>
          <w:b/>
          <w:color w:val="auto"/>
          <w:kern w:val="0"/>
          <w:szCs w:val="21"/>
        </w:rPr>
      </w:pPr>
      <w:r>
        <w:rPr>
          <w:rFonts w:eastAsiaTheme="minorEastAsia"/>
          <w:color w:val="auto"/>
          <w:kern w:val="0"/>
          <w:szCs w:val="21"/>
        </w:rPr>
        <w:t>8.1供应商应当根据招标文件要求编制投标文件，投标文件应对招标文件提出的要求和条件作出实质性响应，并在《商务条款偏离表》和《技术条款偏离表》等处逐条标明满足与否。</w:t>
      </w:r>
    </w:p>
    <w:p w14:paraId="32BB8C03">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8.2 投标文件由商务、技术、价格以及其他部分内容组成。投标文件目录及有关格式按招标文件“第六章 投标文件格式及附件”的要求编制。</w:t>
      </w:r>
    </w:p>
    <w:p w14:paraId="5FF723D5">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9、投标文件的商务内容</w:t>
      </w:r>
    </w:p>
    <w:p w14:paraId="27268CE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9.1商务部分内容是证明供应商有资格参加投标和中标后有能力履行合同的文件，这些文件应能满足招标的要求，包括但不限于下列文件（</w:t>
      </w:r>
      <w:r>
        <w:rPr>
          <w:rFonts w:eastAsiaTheme="minorEastAsia"/>
          <w:b/>
          <w:color w:val="auto"/>
          <w:kern w:val="0"/>
          <w:szCs w:val="21"/>
        </w:rPr>
        <w:t>（1）-（4）所述材料不得有缺失或提供不全或不满足招标文件的实质性要求</w:t>
      </w:r>
      <w:r>
        <w:rPr>
          <w:rFonts w:eastAsiaTheme="minorEastAsia"/>
          <w:color w:val="auto"/>
          <w:kern w:val="0"/>
          <w:szCs w:val="21"/>
        </w:rPr>
        <w:t>）：</w:t>
      </w:r>
    </w:p>
    <w:p w14:paraId="0CF9452E">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（1）投标函（投标申请及声明）</w:t>
      </w:r>
      <w:r>
        <w:rPr>
          <w:rFonts w:eastAsiaTheme="minorEastAsia"/>
          <w:bCs/>
          <w:color w:val="auto"/>
          <w:szCs w:val="21"/>
        </w:rPr>
        <w:t>（</w:t>
      </w:r>
      <w:r>
        <w:rPr>
          <w:rFonts w:eastAsiaTheme="minorEastAsia"/>
          <w:b/>
          <w:bCs/>
          <w:color w:val="auto"/>
          <w:szCs w:val="21"/>
        </w:rPr>
        <w:t>格式见第六章</w:t>
      </w:r>
      <w:r>
        <w:rPr>
          <w:rFonts w:eastAsiaTheme="minorEastAsia"/>
          <w:bCs/>
          <w:color w:val="auto"/>
          <w:szCs w:val="21"/>
        </w:rPr>
        <w:t>）</w:t>
      </w:r>
      <w:r>
        <w:rPr>
          <w:rFonts w:eastAsiaTheme="minorEastAsia"/>
          <w:color w:val="auto"/>
          <w:kern w:val="0"/>
          <w:szCs w:val="21"/>
        </w:rPr>
        <w:t>；</w:t>
      </w:r>
    </w:p>
    <w:p w14:paraId="51DFAA76">
      <w:pPr>
        <w:widowControl/>
        <w:shd w:val="clear" w:color="auto" w:fill="FFFFFF"/>
        <w:spacing w:line="360" w:lineRule="auto"/>
        <w:ind w:firstLine="420" w:firstLineChars="200"/>
        <w:jc w:val="left"/>
        <w:rPr>
          <w:rFonts w:eastAsiaTheme="minorEastAsia"/>
          <w:color w:val="auto"/>
          <w:kern w:val="0"/>
          <w:szCs w:val="21"/>
        </w:rPr>
      </w:pPr>
      <w:r>
        <w:rPr>
          <w:rFonts w:eastAsiaTheme="minorEastAsia"/>
          <w:color w:val="auto"/>
          <w:kern w:val="0"/>
          <w:szCs w:val="21"/>
        </w:rPr>
        <w:t>（2）法定代表人授权书及委托代理人的身份证明文件的复印件</w:t>
      </w:r>
      <w:r>
        <w:rPr>
          <w:rFonts w:eastAsiaTheme="minorEastAsia"/>
          <w:bCs/>
          <w:color w:val="auto"/>
          <w:szCs w:val="21"/>
        </w:rPr>
        <w:t>（</w:t>
      </w:r>
      <w:r>
        <w:rPr>
          <w:rFonts w:eastAsiaTheme="minorEastAsia"/>
          <w:b/>
          <w:bCs/>
          <w:color w:val="auto"/>
          <w:szCs w:val="21"/>
        </w:rPr>
        <w:t>格式见第六章</w:t>
      </w:r>
      <w:r>
        <w:rPr>
          <w:rFonts w:eastAsiaTheme="minorEastAsia"/>
          <w:bCs/>
          <w:color w:val="auto"/>
          <w:szCs w:val="21"/>
        </w:rPr>
        <w:t>）</w:t>
      </w:r>
      <w:r>
        <w:rPr>
          <w:rFonts w:eastAsiaTheme="minorEastAsia"/>
          <w:color w:val="auto"/>
          <w:kern w:val="0"/>
          <w:szCs w:val="21"/>
        </w:rPr>
        <w:t>；</w:t>
      </w:r>
    </w:p>
    <w:p w14:paraId="0C9B45EA">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（3）供应商资格资信证明文件：</w:t>
      </w:r>
    </w:p>
    <w:p w14:paraId="3BD5DBB4">
      <w:pPr>
        <w:pStyle w:val="159"/>
        <w:numPr>
          <w:ilvl w:val="1"/>
          <w:numId w:val="6"/>
        </w:numPr>
        <w:tabs>
          <w:tab w:val="left" w:pos="840"/>
          <w:tab w:val="clear" w:pos="990"/>
        </w:tabs>
        <w:spacing w:line="360" w:lineRule="auto"/>
        <w:ind w:left="0" w:firstLine="367" w:firstLineChars="175"/>
        <w:rPr>
          <w:rFonts w:eastAsiaTheme="minorEastAsia"/>
          <w:bCs/>
          <w:color w:val="auto"/>
          <w:szCs w:val="21"/>
        </w:rPr>
      </w:pPr>
      <w:r>
        <w:rPr>
          <w:rFonts w:eastAsiaTheme="minorEastAsia"/>
          <w:bCs/>
          <w:color w:val="auto"/>
          <w:szCs w:val="21"/>
        </w:rPr>
        <w:t>第一章采购公告中 2.1《中华人民共和国政府采购法》规定的资格条件证明文件；</w:t>
      </w:r>
    </w:p>
    <w:p w14:paraId="165A5CFD">
      <w:pPr>
        <w:pStyle w:val="159"/>
        <w:numPr>
          <w:ilvl w:val="1"/>
          <w:numId w:val="6"/>
        </w:numPr>
        <w:tabs>
          <w:tab w:val="left" w:pos="840"/>
          <w:tab w:val="clear" w:pos="990"/>
        </w:tabs>
        <w:spacing w:line="360" w:lineRule="auto"/>
        <w:ind w:left="0" w:firstLine="367" w:firstLineChars="175"/>
        <w:rPr>
          <w:rFonts w:eastAsiaTheme="minorEastAsia"/>
          <w:bCs/>
          <w:color w:val="auto"/>
          <w:szCs w:val="21"/>
        </w:rPr>
      </w:pPr>
      <w:r>
        <w:rPr>
          <w:rFonts w:eastAsiaTheme="minorEastAsia"/>
          <w:bCs/>
          <w:color w:val="auto"/>
          <w:szCs w:val="21"/>
        </w:rPr>
        <w:t>第一章采购公告中 2.2</w:t>
      </w:r>
      <w:r>
        <w:rPr>
          <w:rFonts w:eastAsiaTheme="minorEastAsia"/>
          <w:color w:val="auto"/>
          <w:spacing w:val="8"/>
          <w:kern w:val="0"/>
          <w:szCs w:val="21"/>
        </w:rPr>
        <w:t>落实政府采购政策需满足的资格要求；</w:t>
      </w:r>
    </w:p>
    <w:p w14:paraId="23AE0C29">
      <w:pPr>
        <w:pStyle w:val="159"/>
        <w:numPr>
          <w:ilvl w:val="1"/>
          <w:numId w:val="6"/>
        </w:numPr>
        <w:tabs>
          <w:tab w:val="left" w:pos="840"/>
          <w:tab w:val="clear" w:pos="990"/>
        </w:tabs>
        <w:spacing w:line="360" w:lineRule="auto"/>
        <w:ind w:left="0" w:firstLine="367" w:firstLineChars="175"/>
        <w:rPr>
          <w:rFonts w:eastAsiaTheme="minorEastAsia"/>
          <w:bCs/>
          <w:color w:val="auto"/>
          <w:szCs w:val="21"/>
        </w:rPr>
      </w:pPr>
      <w:r>
        <w:rPr>
          <w:rFonts w:eastAsiaTheme="minorEastAsia"/>
          <w:bCs/>
          <w:color w:val="auto"/>
          <w:szCs w:val="21"/>
        </w:rPr>
        <w:t>第一章采购公告中 2.3 采购人根据采购项目的特殊要求规定的特定条件证明文件。</w:t>
      </w:r>
    </w:p>
    <w:p w14:paraId="671547D9">
      <w:pPr>
        <w:widowControl/>
        <w:shd w:val="clear" w:color="auto" w:fill="FFFFFF"/>
        <w:spacing w:line="360" w:lineRule="auto"/>
        <w:ind w:firstLine="420" w:firstLineChars="200"/>
        <w:jc w:val="left"/>
        <w:rPr>
          <w:rFonts w:eastAsiaTheme="minorEastAsia"/>
          <w:color w:val="auto"/>
          <w:kern w:val="0"/>
          <w:szCs w:val="21"/>
        </w:rPr>
      </w:pPr>
      <w:r>
        <w:rPr>
          <w:rFonts w:eastAsiaTheme="minorEastAsia"/>
          <w:color w:val="auto"/>
          <w:kern w:val="0"/>
          <w:szCs w:val="21"/>
        </w:rPr>
        <w:t>（4）开标一览表及附表</w:t>
      </w:r>
      <w:r>
        <w:rPr>
          <w:rFonts w:eastAsiaTheme="minorEastAsia"/>
          <w:bCs/>
          <w:color w:val="auto"/>
          <w:szCs w:val="21"/>
        </w:rPr>
        <w:t>（</w:t>
      </w:r>
      <w:r>
        <w:rPr>
          <w:rFonts w:eastAsiaTheme="minorEastAsia"/>
          <w:b/>
          <w:bCs/>
          <w:color w:val="auto"/>
          <w:szCs w:val="21"/>
        </w:rPr>
        <w:t>格式见第六章</w:t>
      </w:r>
      <w:r>
        <w:rPr>
          <w:rFonts w:eastAsiaTheme="minorEastAsia"/>
          <w:bCs/>
          <w:color w:val="auto"/>
          <w:szCs w:val="21"/>
        </w:rPr>
        <w:t>）；</w:t>
      </w:r>
    </w:p>
    <w:p w14:paraId="3672508F">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（5）《商务条款偏离表》；</w:t>
      </w:r>
    </w:p>
    <w:p w14:paraId="5A895A09">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（6）第三章评标标准中对应的所需证明材料；</w:t>
      </w:r>
    </w:p>
    <w:p w14:paraId="624FEE2C">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（7）其它。</w:t>
      </w:r>
    </w:p>
    <w:p w14:paraId="2F710532">
      <w:pPr>
        <w:widowControl/>
        <w:shd w:val="clear" w:color="auto" w:fill="FFFFFF"/>
        <w:spacing w:line="360" w:lineRule="auto"/>
        <w:ind w:firstLine="420"/>
        <w:jc w:val="left"/>
        <w:rPr>
          <w:rFonts w:eastAsiaTheme="minorEastAsia"/>
          <w:color w:val="auto"/>
          <w:kern w:val="0"/>
          <w:szCs w:val="21"/>
        </w:rPr>
      </w:pPr>
      <w:r>
        <w:rPr>
          <w:rFonts w:eastAsiaTheme="minorEastAsia"/>
          <w:b/>
          <w:bCs/>
          <w:color w:val="auto"/>
          <w:kern w:val="0"/>
          <w:szCs w:val="21"/>
        </w:rPr>
        <w:t>10、投标文件的技术内容</w:t>
      </w:r>
    </w:p>
    <w:p w14:paraId="1DE128A1">
      <w:pPr>
        <w:widowControl/>
        <w:adjustRightInd w:val="0"/>
        <w:spacing w:line="360" w:lineRule="auto"/>
        <w:ind w:firstLine="420"/>
        <w:jc w:val="left"/>
        <w:rPr>
          <w:rFonts w:eastAsiaTheme="minorEastAsia"/>
          <w:color w:val="auto"/>
          <w:szCs w:val="21"/>
          <w:lang w:val="zh-CN"/>
        </w:rPr>
      </w:pPr>
      <w:r>
        <w:rPr>
          <w:rFonts w:eastAsiaTheme="minorEastAsia"/>
          <w:color w:val="auto"/>
          <w:szCs w:val="21"/>
          <w:lang w:val="zh-CN"/>
        </w:rPr>
        <w:t>技术部分</w:t>
      </w:r>
      <w:r>
        <w:rPr>
          <w:rFonts w:eastAsiaTheme="minorEastAsia"/>
          <w:color w:val="auto"/>
          <w:kern w:val="0"/>
          <w:szCs w:val="21"/>
        </w:rPr>
        <w:t>内容</w:t>
      </w:r>
      <w:r>
        <w:rPr>
          <w:rFonts w:eastAsiaTheme="minorEastAsia"/>
          <w:color w:val="auto"/>
          <w:szCs w:val="21"/>
          <w:lang w:val="zh-CN"/>
        </w:rPr>
        <w:t>是证明</w:t>
      </w:r>
      <w:r>
        <w:rPr>
          <w:rFonts w:eastAsiaTheme="minorEastAsia"/>
          <w:color w:val="auto"/>
          <w:szCs w:val="21"/>
        </w:rPr>
        <w:t>供应商提供的货物和服务是合格的、并符合招标文件要求的证明文件，以及</w:t>
      </w:r>
      <w:r>
        <w:rPr>
          <w:rFonts w:eastAsiaTheme="minorEastAsia"/>
          <w:color w:val="auto"/>
          <w:szCs w:val="21"/>
          <w:lang w:val="zh-CN"/>
        </w:rPr>
        <w:t>对货物和服务的详细说明，这些文件可以是文字资料、图纸、数据</w:t>
      </w:r>
      <w:r>
        <w:rPr>
          <w:rFonts w:eastAsiaTheme="minorEastAsia"/>
          <w:color w:val="auto"/>
          <w:szCs w:val="21"/>
        </w:rPr>
        <w:t>或其他证明文件</w:t>
      </w:r>
      <w:r>
        <w:rPr>
          <w:rFonts w:eastAsiaTheme="minorEastAsia"/>
          <w:color w:val="auto"/>
          <w:szCs w:val="21"/>
          <w:lang w:val="zh-CN"/>
        </w:rPr>
        <w:t>等。提供的货物和服务如与招标文件要求有不符之处，应说明其差别之所在。包括但不限于下列文件：</w:t>
      </w:r>
    </w:p>
    <w:p w14:paraId="61E07DAE">
      <w:pPr>
        <w:widowControl/>
        <w:adjustRightInd w:val="0"/>
        <w:spacing w:line="360" w:lineRule="auto"/>
        <w:ind w:firstLine="420"/>
        <w:jc w:val="left"/>
        <w:rPr>
          <w:rFonts w:eastAsiaTheme="minorEastAsia"/>
          <w:color w:val="auto"/>
          <w:kern w:val="0"/>
          <w:szCs w:val="21"/>
          <w:lang w:val="zh-CN"/>
        </w:rPr>
      </w:pPr>
      <w:r>
        <w:rPr>
          <w:rFonts w:eastAsiaTheme="minorEastAsia"/>
          <w:color w:val="auto"/>
          <w:kern w:val="0"/>
          <w:szCs w:val="21"/>
          <w:lang w:val="zh-CN"/>
        </w:rPr>
        <w:t>（1）技术说明或服务方案；</w:t>
      </w:r>
    </w:p>
    <w:p w14:paraId="7C426A34">
      <w:pPr>
        <w:widowControl/>
        <w:adjustRightInd w:val="0"/>
        <w:spacing w:line="360" w:lineRule="auto"/>
        <w:ind w:firstLine="420"/>
        <w:jc w:val="left"/>
        <w:rPr>
          <w:rFonts w:eastAsiaTheme="minorEastAsia"/>
          <w:color w:val="auto"/>
          <w:kern w:val="0"/>
          <w:szCs w:val="21"/>
          <w:lang w:val="zh-CN"/>
        </w:rPr>
      </w:pPr>
      <w:r>
        <w:rPr>
          <w:rFonts w:eastAsiaTheme="minorEastAsia"/>
          <w:color w:val="auto"/>
          <w:kern w:val="0"/>
          <w:szCs w:val="21"/>
          <w:lang w:val="zh-CN"/>
        </w:rPr>
        <w:t>（2）《技术条款偏离表》；</w:t>
      </w:r>
    </w:p>
    <w:p w14:paraId="1AF13F9C">
      <w:pPr>
        <w:widowControl/>
        <w:adjustRightInd w:val="0"/>
        <w:spacing w:line="360" w:lineRule="auto"/>
        <w:ind w:firstLine="420"/>
        <w:jc w:val="left"/>
        <w:rPr>
          <w:rFonts w:eastAsiaTheme="minorEastAsia"/>
          <w:color w:val="auto"/>
          <w:kern w:val="0"/>
          <w:szCs w:val="21"/>
          <w:lang w:val="zh-CN"/>
        </w:rPr>
      </w:pPr>
      <w:r>
        <w:rPr>
          <w:rFonts w:eastAsiaTheme="minorEastAsia"/>
          <w:color w:val="auto"/>
          <w:kern w:val="0"/>
          <w:szCs w:val="21"/>
          <w:lang w:val="zh-CN"/>
        </w:rPr>
        <w:t>（3）服务承诺；</w:t>
      </w:r>
    </w:p>
    <w:p w14:paraId="3421FABF">
      <w:pPr>
        <w:widowControl/>
        <w:adjustRightInd w:val="0"/>
        <w:spacing w:line="360" w:lineRule="auto"/>
        <w:ind w:firstLine="420"/>
        <w:jc w:val="left"/>
        <w:rPr>
          <w:rFonts w:eastAsiaTheme="minorEastAsia"/>
          <w:color w:val="auto"/>
          <w:kern w:val="0"/>
          <w:szCs w:val="21"/>
          <w:lang w:val="zh-CN"/>
        </w:rPr>
      </w:pPr>
      <w:r>
        <w:rPr>
          <w:rFonts w:eastAsiaTheme="minorEastAsia"/>
          <w:color w:val="auto"/>
          <w:kern w:val="0"/>
          <w:szCs w:val="21"/>
          <w:lang w:val="zh-CN"/>
        </w:rPr>
        <w:t>（4）供应商拟投入本项目的设备、人员情况一览表；</w:t>
      </w:r>
    </w:p>
    <w:p w14:paraId="169D3846">
      <w:pPr>
        <w:widowControl/>
        <w:adjustRightInd w:val="0"/>
        <w:spacing w:line="360" w:lineRule="auto"/>
        <w:ind w:firstLine="420"/>
        <w:jc w:val="left"/>
        <w:rPr>
          <w:rFonts w:eastAsiaTheme="minorEastAsia"/>
          <w:color w:val="auto"/>
          <w:kern w:val="0"/>
          <w:szCs w:val="21"/>
          <w:lang w:val="zh-CN"/>
        </w:rPr>
      </w:pPr>
      <w:r>
        <w:rPr>
          <w:rFonts w:eastAsiaTheme="minorEastAsia"/>
          <w:color w:val="auto"/>
          <w:kern w:val="0"/>
          <w:szCs w:val="21"/>
          <w:lang w:val="zh-CN"/>
        </w:rPr>
        <w:t>（5）供应商认为需要提供的其他技术资料。</w:t>
      </w:r>
    </w:p>
    <w:p w14:paraId="28848277">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11、投标文件的价格内容</w:t>
      </w:r>
    </w:p>
    <w:p w14:paraId="7E8DC912">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11.1价格部分内容是对采购标的价格构成的说明，招标文件如无特别说明，每一项货物及服务仅接受一个价格。</w:t>
      </w:r>
    </w:p>
    <w:p w14:paraId="2067C06F">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11.2报价应包含为履行本项目合同项下所有义务的全部含税费用（包括但不限于</w:t>
      </w:r>
      <w:r>
        <w:rPr>
          <w:rFonts w:eastAsiaTheme="minorEastAsia"/>
          <w:color w:val="auto"/>
          <w:szCs w:val="21"/>
        </w:rPr>
        <w:t>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eastAsiaTheme="minorEastAsia"/>
          <w:color w:val="auto"/>
          <w:kern w:val="0"/>
          <w:szCs w:val="21"/>
        </w:rPr>
        <w:t>）</w:t>
      </w:r>
      <w:r>
        <w:rPr>
          <w:rFonts w:eastAsiaTheme="minorEastAsia"/>
          <w:color w:val="auto"/>
          <w:kern w:val="0"/>
          <w:szCs w:val="21"/>
          <w:lang w:val="zh-CN"/>
        </w:rPr>
        <w:t>，</w:t>
      </w:r>
      <w:r>
        <w:rPr>
          <w:rFonts w:eastAsiaTheme="minorEastAsia"/>
          <w:bCs/>
          <w:color w:val="auto"/>
          <w:szCs w:val="21"/>
        </w:rPr>
        <w:t>以</w:t>
      </w:r>
      <w:r>
        <w:rPr>
          <w:rFonts w:eastAsiaTheme="minorEastAsia"/>
          <w:color w:val="auto"/>
          <w:szCs w:val="21"/>
        </w:rPr>
        <w:t>及供应商认为需要的其他费用等</w:t>
      </w:r>
      <w:r>
        <w:rPr>
          <w:rFonts w:eastAsiaTheme="minorEastAsia"/>
          <w:b/>
          <w:color w:val="auto"/>
          <w:szCs w:val="21"/>
        </w:rPr>
        <w:t>。</w:t>
      </w:r>
    </w:p>
    <w:p w14:paraId="474E36C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11.3供应商的任何错漏、优惠、竞争性报价不得作为减轻责任、减少服务、增加收费、降低质量的理由。</w:t>
      </w:r>
    </w:p>
    <w:p w14:paraId="1E97F23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11.4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eastAsiaTheme="minorEastAsia"/>
          <w:b/>
          <w:bCs/>
          <w:color w:val="auto"/>
          <w:kern w:val="0"/>
          <w:szCs w:val="21"/>
        </w:rPr>
        <w:t>无效投标处理</w:t>
      </w:r>
      <w:r>
        <w:rPr>
          <w:rFonts w:eastAsiaTheme="minorEastAsia"/>
          <w:color w:val="auto"/>
          <w:kern w:val="0"/>
          <w:szCs w:val="21"/>
        </w:rPr>
        <w:t>。</w:t>
      </w:r>
    </w:p>
    <w:p w14:paraId="463503B9">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11.5 供应商应在《开标一览表》《分项报价表》等标明投标货物和服务的单价、总价以及分项报价等。</w:t>
      </w:r>
    </w:p>
    <w:p w14:paraId="7ADCA9D1">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11.6本项目预算为：详见第一章。</w:t>
      </w:r>
    </w:p>
    <w:p w14:paraId="7E6BC06A">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12、投标文件的其他部分</w:t>
      </w:r>
    </w:p>
    <w:p w14:paraId="06C1AEB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12.1 其他部分由供应商根据编制投标文件需要提供的其他相关文件组成。</w:t>
      </w:r>
    </w:p>
    <w:p w14:paraId="4F57DD2C">
      <w:pPr>
        <w:widowControl/>
        <w:autoSpaceDE w:val="0"/>
        <w:autoSpaceDN w:val="0"/>
        <w:spacing w:line="360" w:lineRule="auto"/>
        <w:ind w:firstLine="420"/>
        <w:rPr>
          <w:rFonts w:eastAsiaTheme="minorEastAsia"/>
          <w:color w:val="auto"/>
          <w:kern w:val="0"/>
          <w:szCs w:val="21"/>
        </w:rPr>
      </w:pPr>
      <w:r>
        <w:rPr>
          <w:rFonts w:eastAsiaTheme="minorEastAsia"/>
          <w:color w:val="auto"/>
          <w:kern w:val="0"/>
          <w:szCs w:val="21"/>
        </w:rPr>
        <w:t>12.2</w:t>
      </w:r>
      <w:r>
        <w:rPr>
          <w:rFonts w:eastAsiaTheme="minorEastAsia"/>
          <w:color w:val="auto"/>
          <w:szCs w:val="21"/>
        </w:rPr>
        <w:t xml:space="preserve"> </w:t>
      </w:r>
      <w:r>
        <w:rPr>
          <w:rFonts w:eastAsiaTheme="minorEastAsia"/>
          <w:color w:val="auto"/>
          <w:szCs w:val="21"/>
          <w:lang w:val="zh-CN"/>
        </w:rPr>
        <w:t>如标书制作工具中格式和内容与“江苏政府采购网、中国政府采购网”发布的</w:t>
      </w:r>
      <w:r>
        <w:rPr>
          <w:rFonts w:eastAsiaTheme="minorEastAsia"/>
          <w:color w:val="auto"/>
          <w:szCs w:val="21"/>
        </w:rPr>
        <w:t>采购</w:t>
      </w:r>
      <w:r>
        <w:rPr>
          <w:rFonts w:eastAsiaTheme="minorEastAsia"/>
          <w:color w:val="auto"/>
          <w:szCs w:val="21"/>
          <w:lang w:val="zh-CN"/>
        </w:rPr>
        <w:t>文件不一致，以</w:t>
      </w:r>
      <w:r>
        <w:rPr>
          <w:rFonts w:eastAsiaTheme="minorEastAsia"/>
          <w:color w:val="auto"/>
          <w:szCs w:val="21"/>
        </w:rPr>
        <w:t>上述网站</w:t>
      </w:r>
      <w:r>
        <w:rPr>
          <w:rFonts w:eastAsiaTheme="minorEastAsia"/>
          <w:color w:val="auto"/>
          <w:szCs w:val="21"/>
          <w:lang w:val="zh-CN"/>
        </w:rPr>
        <w:t>发布的</w:t>
      </w:r>
      <w:r>
        <w:rPr>
          <w:rFonts w:eastAsiaTheme="minorEastAsia"/>
          <w:color w:val="auto"/>
          <w:szCs w:val="21"/>
        </w:rPr>
        <w:t>采购</w:t>
      </w:r>
      <w:r>
        <w:rPr>
          <w:rFonts w:eastAsiaTheme="minorEastAsia"/>
          <w:color w:val="auto"/>
          <w:szCs w:val="21"/>
          <w:lang w:val="zh-CN"/>
        </w:rPr>
        <w:t>文件为准。</w:t>
      </w:r>
    </w:p>
    <w:p w14:paraId="78CCBA25">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13、投标保证金</w:t>
      </w:r>
    </w:p>
    <w:p w14:paraId="610E237D">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13.1本项目无需缴纳投标保证金。</w:t>
      </w:r>
    </w:p>
    <w:p w14:paraId="76744A99">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14、投标有效期</w:t>
      </w:r>
    </w:p>
    <w:p w14:paraId="665EC7C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14.1 自开标之日起</w:t>
      </w:r>
      <w:r>
        <w:rPr>
          <w:rFonts w:eastAsiaTheme="minorEastAsia"/>
          <w:b/>
          <w:color w:val="auto"/>
          <w:kern w:val="0"/>
          <w:szCs w:val="21"/>
        </w:rPr>
        <w:t>90</w:t>
      </w:r>
      <w:r>
        <w:rPr>
          <w:rFonts w:eastAsiaTheme="minorEastAsia"/>
          <w:color w:val="auto"/>
          <w:kern w:val="0"/>
          <w:szCs w:val="21"/>
        </w:rPr>
        <w:t>天内投标有效</w:t>
      </w:r>
      <w:r>
        <w:rPr>
          <w:rFonts w:eastAsiaTheme="minorEastAsia"/>
          <w:b/>
          <w:color w:val="auto"/>
        </w:rPr>
        <w:t>，投标有效期从提交投标文件的截止之日起算。投标文件中承诺的投标有效期应当不少于招标文件中载明的投标有效期。</w:t>
      </w:r>
    </w:p>
    <w:p w14:paraId="5D229187">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14.2 特殊情况下，在原投标有效期截止之前，采购代理机构可要求供应商同意延长投标有效期，这种要求与答复均应以书面形式提交。供应商可拒绝这种要求，接受延长投标有效期的供应商将不会要求和允许修正其投标。</w:t>
      </w:r>
    </w:p>
    <w:p w14:paraId="1235D464">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15、投标文件签署</w:t>
      </w:r>
    </w:p>
    <w:p w14:paraId="3621CCD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15.1 投标文件应按照招标文件要求加盖电子公章，否则视为无效投标。</w:t>
      </w:r>
    </w:p>
    <w:p w14:paraId="49BBCC50">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16、投标费用</w:t>
      </w:r>
    </w:p>
    <w:p w14:paraId="4499F719">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16.1 供应商应承担所有与准备和参加投标有关的费用，无论招标结果如何，采购代理机构和采购人在任何情况下均无义务和责任承担这些费用。</w:t>
      </w:r>
    </w:p>
    <w:p w14:paraId="61A95259">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16.2 招标代理服务费：</w:t>
      </w:r>
    </w:p>
    <w:p w14:paraId="37C8F91F">
      <w:pPr>
        <w:widowControl/>
        <w:shd w:val="clear" w:color="auto" w:fill="FFFFFF"/>
        <w:spacing w:line="360" w:lineRule="auto"/>
        <w:ind w:firstLine="420" w:firstLineChars="200"/>
        <w:rPr>
          <w:rFonts w:eastAsiaTheme="minorEastAsia"/>
          <w:color w:val="auto"/>
          <w:kern w:val="0"/>
          <w:szCs w:val="21"/>
        </w:rPr>
      </w:pPr>
      <w:r>
        <w:rPr>
          <w:rFonts w:eastAsiaTheme="minorEastAsia"/>
          <w:color w:val="auto"/>
          <w:kern w:val="0"/>
          <w:szCs w:val="21"/>
        </w:rPr>
        <w:t>招标代理服务费：根据委托协议中约定的情形，由供应商向采购代理机构支付，供应商按《招标代理服务收费管理暂行办法》（国家发展计划委员会计价格[2002]1980号）代理服务招标收费基准费率的48%计算。本项费用无需在投标报价表中单列。本项目预算包含代理服务费，采购人不额外支付，供应商投标报价需包含该费用。</w:t>
      </w:r>
    </w:p>
    <w:p w14:paraId="3409FD78">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四、投标文件的递交</w:t>
      </w:r>
    </w:p>
    <w:p w14:paraId="7E4DAAF3">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17、投标文件的递交</w:t>
      </w:r>
    </w:p>
    <w:p w14:paraId="04A41BA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17.1 供应商应当按照《操作手册》规定，在招标公告规定的投标截止时间前制作并上传电子投标文件。招标代理机构拒绝接收提交投标文件截止时间后上传的任何电子投标文件。</w:t>
      </w:r>
    </w:p>
    <w:p w14:paraId="26C4799B">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18、投标文件的解密</w:t>
      </w:r>
    </w:p>
    <w:p w14:paraId="5A79F6CA">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18.1 供应商应当按照《操作手册》规定，在“苏采云”系统规定的时间内对投标文件进行解密。</w:t>
      </w:r>
    </w:p>
    <w:p w14:paraId="13FD882A">
      <w:pPr>
        <w:widowControl/>
        <w:shd w:val="clear" w:color="auto" w:fill="FFFFFF"/>
        <w:spacing w:line="360" w:lineRule="auto"/>
        <w:ind w:firstLine="420"/>
        <w:rPr>
          <w:rFonts w:eastAsiaTheme="minorEastAsia"/>
          <w:b/>
          <w:bCs/>
          <w:color w:val="auto"/>
          <w:kern w:val="0"/>
          <w:szCs w:val="21"/>
        </w:rPr>
      </w:pPr>
      <w:r>
        <w:rPr>
          <w:rFonts w:eastAsiaTheme="minorEastAsia"/>
          <w:color w:val="auto"/>
          <w:kern w:val="0"/>
          <w:szCs w:val="21"/>
        </w:rPr>
        <w:t>18.2供应商应充分考虑网络环境、网络带宽等因素可能对投标产生的影响，如因供应商自身原因造成的电子投标文件解密不成功的，做无效投标处理。</w:t>
      </w:r>
    </w:p>
    <w:p w14:paraId="005D7280">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19、投标文件的修改和撤回</w:t>
      </w:r>
    </w:p>
    <w:p w14:paraId="1BFE57A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19.1供应商在投标截止时间前，可以对所递交的投标文件进行补充、修改或者撤回，并书面通知采购人或者采购代理机构。补充、修改的内容应当按照招标文件要求签署、盖章、密封后，作为投标文件的组成部分。</w:t>
      </w:r>
    </w:p>
    <w:p w14:paraId="0775F35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19.2 投标截止时间之后，投标文件不得撤回；如撤回，投标保证金不予退还。</w:t>
      </w:r>
    </w:p>
    <w:p w14:paraId="53045B7E">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20、诚实信用</w:t>
      </w:r>
    </w:p>
    <w:p w14:paraId="6936CE48">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20.1供应商应当遵循公平竞争的原则，不得恶意串通，不得妨碍其他供应商的竞争行为，不得损害采购人或者其他供应商的合法权益。</w:t>
      </w:r>
    </w:p>
    <w:p w14:paraId="7694945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20.2在评标过程中发现供应商有上述情形的，评标委员会应当认定其投标无效。</w:t>
      </w:r>
    </w:p>
    <w:p w14:paraId="3D0CCFC9">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五、开标、评标与定标</w:t>
      </w:r>
    </w:p>
    <w:p w14:paraId="2F8C32C1">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21、开标</w:t>
      </w:r>
    </w:p>
    <w:p w14:paraId="3083DCB2">
      <w:pPr>
        <w:spacing w:line="360" w:lineRule="auto"/>
        <w:ind w:firstLine="420" w:firstLineChars="200"/>
        <w:rPr>
          <w:rFonts w:eastAsiaTheme="minorEastAsia"/>
          <w:color w:val="auto"/>
        </w:rPr>
      </w:pPr>
      <w:r>
        <w:rPr>
          <w:rFonts w:eastAsiaTheme="minorEastAsia"/>
          <w:color w:val="auto"/>
        </w:rPr>
        <w:t>21.1 代理机构在招标公告中规定的时间和地点组织公开开标。供应商按照《操作手册》规定参加开标活动，并在“苏采云”系统规定的时间内对投标文件进行解密。“苏采云”系统公布各供应商名称和投标价格。</w:t>
      </w:r>
    </w:p>
    <w:p w14:paraId="4DB6768C">
      <w:pPr>
        <w:spacing w:line="360" w:lineRule="auto"/>
        <w:ind w:firstLine="420" w:firstLineChars="200"/>
        <w:rPr>
          <w:rFonts w:eastAsiaTheme="minorEastAsia"/>
          <w:color w:val="auto"/>
        </w:rPr>
      </w:pPr>
      <w:r>
        <w:rPr>
          <w:rFonts w:eastAsiaTheme="minorEastAsia"/>
          <w:color w:val="auto"/>
        </w:rPr>
        <w:t>21.2 供应商在开标过程中涉及到的投标文件解密、开标结果确认等工作，应按照《操作手册》规定执行。</w:t>
      </w:r>
    </w:p>
    <w:p w14:paraId="6BEEC98D">
      <w:pPr>
        <w:spacing w:line="360" w:lineRule="auto"/>
        <w:ind w:firstLine="420" w:firstLineChars="200"/>
        <w:rPr>
          <w:rFonts w:eastAsiaTheme="minorEastAsia"/>
          <w:color w:val="auto"/>
        </w:rPr>
      </w:pPr>
      <w:r>
        <w:rPr>
          <w:rFonts w:eastAsiaTheme="minorEastAsia"/>
          <w:color w:val="auto"/>
        </w:rPr>
        <w:t>21.3供应商不足3家的，不得开标。</w:t>
      </w:r>
    </w:p>
    <w:p w14:paraId="42B70741">
      <w:pPr>
        <w:spacing w:line="360" w:lineRule="auto"/>
        <w:ind w:firstLine="420" w:firstLineChars="200"/>
        <w:rPr>
          <w:rFonts w:eastAsiaTheme="minorEastAsia"/>
          <w:color w:val="auto"/>
        </w:rPr>
      </w:pPr>
      <w:r>
        <w:rPr>
          <w:rFonts w:eastAsiaTheme="minorEastAsia"/>
          <w:color w:val="auto"/>
        </w:rPr>
        <w:t>21.4 供应商如果对开标过程和开标结果有疑义，应当根据《操作手册》规定提出，“苏采云”系统中《开标记录表》公布后5分钟内未提出的，视同认可开标结果。</w:t>
      </w:r>
    </w:p>
    <w:p w14:paraId="029E2B26">
      <w:pPr>
        <w:spacing w:line="360" w:lineRule="auto"/>
        <w:ind w:firstLine="420" w:firstLineChars="200"/>
        <w:rPr>
          <w:rFonts w:eastAsiaTheme="minorEastAsia"/>
          <w:color w:val="auto"/>
        </w:rPr>
      </w:pPr>
      <w:r>
        <w:rPr>
          <w:rFonts w:eastAsiaTheme="minorEastAsia"/>
          <w:color w:val="auto"/>
        </w:rPr>
        <w:t>21.5公开招标数额标准以上的采购项目，投标截止后供应商不足3家或者通过资格审查或符合性审查的供应商不足3家的，除采购任务取消情形外，按照以下方式处理：</w:t>
      </w:r>
    </w:p>
    <w:p w14:paraId="08E9FED0">
      <w:pPr>
        <w:spacing w:line="360" w:lineRule="auto"/>
        <w:ind w:firstLine="420" w:firstLineChars="200"/>
        <w:rPr>
          <w:rFonts w:eastAsiaTheme="minorEastAsia"/>
          <w:color w:val="auto"/>
        </w:rPr>
      </w:pPr>
      <w:r>
        <w:rPr>
          <w:rFonts w:eastAsiaTheme="minorEastAsia"/>
          <w:color w:val="auto"/>
        </w:rPr>
        <w:t>（1）招标文件存在不合理条款或者招标程序不符合规定的，采购人、采购代理机构改正后依法重新招标；</w:t>
      </w:r>
    </w:p>
    <w:p w14:paraId="13E13946">
      <w:pPr>
        <w:widowControl/>
        <w:spacing w:line="360" w:lineRule="auto"/>
        <w:ind w:firstLine="420" w:firstLineChars="200"/>
        <w:rPr>
          <w:rFonts w:eastAsiaTheme="minorEastAsia"/>
          <w:color w:val="auto"/>
          <w:kern w:val="0"/>
          <w:szCs w:val="21"/>
        </w:rPr>
      </w:pPr>
      <w:r>
        <w:rPr>
          <w:rFonts w:eastAsiaTheme="minorEastAsia"/>
          <w:color w:val="auto"/>
        </w:rPr>
        <w:t>（2）招标文件没有不合理条款、招标程序符合规定，需要采用其他采购方式采购的，采购人依法报财政部门批准，经批准后，可变更为其他采购方式采购。</w:t>
      </w:r>
    </w:p>
    <w:p w14:paraId="425EF661">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22、评标</w:t>
      </w:r>
    </w:p>
    <w:p w14:paraId="501ECE87">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22.1 评标委员会</w:t>
      </w:r>
    </w:p>
    <w:p w14:paraId="48E5E6C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22.1.1评标委员会负责具体评标事务，并独立履行下列职责：</w:t>
      </w:r>
    </w:p>
    <w:p w14:paraId="36D298E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（一）审查、评价投标文件是否符合招标文件的商务、技术等实质性要求；</w:t>
      </w:r>
    </w:p>
    <w:p w14:paraId="4840125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（二）要求供应商对投标文件有关事项作出澄清或者说明；</w:t>
      </w:r>
    </w:p>
    <w:p w14:paraId="5D0C26D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（三）对投标文件进行比较和评价；</w:t>
      </w:r>
    </w:p>
    <w:p w14:paraId="363BB9E9">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（四）确定中标候选人名单，以及根据采购人委托直接确定供应商；</w:t>
      </w:r>
    </w:p>
    <w:p w14:paraId="2C580061">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（五）向采购人、采购代理机构或者有关部门报告评标中发现的违法行为。</w:t>
      </w:r>
    </w:p>
    <w:p w14:paraId="47134FD2">
      <w:pPr>
        <w:widowControl/>
        <w:shd w:val="clear" w:color="auto" w:fill="FFFFFF"/>
        <w:spacing w:line="360" w:lineRule="auto"/>
        <w:ind w:firstLine="420"/>
        <w:rPr>
          <w:rFonts w:eastAsiaTheme="minorEastAsia"/>
          <w:b/>
          <w:bCs/>
          <w:color w:val="auto"/>
          <w:kern w:val="0"/>
          <w:szCs w:val="21"/>
        </w:rPr>
      </w:pPr>
      <w:r>
        <w:rPr>
          <w:rFonts w:eastAsiaTheme="minorEastAsia"/>
          <w:color w:val="auto"/>
          <w:kern w:val="0"/>
          <w:szCs w:val="21"/>
        </w:rPr>
        <w:t>22.1.2 评标委员会由采购人代表和有关技术、经济等方面的专家组成，独立开展评审工作。</w:t>
      </w:r>
    </w:p>
    <w:p w14:paraId="4AEA092D">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22.2  评标程序</w:t>
      </w:r>
    </w:p>
    <w:p w14:paraId="0F6ECDA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22.2.1 投标文件的资格性检查。公开招标采购项目开标结束后，采购人或者采购代理机构应当依法对供应商的资格进行审查。合格供应商不足3家的，不得评标。</w:t>
      </w:r>
    </w:p>
    <w:p w14:paraId="28D546E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22.2.2投标文件的符合性审查。评标委员会对通过资格性检查的供应商的投标文件进行符合性审查，以确定其是否满足招标文件的实质性要求。投标文件有下列情况之一的，在符合性检查时按照无效投标处理：</w:t>
      </w:r>
    </w:p>
    <w:p w14:paraId="190D083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（1）同一供应商提交两个（含两个）以上不同的投标报价的；</w:t>
      </w:r>
    </w:p>
    <w:p w14:paraId="24003391">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（2）投标文件未按照招标文件要求加盖电子公章的；</w:t>
      </w:r>
    </w:p>
    <w:p w14:paraId="36C70D81">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（3）报价超过招标文件中规定的预算金额或者最高限价的；</w:t>
      </w:r>
    </w:p>
    <w:p w14:paraId="0D5DE0D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（4）投标文件含有采购人不能接受的附加条件的；</w:t>
      </w:r>
    </w:p>
    <w:p w14:paraId="658641F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（5）投标文件内容不全或不符合招标文件中规定的其他实质性要求的；</w:t>
      </w:r>
    </w:p>
    <w:p w14:paraId="6A9D4F4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（6）现行法律、法规、规章和招标文件规定的其他无效情形。</w:t>
      </w:r>
    </w:p>
    <w:p w14:paraId="2FF68F76">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22.2.2.1 实质性要求是指本招标文件中用带星号（“</w:t>
      </w:r>
      <w:r>
        <w:rPr>
          <w:rFonts w:ascii="Segoe UI Symbol" w:hAnsi="Segoe UI Symbol" w:cs="Segoe UI Symbol" w:eastAsiaTheme="minorEastAsia"/>
          <w:color w:val="auto"/>
          <w:szCs w:val="21"/>
        </w:rPr>
        <w:t>★</w:t>
      </w:r>
      <w:r>
        <w:rPr>
          <w:rFonts w:eastAsiaTheme="minorEastAsia"/>
          <w:color w:val="auto"/>
          <w:kern w:val="0"/>
          <w:szCs w:val="21"/>
        </w:rPr>
        <w:t>”）或</w:t>
      </w:r>
      <w:r>
        <w:rPr>
          <w:rFonts w:eastAsiaTheme="minorEastAsia"/>
          <w:b/>
          <w:i/>
          <w:color w:val="auto"/>
          <w:kern w:val="0"/>
          <w:szCs w:val="21"/>
          <w:u w:val="single"/>
        </w:rPr>
        <w:t>斜体加下划线</w:t>
      </w:r>
      <w:r>
        <w:rPr>
          <w:rFonts w:eastAsiaTheme="minorEastAsia"/>
          <w:color w:val="auto"/>
          <w:kern w:val="0"/>
          <w:szCs w:val="21"/>
        </w:rPr>
        <w:t>、“必须”或“应（应当）”等其他文字说明的商务和技术要求。</w:t>
      </w:r>
    </w:p>
    <w:p w14:paraId="20EA7EB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22.2.2.2未通过资格审查或符合性审查的供应商，代理机构将通过“苏采云”系统告知其具体原因，评标结束后不再接受有关询问。</w:t>
      </w:r>
    </w:p>
    <w:p w14:paraId="5F0B9B4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22.2.2.3有下列情形之一的予以废标：</w:t>
      </w:r>
    </w:p>
    <w:p w14:paraId="5B4FDA9D">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（1）符合专业条件的供应商或者对招标文件作实质性响应的供应商不足三家的；</w:t>
      </w:r>
    </w:p>
    <w:p w14:paraId="2182964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（2）出现影响采购公正的违法、违规行为的；</w:t>
      </w:r>
    </w:p>
    <w:p w14:paraId="29CAC73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（3）供应商的报价均超过了采购预算，采购人不能支付的；</w:t>
      </w:r>
    </w:p>
    <w:p w14:paraId="6349DBD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（4）因苏采云系统故障造成开标不成功的；</w:t>
      </w:r>
    </w:p>
    <w:p w14:paraId="2383331A">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（5）因重大变故，采购任务取消的。</w:t>
      </w:r>
    </w:p>
    <w:p w14:paraId="7B4C332D">
      <w:pPr>
        <w:widowControl/>
        <w:shd w:val="clear" w:color="auto" w:fill="FFFFFF"/>
        <w:spacing w:line="360" w:lineRule="auto"/>
        <w:ind w:firstLine="420"/>
        <w:rPr>
          <w:rFonts w:eastAsiaTheme="minorEastAsia"/>
          <w:b/>
          <w:bCs/>
          <w:color w:val="auto"/>
          <w:kern w:val="0"/>
          <w:szCs w:val="21"/>
        </w:rPr>
      </w:pPr>
      <w:r>
        <w:rPr>
          <w:rFonts w:eastAsiaTheme="minorEastAsia"/>
          <w:color w:val="auto"/>
          <w:kern w:val="0"/>
          <w:szCs w:val="21"/>
        </w:rPr>
        <w:t>（6）供应商以明显低于其他通过符合性审查供应商的报价，有可能影响产品质量或者不能诚信履约的，且不能证明其报价合理性的。</w:t>
      </w:r>
    </w:p>
    <w:p w14:paraId="3554312C">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22.2.3澄清有关问题。</w:t>
      </w:r>
    </w:p>
    <w:p w14:paraId="79EF272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22.2.3.1 评标期间，评委会对投标文件中含义不明确、同类问题表述不一致或者有明显文字和计算错误的内容，有权要求供应商作出必要的澄清、说明或者补正。</w:t>
      </w:r>
    </w:p>
    <w:p w14:paraId="66BD9F3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供应商的澄清、说明或者补正不得超出投标文件的范围或者改变投标文件的实质性内容。</w:t>
      </w:r>
    </w:p>
    <w:p w14:paraId="1390F23F">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评委会并非对每个供应商都做澄清要求。</w:t>
      </w:r>
    </w:p>
    <w:p w14:paraId="3AAA0D6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22.2.3.2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28D0792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22.2.3.3 接到评委会澄清、说明和补正要求的，供应商如未按规定作出澄清、说明和补正，其风险由供应商自行承担。</w:t>
      </w:r>
    </w:p>
    <w:p w14:paraId="60C41C5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22.2.3.4投标文件报价出现前后不一致的，除招标文件另有规定外，按照下列规定修正：</w:t>
      </w:r>
    </w:p>
    <w:p w14:paraId="5E7F18C7">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（1）投标文件中开标一览表（报价表）内容与投标文件中相应内容不一致的，以开标一览表（报价表）为准；</w:t>
      </w:r>
    </w:p>
    <w:p w14:paraId="4CE683D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（2）大写金额和小写金额不一致的，以大写金额为准；</w:t>
      </w:r>
    </w:p>
    <w:p w14:paraId="425C275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（3）单价金额小数点或者百分比有明显错位的，以开标一览表的总价为准，并修改单价；</w:t>
      </w:r>
    </w:p>
    <w:p w14:paraId="645D3D51">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（4）总价金额与按单价汇总金额不一致的，以单价金额计算结果为准。</w:t>
      </w:r>
    </w:p>
    <w:p w14:paraId="68064608">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p>
    <w:p w14:paraId="53B9998A">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2.2.3.5供应商在开、评标全过程中应保持通讯畅通，及时登录苏采云系统查阅、答复相关信息，并安排专人与代理机构及评委会联系。</w:t>
      </w:r>
    </w:p>
    <w:p w14:paraId="12442DE9">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22.2.3.6评标委员会认为供应商的报价明显低于其他通过符合性审查供应商的报价，有可能影响产品质量或者不能诚信履约的，将要求其在评标现场合理的时间内提供书面说明，必要时提交相关证明材料；供应商不能证明其报价合理性的，评标委员会将其作为无效投标处理。</w:t>
      </w:r>
    </w:p>
    <w:p w14:paraId="5CA1F0E6">
      <w:pPr>
        <w:widowControl/>
        <w:shd w:val="clear" w:color="auto" w:fill="FFFFFF"/>
        <w:spacing w:line="360" w:lineRule="auto"/>
        <w:ind w:firstLine="420"/>
        <w:rPr>
          <w:rFonts w:eastAsiaTheme="minorEastAsia"/>
          <w:b/>
          <w:bCs/>
          <w:color w:val="auto"/>
          <w:kern w:val="0"/>
          <w:szCs w:val="21"/>
        </w:rPr>
      </w:pPr>
      <w:r>
        <w:rPr>
          <w:rFonts w:eastAsiaTheme="minorEastAsia"/>
          <w:color w:val="auto"/>
          <w:kern w:val="0"/>
          <w:szCs w:val="21"/>
        </w:rPr>
        <w:t>22.2.4比较与评价。评标委员会应当按照招标文件中规定的评标方法和标准，对符合性审查合格的投标文件进行商务和技术评估，综合比较与评价。</w:t>
      </w:r>
    </w:p>
    <w:p w14:paraId="4BA39CAB">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22.3 评标方法和标准</w:t>
      </w:r>
    </w:p>
    <w:p w14:paraId="5EBE2249">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22.3.1评标方法分为最低评标价法和综合评分法。本次招标的评标方法和标准，详见本招标文件第三章。</w:t>
      </w:r>
    </w:p>
    <w:p w14:paraId="3F36466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22.3.2最低评标价法，是指投标文件满足招标文件全部实质性要求，且投标报价最低的供应商为中标候选人的评标方法。</w:t>
      </w:r>
    </w:p>
    <w:p w14:paraId="2036B46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采用最低评标价法评标时，除了算术修正和落实政府采购政策需进行的价格扣除外，不对供应商的投标价格进行任何调整。</w:t>
      </w:r>
    </w:p>
    <w:p w14:paraId="6DB2CF78">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22.3.3综合评分法，是指投标文件满足招标文件全部实质性要求，且按照评审因素的量化指标评审得分最高的供应商为中标候选人的评标方法。</w:t>
      </w:r>
    </w:p>
    <w:p w14:paraId="7FCE0D7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评审因素，包括价格、技术、商务等。</w:t>
      </w:r>
    </w:p>
    <w:p w14:paraId="1EE6F37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评标时，评标委员会各成员应当独立对每个供应商的投标文件进行评价，并汇总每个供应商的得分。</w:t>
      </w:r>
    </w:p>
    <w:p w14:paraId="1D17958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价格分采用低价优先法计算，即满足招标文件要求且投标价格最低的投标报价为评标基准价，其价格分为满分。</w:t>
      </w:r>
    </w:p>
    <w:p w14:paraId="2CCFCF0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评标总得分＝F1×A1＋F2×A2＋……＋Fn×An</w:t>
      </w:r>
    </w:p>
    <w:p w14:paraId="3B454257">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F1、F2……Fn分别为各项评审因素的得分；</w:t>
      </w:r>
    </w:p>
    <w:p w14:paraId="6B0EC97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A1、A2、……An 分别为各项评审因素所占的权重(A1＋A2＋……＋An＝1)。</w:t>
      </w:r>
    </w:p>
    <w:p w14:paraId="3152B29E">
      <w:pPr>
        <w:widowControl/>
        <w:shd w:val="clear" w:color="auto" w:fill="FFFFFF"/>
        <w:spacing w:line="360" w:lineRule="auto"/>
        <w:ind w:firstLine="420"/>
        <w:rPr>
          <w:rFonts w:eastAsiaTheme="minorEastAsia"/>
          <w:b/>
          <w:bCs/>
          <w:color w:val="auto"/>
          <w:kern w:val="0"/>
          <w:szCs w:val="21"/>
        </w:rPr>
      </w:pPr>
      <w:r>
        <w:rPr>
          <w:rFonts w:eastAsiaTheme="minorEastAsia"/>
          <w:color w:val="auto"/>
          <w:kern w:val="0"/>
          <w:szCs w:val="21"/>
        </w:rPr>
        <w:t>因落实政府采购政策进行价格调整的，以调整后的价格计算评标基准价和投标报价。</w:t>
      </w:r>
    </w:p>
    <w:p w14:paraId="4C9B24A6">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22.4 评标委员会启动异常低价投标审查的情形和具体要求</w:t>
      </w:r>
    </w:p>
    <w:p w14:paraId="76D9D88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 xml:space="preserve">22.4.1评标过程中出现下列情形之一的，评标委员会应当启动异常低价投标审查程序： </w:t>
      </w:r>
    </w:p>
    <w:p w14:paraId="1E55C12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（1）投标报价低于全部通过符合性审查供应商投标报价平均值50%的，即投标报价&lt;全部通过符合性审查供应商投标报价平均值×50%；</w:t>
      </w:r>
    </w:p>
    <w:p w14:paraId="5ADF37CD">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（2）投标报价低于通过符合性审查的次低报价供应商投标报价50%的，即投标报价&lt;通过符合性审查的次低报价供应商投标报价×50%；</w:t>
      </w:r>
    </w:p>
    <w:p w14:paraId="406C9661">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（3）投标报价低于本项目最高限价45%的，即投标报价&lt;本项目最高限价×45%；</w:t>
      </w:r>
    </w:p>
    <w:p w14:paraId="20D1D817">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（4）评标委员会基于专业判断，认为供应商报价过低，有可能影响产品质量或者不能诚信履约的其他情形。</w:t>
      </w:r>
    </w:p>
    <w:p w14:paraId="2D5B9D7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22.4.2 评标委员会启动异常低价投标审查后，属于22.4.1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条第（3）项情形的，供应商已随投标文件一并提交相关书面说明及必要的证明材料的，在评标现场可不再重复提交。</w:t>
      </w:r>
    </w:p>
    <w:p w14:paraId="2EB466B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p>
    <w:p w14:paraId="59D4A8A8">
      <w:pPr>
        <w:widowControl/>
        <w:shd w:val="clear" w:color="auto" w:fill="FFFFFF"/>
        <w:spacing w:line="360" w:lineRule="auto"/>
        <w:ind w:firstLine="420"/>
        <w:rPr>
          <w:rFonts w:eastAsiaTheme="minorEastAsia"/>
          <w:b/>
          <w:bCs/>
          <w:color w:val="auto"/>
          <w:kern w:val="0"/>
          <w:szCs w:val="21"/>
        </w:rPr>
      </w:pPr>
      <w:r>
        <w:rPr>
          <w:rFonts w:eastAsiaTheme="minorEastAsia"/>
          <w:color w:val="auto"/>
          <w:kern w:val="0"/>
          <w:szCs w:val="21"/>
        </w:rPr>
        <w:t>异常低价投标审查的启动原因、审查意见和审查结果应当在评标报告中记录，并随供应商提供的相关书面说明及证明材料，以及评标委员会有关互联网浏览、查询历史一并归档。</w:t>
      </w:r>
    </w:p>
    <w:p w14:paraId="4E5727BF">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23、确定供应商</w:t>
      </w:r>
    </w:p>
    <w:p w14:paraId="009CA7C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23.1 采用最低评标价法的，评标结果按投标报价由低到高顺序排列。投标报价相同的并列。投标文件满足招标文件全部实质性要求且投标报价最低的供应商为排名第一的中标候选人。</w:t>
      </w:r>
    </w:p>
    <w:p w14:paraId="14DC30A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p>
    <w:p w14:paraId="5E43C146">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23.3 供应商确定后，在省级以上财政部门指定的媒体上公告中标结果，中标公告期为1个工作日，公告的同时向供应商发出中标通知书。供应商可在中标结果公告届满之日起三十日内,登录苏采云系统下载。</w:t>
      </w:r>
    </w:p>
    <w:p w14:paraId="685A85C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因系统存储空间有限，中标结果公告届满之日起三十日后，苏采云系统不再保证提供下载《中标通知书》服务，因未及时下载而造成的不利后果由供应商自行承担。</w:t>
      </w:r>
    </w:p>
    <w:p w14:paraId="73CA7E9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23.4 中标通知书对采购人和供应商具有同等法律效力。中标通知书发出后，采购人不得违法改变中标结果，供应商无正当理由不得放弃中标。</w:t>
      </w:r>
    </w:p>
    <w:p w14:paraId="3A66CD75">
      <w:pPr>
        <w:widowControl/>
        <w:shd w:val="clear" w:color="auto" w:fill="FFFFFF"/>
        <w:spacing w:line="360" w:lineRule="auto"/>
        <w:ind w:firstLine="420"/>
        <w:rPr>
          <w:rFonts w:eastAsiaTheme="minorEastAsia"/>
          <w:b/>
          <w:bCs/>
          <w:color w:val="auto"/>
          <w:kern w:val="0"/>
          <w:szCs w:val="21"/>
        </w:rPr>
      </w:pPr>
      <w:r>
        <w:rPr>
          <w:rFonts w:eastAsiaTheme="minorEastAsia"/>
          <w:color w:val="auto"/>
          <w:kern w:val="0"/>
          <w:szCs w:val="21"/>
        </w:rPr>
        <w:t>23.5 所有投标文件不论中标与否，均不退回。</w:t>
      </w:r>
    </w:p>
    <w:p w14:paraId="14E4C551">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24、编写评标报告</w:t>
      </w:r>
    </w:p>
    <w:p w14:paraId="277276AA">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24.1评标委员会根据全体评标成员签字的原始评标记录和评标结果编写评标报告。</w:t>
      </w:r>
    </w:p>
    <w:p w14:paraId="6D3F211C">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25、评标过程的保密性</w:t>
      </w:r>
    </w:p>
    <w:p w14:paraId="29E628B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25.1 采购人和采购代理机构将采取必要措施，保证评标在严格保密的情况下进行。</w:t>
      </w:r>
    </w:p>
    <w:p w14:paraId="7DB4733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25.2 任何单位和个人不得非法干预、影响评标办法的确定，以及评标过程和结果。</w:t>
      </w:r>
    </w:p>
    <w:p w14:paraId="0EB48EB9">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25.3 凡是与审查、澄清、评价和比较投标的有关资料等，均不向供应商及与评标无关的其他人员透露。</w:t>
      </w:r>
    </w:p>
    <w:p w14:paraId="3FD41A5C">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六、签订合同</w:t>
      </w:r>
    </w:p>
    <w:p w14:paraId="47041C61">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26、签订合同</w:t>
      </w:r>
    </w:p>
    <w:p w14:paraId="03C190B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26.1采购人与供应商应当自中标通知书发出之日起30日内，按照招标文件和供应商投标文件的规定，签订书面合同。所签订的合同不得对招标文件确定的事项和供应商投标文件作实质性修改。</w:t>
      </w:r>
    </w:p>
    <w:p w14:paraId="33DA0118">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26.2除继续履行将损害国家利益和社会公众利益的，政府采购合同的双方当事人不得擅自变更、中止或者终止合同。放弃或拒绝签订合同的，供应商不得参加对该项目重新开展的采购活动，投标保证金不予退还，不收取投标保证金的项目，供应商应向采购人支付采购人为招标所发生的相关费用，由财政部门列入不良行为记录名单，在一至三年内禁止参加政府采购活动，并予以通报。</w:t>
      </w:r>
    </w:p>
    <w:p w14:paraId="4D68C12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26.3采购人不得向供应商提出任何不合理的要求作为签订合同的条件。</w:t>
      </w:r>
    </w:p>
    <w:p w14:paraId="46C78B7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26.4供应商拒绝与采购人签订合同的，采购人可以按照评审报告推荐的中标或者成交候选人名单排序，确定下一候选人为中标或者成交供应商，也可以重新开展政府采购活动。</w:t>
      </w:r>
    </w:p>
    <w:p w14:paraId="703DAC2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0901DA77">
      <w:pPr>
        <w:widowControl/>
        <w:shd w:val="clear" w:color="auto" w:fill="FFFFFF"/>
        <w:spacing w:line="360" w:lineRule="auto"/>
        <w:ind w:firstLine="420"/>
        <w:rPr>
          <w:rFonts w:eastAsiaTheme="minorEastAsia"/>
          <w:b/>
          <w:bCs/>
          <w:color w:val="auto"/>
          <w:kern w:val="0"/>
          <w:szCs w:val="21"/>
        </w:rPr>
      </w:pPr>
      <w:r>
        <w:rPr>
          <w:rFonts w:eastAsiaTheme="minorEastAsia"/>
          <w:color w:val="auto"/>
          <w:kern w:val="0"/>
          <w:szCs w:val="21"/>
        </w:rPr>
        <w:t>26.6 采购人与供应商应当根据合同的约定依法履行合同义务。</w:t>
      </w:r>
    </w:p>
    <w:p w14:paraId="2726C499">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七、质疑和投诉</w:t>
      </w:r>
    </w:p>
    <w:p w14:paraId="1550F25C">
      <w:pPr>
        <w:widowControl/>
        <w:shd w:val="clear" w:color="auto" w:fill="FFFFFF"/>
        <w:spacing w:line="360" w:lineRule="auto"/>
        <w:ind w:firstLine="420"/>
        <w:rPr>
          <w:rFonts w:eastAsiaTheme="minorEastAsia"/>
          <w:b/>
          <w:bCs/>
          <w:color w:val="auto"/>
          <w:kern w:val="0"/>
          <w:szCs w:val="21"/>
        </w:rPr>
      </w:pPr>
      <w:r>
        <w:rPr>
          <w:rFonts w:eastAsiaTheme="minorEastAsia"/>
          <w:b/>
          <w:bCs/>
          <w:color w:val="auto"/>
          <w:kern w:val="0"/>
          <w:szCs w:val="21"/>
        </w:rPr>
        <w:t>27、质疑</w:t>
      </w:r>
    </w:p>
    <w:p w14:paraId="5D6E5F8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27.1供应商对招标活动事项有疑问的，可以向采购代理机构提出询问，采购代理机构将依法作出答复，但答复的内容不涉及商业秘密。</w:t>
      </w:r>
    </w:p>
    <w:p w14:paraId="6E54A3E6">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27.2提出质疑的供应商应当是参与所质疑项目采购活动的供应商。潜在供应商已依法获取其可质疑的采购文件的，可以对该文件提出质疑。</w:t>
      </w:r>
    </w:p>
    <w:p w14:paraId="40209C2D">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27.3供应商认为采购文件、采购过程和中标结果使自己的合法权益受到损害的，可以在知道或者应知其权益受到损害之日起七个工作日内，以书面形式向采购人或采购代理机构提出质疑。</w:t>
      </w:r>
    </w:p>
    <w:p w14:paraId="3E143A4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290D482F">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供应商必须在法定质疑期内一次性提出针对同一采购程序环节的质疑。</w:t>
      </w:r>
    </w:p>
    <w:p w14:paraId="7D96ECF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27.4 供应商提出质疑应当提交质疑函和必要的证明材料。质疑函应当包括下列内容：</w:t>
      </w:r>
    </w:p>
    <w:p w14:paraId="220EB5C6">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（一）供应商的姓名或者名称、地址、邮编、联系人及联系电话；</w:t>
      </w:r>
    </w:p>
    <w:p w14:paraId="29603D2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（二）质疑项目的名称、编号；</w:t>
      </w:r>
    </w:p>
    <w:p w14:paraId="6C17D5CA">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（三）具体、明确的质疑事项和与质疑事项相关的请求（具体条款）；</w:t>
      </w:r>
    </w:p>
    <w:p w14:paraId="69719C8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（四）事实依据（具体条款）；</w:t>
      </w:r>
    </w:p>
    <w:p w14:paraId="468F6B9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（五）必要的法律依据（具体条款）；</w:t>
      </w:r>
    </w:p>
    <w:p w14:paraId="071E892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（六）提出质疑的日期。</w:t>
      </w:r>
    </w:p>
    <w:p w14:paraId="39811B4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28FF3DE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质疑函应当使用中文。相关当事人提供外文书证或者外国语视听资料的，应当附有中文译本，由翻译机构盖章或者翻译人员签名。</w:t>
      </w:r>
    </w:p>
    <w:p w14:paraId="62F727C7">
      <w:pPr>
        <w:widowControl/>
        <w:shd w:val="clear" w:color="auto" w:fill="FFFFFF"/>
        <w:spacing w:line="360" w:lineRule="auto"/>
        <w:ind w:firstLine="420"/>
        <w:rPr>
          <w:rFonts w:eastAsiaTheme="minorEastAsia"/>
          <w:color w:val="auto"/>
        </w:rPr>
      </w:pPr>
      <w:r>
        <w:rPr>
          <w:rFonts w:eastAsiaTheme="minorEastAsia"/>
          <w:color w:val="auto"/>
          <w:kern w:val="0"/>
          <w:szCs w:val="21"/>
        </w:rPr>
        <w:t>27.5 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p>
    <w:p w14:paraId="3EBDDB1B">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27.6采购代理机构在收到供应商的书面质疑后将及时组织调查核实，在</w:t>
      </w:r>
      <w:r>
        <w:rPr>
          <w:rFonts w:eastAsiaTheme="minorEastAsia"/>
          <w:b/>
          <w:bCs/>
          <w:color w:val="auto"/>
          <w:kern w:val="0"/>
          <w:szCs w:val="21"/>
        </w:rPr>
        <w:t>七个工作日内</w:t>
      </w:r>
      <w:r>
        <w:rPr>
          <w:rFonts w:eastAsiaTheme="minorEastAsia"/>
          <w:color w:val="auto"/>
          <w:kern w:val="0"/>
          <w:szCs w:val="21"/>
        </w:rPr>
        <w:t>作出答复，并以书面或在网站公告形式通知质疑供应商和其他有关供应商，答复的内容不涉及商业秘密。</w:t>
      </w:r>
    </w:p>
    <w:p w14:paraId="148B5E2C">
      <w:pPr>
        <w:widowControl/>
        <w:shd w:val="clear" w:color="auto" w:fill="FFFFFF"/>
        <w:spacing w:line="360" w:lineRule="auto"/>
        <w:ind w:firstLine="420"/>
        <w:rPr>
          <w:rFonts w:eastAsiaTheme="minorEastAsia"/>
          <w:color w:val="auto"/>
          <w:kern w:val="0"/>
          <w:szCs w:val="21"/>
        </w:rPr>
      </w:pPr>
      <w:r>
        <w:rPr>
          <w:rFonts w:eastAsiaTheme="minorEastAsia"/>
          <w:b/>
          <w:bCs/>
          <w:color w:val="auto"/>
          <w:kern w:val="0"/>
          <w:szCs w:val="21"/>
        </w:rPr>
        <w:t>28、投诉</w:t>
      </w:r>
    </w:p>
    <w:p w14:paraId="41A87CC6">
      <w:pPr>
        <w:spacing w:line="360" w:lineRule="auto"/>
        <w:ind w:firstLine="420" w:firstLineChars="200"/>
        <w:rPr>
          <w:rFonts w:eastAsiaTheme="minorEastAsia"/>
          <w:color w:val="auto"/>
        </w:rPr>
      </w:pPr>
      <w:r>
        <w:rPr>
          <w:rFonts w:eastAsiaTheme="minorEastAsia"/>
          <w:color w:val="auto"/>
        </w:rPr>
        <w:t>28.1质疑供应商对采购代理机构的答复不满意或者采购代理机构未在规定的时间内作出答复的，可以在答复期满后十五个工作日内向同级政府采购监督管理部门投诉。</w:t>
      </w:r>
    </w:p>
    <w:p w14:paraId="77C79A02">
      <w:pPr>
        <w:spacing w:line="360" w:lineRule="auto"/>
        <w:ind w:firstLine="420" w:firstLineChars="200"/>
        <w:rPr>
          <w:rFonts w:eastAsiaTheme="minorEastAsia"/>
          <w:color w:val="auto"/>
        </w:rPr>
      </w:pPr>
      <w:r>
        <w:rPr>
          <w:rFonts w:eastAsiaTheme="minorEastAsia"/>
          <w:color w:val="auto"/>
          <w:szCs w:val="21"/>
        </w:rPr>
        <w:t>28.2供应商投诉应当有明确的请求和必要的证明材料。供应商投诉的事项不得超出已质疑事项的范围。</w:t>
      </w:r>
    </w:p>
    <w:p w14:paraId="3F6C3603">
      <w:pPr>
        <w:spacing w:line="360" w:lineRule="auto"/>
        <w:ind w:firstLine="420" w:firstLineChars="200"/>
        <w:rPr>
          <w:rFonts w:eastAsiaTheme="minorEastAsia"/>
          <w:color w:val="auto"/>
        </w:rPr>
      </w:pPr>
      <w:r>
        <w:rPr>
          <w:rFonts w:eastAsiaTheme="minorEastAsia"/>
          <w:color w:val="auto"/>
          <w:szCs w:val="21"/>
        </w:rPr>
        <w:t>28.3投诉人对政府采购监督管理部门的投诉处理决定不服或者政府采购监督管理部门逾期未作处理的，可以依法申请行政复议或者向人民法院提起行政诉讼。</w:t>
      </w:r>
    </w:p>
    <w:p w14:paraId="3560F186">
      <w:pPr>
        <w:spacing w:line="360" w:lineRule="auto"/>
        <w:ind w:firstLine="420" w:firstLineChars="200"/>
        <w:rPr>
          <w:rFonts w:eastAsiaTheme="minorEastAsia"/>
          <w:color w:val="auto"/>
          <w:szCs w:val="21"/>
        </w:rPr>
      </w:pPr>
      <w:r>
        <w:rPr>
          <w:rFonts w:eastAsiaTheme="minorEastAsia"/>
          <w:color w:val="auto"/>
        </w:rPr>
        <w:t>28.4 投诉人有下列行为之一的，属于严重失信行为，</w:t>
      </w:r>
      <w:r>
        <w:rPr>
          <w:rFonts w:eastAsiaTheme="minorEastAsia"/>
          <w:color w:val="auto"/>
          <w:szCs w:val="21"/>
        </w:rPr>
        <w:t>由财政部门列入不良行为记录名单，禁止其一至三年内参加政府采购活动。</w:t>
      </w:r>
    </w:p>
    <w:p w14:paraId="631E72C0">
      <w:pPr>
        <w:spacing w:line="360" w:lineRule="auto"/>
        <w:ind w:firstLine="420" w:firstLineChars="200"/>
        <w:rPr>
          <w:rFonts w:eastAsiaTheme="minorEastAsia"/>
          <w:color w:val="auto"/>
        </w:rPr>
      </w:pPr>
      <w:r>
        <w:rPr>
          <w:rFonts w:eastAsiaTheme="minorEastAsia"/>
          <w:color w:val="auto"/>
        </w:rPr>
        <w:t>（1）投诉人在全国范围12个月内三次以上投诉查无实据的；</w:t>
      </w:r>
    </w:p>
    <w:p w14:paraId="22251E1F">
      <w:pPr>
        <w:spacing w:line="360" w:lineRule="auto"/>
        <w:ind w:firstLine="420" w:firstLineChars="200"/>
        <w:rPr>
          <w:rFonts w:eastAsiaTheme="minorEastAsia"/>
          <w:color w:val="auto"/>
        </w:rPr>
      </w:pPr>
      <w:r>
        <w:rPr>
          <w:rFonts w:eastAsiaTheme="minorEastAsia"/>
          <w:color w:val="auto"/>
        </w:rPr>
        <w:t>（2）采用捏造事实、提供虚假材料或者以非法手段取得证明材料等方式进行虚假、恶意投诉。</w:t>
      </w:r>
    </w:p>
    <w:p w14:paraId="05015419">
      <w:pPr>
        <w:spacing w:line="360" w:lineRule="auto"/>
        <w:ind w:firstLine="420" w:firstLineChars="200"/>
        <w:rPr>
          <w:rFonts w:eastAsiaTheme="minorEastAsia"/>
          <w:color w:val="auto"/>
        </w:rPr>
      </w:pPr>
      <w:r>
        <w:rPr>
          <w:rFonts w:eastAsiaTheme="minorEastAsia"/>
          <w:color w:val="auto"/>
        </w:rPr>
        <w:t>证据来源的合法性存在明显疑问，投诉人无法证明其取得方式合法的，视为以非法手段取得证明材料。</w:t>
      </w:r>
    </w:p>
    <w:p w14:paraId="1F03E57A">
      <w:pPr>
        <w:widowControl/>
        <w:shd w:val="clear" w:color="auto" w:fill="FFFFFF"/>
        <w:spacing w:line="360" w:lineRule="auto"/>
        <w:ind w:firstLine="422" w:firstLineChars="200"/>
        <w:rPr>
          <w:rFonts w:eastAsiaTheme="minorEastAsia"/>
          <w:b/>
          <w:bCs/>
          <w:color w:val="auto"/>
          <w:kern w:val="0"/>
          <w:szCs w:val="21"/>
        </w:rPr>
      </w:pPr>
      <w:r>
        <w:rPr>
          <w:rFonts w:eastAsiaTheme="minorEastAsia"/>
          <w:b/>
          <w:bCs/>
          <w:color w:val="auto"/>
          <w:kern w:val="0"/>
          <w:szCs w:val="21"/>
        </w:rPr>
        <w:t>29、其他</w:t>
      </w:r>
    </w:p>
    <w:p w14:paraId="73873B1B">
      <w:pPr>
        <w:spacing w:line="360" w:lineRule="auto"/>
        <w:ind w:firstLine="420" w:firstLineChars="200"/>
        <w:rPr>
          <w:rFonts w:eastAsiaTheme="minorEastAsia"/>
          <w:color w:val="auto"/>
          <w:szCs w:val="20"/>
        </w:rPr>
      </w:pPr>
      <w:r>
        <w:rPr>
          <w:rFonts w:eastAsiaTheme="minorEastAsia"/>
          <w:color w:val="auto"/>
          <w:szCs w:val="20"/>
        </w:rPr>
        <w:t>29.1本项目根据江苏省财政厅关于加强政府绿色采购有关事项的通知（苏财购</w:t>
      </w:r>
      <w:r>
        <w:rPr>
          <w:rFonts w:eastAsiaTheme="minorEastAsia"/>
          <w:color w:val="auto"/>
          <w:kern w:val="0"/>
          <w:szCs w:val="21"/>
        </w:rPr>
        <w:t>〔2023〕65号</w:t>
      </w:r>
      <w:r>
        <w:rPr>
          <w:rFonts w:eastAsiaTheme="minorEastAsia"/>
          <w:color w:val="auto"/>
          <w:szCs w:val="20"/>
        </w:rPr>
        <w:t>）规定，执行绿色采购需求标准。</w:t>
      </w:r>
    </w:p>
    <w:p w14:paraId="25F3671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29.2</w:t>
      </w:r>
      <w:r>
        <w:rPr>
          <w:rFonts w:eastAsiaTheme="minorEastAsia"/>
          <w:b/>
          <w:bCs/>
          <w:color w:val="auto"/>
          <w:kern w:val="0"/>
          <w:szCs w:val="21"/>
        </w:rPr>
        <w:t>本项目中标供应商须在合同签订后7个工作日内向采购人缴纳履约保证金人民币10万元（以银行保函形式缴纳，服务到期后无息退还）。</w:t>
      </w:r>
    </w:p>
    <w:p w14:paraId="05C6563E">
      <w:pPr>
        <w:widowControl/>
        <w:shd w:val="clear" w:color="auto" w:fill="FFFFFF"/>
        <w:spacing w:line="360" w:lineRule="auto"/>
        <w:ind w:firstLine="420"/>
        <w:rPr>
          <w:rFonts w:eastAsiaTheme="minorEastAsia"/>
          <w:color w:val="auto"/>
          <w:kern w:val="0"/>
          <w:szCs w:val="21"/>
        </w:rPr>
      </w:pPr>
    </w:p>
    <w:p w14:paraId="24E73230">
      <w:pPr>
        <w:spacing w:line="360" w:lineRule="auto"/>
        <w:rPr>
          <w:rFonts w:eastAsiaTheme="minorEastAsia"/>
          <w:color w:val="auto"/>
          <w:kern w:val="0"/>
        </w:rPr>
      </w:pPr>
      <w:r>
        <w:rPr>
          <w:rFonts w:eastAsiaTheme="minorEastAsia"/>
          <w:color w:val="auto"/>
          <w:kern w:val="0"/>
        </w:rPr>
        <w:br w:type="page"/>
      </w:r>
    </w:p>
    <w:p w14:paraId="547D0E9D">
      <w:pPr>
        <w:pStyle w:val="13"/>
        <w:spacing w:line="360" w:lineRule="auto"/>
        <w:rPr>
          <w:rFonts w:eastAsiaTheme="minorEastAsia"/>
          <w:color w:val="auto"/>
          <w:kern w:val="0"/>
          <w:sz w:val="36"/>
          <w:szCs w:val="36"/>
          <w:shd w:val="clear" w:color="auto" w:fill="FFFFFF"/>
        </w:rPr>
      </w:pPr>
      <w:bookmarkStart w:id="18" w:name="_Toc9740"/>
      <w:r>
        <w:rPr>
          <w:rFonts w:eastAsiaTheme="minorEastAsia"/>
          <w:color w:val="auto"/>
          <w:kern w:val="0"/>
          <w:sz w:val="36"/>
          <w:szCs w:val="36"/>
          <w:shd w:val="clear" w:color="auto" w:fill="FFFFFF"/>
        </w:rPr>
        <w:t xml:space="preserve"> 评标标准</w:t>
      </w:r>
      <w:bookmarkEnd w:id="16"/>
      <w:bookmarkEnd w:id="18"/>
    </w:p>
    <w:bookmarkEnd w:id="17"/>
    <w:p w14:paraId="5CA67932">
      <w:pPr>
        <w:tabs>
          <w:tab w:val="left" w:pos="960"/>
        </w:tabs>
        <w:adjustRightInd w:val="0"/>
        <w:snapToGrid w:val="0"/>
        <w:spacing w:line="360" w:lineRule="auto"/>
        <w:ind w:left="420" w:firstLine="420" w:firstLineChars="200"/>
        <w:rPr>
          <w:rFonts w:eastAsiaTheme="minorEastAsia"/>
          <w:color w:val="auto"/>
        </w:rPr>
      </w:pPr>
      <w:r>
        <w:rPr>
          <w:rFonts w:eastAsiaTheme="minorEastAsia"/>
          <w:color w:val="auto"/>
        </w:rPr>
        <w:t>本项目采用综合评分法，评分统计方法采用百分制（满分100分），将全部评委评分直接进行算术平均，小数点后保留2位。按评审后得分由高到低顺序排列，得分相同的，按投标报价由低到高顺序排列，得分且投标报价相同的，按</w:t>
      </w:r>
      <w:r>
        <w:rPr>
          <w:rFonts w:eastAsiaTheme="minorEastAsia"/>
          <w:b/>
          <w:bCs/>
          <w:color w:val="auto"/>
        </w:rPr>
        <w:t>技术响应情况得分</w:t>
      </w:r>
      <w:r>
        <w:rPr>
          <w:rFonts w:eastAsiaTheme="minorEastAsia"/>
          <w:bCs/>
          <w:color w:val="auto"/>
        </w:rPr>
        <w:t>高低</w:t>
      </w:r>
      <w:r>
        <w:rPr>
          <w:rFonts w:eastAsiaTheme="minorEastAsia"/>
          <w:color w:val="auto"/>
        </w:rPr>
        <w:t>顺序排列，由评标委员会确定供应商。</w:t>
      </w:r>
    </w:p>
    <w:tbl>
      <w:tblPr>
        <w:tblStyle w:val="58"/>
        <w:tblW w:w="97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2"/>
        <w:gridCol w:w="1136"/>
        <w:gridCol w:w="7399"/>
      </w:tblGrid>
      <w:tr w14:paraId="57899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Align w:val="center"/>
          </w:tcPr>
          <w:p w14:paraId="79845D09">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smallCaps/>
                <w:color w:val="auto"/>
                <w:szCs w:val="21"/>
              </w:rPr>
            </w:pPr>
            <w:r>
              <w:rPr>
                <w:rFonts w:eastAsiaTheme="minorEastAsia"/>
                <w:smallCaps/>
                <w:color w:val="auto"/>
                <w:szCs w:val="21"/>
              </w:rPr>
              <w:t>评审项目</w:t>
            </w:r>
          </w:p>
        </w:tc>
        <w:tc>
          <w:tcPr>
            <w:tcW w:w="1136" w:type="dxa"/>
            <w:vAlign w:val="center"/>
          </w:tcPr>
          <w:p w14:paraId="65F2155B">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smallCaps/>
                <w:color w:val="auto"/>
                <w:szCs w:val="21"/>
              </w:rPr>
            </w:pPr>
            <w:r>
              <w:rPr>
                <w:rFonts w:eastAsiaTheme="minorEastAsia"/>
                <w:smallCaps/>
                <w:color w:val="auto"/>
                <w:szCs w:val="21"/>
              </w:rPr>
              <w:t>评审细则</w:t>
            </w:r>
          </w:p>
        </w:tc>
        <w:tc>
          <w:tcPr>
            <w:tcW w:w="7399" w:type="dxa"/>
            <w:vAlign w:val="center"/>
          </w:tcPr>
          <w:p w14:paraId="132A4444">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smallCaps/>
                <w:color w:val="auto"/>
                <w:szCs w:val="21"/>
              </w:rPr>
            </w:pPr>
            <w:r>
              <w:rPr>
                <w:rFonts w:eastAsiaTheme="minorEastAsia"/>
                <w:smallCaps/>
                <w:color w:val="auto"/>
                <w:szCs w:val="21"/>
              </w:rPr>
              <w:t>评审内容</w:t>
            </w:r>
          </w:p>
        </w:tc>
      </w:tr>
      <w:tr w14:paraId="0E285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Align w:val="center"/>
          </w:tcPr>
          <w:p w14:paraId="53669C7A">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r>
              <w:rPr>
                <w:rFonts w:eastAsiaTheme="minorEastAsia"/>
                <w:color w:val="auto"/>
                <w:szCs w:val="21"/>
              </w:rPr>
              <w:t>投标报价 （30分）</w:t>
            </w:r>
          </w:p>
        </w:tc>
        <w:tc>
          <w:tcPr>
            <w:tcW w:w="1136" w:type="dxa"/>
            <w:vAlign w:val="center"/>
          </w:tcPr>
          <w:p w14:paraId="228DE8E9">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r>
              <w:rPr>
                <w:rFonts w:eastAsiaTheme="minorEastAsia"/>
                <w:color w:val="auto"/>
                <w:szCs w:val="21"/>
              </w:rPr>
              <w:t>投标报价 （30分）</w:t>
            </w:r>
          </w:p>
        </w:tc>
        <w:tc>
          <w:tcPr>
            <w:tcW w:w="7399" w:type="dxa"/>
            <w:vAlign w:val="center"/>
          </w:tcPr>
          <w:p w14:paraId="392CFE66">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价格分采用低价优先法计算，即满足招标文件实质性要求且报价最低的投标人报价为投标基准价，其价格分为满分。其它投标人的价格分统一按照下列公式计算：投标报价得分=（投标基准价/投标报价）×30，小数点保留2位。</w:t>
            </w:r>
          </w:p>
        </w:tc>
      </w:tr>
      <w:tr w14:paraId="448CE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restart"/>
            <w:vAlign w:val="center"/>
          </w:tcPr>
          <w:p w14:paraId="3D3922CA">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shd w:val="clear" w:color="auto" w:fill="FFFFFF"/>
              </w:rPr>
            </w:pPr>
            <w:r>
              <w:rPr>
                <w:rFonts w:eastAsiaTheme="minorEastAsia"/>
                <w:color w:val="auto"/>
                <w:szCs w:val="21"/>
                <w:shd w:val="clear" w:color="auto" w:fill="FFFFFF"/>
              </w:rPr>
              <w:t>履约能力</w:t>
            </w:r>
          </w:p>
        </w:tc>
        <w:tc>
          <w:tcPr>
            <w:tcW w:w="1136" w:type="dxa"/>
            <w:vAlign w:val="center"/>
          </w:tcPr>
          <w:p w14:paraId="53F873E7">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r>
              <w:rPr>
                <w:rFonts w:eastAsiaTheme="minorEastAsia"/>
                <w:color w:val="auto"/>
                <w:szCs w:val="21"/>
                <w:shd w:val="clear" w:color="auto" w:fill="FFFFFF"/>
              </w:rPr>
              <w:t>业绩</w:t>
            </w:r>
            <w:r>
              <w:rPr>
                <w:rFonts w:eastAsiaTheme="minorEastAsia"/>
                <w:color w:val="auto"/>
                <w:szCs w:val="21"/>
              </w:rPr>
              <w:t>（9分）</w:t>
            </w:r>
          </w:p>
        </w:tc>
        <w:tc>
          <w:tcPr>
            <w:tcW w:w="7399" w:type="dxa"/>
            <w:vAlign w:val="center"/>
          </w:tcPr>
          <w:p w14:paraId="7D833A8F">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①</w:t>
            </w:r>
            <w:r>
              <w:rPr>
                <w:rFonts w:ascii="Times New Roman" w:hAnsi="Times New Roman" w:eastAsiaTheme="minorEastAsia"/>
                <w:color w:val="auto"/>
                <w:szCs w:val="21"/>
              </w:rPr>
              <w:t>同类项目业绩（6 分）：投标人近三年（2023 年1月 1 日至今）具有类似工程运维或综合维修服务项目业绩的，每提供 1 个得 2 分，最高 6 分。（提供合同复印件加盖投标人公章）</w:t>
            </w:r>
          </w:p>
          <w:p w14:paraId="2E6A7164">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②</w:t>
            </w:r>
            <w:r>
              <w:rPr>
                <w:rFonts w:ascii="Times New Roman" w:hAnsi="Times New Roman" w:eastAsiaTheme="minorEastAsia"/>
                <w:color w:val="auto"/>
                <w:szCs w:val="21"/>
              </w:rPr>
              <w:t>业主满意度评价（3 分）：上述业绩中，提供业主出具的满意度评价证明（需加盖服务单位公章或服务单位管理科室章）的，每提供 1 份得1分，最高3分。</w:t>
            </w:r>
          </w:p>
        </w:tc>
      </w:tr>
      <w:tr w14:paraId="2CB74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continue"/>
            <w:vAlign w:val="center"/>
          </w:tcPr>
          <w:p w14:paraId="6BFF39C6">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shd w:val="clear" w:color="auto" w:fill="FFFFFF"/>
              </w:rPr>
            </w:pPr>
          </w:p>
        </w:tc>
        <w:tc>
          <w:tcPr>
            <w:tcW w:w="1136" w:type="dxa"/>
            <w:vAlign w:val="center"/>
          </w:tcPr>
          <w:p w14:paraId="39585033">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r>
              <w:rPr>
                <w:rFonts w:eastAsiaTheme="minorEastAsia"/>
                <w:color w:val="auto"/>
                <w:szCs w:val="21"/>
                <w:shd w:val="clear" w:color="auto" w:fill="FFFFFF"/>
              </w:rPr>
              <w:t>荣誉（5分）</w:t>
            </w:r>
          </w:p>
        </w:tc>
        <w:tc>
          <w:tcPr>
            <w:tcW w:w="7399" w:type="dxa"/>
            <w:vAlign w:val="center"/>
          </w:tcPr>
          <w:p w14:paraId="0C098454">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投标人或所服务项目获得政府部门颁发的与工程运维、节能降耗、安全生产相关的奖项：国家级每项得5 分，省级每项得 3分，市级每项得 1 分，最高 5 分。</w:t>
            </w:r>
          </w:p>
          <w:p w14:paraId="64264F26">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（同一奖项获得多个级别的按最高级别计一次，不重复计分；提供获奖证书复印件或批复文件复印件或颁奖单位公示截图加盖投标人公章）</w:t>
            </w:r>
          </w:p>
        </w:tc>
      </w:tr>
      <w:tr w14:paraId="13A15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continue"/>
            <w:vAlign w:val="center"/>
          </w:tcPr>
          <w:p w14:paraId="0F1E7845">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p>
        </w:tc>
        <w:tc>
          <w:tcPr>
            <w:tcW w:w="1136" w:type="dxa"/>
            <w:tcBorders>
              <w:top w:val="single" w:color="auto" w:sz="4" w:space="0"/>
              <w:left w:val="single" w:color="auto" w:sz="4" w:space="0"/>
              <w:bottom w:val="single" w:color="auto" w:sz="4" w:space="0"/>
              <w:right w:val="single" w:color="auto" w:sz="4" w:space="0"/>
            </w:tcBorders>
            <w:vAlign w:val="center"/>
          </w:tcPr>
          <w:p w14:paraId="1EF89FFF">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jc w:val="center"/>
              <w:textAlignment w:val="auto"/>
              <w:rPr>
                <w:rFonts w:ascii="Times New Roman" w:hAnsi="Times New Roman" w:eastAsiaTheme="minorEastAsia"/>
                <w:color w:val="auto"/>
                <w:szCs w:val="21"/>
              </w:rPr>
            </w:pPr>
            <w:r>
              <w:rPr>
                <w:rFonts w:ascii="Times New Roman" w:hAnsi="Times New Roman" w:eastAsiaTheme="minorEastAsia"/>
                <w:color w:val="auto"/>
                <w:szCs w:val="21"/>
              </w:rPr>
              <w:t>项目经理要求（7分）</w:t>
            </w:r>
          </w:p>
          <w:p w14:paraId="431EC491">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p>
          <w:p w14:paraId="0E67BABB">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p>
        </w:tc>
        <w:tc>
          <w:tcPr>
            <w:tcW w:w="7399" w:type="dxa"/>
            <w:tcBorders>
              <w:top w:val="single" w:color="auto" w:sz="4" w:space="0"/>
              <w:left w:val="single" w:color="auto" w:sz="4" w:space="0"/>
              <w:bottom w:val="single" w:color="auto" w:sz="4" w:space="0"/>
              <w:right w:val="single" w:color="auto" w:sz="4" w:space="0"/>
            </w:tcBorders>
            <w:vAlign w:val="center"/>
          </w:tcPr>
          <w:p w14:paraId="3C73596C">
            <w:pPr>
              <w:pStyle w:val="301"/>
              <w:keepNext w:val="0"/>
              <w:keepLines w:val="0"/>
              <w:pageBreakBefore w:val="0"/>
              <w:widowControl w:val="0"/>
              <w:numPr>
                <w:ilvl w:val="255"/>
                <w:numId w:val="0"/>
              </w:numPr>
              <w:kinsoku/>
              <w:wordWrap/>
              <w:overflowPunct/>
              <w:topLinePunct w:val="0"/>
              <w:autoSpaceDE/>
              <w:autoSpaceDN/>
              <w:bidi w:val="0"/>
              <w:spacing w:before="0" w:beforeAutospacing="0" w:after="0" w:afterAutospacing="0" w:line="240" w:lineRule="auto"/>
              <w:ind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①</w:t>
            </w:r>
            <w:r>
              <w:rPr>
                <w:rFonts w:ascii="Times New Roman" w:hAnsi="Times New Roman" w:eastAsiaTheme="minorEastAsia"/>
                <w:color w:val="auto"/>
                <w:szCs w:val="21"/>
              </w:rPr>
              <w:t>专业资格证书（3分）：持有有效期内高压电工证或工程师中级（含）以上职称或具有二级建造师及以上证书</w:t>
            </w:r>
            <w:r>
              <w:rPr>
                <w:rFonts w:ascii="Times New Roman" w:hAnsi="Times New Roman" w:eastAsiaTheme="minorEastAsia"/>
                <w:color w:val="auto"/>
                <w:spacing w:val="-2"/>
                <w:szCs w:val="21"/>
              </w:rPr>
              <w:t>的得3分；未提供</w:t>
            </w:r>
            <w:r>
              <w:rPr>
                <w:rFonts w:ascii="Times New Roman" w:hAnsi="Times New Roman" w:eastAsiaTheme="minorEastAsia"/>
                <w:color w:val="auto"/>
                <w:szCs w:val="21"/>
              </w:rPr>
              <w:t>不得分。</w:t>
            </w:r>
          </w:p>
          <w:p w14:paraId="303A54A2">
            <w:pPr>
              <w:pStyle w:val="301"/>
              <w:keepNext w:val="0"/>
              <w:keepLines w:val="0"/>
              <w:pageBreakBefore w:val="0"/>
              <w:widowControl w:val="0"/>
              <w:numPr>
                <w:ilvl w:val="255"/>
                <w:numId w:val="0"/>
              </w:numPr>
              <w:kinsoku/>
              <w:wordWrap/>
              <w:overflowPunct/>
              <w:topLinePunct w:val="0"/>
              <w:autoSpaceDE/>
              <w:autoSpaceDN/>
              <w:bidi w:val="0"/>
              <w:spacing w:before="0" w:beforeAutospacing="0" w:after="0" w:afterAutospacing="0" w:line="240" w:lineRule="auto"/>
              <w:ind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②</w:t>
            </w:r>
            <w:r>
              <w:rPr>
                <w:rFonts w:ascii="Times New Roman" w:hAnsi="Times New Roman" w:eastAsiaTheme="minorEastAsia"/>
                <w:color w:val="auto"/>
                <w:szCs w:val="21"/>
              </w:rPr>
              <w:t>同类项目管理经验（4分）：具有类似运维管理经验 8 年及以上得 4 分，5 年及以上得 2分，3年及以上得1分，</w:t>
            </w:r>
            <w:r>
              <w:rPr>
                <w:rFonts w:ascii="Times New Roman" w:hAnsi="Times New Roman" w:eastAsiaTheme="minorEastAsia"/>
                <w:color w:val="auto"/>
                <w:spacing w:val="-2"/>
                <w:szCs w:val="21"/>
              </w:rPr>
              <w:t>不满足条件的不得分</w:t>
            </w:r>
            <w:r>
              <w:rPr>
                <w:rFonts w:ascii="Times New Roman" w:hAnsi="Times New Roman" w:eastAsiaTheme="minorEastAsia"/>
                <w:color w:val="auto"/>
                <w:szCs w:val="21"/>
              </w:rPr>
              <w:t>。</w:t>
            </w:r>
          </w:p>
          <w:p w14:paraId="48CDA0DE">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证明材料：资格证书复印件加盖单位公章；提供上述运维管理项目工作经验的合同复印件或业主证明材料（服务单位管理科室章或服务单位公章），提供投标单位为其缴纳的开标前六个月内任意一个月的社保证明。不能完全体现上述信息的不得分。</w:t>
            </w:r>
          </w:p>
        </w:tc>
      </w:tr>
      <w:tr w14:paraId="0601F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continue"/>
            <w:vAlign w:val="center"/>
          </w:tcPr>
          <w:p w14:paraId="2EE9706D">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p>
        </w:tc>
        <w:tc>
          <w:tcPr>
            <w:tcW w:w="1136" w:type="dxa"/>
            <w:tcBorders>
              <w:top w:val="single" w:color="auto" w:sz="4" w:space="0"/>
              <w:left w:val="single" w:color="auto" w:sz="4" w:space="0"/>
              <w:bottom w:val="single" w:color="auto" w:sz="4" w:space="0"/>
              <w:right w:val="single" w:color="auto" w:sz="4" w:space="0"/>
            </w:tcBorders>
            <w:vAlign w:val="center"/>
          </w:tcPr>
          <w:p w14:paraId="4C8AC0B7">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r>
              <w:rPr>
                <w:rFonts w:eastAsiaTheme="minorEastAsia"/>
                <w:color w:val="auto"/>
                <w:szCs w:val="21"/>
              </w:rPr>
              <w:t>项目主管要求（4分）</w:t>
            </w:r>
          </w:p>
        </w:tc>
        <w:tc>
          <w:tcPr>
            <w:tcW w:w="7399" w:type="dxa"/>
            <w:tcBorders>
              <w:top w:val="single" w:color="auto" w:sz="4" w:space="0"/>
              <w:left w:val="single" w:color="auto" w:sz="4" w:space="0"/>
              <w:bottom w:val="single" w:color="auto" w:sz="4" w:space="0"/>
              <w:right w:val="single" w:color="auto" w:sz="4" w:space="0"/>
            </w:tcBorders>
            <w:vAlign w:val="center"/>
          </w:tcPr>
          <w:p w14:paraId="02101263">
            <w:pPr>
              <w:pStyle w:val="301"/>
              <w:keepNext w:val="0"/>
              <w:keepLines w:val="0"/>
              <w:pageBreakBefore w:val="0"/>
              <w:widowControl w:val="0"/>
              <w:numPr>
                <w:ilvl w:val="255"/>
                <w:numId w:val="0"/>
              </w:numPr>
              <w:kinsoku/>
              <w:wordWrap/>
              <w:overflowPunct/>
              <w:topLinePunct w:val="0"/>
              <w:autoSpaceDE/>
              <w:autoSpaceDN/>
              <w:bidi w:val="0"/>
              <w:spacing w:before="0" w:beforeAutospacing="0" w:after="0" w:afterAutospacing="0" w:line="240" w:lineRule="auto"/>
              <w:ind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①</w:t>
            </w:r>
            <w:r>
              <w:rPr>
                <w:rFonts w:ascii="Times New Roman" w:hAnsi="Times New Roman" w:eastAsiaTheme="minorEastAsia"/>
                <w:color w:val="auto"/>
                <w:szCs w:val="21"/>
              </w:rPr>
              <w:t>资格证书（2分）：持有有效期内特种设备管理员证书</w:t>
            </w:r>
            <w:r>
              <w:rPr>
                <w:rFonts w:ascii="Times New Roman" w:hAnsi="Times New Roman" w:eastAsiaTheme="minorEastAsia"/>
                <w:color w:val="auto"/>
                <w:spacing w:val="-2"/>
                <w:szCs w:val="21"/>
              </w:rPr>
              <w:t>得2分；未提供</w:t>
            </w:r>
            <w:r>
              <w:rPr>
                <w:rFonts w:ascii="Times New Roman" w:hAnsi="Times New Roman" w:eastAsiaTheme="minorEastAsia"/>
                <w:color w:val="auto"/>
                <w:szCs w:val="21"/>
              </w:rPr>
              <w:t>不得分。</w:t>
            </w:r>
          </w:p>
          <w:p w14:paraId="3D9E14A4">
            <w:pPr>
              <w:pStyle w:val="301"/>
              <w:keepNext w:val="0"/>
              <w:keepLines w:val="0"/>
              <w:pageBreakBefore w:val="0"/>
              <w:widowControl w:val="0"/>
              <w:numPr>
                <w:ilvl w:val="255"/>
                <w:numId w:val="0"/>
              </w:numPr>
              <w:kinsoku/>
              <w:wordWrap/>
              <w:overflowPunct/>
              <w:topLinePunct w:val="0"/>
              <w:autoSpaceDE/>
              <w:autoSpaceDN/>
              <w:bidi w:val="0"/>
              <w:spacing w:before="0" w:beforeAutospacing="0" w:after="0" w:afterAutospacing="0" w:line="240" w:lineRule="auto"/>
              <w:ind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②</w:t>
            </w:r>
            <w:r>
              <w:rPr>
                <w:rFonts w:ascii="Times New Roman" w:hAnsi="Times New Roman" w:eastAsiaTheme="minorEastAsia"/>
                <w:color w:val="auto"/>
                <w:szCs w:val="21"/>
              </w:rPr>
              <w:t>同类项目管理经验（2分）：5 年及以上得 2分，3年及以上得1分，</w:t>
            </w:r>
            <w:r>
              <w:rPr>
                <w:rFonts w:ascii="Times New Roman" w:hAnsi="Times New Roman" w:eastAsiaTheme="minorEastAsia"/>
                <w:color w:val="auto"/>
                <w:spacing w:val="-2"/>
                <w:szCs w:val="21"/>
              </w:rPr>
              <w:t>不满足条件的不得分</w:t>
            </w:r>
            <w:r>
              <w:rPr>
                <w:rFonts w:ascii="Times New Roman" w:hAnsi="Times New Roman" w:eastAsiaTheme="minorEastAsia"/>
                <w:color w:val="auto"/>
                <w:szCs w:val="21"/>
              </w:rPr>
              <w:t>。</w:t>
            </w:r>
          </w:p>
          <w:p w14:paraId="748AA5A7">
            <w:pPr>
              <w:keepNext w:val="0"/>
              <w:keepLines w:val="0"/>
              <w:pageBreakBefore w:val="0"/>
              <w:widowControl w:val="0"/>
              <w:kinsoku/>
              <w:wordWrap/>
              <w:overflowPunct/>
              <w:topLinePunct w:val="0"/>
              <w:autoSpaceDE/>
              <w:autoSpaceDN/>
              <w:bidi w:val="0"/>
              <w:spacing w:line="240" w:lineRule="auto"/>
              <w:ind w:right="0"/>
              <w:jc w:val="left"/>
              <w:textAlignment w:val="auto"/>
              <w:rPr>
                <w:rFonts w:eastAsiaTheme="minorEastAsia"/>
                <w:color w:val="auto"/>
                <w:szCs w:val="21"/>
              </w:rPr>
            </w:pPr>
            <w:r>
              <w:rPr>
                <w:rFonts w:eastAsiaTheme="minorEastAsia"/>
                <w:color w:val="auto"/>
                <w:szCs w:val="21"/>
              </w:rPr>
              <w:t>提供上述运维管理项目工作经验的合同复印件或业主证明材料（服务单位管理科室章或服务单位公章），提供投标单位为其缴纳的开标前六个月内任意一个月的社保证明。不能完全体现上述信息的不得分。</w:t>
            </w:r>
          </w:p>
        </w:tc>
      </w:tr>
      <w:tr w14:paraId="0E1C8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continue"/>
            <w:vAlign w:val="center"/>
          </w:tcPr>
          <w:p w14:paraId="13CE605A">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p>
        </w:tc>
        <w:tc>
          <w:tcPr>
            <w:tcW w:w="1136" w:type="dxa"/>
            <w:tcBorders>
              <w:top w:val="single" w:color="auto" w:sz="4" w:space="0"/>
              <w:left w:val="single" w:color="auto" w:sz="4" w:space="0"/>
              <w:bottom w:val="single" w:color="auto" w:sz="4" w:space="0"/>
              <w:right w:val="single" w:color="auto" w:sz="4" w:space="0"/>
            </w:tcBorders>
            <w:vAlign w:val="center"/>
          </w:tcPr>
          <w:p w14:paraId="6F531749">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r>
              <w:rPr>
                <w:rFonts w:eastAsiaTheme="minorEastAsia"/>
                <w:color w:val="auto"/>
                <w:szCs w:val="21"/>
              </w:rPr>
              <w:t>保险保障承诺（8分）</w:t>
            </w:r>
          </w:p>
        </w:tc>
        <w:tc>
          <w:tcPr>
            <w:tcW w:w="7399" w:type="dxa"/>
            <w:tcBorders>
              <w:top w:val="single" w:color="auto" w:sz="4" w:space="0"/>
              <w:left w:val="single" w:color="auto" w:sz="4" w:space="0"/>
              <w:bottom w:val="single" w:color="auto" w:sz="4" w:space="0"/>
              <w:right w:val="single" w:color="auto" w:sz="4" w:space="0"/>
            </w:tcBorders>
            <w:vAlign w:val="center"/>
          </w:tcPr>
          <w:p w14:paraId="61B14D5E">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①</w:t>
            </w:r>
            <w:r>
              <w:rPr>
                <w:rFonts w:ascii="Times New Roman" w:hAnsi="Times New Roman" w:eastAsiaTheme="minorEastAsia"/>
                <w:color w:val="auto"/>
                <w:szCs w:val="21"/>
              </w:rPr>
              <w:t>基础保险承诺（4 分）：投标人书面承诺中标后购买公众责任险（第三者意外险）、雇主责任险，且购买的公众责任险（第三者意外险）是指涵盖本项目地址和服务内容且保险期内累计赔偿限额达到不低于2000万元的保险，雇主责任险的范围至少应包含所有未办理工伤保险的本项目服务人员，且每人赔偿限额不少于100万元。</w:t>
            </w:r>
          </w:p>
          <w:p w14:paraId="69F2071B">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②</w:t>
            </w:r>
            <w:r>
              <w:rPr>
                <w:rFonts w:ascii="Times New Roman" w:hAnsi="Times New Roman" w:eastAsiaTheme="minorEastAsia"/>
                <w:color w:val="auto"/>
                <w:szCs w:val="21"/>
              </w:rPr>
              <w:t>增加险种（4 分）：除以上两种保险以外，投标人承诺针对本项目每增加购买一个相关险种得2分 ，满分4分。</w:t>
            </w:r>
          </w:p>
          <w:p w14:paraId="05078F99">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（不提供书面承诺或承诺未完全体现上述内容不得分）</w:t>
            </w:r>
          </w:p>
        </w:tc>
      </w:tr>
      <w:tr w14:paraId="76FD1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continue"/>
            <w:tcBorders>
              <w:bottom w:val="single" w:color="auto" w:sz="4" w:space="0"/>
            </w:tcBorders>
            <w:vAlign w:val="center"/>
          </w:tcPr>
          <w:p w14:paraId="7849620D">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p>
        </w:tc>
        <w:tc>
          <w:tcPr>
            <w:tcW w:w="1136" w:type="dxa"/>
            <w:tcBorders>
              <w:top w:val="single" w:color="auto" w:sz="4" w:space="0"/>
              <w:left w:val="single" w:color="auto" w:sz="4" w:space="0"/>
              <w:bottom w:val="single" w:color="auto" w:sz="4" w:space="0"/>
              <w:right w:val="single" w:color="auto" w:sz="4" w:space="0"/>
            </w:tcBorders>
            <w:vAlign w:val="center"/>
          </w:tcPr>
          <w:p w14:paraId="32438296">
            <w:pPr>
              <w:keepNext w:val="0"/>
              <w:keepLines w:val="0"/>
              <w:pageBreakBefore w:val="0"/>
              <w:widowControl w:val="0"/>
              <w:kinsoku/>
              <w:wordWrap/>
              <w:overflowPunct/>
              <w:topLinePunct w:val="0"/>
              <w:autoSpaceDE/>
              <w:autoSpaceDN/>
              <w:bidi w:val="0"/>
              <w:spacing w:line="240" w:lineRule="auto"/>
              <w:ind w:right="0"/>
              <w:jc w:val="center"/>
              <w:textAlignment w:val="auto"/>
              <w:rPr>
                <w:rFonts w:eastAsiaTheme="minorEastAsia"/>
                <w:color w:val="auto"/>
                <w:szCs w:val="21"/>
              </w:rPr>
            </w:pPr>
            <w:r>
              <w:rPr>
                <w:rFonts w:eastAsiaTheme="minorEastAsia"/>
                <w:color w:val="auto"/>
                <w:szCs w:val="21"/>
              </w:rPr>
              <w:t>信息化管理能力（3分）</w:t>
            </w:r>
          </w:p>
        </w:tc>
        <w:tc>
          <w:tcPr>
            <w:tcW w:w="7399" w:type="dxa"/>
            <w:tcBorders>
              <w:top w:val="single" w:color="auto" w:sz="4" w:space="0"/>
              <w:left w:val="single" w:color="auto" w:sz="4" w:space="0"/>
              <w:bottom w:val="single" w:color="auto" w:sz="4" w:space="0"/>
              <w:right w:val="single" w:color="auto" w:sz="4" w:space="0"/>
            </w:tcBorders>
            <w:vAlign w:val="center"/>
          </w:tcPr>
          <w:p w14:paraId="62F583B1">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投标人拥有运维服务管理软件系统（投标人自主开发或向第三方购买均可）：</w:t>
            </w:r>
          </w:p>
          <w:p w14:paraId="7FC9F6E9">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①</w:t>
            </w:r>
            <w:r>
              <w:rPr>
                <w:rFonts w:ascii="Times New Roman" w:hAnsi="Times New Roman" w:eastAsiaTheme="minorEastAsia"/>
                <w:color w:val="auto"/>
                <w:szCs w:val="21"/>
              </w:rPr>
              <w:t>投标人具有自主研发的拟投入本项目服务的类似工程管理、设备巡检管理、突发事件上报及处理方案管理系统，提供软件著作权证书，得3分；</w:t>
            </w:r>
          </w:p>
          <w:p w14:paraId="02125224">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Cambria Math" w:hAnsi="Cambria Math" w:cs="Cambria Math" w:eastAsiaTheme="minorEastAsia"/>
                <w:color w:val="auto"/>
                <w:szCs w:val="21"/>
              </w:rPr>
              <w:t>②</w:t>
            </w:r>
            <w:r>
              <w:rPr>
                <w:rFonts w:ascii="Times New Roman" w:hAnsi="Times New Roman" w:eastAsiaTheme="minorEastAsia"/>
                <w:color w:val="auto"/>
                <w:szCs w:val="21"/>
              </w:rPr>
              <w:t>投标人具有非自主研发的拟投入本项目服务的类似工程管理、设备巡检管理、突发事件上报及处理方案管理系统，需提供软件授权使用证明、购买发票和软件著作权证书（缺一不可），得3分。</w:t>
            </w:r>
          </w:p>
          <w:p w14:paraId="13E5EE8C">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bCs/>
                <w:color w:val="auto"/>
                <w:szCs w:val="21"/>
              </w:rPr>
            </w:pPr>
            <w:r>
              <w:rPr>
                <w:rFonts w:ascii="Times New Roman" w:hAnsi="Times New Roman" w:eastAsiaTheme="minorEastAsia"/>
                <w:color w:val="auto"/>
                <w:szCs w:val="21"/>
              </w:rPr>
              <w:t>（注：未按要求提供证明的不得分，如自主开发需在中国版权服务公众号或官网可查，并提供截图，否则不得分；类似功能的软件不得在自主研发和非自主研发中同时得分；如为向第三方购买的软件，需承诺中标后一个月内完成投入使用。）</w:t>
            </w:r>
          </w:p>
        </w:tc>
      </w:tr>
      <w:tr w14:paraId="15A86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restart"/>
            <w:tcBorders>
              <w:top w:val="single" w:color="auto" w:sz="4" w:space="0"/>
              <w:left w:val="single" w:color="auto" w:sz="4" w:space="0"/>
              <w:right w:val="single" w:color="auto" w:sz="4" w:space="0"/>
            </w:tcBorders>
            <w:vAlign w:val="center"/>
          </w:tcPr>
          <w:p w14:paraId="678A89DF">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rPr>
            </w:pPr>
            <w:r>
              <w:rPr>
                <w:rFonts w:eastAsiaTheme="minorEastAsia"/>
                <w:color w:val="auto"/>
                <w:szCs w:val="21"/>
              </w:rPr>
              <w:t>项目方案</w:t>
            </w:r>
          </w:p>
        </w:tc>
        <w:tc>
          <w:tcPr>
            <w:tcW w:w="1136" w:type="dxa"/>
            <w:tcBorders>
              <w:top w:val="single" w:color="auto" w:sz="4" w:space="0"/>
              <w:left w:val="single" w:color="auto" w:sz="4" w:space="0"/>
              <w:bottom w:val="single" w:color="auto" w:sz="4" w:space="0"/>
              <w:right w:val="single" w:color="auto" w:sz="4" w:space="0"/>
            </w:tcBorders>
            <w:vAlign w:val="center"/>
          </w:tcPr>
          <w:p w14:paraId="48D8311D">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rPr>
            </w:pPr>
            <w:r>
              <w:rPr>
                <w:rFonts w:eastAsiaTheme="minorEastAsia"/>
                <w:color w:val="auto"/>
                <w:szCs w:val="21"/>
              </w:rPr>
              <w:t>整体服务方案（8分）</w:t>
            </w:r>
          </w:p>
        </w:tc>
        <w:tc>
          <w:tcPr>
            <w:tcW w:w="7399" w:type="dxa"/>
            <w:tcBorders>
              <w:top w:val="single" w:color="auto" w:sz="4" w:space="0"/>
              <w:left w:val="single" w:color="auto" w:sz="4" w:space="0"/>
              <w:bottom w:val="single" w:color="auto" w:sz="4" w:space="0"/>
              <w:right w:val="single" w:color="auto" w:sz="4" w:space="0"/>
            </w:tcBorders>
            <w:vAlign w:val="center"/>
          </w:tcPr>
          <w:p w14:paraId="28E0FE1A">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提供服务管理的总体目标、服务内容、管理方式、质量控制方式，以及方案的规范性、完整性、可行性等情况:</w:t>
            </w:r>
          </w:p>
          <w:p w14:paraId="5A80F9BE">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方案完善、科学可行、针对性强，重点、难点分析准确，应对措施有力得8分；</w:t>
            </w:r>
          </w:p>
          <w:p w14:paraId="20F9E71C">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方案较完善、针对性较强，重点、难点把控较准确得4分；</w:t>
            </w:r>
          </w:p>
          <w:p w14:paraId="2E23E508">
            <w:pPr>
              <w:pStyle w:val="28"/>
              <w:keepNext w:val="0"/>
              <w:keepLines w:val="0"/>
              <w:pageBreakBefore w:val="0"/>
              <w:widowControl w:val="0"/>
              <w:kinsoku/>
              <w:wordWrap/>
              <w:overflowPunct/>
              <w:topLinePunct w:val="0"/>
              <w:autoSpaceDE/>
              <w:autoSpaceDN/>
              <w:bidi w:val="0"/>
              <w:spacing w:line="240" w:lineRule="auto"/>
              <w:ind w:right="0"/>
              <w:textAlignment w:val="auto"/>
              <w:rPr>
                <w:rFonts w:eastAsiaTheme="minorEastAsia"/>
                <w:color w:val="auto"/>
                <w:szCs w:val="21"/>
              </w:rPr>
            </w:pPr>
            <w:r>
              <w:rPr>
                <w:rFonts w:eastAsiaTheme="minorEastAsia"/>
                <w:color w:val="auto"/>
                <w:szCs w:val="21"/>
              </w:rPr>
              <w:t>方案有缺失、针对性不强，重点、难点把控不准确得2分；</w:t>
            </w:r>
          </w:p>
          <w:p w14:paraId="32161ECD">
            <w:pPr>
              <w:pStyle w:val="28"/>
              <w:keepNext w:val="0"/>
              <w:keepLines w:val="0"/>
              <w:pageBreakBefore w:val="0"/>
              <w:widowControl w:val="0"/>
              <w:kinsoku/>
              <w:wordWrap/>
              <w:overflowPunct/>
              <w:topLinePunct w:val="0"/>
              <w:autoSpaceDE/>
              <w:autoSpaceDN/>
              <w:bidi w:val="0"/>
              <w:spacing w:line="240" w:lineRule="auto"/>
              <w:ind w:right="0"/>
              <w:textAlignment w:val="auto"/>
              <w:rPr>
                <w:rFonts w:eastAsiaTheme="minorEastAsia"/>
                <w:color w:val="auto"/>
                <w:szCs w:val="21"/>
              </w:rPr>
            </w:pPr>
            <w:r>
              <w:rPr>
                <w:rFonts w:eastAsiaTheme="minorEastAsia"/>
                <w:color w:val="auto"/>
                <w:szCs w:val="21"/>
              </w:rPr>
              <w:t>没有提供不得分。</w:t>
            </w:r>
          </w:p>
        </w:tc>
      </w:tr>
      <w:tr w14:paraId="43E6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continue"/>
            <w:tcBorders>
              <w:left w:val="single" w:color="auto" w:sz="4" w:space="0"/>
              <w:right w:val="single" w:color="auto" w:sz="4" w:space="0"/>
            </w:tcBorders>
            <w:vAlign w:val="center"/>
          </w:tcPr>
          <w:p w14:paraId="79C935FE">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rPr>
            </w:pPr>
          </w:p>
        </w:tc>
        <w:tc>
          <w:tcPr>
            <w:tcW w:w="1136" w:type="dxa"/>
            <w:tcBorders>
              <w:top w:val="single" w:color="auto" w:sz="4" w:space="0"/>
              <w:left w:val="single" w:color="auto" w:sz="4" w:space="0"/>
              <w:bottom w:val="single" w:color="auto" w:sz="4" w:space="0"/>
              <w:right w:val="single" w:color="auto" w:sz="4" w:space="0"/>
            </w:tcBorders>
            <w:vAlign w:val="center"/>
          </w:tcPr>
          <w:p w14:paraId="37294497">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shd w:val="clear" w:color="auto" w:fill="FFFFFF"/>
              </w:rPr>
            </w:pPr>
            <w:r>
              <w:rPr>
                <w:rFonts w:eastAsiaTheme="minorEastAsia"/>
                <w:color w:val="auto"/>
                <w:szCs w:val="21"/>
              </w:rPr>
              <w:t>管理方案（10分）</w:t>
            </w:r>
          </w:p>
        </w:tc>
        <w:tc>
          <w:tcPr>
            <w:tcW w:w="7399" w:type="dxa"/>
            <w:tcBorders>
              <w:top w:val="single" w:color="auto" w:sz="4" w:space="0"/>
              <w:left w:val="single" w:color="auto" w:sz="4" w:space="0"/>
              <w:bottom w:val="single" w:color="auto" w:sz="4" w:space="0"/>
              <w:right w:val="single" w:color="auto" w:sz="4" w:space="0"/>
            </w:tcBorders>
            <w:vAlign w:val="center"/>
          </w:tcPr>
          <w:p w14:paraId="45391D50">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有规范、专业、合理、可行的管理制度,列明各岗位规章制度、考勤管理制度、交接班管理制度、设备巡检制度、安全管理制度、质量管理制度、人员专业培训制度、考核奖惩制度、人员安全防护制度:</w:t>
            </w:r>
          </w:p>
          <w:p w14:paraId="3B265257">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规范、专业、合理，方案完善、针对性强且科学可行得10分；</w:t>
            </w:r>
          </w:p>
          <w:p w14:paraId="4831A9FF">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方案较完善、针对性较强、较科学的得6分；</w:t>
            </w:r>
          </w:p>
          <w:p w14:paraId="34538609">
            <w:pPr>
              <w:pStyle w:val="28"/>
              <w:keepNext w:val="0"/>
              <w:keepLines w:val="0"/>
              <w:pageBreakBefore w:val="0"/>
              <w:widowControl w:val="0"/>
              <w:kinsoku/>
              <w:wordWrap/>
              <w:overflowPunct/>
              <w:topLinePunct w:val="0"/>
              <w:autoSpaceDE/>
              <w:autoSpaceDN/>
              <w:bidi w:val="0"/>
              <w:spacing w:line="240" w:lineRule="auto"/>
              <w:ind w:right="0"/>
              <w:textAlignment w:val="auto"/>
              <w:rPr>
                <w:rFonts w:eastAsiaTheme="minorEastAsia"/>
                <w:color w:val="auto"/>
                <w:szCs w:val="21"/>
              </w:rPr>
            </w:pPr>
            <w:r>
              <w:rPr>
                <w:rFonts w:eastAsiaTheme="minorEastAsia"/>
                <w:color w:val="auto"/>
                <w:szCs w:val="21"/>
              </w:rPr>
              <w:t>方案有缺失、针对性不强，重点、难点把控不科学的得2分；</w:t>
            </w:r>
          </w:p>
          <w:p w14:paraId="0349DE6A">
            <w:pPr>
              <w:pStyle w:val="28"/>
              <w:keepNext w:val="0"/>
              <w:keepLines w:val="0"/>
              <w:pageBreakBefore w:val="0"/>
              <w:widowControl w:val="0"/>
              <w:kinsoku/>
              <w:wordWrap/>
              <w:overflowPunct/>
              <w:topLinePunct w:val="0"/>
              <w:autoSpaceDE/>
              <w:autoSpaceDN/>
              <w:bidi w:val="0"/>
              <w:spacing w:line="240" w:lineRule="auto"/>
              <w:ind w:right="0"/>
              <w:textAlignment w:val="auto"/>
              <w:rPr>
                <w:rFonts w:eastAsiaTheme="minorEastAsia"/>
                <w:color w:val="auto"/>
                <w:szCs w:val="21"/>
              </w:rPr>
            </w:pPr>
            <w:r>
              <w:rPr>
                <w:rFonts w:eastAsiaTheme="minorEastAsia"/>
                <w:color w:val="auto"/>
                <w:szCs w:val="21"/>
              </w:rPr>
              <w:t>没有提供不得分。</w:t>
            </w:r>
          </w:p>
        </w:tc>
      </w:tr>
      <w:tr w14:paraId="333E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continue"/>
            <w:tcBorders>
              <w:left w:val="single" w:color="auto" w:sz="4" w:space="0"/>
              <w:right w:val="single" w:color="auto" w:sz="4" w:space="0"/>
            </w:tcBorders>
            <w:vAlign w:val="center"/>
          </w:tcPr>
          <w:p w14:paraId="740513CB">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rPr>
            </w:pPr>
          </w:p>
        </w:tc>
        <w:tc>
          <w:tcPr>
            <w:tcW w:w="1136" w:type="dxa"/>
            <w:tcBorders>
              <w:top w:val="single" w:color="auto" w:sz="4" w:space="0"/>
              <w:left w:val="single" w:color="auto" w:sz="4" w:space="0"/>
              <w:bottom w:val="single" w:color="auto" w:sz="4" w:space="0"/>
              <w:right w:val="single" w:color="auto" w:sz="4" w:space="0"/>
            </w:tcBorders>
            <w:vAlign w:val="center"/>
          </w:tcPr>
          <w:p w14:paraId="01D550DB">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rPr>
            </w:pPr>
            <w:r>
              <w:rPr>
                <w:rFonts w:eastAsiaTheme="minorEastAsia"/>
                <w:color w:val="auto"/>
                <w:szCs w:val="21"/>
              </w:rPr>
              <w:t>设施设备运维方案（8分）</w:t>
            </w:r>
          </w:p>
        </w:tc>
        <w:tc>
          <w:tcPr>
            <w:tcW w:w="7399" w:type="dxa"/>
            <w:tcBorders>
              <w:top w:val="single" w:color="auto" w:sz="4" w:space="0"/>
              <w:left w:val="single" w:color="auto" w:sz="4" w:space="0"/>
              <w:bottom w:val="single" w:color="auto" w:sz="4" w:space="0"/>
              <w:right w:val="single" w:color="auto" w:sz="4" w:space="0"/>
            </w:tcBorders>
            <w:vAlign w:val="center"/>
          </w:tcPr>
          <w:p w14:paraId="6F8B89A5">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设施维修有SOP标准化作业流程书，维修问题处理流程、接报-派工-完工-回访制度、节能降耗管理方案、机电各系统运行数据收集方案、优化各系统设备运行及维护方案:</w:t>
            </w:r>
          </w:p>
          <w:p w14:paraId="572C5F9A">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方案全面、能够实际操作、切实可行的得8分；</w:t>
            </w:r>
          </w:p>
          <w:p w14:paraId="5C5C6DA3">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方案较完善、较可行、针对性较强得4分；</w:t>
            </w:r>
          </w:p>
          <w:p w14:paraId="60E6E61F">
            <w:pPr>
              <w:pStyle w:val="28"/>
              <w:keepNext w:val="0"/>
              <w:keepLines w:val="0"/>
              <w:pageBreakBefore w:val="0"/>
              <w:widowControl w:val="0"/>
              <w:kinsoku/>
              <w:wordWrap/>
              <w:overflowPunct/>
              <w:topLinePunct w:val="0"/>
              <w:autoSpaceDE/>
              <w:autoSpaceDN/>
              <w:bidi w:val="0"/>
              <w:spacing w:line="240" w:lineRule="auto"/>
              <w:ind w:right="0"/>
              <w:textAlignment w:val="auto"/>
              <w:rPr>
                <w:rFonts w:eastAsiaTheme="minorEastAsia"/>
                <w:color w:val="auto"/>
                <w:szCs w:val="21"/>
              </w:rPr>
            </w:pPr>
            <w:r>
              <w:rPr>
                <w:rFonts w:eastAsiaTheme="minorEastAsia"/>
                <w:color w:val="auto"/>
                <w:szCs w:val="21"/>
              </w:rPr>
              <w:t>方案有缺失、针对性不强，重点、难点把控不准确得2分；</w:t>
            </w:r>
          </w:p>
          <w:p w14:paraId="15172049">
            <w:pPr>
              <w:pStyle w:val="28"/>
              <w:keepNext w:val="0"/>
              <w:keepLines w:val="0"/>
              <w:pageBreakBefore w:val="0"/>
              <w:widowControl w:val="0"/>
              <w:kinsoku/>
              <w:wordWrap/>
              <w:overflowPunct/>
              <w:topLinePunct w:val="0"/>
              <w:autoSpaceDE/>
              <w:autoSpaceDN/>
              <w:bidi w:val="0"/>
              <w:spacing w:line="240" w:lineRule="auto"/>
              <w:ind w:right="0"/>
              <w:textAlignment w:val="auto"/>
              <w:rPr>
                <w:rFonts w:eastAsiaTheme="minorEastAsia"/>
                <w:color w:val="auto"/>
                <w:szCs w:val="21"/>
              </w:rPr>
            </w:pPr>
            <w:r>
              <w:rPr>
                <w:rFonts w:eastAsiaTheme="minorEastAsia"/>
                <w:color w:val="auto"/>
                <w:szCs w:val="21"/>
              </w:rPr>
              <w:t>未提供的不得分。</w:t>
            </w:r>
          </w:p>
        </w:tc>
      </w:tr>
      <w:tr w14:paraId="75533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222" w:type="dxa"/>
            <w:vMerge w:val="continue"/>
            <w:tcBorders>
              <w:left w:val="single" w:color="auto" w:sz="4" w:space="0"/>
              <w:right w:val="single" w:color="auto" w:sz="4" w:space="0"/>
            </w:tcBorders>
            <w:vAlign w:val="center"/>
          </w:tcPr>
          <w:p w14:paraId="7869EC4B">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rPr>
            </w:pPr>
          </w:p>
        </w:tc>
        <w:tc>
          <w:tcPr>
            <w:tcW w:w="1136" w:type="dxa"/>
            <w:tcBorders>
              <w:top w:val="single" w:color="auto" w:sz="4" w:space="0"/>
              <w:left w:val="single" w:color="auto" w:sz="4" w:space="0"/>
              <w:bottom w:val="single" w:color="auto" w:sz="4" w:space="0"/>
              <w:right w:val="single" w:color="auto" w:sz="4" w:space="0"/>
            </w:tcBorders>
            <w:vAlign w:val="center"/>
          </w:tcPr>
          <w:p w14:paraId="129B0105">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rPr>
            </w:pPr>
            <w:r>
              <w:rPr>
                <w:rFonts w:eastAsiaTheme="minorEastAsia"/>
                <w:color w:val="auto"/>
                <w:szCs w:val="21"/>
              </w:rPr>
              <w:t>应急保障与安全管理</w:t>
            </w:r>
          </w:p>
          <w:p w14:paraId="5F82D563">
            <w:pPr>
              <w:keepNext w:val="0"/>
              <w:keepLines w:val="0"/>
              <w:pageBreakBefore w:val="0"/>
              <w:widowControl w:val="0"/>
              <w:kinsoku/>
              <w:wordWrap/>
              <w:overflowPunct/>
              <w:topLinePunct w:val="0"/>
              <w:autoSpaceDE/>
              <w:autoSpaceDN/>
              <w:bidi w:val="0"/>
              <w:adjustRightInd w:val="0"/>
              <w:snapToGrid w:val="0"/>
              <w:spacing w:line="240" w:lineRule="auto"/>
              <w:ind w:right="0"/>
              <w:jc w:val="center"/>
              <w:textAlignment w:val="auto"/>
              <w:rPr>
                <w:rFonts w:eastAsiaTheme="minorEastAsia"/>
                <w:color w:val="auto"/>
                <w:szCs w:val="21"/>
              </w:rPr>
            </w:pPr>
            <w:r>
              <w:rPr>
                <w:rFonts w:eastAsiaTheme="minorEastAsia"/>
                <w:color w:val="auto"/>
                <w:szCs w:val="21"/>
              </w:rPr>
              <w:t>（8分）</w:t>
            </w:r>
          </w:p>
        </w:tc>
        <w:tc>
          <w:tcPr>
            <w:tcW w:w="7399" w:type="dxa"/>
            <w:tcBorders>
              <w:top w:val="single" w:color="auto" w:sz="4" w:space="0"/>
              <w:left w:val="single" w:color="auto" w:sz="4" w:space="0"/>
              <w:bottom w:val="single" w:color="auto" w:sz="4" w:space="0"/>
              <w:right w:val="single" w:color="auto" w:sz="4" w:space="0"/>
            </w:tcBorders>
            <w:vAlign w:val="center"/>
          </w:tcPr>
          <w:p w14:paraId="39411620">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针对停电、医气中断、电梯困人、水管爆裂、火灾等突发事件制定应急预案及年度应急演练计划方案进行评审:</w:t>
            </w:r>
          </w:p>
          <w:p w14:paraId="10FA9754">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方案完善、针对性强且科学可行得8分；</w:t>
            </w:r>
          </w:p>
          <w:p w14:paraId="788C32DA">
            <w:pPr>
              <w:pStyle w:val="301"/>
              <w:keepNext w:val="0"/>
              <w:keepLines w:val="0"/>
              <w:pageBreakBefore w:val="0"/>
              <w:widowControl w:val="0"/>
              <w:kinsoku/>
              <w:wordWrap/>
              <w:overflowPunct/>
              <w:topLinePunct w:val="0"/>
              <w:autoSpaceDE/>
              <w:autoSpaceDN/>
              <w:bidi w:val="0"/>
              <w:spacing w:before="0" w:beforeAutospacing="0" w:after="0" w:afterAutospacing="0" w:line="240" w:lineRule="auto"/>
              <w:ind w:left="0" w:right="0"/>
              <w:textAlignment w:val="auto"/>
              <w:rPr>
                <w:rFonts w:ascii="Times New Roman" w:hAnsi="Times New Roman" w:eastAsiaTheme="minorEastAsia"/>
                <w:color w:val="auto"/>
                <w:szCs w:val="21"/>
              </w:rPr>
            </w:pPr>
            <w:r>
              <w:rPr>
                <w:rFonts w:ascii="Times New Roman" w:hAnsi="Times New Roman" w:eastAsiaTheme="minorEastAsia"/>
                <w:color w:val="auto"/>
                <w:szCs w:val="21"/>
              </w:rPr>
              <w:t>方案较完善、针对性较强、较科学的得4分；</w:t>
            </w:r>
          </w:p>
          <w:p w14:paraId="3587BE05">
            <w:pPr>
              <w:pStyle w:val="28"/>
              <w:keepNext w:val="0"/>
              <w:keepLines w:val="0"/>
              <w:pageBreakBefore w:val="0"/>
              <w:widowControl w:val="0"/>
              <w:kinsoku/>
              <w:wordWrap/>
              <w:overflowPunct/>
              <w:topLinePunct w:val="0"/>
              <w:autoSpaceDE/>
              <w:autoSpaceDN/>
              <w:bidi w:val="0"/>
              <w:spacing w:line="240" w:lineRule="auto"/>
              <w:ind w:right="0"/>
              <w:textAlignment w:val="auto"/>
              <w:rPr>
                <w:rFonts w:eastAsiaTheme="minorEastAsia"/>
                <w:color w:val="auto"/>
                <w:szCs w:val="21"/>
              </w:rPr>
            </w:pPr>
            <w:r>
              <w:rPr>
                <w:rFonts w:eastAsiaTheme="minorEastAsia"/>
                <w:color w:val="auto"/>
                <w:szCs w:val="21"/>
              </w:rPr>
              <w:t>方案有缺失、针对性不强，重点、难点把控不科学的得2分；</w:t>
            </w:r>
          </w:p>
          <w:p w14:paraId="3391A427">
            <w:pPr>
              <w:pStyle w:val="28"/>
              <w:keepNext w:val="0"/>
              <w:keepLines w:val="0"/>
              <w:pageBreakBefore w:val="0"/>
              <w:widowControl w:val="0"/>
              <w:kinsoku/>
              <w:wordWrap/>
              <w:overflowPunct/>
              <w:topLinePunct w:val="0"/>
              <w:autoSpaceDE/>
              <w:autoSpaceDN/>
              <w:bidi w:val="0"/>
              <w:spacing w:line="240" w:lineRule="auto"/>
              <w:ind w:right="0"/>
              <w:textAlignment w:val="auto"/>
              <w:rPr>
                <w:rFonts w:eastAsiaTheme="minorEastAsia"/>
                <w:color w:val="auto"/>
                <w:szCs w:val="21"/>
              </w:rPr>
            </w:pPr>
            <w:r>
              <w:rPr>
                <w:rFonts w:eastAsiaTheme="minorEastAsia"/>
                <w:color w:val="auto"/>
                <w:szCs w:val="21"/>
              </w:rPr>
              <w:t>没有提供不得分。</w:t>
            </w:r>
          </w:p>
        </w:tc>
      </w:tr>
    </w:tbl>
    <w:p w14:paraId="3535791F">
      <w:pPr>
        <w:spacing w:line="360" w:lineRule="auto"/>
        <w:ind w:firstLine="422" w:firstLineChars="200"/>
        <w:jc w:val="left"/>
        <w:rPr>
          <w:rFonts w:eastAsiaTheme="minorEastAsia"/>
          <w:b/>
          <w:color w:val="auto"/>
          <w:szCs w:val="21"/>
        </w:rPr>
      </w:pPr>
      <w:r>
        <w:rPr>
          <w:rFonts w:eastAsiaTheme="minorEastAsia"/>
          <w:b/>
          <w:color w:val="auto"/>
          <w:szCs w:val="21"/>
        </w:rPr>
        <w:t>说明：1.所有认证、证明和业绩均以有效清晰的证明文件的复印件为依据，原件备查。</w:t>
      </w:r>
    </w:p>
    <w:p w14:paraId="5F747CF1">
      <w:pPr>
        <w:spacing w:line="360" w:lineRule="auto"/>
        <w:ind w:firstLine="422" w:firstLineChars="200"/>
        <w:rPr>
          <w:rFonts w:eastAsiaTheme="minorEastAsia"/>
          <w:b/>
          <w:color w:val="auto"/>
          <w:szCs w:val="21"/>
        </w:rPr>
      </w:pPr>
      <w:r>
        <w:rPr>
          <w:rFonts w:eastAsiaTheme="minorEastAsia"/>
          <w:b/>
          <w:color w:val="auto"/>
          <w:szCs w:val="21"/>
        </w:rPr>
        <w:t>2.小微企业价格扣除</w:t>
      </w:r>
    </w:p>
    <w:p w14:paraId="12EA0BDC">
      <w:pPr>
        <w:spacing w:line="360" w:lineRule="auto"/>
        <w:ind w:firstLine="422" w:firstLineChars="200"/>
        <w:rPr>
          <w:rFonts w:eastAsiaTheme="minorEastAsia"/>
          <w:color w:val="auto"/>
          <w:szCs w:val="21"/>
        </w:rPr>
      </w:pPr>
      <w:r>
        <w:rPr>
          <w:rFonts w:eastAsiaTheme="minorEastAsia"/>
          <w:b/>
          <w:color w:val="auto"/>
          <w:szCs w:val="21"/>
        </w:rPr>
        <w:t>2.1对于专门面向中小企业或小型、微型企业的项目，只面向中小企业或小型、微型企业采购。对于非专门面向中小企业的项目，对小型和微型企业的价格给予10%的扣除，用扣除后的价格参与评审。</w:t>
      </w:r>
    </w:p>
    <w:p w14:paraId="37D5B663">
      <w:pPr>
        <w:spacing w:line="360" w:lineRule="auto"/>
        <w:ind w:firstLine="422" w:firstLineChars="200"/>
        <w:rPr>
          <w:rFonts w:eastAsiaTheme="minorEastAsia"/>
          <w:b/>
          <w:color w:val="auto"/>
          <w:szCs w:val="21"/>
        </w:rPr>
      </w:pPr>
      <w:r>
        <w:rPr>
          <w:rFonts w:eastAsiaTheme="minorEastAsia"/>
          <w:b/>
          <w:color w:val="auto"/>
          <w:szCs w:val="21"/>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1CC2C809">
      <w:pPr>
        <w:spacing w:line="360" w:lineRule="auto"/>
        <w:ind w:firstLine="422" w:firstLineChars="200"/>
        <w:rPr>
          <w:rFonts w:eastAsiaTheme="minorEastAsia"/>
          <w:b/>
          <w:color w:val="auto"/>
          <w:szCs w:val="21"/>
        </w:rPr>
      </w:pPr>
      <w:r>
        <w:rPr>
          <w:rFonts w:eastAsiaTheme="minorEastAsia"/>
          <w:b/>
          <w:color w:val="auto"/>
          <w:szCs w:val="21"/>
        </w:rPr>
        <w:t>3.监狱和戒毒企业的价格扣除</w:t>
      </w:r>
    </w:p>
    <w:p w14:paraId="7780D376">
      <w:pPr>
        <w:spacing w:line="360" w:lineRule="auto"/>
        <w:ind w:firstLine="422" w:firstLineChars="200"/>
        <w:rPr>
          <w:rFonts w:eastAsiaTheme="minorEastAsia"/>
          <w:b/>
          <w:color w:val="auto"/>
          <w:szCs w:val="21"/>
        </w:rPr>
      </w:pPr>
      <w:r>
        <w:rPr>
          <w:rFonts w:eastAsiaTheme="minorEastAsia"/>
          <w:b/>
          <w:color w:val="auto"/>
          <w:szCs w:val="21"/>
        </w:rPr>
        <w:t>3.1 本项目对监狱和戒毒企业，给予10%的价格扣除，用扣除后的价格参与评审。</w:t>
      </w:r>
    </w:p>
    <w:p w14:paraId="243D6009">
      <w:pPr>
        <w:spacing w:line="360" w:lineRule="auto"/>
        <w:ind w:firstLine="422" w:firstLineChars="200"/>
        <w:rPr>
          <w:rFonts w:eastAsiaTheme="minorEastAsia"/>
          <w:b/>
          <w:color w:val="auto"/>
          <w:szCs w:val="21"/>
        </w:rPr>
      </w:pPr>
      <w:r>
        <w:rPr>
          <w:rFonts w:eastAsiaTheme="minorEastAsia"/>
          <w:b/>
          <w:color w:val="auto"/>
          <w:szCs w:val="21"/>
        </w:rPr>
        <w:t>3.2 监狱企业需提供由省级以上监狱管理局、戒毒管理局（含新疆生产建设兵团）出具的属于监狱企业的证明文件。</w:t>
      </w:r>
    </w:p>
    <w:p w14:paraId="619A1102">
      <w:pPr>
        <w:spacing w:line="360" w:lineRule="auto"/>
        <w:ind w:firstLine="422" w:firstLineChars="200"/>
        <w:rPr>
          <w:rFonts w:eastAsiaTheme="minorEastAsia"/>
          <w:b/>
          <w:color w:val="auto"/>
          <w:szCs w:val="21"/>
        </w:rPr>
      </w:pPr>
      <w:r>
        <w:rPr>
          <w:rFonts w:eastAsiaTheme="minorEastAsia"/>
          <w:b/>
          <w:color w:val="auto"/>
          <w:szCs w:val="21"/>
        </w:rPr>
        <w:t>3.3 监狱企业标准请参照《关于政府采购支持监狱企业发展有关问题的通知》（财库〔2014〕68号）。</w:t>
      </w:r>
    </w:p>
    <w:p w14:paraId="6E8B6E76">
      <w:pPr>
        <w:spacing w:line="360" w:lineRule="auto"/>
        <w:ind w:firstLine="422" w:firstLineChars="200"/>
        <w:rPr>
          <w:rFonts w:eastAsiaTheme="minorEastAsia"/>
          <w:b/>
          <w:color w:val="auto"/>
          <w:szCs w:val="21"/>
        </w:rPr>
      </w:pPr>
      <w:r>
        <w:rPr>
          <w:rFonts w:eastAsiaTheme="minorEastAsia"/>
          <w:b/>
          <w:color w:val="auto"/>
          <w:szCs w:val="21"/>
        </w:rPr>
        <w:t>4.残疾人福利性单位的价格扣除</w:t>
      </w:r>
    </w:p>
    <w:p w14:paraId="7619A4EB">
      <w:pPr>
        <w:spacing w:line="360" w:lineRule="auto"/>
        <w:ind w:firstLine="422" w:firstLineChars="200"/>
        <w:rPr>
          <w:rFonts w:eastAsiaTheme="minorEastAsia"/>
          <w:b/>
          <w:color w:val="auto"/>
          <w:szCs w:val="21"/>
        </w:rPr>
      </w:pPr>
      <w:r>
        <w:rPr>
          <w:rFonts w:eastAsiaTheme="minorEastAsia"/>
          <w:b/>
          <w:color w:val="auto"/>
          <w:szCs w:val="21"/>
        </w:rPr>
        <w:t>4.1 本项目对残疾人福利性单位，给予10%的价格扣除，用扣除后的价格参与评审。</w:t>
      </w:r>
    </w:p>
    <w:p w14:paraId="50D8B58B">
      <w:pPr>
        <w:spacing w:line="360" w:lineRule="auto"/>
        <w:ind w:firstLine="422" w:firstLineChars="200"/>
        <w:rPr>
          <w:rFonts w:eastAsiaTheme="minorEastAsia"/>
          <w:b/>
          <w:color w:val="auto"/>
          <w:szCs w:val="21"/>
        </w:rPr>
      </w:pPr>
      <w:r>
        <w:rPr>
          <w:rFonts w:eastAsiaTheme="minorEastAsia"/>
          <w:b/>
          <w:color w:val="auto"/>
          <w:szCs w:val="21"/>
        </w:rPr>
        <w:t>4.2 残疾人福利性单位需提供《残疾人福利性单位声明函》</w:t>
      </w:r>
    </w:p>
    <w:p w14:paraId="24B97E2C">
      <w:pPr>
        <w:spacing w:line="360" w:lineRule="auto"/>
        <w:ind w:firstLine="422" w:firstLineChars="200"/>
        <w:rPr>
          <w:rFonts w:eastAsiaTheme="minorEastAsia"/>
          <w:b/>
          <w:color w:val="auto"/>
          <w:szCs w:val="21"/>
        </w:rPr>
      </w:pPr>
      <w:r>
        <w:rPr>
          <w:rFonts w:eastAsiaTheme="minorEastAsia"/>
          <w:b/>
          <w:color w:val="auto"/>
          <w:szCs w:val="21"/>
        </w:rPr>
        <w:t>4.3 残疾人福利性单位标准请参照《关于促进残疾人就业政府采购政策的通知》（财库〔2017〕141号）。</w:t>
      </w:r>
    </w:p>
    <w:p w14:paraId="7B2A2E4E">
      <w:pPr>
        <w:spacing w:line="360" w:lineRule="auto"/>
        <w:ind w:firstLine="422" w:firstLineChars="200"/>
        <w:rPr>
          <w:rFonts w:eastAsiaTheme="minorEastAsia"/>
          <w:b/>
          <w:color w:val="auto"/>
          <w:szCs w:val="21"/>
        </w:rPr>
      </w:pPr>
      <w:r>
        <w:rPr>
          <w:rFonts w:eastAsiaTheme="minorEastAsia"/>
          <w:b/>
          <w:color w:val="auto"/>
          <w:szCs w:val="21"/>
        </w:rPr>
        <w:t>5. 监狱企业、残疾人福利性单位属于小型、微型企业的，不重复享受政策。</w:t>
      </w:r>
    </w:p>
    <w:p w14:paraId="1C3F5BC0">
      <w:pPr>
        <w:spacing w:line="360" w:lineRule="auto"/>
        <w:ind w:firstLine="422" w:firstLineChars="200"/>
        <w:rPr>
          <w:rFonts w:eastAsiaTheme="minorEastAsia"/>
          <w:b/>
          <w:color w:val="auto"/>
          <w:szCs w:val="21"/>
        </w:rPr>
      </w:pPr>
      <w:r>
        <w:rPr>
          <w:rFonts w:eastAsiaTheme="minorEastAsia"/>
          <w:b/>
          <w:color w:val="auto"/>
          <w:szCs w:val="21"/>
        </w:rPr>
        <w:t>6.本国产品的价格扣除</w:t>
      </w:r>
    </w:p>
    <w:p w14:paraId="45AFA081">
      <w:pPr>
        <w:spacing w:line="360" w:lineRule="auto"/>
        <w:ind w:firstLine="422" w:firstLineChars="200"/>
        <w:rPr>
          <w:rFonts w:eastAsiaTheme="minorEastAsia"/>
          <w:b/>
          <w:color w:val="auto"/>
          <w:szCs w:val="21"/>
        </w:rPr>
      </w:pPr>
      <w:r>
        <w:rPr>
          <w:rFonts w:eastAsiaTheme="minorEastAsia"/>
          <w:b/>
          <w:color w:val="auto"/>
          <w:szCs w:val="21"/>
        </w:rPr>
        <w:t>6.1本国产品标准、本国产品标准的适用范围、对本国产品的支持政策等详见《国务院办公厅关于在政府采购中实施本国产品标准及相关政策的通知》（国办发〔2025〕34号）。</w:t>
      </w:r>
    </w:p>
    <w:p w14:paraId="7DAD40D6">
      <w:pPr>
        <w:spacing w:line="360" w:lineRule="auto"/>
        <w:ind w:firstLine="422" w:firstLineChars="200"/>
        <w:rPr>
          <w:rFonts w:eastAsiaTheme="minorEastAsia"/>
          <w:b/>
          <w:color w:val="auto"/>
          <w:szCs w:val="21"/>
        </w:rPr>
      </w:pPr>
      <w:r>
        <w:rPr>
          <w:rFonts w:eastAsiaTheme="minorEastAsia"/>
          <w:b/>
          <w:color w:val="auto"/>
          <w:szCs w:val="21"/>
        </w:rPr>
        <w:t>6.2 政府采购活动中既有本国产品又有非本国产品参与竞争的，依法对本国产品给予价格评审优惠，对本国产品的报价给予20%的价格扣除，用扣除后的价格参与评审。</w:t>
      </w:r>
    </w:p>
    <w:p w14:paraId="7A9D58FC">
      <w:pPr>
        <w:spacing w:line="360" w:lineRule="auto"/>
        <w:ind w:firstLine="422" w:firstLineChars="200"/>
        <w:rPr>
          <w:rFonts w:eastAsiaTheme="minorEastAsia"/>
          <w:b/>
          <w:color w:val="auto"/>
          <w:szCs w:val="21"/>
        </w:rPr>
      </w:pPr>
      <w:r>
        <w:rPr>
          <w:rFonts w:eastAsiaTheme="minorEastAsia"/>
          <w:b/>
          <w:color w:val="auto"/>
          <w:szCs w:val="2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16BB682">
      <w:pPr>
        <w:spacing w:line="360" w:lineRule="auto"/>
        <w:rPr>
          <w:rFonts w:eastAsiaTheme="minorEastAsia"/>
          <w:color w:val="auto"/>
          <w:kern w:val="0"/>
        </w:rPr>
      </w:pPr>
      <w:bookmarkStart w:id="19" w:name="_Toc26668"/>
      <w:r>
        <w:rPr>
          <w:rFonts w:eastAsiaTheme="minorEastAsia"/>
          <w:color w:val="auto"/>
          <w:kern w:val="0"/>
        </w:rPr>
        <w:br w:type="page"/>
      </w:r>
    </w:p>
    <w:p w14:paraId="1C454F8D">
      <w:pPr>
        <w:pStyle w:val="13"/>
        <w:numPr>
          <w:ilvl w:val="0"/>
          <w:numId w:val="0"/>
        </w:numPr>
        <w:spacing w:line="360" w:lineRule="auto"/>
        <w:rPr>
          <w:rFonts w:eastAsiaTheme="minorEastAsia"/>
          <w:color w:val="auto"/>
        </w:rPr>
      </w:pPr>
      <w:r>
        <w:rPr>
          <w:rFonts w:eastAsiaTheme="minorEastAsia"/>
          <w:color w:val="auto"/>
          <w:kern w:val="0"/>
        </w:rPr>
        <w:t>第四章 采购需求</w:t>
      </w:r>
      <w:bookmarkEnd w:id="19"/>
      <w:bookmarkStart w:id="20" w:name="_Toc9991"/>
      <w:bookmarkStart w:id="21" w:name="_Toc2652"/>
      <w:bookmarkStart w:id="22" w:name="_Toc29315"/>
      <w:bookmarkStart w:id="23" w:name="OLE_LINK12"/>
      <w:bookmarkStart w:id="24" w:name="_Toc481057147"/>
    </w:p>
    <w:p w14:paraId="2A09A227">
      <w:pPr>
        <w:spacing w:line="360" w:lineRule="auto"/>
        <w:jc w:val="center"/>
        <w:rPr>
          <w:rFonts w:eastAsiaTheme="minorEastAsia"/>
          <w:color w:val="auto"/>
        </w:rPr>
      </w:pPr>
      <w:r>
        <w:rPr>
          <w:rFonts w:hint="eastAsia" w:ascii="宋体" w:hAnsi="宋体" w:eastAsia="宋体" w:cs="宋体"/>
          <w:b/>
          <w:bCs/>
          <w:color w:val="auto"/>
          <w:kern w:val="0"/>
          <w:sz w:val="20"/>
          <w:szCs w:val="20"/>
        </w:rPr>
        <w:t>“★”内容</w:t>
      </w:r>
      <w:bookmarkStart w:id="25" w:name="OLE_LINK9"/>
      <w:r>
        <w:rPr>
          <w:rFonts w:hint="eastAsia" w:ascii="宋体" w:hAnsi="宋体" w:eastAsia="宋体" w:cs="宋体"/>
          <w:b/>
          <w:bCs/>
          <w:color w:val="auto"/>
          <w:kern w:val="0"/>
          <w:sz w:val="20"/>
          <w:szCs w:val="20"/>
        </w:rPr>
        <w:t>为实质性要求，不允许负偏离；否则按无效投标处理</w:t>
      </w:r>
      <w:bookmarkEnd w:id="25"/>
      <w:r>
        <w:rPr>
          <w:rFonts w:hint="eastAsia" w:ascii="宋体" w:hAnsi="宋体" w:eastAsia="宋体" w:cs="宋体"/>
          <w:b/>
          <w:bCs/>
          <w:color w:val="auto"/>
          <w:kern w:val="0"/>
          <w:sz w:val="20"/>
          <w:szCs w:val="20"/>
        </w:rPr>
        <w:t>。</w:t>
      </w:r>
    </w:p>
    <w:p w14:paraId="4E9E6D8C">
      <w:pPr>
        <w:pStyle w:val="74"/>
        <w:widowControl/>
        <w:numPr>
          <w:ilvl w:val="0"/>
          <w:numId w:val="7"/>
        </w:numPr>
        <w:tabs>
          <w:tab w:val="left" w:pos="720"/>
        </w:tabs>
        <w:spacing w:line="360" w:lineRule="auto"/>
        <w:ind w:firstLineChars="0"/>
        <w:jc w:val="left"/>
        <w:outlineLvl w:val="1"/>
        <w:rPr>
          <w:rFonts w:eastAsiaTheme="minorEastAsia"/>
          <w:b/>
          <w:bCs/>
          <w:color w:val="auto"/>
          <w:szCs w:val="21"/>
        </w:rPr>
      </w:pPr>
      <w:bookmarkStart w:id="26" w:name="_Toc28051"/>
      <w:bookmarkStart w:id="27" w:name="_Toc27315"/>
      <w:bookmarkStart w:id="28" w:name="_Toc157169997"/>
      <w:r>
        <w:rPr>
          <w:rFonts w:eastAsiaTheme="minorEastAsia"/>
          <w:b/>
          <w:bCs/>
          <w:color w:val="auto"/>
          <w:szCs w:val="21"/>
        </w:rPr>
        <w:t>医院概</w:t>
      </w:r>
      <w:bookmarkEnd w:id="26"/>
      <w:bookmarkEnd w:id="27"/>
      <w:r>
        <w:rPr>
          <w:rFonts w:eastAsiaTheme="minorEastAsia"/>
          <w:b/>
          <w:bCs/>
          <w:color w:val="auto"/>
          <w:szCs w:val="21"/>
        </w:rPr>
        <w:t>况</w:t>
      </w:r>
      <w:bookmarkEnd w:id="28"/>
    </w:p>
    <w:p w14:paraId="2EDD7EF9">
      <w:pPr>
        <w:spacing w:line="360" w:lineRule="auto"/>
        <w:ind w:firstLine="420" w:firstLineChars="200"/>
        <w:jc w:val="left"/>
        <w:rPr>
          <w:rFonts w:eastAsiaTheme="minorEastAsia"/>
          <w:color w:val="auto"/>
          <w:szCs w:val="21"/>
          <w14:ligatures w14:val="standardContextual"/>
        </w:rPr>
      </w:pPr>
      <w:bookmarkStart w:id="29" w:name="_Toc311"/>
      <w:bookmarkStart w:id="30" w:name="_Toc32119"/>
      <w:r>
        <w:rPr>
          <w:rFonts w:eastAsiaTheme="minorEastAsia"/>
          <w:color w:val="auto"/>
          <w:szCs w:val="21"/>
          <w14:ligatures w14:val="standardContextual"/>
        </w:rPr>
        <w:t>江苏省人民医院龙江院区、江苏省妇幼保健院位于南京市鼓楼区江东北路368号，占地面积4.0万㎡（55.37亩），建筑面积约11.99万㎡。主体建筑楼宇共计5幢：门诊楼、病房楼、保健楼、行政楼、综合楼，以及地下停车库（地下5层），开放床位710张。作为三级甲等医院，有着体量大、人员多、功能复杂等特点，高效稳定的后勤服务是医院日常运行的重要保障，直接关系到医疗质量和安全。后勤运行保障服务更是要高标准、高要求。现需专业维保管理团队服务，以保障后勤设备设施和水电气等系统的安全运行，按照《WS 434-2013医院电力系统运行管理》《WS 435-2013医院医用气体系统运行管理》、《WS 436-2013医院二次供水运行管理》等规范性文件开展服务。</w:t>
      </w:r>
    </w:p>
    <w:p w14:paraId="025CCFDB">
      <w:pPr>
        <w:pStyle w:val="74"/>
        <w:widowControl/>
        <w:numPr>
          <w:ilvl w:val="0"/>
          <w:numId w:val="7"/>
        </w:numPr>
        <w:tabs>
          <w:tab w:val="left" w:pos="720"/>
        </w:tabs>
        <w:spacing w:line="360" w:lineRule="auto"/>
        <w:ind w:firstLineChars="0"/>
        <w:jc w:val="left"/>
        <w:outlineLvl w:val="1"/>
        <w:rPr>
          <w:rFonts w:eastAsiaTheme="minorEastAsia"/>
          <w:b/>
          <w:bCs/>
          <w:color w:val="auto"/>
          <w:szCs w:val="21"/>
        </w:rPr>
      </w:pPr>
      <w:r>
        <w:rPr>
          <w:rFonts w:eastAsiaTheme="minorEastAsia"/>
          <w:b/>
          <w:bCs/>
          <w:color w:val="auto"/>
          <w:szCs w:val="21"/>
        </w:rPr>
        <w:t>服务内容及要求</w:t>
      </w:r>
    </w:p>
    <w:p w14:paraId="3D9EBD48">
      <w:pPr>
        <w:pStyle w:val="74"/>
        <w:widowControl/>
        <w:tabs>
          <w:tab w:val="left" w:pos="720"/>
        </w:tabs>
        <w:spacing w:line="360" w:lineRule="auto"/>
        <w:ind w:left="450" w:firstLine="0" w:firstLineChars="0"/>
        <w:jc w:val="left"/>
        <w:outlineLvl w:val="1"/>
        <w:rPr>
          <w:rFonts w:eastAsiaTheme="minorEastAsia"/>
          <w:b/>
          <w:bCs/>
          <w:color w:val="auto"/>
          <w:szCs w:val="21"/>
        </w:rPr>
      </w:pPr>
      <w:r>
        <w:rPr>
          <w:rFonts w:eastAsiaTheme="minorEastAsia"/>
          <w:b/>
          <w:bCs/>
          <w:color w:val="auto"/>
          <w:szCs w:val="21"/>
        </w:rPr>
        <w:t>（一）服务内容</w:t>
      </w:r>
    </w:p>
    <w:p w14:paraId="0DD039E5">
      <w:pPr>
        <w:numPr>
          <w:ilvl w:val="0"/>
          <w:numId w:val="8"/>
        </w:numPr>
        <w:wordWrap w:val="0"/>
        <w:overflowPunct w:val="0"/>
        <w:topLinePunct/>
        <w:spacing w:line="360" w:lineRule="auto"/>
        <w:rPr>
          <w:rFonts w:eastAsiaTheme="minorEastAsia"/>
          <w:color w:val="auto"/>
        </w:rPr>
      </w:pPr>
      <w:r>
        <w:rPr>
          <w:rFonts w:eastAsiaTheme="minorEastAsia"/>
          <w:color w:val="auto"/>
        </w:rPr>
        <w:t>院方变配电所（含发电机房）的值班运行、管理及日常维护。</w:t>
      </w:r>
    </w:p>
    <w:p w14:paraId="0849BC4B">
      <w:pPr>
        <w:numPr>
          <w:ilvl w:val="0"/>
          <w:numId w:val="8"/>
        </w:numPr>
        <w:wordWrap w:val="0"/>
        <w:overflowPunct w:val="0"/>
        <w:topLinePunct/>
        <w:spacing w:line="360" w:lineRule="auto"/>
        <w:rPr>
          <w:rFonts w:eastAsiaTheme="minorEastAsia"/>
          <w:color w:val="auto"/>
        </w:rPr>
      </w:pPr>
      <w:r>
        <w:rPr>
          <w:rFonts w:eastAsiaTheme="minorEastAsia"/>
          <w:color w:val="auto"/>
        </w:rPr>
        <w:t>院方医用液氧罐、三气机房、特殊医用气体汇流排及其附属设备、管道的日常运行、维护管理。</w:t>
      </w:r>
    </w:p>
    <w:p w14:paraId="0FC94245">
      <w:pPr>
        <w:numPr>
          <w:ilvl w:val="0"/>
          <w:numId w:val="8"/>
        </w:numPr>
        <w:wordWrap w:val="0"/>
        <w:overflowPunct w:val="0"/>
        <w:topLinePunct/>
        <w:spacing w:line="360" w:lineRule="auto"/>
        <w:rPr>
          <w:rFonts w:eastAsiaTheme="minorEastAsia"/>
          <w:color w:val="auto"/>
        </w:rPr>
      </w:pPr>
      <w:r>
        <w:rPr>
          <w:rFonts w:eastAsiaTheme="minorEastAsia"/>
          <w:color w:val="auto"/>
        </w:rPr>
        <w:t>院方院内水电气及所属设备设施、家具、门窗设施的日常维护、维修及管理（建筑面积约11.99万㎡）。</w:t>
      </w:r>
    </w:p>
    <w:p w14:paraId="37000D4F">
      <w:pPr>
        <w:numPr>
          <w:ilvl w:val="0"/>
          <w:numId w:val="8"/>
        </w:numPr>
        <w:wordWrap w:val="0"/>
        <w:overflowPunct w:val="0"/>
        <w:topLinePunct/>
        <w:spacing w:line="360" w:lineRule="auto"/>
        <w:rPr>
          <w:rFonts w:eastAsiaTheme="minorEastAsia"/>
          <w:color w:val="auto"/>
        </w:rPr>
      </w:pPr>
      <w:r>
        <w:rPr>
          <w:rFonts w:eastAsiaTheme="minorEastAsia"/>
          <w:color w:val="auto"/>
        </w:rPr>
        <w:t>院方分质供水系统的日常运行、巡查、管理。</w:t>
      </w:r>
    </w:p>
    <w:p w14:paraId="180B6B0A">
      <w:pPr>
        <w:numPr>
          <w:ilvl w:val="0"/>
          <w:numId w:val="8"/>
        </w:numPr>
        <w:wordWrap w:val="0"/>
        <w:overflowPunct w:val="0"/>
        <w:topLinePunct/>
        <w:spacing w:line="360" w:lineRule="auto"/>
        <w:rPr>
          <w:rFonts w:eastAsiaTheme="minorEastAsia"/>
          <w:color w:val="auto"/>
        </w:rPr>
      </w:pPr>
      <w:r>
        <w:rPr>
          <w:rFonts w:eastAsiaTheme="minorEastAsia"/>
          <w:color w:val="auto"/>
        </w:rPr>
        <w:t>院方光伏发电系统的日常运行、维护、管理。</w:t>
      </w:r>
    </w:p>
    <w:p w14:paraId="09162239">
      <w:pPr>
        <w:numPr>
          <w:ilvl w:val="0"/>
          <w:numId w:val="8"/>
        </w:numPr>
        <w:wordWrap w:val="0"/>
        <w:overflowPunct w:val="0"/>
        <w:topLinePunct/>
        <w:spacing w:line="360" w:lineRule="auto"/>
        <w:rPr>
          <w:rFonts w:eastAsiaTheme="minorEastAsia"/>
          <w:color w:val="auto"/>
        </w:rPr>
      </w:pPr>
      <w:r>
        <w:rPr>
          <w:rFonts w:eastAsiaTheme="minorEastAsia"/>
          <w:color w:val="auto"/>
        </w:rPr>
        <w:t>院方院内瓶装医用气瓶、备用加床等的运送、管理。</w:t>
      </w:r>
    </w:p>
    <w:p w14:paraId="312B920A">
      <w:pPr>
        <w:numPr>
          <w:ilvl w:val="0"/>
          <w:numId w:val="8"/>
        </w:numPr>
        <w:wordWrap w:val="0"/>
        <w:overflowPunct w:val="0"/>
        <w:topLinePunct/>
        <w:spacing w:line="360" w:lineRule="auto"/>
        <w:rPr>
          <w:rFonts w:eastAsiaTheme="minorEastAsia"/>
          <w:color w:val="auto"/>
        </w:rPr>
      </w:pPr>
      <w:r>
        <w:rPr>
          <w:rFonts w:eastAsiaTheme="minorEastAsia"/>
          <w:color w:val="auto"/>
        </w:rPr>
        <w:t>院方院内气动物流的日常运行、巡查、管理。</w:t>
      </w:r>
    </w:p>
    <w:p w14:paraId="6F8E5F59">
      <w:pPr>
        <w:numPr>
          <w:ilvl w:val="0"/>
          <w:numId w:val="8"/>
        </w:numPr>
        <w:wordWrap w:val="0"/>
        <w:overflowPunct w:val="0"/>
        <w:topLinePunct/>
        <w:spacing w:line="360" w:lineRule="auto"/>
        <w:rPr>
          <w:rFonts w:eastAsiaTheme="minorEastAsia"/>
          <w:color w:val="auto"/>
        </w:rPr>
      </w:pPr>
      <w:r>
        <w:rPr>
          <w:rFonts w:eastAsiaTheme="minorEastAsia"/>
          <w:color w:val="auto"/>
        </w:rPr>
        <w:t>院方水泵房、风机房等的巡查、管理。</w:t>
      </w:r>
    </w:p>
    <w:p w14:paraId="43ECD1BE">
      <w:pPr>
        <w:numPr>
          <w:ilvl w:val="0"/>
          <w:numId w:val="8"/>
        </w:numPr>
        <w:wordWrap w:val="0"/>
        <w:overflowPunct w:val="0"/>
        <w:topLinePunct/>
        <w:spacing w:line="360" w:lineRule="auto"/>
        <w:rPr>
          <w:rFonts w:eastAsiaTheme="minorEastAsia"/>
          <w:color w:val="auto"/>
        </w:rPr>
      </w:pPr>
      <w:r>
        <w:rPr>
          <w:rFonts w:eastAsiaTheme="minorEastAsia"/>
          <w:color w:val="auto"/>
        </w:rPr>
        <w:t>配合院内改造工程实施。</w:t>
      </w:r>
    </w:p>
    <w:p w14:paraId="6F373BF7">
      <w:pPr>
        <w:numPr>
          <w:ilvl w:val="0"/>
          <w:numId w:val="8"/>
        </w:numPr>
        <w:wordWrap w:val="0"/>
        <w:overflowPunct w:val="0"/>
        <w:topLinePunct/>
        <w:spacing w:line="360" w:lineRule="auto"/>
        <w:rPr>
          <w:rFonts w:eastAsiaTheme="minorEastAsia"/>
          <w:color w:val="auto"/>
        </w:rPr>
      </w:pPr>
      <w:bookmarkStart w:id="31" w:name="OLE_LINK8"/>
      <w:r>
        <w:rPr>
          <w:rFonts w:eastAsiaTheme="minorEastAsia"/>
          <w:color w:val="auto"/>
        </w:rPr>
        <w:t>院方</w:t>
      </w:r>
      <w:r>
        <w:rPr>
          <w:rFonts w:eastAsiaTheme="minorEastAsia"/>
          <w:color w:val="auto"/>
          <w:szCs w:val="21"/>
          <w14:ligatures w14:val="standardContextual"/>
        </w:rPr>
        <w:t>1号楼、2号楼、3号楼裙楼、4号楼、6号楼13台电梯</w:t>
      </w:r>
      <w:r>
        <w:rPr>
          <w:rFonts w:eastAsiaTheme="minorEastAsia"/>
          <w:color w:val="auto"/>
        </w:rPr>
        <w:t>的日常运行、维护、管理、保洁及乘梯引导，保证手术梯专人驾驶，监督第三方维保单位按计划保养并签字确认。</w:t>
      </w:r>
    </w:p>
    <w:bookmarkEnd w:id="31"/>
    <w:p w14:paraId="350459AF">
      <w:pPr>
        <w:numPr>
          <w:ilvl w:val="0"/>
          <w:numId w:val="8"/>
        </w:numPr>
        <w:wordWrap w:val="0"/>
        <w:overflowPunct w:val="0"/>
        <w:topLinePunct/>
        <w:spacing w:line="360" w:lineRule="auto"/>
        <w:rPr>
          <w:rFonts w:eastAsiaTheme="minorEastAsia"/>
          <w:color w:val="auto"/>
        </w:rPr>
      </w:pPr>
      <w:r>
        <w:rPr>
          <w:rFonts w:eastAsiaTheme="minorEastAsia"/>
          <w:color w:val="auto"/>
        </w:rPr>
        <w:t>配合院内改造工程、临时交办事项（含应急抢修、恶劣天气应对、重大活动保障）须无条件响应，不得因此类事项另行收费。</w:t>
      </w:r>
    </w:p>
    <w:p w14:paraId="02F1583C">
      <w:pPr>
        <w:numPr>
          <w:ilvl w:val="0"/>
          <w:numId w:val="8"/>
        </w:numPr>
        <w:wordWrap w:val="0"/>
        <w:overflowPunct w:val="0"/>
        <w:topLinePunct/>
        <w:spacing w:line="360" w:lineRule="auto"/>
        <w:rPr>
          <w:rFonts w:eastAsiaTheme="minorEastAsia"/>
          <w:color w:val="auto"/>
        </w:rPr>
      </w:pPr>
      <w:r>
        <w:rPr>
          <w:rFonts w:eastAsiaTheme="minorEastAsia"/>
          <w:color w:val="auto"/>
        </w:rPr>
        <w:t>协助办理后勤设备的年检报验工作（报验费用由院方承担）。</w:t>
      </w:r>
    </w:p>
    <w:p w14:paraId="7FD2981C">
      <w:pPr>
        <w:numPr>
          <w:ilvl w:val="0"/>
          <w:numId w:val="8"/>
        </w:numPr>
        <w:wordWrap w:val="0"/>
        <w:overflowPunct w:val="0"/>
        <w:topLinePunct/>
        <w:spacing w:line="360" w:lineRule="auto"/>
        <w:rPr>
          <w:rFonts w:eastAsiaTheme="minorEastAsia"/>
          <w:color w:val="auto"/>
        </w:rPr>
      </w:pPr>
      <w:r>
        <w:rPr>
          <w:rFonts w:eastAsiaTheme="minorEastAsia"/>
          <w:color w:val="auto"/>
        </w:rPr>
        <w:t>协助院方开展雨污水管网清疏等第三方维保工作。</w:t>
      </w:r>
    </w:p>
    <w:p w14:paraId="4D2271B8">
      <w:pPr>
        <w:numPr>
          <w:ilvl w:val="0"/>
          <w:numId w:val="8"/>
        </w:numPr>
        <w:wordWrap w:val="0"/>
        <w:overflowPunct w:val="0"/>
        <w:topLinePunct/>
        <w:spacing w:line="360" w:lineRule="auto"/>
        <w:rPr>
          <w:rFonts w:eastAsiaTheme="minorEastAsia"/>
          <w:color w:val="auto"/>
        </w:rPr>
      </w:pPr>
      <w:r>
        <w:rPr>
          <w:rFonts w:eastAsiaTheme="minorEastAsia"/>
          <w:color w:val="auto"/>
        </w:rPr>
        <w:t>地下车库强电间、动力照明电箱、充电桩等的巡检。</w:t>
      </w:r>
    </w:p>
    <w:p w14:paraId="3D7180E0">
      <w:pPr>
        <w:pStyle w:val="74"/>
        <w:spacing w:line="360" w:lineRule="auto"/>
        <w:ind w:left="210" w:leftChars="100"/>
        <w:rPr>
          <w:rFonts w:eastAsiaTheme="minorEastAsia"/>
          <w:color w:val="auto"/>
          <w:szCs w:val="21"/>
        </w:rPr>
      </w:pPr>
      <w:r>
        <w:rPr>
          <w:rFonts w:eastAsiaTheme="minorEastAsia"/>
          <w:color w:val="auto"/>
          <w:szCs w:val="21"/>
        </w:rPr>
        <w:t>本招标文件载明的服务内容及相关要求为基础约定，未尽事宜以及本文件未列明的其他相关事项，由院方与供应商在服务合同中另行细化约定；双方签订的服务合同不得作出与招标文件、投标文件实质性内容相违背的约定。</w:t>
      </w:r>
    </w:p>
    <w:p w14:paraId="4669F3D5">
      <w:pPr>
        <w:pStyle w:val="2"/>
        <w:spacing w:line="360" w:lineRule="auto"/>
        <w:ind w:firstLine="400"/>
        <w:rPr>
          <w:rFonts w:hint="default" w:ascii="Times New Roman" w:hAnsi="Times New Roman" w:eastAsiaTheme="minorEastAsia"/>
          <w:color w:val="auto"/>
        </w:rPr>
      </w:pPr>
    </w:p>
    <w:p w14:paraId="69BBFFC7">
      <w:pPr>
        <w:pStyle w:val="74"/>
        <w:widowControl/>
        <w:tabs>
          <w:tab w:val="left" w:pos="720"/>
        </w:tabs>
        <w:spacing w:line="360" w:lineRule="auto"/>
        <w:ind w:left="450" w:firstLine="0" w:firstLineChars="0"/>
        <w:jc w:val="left"/>
        <w:outlineLvl w:val="1"/>
        <w:rPr>
          <w:rFonts w:eastAsiaTheme="minorEastAsia"/>
          <w:b/>
          <w:bCs/>
          <w:color w:val="auto"/>
          <w:szCs w:val="21"/>
        </w:rPr>
      </w:pPr>
      <w:r>
        <w:rPr>
          <w:rFonts w:eastAsiaTheme="minorEastAsia"/>
          <w:b/>
          <w:bCs/>
          <w:color w:val="auto"/>
          <w:szCs w:val="21"/>
        </w:rPr>
        <w:t>（二）服务要求（包含但不限于以下内容）</w:t>
      </w:r>
    </w:p>
    <w:p w14:paraId="6C50677B">
      <w:pPr>
        <w:spacing w:line="360" w:lineRule="auto"/>
        <w:rPr>
          <w:rFonts w:eastAsiaTheme="minorEastAsia"/>
          <w:b/>
          <w:bCs/>
          <w:color w:val="auto"/>
          <w:szCs w:val="21"/>
        </w:rPr>
      </w:pPr>
      <w:r>
        <w:rPr>
          <w:rFonts w:eastAsiaTheme="minorEastAsia"/>
          <w:b/>
          <w:bCs/>
          <w:color w:val="auto"/>
          <w:szCs w:val="21"/>
        </w:rPr>
        <w:t>1.综合维修</w:t>
      </w:r>
    </w:p>
    <w:p w14:paraId="639ED2FE">
      <w:pPr>
        <w:numPr>
          <w:ilvl w:val="0"/>
          <w:numId w:val="9"/>
        </w:numPr>
        <w:wordWrap w:val="0"/>
        <w:overflowPunct w:val="0"/>
        <w:topLinePunct/>
        <w:spacing w:line="360" w:lineRule="auto"/>
        <w:rPr>
          <w:rFonts w:eastAsiaTheme="minorEastAsia"/>
          <w:color w:val="auto"/>
        </w:rPr>
      </w:pPr>
      <w:r>
        <w:rPr>
          <w:rFonts w:eastAsiaTheme="minorEastAsia"/>
          <w:color w:val="auto"/>
        </w:rPr>
        <w:t>熟悉匹配院内配套后勤设施设备相关特点和维修技能，掌握各种设施设备的性能、操作。</w:t>
      </w:r>
    </w:p>
    <w:p w14:paraId="5F11371C">
      <w:pPr>
        <w:numPr>
          <w:ilvl w:val="0"/>
          <w:numId w:val="9"/>
        </w:numPr>
        <w:wordWrap w:val="0"/>
        <w:overflowPunct w:val="0"/>
        <w:topLinePunct/>
        <w:spacing w:line="360" w:lineRule="auto"/>
        <w:rPr>
          <w:rFonts w:eastAsiaTheme="minorEastAsia"/>
          <w:color w:val="auto"/>
        </w:rPr>
      </w:pPr>
      <w:r>
        <w:rPr>
          <w:rFonts w:eastAsiaTheme="minorEastAsia"/>
          <w:color w:val="auto"/>
        </w:rPr>
        <w:t>按维修保养计划对设施设备进行周、月、季、年定期保养，并作好检修保养记录。</w:t>
      </w:r>
    </w:p>
    <w:p w14:paraId="327C0909">
      <w:pPr>
        <w:numPr>
          <w:ilvl w:val="0"/>
          <w:numId w:val="9"/>
        </w:numPr>
        <w:wordWrap w:val="0"/>
        <w:overflowPunct w:val="0"/>
        <w:topLinePunct/>
        <w:spacing w:line="360" w:lineRule="auto"/>
        <w:rPr>
          <w:rFonts w:eastAsiaTheme="minorEastAsia"/>
          <w:color w:val="auto"/>
        </w:rPr>
      </w:pPr>
      <w:r>
        <w:rPr>
          <w:rFonts w:eastAsiaTheme="minorEastAsia"/>
          <w:color w:val="auto"/>
        </w:rPr>
        <w:t>负责处理全院各科室申请的维修服务及公共设施设备的故障处理。</w:t>
      </w:r>
    </w:p>
    <w:p w14:paraId="5B736C45">
      <w:pPr>
        <w:numPr>
          <w:ilvl w:val="0"/>
          <w:numId w:val="9"/>
        </w:numPr>
        <w:wordWrap w:val="0"/>
        <w:overflowPunct w:val="0"/>
        <w:topLinePunct/>
        <w:spacing w:line="360" w:lineRule="auto"/>
        <w:rPr>
          <w:rFonts w:eastAsiaTheme="minorEastAsia"/>
          <w:color w:val="auto"/>
        </w:rPr>
      </w:pPr>
      <w:r>
        <w:rPr>
          <w:rFonts w:eastAsiaTheme="minorEastAsia"/>
          <w:color w:val="auto"/>
        </w:rPr>
        <w:t>每天根据制定的各日常维修巡检记录表进行巡查、记录，巡查设备、仪表等设施的运行情况，发现问题及时汇报处理。</w:t>
      </w:r>
    </w:p>
    <w:p w14:paraId="760D7046">
      <w:pPr>
        <w:numPr>
          <w:ilvl w:val="0"/>
          <w:numId w:val="9"/>
        </w:numPr>
        <w:wordWrap w:val="0"/>
        <w:overflowPunct w:val="0"/>
        <w:topLinePunct/>
        <w:spacing w:line="360" w:lineRule="auto"/>
        <w:rPr>
          <w:rFonts w:eastAsiaTheme="minorEastAsia"/>
          <w:color w:val="auto"/>
        </w:rPr>
      </w:pPr>
      <w:r>
        <w:rPr>
          <w:rFonts w:eastAsiaTheme="minorEastAsia"/>
          <w:color w:val="auto"/>
        </w:rPr>
        <w:t>发生停电、停水、停医气、火警或其它事故,应即刻到位，按照应急预案规定，及时上报，并采取必要的应急措施。</w:t>
      </w:r>
    </w:p>
    <w:p w14:paraId="7C992C21">
      <w:pPr>
        <w:numPr>
          <w:ilvl w:val="0"/>
          <w:numId w:val="9"/>
        </w:numPr>
        <w:wordWrap w:val="0"/>
        <w:overflowPunct w:val="0"/>
        <w:topLinePunct/>
        <w:spacing w:line="360" w:lineRule="auto"/>
        <w:rPr>
          <w:rFonts w:eastAsiaTheme="minorEastAsia"/>
          <w:color w:val="auto"/>
        </w:rPr>
      </w:pPr>
      <w:r>
        <w:rPr>
          <w:rFonts w:eastAsiaTheme="minorEastAsia"/>
          <w:color w:val="auto"/>
        </w:rPr>
        <w:t>学习业务知识、钻研专业技术，工作中注意做到革新挖潜，厉行节约，修旧利废，减少材料消耗。</w:t>
      </w:r>
    </w:p>
    <w:p w14:paraId="1B3EF430">
      <w:pPr>
        <w:numPr>
          <w:ilvl w:val="0"/>
          <w:numId w:val="9"/>
        </w:numPr>
        <w:wordWrap w:val="0"/>
        <w:overflowPunct w:val="0"/>
        <w:topLinePunct/>
        <w:spacing w:line="360" w:lineRule="auto"/>
        <w:rPr>
          <w:rFonts w:eastAsiaTheme="minorEastAsia"/>
          <w:color w:val="auto"/>
        </w:rPr>
      </w:pPr>
      <w:r>
        <w:rPr>
          <w:rFonts w:eastAsiaTheme="minorEastAsia"/>
          <w:color w:val="auto"/>
        </w:rPr>
        <w:t>禁止在院内抽烟。</w:t>
      </w:r>
    </w:p>
    <w:p w14:paraId="592A9533">
      <w:pPr>
        <w:numPr>
          <w:ilvl w:val="0"/>
          <w:numId w:val="9"/>
        </w:numPr>
        <w:wordWrap w:val="0"/>
        <w:overflowPunct w:val="0"/>
        <w:topLinePunct/>
        <w:spacing w:line="360" w:lineRule="auto"/>
        <w:rPr>
          <w:rFonts w:eastAsiaTheme="minorEastAsia"/>
          <w:color w:val="auto"/>
        </w:rPr>
      </w:pPr>
      <w:r>
        <w:rPr>
          <w:rFonts w:eastAsiaTheme="minorEastAsia"/>
          <w:color w:val="auto"/>
        </w:rPr>
        <w:t>认真做好维修工作记录,保管好物品、工具。</w:t>
      </w:r>
    </w:p>
    <w:p w14:paraId="51AAB578">
      <w:pPr>
        <w:numPr>
          <w:ilvl w:val="0"/>
          <w:numId w:val="9"/>
        </w:numPr>
        <w:wordWrap w:val="0"/>
        <w:overflowPunct w:val="0"/>
        <w:topLinePunct/>
        <w:spacing w:line="360" w:lineRule="auto"/>
        <w:rPr>
          <w:rFonts w:eastAsiaTheme="minorEastAsia"/>
          <w:color w:val="auto"/>
        </w:rPr>
      </w:pPr>
      <w:r>
        <w:rPr>
          <w:rFonts w:eastAsiaTheme="minorEastAsia"/>
          <w:color w:val="auto"/>
        </w:rPr>
        <w:t>所有人员要做到嘴勤、心定、汇报三点要求，员工知晓并熟记负责主管电话，遇到不良事件、请假换班、物资需求及时汇报。</w:t>
      </w:r>
    </w:p>
    <w:p w14:paraId="1D00A4AC">
      <w:pPr>
        <w:numPr>
          <w:ilvl w:val="0"/>
          <w:numId w:val="9"/>
        </w:numPr>
        <w:wordWrap w:val="0"/>
        <w:overflowPunct w:val="0"/>
        <w:topLinePunct/>
        <w:spacing w:line="360" w:lineRule="auto"/>
        <w:rPr>
          <w:rFonts w:eastAsiaTheme="minorEastAsia"/>
          <w:color w:val="auto"/>
        </w:rPr>
      </w:pPr>
      <w:r>
        <w:rPr>
          <w:rFonts w:eastAsiaTheme="minorEastAsia"/>
          <w:color w:val="auto"/>
        </w:rPr>
        <w:t>完成上级交办的其他工作。</w:t>
      </w:r>
    </w:p>
    <w:p w14:paraId="3CBA196D">
      <w:pPr>
        <w:spacing w:line="360" w:lineRule="auto"/>
        <w:rPr>
          <w:rFonts w:eastAsiaTheme="minorEastAsia"/>
          <w:b/>
          <w:bCs/>
          <w:color w:val="auto"/>
          <w:szCs w:val="21"/>
        </w:rPr>
      </w:pPr>
      <w:r>
        <w:rPr>
          <w:rFonts w:eastAsiaTheme="minorEastAsia"/>
          <w:b/>
          <w:bCs/>
          <w:color w:val="auto"/>
          <w:szCs w:val="21"/>
        </w:rPr>
        <w:t>2.配电房巡检、抄表</w:t>
      </w:r>
    </w:p>
    <w:p w14:paraId="4A6E3440">
      <w:pPr>
        <w:numPr>
          <w:ilvl w:val="0"/>
          <w:numId w:val="10"/>
        </w:numPr>
        <w:wordWrap w:val="0"/>
        <w:overflowPunct w:val="0"/>
        <w:topLinePunct/>
        <w:spacing w:line="360" w:lineRule="auto"/>
        <w:rPr>
          <w:rFonts w:eastAsiaTheme="minorEastAsia"/>
          <w:color w:val="auto"/>
        </w:rPr>
      </w:pPr>
      <w:r>
        <w:rPr>
          <w:rFonts w:eastAsiaTheme="minorEastAsia"/>
          <w:color w:val="auto"/>
        </w:rPr>
        <w:t>值班人员须严格遵守管理处各项规章制度、劳动纪律与机房管理制度，持证上岗，配备高压电工证书，坚守岗位。</w:t>
      </w:r>
    </w:p>
    <w:p w14:paraId="00D76A4C">
      <w:pPr>
        <w:numPr>
          <w:ilvl w:val="0"/>
          <w:numId w:val="10"/>
        </w:numPr>
        <w:wordWrap w:val="0"/>
        <w:overflowPunct w:val="0"/>
        <w:topLinePunct/>
        <w:spacing w:line="360" w:lineRule="auto"/>
        <w:rPr>
          <w:rFonts w:eastAsiaTheme="minorEastAsia"/>
          <w:color w:val="auto"/>
        </w:rPr>
      </w:pPr>
      <w:r>
        <w:rPr>
          <w:rFonts w:eastAsiaTheme="minorEastAsia"/>
          <w:color w:val="auto"/>
        </w:rPr>
        <w:t>严禁擅自离岗、酒后上岗；配电房内禁止吸烟、带入食品，无关人员未经部门领导批准不得进入。</w:t>
      </w:r>
    </w:p>
    <w:p w14:paraId="6315A06D">
      <w:pPr>
        <w:numPr>
          <w:ilvl w:val="0"/>
          <w:numId w:val="10"/>
        </w:numPr>
        <w:wordWrap w:val="0"/>
        <w:overflowPunct w:val="0"/>
        <w:topLinePunct/>
        <w:spacing w:line="360" w:lineRule="auto"/>
        <w:rPr>
          <w:rFonts w:eastAsiaTheme="minorEastAsia"/>
          <w:color w:val="auto"/>
        </w:rPr>
      </w:pPr>
      <w:r>
        <w:rPr>
          <w:rFonts w:eastAsiaTheme="minorEastAsia"/>
          <w:color w:val="auto"/>
        </w:rPr>
        <w:t>熟悉全院供配电设备、系统图纸及操作程序，熟练掌握操作规程，严格按规范开展倒闸作业，规范填写工作票，保障设备稳定运行。</w:t>
      </w:r>
    </w:p>
    <w:p w14:paraId="4FB865FE">
      <w:pPr>
        <w:numPr>
          <w:ilvl w:val="0"/>
          <w:numId w:val="10"/>
        </w:numPr>
        <w:wordWrap w:val="0"/>
        <w:overflowPunct w:val="0"/>
        <w:topLinePunct/>
        <w:spacing w:line="360" w:lineRule="auto"/>
        <w:rPr>
          <w:rFonts w:eastAsiaTheme="minorEastAsia"/>
          <w:color w:val="auto"/>
        </w:rPr>
      </w:pPr>
      <w:r>
        <w:rPr>
          <w:rFonts w:eastAsiaTheme="minorEastAsia"/>
          <w:color w:val="auto"/>
        </w:rPr>
        <w:t>负责全院供配电设备日常操作与巡视工作，按医院要求准时巡检，抄录仪表参数，监测设备温度、电流、电压、噪声、振动等运行指标，如实、规范填写运行记录，保证记录完整清晰。</w:t>
      </w:r>
    </w:p>
    <w:p w14:paraId="702D91E5">
      <w:pPr>
        <w:numPr>
          <w:ilvl w:val="0"/>
          <w:numId w:val="10"/>
        </w:numPr>
        <w:wordWrap w:val="0"/>
        <w:overflowPunct w:val="0"/>
        <w:topLinePunct/>
        <w:spacing w:line="360" w:lineRule="auto"/>
        <w:rPr>
          <w:rFonts w:eastAsiaTheme="minorEastAsia"/>
          <w:color w:val="auto"/>
        </w:rPr>
      </w:pPr>
      <w:r>
        <w:rPr>
          <w:rFonts w:eastAsiaTheme="minorEastAsia"/>
          <w:color w:val="auto"/>
        </w:rPr>
        <w:t>巡检时同步核查配电房环境状况，排查漏水、小动物、异味等隐患；检查电缆沟渗漏水情况，清除可燃物，保障通风、排水装置正常，保持配电柜及配电房整体环境卫生。</w:t>
      </w:r>
    </w:p>
    <w:p w14:paraId="1F42E91E">
      <w:pPr>
        <w:numPr>
          <w:ilvl w:val="0"/>
          <w:numId w:val="10"/>
        </w:numPr>
        <w:wordWrap w:val="0"/>
        <w:overflowPunct w:val="0"/>
        <w:topLinePunct/>
        <w:spacing w:line="360" w:lineRule="auto"/>
        <w:rPr>
          <w:rFonts w:eastAsiaTheme="minorEastAsia"/>
          <w:color w:val="auto"/>
        </w:rPr>
      </w:pPr>
      <w:r>
        <w:rPr>
          <w:rFonts w:eastAsiaTheme="minorEastAsia"/>
          <w:color w:val="auto"/>
        </w:rPr>
        <w:t>根据季节气候、变压器温度、配电室温湿度，合理调节空调、风机启停。</w:t>
      </w:r>
    </w:p>
    <w:p w14:paraId="64F5DF2A">
      <w:pPr>
        <w:numPr>
          <w:ilvl w:val="0"/>
          <w:numId w:val="10"/>
        </w:numPr>
        <w:wordWrap w:val="0"/>
        <w:overflowPunct w:val="0"/>
        <w:topLinePunct/>
        <w:spacing w:line="360" w:lineRule="auto"/>
        <w:rPr>
          <w:rFonts w:eastAsiaTheme="minorEastAsia"/>
          <w:color w:val="auto"/>
        </w:rPr>
      </w:pPr>
      <w:r>
        <w:rPr>
          <w:rFonts w:eastAsiaTheme="minorEastAsia"/>
          <w:color w:val="auto"/>
        </w:rPr>
        <w:t>巡检发现设备异常时，第一时间采取处置措施；无法自行处理的，立即上报主管并做好记录，具备事故判断与应急处置能力。</w:t>
      </w:r>
    </w:p>
    <w:p w14:paraId="477F4219">
      <w:pPr>
        <w:numPr>
          <w:ilvl w:val="0"/>
          <w:numId w:val="10"/>
        </w:numPr>
        <w:wordWrap w:val="0"/>
        <w:overflowPunct w:val="0"/>
        <w:topLinePunct/>
        <w:spacing w:line="360" w:lineRule="auto"/>
        <w:rPr>
          <w:rFonts w:eastAsiaTheme="minorEastAsia"/>
          <w:color w:val="auto"/>
        </w:rPr>
      </w:pPr>
      <w:r>
        <w:rPr>
          <w:rFonts w:eastAsiaTheme="minorEastAsia"/>
          <w:color w:val="auto"/>
        </w:rPr>
        <w:t>做好设备监护、系统切换及各类试验工作，落实设备定期检查，确保各项维保工作按时完成；配合设备日常维护保养与安全管理工作。</w:t>
      </w:r>
    </w:p>
    <w:p w14:paraId="78178BE0">
      <w:pPr>
        <w:numPr>
          <w:ilvl w:val="0"/>
          <w:numId w:val="10"/>
        </w:numPr>
        <w:wordWrap w:val="0"/>
        <w:overflowPunct w:val="0"/>
        <w:topLinePunct/>
        <w:spacing w:line="360" w:lineRule="auto"/>
        <w:rPr>
          <w:rFonts w:eastAsiaTheme="minorEastAsia"/>
          <w:color w:val="auto"/>
        </w:rPr>
      </w:pPr>
      <w:r>
        <w:rPr>
          <w:rFonts w:eastAsiaTheme="minorEastAsia"/>
          <w:color w:val="auto"/>
        </w:rPr>
        <w:t>妥善保管公用工具，维护值班室内消防器材完好，熟练掌握消防器材使用方法。</w:t>
      </w:r>
    </w:p>
    <w:p w14:paraId="3A5E0590">
      <w:pPr>
        <w:numPr>
          <w:ilvl w:val="0"/>
          <w:numId w:val="10"/>
        </w:numPr>
        <w:wordWrap w:val="0"/>
        <w:overflowPunct w:val="0"/>
        <w:topLinePunct/>
        <w:spacing w:line="360" w:lineRule="auto"/>
        <w:rPr>
          <w:rFonts w:eastAsiaTheme="minorEastAsia"/>
          <w:color w:val="auto"/>
        </w:rPr>
      </w:pPr>
      <w:r>
        <w:rPr>
          <w:rFonts w:eastAsiaTheme="minorEastAsia"/>
          <w:color w:val="auto"/>
        </w:rPr>
        <w:t>熟练掌握各类停电应急预案及应急处置流程，定期参加应急演练、院方组织的操作培训与倒闸实操。</w:t>
      </w:r>
    </w:p>
    <w:p w14:paraId="44084273">
      <w:pPr>
        <w:numPr>
          <w:ilvl w:val="0"/>
          <w:numId w:val="10"/>
        </w:numPr>
        <w:wordWrap w:val="0"/>
        <w:overflowPunct w:val="0"/>
        <w:topLinePunct/>
        <w:spacing w:line="360" w:lineRule="auto"/>
        <w:rPr>
          <w:rFonts w:eastAsiaTheme="minorEastAsia"/>
          <w:color w:val="auto"/>
        </w:rPr>
      </w:pPr>
      <w:r>
        <w:rPr>
          <w:rFonts w:eastAsiaTheme="minorEastAsia"/>
          <w:color w:val="auto"/>
        </w:rPr>
        <w:t>严格执行交接班制度，做好交接班工作。</w:t>
      </w:r>
    </w:p>
    <w:p w14:paraId="0BEA0727">
      <w:pPr>
        <w:numPr>
          <w:ilvl w:val="0"/>
          <w:numId w:val="10"/>
        </w:numPr>
        <w:wordWrap w:val="0"/>
        <w:overflowPunct w:val="0"/>
        <w:topLinePunct/>
        <w:spacing w:line="360" w:lineRule="auto"/>
        <w:rPr>
          <w:rFonts w:eastAsiaTheme="minorEastAsia"/>
          <w:color w:val="auto"/>
        </w:rPr>
      </w:pPr>
      <w:r>
        <w:rPr>
          <w:rFonts w:eastAsiaTheme="minorEastAsia"/>
          <w:color w:val="auto"/>
        </w:rPr>
        <w:t>能够针对变配电设备异常及突发事故进行分析判断，并按规程执行相应操作。</w:t>
      </w:r>
    </w:p>
    <w:p w14:paraId="2C2120B0">
      <w:pPr>
        <w:numPr>
          <w:ilvl w:val="0"/>
          <w:numId w:val="10"/>
        </w:numPr>
        <w:wordWrap w:val="0"/>
        <w:overflowPunct w:val="0"/>
        <w:topLinePunct/>
        <w:spacing w:line="360" w:lineRule="auto"/>
        <w:rPr>
          <w:rFonts w:eastAsiaTheme="minorEastAsia"/>
          <w:color w:val="auto"/>
        </w:rPr>
      </w:pPr>
      <w:r>
        <w:rPr>
          <w:rFonts w:eastAsiaTheme="minorEastAsia"/>
          <w:color w:val="auto"/>
        </w:rPr>
        <w:t>持续排查配电房风险点，消除安全隐患，保障配电房安全运行。</w:t>
      </w:r>
    </w:p>
    <w:p w14:paraId="0DEFB849">
      <w:pPr>
        <w:spacing w:line="360" w:lineRule="auto"/>
        <w:rPr>
          <w:rFonts w:eastAsiaTheme="minorEastAsia"/>
          <w:b/>
          <w:bCs/>
          <w:color w:val="auto"/>
          <w:szCs w:val="21"/>
        </w:rPr>
      </w:pPr>
      <w:r>
        <w:rPr>
          <w:rFonts w:eastAsiaTheme="minorEastAsia"/>
          <w:b/>
          <w:bCs/>
          <w:color w:val="auto"/>
          <w:szCs w:val="21"/>
        </w:rPr>
        <w:t>3.电梯巡检</w:t>
      </w:r>
    </w:p>
    <w:p w14:paraId="407D92C6">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电梯司机经培训合格后方可上岗。严格遵守各项规章制度，爱岗敬业，着装规范，文明用语，为医护人员及患者提供优质服务。</w:t>
      </w:r>
    </w:p>
    <w:p w14:paraId="2C748FFF">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熟练掌握电梯原理、安全操作规程与应急处置预案、逃生技能；</w:t>
      </w:r>
    </w:p>
    <w:p w14:paraId="0EC4E9DB">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电梯厅引导员做好乘客分流工作，在岗期间专心操作，不得玩手机、与乘客闲聊等从事无关工作，杜绝误操作。</w:t>
      </w:r>
    </w:p>
    <w:p w14:paraId="334C1D39">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电梯运行前核查照明、按钮、呼叫系统等设施完好情况，开展跟梯试运行，检查平层、门锁、门联开关有无异响；下班前再次跟梯复检，按规定启闭电梯。</w:t>
      </w:r>
    </w:p>
    <w:p w14:paraId="0A09E30F">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做好电梯与机房日常扫码巡检，每日完成机房巡视、清洁及4S现场管理；如实填写运行记录，不得补填、代填、乱涂乱画，及时上报电梯异常与乘客反馈。</w:t>
      </w:r>
    </w:p>
    <w:p w14:paraId="385877A3">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保持轿厢及电梯厅环境卫生，按规范每日消毒；妥善保管电梯专用钥匙，按规定使用。</w:t>
      </w:r>
    </w:p>
    <w:p w14:paraId="34F2831B">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手术电梯保障通讯畅通，优先满足临床科室使用需求；严禁货梯载人（患者及家属）、客货混装，禁止运载易燃易爆物品。</w:t>
      </w:r>
    </w:p>
    <w:p w14:paraId="569C62F2">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监督第三方维保单位落实维保工作，对维保记录签字确认；负责院内电梯年检工作，保障检验一次合格率≥99%；新梯完成终检，规范执行移交与维保交接流程。</w:t>
      </w:r>
    </w:p>
    <w:p w14:paraId="488CCA56">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电梯出现故障或重大安全隐患需停用的，第一时间暂停电梯使用，并上报单位负责人，及时通知维保人员抢修。</w:t>
      </w:r>
    </w:p>
    <w:p w14:paraId="5C3B18B6">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配合医院控烟管理，对本区域吸烟人员做好劝阻工作。</w:t>
      </w:r>
    </w:p>
    <w:p w14:paraId="622FE54B">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统筹院区所有电梯及附属机房的日常操作、巡视、维保及安全管理工作，完整留存各类台账记录。</w:t>
      </w:r>
    </w:p>
    <w:p w14:paraId="627C4CA7">
      <w:pPr>
        <w:pStyle w:val="74"/>
        <w:numPr>
          <w:ilvl w:val="0"/>
          <w:numId w:val="11"/>
        </w:numPr>
        <w:spacing w:line="360" w:lineRule="auto"/>
        <w:ind w:firstLineChars="0"/>
        <w:jc w:val="left"/>
        <w:rPr>
          <w:rFonts w:eastAsiaTheme="minorEastAsia"/>
          <w:color w:val="auto"/>
          <w:szCs w:val="21"/>
        </w:rPr>
      </w:pPr>
      <w:r>
        <w:rPr>
          <w:rFonts w:eastAsiaTheme="minorEastAsia"/>
          <w:color w:val="auto"/>
          <w:szCs w:val="21"/>
        </w:rPr>
        <w:t>发现电梯存在事故隐患需要停止使用的，立即暂停使用，并报告使用单位负责人。</w:t>
      </w:r>
    </w:p>
    <w:p w14:paraId="55959DC6">
      <w:pPr>
        <w:spacing w:line="360" w:lineRule="auto"/>
        <w:jc w:val="left"/>
        <w:rPr>
          <w:rFonts w:eastAsiaTheme="minorEastAsia"/>
          <w:b/>
          <w:bCs/>
          <w:color w:val="auto"/>
          <w:kern w:val="4"/>
          <w:szCs w:val="21"/>
        </w:rPr>
      </w:pPr>
      <w:r>
        <w:rPr>
          <w:rFonts w:eastAsiaTheme="minorEastAsia"/>
          <w:b/>
          <w:bCs/>
          <w:color w:val="auto"/>
          <w:kern w:val="4"/>
          <w:szCs w:val="21"/>
        </w:rPr>
        <w:t>4.医气机房巡检</w:t>
      </w:r>
    </w:p>
    <w:p w14:paraId="67D29F7A">
      <w:pPr>
        <w:numPr>
          <w:ilvl w:val="0"/>
          <w:numId w:val="12"/>
        </w:numPr>
        <w:spacing w:line="360" w:lineRule="auto"/>
        <w:jc w:val="left"/>
        <w:rPr>
          <w:rFonts w:eastAsiaTheme="minorEastAsia"/>
          <w:color w:val="auto"/>
          <w:szCs w:val="21"/>
        </w:rPr>
      </w:pPr>
      <w:r>
        <w:rPr>
          <w:rFonts w:eastAsiaTheme="minorEastAsia"/>
          <w:color w:val="auto"/>
          <w:szCs w:val="21"/>
        </w:rPr>
        <w:t>严格执行安全、消防、保卫工作制度，工作场所严禁吸烟，气瓶不准露天存放，落实双锁制度。</w:t>
      </w:r>
    </w:p>
    <w:p w14:paraId="163CF067">
      <w:pPr>
        <w:numPr>
          <w:ilvl w:val="0"/>
          <w:numId w:val="12"/>
        </w:numPr>
        <w:spacing w:line="360" w:lineRule="auto"/>
        <w:jc w:val="left"/>
        <w:rPr>
          <w:rFonts w:eastAsiaTheme="minorEastAsia"/>
          <w:color w:val="auto"/>
          <w:szCs w:val="21"/>
        </w:rPr>
      </w:pPr>
      <w:r>
        <w:rPr>
          <w:rFonts w:eastAsiaTheme="minorEastAsia"/>
          <w:color w:val="auto"/>
          <w:szCs w:val="21"/>
        </w:rPr>
        <w:t>认真做好各种气体的标签、标识工作，所有特种气体要有鲜明标记，不得混放，空、实瓶必须分开存放。</w:t>
      </w:r>
    </w:p>
    <w:p w14:paraId="3ADF542B">
      <w:pPr>
        <w:numPr>
          <w:ilvl w:val="0"/>
          <w:numId w:val="12"/>
        </w:numPr>
        <w:spacing w:line="360" w:lineRule="auto"/>
        <w:jc w:val="left"/>
        <w:rPr>
          <w:rFonts w:eastAsiaTheme="minorEastAsia"/>
          <w:color w:val="auto"/>
          <w:szCs w:val="21"/>
        </w:rPr>
      </w:pPr>
      <w:r>
        <w:rPr>
          <w:rFonts w:eastAsiaTheme="minorEastAsia"/>
          <w:color w:val="auto"/>
          <w:szCs w:val="21"/>
        </w:rPr>
        <w:t>供氧机房工作仪表指针接近报警时，要特别密切关注，切不可擅离工作岗位。</w:t>
      </w:r>
    </w:p>
    <w:p w14:paraId="24ACCAAB">
      <w:pPr>
        <w:numPr>
          <w:ilvl w:val="0"/>
          <w:numId w:val="12"/>
        </w:numPr>
        <w:spacing w:line="360" w:lineRule="auto"/>
        <w:jc w:val="left"/>
        <w:rPr>
          <w:rFonts w:eastAsiaTheme="minorEastAsia"/>
          <w:color w:val="auto"/>
          <w:szCs w:val="21"/>
        </w:rPr>
      </w:pPr>
      <w:r>
        <w:rPr>
          <w:rFonts w:eastAsiaTheme="minorEastAsia"/>
          <w:color w:val="auto"/>
          <w:szCs w:val="21"/>
        </w:rPr>
        <w:t>供应商负责医用气体系统（含液氧罐、三气机房、汇流排及附属设备管道）的日常运行、维护和应急抢修，保障系统设备24小时正常运行。</w:t>
      </w:r>
    </w:p>
    <w:p w14:paraId="13E7BBD2">
      <w:pPr>
        <w:numPr>
          <w:ilvl w:val="0"/>
          <w:numId w:val="12"/>
        </w:numPr>
        <w:spacing w:line="360" w:lineRule="auto"/>
        <w:jc w:val="left"/>
        <w:rPr>
          <w:rFonts w:eastAsiaTheme="minorEastAsia"/>
          <w:color w:val="auto"/>
          <w:szCs w:val="21"/>
        </w:rPr>
      </w:pPr>
      <w:r>
        <w:rPr>
          <w:rFonts w:eastAsiaTheme="minorEastAsia"/>
          <w:color w:val="auto"/>
          <w:szCs w:val="21"/>
        </w:rPr>
        <w:t>氧气瓶（罐）中气体用完后，必须立即更换，不得拖延。</w:t>
      </w:r>
    </w:p>
    <w:p w14:paraId="3C1D1585">
      <w:pPr>
        <w:numPr>
          <w:ilvl w:val="0"/>
          <w:numId w:val="12"/>
        </w:numPr>
        <w:spacing w:line="360" w:lineRule="auto"/>
        <w:jc w:val="left"/>
        <w:rPr>
          <w:rFonts w:eastAsiaTheme="minorEastAsia"/>
          <w:color w:val="auto"/>
          <w:szCs w:val="21"/>
        </w:rPr>
      </w:pPr>
      <w:r>
        <w:rPr>
          <w:rFonts w:eastAsiaTheme="minorEastAsia"/>
          <w:color w:val="auto"/>
          <w:szCs w:val="21"/>
        </w:rPr>
        <w:t>负责医用气体的应急保障工作，确保在应急情况下气体供应安全，应急保障设备可靠运行。</w:t>
      </w:r>
    </w:p>
    <w:p w14:paraId="42CF6BEE">
      <w:pPr>
        <w:numPr>
          <w:ilvl w:val="0"/>
          <w:numId w:val="12"/>
        </w:numPr>
        <w:spacing w:line="360" w:lineRule="auto"/>
        <w:jc w:val="left"/>
        <w:rPr>
          <w:rFonts w:eastAsiaTheme="minorEastAsia"/>
          <w:color w:val="auto"/>
          <w:szCs w:val="21"/>
        </w:rPr>
      </w:pPr>
      <w:r>
        <w:rPr>
          <w:rFonts w:eastAsiaTheme="minorEastAsia"/>
          <w:color w:val="auto"/>
          <w:szCs w:val="21"/>
        </w:rPr>
        <w:t>熟练掌握医用气体设备及系统的工作原理，严格遵守操作规程，正确操作和维护设备。</w:t>
      </w:r>
    </w:p>
    <w:p w14:paraId="2A6C506B">
      <w:pPr>
        <w:numPr>
          <w:ilvl w:val="0"/>
          <w:numId w:val="12"/>
        </w:numPr>
        <w:spacing w:line="360" w:lineRule="auto"/>
        <w:jc w:val="left"/>
        <w:rPr>
          <w:rFonts w:eastAsiaTheme="minorEastAsia"/>
          <w:color w:val="auto"/>
          <w:szCs w:val="21"/>
        </w:rPr>
      </w:pPr>
      <w:r>
        <w:rPr>
          <w:rFonts w:eastAsiaTheme="minorEastAsia"/>
          <w:color w:val="auto"/>
          <w:szCs w:val="21"/>
        </w:rPr>
        <w:t>做好日常的设备保养、维修和定期检查工作，确保设备处于良好工作状态。</w:t>
      </w:r>
    </w:p>
    <w:p w14:paraId="1855F33D">
      <w:pPr>
        <w:numPr>
          <w:ilvl w:val="0"/>
          <w:numId w:val="12"/>
        </w:numPr>
        <w:spacing w:line="360" w:lineRule="auto"/>
        <w:jc w:val="left"/>
        <w:rPr>
          <w:rFonts w:eastAsiaTheme="minorEastAsia"/>
          <w:color w:val="auto"/>
          <w:szCs w:val="21"/>
        </w:rPr>
      </w:pPr>
      <w:r>
        <w:rPr>
          <w:rFonts w:eastAsiaTheme="minorEastAsia"/>
          <w:color w:val="auto"/>
          <w:szCs w:val="21"/>
        </w:rPr>
        <w:t>经常巡视用气环境，发现故障及时分析原因并排除，若难以排除，应立即上报维修人员。</w:t>
      </w:r>
    </w:p>
    <w:p w14:paraId="346120E3">
      <w:pPr>
        <w:numPr>
          <w:ilvl w:val="0"/>
          <w:numId w:val="12"/>
        </w:numPr>
        <w:spacing w:line="360" w:lineRule="auto"/>
        <w:jc w:val="left"/>
        <w:rPr>
          <w:rFonts w:eastAsiaTheme="minorEastAsia"/>
          <w:color w:val="auto"/>
          <w:szCs w:val="21"/>
        </w:rPr>
      </w:pPr>
      <w:r>
        <w:rPr>
          <w:rFonts w:eastAsiaTheme="minorEastAsia"/>
          <w:color w:val="auto"/>
          <w:szCs w:val="21"/>
        </w:rPr>
        <w:t>认真做好交接班记录、设备运行记录、维修保养记录等，确保各项工作有据可查。</w:t>
      </w:r>
    </w:p>
    <w:p w14:paraId="0D376103">
      <w:pPr>
        <w:numPr>
          <w:ilvl w:val="0"/>
          <w:numId w:val="12"/>
        </w:numPr>
        <w:spacing w:line="360" w:lineRule="auto"/>
        <w:jc w:val="left"/>
        <w:rPr>
          <w:rFonts w:eastAsiaTheme="minorEastAsia"/>
          <w:color w:val="auto"/>
          <w:szCs w:val="21"/>
        </w:rPr>
      </w:pPr>
      <w:r>
        <w:rPr>
          <w:rFonts w:eastAsiaTheme="minorEastAsia"/>
          <w:color w:val="auto"/>
          <w:szCs w:val="21"/>
        </w:rPr>
        <w:t>交接班时必须认真检查各供气间的重要环节，确保管道畅通、仪表处于良好工作状态。</w:t>
      </w:r>
    </w:p>
    <w:p w14:paraId="20915A94">
      <w:pPr>
        <w:numPr>
          <w:ilvl w:val="0"/>
          <w:numId w:val="12"/>
        </w:numPr>
        <w:spacing w:line="360" w:lineRule="auto"/>
        <w:jc w:val="left"/>
        <w:rPr>
          <w:rFonts w:eastAsiaTheme="minorEastAsia"/>
          <w:color w:val="auto"/>
          <w:szCs w:val="21"/>
        </w:rPr>
      </w:pPr>
      <w:r>
        <w:rPr>
          <w:rFonts w:eastAsiaTheme="minorEastAsia"/>
          <w:color w:val="auto"/>
          <w:szCs w:val="21"/>
        </w:rPr>
        <w:t>负责设备机房的安全、卫生与工具管理。</w:t>
      </w:r>
    </w:p>
    <w:p w14:paraId="034C92DF">
      <w:pPr>
        <w:pStyle w:val="74"/>
        <w:widowControl/>
        <w:tabs>
          <w:tab w:val="left" w:pos="720"/>
        </w:tabs>
        <w:spacing w:line="360" w:lineRule="auto"/>
        <w:ind w:left="450" w:firstLine="0" w:firstLineChars="0"/>
        <w:jc w:val="left"/>
        <w:outlineLvl w:val="1"/>
        <w:rPr>
          <w:rFonts w:eastAsiaTheme="minorEastAsia"/>
          <w:b/>
          <w:bCs/>
          <w:color w:val="auto"/>
          <w:szCs w:val="21"/>
        </w:rPr>
      </w:pPr>
      <w:r>
        <w:rPr>
          <w:rFonts w:eastAsiaTheme="minorEastAsia"/>
          <w:b/>
          <w:bCs/>
          <w:color w:val="auto"/>
          <w:szCs w:val="21"/>
        </w:rPr>
        <w:t>（三）总体要求</w:t>
      </w:r>
    </w:p>
    <w:p w14:paraId="2BAB23D8">
      <w:pPr>
        <w:pStyle w:val="74"/>
        <w:numPr>
          <w:ilvl w:val="0"/>
          <w:numId w:val="13"/>
        </w:numPr>
        <w:spacing w:line="360" w:lineRule="auto"/>
        <w:ind w:left="0" w:firstLine="0" w:firstLineChars="0"/>
        <w:jc w:val="left"/>
        <w:rPr>
          <w:rFonts w:eastAsiaTheme="minorEastAsia"/>
          <w:color w:val="auto"/>
          <w:szCs w:val="21"/>
        </w:rPr>
      </w:pPr>
      <w:r>
        <w:rPr>
          <w:rFonts w:eastAsiaTheme="minorEastAsia"/>
          <w:color w:val="auto"/>
          <w:szCs w:val="21"/>
        </w:rPr>
        <w:t>供应商须遵守《劳动法》等法律法规，足额支付项目服务人员工资，配齐劳动防护用品；加强员工宣教，督促员工遵守院方各项规章制度，坚持一切以病人为中心，自觉维护医院形象，并与院方签订服务期安全责任书。</w:t>
      </w:r>
    </w:p>
    <w:p w14:paraId="5F8ADD1A">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供应商实行自主管理，在合同约定总人数范围内可自主调整岗位，制定各岗位工作流程并报院方确认后实施；确保岗位人员熟练掌握工作要求，保质保量完成运维服务，主动接受院方监督。</w:t>
      </w:r>
    </w:p>
    <w:p w14:paraId="6D5111CC">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特种作业岗位必须持证上岗；常态化开展岗位技能、证件年审、操作流程、消防安全、消毒规范、服务质量专项培训，完整留存培训记录。</w:t>
      </w:r>
    </w:p>
    <w:p w14:paraId="5A24B9C4">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供应商管理人员每日开展现场巡查督导，主动对接各科室、病区护士长，及时排查整改问题，持续提升运维服务质量，保障临床医疗、护理工作需求。</w:t>
      </w:r>
    </w:p>
    <w:p w14:paraId="4DF77B61">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物资、耗材及应急物资管理严格按照投标方案配置，满足医院运维、临床护理需要；落实出入库台账登记、月度盘点，执行库房5S管理，院方可不定期抽查。</w:t>
      </w:r>
    </w:p>
    <w:p w14:paraId="2A4516A6">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院方交付供应商使用的物资、维修工具、备品备件，供应商须建立领用登记、妥善保管；因保管不善、违规使用、人为过错造成丢失损毁的，按采购原值或评估残值予以赔偿，正常合理损耗除外；维修工具、安全防护用品由供应商统一配置并定期更新维护。</w:t>
      </w:r>
    </w:p>
    <w:p w14:paraId="3782B30D">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建立完整能耗台账，每日将能耗报表上传工作群；每月开展水、电、气数据分析，及时排查纠正浪费现象，按院方要求安全、节约使用水电气及院内各类设施。</w:t>
      </w:r>
    </w:p>
    <w:p w14:paraId="2C1BBDE9">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特种岗位值班、维修人员配置须符合国家规范要求，规范填写设备运行记录；违反相关规范开展作业的，由此产生的全部责任由供应商承担。</w:t>
      </w:r>
    </w:p>
    <w:p w14:paraId="3F51525C">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作业须严格执行操作规程，做好设施安全巡检；发现设施破损、跑冒滴漏现象立即处置并上报，严防重大安全事故；员工违规作业造成医院物品、医疗设施损坏的，由供应商承担相应赔偿责任。</w:t>
      </w:r>
    </w:p>
    <w:p w14:paraId="2DD16E89">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建立覆盖停水、停电、停医气、火灾、电梯困人、爆管、突发公共卫生事件等场景的突发事件应急预案体系。发生突发情况须第一时间到场处置、上报，服从院方统一人员调配。</w:t>
      </w:r>
    </w:p>
    <w:p w14:paraId="568A52D0">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供应商每年组织维修服务类应急演练，演练完成后形成演练总结及整改记录。</w:t>
      </w:r>
    </w:p>
    <w:p w14:paraId="1397D5A0">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院方开展重大接待、大型活动期间，供应商须无条件配合，做好各项后勤保障服务工作。</w:t>
      </w:r>
    </w:p>
    <w:p w14:paraId="42EB095B">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供应商每月组织安全生产专项自查，并向院方提交安全自查自纠排查表。</w:t>
      </w:r>
    </w:p>
    <w:p w14:paraId="4DD2C4AB">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供应商开展服务时须落实安全保障措施、做好现场安全提醒，不得对作业区域及周边人员、财产造成安全威胁。</w:t>
      </w:r>
    </w:p>
    <w:p w14:paraId="29CFC171">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若因供应商服务瑕疵或未尽安全保障义务，造成自身、医院、患者或其他第三方人身伤害或财产损失，全部赔偿责任由供应商承担。院方被第三方索赔时，供应商须按要求配合应诉或独立抗辩；索赔成立的，院方有权直接从应付服务费中抵扣相应赔款。</w:t>
      </w:r>
    </w:p>
    <w:p w14:paraId="223CE66B">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规范落实院内机电、电梯等后勤设施的巡检、维修、保养工作，保障设备持续稳定运行。</w:t>
      </w:r>
    </w:p>
    <w:p w14:paraId="15604C99">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各类巡检、维保、培训、能耗、应急、物资台账记录须真实、规范、完整；院方开展抽查、考核时供应商须全力配合。</w:t>
      </w:r>
    </w:p>
    <w:p w14:paraId="2A674620">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供应商须及时响应院方各项工作指令，落实整改要求，所有违规行为按照合同约定追究相应责任。</w:t>
      </w:r>
    </w:p>
    <w:p w14:paraId="56FA0A79">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发生停水、停电、停医气、火警等紧急情况时，供应商人员须即刻到位，严格按照应急预案开展处置并上报院方。</w:t>
      </w:r>
    </w:p>
    <w:p w14:paraId="51709D6C">
      <w:pPr>
        <w:pStyle w:val="74"/>
        <w:numPr>
          <w:ilvl w:val="0"/>
          <w:numId w:val="13"/>
        </w:numPr>
        <w:spacing w:line="360" w:lineRule="auto"/>
        <w:ind w:firstLineChars="0"/>
        <w:jc w:val="left"/>
        <w:rPr>
          <w:rFonts w:eastAsiaTheme="minorEastAsia"/>
          <w:color w:val="auto"/>
          <w:szCs w:val="21"/>
        </w:rPr>
      </w:pPr>
      <w:r>
        <w:rPr>
          <w:rFonts w:eastAsiaTheme="minorEastAsia"/>
          <w:color w:val="auto"/>
          <w:szCs w:val="21"/>
        </w:rPr>
        <w:t>供应商负责运维全过程安全管理，落实各项安全管控措施，防范安全事故发生。</w:t>
      </w:r>
    </w:p>
    <w:p w14:paraId="7B93FC97">
      <w:pPr>
        <w:pStyle w:val="74"/>
        <w:widowControl/>
        <w:numPr>
          <w:ilvl w:val="0"/>
          <w:numId w:val="7"/>
        </w:numPr>
        <w:tabs>
          <w:tab w:val="left" w:pos="720"/>
        </w:tabs>
        <w:spacing w:line="360" w:lineRule="auto"/>
        <w:ind w:firstLineChars="0"/>
        <w:jc w:val="left"/>
        <w:outlineLvl w:val="1"/>
        <w:rPr>
          <w:rFonts w:eastAsiaTheme="minorEastAsia"/>
          <w:b/>
          <w:bCs/>
          <w:color w:val="auto"/>
          <w:szCs w:val="21"/>
        </w:rPr>
      </w:pPr>
      <w:r>
        <w:rPr>
          <w:rFonts w:eastAsiaTheme="minorEastAsia"/>
          <w:b/>
          <w:bCs/>
          <w:color w:val="auto"/>
          <w:szCs w:val="21"/>
        </w:rPr>
        <w:t>服务要求人员配置及要求</w:t>
      </w:r>
    </w:p>
    <w:p w14:paraId="774E1F91">
      <w:pPr>
        <w:spacing w:line="360" w:lineRule="auto"/>
        <w:jc w:val="left"/>
        <w:rPr>
          <w:rFonts w:eastAsiaTheme="minorEastAsia"/>
          <w:b/>
          <w:bCs/>
          <w:color w:val="auto"/>
          <w:szCs w:val="21"/>
        </w:rPr>
      </w:pPr>
      <w:r>
        <w:rPr>
          <w:rFonts w:eastAsiaTheme="minorEastAsia"/>
          <w:b/>
          <w:color w:val="auto"/>
          <w:kern w:val="4"/>
          <w:sz w:val="24"/>
        </w:rPr>
        <w:t>（一）人员配置：</w:t>
      </w:r>
    </w:p>
    <w:tbl>
      <w:tblPr>
        <w:tblStyle w:val="59"/>
        <w:tblW w:w="97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4"/>
        <w:gridCol w:w="1728"/>
        <w:gridCol w:w="2238"/>
        <w:gridCol w:w="1371"/>
        <w:gridCol w:w="3735"/>
      </w:tblGrid>
      <w:tr w14:paraId="784C9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vAlign w:val="center"/>
          </w:tcPr>
          <w:p w14:paraId="0B1E017A">
            <w:pPr>
              <w:spacing w:line="360" w:lineRule="auto"/>
              <w:jc w:val="center"/>
              <w:rPr>
                <w:rFonts w:eastAsiaTheme="minorEastAsia"/>
                <w:bCs/>
                <w:color w:val="auto"/>
                <w:kern w:val="4"/>
                <w:szCs w:val="21"/>
              </w:rPr>
            </w:pPr>
            <w:r>
              <w:rPr>
                <w:rFonts w:eastAsiaTheme="minorEastAsia"/>
                <w:bCs/>
                <w:color w:val="auto"/>
                <w:kern w:val="4"/>
                <w:szCs w:val="21"/>
              </w:rPr>
              <w:t>序号</w:t>
            </w:r>
          </w:p>
        </w:tc>
        <w:tc>
          <w:tcPr>
            <w:tcW w:w="1728" w:type="dxa"/>
            <w:vAlign w:val="center"/>
          </w:tcPr>
          <w:p w14:paraId="192B6C48">
            <w:pPr>
              <w:spacing w:line="360" w:lineRule="auto"/>
              <w:jc w:val="center"/>
              <w:rPr>
                <w:rFonts w:eastAsiaTheme="minorEastAsia"/>
                <w:bCs/>
                <w:color w:val="auto"/>
                <w:kern w:val="4"/>
                <w:szCs w:val="21"/>
              </w:rPr>
            </w:pPr>
            <w:r>
              <w:rPr>
                <w:rFonts w:eastAsiaTheme="minorEastAsia"/>
                <w:bCs/>
                <w:color w:val="auto"/>
                <w:kern w:val="4"/>
                <w:szCs w:val="21"/>
              </w:rPr>
              <w:t>工种</w:t>
            </w:r>
          </w:p>
        </w:tc>
        <w:tc>
          <w:tcPr>
            <w:tcW w:w="2238" w:type="dxa"/>
            <w:vAlign w:val="center"/>
          </w:tcPr>
          <w:p w14:paraId="31E5BA28">
            <w:pPr>
              <w:spacing w:line="360" w:lineRule="auto"/>
              <w:jc w:val="center"/>
              <w:rPr>
                <w:rFonts w:eastAsiaTheme="minorEastAsia"/>
                <w:bCs/>
                <w:color w:val="auto"/>
                <w:kern w:val="4"/>
                <w:szCs w:val="21"/>
              </w:rPr>
            </w:pPr>
            <w:r>
              <w:rPr>
                <w:rFonts w:eastAsiaTheme="minorEastAsia"/>
                <w:bCs/>
                <w:color w:val="auto"/>
                <w:kern w:val="4"/>
                <w:szCs w:val="21"/>
              </w:rPr>
              <w:t>工作内容</w:t>
            </w:r>
          </w:p>
        </w:tc>
        <w:tc>
          <w:tcPr>
            <w:tcW w:w="1371" w:type="dxa"/>
            <w:vAlign w:val="center"/>
          </w:tcPr>
          <w:p w14:paraId="55236C9E">
            <w:pPr>
              <w:spacing w:line="360" w:lineRule="auto"/>
              <w:jc w:val="center"/>
              <w:rPr>
                <w:rFonts w:eastAsiaTheme="minorEastAsia"/>
                <w:bCs/>
                <w:color w:val="auto"/>
                <w:kern w:val="4"/>
                <w:szCs w:val="21"/>
              </w:rPr>
            </w:pPr>
            <w:r>
              <w:rPr>
                <w:rFonts w:eastAsiaTheme="minorEastAsia"/>
                <w:bCs/>
                <w:color w:val="auto"/>
                <w:kern w:val="4"/>
                <w:szCs w:val="21"/>
              </w:rPr>
              <w:t>参考岗位数</w:t>
            </w:r>
          </w:p>
        </w:tc>
        <w:tc>
          <w:tcPr>
            <w:tcW w:w="3735" w:type="dxa"/>
            <w:vAlign w:val="center"/>
          </w:tcPr>
          <w:p w14:paraId="4B0ACC4E">
            <w:pPr>
              <w:spacing w:line="360" w:lineRule="auto"/>
              <w:jc w:val="center"/>
              <w:rPr>
                <w:rFonts w:eastAsiaTheme="minorEastAsia"/>
                <w:bCs/>
                <w:color w:val="auto"/>
                <w:kern w:val="4"/>
                <w:szCs w:val="21"/>
              </w:rPr>
            </w:pPr>
            <w:r>
              <w:rPr>
                <w:rFonts w:eastAsiaTheme="minorEastAsia"/>
                <w:bCs/>
                <w:color w:val="auto"/>
                <w:kern w:val="4"/>
                <w:szCs w:val="21"/>
              </w:rPr>
              <w:t>需具备的证书或要求</w:t>
            </w:r>
          </w:p>
        </w:tc>
      </w:tr>
      <w:tr w14:paraId="3F3C6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vAlign w:val="center"/>
          </w:tcPr>
          <w:p w14:paraId="2E36ED8A">
            <w:pPr>
              <w:spacing w:line="360" w:lineRule="auto"/>
              <w:jc w:val="center"/>
              <w:rPr>
                <w:rFonts w:eastAsiaTheme="minorEastAsia"/>
                <w:bCs/>
                <w:color w:val="auto"/>
                <w:kern w:val="4"/>
                <w:szCs w:val="21"/>
              </w:rPr>
            </w:pPr>
            <w:r>
              <w:rPr>
                <w:rFonts w:eastAsiaTheme="minorEastAsia"/>
                <w:bCs/>
                <w:color w:val="auto"/>
                <w:kern w:val="4"/>
                <w:szCs w:val="21"/>
              </w:rPr>
              <w:t>1</w:t>
            </w:r>
          </w:p>
        </w:tc>
        <w:tc>
          <w:tcPr>
            <w:tcW w:w="1728" w:type="dxa"/>
            <w:vAlign w:val="center"/>
          </w:tcPr>
          <w:p w14:paraId="0C439C7B">
            <w:pPr>
              <w:spacing w:line="360" w:lineRule="auto"/>
              <w:jc w:val="center"/>
              <w:rPr>
                <w:rFonts w:eastAsiaTheme="minorEastAsia"/>
                <w:bCs/>
                <w:color w:val="auto"/>
                <w:kern w:val="4"/>
                <w:szCs w:val="21"/>
              </w:rPr>
            </w:pPr>
            <w:r>
              <w:rPr>
                <w:rFonts w:eastAsiaTheme="minorEastAsia"/>
                <w:bCs/>
                <w:color w:val="auto"/>
                <w:kern w:val="4"/>
                <w:szCs w:val="21"/>
              </w:rPr>
              <w:t>管理人员1</w:t>
            </w:r>
          </w:p>
        </w:tc>
        <w:tc>
          <w:tcPr>
            <w:tcW w:w="2238" w:type="dxa"/>
            <w:vAlign w:val="center"/>
          </w:tcPr>
          <w:p w14:paraId="18D6C9E4">
            <w:pPr>
              <w:spacing w:line="360" w:lineRule="auto"/>
              <w:jc w:val="center"/>
              <w:rPr>
                <w:rFonts w:eastAsiaTheme="minorEastAsia"/>
                <w:bCs/>
                <w:color w:val="auto"/>
                <w:kern w:val="4"/>
                <w:szCs w:val="21"/>
              </w:rPr>
            </w:pPr>
            <w:r>
              <w:rPr>
                <w:rFonts w:eastAsiaTheme="minorEastAsia"/>
                <w:bCs/>
                <w:color w:val="auto"/>
                <w:kern w:val="4"/>
                <w:szCs w:val="21"/>
              </w:rPr>
              <w:t>项目经理</w:t>
            </w:r>
          </w:p>
        </w:tc>
        <w:tc>
          <w:tcPr>
            <w:tcW w:w="1371" w:type="dxa"/>
            <w:vAlign w:val="center"/>
          </w:tcPr>
          <w:p w14:paraId="030BF3F1">
            <w:pPr>
              <w:spacing w:line="360" w:lineRule="auto"/>
              <w:jc w:val="center"/>
              <w:rPr>
                <w:rFonts w:eastAsiaTheme="minorEastAsia"/>
                <w:bCs/>
                <w:color w:val="auto"/>
                <w:kern w:val="4"/>
                <w:szCs w:val="21"/>
              </w:rPr>
            </w:pPr>
            <w:r>
              <w:rPr>
                <w:rFonts w:eastAsiaTheme="minorEastAsia"/>
                <w:bCs/>
                <w:color w:val="auto"/>
                <w:kern w:val="4"/>
                <w:szCs w:val="21"/>
              </w:rPr>
              <w:t>1</w:t>
            </w:r>
          </w:p>
        </w:tc>
        <w:tc>
          <w:tcPr>
            <w:tcW w:w="3735" w:type="dxa"/>
            <w:vMerge w:val="restart"/>
            <w:vAlign w:val="center"/>
          </w:tcPr>
          <w:p w14:paraId="7C9A1C4B">
            <w:pPr>
              <w:spacing w:line="360" w:lineRule="auto"/>
              <w:jc w:val="center"/>
              <w:rPr>
                <w:rFonts w:eastAsiaTheme="minorEastAsia"/>
                <w:bCs/>
                <w:color w:val="auto"/>
                <w:kern w:val="4"/>
                <w:szCs w:val="21"/>
              </w:rPr>
            </w:pPr>
            <w:r>
              <w:rPr>
                <w:rFonts w:eastAsiaTheme="minorEastAsia"/>
                <w:color w:val="auto"/>
                <w:szCs w:val="21"/>
                <w:lang w:bidi="ar"/>
              </w:rPr>
              <w:t>至少一人具有特种设备安全管理员A证</w:t>
            </w:r>
          </w:p>
        </w:tc>
      </w:tr>
      <w:tr w14:paraId="4B9E0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vAlign w:val="center"/>
          </w:tcPr>
          <w:p w14:paraId="0C754025">
            <w:pPr>
              <w:spacing w:line="360" w:lineRule="auto"/>
              <w:jc w:val="center"/>
              <w:rPr>
                <w:rFonts w:eastAsiaTheme="minorEastAsia"/>
                <w:bCs/>
                <w:color w:val="auto"/>
                <w:kern w:val="4"/>
                <w:szCs w:val="21"/>
              </w:rPr>
            </w:pPr>
            <w:r>
              <w:rPr>
                <w:rFonts w:eastAsiaTheme="minorEastAsia"/>
                <w:bCs/>
                <w:color w:val="auto"/>
                <w:kern w:val="4"/>
                <w:szCs w:val="21"/>
              </w:rPr>
              <w:t>2</w:t>
            </w:r>
          </w:p>
        </w:tc>
        <w:tc>
          <w:tcPr>
            <w:tcW w:w="1728" w:type="dxa"/>
            <w:vAlign w:val="center"/>
          </w:tcPr>
          <w:p w14:paraId="092A7F98">
            <w:pPr>
              <w:spacing w:line="360" w:lineRule="auto"/>
              <w:jc w:val="center"/>
              <w:rPr>
                <w:rFonts w:eastAsiaTheme="minorEastAsia"/>
                <w:bCs/>
                <w:color w:val="auto"/>
                <w:kern w:val="4"/>
                <w:szCs w:val="21"/>
              </w:rPr>
            </w:pPr>
            <w:r>
              <w:rPr>
                <w:rFonts w:eastAsiaTheme="minorEastAsia"/>
                <w:bCs/>
                <w:color w:val="auto"/>
                <w:kern w:val="4"/>
                <w:szCs w:val="21"/>
              </w:rPr>
              <w:t>管理人员2</w:t>
            </w:r>
          </w:p>
        </w:tc>
        <w:tc>
          <w:tcPr>
            <w:tcW w:w="2238" w:type="dxa"/>
            <w:vAlign w:val="center"/>
          </w:tcPr>
          <w:p w14:paraId="3E6DADE1">
            <w:pPr>
              <w:spacing w:line="360" w:lineRule="auto"/>
              <w:jc w:val="center"/>
              <w:rPr>
                <w:rFonts w:eastAsiaTheme="minorEastAsia"/>
                <w:bCs/>
                <w:color w:val="auto"/>
                <w:kern w:val="4"/>
                <w:szCs w:val="21"/>
              </w:rPr>
            </w:pPr>
            <w:r>
              <w:rPr>
                <w:rFonts w:eastAsiaTheme="minorEastAsia"/>
                <w:bCs/>
                <w:color w:val="auto"/>
                <w:kern w:val="4"/>
                <w:szCs w:val="21"/>
              </w:rPr>
              <w:t>项目主管</w:t>
            </w:r>
          </w:p>
        </w:tc>
        <w:tc>
          <w:tcPr>
            <w:tcW w:w="1371" w:type="dxa"/>
            <w:vAlign w:val="center"/>
          </w:tcPr>
          <w:p w14:paraId="10B46B68">
            <w:pPr>
              <w:spacing w:line="360" w:lineRule="auto"/>
              <w:jc w:val="center"/>
              <w:rPr>
                <w:rFonts w:eastAsiaTheme="minorEastAsia"/>
                <w:bCs/>
                <w:color w:val="auto"/>
                <w:kern w:val="4"/>
                <w:szCs w:val="21"/>
              </w:rPr>
            </w:pPr>
            <w:r>
              <w:rPr>
                <w:rFonts w:eastAsiaTheme="minorEastAsia"/>
                <w:bCs/>
                <w:color w:val="auto"/>
                <w:kern w:val="4"/>
                <w:szCs w:val="21"/>
              </w:rPr>
              <w:t>1</w:t>
            </w:r>
          </w:p>
        </w:tc>
        <w:tc>
          <w:tcPr>
            <w:tcW w:w="3735" w:type="dxa"/>
            <w:vMerge w:val="continue"/>
            <w:vAlign w:val="center"/>
          </w:tcPr>
          <w:p w14:paraId="74892003">
            <w:pPr>
              <w:spacing w:line="360" w:lineRule="auto"/>
              <w:jc w:val="center"/>
              <w:rPr>
                <w:rFonts w:eastAsiaTheme="minorEastAsia"/>
                <w:bCs/>
                <w:color w:val="auto"/>
                <w:kern w:val="4"/>
                <w:szCs w:val="21"/>
              </w:rPr>
            </w:pPr>
          </w:p>
        </w:tc>
      </w:tr>
      <w:tr w14:paraId="2EE08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vAlign w:val="center"/>
          </w:tcPr>
          <w:p w14:paraId="093A62BA">
            <w:pPr>
              <w:spacing w:line="360" w:lineRule="auto"/>
              <w:jc w:val="center"/>
              <w:rPr>
                <w:rFonts w:eastAsiaTheme="minorEastAsia"/>
                <w:bCs/>
                <w:color w:val="auto"/>
                <w:kern w:val="4"/>
                <w:szCs w:val="21"/>
              </w:rPr>
            </w:pPr>
            <w:r>
              <w:rPr>
                <w:rFonts w:eastAsiaTheme="minorEastAsia"/>
                <w:bCs/>
                <w:color w:val="auto"/>
                <w:kern w:val="4"/>
                <w:szCs w:val="21"/>
              </w:rPr>
              <w:t>3</w:t>
            </w:r>
          </w:p>
        </w:tc>
        <w:tc>
          <w:tcPr>
            <w:tcW w:w="1728" w:type="dxa"/>
            <w:vAlign w:val="center"/>
          </w:tcPr>
          <w:p w14:paraId="1FEA1E96">
            <w:pPr>
              <w:spacing w:line="360" w:lineRule="auto"/>
              <w:jc w:val="center"/>
              <w:rPr>
                <w:rFonts w:eastAsiaTheme="minorEastAsia"/>
                <w:bCs/>
                <w:color w:val="auto"/>
                <w:kern w:val="4"/>
                <w:szCs w:val="21"/>
              </w:rPr>
            </w:pPr>
            <w:r>
              <w:rPr>
                <w:rFonts w:eastAsiaTheme="minorEastAsia"/>
                <w:bCs/>
                <w:color w:val="auto"/>
                <w:kern w:val="4"/>
                <w:szCs w:val="21"/>
              </w:rPr>
              <w:t>变电所值班人员</w:t>
            </w:r>
          </w:p>
        </w:tc>
        <w:tc>
          <w:tcPr>
            <w:tcW w:w="2238" w:type="dxa"/>
            <w:vAlign w:val="center"/>
          </w:tcPr>
          <w:p w14:paraId="73A42FFD">
            <w:pPr>
              <w:spacing w:line="360" w:lineRule="auto"/>
              <w:jc w:val="center"/>
              <w:rPr>
                <w:rFonts w:eastAsiaTheme="minorEastAsia"/>
                <w:bCs/>
                <w:color w:val="auto"/>
                <w:kern w:val="4"/>
                <w:szCs w:val="21"/>
              </w:rPr>
            </w:pPr>
            <w:r>
              <w:rPr>
                <w:rFonts w:eastAsiaTheme="minorEastAsia"/>
                <w:bCs/>
                <w:color w:val="auto"/>
                <w:kern w:val="4"/>
                <w:szCs w:val="21"/>
              </w:rPr>
              <w:t>配电房巡检、抄表等</w:t>
            </w:r>
          </w:p>
        </w:tc>
        <w:tc>
          <w:tcPr>
            <w:tcW w:w="1371" w:type="dxa"/>
            <w:vAlign w:val="center"/>
          </w:tcPr>
          <w:p w14:paraId="7CD1F265">
            <w:pPr>
              <w:spacing w:line="360" w:lineRule="auto"/>
              <w:jc w:val="center"/>
              <w:rPr>
                <w:rFonts w:eastAsiaTheme="minorEastAsia"/>
                <w:bCs/>
                <w:color w:val="auto"/>
                <w:kern w:val="4"/>
                <w:szCs w:val="21"/>
              </w:rPr>
            </w:pPr>
            <w:r>
              <w:rPr>
                <w:rFonts w:eastAsiaTheme="minorEastAsia"/>
                <w:bCs/>
                <w:color w:val="auto"/>
                <w:kern w:val="4"/>
                <w:szCs w:val="21"/>
              </w:rPr>
              <w:t>8</w:t>
            </w:r>
          </w:p>
        </w:tc>
        <w:tc>
          <w:tcPr>
            <w:tcW w:w="3735" w:type="dxa"/>
            <w:vAlign w:val="center"/>
          </w:tcPr>
          <w:p w14:paraId="1D4D05B4">
            <w:pPr>
              <w:spacing w:line="360" w:lineRule="auto"/>
              <w:jc w:val="center"/>
              <w:rPr>
                <w:rFonts w:eastAsiaTheme="minorEastAsia"/>
                <w:bCs/>
                <w:color w:val="auto"/>
                <w:kern w:val="4"/>
                <w:szCs w:val="21"/>
              </w:rPr>
            </w:pPr>
            <w:r>
              <w:rPr>
                <w:rFonts w:eastAsiaTheme="minorEastAsia"/>
                <w:bCs/>
                <w:color w:val="auto"/>
                <w:kern w:val="4"/>
                <w:szCs w:val="21"/>
              </w:rPr>
              <w:t>高压电工证</w:t>
            </w:r>
          </w:p>
        </w:tc>
      </w:tr>
      <w:tr w14:paraId="003D1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vAlign w:val="center"/>
          </w:tcPr>
          <w:p w14:paraId="774EE80A">
            <w:pPr>
              <w:spacing w:line="360" w:lineRule="auto"/>
              <w:jc w:val="center"/>
              <w:rPr>
                <w:rFonts w:eastAsiaTheme="minorEastAsia"/>
                <w:bCs/>
                <w:color w:val="auto"/>
                <w:kern w:val="4"/>
                <w:szCs w:val="21"/>
              </w:rPr>
            </w:pPr>
            <w:r>
              <w:rPr>
                <w:rFonts w:eastAsiaTheme="minorEastAsia"/>
                <w:bCs/>
                <w:color w:val="auto"/>
                <w:kern w:val="4"/>
                <w:szCs w:val="21"/>
              </w:rPr>
              <w:t>4</w:t>
            </w:r>
          </w:p>
        </w:tc>
        <w:tc>
          <w:tcPr>
            <w:tcW w:w="1728" w:type="dxa"/>
            <w:vAlign w:val="center"/>
          </w:tcPr>
          <w:p w14:paraId="2928BA80">
            <w:pPr>
              <w:spacing w:line="360" w:lineRule="auto"/>
              <w:jc w:val="center"/>
              <w:rPr>
                <w:rFonts w:eastAsiaTheme="minorEastAsia"/>
                <w:bCs/>
                <w:color w:val="auto"/>
                <w:kern w:val="4"/>
                <w:szCs w:val="21"/>
              </w:rPr>
            </w:pPr>
            <w:r>
              <w:rPr>
                <w:rFonts w:eastAsiaTheme="minorEastAsia"/>
                <w:bCs/>
                <w:color w:val="auto"/>
                <w:kern w:val="4"/>
                <w:szCs w:val="21"/>
              </w:rPr>
              <w:t>电梯司机人员</w:t>
            </w:r>
          </w:p>
        </w:tc>
        <w:tc>
          <w:tcPr>
            <w:tcW w:w="2238" w:type="dxa"/>
            <w:vAlign w:val="center"/>
          </w:tcPr>
          <w:p w14:paraId="1A878583">
            <w:pPr>
              <w:spacing w:line="360" w:lineRule="auto"/>
              <w:jc w:val="center"/>
              <w:rPr>
                <w:rFonts w:eastAsiaTheme="minorEastAsia"/>
                <w:bCs/>
                <w:color w:val="auto"/>
                <w:kern w:val="4"/>
                <w:szCs w:val="21"/>
              </w:rPr>
            </w:pPr>
            <w:r>
              <w:rPr>
                <w:rFonts w:eastAsiaTheme="minorEastAsia"/>
                <w:bCs/>
                <w:color w:val="auto"/>
                <w:kern w:val="4"/>
                <w:szCs w:val="21"/>
              </w:rPr>
              <w:t>电梯巡检等</w:t>
            </w:r>
          </w:p>
        </w:tc>
        <w:tc>
          <w:tcPr>
            <w:tcW w:w="1371" w:type="dxa"/>
            <w:vAlign w:val="center"/>
          </w:tcPr>
          <w:p w14:paraId="5C19B13A">
            <w:pPr>
              <w:spacing w:line="360" w:lineRule="auto"/>
              <w:jc w:val="center"/>
              <w:rPr>
                <w:rFonts w:eastAsiaTheme="minorEastAsia"/>
                <w:bCs/>
                <w:color w:val="auto"/>
                <w:kern w:val="4"/>
                <w:szCs w:val="21"/>
              </w:rPr>
            </w:pPr>
            <w:r>
              <w:rPr>
                <w:rFonts w:eastAsiaTheme="minorEastAsia"/>
                <w:bCs/>
                <w:color w:val="auto"/>
                <w:kern w:val="4"/>
                <w:szCs w:val="21"/>
              </w:rPr>
              <w:t>3</w:t>
            </w:r>
          </w:p>
        </w:tc>
        <w:tc>
          <w:tcPr>
            <w:tcW w:w="3735" w:type="dxa"/>
            <w:vAlign w:val="center"/>
          </w:tcPr>
          <w:p w14:paraId="60B0F894">
            <w:pPr>
              <w:spacing w:line="360" w:lineRule="auto"/>
              <w:jc w:val="center"/>
              <w:rPr>
                <w:rFonts w:eastAsiaTheme="minorEastAsia"/>
                <w:color w:val="auto"/>
                <w:szCs w:val="21"/>
                <w:lang w:bidi="ar"/>
              </w:rPr>
            </w:pPr>
            <w:r>
              <w:rPr>
                <w:rFonts w:eastAsiaTheme="minorEastAsia"/>
                <w:color w:val="auto"/>
                <w:szCs w:val="21"/>
                <w:shd w:val="clear" w:color="auto" w:fill="FFFFFF" w:themeFill="background1"/>
              </w:rPr>
              <w:t>应经过专业培训并具备相应操作能力</w:t>
            </w:r>
          </w:p>
        </w:tc>
      </w:tr>
      <w:tr w14:paraId="70817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jc w:val="center"/>
        </w:trPr>
        <w:tc>
          <w:tcPr>
            <w:tcW w:w="704" w:type="dxa"/>
            <w:vAlign w:val="center"/>
          </w:tcPr>
          <w:p w14:paraId="43D87025">
            <w:pPr>
              <w:spacing w:line="360" w:lineRule="auto"/>
              <w:jc w:val="center"/>
              <w:rPr>
                <w:rFonts w:eastAsiaTheme="minorEastAsia"/>
                <w:bCs/>
                <w:color w:val="auto"/>
                <w:kern w:val="4"/>
                <w:szCs w:val="21"/>
              </w:rPr>
            </w:pPr>
            <w:r>
              <w:rPr>
                <w:rFonts w:eastAsiaTheme="minorEastAsia"/>
                <w:bCs/>
                <w:color w:val="auto"/>
                <w:kern w:val="4"/>
                <w:szCs w:val="21"/>
              </w:rPr>
              <w:t>5</w:t>
            </w:r>
          </w:p>
        </w:tc>
        <w:tc>
          <w:tcPr>
            <w:tcW w:w="1728" w:type="dxa"/>
            <w:vAlign w:val="center"/>
          </w:tcPr>
          <w:p w14:paraId="6153138F">
            <w:pPr>
              <w:spacing w:line="360" w:lineRule="auto"/>
              <w:jc w:val="center"/>
              <w:rPr>
                <w:rFonts w:eastAsiaTheme="minorEastAsia"/>
                <w:bCs/>
                <w:color w:val="auto"/>
                <w:kern w:val="4"/>
                <w:szCs w:val="21"/>
              </w:rPr>
            </w:pPr>
            <w:r>
              <w:rPr>
                <w:rFonts w:eastAsiaTheme="minorEastAsia"/>
                <w:bCs/>
                <w:color w:val="auto"/>
                <w:kern w:val="4"/>
                <w:szCs w:val="21"/>
              </w:rPr>
              <w:t>综合维修</w:t>
            </w:r>
          </w:p>
        </w:tc>
        <w:tc>
          <w:tcPr>
            <w:tcW w:w="2238" w:type="dxa"/>
            <w:vAlign w:val="center"/>
          </w:tcPr>
          <w:p w14:paraId="4B222E30">
            <w:pPr>
              <w:spacing w:line="360" w:lineRule="auto"/>
              <w:jc w:val="center"/>
              <w:rPr>
                <w:rFonts w:eastAsiaTheme="minorEastAsia"/>
                <w:bCs/>
                <w:color w:val="auto"/>
                <w:kern w:val="4"/>
                <w:szCs w:val="21"/>
              </w:rPr>
            </w:pPr>
            <w:r>
              <w:rPr>
                <w:rFonts w:eastAsiaTheme="minorEastAsia"/>
                <w:bCs/>
                <w:color w:val="auto"/>
                <w:kern w:val="4"/>
                <w:szCs w:val="21"/>
              </w:rPr>
              <w:t>维修人员</w:t>
            </w:r>
          </w:p>
        </w:tc>
        <w:tc>
          <w:tcPr>
            <w:tcW w:w="1371" w:type="dxa"/>
            <w:vAlign w:val="center"/>
          </w:tcPr>
          <w:p w14:paraId="7952CE16">
            <w:pPr>
              <w:spacing w:line="360" w:lineRule="auto"/>
              <w:jc w:val="center"/>
              <w:rPr>
                <w:rFonts w:eastAsiaTheme="minorEastAsia"/>
                <w:bCs/>
                <w:color w:val="auto"/>
                <w:kern w:val="4"/>
                <w:szCs w:val="21"/>
              </w:rPr>
            </w:pPr>
            <w:r>
              <w:rPr>
                <w:rFonts w:eastAsiaTheme="minorEastAsia"/>
                <w:bCs/>
                <w:color w:val="auto"/>
                <w:kern w:val="4"/>
                <w:szCs w:val="21"/>
              </w:rPr>
              <w:t>11</w:t>
            </w:r>
          </w:p>
        </w:tc>
        <w:tc>
          <w:tcPr>
            <w:tcW w:w="3735" w:type="dxa"/>
            <w:vAlign w:val="center"/>
          </w:tcPr>
          <w:p w14:paraId="78B91C59">
            <w:pPr>
              <w:spacing w:line="360" w:lineRule="auto"/>
              <w:jc w:val="center"/>
              <w:rPr>
                <w:rFonts w:eastAsiaTheme="minorEastAsia"/>
                <w:color w:val="auto"/>
                <w:szCs w:val="21"/>
                <w:lang w:bidi="ar"/>
              </w:rPr>
            </w:pPr>
            <w:r>
              <w:rPr>
                <w:rFonts w:eastAsiaTheme="minorEastAsia"/>
                <w:color w:val="auto"/>
                <w:szCs w:val="21"/>
              </w:rPr>
              <w:t>必须持有高压或低压电工作业证，至少一人具有特种设备安全员管理证，至少有一人具有焊工证</w:t>
            </w:r>
          </w:p>
        </w:tc>
      </w:tr>
    </w:tbl>
    <w:p w14:paraId="314BEC9B">
      <w:pPr>
        <w:pStyle w:val="68"/>
        <w:ind w:firstLine="420"/>
        <w:rPr>
          <w:rFonts w:ascii="Times New Roman" w:hAnsi="Times New Roman" w:eastAsiaTheme="minorEastAsia"/>
          <w:color w:val="auto"/>
          <w:sz w:val="21"/>
        </w:rPr>
      </w:pPr>
      <w:r>
        <w:rPr>
          <w:rFonts w:hint="eastAsia" w:ascii="宋体" w:hAnsi="宋体" w:eastAsia="宋体" w:cs="宋体"/>
          <w:b/>
          <w:bCs/>
          <w:color w:val="auto"/>
          <w:kern w:val="0"/>
          <w:sz w:val="20"/>
          <w:szCs w:val="20"/>
        </w:rPr>
        <w:t>★</w:t>
      </w:r>
      <w:r>
        <w:rPr>
          <w:rFonts w:ascii="Times New Roman" w:hAnsi="Times New Roman" w:eastAsiaTheme="minorEastAsia"/>
          <w:color w:val="auto"/>
          <w:sz w:val="21"/>
        </w:rPr>
        <w:t>注：所报人员中所持证书人员数量和证书类别必须满足以上要求，为实质性要求，不允许负偏离，否则按无效投标处理，提供证书复印件加盖单位公章。</w:t>
      </w:r>
    </w:p>
    <w:p w14:paraId="48C0D099">
      <w:pPr>
        <w:spacing w:line="360" w:lineRule="auto"/>
        <w:ind w:firstLine="482" w:firstLineChars="200"/>
        <w:jc w:val="left"/>
        <w:rPr>
          <w:rFonts w:eastAsiaTheme="minorEastAsia"/>
          <w:b/>
          <w:color w:val="auto"/>
          <w:kern w:val="4"/>
          <w:sz w:val="24"/>
        </w:rPr>
      </w:pPr>
      <w:r>
        <w:rPr>
          <w:rFonts w:eastAsiaTheme="minorEastAsia"/>
          <w:b/>
          <w:color w:val="auto"/>
          <w:kern w:val="4"/>
          <w:sz w:val="24"/>
        </w:rPr>
        <w:t>岗位说明</w:t>
      </w:r>
    </w:p>
    <w:p w14:paraId="280F52B4">
      <w:pPr>
        <w:pStyle w:val="2"/>
        <w:spacing w:line="360" w:lineRule="auto"/>
        <w:ind w:firstLine="420"/>
        <w:rPr>
          <w:rFonts w:hint="default" w:ascii="Times New Roman" w:hAnsi="Times New Roman" w:eastAsiaTheme="minorEastAsia"/>
          <w:b/>
          <w:i/>
          <w:color w:val="auto"/>
          <w:sz w:val="21"/>
          <w:szCs w:val="21"/>
          <w:u w:val="single"/>
        </w:rPr>
      </w:pPr>
      <w:r>
        <w:rPr>
          <w:rFonts w:hint="default" w:ascii="Times New Roman" w:hAnsi="Times New Roman" w:eastAsiaTheme="minorEastAsia"/>
          <w:color w:val="auto"/>
          <w:sz w:val="21"/>
          <w:szCs w:val="21"/>
        </w:rPr>
        <w:t>医院根据实际管理需要以及工作难易程度、工作强度等综合情况，划分运维管理相关岗位。供应商根据岗位、工作难易程度和强度分别进行报价。本次招标需求提供的岗位数作为参考基数，</w:t>
      </w:r>
      <w:r>
        <w:rPr>
          <w:rFonts w:hint="default" w:ascii="Times New Roman" w:hAnsi="Times New Roman" w:eastAsiaTheme="minorEastAsia"/>
          <w:b/>
          <w:i/>
          <w:color w:val="auto"/>
          <w:sz w:val="21"/>
          <w:szCs w:val="21"/>
          <w:u w:val="single"/>
        </w:rPr>
        <w:t>本招标文件所列岗位数为最低配置要求，供应商在投标报价中拟派驻医院实际在岗自然人数不得低于该最低岗位数（共24人，提供人员配置明细表）。</w:t>
      </w:r>
    </w:p>
    <w:p w14:paraId="6EE4840D">
      <w:pPr>
        <w:pStyle w:val="2"/>
        <w:spacing w:line="360" w:lineRule="auto"/>
        <w:ind w:firstLine="420"/>
        <w:rPr>
          <w:rFonts w:hint="default" w:ascii="Times New Roman" w:hAnsi="Times New Roman" w:eastAsiaTheme="minorEastAsia"/>
          <w:b/>
          <w:i/>
          <w:iCs/>
          <w:color w:val="auto"/>
          <w:sz w:val="21"/>
          <w:szCs w:val="21"/>
        </w:rPr>
      </w:pPr>
      <w:r>
        <w:rPr>
          <w:rFonts w:hint="default" w:ascii="Times New Roman" w:hAnsi="Times New Roman" w:eastAsiaTheme="minorEastAsia"/>
          <w:color w:val="auto"/>
          <w:sz w:val="21"/>
          <w:szCs w:val="21"/>
        </w:rPr>
        <w:t>所投岗位单价，均包含为实施本项目所产生的一切费用，包括但不限于社会保险、公积金、伙食补贴、交通补贴、高温费、国定节假日加班、医院突发事件需要临时加班、带薪年休假、经济补偿金、培训费、装备费、意外险、管理费、利润、税金及其他等一切费用；本项目三年服务期内所有人员月度应发工资（扣除社保个人部分前）不应低于南京市当年度最低工资标准，供应商应依法足额缴纳社会保险等</w:t>
      </w:r>
      <w:r>
        <w:rPr>
          <w:rFonts w:hint="default" w:ascii="Times New Roman" w:hAnsi="Times New Roman" w:eastAsiaTheme="minorEastAsia"/>
          <w:b/>
          <w:i/>
          <w:iCs/>
          <w:color w:val="auto"/>
          <w:sz w:val="21"/>
          <w:szCs w:val="21"/>
        </w:rPr>
        <w:t>，如应发工资（扣除社保个人部分前）低于南京市当年最低工资标准，则视为未实质性响应采购人的需求。</w:t>
      </w:r>
    </w:p>
    <w:p w14:paraId="4FAADD8F">
      <w:pPr>
        <w:spacing w:line="360" w:lineRule="auto"/>
        <w:rPr>
          <w:rFonts w:eastAsiaTheme="minorEastAsia"/>
          <w:color w:val="auto"/>
        </w:rPr>
      </w:pPr>
    </w:p>
    <w:p w14:paraId="69029415">
      <w:pPr>
        <w:spacing w:line="360" w:lineRule="auto"/>
        <w:jc w:val="left"/>
        <w:rPr>
          <w:rFonts w:eastAsiaTheme="minorEastAsia"/>
          <w:b/>
          <w:color w:val="auto"/>
          <w:kern w:val="4"/>
          <w:sz w:val="24"/>
        </w:rPr>
      </w:pPr>
      <w:r>
        <w:rPr>
          <w:rFonts w:hint="eastAsia" w:eastAsiaTheme="minorEastAsia"/>
          <w:b/>
          <w:color w:val="auto"/>
          <w:kern w:val="4"/>
          <w:sz w:val="24"/>
          <w:lang w:eastAsia="zh-CN"/>
        </w:rPr>
        <w:t>（</w:t>
      </w:r>
      <w:r>
        <w:rPr>
          <w:rFonts w:hint="eastAsia" w:eastAsiaTheme="minorEastAsia"/>
          <w:b/>
          <w:color w:val="auto"/>
          <w:kern w:val="4"/>
          <w:sz w:val="24"/>
          <w:lang w:val="en-US" w:eastAsia="zh-CN"/>
        </w:rPr>
        <w:t>二</w:t>
      </w:r>
      <w:r>
        <w:rPr>
          <w:rFonts w:hint="eastAsia" w:eastAsiaTheme="minorEastAsia"/>
          <w:b/>
          <w:color w:val="auto"/>
          <w:kern w:val="4"/>
          <w:sz w:val="24"/>
          <w:lang w:eastAsia="zh-CN"/>
        </w:rPr>
        <w:t>）</w:t>
      </w:r>
      <w:r>
        <w:rPr>
          <w:rFonts w:eastAsiaTheme="minorEastAsia"/>
          <w:b/>
          <w:color w:val="auto"/>
          <w:kern w:val="4"/>
          <w:sz w:val="24"/>
        </w:rPr>
        <w:t>人员要求：</w:t>
      </w:r>
    </w:p>
    <w:p w14:paraId="22F7E15E">
      <w:pPr>
        <w:numPr>
          <w:ilvl w:val="255"/>
          <w:numId w:val="0"/>
        </w:numPr>
        <w:wordWrap w:val="0"/>
        <w:overflowPunct w:val="0"/>
        <w:topLinePunct/>
        <w:spacing w:line="360" w:lineRule="auto"/>
        <w:rPr>
          <w:rFonts w:eastAsiaTheme="minorEastAsia"/>
          <w:b/>
          <w:bCs/>
          <w:color w:val="auto"/>
        </w:rPr>
      </w:pPr>
      <w:r>
        <w:rPr>
          <w:rFonts w:eastAsiaTheme="minorEastAsia"/>
          <w:b/>
          <w:bCs/>
          <w:color w:val="auto"/>
        </w:rPr>
        <w:t>1.管理人员1（项目经理）</w:t>
      </w:r>
    </w:p>
    <w:p w14:paraId="1A8D90AB">
      <w:pPr>
        <w:numPr>
          <w:ilvl w:val="0"/>
          <w:numId w:val="14"/>
        </w:numPr>
        <w:wordWrap w:val="0"/>
        <w:overflowPunct w:val="0"/>
        <w:topLinePunct/>
        <w:spacing w:line="360" w:lineRule="auto"/>
        <w:rPr>
          <w:rFonts w:eastAsiaTheme="minorEastAsia"/>
          <w:color w:val="auto"/>
        </w:rPr>
      </w:pPr>
      <w:r>
        <w:rPr>
          <w:rFonts w:eastAsiaTheme="minorEastAsia"/>
          <w:color w:val="auto"/>
        </w:rPr>
        <w:t>全面负责医院维保服务工作的管理，三年以上服务的工作经验，大专及以上学历。善待员工，善于管理、善于沟通，做好与院方的沟通和协调工作；</w:t>
      </w:r>
    </w:p>
    <w:p w14:paraId="43F3A878">
      <w:pPr>
        <w:numPr>
          <w:ilvl w:val="0"/>
          <w:numId w:val="14"/>
        </w:numPr>
        <w:wordWrap w:val="0"/>
        <w:overflowPunct w:val="0"/>
        <w:topLinePunct/>
        <w:spacing w:line="360" w:lineRule="auto"/>
        <w:rPr>
          <w:rFonts w:eastAsiaTheme="minorEastAsia"/>
          <w:color w:val="auto"/>
        </w:rPr>
      </w:pPr>
      <w:r>
        <w:rPr>
          <w:rFonts w:eastAsiaTheme="minorEastAsia"/>
          <w:color w:val="auto"/>
        </w:rPr>
        <w:t>项目管理人员的</w:t>
      </w:r>
      <w:bookmarkStart w:id="32" w:name="OLE_LINK15"/>
      <w:r>
        <w:rPr>
          <w:rFonts w:eastAsiaTheme="minorEastAsia"/>
          <w:color w:val="auto"/>
        </w:rPr>
        <w:t>特种设备安全管理员证书</w:t>
      </w:r>
      <w:bookmarkEnd w:id="32"/>
      <w:r>
        <w:rPr>
          <w:rFonts w:eastAsiaTheme="minorEastAsia"/>
          <w:color w:val="auto"/>
        </w:rPr>
        <w:t>、毕业证书、近6个月任意一月的在本单位缴纳的社保证明的复印件必须在投标文件中提供。</w:t>
      </w:r>
    </w:p>
    <w:p w14:paraId="7592CDD8">
      <w:pPr>
        <w:numPr>
          <w:ilvl w:val="0"/>
          <w:numId w:val="14"/>
        </w:numPr>
        <w:wordWrap w:val="0"/>
        <w:overflowPunct w:val="0"/>
        <w:topLinePunct/>
        <w:spacing w:line="360" w:lineRule="auto"/>
        <w:rPr>
          <w:rFonts w:eastAsiaTheme="minorEastAsia"/>
          <w:color w:val="auto"/>
        </w:rPr>
      </w:pPr>
      <w:r>
        <w:rPr>
          <w:rFonts w:eastAsiaTheme="minorEastAsia"/>
          <w:color w:val="auto"/>
        </w:rPr>
        <w:t>能够调动员工的积极性，加强员工的团结精神；</w:t>
      </w:r>
    </w:p>
    <w:p w14:paraId="1BEFD7E6">
      <w:pPr>
        <w:numPr>
          <w:ilvl w:val="0"/>
          <w:numId w:val="14"/>
        </w:numPr>
        <w:wordWrap w:val="0"/>
        <w:overflowPunct w:val="0"/>
        <w:topLinePunct/>
        <w:spacing w:line="360" w:lineRule="auto"/>
        <w:rPr>
          <w:rFonts w:eastAsiaTheme="minorEastAsia"/>
          <w:color w:val="auto"/>
        </w:rPr>
      </w:pPr>
      <w:r>
        <w:rPr>
          <w:rFonts w:eastAsiaTheme="minorEastAsia"/>
          <w:color w:val="auto"/>
        </w:rPr>
        <w:t>能够虚心接受院方的监督、建议、评价，并对工作进行有效的改进；</w:t>
      </w:r>
    </w:p>
    <w:p w14:paraId="5B3A52EB">
      <w:pPr>
        <w:numPr>
          <w:ilvl w:val="0"/>
          <w:numId w:val="14"/>
        </w:numPr>
        <w:wordWrap w:val="0"/>
        <w:overflowPunct w:val="0"/>
        <w:topLinePunct/>
        <w:spacing w:line="360" w:lineRule="auto"/>
        <w:rPr>
          <w:rFonts w:eastAsiaTheme="minorEastAsia"/>
          <w:color w:val="auto"/>
        </w:rPr>
      </w:pPr>
      <w:r>
        <w:rPr>
          <w:rFonts w:eastAsiaTheme="minorEastAsia"/>
          <w:color w:val="auto"/>
        </w:rPr>
        <w:t>积极配合院方其他工作或活动的顺利展开，能如实向院方反馈工作中的各类问题与矛盾；</w:t>
      </w:r>
    </w:p>
    <w:p w14:paraId="678BDC55">
      <w:pPr>
        <w:numPr>
          <w:ilvl w:val="0"/>
          <w:numId w:val="14"/>
        </w:numPr>
        <w:wordWrap w:val="0"/>
        <w:overflowPunct w:val="0"/>
        <w:topLinePunct/>
        <w:spacing w:line="360" w:lineRule="auto"/>
        <w:rPr>
          <w:rFonts w:eastAsiaTheme="minorEastAsia"/>
          <w:color w:val="auto"/>
        </w:rPr>
      </w:pPr>
      <w:r>
        <w:rPr>
          <w:rFonts w:eastAsiaTheme="minorEastAsia"/>
          <w:color w:val="auto"/>
        </w:rPr>
        <w:t>熟悉物业管理相关法规，并能规范组织管理服务工作；</w:t>
      </w:r>
    </w:p>
    <w:p w14:paraId="7B909659">
      <w:pPr>
        <w:numPr>
          <w:ilvl w:val="0"/>
          <w:numId w:val="14"/>
        </w:numPr>
        <w:wordWrap w:val="0"/>
        <w:overflowPunct w:val="0"/>
        <w:topLinePunct/>
        <w:spacing w:line="360" w:lineRule="auto"/>
        <w:rPr>
          <w:rFonts w:eastAsiaTheme="minorEastAsia"/>
          <w:color w:val="auto"/>
        </w:rPr>
      </w:pPr>
      <w:r>
        <w:rPr>
          <w:rFonts w:eastAsiaTheme="minorEastAsia"/>
          <w:color w:val="auto"/>
        </w:rPr>
        <w:t>响应性文件中需提供项目经理的行业资格证明材料，如简历、身份证复印件等；</w:t>
      </w:r>
    </w:p>
    <w:p w14:paraId="74E4BCA1">
      <w:pPr>
        <w:numPr>
          <w:ilvl w:val="0"/>
          <w:numId w:val="14"/>
        </w:numPr>
        <w:wordWrap w:val="0"/>
        <w:overflowPunct w:val="0"/>
        <w:topLinePunct/>
        <w:spacing w:line="360" w:lineRule="auto"/>
        <w:rPr>
          <w:rFonts w:eastAsiaTheme="minorEastAsia"/>
          <w:color w:val="auto"/>
        </w:rPr>
      </w:pPr>
      <w:r>
        <w:rPr>
          <w:rFonts w:eastAsiaTheme="minorEastAsia"/>
          <w:color w:val="auto"/>
        </w:rPr>
        <w:t>未经院方批准，项目经理不得更换；</w:t>
      </w:r>
    </w:p>
    <w:p w14:paraId="062566B3">
      <w:pPr>
        <w:numPr>
          <w:ilvl w:val="0"/>
          <w:numId w:val="14"/>
        </w:numPr>
        <w:wordWrap w:val="0"/>
        <w:overflowPunct w:val="0"/>
        <w:topLinePunct/>
        <w:spacing w:line="360" w:lineRule="auto"/>
        <w:rPr>
          <w:rFonts w:eastAsiaTheme="minorEastAsia"/>
          <w:color w:val="auto"/>
        </w:rPr>
      </w:pPr>
      <w:r>
        <w:rPr>
          <w:rFonts w:eastAsiaTheme="minorEastAsia"/>
          <w:color w:val="auto"/>
        </w:rPr>
        <w:t>参与院方组织的相关工作会议（如数据分析会、业务学习会、维保科周例会、月总结会及其他临时工作会议等）；</w:t>
      </w:r>
    </w:p>
    <w:p w14:paraId="63E19E64">
      <w:pPr>
        <w:numPr>
          <w:ilvl w:val="0"/>
          <w:numId w:val="14"/>
        </w:numPr>
        <w:wordWrap w:val="0"/>
        <w:overflowPunct w:val="0"/>
        <w:topLinePunct/>
        <w:spacing w:line="360" w:lineRule="auto"/>
        <w:rPr>
          <w:rFonts w:eastAsiaTheme="minorEastAsia"/>
          <w:color w:val="auto"/>
        </w:rPr>
      </w:pPr>
      <w:r>
        <w:rPr>
          <w:rFonts w:eastAsiaTheme="minorEastAsia"/>
          <w:color w:val="auto"/>
        </w:rPr>
        <w:t>组织维修服务类应急演练，每年不少于4次；定期组织员工开展培训工作，每年不少于6次；</w:t>
      </w:r>
    </w:p>
    <w:p w14:paraId="61865976">
      <w:pPr>
        <w:numPr>
          <w:ilvl w:val="0"/>
          <w:numId w:val="14"/>
        </w:numPr>
        <w:wordWrap w:val="0"/>
        <w:overflowPunct w:val="0"/>
        <w:topLinePunct/>
        <w:spacing w:line="360" w:lineRule="auto"/>
        <w:rPr>
          <w:rFonts w:eastAsiaTheme="minorEastAsia"/>
          <w:color w:val="auto"/>
        </w:rPr>
      </w:pPr>
      <w:r>
        <w:rPr>
          <w:rFonts w:eastAsiaTheme="minorEastAsia"/>
          <w:color w:val="auto"/>
        </w:rPr>
        <w:t>组织项目部每日安全巡查工作、每月安全自查自纠、每月安全会议等安全管理相关工作</w:t>
      </w:r>
    </w:p>
    <w:p w14:paraId="7A22FCB9">
      <w:pPr>
        <w:numPr>
          <w:ilvl w:val="0"/>
          <w:numId w:val="14"/>
        </w:numPr>
        <w:wordWrap w:val="0"/>
        <w:overflowPunct w:val="0"/>
        <w:topLinePunct/>
        <w:spacing w:line="360" w:lineRule="auto"/>
        <w:rPr>
          <w:rFonts w:eastAsiaTheme="minorEastAsia"/>
          <w:color w:val="auto"/>
          <w:szCs w:val="21"/>
        </w:rPr>
      </w:pPr>
      <w:r>
        <w:rPr>
          <w:rFonts w:eastAsiaTheme="minorEastAsia"/>
          <w:color w:val="auto"/>
        </w:rPr>
        <w:t>服从院方领导，离宁需提前3个工作日向院方报备，8小时以外，遇院方安排加班、应急处置或会议召开时，手机需7*24h待命，保证30min内可至现场（提供承诺书）。</w:t>
      </w:r>
    </w:p>
    <w:p w14:paraId="2B4644E3">
      <w:pPr>
        <w:numPr>
          <w:ilvl w:val="255"/>
          <w:numId w:val="0"/>
        </w:numPr>
        <w:wordWrap w:val="0"/>
        <w:overflowPunct w:val="0"/>
        <w:topLinePunct/>
        <w:spacing w:line="360" w:lineRule="auto"/>
        <w:rPr>
          <w:rFonts w:eastAsiaTheme="minorEastAsia"/>
          <w:b/>
          <w:bCs/>
          <w:color w:val="auto"/>
        </w:rPr>
      </w:pPr>
      <w:r>
        <w:rPr>
          <w:rFonts w:eastAsiaTheme="minorEastAsia"/>
          <w:b/>
          <w:bCs/>
          <w:color w:val="auto"/>
        </w:rPr>
        <w:t>2.管理人员2（项目主管）</w:t>
      </w:r>
    </w:p>
    <w:p w14:paraId="41CD7FB9">
      <w:pPr>
        <w:numPr>
          <w:ilvl w:val="0"/>
          <w:numId w:val="15"/>
        </w:numPr>
        <w:wordWrap w:val="0"/>
        <w:overflowPunct w:val="0"/>
        <w:topLinePunct/>
        <w:spacing w:line="360" w:lineRule="auto"/>
        <w:rPr>
          <w:rFonts w:eastAsiaTheme="minorEastAsia"/>
          <w:color w:val="auto"/>
        </w:rPr>
      </w:pPr>
      <w:r>
        <w:rPr>
          <w:rFonts w:eastAsiaTheme="minorEastAsia"/>
          <w:color w:val="auto"/>
        </w:rPr>
        <w:t>在项目经理的直接领导下，配合项目经理统筹项目部相关工作；</w:t>
      </w:r>
    </w:p>
    <w:p w14:paraId="03A9AC16">
      <w:pPr>
        <w:numPr>
          <w:ilvl w:val="0"/>
          <w:numId w:val="15"/>
        </w:numPr>
        <w:wordWrap w:val="0"/>
        <w:overflowPunct w:val="0"/>
        <w:topLinePunct/>
        <w:spacing w:line="360" w:lineRule="auto"/>
        <w:rPr>
          <w:rFonts w:eastAsiaTheme="minorEastAsia"/>
          <w:color w:val="auto"/>
        </w:rPr>
      </w:pPr>
      <w:r>
        <w:rPr>
          <w:rFonts w:eastAsiaTheme="minorEastAsia"/>
          <w:color w:val="auto"/>
        </w:rPr>
        <w:t>文档管理，项目内所有巡查记录、保养记录、人员档案信息等文档的整理、归档，项目部所需各类文件制作，如制度、流程、应急预案、工作总结等，配合院方文档资料检查工作、业务办理等工作；</w:t>
      </w:r>
    </w:p>
    <w:p w14:paraId="1F3B6D3C">
      <w:pPr>
        <w:numPr>
          <w:ilvl w:val="0"/>
          <w:numId w:val="15"/>
        </w:numPr>
        <w:wordWrap w:val="0"/>
        <w:overflowPunct w:val="0"/>
        <w:topLinePunct/>
        <w:spacing w:line="360" w:lineRule="auto"/>
        <w:rPr>
          <w:rFonts w:eastAsiaTheme="minorEastAsia"/>
          <w:color w:val="auto"/>
        </w:rPr>
      </w:pPr>
      <w:r>
        <w:rPr>
          <w:rFonts w:eastAsiaTheme="minorEastAsia"/>
          <w:color w:val="auto"/>
        </w:rPr>
        <w:t>库房管理，项目内工具、耗材、应急物资出入库管理工作，做好出入库登记，每月配合采购人及一站式的库房盘点工作；</w:t>
      </w:r>
    </w:p>
    <w:p w14:paraId="45DA54D6">
      <w:pPr>
        <w:pStyle w:val="39"/>
        <w:numPr>
          <w:ilvl w:val="0"/>
          <w:numId w:val="15"/>
        </w:numPr>
        <w:wordWrap w:val="0"/>
        <w:overflowPunct w:val="0"/>
        <w:topLinePunct/>
        <w:spacing w:line="360" w:lineRule="auto"/>
        <w:rPr>
          <w:rFonts w:ascii="Times New Roman" w:eastAsiaTheme="minorEastAsia"/>
          <w:color w:val="auto"/>
          <w:kern w:val="2"/>
          <w:sz w:val="21"/>
        </w:rPr>
      </w:pPr>
      <w:r>
        <w:rPr>
          <w:rFonts w:ascii="Times New Roman" w:eastAsiaTheme="minorEastAsia"/>
          <w:color w:val="auto"/>
          <w:kern w:val="2"/>
          <w:sz w:val="21"/>
        </w:rPr>
        <w:t>人员管理，所有员工的入离职办理，门禁系统权限的办理，日常维修、巡查工作的调度，每月月总结上交下个月份的排班表；</w:t>
      </w:r>
    </w:p>
    <w:p w14:paraId="63F57EDD">
      <w:pPr>
        <w:pStyle w:val="39"/>
        <w:numPr>
          <w:ilvl w:val="0"/>
          <w:numId w:val="15"/>
        </w:numPr>
        <w:wordWrap w:val="0"/>
        <w:overflowPunct w:val="0"/>
        <w:topLinePunct/>
        <w:spacing w:line="360" w:lineRule="auto"/>
        <w:rPr>
          <w:rFonts w:ascii="Times New Roman" w:eastAsiaTheme="minorEastAsia"/>
          <w:color w:val="auto"/>
          <w:kern w:val="2"/>
          <w:sz w:val="21"/>
        </w:rPr>
      </w:pPr>
      <w:r>
        <w:rPr>
          <w:rFonts w:ascii="Times New Roman" w:eastAsiaTheme="minorEastAsia"/>
          <w:color w:val="auto"/>
          <w:kern w:val="2"/>
          <w:sz w:val="21"/>
        </w:rPr>
        <w:t>能耗管理工作，每日能耗报表制作并上传工作群、采购人能耗的分析工作；</w:t>
      </w:r>
    </w:p>
    <w:p w14:paraId="5C10DE6B">
      <w:pPr>
        <w:pStyle w:val="39"/>
        <w:numPr>
          <w:ilvl w:val="0"/>
          <w:numId w:val="15"/>
        </w:numPr>
        <w:wordWrap w:val="0"/>
        <w:overflowPunct w:val="0"/>
        <w:topLinePunct/>
        <w:spacing w:line="360" w:lineRule="auto"/>
        <w:rPr>
          <w:rFonts w:ascii="Times New Roman" w:eastAsiaTheme="minorEastAsia"/>
          <w:color w:val="auto"/>
          <w:kern w:val="2"/>
          <w:sz w:val="21"/>
        </w:rPr>
      </w:pPr>
      <w:r>
        <w:rPr>
          <w:rFonts w:ascii="Times New Roman" w:eastAsiaTheme="minorEastAsia"/>
          <w:color w:val="auto"/>
          <w:kern w:val="2"/>
          <w:sz w:val="21"/>
        </w:rPr>
        <w:t>培训考核工作，按院方管理要求对员工进行相关考核及培训。</w:t>
      </w:r>
    </w:p>
    <w:p w14:paraId="0E318B90">
      <w:pPr>
        <w:pStyle w:val="39"/>
        <w:numPr>
          <w:ilvl w:val="0"/>
          <w:numId w:val="15"/>
        </w:numPr>
        <w:wordWrap w:val="0"/>
        <w:overflowPunct w:val="0"/>
        <w:topLinePunct/>
        <w:spacing w:line="360" w:lineRule="auto"/>
        <w:rPr>
          <w:rFonts w:ascii="Times New Roman" w:eastAsiaTheme="minorEastAsia"/>
          <w:color w:val="auto"/>
          <w:kern w:val="2"/>
          <w:sz w:val="21"/>
        </w:rPr>
      </w:pPr>
      <w:r>
        <w:rPr>
          <w:rFonts w:ascii="Times New Roman" w:eastAsiaTheme="minorEastAsia"/>
          <w:color w:val="auto"/>
          <w:kern w:val="2"/>
          <w:sz w:val="21"/>
        </w:rPr>
        <w:t>配合一站式服务中心的派单、消单、数据汇总等报修工作。</w:t>
      </w:r>
    </w:p>
    <w:p w14:paraId="1DC3BAE1">
      <w:pPr>
        <w:pStyle w:val="74"/>
        <w:spacing w:line="360" w:lineRule="auto"/>
        <w:ind w:left="440" w:firstLine="0" w:firstLineChars="0"/>
        <w:rPr>
          <w:rFonts w:eastAsiaTheme="minorEastAsia"/>
          <w:color w:val="auto"/>
          <w:szCs w:val="21"/>
        </w:rPr>
      </w:pPr>
      <w:r>
        <w:rPr>
          <w:rFonts w:eastAsiaTheme="minorEastAsia"/>
          <w:color w:val="auto"/>
          <w:szCs w:val="21"/>
        </w:rPr>
        <w:t>注：项目管理人员的毕业证书等所有要求的证书、单位为其缴纳的近 6 个月任意一月的社会保险缴纳证明。</w:t>
      </w:r>
    </w:p>
    <w:p w14:paraId="78E4F99D">
      <w:pPr>
        <w:numPr>
          <w:ilvl w:val="255"/>
          <w:numId w:val="0"/>
        </w:numPr>
        <w:wordWrap w:val="0"/>
        <w:overflowPunct w:val="0"/>
        <w:topLinePunct/>
        <w:spacing w:line="360" w:lineRule="auto"/>
        <w:rPr>
          <w:rFonts w:eastAsiaTheme="minorEastAsia"/>
          <w:b/>
          <w:bCs/>
          <w:color w:val="auto"/>
        </w:rPr>
      </w:pPr>
      <w:r>
        <w:rPr>
          <w:rFonts w:eastAsiaTheme="minorEastAsia"/>
          <w:b/>
          <w:bCs/>
          <w:color w:val="auto"/>
        </w:rPr>
        <w:t>3.从业人员具体要求</w:t>
      </w:r>
    </w:p>
    <w:p w14:paraId="0348FEDD">
      <w:pPr>
        <w:numPr>
          <w:ilvl w:val="0"/>
          <w:numId w:val="16"/>
        </w:numPr>
        <w:wordWrap w:val="0"/>
        <w:overflowPunct w:val="0"/>
        <w:topLinePunct/>
        <w:spacing w:line="360" w:lineRule="auto"/>
        <w:rPr>
          <w:rFonts w:eastAsiaTheme="minorEastAsia"/>
          <w:color w:val="auto"/>
        </w:rPr>
      </w:pPr>
      <w:r>
        <w:rPr>
          <w:rFonts w:eastAsiaTheme="minorEastAsia"/>
          <w:color w:val="auto"/>
        </w:rPr>
        <w:t>所有人员必须遵守国家的法律、法规及采购人的各项规章制度，取得相关上岗资质，无不良记录及嗜好，爱岗敬业、礼貌待人、身体健康（无传染性疾病），年龄不超过法定退休年龄，具备良好的文化程度。</w:t>
      </w:r>
    </w:p>
    <w:p w14:paraId="22661D75">
      <w:pPr>
        <w:numPr>
          <w:ilvl w:val="0"/>
          <w:numId w:val="16"/>
        </w:numPr>
        <w:wordWrap w:val="0"/>
        <w:overflowPunct w:val="0"/>
        <w:topLinePunct/>
        <w:spacing w:line="360" w:lineRule="auto"/>
        <w:rPr>
          <w:rFonts w:eastAsiaTheme="minorEastAsia"/>
          <w:color w:val="auto"/>
        </w:rPr>
      </w:pPr>
      <w:r>
        <w:rPr>
          <w:rFonts w:eastAsiaTheme="minorEastAsia"/>
          <w:color w:val="auto"/>
        </w:rPr>
        <w:t>保持良好上岗仪态，值班人员上岗时必须遵守“五不”，即不在岗喝酒、不在岗抽烟、不擅离工作岗位，不迟到早退，不做与工作无关的事。</w:t>
      </w:r>
    </w:p>
    <w:p w14:paraId="4284DBAF">
      <w:pPr>
        <w:numPr>
          <w:ilvl w:val="0"/>
          <w:numId w:val="16"/>
        </w:numPr>
        <w:wordWrap w:val="0"/>
        <w:overflowPunct w:val="0"/>
        <w:topLinePunct/>
        <w:spacing w:line="360" w:lineRule="auto"/>
        <w:rPr>
          <w:rFonts w:eastAsiaTheme="minorEastAsia"/>
          <w:color w:val="auto"/>
        </w:rPr>
      </w:pPr>
      <w:r>
        <w:rPr>
          <w:rFonts w:eastAsiaTheme="minorEastAsia"/>
          <w:color w:val="auto"/>
        </w:rPr>
        <w:t>需具备国家要求的相应资格证书或行业要求的其他必备条件。</w:t>
      </w:r>
    </w:p>
    <w:p w14:paraId="7DECB2AB">
      <w:pPr>
        <w:numPr>
          <w:ilvl w:val="0"/>
          <w:numId w:val="16"/>
        </w:numPr>
        <w:wordWrap w:val="0"/>
        <w:overflowPunct w:val="0"/>
        <w:topLinePunct/>
        <w:spacing w:line="360" w:lineRule="auto"/>
        <w:rPr>
          <w:rFonts w:eastAsiaTheme="minorEastAsia"/>
          <w:color w:val="auto"/>
        </w:rPr>
      </w:pPr>
      <w:r>
        <w:rPr>
          <w:rFonts w:eastAsiaTheme="minorEastAsia"/>
          <w:color w:val="auto"/>
        </w:rPr>
        <w:t>维修工、配电工24h在岗（夜间双人双岗），午休时间保证1名管理人员在岗，周末及法定节假日管理人员至少1人在岗，其他班组排班需提前上报院方审核。水电气、自然灾害等应急处置期间（非工作时间）应保证至少1名管理人员在岗指挥开展工作。</w:t>
      </w:r>
    </w:p>
    <w:p w14:paraId="7C8F521D">
      <w:pPr>
        <w:numPr>
          <w:ilvl w:val="0"/>
          <w:numId w:val="16"/>
        </w:numPr>
        <w:wordWrap w:val="0"/>
        <w:overflowPunct w:val="0"/>
        <w:topLinePunct/>
        <w:spacing w:line="360" w:lineRule="auto"/>
        <w:rPr>
          <w:rFonts w:eastAsiaTheme="minorEastAsia"/>
          <w:color w:val="auto"/>
        </w:rPr>
      </w:pPr>
      <w:r>
        <w:rPr>
          <w:rFonts w:eastAsiaTheme="minorEastAsia"/>
          <w:color w:val="auto"/>
        </w:rPr>
        <w:t>维修人员入离职需至少提前一周向院方报备，管理人员变更需至少提前</w:t>
      </w:r>
      <w:r>
        <w:rPr>
          <w:rFonts w:hint="eastAsia" w:eastAsiaTheme="minorEastAsia"/>
          <w:color w:val="auto"/>
          <w:lang w:val="en-US" w:eastAsia="zh-CN"/>
        </w:rPr>
        <w:t>一</w:t>
      </w:r>
      <w:r>
        <w:rPr>
          <w:rFonts w:eastAsiaTheme="minorEastAsia"/>
          <w:color w:val="auto"/>
        </w:rPr>
        <w:t>个月向院方报备，一年内中标方主动提出的人员变动率不超过10%（包含项目管理人员）。</w:t>
      </w:r>
    </w:p>
    <w:p w14:paraId="214E1674">
      <w:pPr>
        <w:numPr>
          <w:ilvl w:val="0"/>
          <w:numId w:val="16"/>
        </w:numPr>
        <w:wordWrap w:val="0"/>
        <w:overflowPunct w:val="0"/>
        <w:topLinePunct/>
        <w:spacing w:line="360" w:lineRule="auto"/>
        <w:rPr>
          <w:rFonts w:eastAsiaTheme="minorEastAsia"/>
          <w:color w:val="auto"/>
        </w:rPr>
      </w:pPr>
      <w:r>
        <w:rPr>
          <w:rFonts w:eastAsiaTheme="minorEastAsia"/>
          <w:color w:val="auto"/>
        </w:rPr>
        <w:t>必须做到特种岗位持证上岗，做好工作人员岗位培训、上岗证年审、工作流程及工作技能培训、消防安全培训、医院消毒规范要求与技术的培训、有针对性的服务质量问题专项培训等，做好培训记录，以提高服务工作质量。</w:t>
      </w:r>
    </w:p>
    <w:p w14:paraId="4BC0139E">
      <w:pPr>
        <w:widowControl/>
        <w:spacing w:line="360" w:lineRule="auto"/>
        <w:ind w:left="420" w:leftChars="200"/>
        <w:outlineLvl w:val="1"/>
        <w:rPr>
          <w:rFonts w:eastAsiaTheme="minorEastAsia"/>
          <w:b/>
          <w:bCs/>
          <w:color w:val="auto"/>
          <w:szCs w:val="21"/>
        </w:rPr>
      </w:pPr>
      <w:r>
        <w:rPr>
          <w:rFonts w:eastAsiaTheme="minorEastAsia"/>
          <w:b/>
          <w:bCs/>
          <w:color w:val="auto"/>
          <w:szCs w:val="21"/>
        </w:rPr>
        <w:t>四、商务要求</w:t>
      </w:r>
    </w:p>
    <w:p w14:paraId="22BD6613">
      <w:pPr>
        <w:spacing w:line="360" w:lineRule="auto"/>
        <w:jc w:val="left"/>
        <w:rPr>
          <w:rFonts w:eastAsiaTheme="minorEastAsia"/>
          <w:color w:val="auto"/>
          <w:szCs w:val="21"/>
        </w:rPr>
      </w:pPr>
      <w:r>
        <w:rPr>
          <w:rFonts w:eastAsiaTheme="minorEastAsia"/>
          <w:color w:val="auto"/>
          <w:szCs w:val="21"/>
        </w:rPr>
        <w:t>（一）合同期</w:t>
      </w:r>
    </w:p>
    <w:p w14:paraId="570199ED">
      <w:pPr>
        <w:spacing w:line="360" w:lineRule="auto"/>
        <w:ind w:firstLine="420" w:firstLineChars="200"/>
        <w:jc w:val="left"/>
        <w:rPr>
          <w:rFonts w:eastAsiaTheme="minorEastAsia"/>
          <w:color w:val="auto"/>
          <w:szCs w:val="21"/>
        </w:rPr>
      </w:pPr>
      <w:r>
        <w:rPr>
          <w:rFonts w:eastAsiaTheme="minorEastAsia"/>
          <w:color w:val="auto"/>
          <w:szCs w:val="21"/>
        </w:rPr>
        <w:t>本项目招标有效期三年，合同一年一签，每年进行考核，考核合格后续签下一年合同。（具体考核办法详见附件）</w:t>
      </w:r>
    </w:p>
    <w:p w14:paraId="737B0DAF">
      <w:pPr>
        <w:spacing w:line="360" w:lineRule="auto"/>
        <w:jc w:val="left"/>
        <w:rPr>
          <w:rFonts w:eastAsiaTheme="minorEastAsia"/>
          <w:color w:val="auto"/>
          <w:szCs w:val="21"/>
        </w:rPr>
      </w:pPr>
      <w:r>
        <w:rPr>
          <w:rFonts w:eastAsiaTheme="minorEastAsia"/>
          <w:color w:val="auto"/>
          <w:szCs w:val="21"/>
        </w:rPr>
        <w:t>（二）付款方式</w:t>
      </w:r>
    </w:p>
    <w:p w14:paraId="52C8E4B0">
      <w:pPr>
        <w:pStyle w:val="69"/>
        <w:spacing w:line="360" w:lineRule="auto"/>
        <w:ind w:firstLine="420" w:firstLineChars="200"/>
        <w:jc w:val="left"/>
        <w:rPr>
          <w:rFonts w:ascii="Times New Roman" w:hAnsi="Times New Roman" w:eastAsiaTheme="minorEastAsia"/>
          <w:bCs/>
          <w:color w:val="auto"/>
          <w:szCs w:val="21"/>
        </w:rPr>
      </w:pPr>
      <w:r>
        <w:rPr>
          <w:rFonts w:ascii="Times New Roman" w:hAnsi="Times New Roman" w:eastAsiaTheme="minorEastAsia"/>
          <w:bCs/>
          <w:color w:val="auto"/>
          <w:szCs w:val="21"/>
        </w:rPr>
        <w:t>服务费按月度结算，供应商需在次月25日前提供上月服务发票，同时提交上月员工考勤记录与工资支付凭据，采购人完成考核后支付对应费用。</w:t>
      </w:r>
    </w:p>
    <w:p w14:paraId="7FFA2659">
      <w:pPr>
        <w:pStyle w:val="69"/>
        <w:spacing w:line="360" w:lineRule="auto"/>
        <w:jc w:val="left"/>
        <w:rPr>
          <w:rFonts w:ascii="Times New Roman" w:hAnsi="Times New Roman" w:eastAsiaTheme="minorEastAsia"/>
          <w:bCs/>
          <w:color w:val="auto"/>
          <w:kern w:val="28"/>
          <w:szCs w:val="21"/>
        </w:rPr>
      </w:pPr>
      <w:r>
        <w:rPr>
          <w:rFonts w:ascii="Times New Roman" w:hAnsi="Times New Roman" w:eastAsiaTheme="minorEastAsia"/>
          <w:bCs/>
          <w:color w:val="auto"/>
          <w:kern w:val="28"/>
          <w:szCs w:val="21"/>
        </w:rPr>
        <w:t>（三）其他</w:t>
      </w:r>
    </w:p>
    <w:p w14:paraId="3A9E328C">
      <w:pPr>
        <w:pStyle w:val="74"/>
        <w:numPr>
          <w:ilvl w:val="0"/>
          <w:numId w:val="17"/>
        </w:numPr>
        <w:wordWrap w:val="0"/>
        <w:overflowPunct w:val="0"/>
        <w:topLinePunct/>
        <w:spacing w:line="360" w:lineRule="auto"/>
        <w:ind w:firstLineChars="0"/>
        <w:rPr>
          <w:rFonts w:eastAsiaTheme="minorEastAsia"/>
          <w:bCs/>
          <w:color w:val="auto"/>
          <w:szCs w:val="21"/>
        </w:rPr>
      </w:pPr>
      <w:r>
        <w:rPr>
          <w:rFonts w:hint="eastAsia" w:ascii="宋体" w:hAnsi="宋体" w:eastAsia="宋体" w:cs="宋体"/>
          <w:bCs/>
          <w:color w:val="auto"/>
          <w:szCs w:val="21"/>
        </w:rPr>
        <w:t>★</w:t>
      </w:r>
      <w:r>
        <w:rPr>
          <w:rFonts w:eastAsiaTheme="minorEastAsia"/>
          <w:bCs/>
          <w:color w:val="auto"/>
          <w:szCs w:val="21"/>
        </w:rPr>
        <w:t>本项目中标供应商须在合同签订后7个工作日内向采购人缴纳履约保证金人民币10万元（以银行保函形式缴纳，服务到期后无息退还）。（提供承诺书，格式自拟）</w:t>
      </w:r>
    </w:p>
    <w:p w14:paraId="6205F568">
      <w:pPr>
        <w:pStyle w:val="74"/>
        <w:numPr>
          <w:ilvl w:val="0"/>
          <w:numId w:val="17"/>
        </w:numPr>
        <w:wordWrap w:val="0"/>
        <w:overflowPunct w:val="0"/>
        <w:topLinePunct/>
        <w:spacing w:line="360" w:lineRule="auto"/>
        <w:ind w:firstLineChars="0"/>
        <w:rPr>
          <w:rFonts w:eastAsiaTheme="minorEastAsia"/>
          <w:bCs/>
          <w:color w:val="auto"/>
          <w:szCs w:val="21"/>
        </w:rPr>
      </w:pPr>
      <w:r>
        <w:rPr>
          <w:rFonts w:eastAsiaTheme="minorEastAsia"/>
          <w:bCs/>
          <w:color w:val="auto"/>
          <w:szCs w:val="21"/>
        </w:rPr>
        <w:t>根据院方工作需要，供应商的服务团队应穿着工作服上岗，须保障法定节假日期间各项工作任务正常开展，按要求安排相关人员值班，所有加班费、值班费、工作服费用均计入本次报价。</w:t>
      </w:r>
    </w:p>
    <w:p w14:paraId="19A47ABD">
      <w:pPr>
        <w:pStyle w:val="74"/>
        <w:numPr>
          <w:ilvl w:val="0"/>
          <w:numId w:val="17"/>
        </w:numPr>
        <w:wordWrap w:val="0"/>
        <w:overflowPunct w:val="0"/>
        <w:topLinePunct/>
        <w:spacing w:line="360" w:lineRule="auto"/>
        <w:ind w:firstLineChars="0"/>
        <w:rPr>
          <w:rFonts w:eastAsiaTheme="minorEastAsia"/>
          <w:color w:val="auto"/>
        </w:rPr>
      </w:pPr>
      <w:r>
        <w:rPr>
          <w:rFonts w:eastAsiaTheme="minorEastAsia"/>
          <w:color w:val="auto"/>
        </w:rPr>
        <w:t>供应商承诺中标后购买商业保险，若因供应商服务瑕疵或未尽安全保障义务，造成自身、医院、患者或其他第三方人身伤害或财产损失的，全部赔偿责任由供应商承担，相应费用均计入本次报价。</w:t>
      </w:r>
    </w:p>
    <w:p w14:paraId="560563F9">
      <w:pPr>
        <w:pStyle w:val="74"/>
        <w:numPr>
          <w:ilvl w:val="0"/>
          <w:numId w:val="17"/>
        </w:numPr>
        <w:wordWrap w:val="0"/>
        <w:overflowPunct w:val="0"/>
        <w:topLinePunct/>
        <w:spacing w:line="360" w:lineRule="auto"/>
        <w:ind w:firstLineChars="0"/>
        <w:rPr>
          <w:rFonts w:eastAsiaTheme="minorEastAsia"/>
          <w:color w:val="auto"/>
          <w:szCs w:val="21"/>
        </w:rPr>
      </w:pPr>
      <w:r>
        <w:rPr>
          <w:rFonts w:eastAsiaTheme="minorEastAsia"/>
          <w:bCs/>
          <w:color w:val="auto"/>
          <w:szCs w:val="21"/>
        </w:rPr>
        <w:t>供应商报价时应充分考虑服务期内市场因素和成本变化带来的风险，一旦中标，所报合同价格即为一次性包干的合同价。合同有效期内，若国家出台提高最低工资及最低社会保险缴纳基数标准的强制性规定，供应商必须及时书面通知采购人，采购人有权选择是否与供应商就调整本合同具体内容签订补充协议。</w:t>
      </w:r>
    </w:p>
    <w:p w14:paraId="52AAF214">
      <w:pPr>
        <w:widowControl/>
        <w:spacing w:line="360" w:lineRule="auto"/>
        <w:ind w:left="420" w:leftChars="200"/>
        <w:outlineLvl w:val="1"/>
        <w:rPr>
          <w:rFonts w:eastAsiaTheme="minorEastAsia"/>
          <w:b/>
          <w:bCs/>
          <w:color w:val="auto"/>
          <w:szCs w:val="21"/>
        </w:rPr>
      </w:pPr>
      <w:r>
        <w:rPr>
          <w:rFonts w:eastAsiaTheme="minorEastAsia"/>
          <w:b/>
          <w:bCs/>
          <w:color w:val="auto"/>
          <w:szCs w:val="21"/>
        </w:rPr>
        <w:t>五、踏勘与答疑</w:t>
      </w:r>
    </w:p>
    <w:p w14:paraId="0315CC53">
      <w:pPr>
        <w:pStyle w:val="68"/>
        <w:ind w:left="420" w:firstLine="42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供应商应自行到现场查看项目的实际情况，并主动向采购人了解实际情况及采购人意图，索取所需资料，并将本项目可预见的相关费用考虑到投标报价中，中标后采购人可认为本项目可预见费用已包括在投标报价中。任何因忽视或误解采购人意图而导致的损失由投标人自行承担，踏勘现场所发生的费用由投标人自行承担。联系人：严老师；联系方式：025-68308854。</w:t>
      </w:r>
    </w:p>
    <w:p w14:paraId="764C4492">
      <w:pPr>
        <w:widowControl/>
        <w:spacing w:line="360" w:lineRule="auto"/>
        <w:ind w:left="420" w:leftChars="200"/>
        <w:outlineLvl w:val="1"/>
        <w:rPr>
          <w:rFonts w:eastAsiaTheme="minorEastAsia"/>
          <w:b/>
          <w:bCs/>
          <w:color w:val="auto"/>
          <w:szCs w:val="21"/>
        </w:rPr>
      </w:pPr>
      <w:r>
        <w:rPr>
          <w:rFonts w:eastAsiaTheme="minorEastAsia"/>
          <w:color w:val="auto"/>
          <w:szCs w:val="21"/>
          <w14:ligatures w14:val="standardContextual"/>
        </w:rPr>
        <w:t>六</w:t>
      </w:r>
      <w:r>
        <w:rPr>
          <w:rFonts w:eastAsiaTheme="minorEastAsia"/>
          <w:b/>
          <w:bCs/>
          <w:color w:val="auto"/>
          <w:szCs w:val="21"/>
        </w:rPr>
        <w:t>、其他要求</w:t>
      </w:r>
    </w:p>
    <w:p w14:paraId="66EF8CA0">
      <w:pPr>
        <w:spacing w:line="360" w:lineRule="auto"/>
        <w:ind w:firstLine="840" w:firstLineChars="400"/>
        <w:rPr>
          <w:rFonts w:eastAsiaTheme="minorEastAsia"/>
          <w:color w:val="auto"/>
          <w:szCs w:val="21"/>
          <w14:ligatures w14:val="standardContextual"/>
        </w:rPr>
      </w:pPr>
      <w:r>
        <w:rPr>
          <w:rFonts w:eastAsiaTheme="minorEastAsia"/>
          <w:color w:val="auto"/>
          <w:szCs w:val="21"/>
          <w14:ligatures w14:val="standardContextual"/>
        </w:rPr>
        <w:t>本项目其他要求见“第五章 合同主要条款及格式”</w:t>
      </w:r>
    </w:p>
    <w:p w14:paraId="0EF2C326">
      <w:pPr>
        <w:widowControl/>
        <w:spacing w:line="360" w:lineRule="auto"/>
        <w:jc w:val="left"/>
        <w:rPr>
          <w:rFonts w:eastAsiaTheme="minorEastAsia"/>
          <w:color w:val="auto"/>
        </w:rPr>
      </w:pPr>
      <w:r>
        <w:rPr>
          <w:rFonts w:eastAsiaTheme="minorEastAsia"/>
          <w:color w:val="auto"/>
        </w:rPr>
        <w:br w:type="page"/>
      </w:r>
    </w:p>
    <w:p w14:paraId="1235474C">
      <w:pPr>
        <w:spacing w:line="360" w:lineRule="auto"/>
        <w:jc w:val="left"/>
        <w:rPr>
          <w:rFonts w:eastAsiaTheme="minorEastAsia"/>
          <w:color w:val="auto"/>
        </w:rPr>
      </w:pPr>
    </w:p>
    <w:p w14:paraId="20FCF4D2">
      <w:pPr>
        <w:spacing w:line="360" w:lineRule="auto"/>
        <w:jc w:val="left"/>
        <w:rPr>
          <w:rFonts w:eastAsiaTheme="minorEastAsia"/>
          <w:color w:val="auto"/>
          <w:szCs w:val="21"/>
        </w:rPr>
      </w:pPr>
      <w:r>
        <w:rPr>
          <w:rFonts w:eastAsiaTheme="minorEastAsia"/>
          <w:color w:val="auto"/>
          <w:szCs w:val="21"/>
        </w:rPr>
        <w:t>附件：考核办法</w:t>
      </w:r>
    </w:p>
    <w:tbl>
      <w:tblPr>
        <w:tblStyle w:val="58"/>
        <w:tblW w:w="9352" w:type="dxa"/>
        <w:tblInd w:w="91" w:type="dxa"/>
        <w:tblLayout w:type="fixed"/>
        <w:tblCellMar>
          <w:top w:w="0" w:type="dxa"/>
          <w:left w:w="108" w:type="dxa"/>
          <w:bottom w:w="0" w:type="dxa"/>
          <w:right w:w="108" w:type="dxa"/>
        </w:tblCellMar>
      </w:tblPr>
      <w:tblGrid>
        <w:gridCol w:w="994"/>
        <w:gridCol w:w="1090"/>
        <w:gridCol w:w="1640"/>
        <w:gridCol w:w="4280"/>
        <w:gridCol w:w="650"/>
        <w:gridCol w:w="698"/>
      </w:tblGrid>
      <w:tr w14:paraId="3C79B6D0">
        <w:tblPrEx>
          <w:tblCellMar>
            <w:top w:w="0" w:type="dxa"/>
            <w:left w:w="108" w:type="dxa"/>
            <w:bottom w:w="0" w:type="dxa"/>
            <w:right w:w="108" w:type="dxa"/>
          </w:tblCellMar>
        </w:tblPrEx>
        <w:trPr>
          <w:trHeight w:val="23" w:hRule="atLeast"/>
        </w:trPr>
        <w:tc>
          <w:tcPr>
            <w:tcW w:w="9352" w:type="dxa"/>
            <w:gridSpan w:val="6"/>
            <w:tcBorders>
              <w:top w:val="nil"/>
              <w:left w:val="nil"/>
              <w:bottom w:val="nil"/>
              <w:right w:val="nil"/>
            </w:tcBorders>
            <w:vAlign w:val="center"/>
          </w:tcPr>
          <w:p w14:paraId="2348D756">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bCs/>
                <w:color w:val="auto"/>
                <w:kern w:val="28"/>
                <w:szCs w:val="21"/>
              </w:rPr>
              <w:t>江苏省人民医院龙江院区维保类服务管理规定及考核办法</w:t>
            </w:r>
            <w:r>
              <w:rPr>
                <w:rFonts w:eastAsiaTheme="minorEastAsia"/>
                <w:color w:val="auto"/>
                <w:kern w:val="0"/>
                <w:szCs w:val="21"/>
                <w:lang w:bidi="ar"/>
              </w:rPr>
              <w:br w:type="textWrapping"/>
            </w:r>
            <w:r>
              <w:rPr>
                <w:rFonts w:eastAsiaTheme="minorEastAsia"/>
                <w:color w:val="auto"/>
                <w:kern w:val="0"/>
                <w:szCs w:val="21"/>
                <w:lang w:bidi="ar"/>
              </w:rPr>
              <w:t>(    年   月)</w:t>
            </w:r>
          </w:p>
        </w:tc>
      </w:tr>
      <w:tr w14:paraId="21ED7859">
        <w:tblPrEx>
          <w:tblCellMar>
            <w:top w:w="0" w:type="dxa"/>
            <w:left w:w="108" w:type="dxa"/>
            <w:bottom w:w="0" w:type="dxa"/>
            <w:right w:w="108" w:type="dxa"/>
          </w:tblCellMar>
        </w:tblPrEx>
        <w:trPr>
          <w:trHeight w:val="23" w:hRule="atLeast"/>
        </w:trPr>
        <w:tc>
          <w:tcPr>
            <w:tcW w:w="994" w:type="dxa"/>
            <w:tcBorders>
              <w:top w:val="single" w:color="000000" w:sz="4" w:space="0"/>
              <w:left w:val="single" w:color="000000" w:sz="4" w:space="0"/>
              <w:bottom w:val="single" w:color="000000" w:sz="4" w:space="0"/>
              <w:right w:val="single" w:color="000000" w:sz="4" w:space="0"/>
            </w:tcBorders>
            <w:vAlign w:val="center"/>
          </w:tcPr>
          <w:p w14:paraId="246728B9">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考核维度</w:t>
            </w:r>
          </w:p>
        </w:tc>
        <w:tc>
          <w:tcPr>
            <w:tcW w:w="1090" w:type="dxa"/>
            <w:tcBorders>
              <w:top w:val="single" w:color="000000" w:sz="4" w:space="0"/>
              <w:left w:val="single" w:color="000000" w:sz="4" w:space="0"/>
              <w:bottom w:val="single" w:color="000000" w:sz="4" w:space="0"/>
              <w:right w:val="single" w:color="000000" w:sz="4" w:space="0"/>
            </w:tcBorders>
            <w:vAlign w:val="center"/>
          </w:tcPr>
          <w:p w14:paraId="24920EE9">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考核项目</w:t>
            </w:r>
          </w:p>
        </w:tc>
        <w:tc>
          <w:tcPr>
            <w:tcW w:w="1640" w:type="dxa"/>
            <w:tcBorders>
              <w:top w:val="single" w:color="000000" w:sz="4" w:space="0"/>
              <w:left w:val="single" w:color="000000" w:sz="4" w:space="0"/>
              <w:bottom w:val="single" w:color="000000" w:sz="4" w:space="0"/>
              <w:right w:val="single" w:color="000000" w:sz="4" w:space="0"/>
            </w:tcBorders>
            <w:vAlign w:val="center"/>
          </w:tcPr>
          <w:p w14:paraId="1252C1FC">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考核标准</w:t>
            </w:r>
          </w:p>
        </w:tc>
        <w:tc>
          <w:tcPr>
            <w:tcW w:w="4280" w:type="dxa"/>
            <w:tcBorders>
              <w:top w:val="single" w:color="000000" w:sz="4" w:space="0"/>
              <w:left w:val="single" w:color="000000" w:sz="4" w:space="0"/>
              <w:bottom w:val="single" w:color="000000" w:sz="4" w:space="0"/>
              <w:right w:val="single" w:color="000000" w:sz="4" w:space="0"/>
            </w:tcBorders>
            <w:vAlign w:val="center"/>
          </w:tcPr>
          <w:p w14:paraId="0BE8A303">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评分细则</w:t>
            </w:r>
          </w:p>
        </w:tc>
        <w:tc>
          <w:tcPr>
            <w:tcW w:w="650" w:type="dxa"/>
            <w:tcBorders>
              <w:top w:val="single" w:color="000000" w:sz="4" w:space="0"/>
              <w:left w:val="single" w:color="000000" w:sz="4" w:space="0"/>
              <w:bottom w:val="single" w:color="000000" w:sz="4" w:space="0"/>
              <w:right w:val="single" w:color="000000" w:sz="4" w:space="0"/>
            </w:tcBorders>
            <w:vAlign w:val="center"/>
          </w:tcPr>
          <w:p w14:paraId="76C261FC">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实际得分</w:t>
            </w:r>
          </w:p>
        </w:tc>
        <w:tc>
          <w:tcPr>
            <w:tcW w:w="698" w:type="dxa"/>
            <w:tcBorders>
              <w:top w:val="single" w:color="000000" w:sz="4" w:space="0"/>
              <w:left w:val="single" w:color="000000" w:sz="4" w:space="0"/>
              <w:bottom w:val="single" w:color="000000" w:sz="4" w:space="0"/>
              <w:right w:val="single" w:color="000000" w:sz="4" w:space="0"/>
            </w:tcBorders>
            <w:vAlign w:val="center"/>
          </w:tcPr>
          <w:p w14:paraId="1A35EDB8">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备注</w:t>
            </w:r>
          </w:p>
        </w:tc>
      </w:tr>
      <w:tr w14:paraId="1C46E974">
        <w:trPr>
          <w:trHeight w:val="23" w:hRule="atLeast"/>
        </w:trPr>
        <w:tc>
          <w:tcPr>
            <w:tcW w:w="994" w:type="dxa"/>
            <w:vMerge w:val="restart"/>
            <w:tcBorders>
              <w:top w:val="single" w:color="000000" w:sz="4" w:space="0"/>
              <w:left w:val="single" w:color="000000" w:sz="4" w:space="0"/>
              <w:bottom w:val="single" w:color="000000" w:sz="4" w:space="0"/>
              <w:right w:val="single" w:color="000000" w:sz="4" w:space="0"/>
            </w:tcBorders>
            <w:vAlign w:val="center"/>
          </w:tcPr>
          <w:p w14:paraId="2E2EB344">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一、基础管理（30%）</w:t>
            </w:r>
          </w:p>
        </w:tc>
        <w:tc>
          <w:tcPr>
            <w:tcW w:w="1090" w:type="dxa"/>
            <w:tcBorders>
              <w:top w:val="single" w:color="000000" w:sz="4" w:space="0"/>
              <w:left w:val="single" w:color="000000" w:sz="4" w:space="0"/>
              <w:bottom w:val="single" w:color="000000" w:sz="4" w:space="0"/>
              <w:right w:val="single" w:color="000000" w:sz="4" w:space="0"/>
            </w:tcBorders>
            <w:vAlign w:val="center"/>
          </w:tcPr>
          <w:p w14:paraId="50A015BD">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制度建设与执行</w:t>
            </w:r>
            <w:r>
              <w:rPr>
                <w:rFonts w:eastAsiaTheme="minorEastAsia"/>
                <w:color w:val="auto"/>
                <w:kern w:val="0"/>
                <w:szCs w:val="21"/>
                <w:lang w:bidi="ar"/>
              </w:rPr>
              <w:br w:type="textWrapping"/>
            </w:r>
            <w:r>
              <w:rPr>
                <w:rFonts w:eastAsiaTheme="minorEastAsia"/>
                <w:color w:val="auto"/>
                <w:kern w:val="0"/>
                <w:szCs w:val="21"/>
                <w:lang w:bidi="ar"/>
              </w:rPr>
              <w:t>（5分）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286ECBED">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建立完善的设备管理制度、巡检制度、应急处理流程等，且严格执行</w:t>
            </w:r>
          </w:p>
        </w:tc>
        <w:tc>
          <w:tcPr>
            <w:tcW w:w="4280" w:type="dxa"/>
            <w:tcBorders>
              <w:top w:val="single" w:color="000000" w:sz="4" w:space="0"/>
              <w:left w:val="single" w:color="000000" w:sz="4" w:space="0"/>
              <w:bottom w:val="single" w:color="000000" w:sz="4" w:space="0"/>
              <w:right w:val="single" w:color="000000" w:sz="4" w:space="0"/>
            </w:tcBorders>
            <w:vAlign w:val="center"/>
          </w:tcPr>
          <w:p w14:paraId="3D921BE3">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1.制度齐全（设备管理、巡检、应急流程各1项，共3项），每缺1项扣0.5分，最多扣1.5分。</w:t>
            </w:r>
            <w:r>
              <w:rPr>
                <w:rFonts w:eastAsiaTheme="minorEastAsia"/>
                <w:color w:val="auto"/>
                <w:kern w:val="0"/>
                <w:szCs w:val="21"/>
                <w:lang w:bidi="ar"/>
              </w:rPr>
              <w:br w:type="textWrapping"/>
            </w:r>
            <w:r>
              <w:rPr>
                <w:rFonts w:eastAsiaTheme="minorEastAsia"/>
                <w:color w:val="auto"/>
                <w:kern w:val="0"/>
                <w:szCs w:val="21"/>
                <w:lang w:bidi="ar"/>
              </w:rPr>
              <w:t>2.制度执行：抽查当月执行记录（巡检、维修、应急演练等），每发现1次未按制度执行扣1分，最多扣2分。</w:t>
            </w:r>
            <w:r>
              <w:rPr>
                <w:rFonts w:eastAsiaTheme="minorEastAsia"/>
                <w:color w:val="auto"/>
                <w:kern w:val="0"/>
                <w:szCs w:val="21"/>
                <w:lang w:bidi="ar"/>
              </w:rPr>
              <w:br w:type="textWrapping"/>
            </w:r>
            <w:r>
              <w:rPr>
                <w:rFonts w:eastAsiaTheme="minorEastAsia"/>
                <w:color w:val="auto"/>
                <w:kern w:val="0"/>
                <w:szCs w:val="21"/>
                <w:lang w:bidi="ar"/>
              </w:rPr>
              <w:t>3.制度内容合理、可操作，每发现1处明显不合理或过时扣0.5分，最多扣1.5分</w:t>
            </w:r>
          </w:p>
        </w:tc>
        <w:tc>
          <w:tcPr>
            <w:tcW w:w="650" w:type="dxa"/>
            <w:tcBorders>
              <w:top w:val="single" w:color="000000" w:sz="4" w:space="0"/>
              <w:left w:val="single" w:color="000000" w:sz="4" w:space="0"/>
              <w:bottom w:val="single" w:color="000000" w:sz="4" w:space="0"/>
              <w:right w:val="single" w:color="000000" w:sz="4" w:space="0"/>
            </w:tcBorders>
            <w:vAlign w:val="center"/>
          </w:tcPr>
          <w:p w14:paraId="2944B6AC">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vAlign w:val="center"/>
          </w:tcPr>
          <w:p w14:paraId="4C20AAD7">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r>
      <w:tr w14:paraId="4546EEF8">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6776B778">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50695680">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人员管理</w:t>
            </w:r>
            <w:r>
              <w:rPr>
                <w:rFonts w:eastAsiaTheme="minorEastAsia"/>
                <w:color w:val="auto"/>
                <w:kern w:val="0"/>
                <w:szCs w:val="21"/>
                <w:lang w:bidi="ar"/>
              </w:rPr>
              <w:br w:type="textWrapping"/>
            </w:r>
            <w:r>
              <w:rPr>
                <w:rFonts w:eastAsiaTheme="minorEastAsia"/>
                <w:color w:val="auto"/>
                <w:kern w:val="0"/>
                <w:szCs w:val="21"/>
                <w:lang w:bidi="ar"/>
              </w:rPr>
              <w:t>（10分）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74285985">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人员配置满足岗位需求，按岗位要求持证上岗，着装规范</w:t>
            </w:r>
          </w:p>
        </w:tc>
        <w:tc>
          <w:tcPr>
            <w:tcW w:w="4280" w:type="dxa"/>
            <w:tcBorders>
              <w:top w:val="single" w:color="000000" w:sz="4" w:space="0"/>
              <w:left w:val="single" w:color="000000" w:sz="4" w:space="0"/>
              <w:bottom w:val="single" w:color="000000" w:sz="4" w:space="0"/>
              <w:right w:val="single" w:color="000000" w:sz="4" w:space="0"/>
            </w:tcBorders>
            <w:vAlign w:val="center"/>
          </w:tcPr>
          <w:p w14:paraId="4AFF282B">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1.人员配置不满足岗位需求，每缺1人扣2分，最多扣4分。</w:t>
            </w:r>
            <w:r>
              <w:rPr>
                <w:rFonts w:eastAsiaTheme="minorEastAsia"/>
                <w:color w:val="auto"/>
                <w:kern w:val="0"/>
                <w:szCs w:val="21"/>
                <w:lang w:bidi="ar"/>
              </w:rPr>
              <w:br w:type="textWrapping"/>
            </w:r>
            <w:r>
              <w:rPr>
                <w:rFonts w:eastAsiaTheme="minorEastAsia"/>
                <w:color w:val="auto"/>
                <w:kern w:val="0"/>
                <w:szCs w:val="21"/>
                <w:lang w:bidi="ar"/>
              </w:rPr>
              <w:t>2.随机抽查关键岗位，每发现1人无证上岗扣2分，最多扣4分。</w:t>
            </w:r>
            <w:r>
              <w:rPr>
                <w:rFonts w:eastAsiaTheme="minorEastAsia"/>
                <w:color w:val="auto"/>
                <w:kern w:val="0"/>
                <w:szCs w:val="21"/>
                <w:lang w:bidi="ar"/>
              </w:rPr>
              <w:br w:type="textWrapping"/>
            </w:r>
            <w:r>
              <w:rPr>
                <w:rFonts w:eastAsiaTheme="minorEastAsia"/>
                <w:color w:val="auto"/>
                <w:kern w:val="0"/>
                <w:szCs w:val="21"/>
                <w:lang w:bidi="ar"/>
              </w:rPr>
              <w:t>3.工作时未按要求穿工服、佩戴胸牌，每发现1次扣0.5分，最多扣2分。</w:t>
            </w:r>
          </w:p>
        </w:tc>
        <w:tc>
          <w:tcPr>
            <w:tcW w:w="650" w:type="dxa"/>
            <w:tcBorders>
              <w:top w:val="single" w:color="000000" w:sz="4" w:space="0"/>
              <w:left w:val="single" w:color="000000" w:sz="4" w:space="0"/>
              <w:bottom w:val="single" w:color="000000" w:sz="4" w:space="0"/>
              <w:right w:val="single" w:color="000000" w:sz="4" w:space="0"/>
            </w:tcBorders>
            <w:vAlign w:val="center"/>
          </w:tcPr>
          <w:p w14:paraId="39B4E658">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6BF586F2">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5188812E">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4D4A8014">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3E204CE4">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文档记录管理</w:t>
            </w:r>
            <w:r>
              <w:rPr>
                <w:rFonts w:eastAsiaTheme="minorEastAsia"/>
                <w:color w:val="auto"/>
                <w:kern w:val="0"/>
                <w:szCs w:val="21"/>
                <w:lang w:bidi="ar"/>
              </w:rPr>
              <w:br w:type="textWrapping"/>
            </w:r>
            <w:r>
              <w:rPr>
                <w:rFonts w:eastAsiaTheme="minorEastAsia"/>
                <w:color w:val="auto"/>
                <w:kern w:val="0"/>
                <w:szCs w:val="21"/>
                <w:lang w:bidi="ar"/>
              </w:rPr>
              <w:t>（10分）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7832A78F">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设备档案、巡检记录、维修记录、保养计划等齐全、准确、及时更新</w:t>
            </w:r>
          </w:p>
        </w:tc>
        <w:tc>
          <w:tcPr>
            <w:tcW w:w="4280" w:type="dxa"/>
            <w:tcBorders>
              <w:top w:val="single" w:color="000000" w:sz="4" w:space="0"/>
              <w:left w:val="single" w:color="000000" w:sz="4" w:space="0"/>
              <w:bottom w:val="single" w:color="000000" w:sz="4" w:space="0"/>
              <w:right w:val="single" w:color="000000" w:sz="4" w:space="0"/>
            </w:tcBorders>
            <w:vAlign w:val="center"/>
          </w:tcPr>
          <w:p w14:paraId="4A5305E5">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1.随机抽查设备档案、日巡检、维修单、保养计划、故障处理报告等，每缺1类扣1分，最多扣5分。</w:t>
            </w:r>
            <w:r>
              <w:rPr>
                <w:rFonts w:eastAsiaTheme="minorEastAsia"/>
                <w:color w:val="auto"/>
                <w:kern w:val="0"/>
                <w:szCs w:val="21"/>
                <w:lang w:bidi="ar"/>
              </w:rPr>
              <w:br w:type="textWrapping"/>
            </w:r>
            <w:r>
              <w:rPr>
                <w:rFonts w:eastAsiaTheme="minorEastAsia"/>
                <w:color w:val="auto"/>
                <w:kern w:val="0"/>
                <w:szCs w:val="21"/>
                <w:lang w:bidi="ar"/>
              </w:rPr>
              <w:t>2.抽查记录，每发现1处数据错误、涂改无签名、逻辑矛盾等问题扣1分，最多扣3分。</w:t>
            </w:r>
            <w:r>
              <w:rPr>
                <w:rFonts w:eastAsiaTheme="minorEastAsia"/>
                <w:color w:val="auto"/>
                <w:kern w:val="0"/>
                <w:szCs w:val="21"/>
                <w:lang w:bidi="ar"/>
              </w:rPr>
              <w:br w:type="textWrapping"/>
            </w:r>
            <w:r>
              <w:rPr>
                <w:rFonts w:eastAsiaTheme="minorEastAsia"/>
                <w:color w:val="auto"/>
                <w:kern w:val="0"/>
                <w:szCs w:val="21"/>
                <w:lang w:bidi="ar"/>
              </w:rPr>
              <w:t>3.巡检记录、维修闭环记录需在事件发生后24小时内录入，超时每项扣0.5分，最多扣2分。</w:t>
            </w:r>
          </w:p>
        </w:tc>
        <w:tc>
          <w:tcPr>
            <w:tcW w:w="650" w:type="dxa"/>
            <w:tcBorders>
              <w:top w:val="single" w:color="000000" w:sz="4" w:space="0"/>
              <w:left w:val="single" w:color="000000" w:sz="4" w:space="0"/>
              <w:bottom w:val="single" w:color="000000" w:sz="4" w:space="0"/>
              <w:right w:val="single" w:color="000000" w:sz="4" w:space="0"/>
            </w:tcBorders>
            <w:vAlign w:val="center"/>
          </w:tcPr>
          <w:p w14:paraId="6E160039">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5D138956">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16F860A0">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7CD0B2D9">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6D6A39AC">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沟通协作</w:t>
            </w:r>
            <w:r>
              <w:rPr>
                <w:rFonts w:eastAsiaTheme="minorEastAsia"/>
                <w:color w:val="auto"/>
                <w:kern w:val="0"/>
                <w:szCs w:val="21"/>
                <w:lang w:bidi="ar"/>
              </w:rPr>
              <w:br w:type="textWrapping"/>
            </w:r>
            <w:r>
              <w:rPr>
                <w:rFonts w:eastAsiaTheme="minorEastAsia"/>
                <w:color w:val="auto"/>
                <w:kern w:val="0"/>
                <w:szCs w:val="21"/>
                <w:lang w:bidi="ar"/>
              </w:rPr>
              <w:t>（5分）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1F336BA8">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与医院各科室沟通顺畅，及时响应需求，配合完成各项工作</w:t>
            </w:r>
          </w:p>
        </w:tc>
        <w:tc>
          <w:tcPr>
            <w:tcW w:w="4280" w:type="dxa"/>
            <w:tcBorders>
              <w:top w:val="single" w:color="000000" w:sz="4" w:space="0"/>
              <w:left w:val="single" w:color="000000" w:sz="4" w:space="0"/>
              <w:bottom w:val="single" w:color="000000" w:sz="4" w:space="0"/>
              <w:right w:val="single" w:color="000000" w:sz="4" w:space="0"/>
            </w:tcBorders>
            <w:vAlign w:val="center"/>
          </w:tcPr>
          <w:p w14:paraId="12B5BC5D">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1.当月配合医院完成临时性工作（如搬迁、检查、活动保障等），未配合或推诿1次扣2分，最多扣4分。</w:t>
            </w:r>
            <w:r>
              <w:rPr>
                <w:rFonts w:eastAsiaTheme="minorEastAsia"/>
                <w:color w:val="auto"/>
                <w:kern w:val="0"/>
                <w:szCs w:val="21"/>
                <w:lang w:bidi="ar"/>
              </w:rPr>
              <w:br w:type="textWrapping"/>
            </w:r>
            <w:r>
              <w:rPr>
                <w:rFonts w:eastAsiaTheme="minorEastAsia"/>
                <w:color w:val="auto"/>
                <w:kern w:val="0"/>
                <w:szCs w:val="21"/>
                <w:lang w:bidi="ar"/>
              </w:rPr>
              <w:t>2.月度至少主动与重点科室沟通1次，未完成扣1分。</w:t>
            </w:r>
          </w:p>
        </w:tc>
        <w:tc>
          <w:tcPr>
            <w:tcW w:w="650" w:type="dxa"/>
            <w:tcBorders>
              <w:top w:val="single" w:color="000000" w:sz="4" w:space="0"/>
              <w:left w:val="single" w:color="000000" w:sz="4" w:space="0"/>
              <w:bottom w:val="single" w:color="000000" w:sz="4" w:space="0"/>
              <w:right w:val="single" w:color="000000" w:sz="4" w:space="0"/>
            </w:tcBorders>
            <w:vAlign w:val="center"/>
          </w:tcPr>
          <w:p w14:paraId="6107F554">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095B848A">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4606F31A">
        <w:tblPrEx>
          <w:tblCellMar>
            <w:top w:w="0" w:type="dxa"/>
            <w:left w:w="108" w:type="dxa"/>
            <w:bottom w:w="0" w:type="dxa"/>
            <w:right w:w="108" w:type="dxa"/>
          </w:tblCellMar>
        </w:tblPrEx>
        <w:trPr>
          <w:trHeight w:val="23" w:hRule="atLeast"/>
        </w:trPr>
        <w:tc>
          <w:tcPr>
            <w:tcW w:w="994" w:type="dxa"/>
            <w:vMerge w:val="restart"/>
            <w:tcBorders>
              <w:top w:val="single" w:color="000000" w:sz="4" w:space="0"/>
              <w:left w:val="single" w:color="000000" w:sz="4" w:space="0"/>
              <w:bottom w:val="single" w:color="000000" w:sz="4" w:space="0"/>
              <w:right w:val="single" w:color="000000" w:sz="4" w:space="0"/>
            </w:tcBorders>
            <w:vAlign w:val="center"/>
          </w:tcPr>
          <w:p w14:paraId="519FA055">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二、设施设备运维（35%）</w:t>
            </w:r>
          </w:p>
        </w:tc>
        <w:tc>
          <w:tcPr>
            <w:tcW w:w="1090" w:type="dxa"/>
            <w:tcBorders>
              <w:top w:val="single" w:color="000000" w:sz="4" w:space="0"/>
              <w:left w:val="single" w:color="000000" w:sz="4" w:space="0"/>
              <w:bottom w:val="single" w:color="000000" w:sz="4" w:space="0"/>
              <w:right w:val="single" w:color="000000" w:sz="4" w:space="0"/>
            </w:tcBorders>
            <w:vAlign w:val="center"/>
          </w:tcPr>
          <w:p w14:paraId="73D6BE48">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设施维护</w:t>
            </w:r>
            <w:r>
              <w:rPr>
                <w:rFonts w:eastAsiaTheme="minorEastAsia"/>
                <w:color w:val="auto"/>
                <w:kern w:val="0"/>
                <w:szCs w:val="21"/>
                <w:lang w:bidi="ar"/>
              </w:rPr>
              <w:br w:type="textWrapping"/>
            </w:r>
            <w:r>
              <w:rPr>
                <w:rFonts w:eastAsiaTheme="minorEastAsia"/>
                <w:color w:val="auto"/>
                <w:kern w:val="0"/>
                <w:szCs w:val="21"/>
                <w:lang w:bidi="ar"/>
              </w:rPr>
              <w:t>（10分）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104ED575">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供电系统、电梯等设施运行正常，按时巡查发现问题及时上报</w:t>
            </w:r>
          </w:p>
        </w:tc>
        <w:tc>
          <w:tcPr>
            <w:tcW w:w="4280" w:type="dxa"/>
            <w:tcBorders>
              <w:top w:val="single" w:color="000000" w:sz="4" w:space="0"/>
              <w:left w:val="single" w:color="000000" w:sz="4" w:space="0"/>
              <w:bottom w:val="single" w:color="000000" w:sz="4" w:space="0"/>
              <w:right w:val="single" w:color="000000" w:sz="4" w:space="0"/>
            </w:tcBorders>
            <w:vAlign w:val="center"/>
          </w:tcPr>
          <w:p w14:paraId="3B5FA260">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1.当月发生非紧急故障（未影响全院），每起扣0.5分；发生影响局部区域故障，每起扣2分，最多扣6分。</w:t>
            </w:r>
            <w:r>
              <w:rPr>
                <w:rFonts w:eastAsiaTheme="minorEastAsia"/>
                <w:color w:val="auto"/>
                <w:kern w:val="0"/>
                <w:szCs w:val="21"/>
                <w:lang w:bidi="ar"/>
              </w:rPr>
              <w:br w:type="textWrapping"/>
            </w:r>
            <w:r>
              <w:rPr>
                <w:rFonts w:eastAsiaTheme="minorEastAsia"/>
                <w:color w:val="auto"/>
                <w:kern w:val="0"/>
                <w:szCs w:val="21"/>
                <w:lang w:bidi="ar"/>
              </w:rPr>
              <w:t>2.未按计划完成周/月巡查及保养，每次扣1分，保养记录缺失1次扣1分，最多扣3分。</w:t>
            </w:r>
            <w:r>
              <w:rPr>
                <w:rFonts w:eastAsiaTheme="minorEastAsia"/>
                <w:color w:val="auto"/>
                <w:kern w:val="0"/>
                <w:szCs w:val="21"/>
                <w:lang w:bidi="ar"/>
              </w:rPr>
              <w:br w:type="textWrapping"/>
            </w:r>
            <w:r>
              <w:rPr>
                <w:rFonts w:eastAsiaTheme="minorEastAsia"/>
                <w:color w:val="auto"/>
                <w:kern w:val="0"/>
                <w:szCs w:val="21"/>
                <w:lang w:bidi="ar"/>
              </w:rPr>
              <w:t>3.故障上报不及时（超过30分钟未报），每次扣0.5分，最多扣1分。</w:t>
            </w:r>
          </w:p>
        </w:tc>
        <w:tc>
          <w:tcPr>
            <w:tcW w:w="650" w:type="dxa"/>
            <w:tcBorders>
              <w:top w:val="single" w:color="000000" w:sz="4" w:space="0"/>
              <w:left w:val="single" w:color="000000" w:sz="4" w:space="0"/>
              <w:bottom w:val="single" w:color="000000" w:sz="4" w:space="0"/>
              <w:right w:val="single" w:color="000000" w:sz="4" w:space="0"/>
            </w:tcBorders>
            <w:vAlign w:val="center"/>
          </w:tcPr>
          <w:p w14:paraId="5EE5118B">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14DEE514">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2155F73B">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13A90730">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56856EA3">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医疗辅助设备保障（12分）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57F257E1">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医疗区域供氧、正负压吸引等设备 24 小时巡查，故障响应及时</w:t>
            </w:r>
          </w:p>
        </w:tc>
        <w:tc>
          <w:tcPr>
            <w:tcW w:w="4280" w:type="dxa"/>
            <w:tcBorders>
              <w:top w:val="single" w:color="000000" w:sz="4" w:space="0"/>
              <w:left w:val="single" w:color="000000" w:sz="4" w:space="0"/>
              <w:bottom w:val="single" w:color="000000" w:sz="4" w:space="0"/>
              <w:right w:val="single" w:color="000000" w:sz="4" w:space="0"/>
            </w:tcBorders>
            <w:vAlign w:val="center"/>
          </w:tcPr>
          <w:p w14:paraId="07222577">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1.液氧站、气瓶间、正负压机房等任一系统故障影响科室使用，每发生1次扣2分，最多扣6分。</w:t>
            </w:r>
            <w:r>
              <w:rPr>
                <w:rFonts w:eastAsiaTheme="minorEastAsia"/>
                <w:color w:val="auto"/>
                <w:kern w:val="0"/>
                <w:szCs w:val="21"/>
                <w:lang w:bidi="ar"/>
              </w:rPr>
              <w:br w:type="textWrapping"/>
            </w:r>
            <w:r>
              <w:rPr>
                <w:rFonts w:eastAsiaTheme="minorEastAsia"/>
                <w:color w:val="auto"/>
                <w:kern w:val="0"/>
                <w:szCs w:val="21"/>
                <w:lang w:bidi="ar"/>
              </w:rPr>
              <w:t>2.接故障通知后需15分钟内到场，超时每次扣1分，最多扣2分；到场后30分钟内未有效处置，每次加扣1分，最多扣2分。</w:t>
            </w:r>
            <w:r>
              <w:rPr>
                <w:rFonts w:eastAsiaTheme="minorEastAsia"/>
                <w:color w:val="auto"/>
                <w:kern w:val="0"/>
                <w:szCs w:val="21"/>
                <w:lang w:bidi="ar"/>
              </w:rPr>
              <w:br w:type="textWrapping"/>
            </w:r>
            <w:r>
              <w:rPr>
                <w:rFonts w:eastAsiaTheme="minorEastAsia"/>
                <w:color w:val="auto"/>
                <w:kern w:val="0"/>
                <w:szCs w:val="21"/>
                <w:lang w:bidi="ar"/>
              </w:rPr>
              <w:t>3.24小时巡查记录缺失1次扣1分，最多扣2分。</w:t>
            </w:r>
          </w:p>
        </w:tc>
        <w:tc>
          <w:tcPr>
            <w:tcW w:w="650" w:type="dxa"/>
            <w:tcBorders>
              <w:top w:val="single" w:color="000000" w:sz="4" w:space="0"/>
              <w:left w:val="single" w:color="000000" w:sz="4" w:space="0"/>
              <w:bottom w:val="single" w:color="000000" w:sz="4" w:space="0"/>
              <w:right w:val="single" w:color="000000" w:sz="4" w:space="0"/>
            </w:tcBorders>
            <w:vAlign w:val="center"/>
          </w:tcPr>
          <w:p w14:paraId="4403E7B9">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64DD8576">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786ADF52">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79FA5378">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136115E9">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维修服务质量</w:t>
            </w:r>
            <w:r>
              <w:rPr>
                <w:rFonts w:eastAsiaTheme="minorEastAsia"/>
                <w:color w:val="auto"/>
                <w:kern w:val="0"/>
                <w:szCs w:val="21"/>
                <w:lang w:bidi="ar"/>
              </w:rPr>
              <w:br w:type="textWrapping"/>
            </w:r>
            <w:r>
              <w:rPr>
                <w:rFonts w:eastAsiaTheme="minorEastAsia"/>
                <w:color w:val="auto"/>
                <w:kern w:val="0"/>
                <w:szCs w:val="21"/>
                <w:lang w:bidi="ar"/>
              </w:rPr>
              <w:t>（8分）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0E92541B">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接到维修申请后及时上门，维修质量达标</w:t>
            </w:r>
          </w:p>
        </w:tc>
        <w:tc>
          <w:tcPr>
            <w:tcW w:w="4280" w:type="dxa"/>
            <w:tcBorders>
              <w:top w:val="single" w:color="000000" w:sz="4" w:space="0"/>
              <w:left w:val="single" w:color="000000" w:sz="4" w:space="0"/>
              <w:bottom w:val="single" w:color="000000" w:sz="4" w:space="0"/>
              <w:right w:val="single" w:color="000000" w:sz="4" w:space="0"/>
            </w:tcBorders>
            <w:vAlign w:val="center"/>
          </w:tcPr>
          <w:p w14:paraId="1EB135BA">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1.接到报修后15分钟内到达现场展开维修，超时每次扣0.5分，最多扣2分。</w:t>
            </w:r>
            <w:r>
              <w:rPr>
                <w:rFonts w:eastAsiaTheme="minorEastAsia"/>
                <w:color w:val="auto"/>
                <w:kern w:val="0"/>
                <w:szCs w:val="21"/>
                <w:lang w:bidi="ar"/>
              </w:rPr>
              <w:br w:type="textWrapping"/>
            </w:r>
            <w:r>
              <w:rPr>
                <w:rFonts w:eastAsiaTheme="minorEastAsia"/>
                <w:color w:val="auto"/>
                <w:kern w:val="0"/>
                <w:szCs w:val="21"/>
                <w:lang w:bidi="ar"/>
              </w:rPr>
              <w:t>2.当月维修返工（同一问题7天内再次报修）每1次扣1分，最多扣3分。</w:t>
            </w:r>
            <w:r>
              <w:rPr>
                <w:rFonts w:eastAsiaTheme="minorEastAsia"/>
                <w:color w:val="auto"/>
                <w:kern w:val="0"/>
                <w:szCs w:val="21"/>
                <w:lang w:bidi="ar"/>
              </w:rPr>
              <w:br w:type="textWrapping"/>
            </w:r>
            <w:r>
              <w:rPr>
                <w:rFonts w:eastAsiaTheme="minorEastAsia"/>
                <w:color w:val="auto"/>
                <w:kern w:val="0"/>
                <w:szCs w:val="21"/>
                <w:lang w:bidi="ar"/>
              </w:rPr>
              <w:t>3.维修后未清理现场每次扣1分，最多扣3分。</w:t>
            </w:r>
          </w:p>
        </w:tc>
        <w:tc>
          <w:tcPr>
            <w:tcW w:w="650" w:type="dxa"/>
            <w:tcBorders>
              <w:top w:val="single" w:color="000000" w:sz="4" w:space="0"/>
              <w:left w:val="single" w:color="000000" w:sz="4" w:space="0"/>
              <w:bottom w:val="single" w:color="000000" w:sz="4" w:space="0"/>
              <w:right w:val="single" w:color="000000" w:sz="4" w:space="0"/>
            </w:tcBorders>
            <w:vAlign w:val="center"/>
          </w:tcPr>
          <w:p w14:paraId="0F66D09A">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765D67FA">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64BB43BA">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37065695">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09346D78">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节能管理</w:t>
            </w:r>
            <w:r>
              <w:rPr>
                <w:rFonts w:eastAsiaTheme="minorEastAsia"/>
                <w:color w:val="auto"/>
                <w:kern w:val="0"/>
                <w:szCs w:val="21"/>
                <w:lang w:bidi="ar"/>
              </w:rPr>
              <w:br w:type="textWrapping"/>
            </w:r>
            <w:r>
              <w:rPr>
                <w:rFonts w:eastAsiaTheme="minorEastAsia"/>
                <w:color w:val="auto"/>
                <w:kern w:val="0"/>
                <w:szCs w:val="21"/>
                <w:lang w:bidi="ar"/>
              </w:rPr>
              <w:t>（5分）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3B58582E">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制定节能方案，合理控制水电消耗，能耗较同期无异常增长</w:t>
            </w:r>
          </w:p>
        </w:tc>
        <w:tc>
          <w:tcPr>
            <w:tcW w:w="4280" w:type="dxa"/>
            <w:tcBorders>
              <w:top w:val="single" w:color="000000" w:sz="4" w:space="0"/>
              <w:left w:val="single" w:color="000000" w:sz="4" w:space="0"/>
              <w:bottom w:val="single" w:color="000000" w:sz="4" w:space="0"/>
              <w:right w:val="single" w:color="000000" w:sz="4" w:space="0"/>
            </w:tcBorders>
            <w:vAlign w:val="center"/>
          </w:tcPr>
          <w:p w14:paraId="473BB068">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1.按医院节能方案执行（如空调温度设定、照明分区控制等），发现1次未执行扣0.5分，最多扣2分。</w:t>
            </w:r>
            <w:r>
              <w:rPr>
                <w:rFonts w:eastAsiaTheme="minorEastAsia"/>
                <w:color w:val="auto"/>
                <w:kern w:val="0"/>
                <w:szCs w:val="21"/>
                <w:lang w:bidi="ar"/>
              </w:rPr>
              <w:br w:type="textWrapping"/>
            </w:r>
            <w:r>
              <w:rPr>
                <w:rFonts w:eastAsiaTheme="minorEastAsia"/>
                <w:color w:val="auto"/>
                <w:kern w:val="0"/>
                <w:szCs w:val="21"/>
                <w:lang w:bidi="ar"/>
              </w:rPr>
              <w:t>2.当月能耗较去年同期异常增长≥5%，扣3分</w:t>
            </w:r>
          </w:p>
        </w:tc>
        <w:tc>
          <w:tcPr>
            <w:tcW w:w="650" w:type="dxa"/>
            <w:tcBorders>
              <w:top w:val="single" w:color="000000" w:sz="4" w:space="0"/>
              <w:left w:val="single" w:color="000000" w:sz="4" w:space="0"/>
              <w:bottom w:val="single" w:color="000000" w:sz="4" w:space="0"/>
              <w:right w:val="single" w:color="000000" w:sz="4" w:space="0"/>
            </w:tcBorders>
            <w:vAlign w:val="center"/>
          </w:tcPr>
          <w:p w14:paraId="57EB5B80">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7B220F8B">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661C8E15">
        <w:trPr>
          <w:trHeight w:val="23" w:hRule="atLeast"/>
        </w:trPr>
        <w:tc>
          <w:tcPr>
            <w:tcW w:w="994" w:type="dxa"/>
            <w:vMerge w:val="restart"/>
            <w:tcBorders>
              <w:top w:val="single" w:color="000000" w:sz="4" w:space="0"/>
              <w:left w:val="single" w:color="000000" w:sz="4" w:space="0"/>
              <w:bottom w:val="single" w:color="000000" w:sz="4" w:space="0"/>
              <w:right w:val="single" w:color="000000" w:sz="4" w:space="0"/>
            </w:tcBorders>
            <w:vAlign w:val="center"/>
          </w:tcPr>
          <w:p w14:paraId="7F2216B3">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三、安全保障（25%）</w:t>
            </w:r>
          </w:p>
        </w:tc>
        <w:tc>
          <w:tcPr>
            <w:tcW w:w="1090" w:type="dxa"/>
            <w:tcBorders>
              <w:top w:val="single" w:color="000000" w:sz="4" w:space="0"/>
              <w:left w:val="single" w:color="000000" w:sz="4" w:space="0"/>
              <w:bottom w:val="single" w:color="000000" w:sz="4" w:space="0"/>
              <w:right w:val="single" w:color="000000" w:sz="4" w:space="0"/>
            </w:tcBorders>
            <w:vAlign w:val="center"/>
          </w:tcPr>
          <w:p w14:paraId="59CDD2F4">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公共设施安全管理</w:t>
            </w:r>
            <w:r>
              <w:rPr>
                <w:rFonts w:eastAsiaTheme="minorEastAsia"/>
                <w:color w:val="auto"/>
                <w:kern w:val="0"/>
                <w:szCs w:val="21"/>
                <w:lang w:bidi="ar"/>
              </w:rPr>
              <w:br w:type="textWrapping"/>
            </w:r>
            <w:r>
              <w:rPr>
                <w:rFonts w:eastAsiaTheme="minorEastAsia"/>
                <w:color w:val="auto"/>
                <w:kern w:val="0"/>
                <w:szCs w:val="21"/>
                <w:lang w:bidi="ar"/>
              </w:rPr>
              <w:t>（6分）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4822B348">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楼内公共设备设施完好有效，定期检查维护，无安全隐患</w:t>
            </w:r>
          </w:p>
        </w:tc>
        <w:tc>
          <w:tcPr>
            <w:tcW w:w="4280" w:type="dxa"/>
            <w:tcBorders>
              <w:top w:val="single" w:color="000000" w:sz="4" w:space="0"/>
              <w:left w:val="single" w:color="000000" w:sz="4" w:space="0"/>
              <w:bottom w:val="single" w:color="000000" w:sz="4" w:space="0"/>
              <w:right w:val="single" w:color="000000" w:sz="4" w:space="0"/>
            </w:tcBorders>
            <w:vAlign w:val="center"/>
          </w:tcPr>
          <w:p w14:paraId="7644A66C">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1.每发现1处设施（照明、门禁、扶手、地砖等）损坏，未及时修复，扣0.5分，最多扣2分。</w:t>
            </w:r>
            <w:r>
              <w:rPr>
                <w:rFonts w:eastAsiaTheme="minorEastAsia"/>
                <w:color w:val="auto"/>
                <w:kern w:val="0"/>
                <w:szCs w:val="21"/>
                <w:lang w:bidi="ar"/>
              </w:rPr>
              <w:br w:type="textWrapping"/>
            </w:r>
            <w:r>
              <w:rPr>
                <w:rFonts w:eastAsiaTheme="minorEastAsia"/>
                <w:color w:val="auto"/>
                <w:kern w:val="0"/>
                <w:szCs w:val="21"/>
                <w:lang w:bidi="ar"/>
              </w:rPr>
              <w:t>2.按计划完成月度安全检查（含配电箱、电梯、锅炉等），缺1项扣1分，最多扣2分。</w:t>
            </w:r>
            <w:r>
              <w:rPr>
                <w:rFonts w:eastAsiaTheme="minorEastAsia"/>
                <w:color w:val="auto"/>
                <w:kern w:val="0"/>
                <w:szCs w:val="21"/>
                <w:lang w:bidi="ar"/>
              </w:rPr>
              <w:br w:type="textWrapping"/>
            </w:r>
            <w:r>
              <w:rPr>
                <w:rFonts w:eastAsiaTheme="minorEastAsia"/>
                <w:color w:val="auto"/>
                <w:kern w:val="0"/>
                <w:szCs w:val="21"/>
                <w:lang w:bidi="ar"/>
              </w:rPr>
              <w:t>3.检查发现隐患未在限期内整改，每项扣1分，最多扣2分</w:t>
            </w:r>
          </w:p>
        </w:tc>
        <w:tc>
          <w:tcPr>
            <w:tcW w:w="650" w:type="dxa"/>
            <w:tcBorders>
              <w:top w:val="single" w:color="000000" w:sz="4" w:space="0"/>
              <w:left w:val="single" w:color="000000" w:sz="4" w:space="0"/>
              <w:bottom w:val="single" w:color="000000" w:sz="4" w:space="0"/>
              <w:right w:val="single" w:color="000000" w:sz="4" w:space="0"/>
            </w:tcBorders>
            <w:vAlign w:val="center"/>
          </w:tcPr>
          <w:p w14:paraId="42B17233">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2C76D6D6">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2BEAB976">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70839A43">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03C1E5FE">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用电、水、气等安全（9分）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40A0F93F">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电气线路、水路、气路规范，无私拉乱接现象，定期排查用电隐患</w:t>
            </w:r>
          </w:p>
        </w:tc>
        <w:tc>
          <w:tcPr>
            <w:tcW w:w="4280" w:type="dxa"/>
            <w:tcBorders>
              <w:top w:val="single" w:color="000000" w:sz="4" w:space="0"/>
              <w:left w:val="single" w:color="000000" w:sz="4" w:space="0"/>
              <w:bottom w:val="single" w:color="000000" w:sz="4" w:space="0"/>
              <w:right w:val="single" w:color="000000" w:sz="4" w:space="0"/>
            </w:tcBorders>
            <w:vAlign w:val="center"/>
          </w:tcPr>
          <w:p w14:paraId="7A86B3A9">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1.发现1处线路未穿管、接头裸露、未接地等不规范现象扣1分，最多扣3分。</w:t>
            </w:r>
            <w:r>
              <w:rPr>
                <w:rFonts w:eastAsiaTheme="minorEastAsia"/>
                <w:color w:val="auto"/>
                <w:kern w:val="0"/>
                <w:szCs w:val="21"/>
                <w:lang w:bidi="ar"/>
              </w:rPr>
              <w:br w:type="textWrapping"/>
            </w:r>
            <w:r>
              <w:rPr>
                <w:rFonts w:eastAsiaTheme="minorEastAsia"/>
                <w:color w:val="auto"/>
                <w:kern w:val="0"/>
                <w:szCs w:val="21"/>
                <w:lang w:bidi="ar"/>
              </w:rPr>
              <w:t>2.每发现1处临时线未审批、插排串联等扣1分，最多扣2分。</w:t>
            </w:r>
            <w:r>
              <w:rPr>
                <w:rFonts w:eastAsiaTheme="minorEastAsia"/>
                <w:color w:val="auto"/>
                <w:kern w:val="0"/>
                <w:szCs w:val="21"/>
                <w:lang w:bidi="ar"/>
              </w:rPr>
              <w:br w:type="textWrapping"/>
            </w:r>
            <w:r>
              <w:rPr>
                <w:rFonts w:eastAsiaTheme="minorEastAsia"/>
                <w:color w:val="auto"/>
                <w:kern w:val="0"/>
                <w:szCs w:val="21"/>
                <w:lang w:bidi="ar"/>
              </w:rPr>
              <w:t>3.未按计划进行月度用电、用水、用气隐患排查，每缺1次扣1分，最多扣2分。</w:t>
            </w:r>
            <w:r>
              <w:rPr>
                <w:rFonts w:eastAsiaTheme="minorEastAsia"/>
                <w:color w:val="auto"/>
                <w:kern w:val="0"/>
                <w:szCs w:val="21"/>
                <w:lang w:bidi="ar"/>
              </w:rPr>
              <w:br w:type="textWrapping"/>
            </w:r>
            <w:r>
              <w:rPr>
                <w:rFonts w:eastAsiaTheme="minorEastAsia"/>
                <w:color w:val="auto"/>
                <w:kern w:val="0"/>
                <w:szCs w:val="21"/>
                <w:lang w:bidi="ar"/>
              </w:rPr>
              <w:t>4.排查发现隐患未记录或未整改，每项1分，最多扣2分</w:t>
            </w:r>
          </w:p>
        </w:tc>
        <w:tc>
          <w:tcPr>
            <w:tcW w:w="650" w:type="dxa"/>
            <w:tcBorders>
              <w:top w:val="single" w:color="000000" w:sz="4" w:space="0"/>
              <w:left w:val="single" w:color="000000" w:sz="4" w:space="0"/>
              <w:bottom w:val="single" w:color="000000" w:sz="4" w:space="0"/>
              <w:right w:val="single" w:color="000000" w:sz="4" w:space="0"/>
            </w:tcBorders>
            <w:vAlign w:val="center"/>
          </w:tcPr>
          <w:p w14:paraId="1CA74911">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58AACF97">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436767EF">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66D9A308">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46504877">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应急处置</w:t>
            </w:r>
            <w:r>
              <w:rPr>
                <w:rFonts w:eastAsiaTheme="minorEastAsia"/>
                <w:color w:val="auto"/>
                <w:kern w:val="0"/>
                <w:szCs w:val="21"/>
                <w:lang w:bidi="ar"/>
              </w:rPr>
              <w:br w:type="textWrapping"/>
            </w:r>
            <w:r>
              <w:rPr>
                <w:rFonts w:eastAsiaTheme="minorEastAsia"/>
                <w:color w:val="auto"/>
                <w:kern w:val="0"/>
                <w:szCs w:val="21"/>
                <w:lang w:bidi="ar"/>
              </w:rPr>
              <w:t>（10分）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10F8DFEA">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制定突发设备故障、停电、漏水等应急预案，处置及时有效</w:t>
            </w:r>
          </w:p>
        </w:tc>
        <w:tc>
          <w:tcPr>
            <w:tcW w:w="4280" w:type="dxa"/>
            <w:tcBorders>
              <w:top w:val="single" w:color="000000" w:sz="4" w:space="0"/>
              <w:left w:val="single" w:color="000000" w:sz="4" w:space="0"/>
              <w:bottom w:val="single" w:color="000000" w:sz="4" w:space="0"/>
              <w:right w:val="single" w:color="000000" w:sz="4" w:space="0"/>
            </w:tcBorders>
            <w:vAlign w:val="center"/>
          </w:tcPr>
          <w:p w14:paraId="36B2CFF4">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1.需具备停电、漏水、供氧中断、电梯困人等应急预案，每缺1项扣1分，最多扣4分。</w:t>
            </w:r>
            <w:r>
              <w:rPr>
                <w:rFonts w:eastAsiaTheme="minorEastAsia"/>
                <w:color w:val="auto"/>
                <w:kern w:val="0"/>
                <w:szCs w:val="21"/>
                <w:lang w:bidi="ar"/>
              </w:rPr>
              <w:br w:type="textWrapping"/>
            </w:r>
            <w:r>
              <w:rPr>
                <w:rFonts w:eastAsiaTheme="minorEastAsia"/>
                <w:color w:val="auto"/>
                <w:kern w:val="0"/>
                <w:szCs w:val="21"/>
                <w:lang w:bidi="ar"/>
              </w:rPr>
              <w:t>2.当月发生应急事件，到场时间大于等于15分钟，超时每次扣1分，最多扣2分；每起处置不当（扩大影响或延误）扣2分；未按预案流程操作每次扣1分。</w:t>
            </w:r>
            <w:r>
              <w:rPr>
                <w:rFonts w:eastAsiaTheme="minorEastAsia"/>
                <w:color w:val="auto"/>
                <w:kern w:val="0"/>
                <w:szCs w:val="21"/>
                <w:lang w:bidi="ar"/>
              </w:rPr>
              <w:br w:type="textWrapping"/>
            </w:r>
            <w:r>
              <w:rPr>
                <w:rFonts w:eastAsiaTheme="minorEastAsia"/>
                <w:color w:val="auto"/>
                <w:kern w:val="0"/>
                <w:szCs w:val="21"/>
                <w:lang w:bidi="ar"/>
              </w:rPr>
              <w:t>3.未按计划开展应急演练，当月扣1分。</w:t>
            </w:r>
          </w:p>
        </w:tc>
        <w:tc>
          <w:tcPr>
            <w:tcW w:w="650" w:type="dxa"/>
            <w:tcBorders>
              <w:top w:val="single" w:color="000000" w:sz="4" w:space="0"/>
              <w:left w:val="single" w:color="000000" w:sz="4" w:space="0"/>
              <w:bottom w:val="single" w:color="000000" w:sz="4" w:space="0"/>
              <w:right w:val="single" w:color="000000" w:sz="4" w:space="0"/>
            </w:tcBorders>
            <w:vAlign w:val="center"/>
          </w:tcPr>
          <w:p w14:paraId="04E0831C">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341276E1">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693CF1C2">
        <w:tblPrEx>
          <w:tblCellMar>
            <w:top w:w="0" w:type="dxa"/>
            <w:left w:w="108" w:type="dxa"/>
            <w:bottom w:w="0" w:type="dxa"/>
            <w:right w:w="108" w:type="dxa"/>
          </w:tblCellMar>
        </w:tblPrEx>
        <w:trPr>
          <w:trHeight w:val="23" w:hRule="atLeast"/>
        </w:trPr>
        <w:tc>
          <w:tcPr>
            <w:tcW w:w="994" w:type="dxa"/>
            <w:vMerge w:val="restart"/>
            <w:tcBorders>
              <w:top w:val="single" w:color="000000" w:sz="4" w:space="0"/>
              <w:left w:val="single" w:color="000000" w:sz="4" w:space="0"/>
              <w:bottom w:val="single" w:color="000000" w:sz="4" w:space="0"/>
              <w:right w:val="single" w:color="000000" w:sz="4" w:space="0"/>
            </w:tcBorders>
            <w:vAlign w:val="center"/>
          </w:tcPr>
          <w:p w14:paraId="710B1FA0">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四、环境与合规（10%）</w:t>
            </w:r>
          </w:p>
        </w:tc>
        <w:tc>
          <w:tcPr>
            <w:tcW w:w="1090" w:type="dxa"/>
            <w:tcBorders>
              <w:top w:val="single" w:color="000000" w:sz="4" w:space="0"/>
              <w:left w:val="single" w:color="000000" w:sz="4" w:space="0"/>
              <w:bottom w:val="single" w:color="000000" w:sz="4" w:space="0"/>
              <w:right w:val="single" w:color="000000" w:sz="4" w:space="0"/>
            </w:tcBorders>
            <w:vAlign w:val="center"/>
          </w:tcPr>
          <w:p w14:paraId="52C93B3A">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工程区域环境</w:t>
            </w:r>
            <w:r>
              <w:rPr>
                <w:rFonts w:eastAsiaTheme="minorEastAsia"/>
                <w:color w:val="auto"/>
                <w:kern w:val="0"/>
                <w:szCs w:val="21"/>
                <w:lang w:bidi="ar"/>
              </w:rPr>
              <w:br w:type="textWrapping"/>
            </w:r>
            <w:r>
              <w:rPr>
                <w:rFonts w:eastAsiaTheme="minorEastAsia"/>
                <w:color w:val="auto"/>
                <w:kern w:val="0"/>
                <w:szCs w:val="21"/>
                <w:lang w:bidi="ar"/>
              </w:rPr>
              <w:t>（5分）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0CF214E3">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设备机房、配电室等区域整洁有序，无杂物堆积，标识清晰</w:t>
            </w:r>
          </w:p>
        </w:tc>
        <w:tc>
          <w:tcPr>
            <w:tcW w:w="4280" w:type="dxa"/>
            <w:tcBorders>
              <w:top w:val="single" w:color="000000" w:sz="4" w:space="0"/>
              <w:left w:val="single" w:color="000000" w:sz="4" w:space="0"/>
              <w:bottom w:val="single" w:color="000000" w:sz="4" w:space="0"/>
              <w:right w:val="single" w:color="000000" w:sz="4" w:space="0"/>
            </w:tcBorders>
            <w:vAlign w:val="center"/>
          </w:tcPr>
          <w:p w14:paraId="3E1802C2">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1.检查机房、配电室、水泵房等重点机房，每处杂乱、有积水、有杂物扣0.5分，最多扣3分。</w:t>
            </w:r>
            <w:r>
              <w:rPr>
                <w:rFonts w:eastAsiaTheme="minorEastAsia"/>
                <w:color w:val="auto"/>
                <w:kern w:val="0"/>
                <w:szCs w:val="21"/>
                <w:lang w:bidi="ar"/>
              </w:rPr>
              <w:br w:type="textWrapping"/>
            </w:r>
            <w:r>
              <w:rPr>
                <w:rFonts w:eastAsiaTheme="minorEastAsia"/>
                <w:color w:val="auto"/>
                <w:kern w:val="0"/>
                <w:szCs w:val="21"/>
                <w:lang w:bidi="ar"/>
              </w:rPr>
              <w:t>2.标识（设备名称、开关对应、警示牌）缺失或模糊，每处扣0.5分，最多扣2分。</w:t>
            </w:r>
          </w:p>
        </w:tc>
        <w:tc>
          <w:tcPr>
            <w:tcW w:w="650" w:type="dxa"/>
            <w:tcBorders>
              <w:top w:val="single" w:color="000000" w:sz="4" w:space="0"/>
              <w:left w:val="single" w:color="000000" w:sz="4" w:space="0"/>
              <w:bottom w:val="single" w:color="000000" w:sz="4" w:space="0"/>
              <w:right w:val="single" w:color="000000" w:sz="4" w:space="0"/>
            </w:tcBorders>
            <w:vAlign w:val="center"/>
          </w:tcPr>
          <w:p w14:paraId="3A2EB274">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2C80EE26">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65F8073E">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62138407">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21BCF79B">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合规性要求</w:t>
            </w:r>
            <w:r>
              <w:rPr>
                <w:rFonts w:eastAsiaTheme="minorEastAsia"/>
                <w:color w:val="auto"/>
                <w:kern w:val="0"/>
                <w:szCs w:val="21"/>
                <w:lang w:bidi="ar"/>
              </w:rPr>
              <w:br w:type="textWrapping"/>
            </w:r>
            <w:r>
              <w:rPr>
                <w:rFonts w:eastAsiaTheme="minorEastAsia"/>
                <w:color w:val="auto"/>
                <w:kern w:val="0"/>
                <w:szCs w:val="21"/>
                <w:lang w:bidi="ar"/>
              </w:rPr>
              <w:t>（5分）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6973C0D6">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符合国家及地方相关工程、安全、环保等法规标准，无违规行为</w:t>
            </w:r>
          </w:p>
        </w:tc>
        <w:tc>
          <w:tcPr>
            <w:tcW w:w="4280" w:type="dxa"/>
            <w:tcBorders>
              <w:top w:val="single" w:color="000000" w:sz="4" w:space="0"/>
              <w:left w:val="single" w:color="000000" w:sz="4" w:space="0"/>
              <w:bottom w:val="single" w:color="000000" w:sz="4" w:space="0"/>
              <w:right w:val="single" w:color="000000" w:sz="4" w:space="0"/>
            </w:tcBorders>
            <w:vAlign w:val="center"/>
          </w:tcPr>
          <w:p w14:paraId="18B9AF2E">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1.当月收到处室检查整改通知单，每1项扣2分。</w:t>
            </w:r>
            <w:r>
              <w:rPr>
                <w:rFonts w:eastAsiaTheme="minorEastAsia"/>
                <w:color w:val="auto"/>
                <w:kern w:val="0"/>
                <w:szCs w:val="21"/>
                <w:lang w:bidi="ar"/>
              </w:rPr>
              <w:br w:type="textWrapping"/>
            </w:r>
            <w:r>
              <w:rPr>
                <w:rFonts w:eastAsiaTheme="minorEastAsia"/>
                <w:color w:val="auto"/>
                <w:kern w:val="0"/>
                <w:szCs w:val="21"/>
                <w:lang w:bidi="ar"/>
              </w:rPr>
              <w:t>2.被政府监管部门（消防、质监、环保）处罚或警告，扣3分</w:t>
            </w:r>
          </w:p>
        </w:tc>
        <w:tc>
          <w:tcPr>
            <w:tcW w:w="650" w:type="dxa"/>
            <w:tcBorders>
              <w:top w:val="single" w:color="000000" w:sz="4" w:space="0"/>
              <w:left w:val="single" w:color="000000" w:sz="4" w:space="0"/>
              <w:bottom w:val="single" w:color="000000" w:sz="4" w:space="0"/>
              <w:right w:val="single" w:color="000000" w:sz="4" w:space="0"/>
            </w:tcBorders>
            <w:vAlign w:val="center"/>
          </w:tcPr>
          <w:p w14:paraId="26823E98">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6DA8209D">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090378FC">
        <w:tblPrEx>
          <w:tblCellMar>
            <w:top w:w="0" w:type="dxa"/>
            <w:left w:w="108" w:type="dxa"/>
            <w:bottom w:w="0" w:type="dxa"/>
            <w:right w:w="108" w:type="dxa"/>
          </w:tblCellMar>
        </w:tblPrEx>
        <w:trPr>
          <w:trHeight w:val="23" w:hRule="atLeast"/>
        </w:trPr>
        <w:tc>
          <w:tcPr>
            <w:tcW w:w="994" w:type="dxa"/>
            <w:vMerge w:val="restart"/>
            <w:tcBorders>
              <w:top w:val="single" w:color="000000" w:sz="4" w:space="0"/>
              <w:left w:val="single" w:color="000000" w:sz="4" w:space="0"/>
              <w:bottom w:val="single" w:color="000000" w:sz="4" w:space="0"/>
              <w:right w:val="single" w:color="000000" w:sz="4" w:space="0"/>
            </w:tcBorders>
            <w:vAlign w:val="center"/>
          </w:tcPr>
          <w:p w14:paraId="773AB80D">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五、加分项（最高 5 分）</w:t>
            </w:r>
          </w:p>
        </w:tc>
        <w:tc>
          <w:tcPr>
            <w:tcW w:w="1090" w:type="dxa"/>
            <w:tcBorders>
              <w:top w:val="single" w:color="000000" w:sz="4" w:space="0"/>
              <w:left w:val="single" w:color="000000" w:sz="4" w:space="0"/>
              <w:bottom w:val="single" w:color="000000" w:sz="4" w:space="0"/>
              <w:right w:val="single" w:color="000000" w:sz="4" w:space="0"/>
            </w:tcBorders>
            <w:vAlign w:val="center"/>
          </w:tcPr>
          <w:p w14:paraId="22B3C575">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创新优化</w:t>
            </w:r>
            <w:r>
              <w:rPr>
                <w:rFonts w:eastAsiaTheme="minorEastAsia"/>
                <w:color w:val="auto"/>
                <w:kern w:val="0"/>
                <w:szCs w:val="21"/>
                <w:lang w:bidi="ar"/>
              </w:rPr>
              <w:br w:type="textWrapping"/>
            </w:r>
            <w:r>
              <w:rPr>
                <w:rFonts w:eastAsiaTheme="minorEastAsia"/>
                <w:color w:val="auto"/>
                <w:kern w:val="0"/>
                <w:szCs w:val="21"/>
                <w:lang w:bidi="ar"/>
              </w:rPr>
              <w:t>（3分）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65AAE15C">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提出合理化建议并被采纳，有效提升工作效率或降低成本</w:t>
            </w:r>
          </w:p>
        </w:tc>
        <w:tc>
          <w:tcPr>
            <w:tcW w:w="4280" w:type="dxa"/>
            <w:tcBorders>
              <w:top w:val="single" w:color="000000" w:sz="4" w:space="0"/>
              <w:left w:val="single" w:color="000000" w:sz="4" w:space="0"/>
              <w:bottom w:val="single" w:color="000000" w:sz="4" w:space="0"/>
              <w:right w:val="single" w:color="000000" w:sz="4" w:space="0"/>
            </w:tcBorders>
            <w:vAlign w:val="center"/>
          </w:tcPr>
          <w:p w14:paraId="679467AD">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每条建议被采纳得1分，根据实际效果酌情加分，最多得3分（需提供数据支撑）</w:t>
            </w:r>
          </w:p>
        </w:tc>
        <w:tc>
          <w:tcPr>
            <w:tcW w:w="650" w:type="dxa"/>
            <w:tcBorders>
              <w:top w:val="single" w:color="000000" w:sz="4" w:space="0"/>
              <w:left w:val="single" w:color="000000" w:sz="4" w:space="0"/>
              <w:bottom w:val="single" w:color="000000" w:sz="4" w:space="0"/>
              <w:right w:val="single" w:color="000000" w:sz="4" w:space="0"/>
            </w:tcBorders>
            <w:vAlign w:val="center"/>
          </w:tcPr>
          <w:p w14:paraId="435A4F35">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7A9D8BA7">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60968B14">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65452400">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288306A4">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突出贡献</w:t>
            </w:r>
            <w:r>
              <w:rPr>
                <w:rFonts w:eastAsiaTheme="minorEastAsia"/>
                <w:color w:val="auto"/>
                <w:kern w:val="0"/>
                <w:szCs w:val="21"/>
                <w:lang w:bidi="ar"/>
              </w:rPr>
              <w:br w:type="textWrapping"/>
            </w:r>
            <w:r>
              <w:rPr>
                <w:rFonts w:eastAsiaTheme="minorEastAsia"/>
                <w:color w:val="auto"/>
                <w:kern w:val="0"/>
                <w:szCs w:val="21"/>
                <w:lang w:bidi="ar"/>
              </w:rPr>
              <w:t>（2分）</w:t>
            </w:r>
          </w:p>
        </w:tc>
        <w:tc>
          <w:tcPr>
            <w:tcW w:w="1640" w:type="dxa"/>
            <w:tcBorders>
              <w:top w:val="single" w:color="000000" w:sz="4" w:space="0"/>
              <w:left w:val="single" w:color="000000" w:sz="4" w:space="0"/>
              <w:bottom w:val="single" w:color="000000" w:sz="4" w:space="0"/>
              <w:right w:val="single" w:color="000000" w:sz="4" w:space="0"/>
            </w:tcBorders>
            <w:vAlign w:val="center"/>
          </w:tcPr>
          <w:p w14:paraId="45A297F8">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在重大医疗保障、应急事件处置中表现突出，获得医院表彰</w:t>
            </w:r>
          </w:p>
        </w:tc>
        <w:tc>
          <w:tcPr>
            <w:tcW w:w="4280" w:type="dxa"/>
            <w:tcBorders>
              <w:top w:val="single" w:color="000000" w:sz="4" w:space="0"/>
              <w:left w:val="single" w:color="000000" w:sz="4" w:space="0"/>
              <w:bottom w:val="single" w:color="000000" w:sz="4" w:space="0"/>
              <w:right w:val="single" w:color="000000" w:sz="4" w:space="0"/>
            </w:tcBorders>
            <w:vAlign w:val="center"/>
          </w:tcPr>
          <w:p w14:paraId="09ACEF7F">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1.获科室表彰，每次得1分</w:t>
            </w:r>
            <w:r>
              <w:rPr>
                <w:rFonts w:eastAsiaTheme="minorEastAsia"/>
                <w:color w:val="auto"/>
                <w:kern w:val="0"/>
                <w:szCs w:val="21"/>
                <w:lang w:bidi="ar"/>
              </w:rPr>
              <w:br w:type="textWrapping"/>
            </w:r>
            <w:r>
              <w:rPr>
                <w:rFonts w:eastAsiaTheme="minorEastAsia"/>
                <w:color w:val="auto"/>
                <w:kern w:val="0"/>
                <w:szCs w:val="21"/>
                <w:lang w:bidi="ar"/>
              </w:rPr>
              <w:t>2.获医院级表彰，每次得 2 分</w:t>
            </w:r>
            <w:r>
              <w:rPr>
                <w:rFonts w:eastAsiaTheme="minorEastAsia"/>
                <w:color w:val="auto"/>
                <w:kern w:val="0"/>
                <w:szCs w:val="21"/>
                <w:lang w:bidi="ar"/>
              </w:rPr>
              <w:br w:type="textWrapping"/>
            </w:r>
            <w:r>
              <w:rPr>
                <w:rFonts w:eastAsiaTheme="minorEastAsia"/>
                <w:color w:val="auto"/>
                <w:kern w:val="0"/>
                <w:szCs w:val="21"/>
                <w:lang w:bidi="ar"/>
              </w:rPr>
              <w:t>3.同一事件不重复加分，累计不超过2分</w:t>
            </w:r>
          </w:p>
        </w:tc>
        <w:tc>
          <w:tcPr>
            <w:tcW w:w="650" w:type="dxa"/>
            <w:tcBorders>
              <w:top w:val="single" w:color="000000" w:sz="4" w:space="0"/>
              <w:left w:val="single" w:color="000000" w:sz="4" w:space="0"/>
              <w:bottom w:val="single" w:color="000000" w:sz="4" w:space="0"/>
              <w:right w:val="single" w:color="000000" w:sz="4" w:space="0"/>
            </w:tcBorders>
            <w:vAlign w:val="center"/>
          </w:tcPr>
          <w:p w14:paraId="4A6C8BEA">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4140735D">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00FC0EA2">
        <w:tblPrEx>
          <w:tblCellMar>
            <w:top w:w="0" w:type="dxa"/>
            <w:left w:w="108" w:type="dxa"/>
            <w:bottom w:w="0" w:type="dxa"/>
            <w:right w:w="108" w:type="dxa"/>
          </w:tblCellMar>
        </w:tblPrEx>
        <w:trPr>
          <w:trHeight w:val="23" w:hRule="atLeast"/>
        </w:trPr>
        <w:tc>
          <w:tcPr>
            <w:tcW w:w="994" w:type="dxa"/>
            <w:vMerge w:val="restart"/>
            <w:tcBorders>
              <w:top w:val="single" w:color="000000" w:sz="4" w:space="0"/>
              <w:left w:val="single" w:color="000000" w:sz="4" w:space="0"/>
              <w:bottom w:val="single" w:color="000000" w:sz="4" w:space="0"/>
              <w:right w:val="single" w:color="000000" w:sz="4" w:space="0"/>
            </w:tcBorders>
            <w:vAlign w:val="center"/>
          </w:tcPr>
          <w:p w14:paraId="0A62655F">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六、减分项（无上限）</w:t>
            </w:r>
          </w:p>
        </w:tc>
        <w:tc>
          <w:tcPr>
            <w:tcW w:w="1090" w:type="dxa"/>
            <w:tcBorders>
              <w:top w:val="single" w:color="000000" w:sz="4" w:space="0"/>
              <w:left w:val="single" w:color="000000" w:sz="4" w:space="0"/>
              <w:bottom w:val="single" w:color="000000" w:sz="4" w:space="0"/>
              <w:right w:val="single" w:color="000000" w:sz="4" w:space="0"/>
            </w:tcBorders>
            <w:vAlign w:val="center"/>
          </w:tcPr>
          <w:p w14:paraId="7BD79E96">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重大事故</w:t>
            </w:r>
          </w:p>
        </w:tc>
        <w:tc>
          <w:tcPr>
            <w:tcW w:w="1640" w:type="dxa"/>
            <w:tcBorders>
              <w:top w:val="single" w:color="000000" w:sz="4" w:space="0"/>
              <w:left w:val="single" w:color="000000" w:sz="4" w:space="0"/>
              <w:bottom w:val="single" w:color="000000" w:sz="4" w:space="0"/>
              <w:right w:val="single" w:color="000000" w:sz="4" w:space="0"/>
            </w:tcBorders>
            <w:vAlign w:val="center"/>
          </w:tcPr>
          <w:p w14:paraId="19EBDFB9">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发生安全事故、重大设备故障导致医疗工作停滞或造成损失</w:t>
            </w:r>
          </w:p>
        </w:tc>
        <w:tc>
          <w:tcPr>
            <w:tcW w:w="4280" w:type="dxa"/>
            <w:tcBorders>
              <w:top w:val="single" w:color="000000" w:sz="4" w:space="0"/>
              <w:left w:val="single" w:color="000000" w:sz="4" w:space="0"/>
              <w:bottom w:val="single" w:color="000000" w:sz="4" w:space="0"/>
              <w:right w:val="single" w:color="000000" w:sz="4" w:space="0"/>
            </w:tcBorders>
            <w:vAlign w:val="center"/>
          </w:tcPr>
          <w:p w14:paraId="08F2802C">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1.一般事故（影响1个科室≤2小时），每次扣5分</w:t>
            </w:r>
            <w:r>
              <w:rPr>
                <w:rFonts w:eastAsiaTheme="minorEastAsia"/>
                <w:color w:val="auto"/>
                <w:kern w:val="0"/>
                <w:szCs w:val="21"/>
                <w:lang w:bidi="ar"/>
              </w:rPr>
              <w:br w:type="textWrapping"/>
            </w:r>
            <w:r>
              <w:rPr>
                <w:rFonts w:eastAsiaTheme="minorEastAsia"/>
                <w:color w:val="auto"/>
                <w:kern w:val="0"/>
                <w:szCs w:val="21"/>
                <w:lang w:bidi="ar"/>
              </w:rPr>
              <w:t>2.较大事故（影响多个科室或＞2小时），每次扣10分</w:t>
            </w:r>
            <w:r>
              <w:rPr>
                <w:rFonts w:eastAsiaTheme="minorEastAsia"/>
                <w:color w:val="auto"/>
                <w:kern w:val="0"/>
                <w:szCs w:val="21"/>
                <w:lang w:bidi="ar"/>
              </w:rPr>
              <w:br w:type="textWrapping"/>
            </w:r>
            <w:r>
              <w:rPr>
                <w:rFonts w:eastAsiaTheme="minorEastAsia"/>
                <w:color w:val="auto"/>
                <w:kern w:val="0"/>
                <w:szCs w:val="21"/>
                <w:lang w:bidi="ar"/>
              </w:rPr>
              <w:t>3.重大事故（影响全院或经济损失＞5万元），直接判定当月考核不合格（总分≤50），并启动问责</w:t>
            </w:r>
          </w:p>
        </w:tc>
        <w:tc>
          <w:tcPr>
            <w:tcW w:w="650" w:type="dxa"/>
            <w:tcBorders>
              <w:top w:val="single" w:color="000000" w:sz="4" w:space="0"/>
              <w:left w:val="single" w:color="000000" w:sz="4" w:space="0"/>
              <w:bottom w:val="single" w:color="000000" w:sz="4" w:space="0"/>
              <w:right w:val="single" w:color="000000" w:sz="4" w:space="0"/>
            </w:tcBorders>
            <w:vAlign w:val="center"/>
          </w:tcPr>
          <w:p w14:paraId="5A2BC1CB">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tcPr>
          <w:p w14:paraId="5BB67038">
            <w:pPr>
              <w:keepNext w:val="0"/>
              <w:keepLines w:val="0"/>
              <w:pageBreakBefore w:val="0"/>
              <w:kinsoku/>
              <w:wordWrap/>
              <w:overflowPunct/>
              <w:topLinePunct w:val="0"/>
              <w:bidi w:val="0"/>
              <w:adjustRightInd/>
              <w:snapToGrid/>
              <w:spacing w:line="0" w:lineRule="atLeast"/>
              <w:jc w:val="left"/>
              <w:rPr>
                <w:rFonts w:eastAsiaTheme="minorEastAsia"/>
                <w:color w:val="auto"/>
                <w:szCs w:val="21"/>
              </w:rPr>
            </w:pPr>
          </w:p>
        </w:tc>
      </w:tr>
      <w:tr w14:paraId="373F6B7F">
        <w:tblPrEx>
          <w:tblCellMar>
            <w:top w:w="0" w:type="dxa"/>
            <w:left w:w="108" w:type="dxa"/>
            <w:bottom w:w="0" w:type="dxa"/>
            <w:right w:w="108" w:type="dxa"/>
          </w:tblCellMar>
        </w:tblPrEx>
        <w:trPr>
          <w:trHeight w:val="23" w:hRule="atLeast"/>
        </w:trPr>
        <w:tc>
          <w:tcPr>
            <w:tcW w:w="994" w:type="dxa"/>
            <w:vMerge w:val="continue"/>
            <w:tcBorders>
              <w:top w:val="single" w:color="000000" w:sz="4" w:space="0"/>
              <w:left w:val="single" w:color="000000" w:sz="4" w:space="0"/>
              <w:bottom w:val="single" w:color="000000" w:sz="4" w:space="0"/>
              <w:right w:val="single" w:color="000000" w:sz="4" w:space="0"/>
            </w:tcBorders>
            <w:vAlign w:val="center"/>
          </w:tcPr>
          <w:p w14:paraId="60C9FABF">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1090" w:type="dxa"/>
            <w:tcBorders>
              <w:top w:val="single" w:color="000000" w:sz="4" w:space="0"/>
              <w:left w:val="single" w:color="000000" w:sz="4" w:space="0"/>
              <w:bottom w:val="single" w:color="000000" w:sz="4" w:space="0"/>
              <w:right w:val="single" w:color="000000" w:sz="4" w:space="0"/>
            </w:tcBorders>
            <w:vAlign w:val="center"/>
          </w:tcPr>
          <w:p w14:paraId="3FA55D6F">
            <w:pPr>
              <w:keepNext w:val="0"/>
              <w:keepLines w:val="0"/>
              <w:pageBreakBefore w:val="0"/>
              <w:widowControl/>
              <w:kinsoku/>
              <w:wordWrap/>
              <w:overflowPunct/>
              <w:topLinePunct w:val="0"/>
              <w:bidi w:val="0"/>
              <w:adjustRightInd/>
              <w:snapToGrid/>
              <w:spacing w:line="0" w:lineRule="atLeast"/>
              <w:jc w:val="center"/>
              <w:textAlignment w:val="center"/>
              <w:rPr>
                <w:rFonts w:eastAsiaTheme="minorEastAsia"/>
                <w:color w:val="auto"/>
                <w:szCs w:val="21"/>
              </w:rPr>
            </w:pPr>
            <w:r>
              <w:rPr>
                <w:rFonts w:eastAsiaTheme="minorEastAsia"/>
                <w:color w:val="auto"/>
                <w:kern w:val="0"/>
                <w:szCs w:val="21"/>
                <w:lang w:bidi="ar"/>
              </w:rPr>
              <w:t>投诉举报</w:t>
            </w:r>
          </w:p>
        </w:tc>
        <w:tc>
          <w:tcPr>
            <w:tcW w:w="1640" w:type="dxa"/>
            <w:tcBorders>
              <w:top w:val="single" w:color="000000" w:sz="4" w:space="0"/>
              <w:left w:val="single" w:color="000000" w:sz="4" w:space="0"/>
              <w:bottom w:val="single" w:color="000000" w:sz="4" w:space="0"/>
              <w:right w:val="single" w:color="000000" w:sz="4" w:space="0"/>
            </w:tcBorders>
            <w:vAlign w:val="center"/>
          </w:tcPr>
          <w:p w14:paraId="45FE4DC8">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因工作失误导致医院或患者重大投诉，经查证属实</w:t>
            </w:r>
          </w:p>
        </w:tc>
        <w:tc>
          <w:tcPr>
            <w:tcW w:w="4280" w:type="dxa"/>
            <w:tcBorders>
              <w:top w:val="single" w:color="000000" w:sz="4" w:space="0"/>
              <w:left w:val="single" w:color="000000" w:sz="4" w:space="0"/>
              <w:bottom w:val="single" w:color="000000" w:sz="4" w:space="0"/>
              <w:right w:val="single" w:color="000000" w:sz="4" w:space="0"/>
            </w:tcBorders>
            <w:vAlign w:val="center"/>
          </w:tcPr>
          <w:p w14:paraId="47FABF0F">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szCs w:val="21"/>
              </w:rPr>
            </w:pPr>
            <w:r>
              <w:rPr>
                <w:rFonts w:eastAsiaTheme="minorEastAsia"/>
                <w:color w:val="auto"/>
                <w:kern w:val="0"/>
                <w:szCs w:val="21"/>
                <w:lang w:bidi="ar"/>
              </w:rPr>
              <w:t>1.医院内部科室重大投诉（经核实的），每次扣3分</w:t>
            </w:r>
            <w:r>
              <w:rPr>
                <w:rFonts w:eastAsiaTheme="minorEastAsia"/>
                <w:color w:val="auto"/>
                <w:kern w:val="0"/>
                <w:szCs w:val="21"/>
                <w:lang w:bidi="ar"/>
              </w:rPr>
              <w:br w:type="textWrapping"/>
            </w:r>
            <w:r>
              <w:rPr>
                <w:rFonts w:eastAsiaTheme="minorEastAsia"/>
                <w:color w:val="auto"/>
                <w:kern w:val="0"/>
                <w:szCs w:val="21"/>
                <w:lang w:bidi="ar"/>
              </w:rPr>
              <w:t>2.患者通过投诉热线有效投诉，每次扣5分</w:t>
            </w:r>
            <w:r>
              <w:rPr>
                <w:rFonts w:eastAsiaTheme="minorEastAsia"/>
                <w:color w:val="auto"/>
                <w:kern w:val="0"/>
                <w:szCs w:val="21"/>
                <w:lang w:bidi="ar"/>
              </w:rPr>
              <w:br w:type="textWrapping"/>
            </w:r>
            <w:r>
              <w:rPr>
                <w:rFonts w:eastAsiaTheme="minorEastAsia"/>
                <w:color w:val="auto"/>
                <w:kern w:val="0"/>
                <w:szCs w:val="21"/>
                <w:lang w:bidi="ar"/>
              </w:rPr>
              <w:t>3.造成舆情影响的，当月考核不合格。</w:t>
            </w:r>
          </w:p>
        </w:tc>
        <w:tc>
          <w:tcPr>
            <w:tcW w:w="650" w:type="dxa"/>
            <w:tcBorders>
              <w:top w:val="single" w:color="000000" w:sz="4" w:space="0"/>
              <w:left w:val="single" w:color="000000" w:sz="4" w:space="0"/>
              <w:bottom w:val="single" w:color="000000" w:sz="4" w:space="0"/>
              <w:right w:val="single" w:color="000000" w:sz="4" w:space="0"/>
            </w:tcBorders>
            <w:vAlign w:val="center"/>
          </w:tcPr>
          <w:p w14:paraId="79806E46">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vAlign w:val="center"/>
          </w:tcPr>
          <w:p w14:paraId="4F136CBD">
            <w:pPr>
              <w:keepNext w:val="0"/>
              <w:keepLines w:val="0"/>
              <w:pageBreakBefore w:val="0"/>
              <w:kinsoku/>
              <w:wordWrap/>
              <w:overflowPunct/>
              <w:topLinePunct w:val="0"/>
              <w:bidi w:val="0"/>
              <w:adjustRightInd/>
              <w:snapToGrid/>
              <w:spacing w:line="0" w:lineRule="atLeast"/>
              <w:rPr>
                <w:rFonts w:eastAsiaTheme="minorEastAsia"/>
                <w:color w:val="auto"/>
                <w:szCs w:val="21"/>
              </w:rPr>
            </w:pPr>
          </w:p>
        </w:tc>
      </w:tr>
      <w:tr w14:paraId="6DD644E7">
        <w:tblPrEx>
          <w:tblCellMar>
            <w:top w:w="0" w:type="dxa"/>
            <w:left w:w="108" w:type="dxa"/>
            <w:bottom w:w="0" w:type="dxa"/>
            <w:right w:w="108" w:type="dxa"/>
          </w:tblCellMar>
        </w:tblPrEx>
        <w:trPr>
          <w:trHeight w:val="23" w:hRule="atLeast"/>
        </w:trPr>
        <w:tc>
          <w:tcPr>
            <w:tcW w:w="994" w:type="dxa"/>
            <w:tcBorders>
              <w:top w:val="single" w:color="000000" w:sz="4" w:space="0"/>
              <w:left w:val="single" w:color="000000" w:sz="4" w:space="0"/>
              <w:bottom w:val="single" w:color="000000" w:sz="4" w:space="0"/>
              <w:right w:val="nil"/>
            </w:tcBorders>
            <w:vAlign w:val="center"/>
          </w:tcPr>
          <w:p w14:paraId="170BC300">
            <w:pPr>
              <w:keepNext w:val="0"/>
              <w:keepLines w:val="0"/>
              <w:pageBreakBefore w:val="0"/>
              <w:widowControl/>
              <w:kinsoku/>
              <w:wordWrap/>
              <w:overflowPunct/>
              <w:topLinePunct w:val="0"/>
              <w:bidi w:val="0"/>
              <w:adjustRightInd/>
              <w:snapToGrid/>
              <w:spacing w:line="0" w:lineRule="atLeast"/>
              <w:jc w:val="right"/>
              <w:textAlignment w:val="center"/>
              <w:rPr>
                <w:rFonts w:eastAsiaTheme="minorEastAsia"/>
                <w:color w:val="auto"/>
                <w:szCs w:val="21"/>
              </w:rPr>
            </w:pPr>
            <w:r>
              <w:rPr>
                <w:rFonts w:eastAsiaTheme="minorEastAsia"/>
                <w:color w:val="auto"/>
                <w:kern w:val="0"/>
                <w:szCs w:val="21"/>
                <w:lang w:bidi="ar"/>
              </w:rPr>
              <w:t>总得分：</w:t>
            </w:r>
          </w:p>
        </w:tc>
        <w:tc>
          <w:tcPr>
            <w:tcW w:w="1090" w:type="dxa"/>
            <w:tcBorders>
              <w:top w:val="single" w:color="000000" w:sz="4" w:space="0"/>
              <w:left w:val="nil"/>
              <w:bottom w:val="single" w:color="000000" w:sz="4" w:space="0"/>
              <w:right w:val="nil"/>
            </w:tcBorders>
            <w:vAlign w:val="center"/>
          </w:tcPr>
          <w:p w14:paraId="3944A500">
            <w:pPr>
              <w:keepNext w:val="0"/>
              <w:keepLines w:val="0"/>
              <w:pageBreakBefore w:val="0"/>
              <w:kinsoku/>
              <w:wordWrap/>
              <w:overflowPunct/>
              <w:topLinePunct w:val="0"/>
              <w:bidi w:val="0"/>
              <w:adjustRightInd/>
              <w:snapToGrid/>
              <w:spacing w:line="0" w:lineRule="atLeast"/>
              <w:jc w:val="right"/>
              <w:rPr>
                <w:rFonts w:eastAsiaTheme="minorEastAsia"/>
                <w:color w:val="auto"/>
                <w:szCs w:val="21"/>
              </w:rPr>
            </w:pPr>
          </w:p>
        </w:tc>
        <w:tc>
          <w:tcPr>
            <w:tcW w:w="1640" w:type="dxa"/>
            <w:tcBorders>
              <w:top w:val="single" w:color="000000" w:sz="4" w:space="0"/>
              <w:left w:val="nil"/>
              <w:bottom w:val="single" w:color="000000" w:sz="4" w:space="0"/>
              <w:right w:val="nil"/>
            </w:tcBorders>
            <w:vAlign w:val="center"/>
          </w:tcPr>
          <w:p w14:paraId="197ACE37">
            <w:pPr>
              <w:keepNext w:val="0"/>
              <w:keepLines w:val="0"/>
              <w:pageBreakBefore w:val="0"/>
              <w:kinsoku/>
              <w:wordWrap/>
              <w:overflowPunct/>
              <w:topLinePunct w:val="0"/>
              <w:bidi w:val="0"/>
              <w:adjustRightInd/>
              <w:snapToGrid/>
              <w:spacing w:line="0" w:lineRule="atLeast"/>
              <w:jc w:val="right"/>
              <w:rPr>
                <w:rFonts w:eastAsiaTheme="minorEastAsia"/>
                <w:color w:val="auto"/>
                <w:szCs w:val="21"/>
              </w:rPr>
            </w:pPr>
          </w:p>
        </w:tc>
        <w:tc>
          <w:tcPr>
            <w:tcW w:w="4280" w:type="dxa"/>
            <w:tcBorders>
              <w:top w:val="single" w:color="000000" w:sz="4" w:space="0"/>
              <w:left w:val="nil"/>
              <w:bottom w:val="single" w:color="000000" w:sz="4" w:space="0"/>
              <w:right w:val="single" w:color="000000" w:sz="4" w:space="0"/>
            </w:tcBorders>
            <w:vAlign w:val="center"/>
          </w:tcPr>
          <w:p w14:paraId="1745C5F6">
            <w:pPr>
              <w:keepNext w:val="0"/>
              <w:keepLines w:val="0"/>
              <w:pageBreakBefore w:val="0"/>
              <w:kinsoku/>
              <w:wordWrap/>
              <w:overflowPunct/>
              <w:topLinePunct w:val="0"/>
              <w:bidi w:val="0"/>
              <w:adjustRightInd/>
              <w:snapToGrid/>
              <w:spacing w:line="0" w:lineRule="atLeast"/>
              <w:jc w:val="right"/>
              <w:rPr>
                <w:rFonts w:eastAsiaTheme="minorEastAsia"/>
                <w:color w:val="auto"/>
                <w:szCs w:val="21"/>
              </w:rPr>
            </w:pPr>
          </w:p>
        </w:tc>
        <w:tc>
          <w:tcPr>
            <w:tcW w:w="650" w:type="dxa"/>
            <w:tcBorders>
              <w:top w:val="single" w:color="000000" w:sz="4" w:space="0"/>
              <w:left w:val="single" w:color="000000" w:sz="4" w:space="0"/>
              <w:bottom w:val="single" w:color="000000" w:sz="4" w:space="0"/>
              <w:right w:val="single" w:color="000000" w:sz="4" w:space="0"/>
            </w:tcBorders>
            <w:vAlign w:val="center"/>
          </w:tcPr>
          <w:p w14:paraId="6AC827C3">
            <w:pPr>
              <w:keepNext w:val="0"/>
              <w:keepLines w:val="0"/>
              <w:pageBreakBefore w:val="0"/>
              <w:kinsoku/>
              <w:wordWrap/>
              <w:overflowPunct/>
              <w:topLinePunct w:val="0"/>
              <w:bidi w:val="0"/>
              <w:adjustRightInd/>
              <w:snapToGrid/>
              <w:spacing w:line="0" w:lineRule="atLeast"/>
              <w:jc w:val="center"/>
              <w:rPr>
                <w:rFonts w:eastAsiaTheme="minorEastAsia"/>
                <w:color w:val="auto"/>
                <w:szCs w:val="21"/>
              </w:rPr>
            </w:pPr>
          </w:p>
        </w:tc>
        <w:tc>
          <w:tcPr>
            <w:tcW w:w="698" w:type="dxa"/>
            <w:tcBorders>
              <w:top w:val="single" w:color="000000" w:sz="4" w:space="0"/>
              <w:left w:val="single" w:color="000000" w:sz="4" w:space="0"/>
              <w:bottom w:val="single" w:color="000000" w:sz="4" w:space="0"/>
              <w:right w:val="single" w:color="000000" w:sz="4" w:space="0"/>
            </w:tcBorders>
            <w:vAlign w:val="center"/>
          </w:tcPr>
          <w:p w14:paraId="1BAA42ED">
            <w:pPr>
              <w:keepNext w:val="0"/>
              <w:keepLines w:val="0"/>
              <w:pageBreakBefore w:val="0"/>
              <w:kinsoku/>
              <w:wordWrap/>
              <w:overflowPunct/>
              <w:topLinePunct w:val="0"/>
              <w:bidi w:val="0"/>
              <w:adjustRightInd/>
              <w:snapToGrid/>
              <w:spacing w:line="0" w:lineRule="atLeast"/>
              <w:rPr>
                <w:rFonts w:eastAsiaTheme="minorEastAsia"/>
                <w:color w:val="auto"/>
                <w:szCs w:val="21"/>
              </w:rPr>
            </w:pPr>
          </w:p>
        </w:tc>
      </w:tr>
      <w:tr w14:paraId="6528DFC8">
        <w:trPr>
          <w:trHeight w:val="23" w:hRule="atLeast"/>
        </w:trPr>
        <w:tc>
          <w:tcPr>
            <w:tcW w:w="9352" w:type="dxa"/>
            <w:gridSpan w:val="6"/>
            <w:tcBorders>
              <w:top w:val="single" w:color="000000" w:sz="4" w:space="0"/>
              <w:left w:val="single" w:color="000000" w:sz="4" w:space="0"/>
              <w:bottom w:val="single" w:color="000000" w:sz="4" w:space="0"/>
              <w:right w:val="single" w:color="000000" w:sz="4" w:space="0"/>
            </w:tcBorders>
            <w:vAlign w:val="center"/>
          </w:tcPr>
          <w:p w14:paraId="501E44B5">
            <w:pPr>
              <w:keepNext w:val="0"/>
              <w:keepLines w:val="0"/>
              <w:pageBreakBefore w:val="0"/>
              <w:widowControl/>
              <w:kinsoku/>
              <w:wordWrap/>
              <w:overflowPunct/>
              <w:topLinePunct w:val="0"/>
              <w:bidi w:val="0"/>
              <w:adjustRightInd/>
              <w:snapToGrid/>
              <w:spacing w:line="0" w:lineRule="atLeast"/>
              <w:jc w:val="left"/>
              <w:textAlignment w:val="center"/>
              <w:rPr>
                <w:rFonts w:eastAsiaTheme="minorEastAsia"/>
                <w:color w:val="auto"/>
                <w:kern w:val="0"/>
                <w:szCs w:val="21"/>
                <w:lang w:bidi="ar"/>
              </w:rPr>
            </w:pPr>
            <w:r>
              <w:rPr>
                <w:rFonts w:eastAsiaTheme="minorEastAsia"/>
                <w:color w:val="auto"/>
                <w:kern w:val="0"/>
                <w:szCs w:val="21"/>
                <w:lang w:bidi="ar"/>
              </w:rPr>
              <w:t>备注：</w:t>
            </w:r>
            <w:r>
              <w:rPr>
                <w:rFonts w:eastAsiaTheme="minorEastAsia"/>
                <w:color w:val="auto"/>
                <w:kern w:val="0"/>
                <w:szCs w:val="21"/>
                <w:lang w:bidi="ar"/>
              </w:rPr>
              <w:br w:type="textWrapping"/>
            </w:r>
            <w:r>
              <w:rPr>
                <w:rFonts w:eastAsiaTheme="minorEastAsia"/>
                <w:color w:val="auto"/>
                <w:kern w:val="0"/>
                <w:szCs w:val="21"/>
                <w:lang w:bidi="ar"/>
              </w:rPr>
              <w:t>1.</w:t>
            </w:r>
            <w:r>
              <w:rPr>
                <w:rFonts w:eastAsiaTheme="minorEastAsia"/>
                <w:color w:val="auto"/>
                <w:szCs w:val="21"/>
              </w:rPr>
              <w:t xml:space="preserve"> </w:t>
            </w:r>
            <w:r>
              <w:rPr>
                <w:rFonts w:eastAsiaTheme="minorEastAsia"/>
                <w:color w:val="auto"/>
                <w:kern w:val="0"/>
                <w:szCs w:val="21"/>
                <w:lang w:bidi="ar"/>
              </w:rPr>
              <w:t>考核总分105分（含加分项），90分合格；80-89分每分扣300元；70-79分每分扣500元；70分以下扣1万元并约谈、更换项目经理</w:t>
            </w:r>
          </w:p>
          <w:p w14:paraId="343EB815">
            <w:pPr>
              <w:pStyle w:val="2"/>
              <w:keepNext w:val="0"/>
              <w:keepLines w:val="0"/>
              <w:pageBreakBefore w:val="0"/>
              <w:kinsoku/>
              <w:wordWrap/>
              <w:overflowPunct/>
              <w:topLinePunct w:val="0"/>
              <w:bidi w:val="0"/>
              <w:adjustRightInd/>
              <w:snapToGrid/>
              <w:spacing w:line="0" w:lineRule="atLeast"/>
              <w:ind w:firstLine="0" w:firstLineChars="0"/>
              <w:rPr>
                <w:rFonts w:hint="default" w:ascii="Times New Roman" w:hAnsi="Times New Roman" w:eastAsiaTheme="minorEastAsia"/>
                <w:color w:val="auto"/>
                <w:sz w:val="21"/>
                <w:szCs w:val="21"/>
                <w:lang w:bidi="ar"/>
              </w:rPr>
            </w:pPr>
            <w:r>
              <w:rPr>
                <w:rFonts w:hint="default" w:ascii="Times New Roman" w:hAnsi="Times New Roman" w:eastAsiaTheme="minorEastAsia"/>
                <w:color w:val="auto"/>
                <w:sz w:val="21"/>
                <w:szCs w:val="21"/>
                <w:lang w:bidi="ar"/>
              </w:rPr>
              <w:t>2.年度考核由月度平均分（70%）+年度综合评议（30%）构成。全年累计3次月度不合格或发生重大事故，年度直接评定为不合格，影响合同续签。</w:t>
            </w:r>
          </w:p>
        </w:tc>
      </w:tr>
    </w:tbl>
    <w:p w14:paraId="6C1DF9E8">
      <w:pPr>
        <w:adjustRightInd w:val="0"/>
        <w:snapToGrid w:val="0"/>
        <w:spacing w:line="360" w:lineRule="auto"/>
        <w:rPr>
          <w:rFonts w:eastAsiaTheme="minorEastAsia"/>
          <w:bCs/>
          <w:color w:val="auto"/>
          <w:sz w:val="24"/>
        </w:rPr>
      </w:pPr>
    </w:p>
    <w:p w14:paraId="55093BF5">
      <w:pPr>
        <w:pStyle w:val="68"/>
        <w:ind w:left="860" w:firstLine="0" w:firstLineChars="0"/>
        <w:rPr>
          <w:rFonts w:ascii="Times New Roman" w:hAnsi="Times New Roman" w:eastAsiaTheme="minorEastAsia"/>
          <w:color w:val="auto"/>
          <w:sz w:val="21"/>
          <w:szCs w:val="21"/>
          <w14:ligatures w14:val="standardContextual"/>
        </w:rPr>
      </w:pPr>
    </w:p>
    <w:bookmarkEnd w:id="29"/>
    <w:bookmarkEnd w:id="30"/>
    <w:p w14:paraId="5E4DF773">
      <w:pPr>
        <w:wordWrap w:val="0"/>
        <w:overflowPunct w:val="0"/>
        <w:topLinePunct/>
        <w:spacing w:line="360" w:lineRule="auto"/>
        <w:rPr>
          <w:rFonts w:eastAsiaTheme="minorEastAsia"/>
          <w:color w:val="auto"/>
        </w:rPr>
      </w:pPr>
    </w:p>
    <w:p w14:paraId="701AE19F">
      <w:pPr>
        <w:widowControl/>
        <w:spacing w:line="360" w:lineRule="auto"/>
        <w:jc w:val="left"/>
        <w:rPr>
          <w:rFonts w:eastAsiaTheme="minorEastAsia"/>
          <w:b/>
          <w:bCs/>
          <w:color w:val="auto"/>
          <w:sz w:val="28"/>
          <w:szCs w:val="20"/>
          <w:u w:color="000000"/>
        </w:rPr>
      </w:pPr>
      <w:r>
        <w:rPr>
          <w:rFonts w:eastAsiaTheme="minorEastAsia"/>
          <w:b/>
          <w:bCs/>
          <w:color w:val="auto"/>
          <w:sz w:val="28"/>
          <w:szCs w:val="20"/>
          <w:u w:color="000000"/>
        </w:rPr>
        <w:br w:type="page"/>
      </w:r>
    </w:p>
    <w:bookmarkEnd w:id="20"/>
    <w:bookmarkEnd w:id="21"/>
    <w:bookmarkEnd w:id="22"/>
    <w:bookmarkEnd w:id="23"/>
    <w:p w14:paraId="524E91B6">
      <w:pPr>
        <w:pStyle w:val="13"/>
        <w:numPr>
          <w:ilvl w:val="0"/>
          <w:numId w:val="0"/>
        </w:numPr>
        <w:spacing w:line="360" w:lineRule="auto"/>
        <w:rPr>
          <w:rFonts w:eastAsiaTheme="minorEastAsia"/>
          <w:color w:val="auto"/>
          <w:kern w:val="0"/>
        </w:rPr>
      </w:pPr>
      <w:bookmarkStart w:id="33" w:name="_Toc30691"/>
      <w:r>
        <w:rPr>
          <w:rFonts w:eastAsiaTheme="minorEastAsia"/>
          <w:color w:val="auto"/>
          <w:kern w:val="0"/>
        </w:rPr>
        <w:t>第五章 合同主要条款及格式</w:t>
      </w:r>
      <w:bookmarkEnd w:id="24"/>
      <w:bookmarkEnd w:id="33"/>
    </w:p>
    <w:p w14:paraId="2B38E430">
      <w:pPr>
        <w:overflowPunct w:val="0"/>
        <w:topLinePunct/>
        <w:spacing w:line="360" w:lineRule="auto"/>
        <w:jc w:val="center"/>
        <w:rPr>
          <w:rFonts w:eastAsiaTheme="minorEastAsia"/>
          <w:color w:val="auto"/>
        </w:rPr>
      </w:pPr>
      <w:r>
        <w:rPr>
          <w:rFonts w:eastAsiaTheme="minorEastAsia"/>
          <w:b/>
          <w:bCs/>
          <w:color w:val="auto"/>
        </w:rPr>
        <w:t>合同编号</w:t>
      </w:r>
      <w:r>
        <w:rPr>
          <w:rFonts w:eastAsiaTheme="minorEastAsia"/>
          <w:color w:val="auto"/>
        </w:rPr>
        <w:t xml:space="preserve"> </w:t>
      </w:r>
      <w:r>
        <w:rPr>
          <w:rFonts w:eastAsiaTheme="minorEastAsia"/>
          <w:b/>
          <w:bCs/>
          <w:color w:val="auto"/>
        </w:rPr>
        <w:t>：</w:t>
      </w:r>
    </w:p>
    <w:p w14:paraId="4096BC96">
      <w:pPr>
        <w:overflowPunct w:val="0"/>
        <w:topLinePunct/>
        <w:spacing w:line="360" w:lineRule="auto"/>
        <w:ind w:firstLine="420" w:firstLineChars="200"/>
        <w:rPr>
          <w:rFonts w:eastAsiaTheme="minorEastAsia"/>
          <w:color w:val="auto"/>
          <w:u w:val="single"/>
        </w:rPr>
      </w:pPr>
      <w:bookmarkStart w:id="34" w:name="_Toc28523"/>
      <w:r>
        <w:rPr>
          <w:rFonts w:eastAsiaTheme="minorEastAsia"/>
          <w:color w:val="auto"/>
        </w:rPr>
        <w:t>甲方：</w:t>
      </w:r>
      <w:r>
        <w:rPr>
          <w:rFonts w:eastAsiaTheme="minorEastAsia"/>
          <w:color w:val="auto"/>
          <w:u w:val="single"/>
        </w:rPr>
        <w:t xml:space="preserve">                                   </w:t>
      </w:r>
    </w:p>
    <w:p w14:paraId="71CD9457">
      <w:pPr>
        <w:overflowPunct w:val="0"/>
        <w:topLinePunct/>
        <w:spacing w:line="360" w:lineRule="auto"/>
        <w:ind w:firstLine="420" w:firstLineChars="200"/>
        <w:rPr>
          <w:rFonts w:eastAsiaTheme="minorEastAsia"/>
          <w:color w:val="auto"/>
          <w:kern w:val="4"/>
          <w:u w:val="single"/>
        </w:rPr>
      </w:pPr>
      <w:r>
        <w:rPr>
          <w:rFonts w:eastAsiaTheme="minorEastAsia"/>
          <w:color w:val="auto"/>
        </w:rPr>
        <w:t>乙方：</w:t>
      </w:r>
      <w:r>
        <w:rPr>
          <w:rFonts w:eastAsiaTheme="minorEastAsia"/>
          <w:color w:val="auto"/>
          <w:u w:val="single"/>
        </w:rPr>
        <w:t xml:space="preserve">                                   </w:t>
      </w:r>
    </w:p>
    <w:p w14:paraId="76C0C33D">
      <w:pPr>
        <w:overflowPunct w:val="0"/>
        <w:topLinePunct/>
        <w:spacing w:line="360" w:lineRule="auto"/>
        <w:ind w:firstLine="420" w:firstLineChars="200"/>
        <w:rPr>
          <w:rFonts w:eastAsiaTheme="minorEastAsia"/>
          <w:color w:val="auto"/>
        </w:rPr>
      </w:pPr>
      <w:r>
        <w:rPr>
          <w:rFonts w:eastAsiaTheme="minorEastAsia"/>
          <w:color w:val="auto"/>
        </w:rPr>
        <w:t>根据《中华人民共和国民法典》及国家有关规定，依据甲方要求和项目具体情况，遵循平等、自愿、公平和诚实信用的原则，特订立以下条款共同遵守。</w:t>
      </w:r>
    </w:p>
    <w:p w14:paraId="5C0F0241">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rPr>
        <w:t>项目概况</w:t>
      </w:r>
    </w:p>
    <w:p w14:paraId="46D664A2">
      <w:pPr>
        <w:pStyle w:val="74"/>
        <w:widowControl/>
        <w:numPr>
          <w:ilvl w:val="0"/>
          <w:numId w:val="19"/>
        </w:numPr>
        <w:overflowPunct w:val="0"/>
        <w:topLinePunct/>
        <w:adjustRightInd w:val="0"/>
        <w:snapToGrid w:val="0"/>
        <w:spacing w:line="360" w:lineRule="auto"/>
        <w:ind w:firstLineChars="0"/>
        <w:jc w:val="left"/>
        <w:rPr>
          <w:rFonts w:eastAsiaTheme="minorEastAsia"/>
          <w:color w:val="auto"/>
          <w:kern w:val="4"/>
          <w:szCs w:val="21"/>
          <w:u w:val="single"/>
        </w:rPr>
      </w:pPr>
      <w:r>
        <w:rPr>
          <w:rFonts w:eastAsiaTheme="minorEastAsia"/>
          <w:color w:val="auto"/>
          <w:kern w:val="4"/>
          <w:szCs w:val="21"/>
        </w:rPr>
        <w:t>项目名称：</w:t>
      </w:r>
      <w:r>
        <w:rPr>
          <w:rFonts w:eastAsiaTheme="minorEastAsia"/>
          <w:color w:val="auto"/>
          <w:kern w:val="4"/>
          <w:szCs w:val="21"/>
          <w:u w:val="single"/>
        </w:rPr>
        <w:t xml:space="preserve">                          </w:t>
      </w:r>
    </w:p>
    <w:p w14:paraId="29DF7FB5">
      <w:pPr>
        <w:pStyle w:val="74"/>
        <w:widowControl/>
        <w:numPr>
          <w:ilvl w:val="0"/>
          <w:numId w:val="19"/>
        </w:numPr>
        <w:overflowPunct w:val="0"/>
        <w:topLinePunct/>
        <w:adjustRightInd w:val="0"/>
        <w:snapToGrid w:val="0"/>
        <w:spacing w:line="360" w:lineRule="auto"/>
        <w:ind w:firstLineChars="0"/>
        <w:jc w:val="left"/>
        <w:rPr>
          <w:rFonts w:eastAsiaTheme="minorEastAsia"/>
          <w:color w:val="auto"/>
          <w:kern w:val="4"/>
          <w:szCs w:val="21"/>
        </w:rPr>
      </w:pPr>
      <w:r>
        <w:rPr>
          <w:rFonts w:eastAsiaTheme="minorEastAsia"/>
          <w:color w:val="auto"/>
          <w:kern w:val="4"/>
          <w:szCs w:val="21"/>
        </w:rPr>
        <w:t>甲方委托乙方对</w:t>
      </w:r>
      <w:r>
        <w:rPr>
          <w:rFonts w:eastAsiaTheme="minorEastAsia"/>
          <w:color w:val="auto"/>
          <w:kern w:val="4"/>
          <w:szCs w:val="21"/>
          <w:u w:val="single"/>
        </w:rPr>
        <w:t xml:space="preserve">                             </w:t>
      </w:r>
      <w:r>
        <w:rPr>
          <w:rFonts w:eastAsiaTheme="minorEastAsia"/>
          <w:color w:val="auto"/>
          <w:kern w:val="4"/>
          <w:szCs w:val="21"/>
        </w:rPr>
        <w:t>提供服务</w:t>
      </w:r>
    </w:p>
    <w:p w14:paraId="7E3308F5">
      <w:pPr>
        <w:pStyle w:val="74"/>
        <w:widowControl/>
        <w:numPr>
          <w:ilvl w:val="0"/>
          <w:numId w:val="19"/>
        </w:numPr>
        <w:overflowPunct w:val="0"/>
        <w:topLinePunct/>
        <w:adjustRightInd w:val="0"/>
        <w:snapToGrid w:val="0"/>
        <w:spacing w:line="360" w:lineRule="auto"/>
        <w:ind w:firstLineChars="0"/>
        <w:jc w:val="left"/>
        <w:rPr>
          <w:rFonts w:eastAsiaTheme="minorEastAsia"/>
          <w:color w:val="auto"/>
          <w:kern w:val="4"/>
          <w:szCs w:val="21"/>
        </w:rPr>
      </w:pPr>
      <w:r>
        <w:rPr>
          <w:rFonts w:eastAsiaTheme="minorEastAsia"/>
          <w:color w:val="auto"/>
          <w:kern w:val="4"/>
          <w:szCs w:val="21"/>
        </w:rPr>
        <w:t>本服务保障合同严格按照国家、地区行业认可的相关规范条文进行服务保障。</w:t>
      </w:r>
    </w:p>
    <w:p w14:paraId="06EBA6C7">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rPr>
        <w:t>合同款支付</w:t>
      </w:r>
    </w:p>
    <w:p w14:paraId="1969D8DE">
      <w:pPr>
        <w:pStyle w:val="69"/>
        <w:spacing w:line="360" w:lineRule="auto"/>
        <w:ind w:firstLine="420" w:firstLineChars="200"/>
        <w:jc w:val="left"/>
        <w:rPr>
          <w:rFonts w:ascii="Times New Roman" w:hAnsi="Times New Roman" w:eastAsiaTheme="minorEastAsia"/>
          <w:color w:val="auto"/>
          <w:kern w:val="4"/>
          <w:szCs w:val="21"/>
        </w:rPr>
      </w:pPr>
      <w:bookmarkStart w:id="35" w:name="OLE_LINK13"/>
      <w:r>
        <w:rPr>
          <w:rFonts w:ascii="Times New Roman" w:hAnsi="Times New Roman" w:eastAsiaTheme="minorEastAsia"/>
          <w:color w:val="auto"/>
          <w:kern w:val="4"/>
          <w:szCs w:val="21"/>
        </w:rPr>
        <w:t>1.服务费按月度结算，乙方需在次月25日前提供上月服务发票，同时提交上月员工考勤记录与工资支付凭据，采购人完成考核后支付对应费用。</w:t>
      </w:r>
    </w:p>
    <w:p w14:paraId="0CB17573">
      <w:pPr>
        <w:pStyle w:val="68"/>
        <w:ind w:left="420" w:firstLine="0" w:firstLineChars="0"/>
        <w:rPr>
          <w:rFonts w:ascii="Times New Roman" w:hAnsi="Times New Roman" w:eastAsiaTheme="minorEastAsia"/>
          <w:color w:val="auto"/>
          <w:sz w:val="21"/>
          <w:szCs w:val="21"/>
        </w:rPr>
      </w:pPr>
      <w:r>
        <w:rPr>
          <w:rFonts w:ascii="Times New Roman" w:hAnsi="Times New Roman" w:eastAsiaTheme="minorEastAsia"/>
          <w:color w:val="auto"/>
          <w:sz w:val="21"/>
          <w:szCs w:val="21"/>
        </w:rPr>
        <w:t>2.月度服务费按投标分项报价中项目管理人员</w:t>
      </w:r>
      <w:r>
        <w:rPr>
          <w:rFonts w:ascii="Times New Roman" w:hAnsi="Times New Roman" w:eastAsiaTheme="minorEastAsia"/>
          <w:color w:val="auto"/>
          <w:sz w:val="21"/>
          <w:szCs w:val="21"/>
          <w:u w:val="single"/>
        </w:rPr>
        <w:t xml:space="preserve">     </w:t>
      </w:r>
      <w:r>
        <w:rPr>
          <w:rFonts w:ascii="Times New Roman" w:hAnsi="Times New Roman" w:eastAsiaTheme="minorEastAsia"/>
          <w:color w:val="auto"/>
          <w:sz w:val="21"/>
          <w:szCs w:val="21"/>
        </w:rPr>
        <w:t>元/月人(2人)，综合维修</w:t>
      </w:r>
      <w:r>
        <w:rPr>
          <w:rFonts w:ascii="Times New Roman" w:hAnsi="Times New Roman" w:eastAsiaTheme="minorEastAsia"/>
          <w:color w:val="auto"/>
          <w:sz w:val="21"/>
          <w:szCs w:val="21"/>
          <w:u w:val="single"/>
        </w:rPr>
        <w:t xml:space="preserve">     </w:t>
      </w:r>
      <w:r>
        <w:rPr>
          <w:rFonts w:ascii="Times New Roman" w:hAnsi="Times New Roman" w:eastAsiaTheme="minorEastAsia"/>
          <w:color w:val="auto"/>
          <w:sz w:val="21"/>
          <w:szCs w:val="21"/>
        </w:rPr>
        <w:t>元/月人(11人)，配电房值班电工</w:t>
      </w:r>
      <w:r>
        <w:rPr>
          <w:rFonts w:ascii="Times New Roman" w:hAnsi="Times New Roman" w:eastAsiaTheme="minorEastAsia"/>
          <w:color w:val="auto"/>
          <w:sz w:val="21"/>
          <w:szCs w:val="21"/>
          <w:u w:val="single"/>
        </w:rPr>
        <w:t xml:space="preserve">    </w:t>
      </w:r>
      <w:r>
        <w:rPr>
          <w:rFonts w:ascii="Times New Roman" w:hAnsi="Times New Roman" w:eastAsiaTheme="minorEastAsia"/>
          <w:color w:val="auto"/>
          <w:sz w:val="21"/>
          <w:szCs w:val="21"/>
        </w:rPr>
        <w:t>元/月人(8人)，电梯司梯</w:t>
      </w:r>
      <w:r>
        <w:rPr>
          <w:rFonts w:ascii="Times New Roman" w:hAnsi="Times New Roman" w:eastAsiaTheme="minorEastAsia"/>
          <w:color w:val="auto"/>
          <w:sz w:val="21"/>
          <w:szCs w:val="21"/>
          <w:u w:val="single"/>
        </w:rPr>
        <w:t xml:space="preserve">    </w:t>
      </w:r>
      <w:r>
        <w:rPr>
          <w:rFonts w:ascii="Times New Roman" w:hAnsi="Times New Roman" w:eastAsiaTheme="minorEastAsia"/>
          <w:color w:val="auto"/>
          <w:sz w:val="21"/>
          <w:szCs w:val="21"/>
        </w:rPr>
        <w:t>元/月人(3人)进行核价。</w:t>
      </w:r>
    </w:p>
    <w:p w14:paraId="0EF3641E">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rPr>
        <w:t>合同期</w:t>
      </w:r>
    </w:p>
    <w:p w14:paraId="2A54943D">
      <w:pPr>
        <w:pStyle w:val="74"/>
        <w:overflowPunct w:val="0"/>
        <w:topLinePunct/>
        <w:spacing w:line="360" w:lineRule="auto"/>
        <w:rPr>
          <w:rFonts w:eastAsiaTheme="minorEastAsia"/>
          <w:color w:val="auto"/>
          <w:kern w:val="4"/>
          <w:szCs w:val="21"/>
        </w:rPr>
      </w:pPr>
      <w:r>
        <w:rPr>
          <w:rFonts w:eastAsiaTheme="minorEastAsia"/>
          <w:color w:val="auto"/>
          <w:kern w:val="4"/>
          <w:szCs w:val="21"/>
        </w:rPr>
        <w:t>此合同于</w:t>
      </w:r>
      <w:r>
        <w:rPr>
          <w:rFonts w:eastAsiaTheme="minorEastAsia"/>
          <w:color w:val="auto"/>
          <w:kern w:val="4"/>
          <w:szCs w:val="21"/>
          <w:u w:val="single"/>
        </w:rPr>
        <w:t xml:space="preserve">    </w:t>
      </w:r>
      <w:r>
        <w:rPr>
          <w:rFonts w:eastAsiaTheme="minorEastAsia"/>
          <w:color w:val="auto"/>
          <w:kern w:val="4"/>
          <w:szCs w:val="21"/>
        </w:rPr>
        <w:t>年</w:t>
      </w:r>
      <w:r>
        <w:rPr>
          <w:rFonts w:eastAsiaTheme="minorEastAsia"/>
          <w:color w:val="auto"/>
          <w:kern w:val="4"/>
          <w:szCs w:val="21"/>
          <w:u w:val="single"/>
        </w:rPr>
        <w:t xml:space="preserve">    </w:t>
      </w:r>
      <w:r>
        <w:rPr>
          <w:rFonts w:eastAsiaTheme="minorEastAsia"/>
          <w:color w:val="auto"/>
          <w:kern w:val="4"/>
          <w:szCs w:val="21"/>
        </w:rPr>
        <w:t>月</w:t>
      </w:r>
      <w:r>
        <w:rPr>
          <w:rFonts w:eastAsiaTheme="minorEastAsia"/>
          <w:color w:val="auto"/>
          <w:kern w:val="4"/>
          <w:szCs w:val="21"/>
          <w:u w:val="single"/>
        </w:rPr>
        <w:t xml:space="preserve">    </w:t>
      </w:r>
      <w:r>
        <w:rPr>
          <w:rFonts w:eastAsiaTheme="minorEastAsia"/>
          <w:color w:val="auto"/>
          <w:kern w:val="4"/>
          <w:szCs w:val="21"/>
        </w:rPr>
        <w:t>日开始，至</w:t>
      </w:r>
      <w:r>
        <w:rPr>
          <w:rFonts w:eastAsiaTheme="minorEastAsia"/>
          <w:color w:val="auto"/>
          <w:kern w:val="4"/>
          <w:szCs w:val="21"/>
          <w:u w:val="single"/>
        </w:rPr>
        <w:t xml:space="preserve">    </w:t>
      </w:r>
      <w:r>
        <w:rPr>
          <w:rFonts w:eastAsiaTheme="minorEastAsia"/>
          <w:color w:val="auto"/>
          <w:kern w:val="4"/>
          <w:szCs w:val="21"/>
        </w:rPr>
        <w:t>年</w:t>
      </w:r>
      <w:r>
        <w:rPr>
          <w:rFonts w:eastAsiaTheme="minorEastAsia"/>
          <w:color w:val="auto"/>
          <w:kern w:val="4"/>
          <w:szCs w:val="21"/>
          <w:u w:val="single"/>
        </w:rPr>
        <w:t xml:space="preserve">   </w:t>
      </w:r>
      <w:r>
        <w:rPr>
          <w:rFonts w:eastAsiaTheme="minorEastAsia"/>
          <w:color w:val="auto"/>
          <w:kern w:val="4"/>
          <w:szCs w:val="21"/>
        </w:rPr>
        <w:t>月</w:t>
      </w:r>
      <w:r>
        <w:rPr>
          <w:rFonts w:eastAsiaTheme="minorEastAsia"/>
          <w:color w:val="auto"/>
          <w:kern w:val="4"/>
          <w:szCs w:val="21"/>
          <w:u w:val="single"/>
        </w:rPr>
        <w:t xml:space="preserve">    </w:t>
      </w:r>
      <w:r>
        <w:rPr>
          <w:rFonts w:eastAsiaTheme="minorEastAsia"/>
          <w:color w:val="auto"/>
          <w:kern w:val="4"/>
          <w:szCs w:val="21"/>
        </w:rPr>
        <w:t>日止。</w:t>
      </w:r>
    </w:p>
    <w:p w14:paraId="09C7AAA0">
      <w:pPr>
        <w:pStyle w:val="74"/>
        <w:overflowPunct w:val="0"/>
        <w:topLinePunct/>
        <w:spacing w:line="360" w:lineRule="auto"/>
        <w:rPr>
          <w:rFonts w:eastAsiaTheme="minorEastAsia"/>
          <w:color w:val="auto"/>
          <w:kern w:val="4"/>
          <w:szCs w:val="21"/>
        </w:rPr>
      </w:pPr>
      <w:r>
        <w:rPr>
          <w:rFonts w:eastAsiaTheme="minorEastAsia"/>
          <w:color w:val="auto"/>
          <w:kern w:val="4"/>
          <w:szCs w:val="21"/>
        </w:rPr>
        <w:t>合作协议期限自</w:t>
      </w:r>
      <w:r>
        <w:rPr>
          <w:rFonts w:eastAsiaTheme="minorEastAsia"/>
          <w:color w:val="auto"/>
          <w:kern w:val="4"/>
          <w:szCs w:val="21"/>
          <w:u w:val="single"/>
        </w:rPr>
        <w:t xml:space="preserve">    </w:t>
      </w:r>
      <w:r>
        <w:rPr>
          <w:rFonts w:eastAsiaTheme="minorEastAsia"/>
          <w:color w:val="auto"/>
          <w:kern w:val="4"/>
          <w:szCs w:val="21"/>
        </w:rPr>
        <w:t>年</w:t>
      </w:r>
      <w:r>
        <w:rPr>
          <w:rFonts w:eastAsiaTheme="minorEastAsia"/>
          <w:color w:val="auto"/>
          <w:kern w:val="4"/>
          <w:szCs w:val="21"/>
          <w:u w:val="single"/>
        </w:rPr>
        <w:t xml:space="preserve">    </w:t>
      </w:r>
      <w:r>
        <w:rPr>
          <w:rFonts w:eastAsiaTheme="minorEastAsia"/>
          <w:color w:val="auto"/>
          <w:kern w:val="4"/>
          <w:szCs w:val="21"/>
        </w:rPr>
        <w:t>月</w:t>
      </w:r>
      <w:r>
        <w:rPr>
          <w:rFonts w:eastAsiaTheme="minorEastAsia"/>
          <w:color w:val="auto"/>
          <w:kern w:val="4"/>
          <w:szCs w:val="21"/>
          <w:u w:val="single"/>
        </w:rPr>
        <w:t xml:space="preserve">    </w:t>
      </w:r>
      <w:r>
        <w:rPr>
          <w:rFonts w:eastAsiaTheme="minorEastAsia"/>
          <w:color w:val="auto"/>
          <w:kern w:val="4"/>
          <w:szCs w:val="21"/>
        </w:rPr>
        <w:t>日起至</w:t>
      </w:r>
      <w:r>
        <w:rPr>
          <w:rFonts w:eastAsiaTheme="minorEastAsia"/>
          <w:color w:val="auto"/>
          <w:kern w:val="4"/>
          <w:szCs w:val="21"/>
          <w:u w:val="single"/>
        </w:rPr>
        <w:t xml:space="preserve">    </w:t>
      </w:r>
      <w:r>
        <w:rPr>
          <w:rFonts w:eastAsiaTheme="minorEastAsia"/>
          <w:color w:val="auto"/>
          <w:kern w:val="4"/>
          <w:szCs w:val="21"/>
        </w:rPr>
        <w:t>年</w:t>
      </w:r>
      <w:r>
        <w:rPr>
          <w:rFonts w:eastAsiaTheme="minorEastAsia"/>
          <w:color w:val="auto"/>
          <w:kern w:val="4"/>
          <w:szCs w:val="21"/>
          <w:u w:val="single"/>
        </w:rPr>
        <w:t xml:space="preserve">    </w:t>
      </w:r>
      <w:r>
        <w:rPr>
          <w:rFonts w:eastAsiaTheme="minorEastAsia"/>
          <w:color w:val="auto"/>
          <w:kern w:val="4"/>
          <w:szCs w:val="21"/>
        </w:rPr>
        <w:t>月</w:t>
      </w:r>
      <w:r>
        <w:rPr>
          <w:rFonts w:eastAsiaTheme="minorEastAsia"/>
          <w:color w:val="auto"/>
          <w:kern w:val="4"/>
          <w:szCs w:val="21"/>
          <w:u w:val="single"/>
        </w:rPr>
        <w:t xml:space="preserve">    </w:t>
      </w:r>
      <w:r>
        <w:rPr>
          <w:rFonts w:eastAsiaTheme="minorEastAsia"/>
          <w:color w:val="auto"/>
          <w:kern w:val="4"/>
          <w:szCs w:val="21"/>
        </w:rPr>
        <w:t>日止。每年度进行综合考核，考核合格续签合同，考核不合格即终止服务。</w:t>
      </w:r>
    </w:p>
    <w:bookmarkEnd w:id="35"/>
    <w:p w14:paraId="4BE97405">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rPr>
        <w:t>乙方服务措施及标准</w:t>
      </w:r>
    </w:p>
    <w:p w14:paraId="5614D0FC">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甲方变配电所（含发电机房）的值班运行、管理及日常维护。</w:t>
      </w:r>
    </w:p>
    <w:p w14:paraId="77A24655">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甲方医用液氧罐、三气机房、特殊医用气体汇流排及其附属设备、管道的日常运行、维护管理。</w:t>
      </w:r>
    </w:p>
    <w:p w14:paraId="27713593">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甲方院内水电气及所属设备设施、家具、门窗等物业设施的日常维护、维修及管理（建筑面积约11.99万平）。</w:t>
      </w:r>
    </w:p>
    <w:p w14:paraId="3D210445">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甲方分质供水系统的日常运行、巡查、管理。</w:t>
      </w:r>
    </w:p>
    <w:p w14:paraId="36ADA9ED">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甲方光伏发电系统的日常运行、维护、管理。</w:t>
      </w:r>
    </w:p>
    <w:p w14:paraId="3F5CC14A">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甲方院内瓶装医用气瓶、备用加床等运送、管理。</w:t>
      </w:r>
    </w:p>
    <w:p w14:paraId="647005B4">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甲方院内气动物流的日常运行、巡查、管理。</w:t>
      </w:r>
    </w:p>
    <w:p w14:paraId="3897B1B8">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甲方水泵房、风机房等巡查、管理。</w:t>
      </w:r>
    </w:p>
    <w:p w14:paraId="2E89A5D4">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配合院内改造工程实施。</w:t>
      </w:r>
    </w:p>
    <w:p w14:paraId="71AB8284">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甲方1号楼、2号楼、3号楼裙楼、4号楼、6号楼13台电梯的日常运行、维护、管理、保洁及乘梯引导，保证手术梯的专人驾驶等，监督第三方维保单位按计划保养并签字。</w:t>
      </w:r>
    </w:p>
    <w:p w14:paraId="5BBAED40">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甲方临时交办的突击事务。（应急抢修、恶劣天气应对、重大事项应对等）</w:t>
      </w:r>
    </w:p>
    <w:p w14:paraId="2D2C8E49">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协助办理后勤设备的年检报验工作（报验费用由甲方承担）</w:t>
      </w:r>
    </w:p>
    <w:p w14:paraId="215B5ECA">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协助甲方雨污水管网清疏等第三方维保工作。</w:t>
      </w:r>
    </w:p>
    <w:p w14:paraId="49501DCF">
      <w:pPr>
        <w:pStyle w:val="68"/>
        <w:numPr>
          <w:ilvl w:val="0"/>
          <w:numId w:val="20"/>
        </w:numPr>
        <w:ind w:firstLineChars="0"/>
        <w:rPr>
          <w:rFonts w:ascii="Times New Roman" w:hAnsi="Times New Roman" w:eastAsiaTheme="minorEastAsia"/>
          <w:color w:val="auto"/>
          <w:sz w:val="21"/>
          <w:szCs w:val="21"/>
          <w14:ligatures w14:val="standardContextual"/>
        </w:rPr>
      </w:pPr>
      <w:r>
        <w:rPr>
          <w:rFonts w:ascii="Times New Roman" w:hAnsi="Times New Roman" w:eastAsiaTheme="minorEastAsia"/>
          <w:color w:val="auto"/>
          <w:sz w:val="21"/>
          <w:szCs w:val="21"/>
          <w14:ligatures w14:val="standardContextual"/>
        </w:rPr>
        <w:t xml:space="preserve">地下车库强电间、动力照明电箱、充电桩等巡检。 </w:t>
      </w:r>
    </w:p>
    <w:p w14:paraId="21947168">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rPr>
        <w:t>甲方的责任与义务</w:t>
      </w:r>
    </w:p>
    <w:p w14:paraId="56CF6923">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甲方负责对乙方服务保障工作的执行和服务质量进行考核认定。</w:t>
      </w:r>
    </w:p>
    <w:p w14:paraId="6E01530E">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甲方在处理本合同约定的相关事项时，不得泄露乙方的商业机密。</w:t>
      </w:r>
    </w:p>
    <w:p w14:paraId="43DC3D24">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若乙方违约或服务未能达到甲方要求，甲方有权不予以付款或终止委托合同</w:t>
      </w:r>
    </w:p>
    <w:p w14:paraId="73226E0F">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甲方应教育本单位员工爱护公共设施，维护公共卫生，配合乙方做好服务工作，共同维护整洁文明的环境秩序。</w:t>
      </w:r>
    </w:p>
    <w:p w14:paraId="0AE52971">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甲方有权按本合同约定督促检查乙方人员的各项服务内容，并提出改进意见；对于不能胜任本岗位工作和严重违纪的乙方员工，甲方有权要求乙方给予辞退或更换。</w:t>
      </w:r>
    </w:p>
    <w:p w14:paraId="14738E6C">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因乙方原因对甲方正常医疗活动造成重大影响或重大经济损失，甲方有权追究乙方法律责任和经济赔偿并终止合同。</w:t>
      </w:r>
    </w:p>
    <w:p w14:paraId="302B8BD1">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因甲方原因导致乙方人员伤害、设备设施的损失，甲方同意给予符合国家规定的相应赔偿。</w:t>
      </w:r>
    </w:p>
    <w:p w14:paraId="119FAED0">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甲方将承担与设备运行与维护服务相关的直接运营费用，该费用包括但不限于下列费用：</w:t>
      </w:r>
    </w:p>
    <w:p w14:paraId="36022BE4">
      <w:pPr>
        <w:widowControl/>
        <w:numPr>
          <w:ilvl w:val="0"/>
          <w:numId w:val="22"/>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甲方设备运行与维护检修所需的所有材料；</w:t>
      </w:r>
    </w:p>
    <w:p w14:paraId="0C5AAADD">
      <w:pPr>
        <w:widowControl/>
        <w:numPr>
          <w:ilvl w:val="0"/>
          <w:numId w:val="22"/>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对甲方设备运行与维护所需的价值在500元以上的设备和工具；</w:t>
      </w:r>
    </w:p>
    <w:p w14:paraId="0D599C62">
      <w:pPr>
        <w:widowControl/>
        <w:numPr>
          <w:ilvl w:val="0"/>
          <w:numId w:val="22"/>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对生活蓄水池设施设备的清洁消毒，检测费、材料费；</w:t>
      </w:r>
    </w:p>
    <w:p w14:paraId="41D102A4">
      <w:pPr>
        <w:widowControl/>
        <w:numPr>
          <w:ilvl w:val="0"/>
          <w:numId w:val="22"/>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乙方为甲方维护、检修、统计、巡检记录、工作联系单等记录所需要的甲方统一要求表格费用；</w:t>
      </w:r>
    </w:p>
    <w:p w14:paraId="0A5F1969">
      <w:pPr>
        <w:widowControl/>
        <w:numPr>
          <w:ilvl w:val="0"/>
          <w:numId w:val="22"/>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设备大型维修外包所需要费用；</w:t>
      </w:r>
    </w:p>
    <w:p w14:paraId="7D5E7DB9">
      <w:pPr>
        <w:widowControl/>
        <w:numPr>
          <w:ilvl w:val="0"/>
          <w:numId w:val="22"/>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各直接管理的主要部门对设备需要改进与增加的费用（如电力、电梯、消防等）；</w:t>
      </w:r>
    </w:p>
    <w:p w14:paraId="2D0A2555">
      <w:pPr>
        <w:widowControl/>
        <w:numPr>
          <w:ilvl w:val="0"/>
          <w:numId w:val="22"/>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特种设备、设施及其附属设备、设施的维修、维保费；</w:t>
      </w:r>
    </w:p>
    <w:p w14:paraId="794702EB">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场地和公用设施：甲方应在其场所内向乙方提供乙方进行管理服务所使用的办公室、设备以及员工更衣休息等场所设施，这些场地应由乙方单独操作控制，但甲方进行安全检查或紧急情况下不受此限。所提供的场地应包括应有的公用设施和能源。</w:t>
      </w:r>
    </w:p>
    <w:p w14:paraId="3447F7CB">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甲方有权对乙方进行不定期检查，乙方服务在月检查评价中有扣分的，甲方有权根据相应分值从当月应付服务费用中扣除相应罚款。如主管部门检查发现不合格，视情节予以50～2000元/例考核；如被外界或领导投诉，视情节予以500元起考核，并整改到位。考核在当月服务费中扣除。</w:t>
      </w:r>
    </w:p>
    <w:p w14:paraId="47F9FB7D">
      <w:pPr>
        <w:pStyle w:val="74"/>
        <w:numPr>
          <w:ilvl w:val="0"/>
          <w:numId w:val="21"/>
        </w:numPr>
        <w:tabs>
          <w:tab w:val="left" w:pos="180"/>
          <w:tab w:val="left" w:pos="360"/>
        </w:tabs>
        <w:overflowPunct w:val="0"/>
        <w:topLinePunct/>
        <w:spacing w:line="360" w:lineRule="auto"/>
        <w:ind w:firstLineChars="0"/>
        <w:rPr>
          <w:rFonts w:eastAsiaTheme="minorEastAsia"/>
          <w:color w:val="auto"/>
          <w:kern w:val="4"/>
        </w:rPr>
      </w:pPr>
      <w:r>
        <w:rPr>
          <w:rFonts w:eastAsiaTheme="minorEastAsia"/>
          <w:color w:val="auto"/>
          <w:kern w:val="4"/>
        </w:rPr>
        <w:t>甲方对项目及项目经理进行考核，考核方案由甲方主管部门与乙方协商制定。</w:t>
      </w:r>
    </w:p>
    <w:p w14:paraId="5C31D4F5">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rPr>
        <w:t>乙方的责任与义务</w:t>
      </w:r>
    </w:p>
    <w:p w14:paraId="7EC3A014">
      <w:pPr>
        <w:numPr>
          <w:ilvl w:val="0"/>
          <w:numId w:val="23"/>
        </w:numPr>
        <w:overflowPunct w:val="0"/>
        <w:topLinePunct/>
        <w:spacing w:line="360" w:lineRule="auto"/>
        <w:rPr>
          <w:rFonts w:eastAsiaTheme="minorEastAsia"/>
          <w:color w:val="auto"/>
        </w:rPr>
      </w:pPr>
      <w:r>
        <w:rPr>
          <w:rFonts w:eastAsiaTheme="minorEastAsia"/>
          <w:color w:val="auto"/>
        </w:rPr>
        <w:t>乙方委派人员须严格遵守甲方的有关管理规定和制度。</w:t>
      </w:r>
    </w:p>
    <w:p w14:paraId="31E120BE">
      <w:pPr>
        <w:numPr>
          <w:ilvl w:val="0"/>
          <w:numId w:val="23"/>
        </w:numPr>
        <w:overflowPunct w:val="0"/>
        <w:topLinePunct/>
        <w:spacing w:line="360" w:lineRule="auto"/>
        <w:rPr>
          <w:rFonts w:eastAsiaTheme="minorEastAsia"/>
          <w:color w:val="auto"/>
        </w:rPr>
      </w:pPr>
      <w:r>
        <w:rPr>
          <w:rFonts w:eastAsiaTheme="minorEastAsia"/>
          <w:color w:val="auto"/>
        </w:rPr>
        <w:t>乙方保证其具有承接项目的资质和能力，能够按照合同约定及甲方确认的项目实施方案高质量提供项目服务。</w:t>
      </w:r>
    </w:p>
    <w:p w14:paraId="24B1EE12">
      <w:pPr>
        <w:numPr>
          <w:ilvl w:val="0"/>
          <w:numId w:val="23"/>
        </w:numPr>
        <w:overflowPunct w:val="0"/>
        <w:topLinePunct/>
        <w:spacing w:line="360" w:lineRule="auto"/>
        <w:rPr>
          <w:rFonts w:eastAsiaTheme="minorEastAsia"/>
          <w:color w:val="auto"/>
        </w:rPr>
      </w:pPr>
      <w:r>
        <w:rPr>
          <w:rFonts w:eastAsiaTheme="minorEastAsia"/>
          <w:color w:val="auto"/>
        </w:rPr>
        <w:t>合同履行中，乙方应做好服务工作的文件归档和资料留存工作，在项目服务完成后7日内向甲方提交结项报告，供甲方审核。</w:t>
      </w:r>
    </w:p>
    <w:p w14:paraId="5906E23C">
      <w:pPr>
        <w:numPr>
          <w:ilvl w:val="0"/>
          <w:numId w:val="23"/>
        </w:numPr>
        <w:overflowPunct w:val="0"/>
        <w:topLinePunct/>
        <w:spacing w:line="360" w:lineRule="auto"/>
        <w:rPr>
          <w:rFonts w:eastAsiaTheme="minorEastAsia"/>
          <w:color w:val="auto"/>
        </w:rPr>
      </w:pPr>
      <w:r>
        <w:rPr>
          <w:rFonts w:eastAsiaTheme="minorEastAsia"/>
          <w:color w:val="auto"/>
        </w:rPr>
        <w:t>乙方指定</w:t>
      </w:r>
      <w:r>
        <w:rPr>
          <w:rFonts w:eastAsiaTheme="minorEastAsia"/>
          <w:color w:val="auto"/>
          <w:u w:val="single"/>
        </w:rPr>
        <w:t xml:space="preserve">      </w:t>
      </w:r>
      <w:r>
        <w:rPr>
          <w:rFonts w:eastAsiaTheme="minorEastAsia"/>
          <w:color w:val="auto"/>
        </w:rPr>
        <w:t>为项目负责人，全面负责项目的执行和与甲方的日常联络。乙方项目组成员，在为甲方提供服务期间应保证人员的稳定性，如有变更应事前征得甲方书面同意;在服务过程中，甲方发现乙方工作人员有明显不符合要求的，乙方应在甲方提出要求后3日内给予调换。</w:t>
      </w:r>
    </w:p>
    <w:p w14:paraId="7821EC63">
      <w:pPr>
        <w:numPr>
          <w:ilvl w:val="0"/>
          <w:numId w:val="23"/>
        </w:numPr>
        <w:overflowPunct w:val="0"/>
        <w:topLinePunct/>
        <w:spacing w:line="360" w:lineRule="auto"/>
        <w:rPr>
          <w:rFonts w:eastAsiaTheme="minorEastAsia"/>
          <w:color w:val="auto"/>
        </w:rPr>
      </w:pPr>
      <w:r>
        <w:rPr>
          <w:rFonts w:eastAsiaTheme="minorEastAsia"/>
          <w:color w:val="auto"/>
        </w:rPr>
        <w:t>乙方承诺并保证其履行本合同过程中所使用的信息、资料、方案、图片等均不侵犯任何第三方知识产权及其他合法权益。否则引起的任何争议均应由乙方自行处理，甲方不承担任何责任，如由此给甲方造成损失，乙方应负责赔偿。乙方必须按劳动法及相关法律法规支付乙方在本项目服务人员工资，配备相应的劳动保护设施，应教育其员工应自觉遵守甲方各项规章制度，树立一切以病人为中心，自觉维护甲方的社会形象。</w:t>
      </w:r>
    </w:p>
    <w:p w14:paraId="487694F0">
      <w:pPr>
        <w:numPr>
          <w:ilvl w:val="0"/>
          <w:numId w:val="23"/>
        </w:numPr>
        <w:overflowPunct w:val="0"/>
        <w:topLinePunct/>
        <w:spacing w:line="360" w:lineRule="auto"/>
        <w:rPr>
          <w:rFonts w:eastAsiaTheme="minorEastAsia"/>
          <w:color w:val="auto"/>
        </w:rPr>
      </w:pPr>
      <w:r>
        <w:rPr>
          <w:rFonts w:eastAsiaTheme="minorEastAsia"/>
          <w:color w:val="auto"/>
        </w:rPr>
        <w:t>本合同履行过程中，乙方为甲方提供服务产生服务成果的所有权及知识产权应排他的归甲方享有。未经甲方书面同意，乙方不得擅自使用或授权第三方使用服务过程中形成的任何资料或服务成果。</w:t>
      </w:r>
    </w:p>
    <w:p w14:paraId="083CA883">
      <w:pPr>
        <w:numPr>
          <w:ilvl w:val="0"/>
          <w:numId w:val="23"/>
        </w:numPr>
        <w:overflowPunct w:val="0"/>
        <w:topLinePunct/>
        <w:spacing w:line="360" w:lineRule="auto"/>
        <w:rPr>
          <w:rFonts w:eastAsiaTheme="minorEastAsia"/>
          <w:color w:val="auto"/>
        </w:rPr>
      </w:pPr>
      <w:r>
        <w:rPr>
          <w:rFonts w:eastAsiaTheme="minorEastAsia"/>
          <w:color w:val="auto"/>
        </w:rPr>
        <w:t>双方在处理本合同约定的事物时，不得泄露对方机密。</w:t>
      </w:r>
    </w:p>
    <w:p w14:paraId="1A195D98">
      <w:pPr>
        <w:numPr>
          <w:ilvl w:val="0"/>
          <w:numId w:val="23"/>
        </w:numPr>
        <w:overflowPunct w:val="0"/>
        <w:topLinePunct/>
        <w:spacing w:line="360" w:lineRule="auto"/>
        <w:rPr>
          <w:rFonts w:eastAsiaTheme="minorEastAsia"/>
          <w:color w:val="auto"/>
        </w:rPr>
      </w:pPr>
      <w:r>
        <w:rPr>
          <w:rFonts w:eastAsiaTheme="minorEastAsia"/>
          <w:color w:val="auto"/>
        </w:rPr>
        <w:t>乙方自主经营，在双方确定服务总人数内根据需要自主调整工作岗位，建立符合甲方服务质量与要求的各岗位工作流程并经甲方确认后执行，确保各岗位工作人员掌握流程要求，及时、有效、保质保量完成各项工作，并主动接受甲方监督。</w:t>
      </w:r>
    </w:p>
    <w:p w14:paraId="5A2845F1">
      <w:pPr>
        <w:numPr>
          <w:ilvl w:val="0"/>
          <w:numId w:val="23"/>
        </w:numPr>
        <w:overflowPunct w:val="0"/>
        <w:topLinePunct/>
        <w:spacing w:line="360" w:lineRule="auto"/>
        <w:rPr>
          <w:rFonts w:eastAsiaTheme="minorEastAsia"/>
          <w:color w:val="auto"/>
        </w:rPr>
      </w:pPr>
      <w:r>
        <w:rPr>
          <w:rFonts w:eastAsiaTheme="minorEastAsia"/>
          <w:color w:val="auto"/>
        </w:rPr>
        <w:t>乙方各项管理工作、物耗，应严格按方案书内容配置，满足医疗、护理工作需要，努力提高工作效率，确保工作质量，各项消耗材料的入库和领用须有台帐、记录，甲方将不定期抽查，凡发现有违规行为，将追究相应责任。</w:t>
      </w:r>
    </w:p>
    <w:p w14:paraId="56101175">
      <w:pPr>
        <w:numPr>
          <w:ilvl w:val="0"/>
          <w:numId w:val="23"/>
        </w:numPr>
        <w:overflowPunct w:val="0"/>
        <w:topLinePunct/>
        <w:spacing w:line="360" w:lineRule="auto"/>
        <w:rPr>
          <w:rFonts w:eastAsiaTheme="minorEastAsia"/>
          <w:color w:val="auto"/>
        </w:rPr>
      </w:pPr>
      <w:r>
        <w:rPr>
          <w:rFonts w:eastAsiaTheme="minorEastAsia"/>
          <w:color w:val="auto"/>
        </w:rPr>
        <w:t>乙方必须做到特种岗位持证上岗，做好工作人员岗位培训、上岗证年审、工作流程及工作技能培训、消防安全培训、医院消毒规范要求与技术的培训、有针对性的服务质量问题专项培训等，做好培训记录，以提高服务工作质量。</w:t>
      </w:r>
    </w:p>
    <w:p w14:paraId="417A865A">
      <w:pPr>
        <w:numPr>
          <w:ilvl w:val="0"/>
          <w:numId w:val="23"/>
        </w:numPr>
        <w:overflowPunct w:val="0"/>
        <w:topLinePunct/>
        <w:spacing w:line="360" w:lineRule="auto"/>
        <w:rPr>
          <w:rFonts w:eastAsiaTheme="minorEastAsia"/>
          <w:color w:val="auto"/>
        </w:rPr>
      </w:pPr>
      <w:r>
        <w:rPr>
          <w:rFonts w:eastAsiaTheme="minorEastAsia"/>
          <w:color w:val="auto"/>
        </w:rPr>
        <w:t>乙方管理人员必须加强监督管理工作，每天进行现场检查督导工作，积极主动与各科室、病区护士长做好沟通，及时发现问题纠正解决，不断提高服务工作质量，满足临床医疗、护理工作的需要。</w:t>
      </w:r>
    </w:p>
    <w:p w14:paraId="1481042A">
      <w:pPr>
        <w:numPr>
          <w:ilvl w:val="0"/>
          <w:numId w:val="23"/>
        </w:numPr>
        <w:overflowPunct w:val="0"/>
        <w:topLinePunct/>
        <w:spacing w:line="360" w:lineRule="auto"/>
        <w:rPr>
          <w:rFonts w:eastAsiaTheme="minorEastAsia"/>
          <w:color w:val="auto"/>
        </w:rPr>
      </w:pPr>
      <w:r>
        <w:rPr>
          <w:rFonts w:eastAsiaTheme="minorEastAsia"/>
          <w:color w:val="auto"/>
        </w:rPr>
        <w:t>乙方必须按国家相关特种岗位要求安排值班、维修人员，并做好运行相应记录，违反相应规范要求由乙方承担一切后果。</w:t>
      </w:r>
    </w:p>
    <w:p w14:paraId="34896E17">
      <w:pPr>
        <w:numPr>
          <w:ilvl w:val="0"/>
          <w:numId w:val="23"/>
        </w:numPr>
        <w:overflowPunct w:val="0"/>
        <w:topLinePunct/>
        <w:spacing w:line="360" w:lineRule="auto"/>
        <w:rPr>
          <w:rFonts w:eastAsiaTheme="minorEastAsia"/>
          <w:color w:val="auto"/>
        </w:rPr>
      </w:pPr>
      <w:r>
        <w:rPr>
          <w:rFonts w:eastAsiaTheme="minorEastAsia"/>
          <w:color w:val="auto"/>
        </w:rPr>
        <w:t>乙方应做好安全工作，发现有设施损坏和跑、冒、滴、漏现象立即处理及报告，杜绝一切重大事故发生，因乙方员工违规作业造成甲方的物品损坏由乙方赔偿。</w:t>
      </w:r>
    </w:p>
    <w:p w14:paraId="17512FFD">
      <w:pPr>
        <w:numPr>
          <w:ilvl w:val="0"/>
          <w:numId w:val="23"/>
        </w:numPr>
        <w:overflowPunct w:val="0"/>
        <w:topLinePunct/>
        <w:spacing w:line="360" w:lineRule="auto"/>
        <w:rPr>
          <w:rFonts w:eastAsiaTheme="minorEastAsia"/>
          <w:color w:val="auto"/>
        </w:rPr>
      </w:pPr>
      <w:r>
        <w:rPr>
          <w:rFonts w:eastAsiaTheme="minorEastAsia"/>
          <w:color w:val="auto"/>
        </w:rPr>
        <w:t>甲方遇有重大接待任务或举行重大活动时，乙方要全力配合做好保障和其他服务工作。</w:t>
      </w:r>
    </w:p>
    <w:p w14:paraId="20AAC944">
      <w:pPr>
        <w:numPr>
          <w:ilvl w:val="0"/>
          <w:numId w:val="23"/>
        </w:numPr>
        <w:overflowPunct w:val="0"/>
        <w:topLinePunct/>
        <w:spacing w:line="360" w:lineRule="auto"/>
        <w:rPr>
          <w:rFonts w:eastAsiaTheme="minorEastAsia"/>
          <w:color w:val="auto"/>
        </w:rPr>
      </w:pPr>
      <w:r>
        <w:rPr>
          <w:rFonts w:eastAsiaTheme="minorEastAsia"/>
          <w:color w:val="auto"/>
        </w:rPr>
        <w:t>乙方应当按照甲方要求安全、节约使用水电气和其他设施。</w:t>
      </w:r>
    </w:p>
    <w:p w14:paraId="52F7ECB3">
      <w:pPr>
        <w:numPr>
          <w:ilvl w:val="0"/>
          <w:numId w:val="23"/>
        </w:numPr>
        <w:overflowPunct w:val="0"/>
        <w:topLinePunct/>
        <w:spacing w:line="360" w:lineRule="auto"/>
        <w:rPr>
          <w:rFonts w:eastAsiaTheme="minorEastAsia"/>
          <w:color w:val="auto"/>
        </w:rPr>
      </w:pPr>
      <w:r>
        <w:rPr>
          <w:rFonts w:eastAsiaTheme="minorEastAsia"/>
          <w:color w:val="auto"/>
        </w:rPr>
        <w:t>乙方在提供本合同约定的服务时，应采取合理的安全保障措施，进行必要的安全提醒，确保对正处于提供服务的区域内以及该区域周边人员和财产不构成安全威胁。若因乙方服务瑕疵或未尽安全保障义务，造成自身、医院、患者或其他第三方人身伤害或财产损失的，全部赔偿责任由乙方承担。如甲方因此被第三方索赔的，乙方须根据甲方的要求共同应诉或独自抗辩。如第三方索赔请求依法成立，甲方有权从应付乙方的服务费中直接扣除赔付给第三方。</w:t>
      </w:r>
    </w:p>
    <w:p w14:paraId="0C40754F">
      <w:pPr>
        <w:numPr>
          <w:ilvl w:val="0"/>
          <w:numId w:val="23"/>
        </w:numPr>
        <w:overflowPunct w:val="0"/>
        <w:topLinePunct/>
        <w:spacing w:line="360" w:lineRule="auto"/>
        <w:rPr>
          <w:rFonts w:eastAsiaTheme="minorEastAsia"/>
          <w:color w:val="auto"/>
        </w:rPr>
      </w:pPr>
      <w:r>
        <w:rPr>
          <w:rFonts w:eastAsiaTheme="minorEastAsia"/>
          <w:color w:val="auto"/>
        </w:rPr>
        <w:t>乙方工作人员在工作中因违反操作规程，致甲方医疗设备及设施损坏造成的损失，经评估后乙方应给予相应赔偿。</w:t>
      </w:r>
    </w:p>
    <w:p w14:paraId="1FE108DB">
      <w:pPr>
        <w:numPr>
          <w:ilvl w:val="0"/>
          <w:numId w:val="23"/>
        </w:numPr>
        <w:overflowPunct w:val="0"/>
        <w:topLinePunct/>
        <w:spacing w:line="360" w:lineRule="auto"/>
        <w:rPr>
          <w:rFonts w:eastAsiaTheme="minorEastAsia"/>
          <w:color w:val="auto"/>
        </w:rPr>
      </w:pPr>
      <w:r>
        <w:rPr>
          <w:rFonts w:eastAsiaTheme="minorEastAsia"/>
          <w:color w:val="auto"/>
        </w:rPr>
        <w:t>乙方必须建立健全完善的突发、重大事件的应急处理预案。遇突发、重大事件，能服从医院的安排，调配人员，积极应对、处理突发、重大事件。</w:t>
      </w:r>
    </w:p>
    <w:p w14:paraId="171D7308">
      <w:pPr>
        <w:numPr>
          <w:ilvl w:val="0"/>
          <w:numId w:val="23"/>
        </w:numPr>
        <w:overflowPunct w:val="0"/>
        <w:topLinePunct/>
        <w:spacing w:line="360" w:lineRule="auto"/>
        <w:rPr>
          <w:rFonts w:eastAsiaTheme="minorEastAsia"/>
          <w:color w:val="auto"/>
        </w:rPr>
      </w:pPr>
      <w:r>
        <w:rPr>
          <w:rFonts w:eastAsiaTheme="minorEastAsia"/>
          <w:color w:val="auto"/>
        </w:rPr>
        <w:t>在征得甲方书面同意之前，乙方不得全部或部分转让本合同下的任何权利或义务。</w:t>
      </w:r>
    </w:p>
    <w:p w14:paraId="5FD2B998">
      <w:pPr>
        <w:numPr>
          <w:ilvl w:val="0"/>
          <w:numId w:val="23"/>
        </w:numPr>
        <w:overflowPunct w:val="0"/>
        <w:topLinePunct/>
        <w:spacing w:line="360" w:lineRule="auto"/>
        <w:rPr>
          <w:rFonts w:eastAsiaTheme="minorEastAsia"/>
          <w:color w:val="auto"/>
        </w:rPr>
      </w:pPr>
      <w:r>
        <w:rPr>
          <w:rFonts w:eastAsiaTheme="minorEastAsia"/>
          <w:color w:val="auto"/>
        </w:rPr>
        <w:t>本合同履行中如有纠纷，由双方协商解决，协商不成，任何一方均可向甲方住所地法院提起诉讼。</w:t>
      </w:r>
    </w:p>
    <w:p w14:paraId="3226E532">
      <w:pPr>
        <w:numPr>
          <w:ilvl w:val="0"/>
          <w:numId w:val="23"/>
        </w:numPr>
        <w:overflowPunct w:val="0"/>
        <w:topLinePunct/>
        <w:spacing w:line="360" w:lineRule="auto"/>
        <w:rPr>
          <w:rFonts w:eastAsiaTheme="minorEastAsia"/>
          <w:color w:val="auto"/>
        </w:rPr>
      </w:pPr>
      <w:r>
        <w:rPr>
          <w:rFonts w:eastAsiaTheme="minorEastAsia"/>
          <w:color w:val="auto"/>
        </w:rPr>
        <w:t>在合同内乙方需经甲方同意后才能更换项目主管。</w:t>
      </w:r>
    </w:p>
    <w:p w14:paraId="19337500">
      <w:pPr>
        <w:numPr>
          <w:ilvl w:val="0"/>
          <w:numId w:val="23"/>
        </w:numPr>
        <w:overflowPunct w:val="0"/>
        <w:topLinePunct/>
        <w:spacing w:line="360" w:lineRule="auto"/>
        <w:rPr>
          <w:rFonts w:eastAsiaTheme="minorEastAsia"/>
          <w:color w:val="auto"/>
        </w:rPr>
      </w:pPr>
      <w:r>
        <w:rPr>
          <w:rFonts w:eastAsiaTheme="minorEastAsia"/>
          <w:color w:val="auto"/>
        </w:rPr>
        <w:t>乙方需与甲方签订服务期内的安全责任书。</w:t>
      </w:r>
    </w:p>
    <w:p w14:paraId="661C3F90">
      <w:pPr>
        <w:numPr>
          <w:ilvl w:val="0"/>
          <w:numId w:val="23"/>
        </w:numPr>
        <w:overflowPunct w:val="0"/>
        <w:topLinePunct/>
        <w:spacing w:line="360" w:lineRule="auto"/>
        <w:rPr>
          <w:rFonts w:eastAsiaTheme="minorEastAsia"/>
          <w:color w:val="auto"/>
        </w:rPr>
      </w:pPr>
      <w:r>
        <w:rPr>
          <w:rFonts w:eastAsiaTheme="minorEastAsia"/>
          <w:color w:val="auto"/>
        </w:rPr>
        <w:t>乙方项目维保费及主管的工资发放由甲方考核后进行发放。</w:t>
      </w:r>
    </w:p>
    <w:p w14:paraId="64BF6ADA">
      <w:pPr>
        <w:pStyle w:val="39"/>
        <w:widowControl/>
        <w:numPr>
          <w:ilvl w:val="0"/>
          <w:numId w:val="23"/>
        </w:numPr>
        <w:overflowPunct w:val="0"/>
        <w:topLinePunct/>
        <w:adjustRightInd w:val="0"/>
        <w:snapToGrid w:val="0"/>
        <w:spacing w:line="360" w:lineRule="auto"/>
        <w:jc w:val="left"/>
        <w:textAlignment w:val="baseline"/>
        <w:rPr>
          <w:rFonts w:ascii="Times New Roman" w:eastAsiaTheme="minorEastAsia"/>
          <w:color w:val="auto"/>
          <w:kern w:val="2"/>
          <w:sz w:val="21"/>
        </w:rPr>
      </w:pPr>
      <w:r>
        <w:rPr>
          <w:rFonts w:ascii="Times New Roman" w:eastAsiaTheme="minorEastAsia"/>
          <w:color w:val="auto"/>
          <w:kern w:val="2"/>
          <w:sz w:val="21"/>
        </w:rPr>
        <w:t>维修工、配电工24h在岗（夜间双人双岗），午休时间保证1名管理人员在岗，周末及法定节假日管理人员至少1人在岗，其他班组排班需提前上报甲方审核。</w:t>
      </w:r>
    </w:p>
    <w:p w14:paraId="1E730A7C">
      <w:pPr>
        <w:pStyle w:val="39"/>
        <w:widowControl/>
        <w:numPr>
          <w:ilvl w:val="0"/>
          <w:numId w:val="23"/>
        </w:numPr>
        <w:overflowPunct w:val="0"/>
        <w:topLinePunct/>
        <w:adjustRightInd w:val="0"/>
        <w:snapToGrid w:val="0"/>
        <w:spacing w:line="360" w:lineRule="auto"/>
        <w:jc w:val="left"/>
        <w:textAlignment w:val="baseline"/>
        <w:rPr>
          <w:rFonts w:ascii="Times New Roman" w:eastAsiaTheme="minorEastAsia"/>
          <w:color w:val="auto"/>
          <w:kern w:val="2"/>
          <w:sz w:val="21"/>
        </w:rPr>
      </w:pPr>
      <w:r>
        <w:rPr>
          <w:rFonts w:ascii="Times New Roman" w:eastAsiaTheme="minorEastAsia"/>
          <w:color w:val="auto"/>
          <w:kern w:val="2"/>
          <w:sz w:val="21"/>
        </w:rPr>
        <w:t>维修人员入离职需至少提前一周向甲方报备，管理人员变更需至少提前</w:t>
      </w:r>
      <w:r>
        <w:rPr>
          <w:rFonts w:hint="eastAsia" w:ascii="Times New Roman" w:eastAsiaTheme="minorEastAsia"/>
          <w:color w:val="auto"/>
          <w:kern w:val="2"/>
          <w:sz w:val="21"/>
          <w:lang w:val="en-US" w:eastAsia="zh-CN"/>
        </w:rPr>
        <w:t>一</w:t>
      </w:r>
      <w:r>
        <w:rPr>
          <w:rFonts w:ascii="Times New Roman" w:eastAsiaTheme="minorEastAsia"/>
          <w:color w:val="auto"/>
          <w:kern w:val="2"/>
          <w:sz w:val="21"/>
        </w:rPr>
        <w:t>个月向甲方报备，一年内乙方主动提出的人员变动率不超过10%（包含项目管理人员）。</w:t>
      </w:r>
    </w:p>
    <w:p w14:paraId="3E65EFFE">
      <w:pPr>
        <w:pStyle w:val="39"/>
        <w:widowControl/>
        <w:numPr>
          <w:ilvl w:val="0"/>
          <w:numId w:val="23"/>
        </w:numPr>
        <w:overflowPunct w:val="0"/>
        <w:topLinePunct/>
        <w:adjustRightInd w:val="0"/>
        <w:snapToGrid w:val="0"/>
        <w:spacing w:line="360" w:lineRule="auto"/>
        <w:jc w:val="left"/>
        <w:textAlignment w:val="baseline"/>
        <w:rPr>
          <w:rFonts w:ascii="Times New Roman" w:eastAsiaTheme="minorEastAsia"/>
          <w:color w:val="auto"/>
          <w:kern w:val="2"/>
          <w:sz w:val="21"/>
        </w:rPr>
      </w:pPr>
      <w:r>
        <w:rPr>
          <w:rFonts w:ascii="Times New Roman" w:eastAsiaTheme="minorEastAsia"/>
          <w:color w:val="auto"/>
          <w:kern w:val="2"/>
          <w:sz w:val="21"/>
        </w:rPr>
        <w:t>接受甲方的每月考核，每月按时提交付款申请。</w:t>
      </w:r>
    </w:p>
    <w:p w14:paraId="67B4BEE9">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rPr>
        <w:t>违约责任</w:t>
      </w:r>
    </w:p>
    <w:p w14:paraId="1C0CD01B">
      <w:pPr>
        <w:widowControl/>
        <w:numPr>
          <w:ilvl w:val="0"/>
          <w:numId w:val="24"/>
        </w:numPr>
        <w:tabs>
          <w:tab w:val="left" w:pos="180"/>
          <w:tab w:val="left" w:pos="360"/>
        </w:tabs>
        <w:overflowPunct w:val="0"/>
        <w:topLinePunct/>
        <w:adjustRightInd w:val="0"/>
        <w:snapToGrid w:val="0"/>
        <w:spacing w:line="360" w:lineRule="auto"/>
        <w:contextualSpacing/>
        <w:jc w:val="left"/>
        <w:textAlignment w:val="baseline"/>
        <w:rPr>
          <w:rFonts w:eastAsiaTheme="minorEastAsia"/>
          <w:color w:val="auto"/>
        </w:rPr>
      </w:pPr>
      <w:r>
        <w:rPr>
          <w:rFonts w:eastAsiaTheme="minorEastAsia"/>
          <w:color w:val="auto"/>
        </w:rPr>
        <w:t>甲乙双方均应认真、全面履行本合同项下的各项义务，若出现纠纷，由双方协商解决或通过法律途径处理。</w:t>
      </w:r>
    </w:p>
    <w:p w14:paraId="32985F05">
      <w:pPr>
        <w:widowControl/>
        <w:numPr>
          <w:ilvl w:val="0"/>
          <w:numId w:val="24"/>
        </w:numPr>
        <w:tabs>
          <w:tab w:val="left" w:pos="180"/>
          <w:tab w:val="left" w:pos="360"/>
        </w:tabs>
        <w:overflowPunct w:val="0"/>
        <w:topLinePunct/>
        <w:adjustRightInd w:val="0"/>
        <w:snapToGrid w:val="0"/>
        <w:spacing w:line="360" w:lineRule="auto"/>
        <w:contextualSpacing/>
        <w:jc w:val="left"/>
        <w:textAlignment w:val="baseline"/>
        <w:rPr>
          <w:rFonts w:eastAsiaTheme="minorEastAsia"/>
          <w:color w:val="auto"/>
        </w:rPr>
      </w:pPr>
      <w:r>
        <w:rPr>
          <w:rFonts w:eastAsiaTheme="minorEastAsia"/>
          <w:color w:val="auto"/>
        </w:rPr>
        <w:t>合同履行中出现以下情形，甲方有权单方解除本合同，且甲方不再向乙方支付任何费用，乙方已经收取的费用应全部返还甲方，并另行向甲方支付合同总金额的30%作为违约金。</w:t>
      </w:r>
    </w:p>
    <w:p w14:paraId="1A821A09">
      <w:pPr>
        <w:pStyle w:val="68"/>
        <w:ind w:left="420" w:leftChars="200" w:firstLine="0" w:firstLineChars="0"/>
        <w:contextualSpacing/>
        <w:rPr>
          <w:rFonts w:ascii="Times New Roman" w:hAnsi="Times New Roman" w:eastAsiaTheme="minorEastAsia"/>
          <w:color w:val="auto"/>
          <w:sz w:val="21"/>
          <w:szCs w:val="21"/>
        </w:rPr>
      </w:pPr>
      <w:r>
        <w:rPr>
          <w:rFonts w:ascii="Times New Roman" w:hAnsi="Times New Roman" w:eastAsiaTheme="minorEastAsia"/>
          <w:color w:val="auto"/>
          <w:sz w:val="21"/>
          <w:szCs w:val="21"/>
        </w:rPr>
        <w:t>(1)合同履行过程中，甲方书面通知乙方改正其违约行为，乙方未能及时改正;</w:t>
      </w:r>
    </w:p>
    <w:p w14:paraId="0C2D8F3C">
      <w:pPr>
        <w:pStyle w:val="68"/>
        <w:ind w:left="420" w:leftChars="200" w:firstLine="0" w:firstLineChars="0"/>
        <w:contextualSpacing/>
        <w:rPr>
          <w:rFonts w:ascii="Times New Roman" w:hAnsi="Times New Roman" w:eastAsiaTheme="minorEastAsia"/>
          <w:color w:val="auto"/>
          <w:sz w:val="21"/>
          <w:szCs w:val="21"/>
        </w:rPr>
      </w:pPr>
      <w:r>
        <w:rPr>
          <w:rFonts w:ascii="Times New Roman" w:hAnsi="Times New Roman" w:eastAsiaTheme="minorEastAsia"/>
          <w:color w:val="auto"/>
          <w:sz w:val="21"/>
          <w:szCs w:val="21"/>
        </w:rPr>
        <w:t>(2)乙方在合同有效期内累计出现3次违约行为;</w:t>
      </w:r>
    </w:p>
    <w:p w14:paraId="4ADC9A9B">
      <w:pPr>
        <w:pStyle w:val="68"/>
        <w:ind w:left="420" w:leftChars="200" w:firstLine="0" w:firstLineChars="0"/>
        <w:contextualSpacing/>
        <w:rPr>
          <w:rFonts w:ascii="Times New Roman" w:hAnsi="Times New Roman" w:eastAsiaTheme="minorEastAsia"/>
          <w:color w:val="auto"/>
          <w:sz w:val="21"/>
          <w:szCs w:val="21"/>
        </w:rPr>
      </w:pPr>
      <w:r>
        <w:rPr>
          <w:rFonts w:ascii="Times New Roman" w:hAnsi="Times New Roman" w:eastAsiaTheme="minorEastAsia"/>
          <w:color w:val="auto"/>
          <w:sz w:val="21"/>
          <w:szCs w:val="21"/>
        </w:rPr>
        <w:t>(3)乙方为承接项目向甲方提供的相关资料存在虚假(包括但不限于项目组成员简历不实、不具有资质等);</w:t>
      </w:r>
    </w:p>
    <w:p w14:paraId="0C2413CA">
      <w:pPr>
        <w:pStyle w:val="68"/>
        <w:ind w:left="420" w:leftChars="200" w:firstLine="0" w:firstLineChars="0"/>
        <w:contextualSpacing/>
        <w:rPr>
          <w:rFonts w:ascii="Times New Roman" w:hAnsi="Times New Roman" w:eastAsiaTheme="minorEastAsia"/>
          <w:color w:val="auto"/>
          <w:sz w:val="21"/>
          <w:szCs w:val="21"/>
        </w:rPr>
      </w:pPr>
      <w:r>
        <w:rPr>
          <w:rFonts w:ascii="Times New Roman" w:hAnsi="Times New Roman" w:eastAsiaTheme="minorEastAsia"/>
          <w:color w:val="auto"/>
          <w:sz w:val="21"/>
          <w:szCs w:val="21"/>
        </w:rPr>
        <w:t>(4)乙方逾期完成实施方案约定的各阶段服务工作累计超过15日;</w:t>
      </w:r>
    </w:p>
    <w:p w14:paraId="5F17D9F0">
      <w:pPr>
        <w:pStyle w:val="68"/>
        <w:ind w:left="420" w:leftChars="200" w:firstLine="0" w:firstLineChars="0"/>
        <w:contextualSpacing/>
        <w:rPr>
          <w:rFonts w:ascii="Times New Roman" w:hAnsi="Times New Roman" w:eastAsiaTheme="minorEastAsia"/>
          <w:color w:val="auto"/>
          <w:sz w:val="21"/>
          <w:szCs w:val="21"/>
        </w:rPr>
      </w:pPr>
      <w:r>
        <w:rPr>
          <w:rFonts w:ascii="Times New Roman" w:hAnsi="Times New Roman" w:eastAsiaTheme="minorEastAsia"/>
          <w:color w:val="auto"/>
          <w:sz w:val="21"/>
          <w:szCs w:val="21"/>
        </w:rPr>
        <w:t>(5)乙方违反本合同关于知识产权、保密条款的约定。</w:t>
      </w:r>
    </w:p>
    <w:p w14:paraId="3110B6D0">
      <w:pPr>
        <w:widowControl/>
        <w:numPr>
          <w:ilvl w:val="0"/>
          <w:numId w:val="24"/>
        </w:numPr>
        <w:tabs>
          <w:tab w:val="left" w:pos="180"/>
          <w:tab w:val="left" w:pos="360"/>
        </w:tabs>
        <w:overflowPunct w:val="0"/>
        <w:topLinePunct/>
        <w:adjustRightInd w:val="0"/>
        <w:snapToGrid w:val="0"/>
        <w:spacing w:line="360" w:lineRule="auto"/>
        <w:contextualSpacing/>
        <w:jc w:val="left"/>
        <w:textAlignment w:val="baseline"/>
        <w:rPr>
          <w:rFonts w:eastAsiaTheme="minorEastAsia"/>
          <w:color w:val="auto"/>
        </w:rPr>
      </w:pPr>
      <w:r>
        <w:rPr>
          <w:rFonts w:eastAsiaTheme="minorEastAsia"/>
          <w:color w:val="auto"/>
        </w:rPr>
        <w:t>乙方未按照甲方确认的项目实施方案完成各阶段服务工作的，或未按甲方整改要求及时整改，每逾期一日，应向甲方支付合同总价款的1%作为违约金，但不应超过合同总造价30%。</w:t>
      </w:r>
    </w:p>
    <w:p w14:paraId="69420F3E">
      <w:pPr>
        <w:widowControl/>
        <w:numPr>
          <w:ilvl w:val="0"/>
          <w:numId w:val="24"/>
        </w:numPr>
        <w:tabs>
          <w:tab w:val="left" w:pos="180"/>
          <w:tab w:val="left" w:pos="360"/>
        </w:tabs>
        <w:overflowPunct w:val="0"/>
        <w:topLinePunct/>
        <w:adjustRightInd w:val="0"/>
        <w:snapToGrid w:val="0"/>
        <w:spacing w:line="360" w:lineRule="auto"/>
        <w:contextualSpacing/>
        <w:jc w:val="left"/>
        <w:textAlignment w:val="baseline"/>
        <w:rPr>
          <w:rFonts w:eastAsiaTheme="minorEastAsia"/>
          <w:color w:val="auto"/>
        </w:rPr>
      </w:pPr>
      <w:r>
        <w:rPr>
          <w:rFonts w:eastAsiaTheme="minorEastAsia"/>
          <w:color w:val="auto"/>
        </w:rPr>
        <w:t>对于乙方应支付的违约金及赔偿金，甲方有权从未付款项中予以扣除，不足部分有权向乙方追偿。乙方接甲方故障报修后，未能在</w:t>
      </w:r>
      <w:r>
        <w:rPr>
          <w:rFonts w:eastAsiaTheme="minorEastAsia"/>
          <w:color w:val="auto"/>
          <w:u w:val="single"/>
        </w:rPr>
        <w:t>2h</w:t>
      </w:r>
      <w:r>
        <w:rPr>
          <w:rFonts w:eastAsiaTheme="minorEastAsia"/>
          <w:color w:val="auto"/>
        </w:rPr>
        <w:t>内赶到现场的，每发生一次扣罚该维保费的</w:t>
      </w:r>
      <w:r>
        <w:rPr>
          <w:rFonts w:eastAsiaTheme="minorEastAsia"/>
          <w:color w:val="auto"/>
          <w:u w:val="single"/>
        </w:rPr>
        <w:t>1%</w:t>
      </w:r>
      <w:r>
        <w:rPr>
          <w:rFonts w:eastAsiaTheme="minorEastAsia"/>
          <w:color w:val="auto"/>
        </w:rPr>
        <w:t>，最高不超过合同总价的</w:t>
      </w:r>
      <w:r>
        <w:rPr>
          <w:rFonts w:eastAsiaTheme="minorEastAsia"/>
          <w:color w:val="auto"/>
          <w:u w:val="single"/>
        </w:rPr>
        <w:t>10%</w:t>
      </w:r>
      <w:r>
        <w:rPr>
          <w:rFonts w:eastAsiaTheme="minorEastAsia"/>
          <w:color w:val="auto"/>
        </w:rPr>
        <w:t>。</w:t>
      </w:r>
    </w:p>
    <w:p w14:paraId="264FBAE1">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lang w:eastAsia="zh-CN"/>
        </w:rPr>
        <w:t>不可抗力</w:t>
      </w:r>
    </w:p>
    <w:p w14:paraId="5BC11F28">
      <w:pPr>
        <w:widowControl/>
        <w:numPr>
          <w:ilvl w:val="0"/>
          <w:numId w:val="25"/>
        </w:numPr>
        <w:tabs>
          <w:tab w:val="left" w:pos="180"/>
          <w:tab w:val="left" w:pos="360"/>
        </w:tabs>
        <w:overflowPunct w:val="0"/>
        <w:topLinePunct/>
        <w:adjustRightInd w:val="0"/>
        <w:snapToGrid w:val="0"/>
        <w:spacing w:line="360" w:lineRule="auto"/>
        <w:contextualSpacing/>
        <w:jc w:val="left"/>
        <w:textAlignment w:val="baseline"/>
        <w:rPr>
          <w:rFonts w:eastAsiaTheme="minorEastAsia"/>
          <w:color w:val="auto"/>
        </w:rPr>
      </w:pPr>
      <w:r>
        <w:rPr>
          <w:rFonts w:eastAsiaTheme="minorEastAsia"/>
          <w:color w:val="auto"/>
        </w:rPr>
        <w:t>不可抗力指下列事件:战争、动乱、瘟疫、严重火灾、洪水、地震、风暴或其他自然灾害，以及本合同各方不可预见、不可防止并不能避免或克服的一切其他事件。</w:t>
      </w:r>
    </w:p>
    <w:p w14:paraId="1AD51E12">
      <w:pPr>
        <w:widowControl/>
        <w:numPr>
          <w:ilvl w:val="0"/>
          <w:numId w:val="25"/>
        </w:numPr>
        <w:tabs>
          <w:tab w:val="left" w:pos="180"/>
          <w:tab w:val="left" w:pos="360"/>
        </w:tabs>
        <w:overflowPunct w:val="0"/>
        <w:topLinePunct/>
        <w:adjustRightInd w:val="0"/>
        <w:snapToGrid w:val="0"/>
        <w:spacing w:line="360" w:lineRule="auto"/>
        <w:contextualSpacing/>
        <w:jc w:val="left"/>
        <w:textAlignment w:val="baseline"/>
        <w:rPr>
          <w:rFonts w:eastAsiaTheme="minorEastAsia"/>
          <w:color w:val="auto"/>
        </w:rPr>
      </w:pPr>
      <w:r>
        <w:rPr>
          <w:rFonts w:eastAsiaTheme="minorEastAsia"/>
          <w:color w:val="auto"/>
        </w:rPr>
        <w:t>任何一方因不可抗力不能履行本合同规定的全部或部分义务，该方应尽快通知对方，并须在不可抗力发生后3日内以书面形式向对方提供详细情况报告及不可抗力对履行本合同的影响程度的说明。</w:t>
      </w:r>
    </w:p>
    <w:p w14:paraId="7CEF5886">
      <w:pPr>
        <w:widowControl/>
        <w:numPr>
          <w:ilvl w:val="0"/>
          <w:numId w:val="25"/>
        </w:numPr>
        <w:tabs>
          <w:tab w:val="left" w:pos="180"/>
          <w:tab w:val="left" w:pos="360"/>
        </w:tabs>
        <w:overflowPunct w:val="0"/>
        <w:topLinePunct/>
        <w:adjustRightInd w:val="0"/>
        <w:snapToGrid w:val="0"/>
        <w:spacing w:line="360" w:lineRule="auto"/>
        <w:contextualSpacing/>
        <w:jc w:val="left"/>
        <w:textAlignment w:val="baseline"/>
        <w:rPr>
          <w:rFonts w:eastAsiaTheme="minorEastAsia"/>
          <w:color w:val="auto"/>
        </w:rPr>
      </w:pPr>
      <w:r>
        <w:rPr>
          <w:rFonts w:eastAsiaTheme="minorEastAsia"/>
          <w:color w:val="auto"/>
        </w:rPr>
        <w:t>发生不可抗力事件，任何一方均不对因不可抗力无法履行或迟延履行本合同义务而使另外一方蒙受的任何损失承担责任。但遭受不可抗力影响的一方有责任尽可能及时采取适当或必要措施减少或消除不可抗力的影响。遭受不可抗力影响的一方对因未尽本项责任而造成的相关损失承担责任。</w:t>
      </w:r>
    </w:p>
    <w:p w14:paraId="05241188">
      <w:pPr>
        <w:widowControl/>
        <w:numPr>
          <w:ilvl w:val="0"/>
          <w:numId w:val="25"/>
        </w:numPr>
        <w:tabs>
          <w:tab w:val="left" w:pos="180"/>
          <w:tab w:val="left" w:pos="360"/>
        </w:tabs>
        <w:overflowPunct w:val="0"/>
        <w:topLinePunct/>
        <w:adjustRightInd w:val="0"/>
        <w:snapToGrid w:val="0"/>
        <w:spacing w:line="360" w:lineRule="auto"/>
        <w:contextualSpacing/>
        <w:jc w:val="left"/>
        <w:textAlignment w:val="baseline"/>
        <w:rPr>
          <w:rFonts w:eastAsiaTheme="minorEastAsia"/>
          <w:color w:val="auto"/>
        </w:rPr>
      </w:pPr>
      <w:r>
        <w:rPr>
          <w:rFonts w:eastAsiaTheme="minorEastAsia"/>
          <w:color w:val="auto"/>
        </w:rPr>
        <w:t>合同双方应根据不可抗力对本合同履行的影响程度，协商确定是否终止本合同，或是继续履行本合同。</w:t>
      </w:r>
    </w:p>
    <w:p w14:paraId="53C143D4">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rPr>
      </w:pPr>
      <w:r>
        <w:rPr>
          <w:rFonts w:ascii="Times New Roman" w:hAnsi="Times New Roman" w:eastAsiaTheme="minorEastAsia"/>
          <w:b/>
          <w:bCs/>
          <w:color w:val="auto"/>
          <w:kern w:val="28"/>
        </w:rPr>
        <w:t>其他事宜</w:t>
      </w:r>
    </w:p>
    <w:p w14:paraId="38540969">
      <w:pPr>
        <w:widowControl/>
        <w:numPr>
          <w:ilvl w:val="0"/>
          <w:numId w:val="26"/>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合同未尽事宜，经双方友好协商，另行签订补充协议。补充协议、本合同附件及其它经双方签字盖章确认的书面材料均为本合同的组成部分，与本合同具有同等法律效力。</w:t>
      </w:r>
    </w:p>
    <w:p w14:paraId="0AF9E27B">
      <w:pPr>
        <w:widowControl/>
        <w:numPr>
          <w:ilvl w:val="0"/>
          <w:numId w:val="26"/>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任何一方需终止合同,必须提前三个月书面通知对方,在结清所有费用后办理终止事宜。</w:t>
      </w:r>
    </w:p>
    <w:p w14:paraId="2F723A4A">
      <w:pPr>
        <w:widowControl/>
        <w:numPr>
          <w:ilvl w:val="0"/>
          <w:numId w:val="26"/>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因本合同和履行合同所发生的一切纠纷，双方首先应协商解决，若协商不成，任何一方均可向甲方住所地法院提起诉讼。</w:t>
      </w:r>
    </w:p>
    <w:p w14:paraId="4C32E5CD">
      <w:pPr>
        <w:widowControl/>
        <w:numPr>
          <w:ilvl w:val="0"/>
          <w:numId w:val="26"/>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本合同及其附件、补充协议自双方签字、盖章之日起生效。</w:t>
      </w:r>
    </w:p>
    <w:p w14:paraId="57A6B6CC">
      <w:pPr>
        <w:widowControl/>
        <w:numPr>
          <w:ilvl w:val="0"/>
          <w:numId w:val="26"/>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合同订立地点：南京</w:t>
      </w:r>
    </w:p>
    <w:p w14:paraId="31BF9B55">
      <w:pPr>
        <w:widowControl/>
        <w:numPr>
          <w:ilvl w:val="0"/>
          <w:numId w:val="26"/>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本合同一式</w:t>
      </w:r>
      <w:r>
        <w:rPr>
          <w:rFonts w:eastAsiaTheme="minorEastAsia"/>
          <w:color w:val="auto"/>
          <w:u w:val="single"/>
        </w:rPr>
        <w:t>柒</w:t>
      </w:r>
      <w:r>
        <w:rPr>
          <w:rFonts w:eastAsiaTheme="minorEastAsia"/>
          <w:color w:val="auto"/>
        </w:rPr>
        <w:t>份，甲方</w:t>
      </w:r>
      <w:r>
        <w:rPr>
          <w:rFonts w:eastAsiaTheme="minorEastAsia"/>
          <w:color w:val="auto"/>
          <w:u w:val="single"/>
        </w:rPr>
        <w:t>伍</w:t>
      </w:r>
      <w:r>
        <w:rPr>
          <w:rFonts w:eastAsiaTheme="minorEastAsia"/>
          <w:color w:val="auto"/>
        </w:rPr>
        <w:t>份，乙方</w:t>
      </w:r>
      <w:r>
        <w:rPr>
          <w:rFonts w:eastAsiaTheme="minorEastAsia"/>
          <w:color w:val="auto"/>
          <w:u w:val="single"/>
        </w:rPr>
        <w:t>贰</w:t>
      </w:r>
      <w:r>
        <w:rPr>
          <w:rFonts w:eastAsiaTheme="minorEastAsia"/>
          <w:color w:val="auto"/>
        </w:rPr>
        <w:t>份，具有同等法律效力。</w:t>
      </w:r>
    </w:p>
    <w:p w14:paraId="1EB6E2F3">
      <w:pPr>
        <w:widowControl/>
        <w:numPr>
          <w:ilvl w:val="0"/>
          <w:numId w:val="26"/>
        </w:numPr>
        <w:overflowPunct w:val="0"/>
        <w:topLinePunct/>
        <w:adjustRightInd w:val="0"/>
        <w:snapToGrid w:val="0"/>
        <w:spacing w:line="360" w:lineRule="auto"/>
        <w:jc w:val="left"/>
        <w:textAlignment w:val="baseline"/>
        <w:rPr>
          <w:rFonts w:eastAsiaTheme="minorEastAsia"/>
          <w:color w:val="auto"/>
        </w:rPr>
      </w:pPr>
      <w:r>
        <w:rPr>
          <w:rFonts w:eastAsiaTheme="minorEastAsia"/>
          <w:color w:val="auto"/>
        </w:rPr>
        <w:t>组成本合同的文件包括：（1）本合同；（2）中标通知书；（3）投标文件；（4）招标文件及修改澄清（含答疑）；（5）图纸及招标工程量清单（含清单编制说明）；（如果有）（6）技术标准和要求；（7）其他合同文件。上述文件应认为是互为补充和解释的，但如有歧义或相互矛盾之处，以上面所列顺序在前为准。如果投标文件内容没有达到招标文件要求的，以招标文件为准；高于招标文件要求的，以投标文件为准。上述各项合同文件包括合同当事人就该项合同文件所作出的补充和修改，属于同一类内容的文件，应以最新签署的为准。</w:t>
      </w:r>
    </w:p>
    <w:p w14:paraId="692D3A4C">
      <w:pPr>
        <w:pStyle w:val="74"/>
        <w:numPr>
          <w:ilvl w:val="0"/>
          <w:numId w:val="26"/>
        </w:numPr>
        <w:spacing w:line="360" w:lineRule="auto"/>
        <w:ind w:firstLineChars="0"/>
        <w:rPr>
          <w:rFonts w:eastAsiaTheme="minorEastAsia"/>
          <w:color w:val="auto"/>
        </w:rPr>
      </w:pPr>
      <w:r>
        <w:rPr>
          <w:rFonts w:eastAsiaTheme="minorEastAsia"/>
          <w:color w:val="auto"/>
        </w:rPr>
        <w:t>乙方</w:t>
      </w:r>
      <w:r>
        <w:rPr>
          <w:rFonts w:eastAsiaTheme="minorEastAsia"/>
          <w:bCs/>
          <w:color w:val="auto"/>
          <w:szCs w:val="21"/>
        </w:rPr>
        <w:t>须在合同签订后7个工作日内向甲方缴纳履约保证金人民币10万元（以银行保函形式缴纳，服务到期后无息退还）。</w:t>
      </w:r>
    </w:p>
    <w:p w14:paraId="07227464">
      <w:pPr>
        <w:pStyle w:val="167"/>
        <w:numPr>
          <w:ilvl w:val="0"/>
          <w:numId w:val="18"/>
        </w:numPr>
        <w:overflowPunct w:val="0"/>
        <w:topLinePunct/>
        <w:adjustRightInd w:val="0"/>
        <w:snapToGrid w:val="0"/>
        <w:spacing w:line="360" w:lineRule="auto"/>
        <w:contextualSpacing w:val="0"/>
        <w:textAlignment w:val="baseline"/>
        <w:outlineLvl w:val="1"/>
        <w:rPr>
          <w:rFonts w:ascii="Times New Roman" w:hAnsi="Times New Roman" w:eastAsiaTheme="minorEastAsia"/>
          <w:b/>
          <w:bCs/>
          <w:color w:val="auto"/>
          <w:kern w:val="28"/>
          <w:lang w:eastAsia="zh-CN"/>
        </w:rPr>
      </w:pPr>
      <w:bookmarkStart w:id="36" w:name="OLE_LINK14"/>
      <w:r>
        <w:rPr>
          <w:rFonts w:ascii="Times New Roman" w:hAnsi="Times New Roman" w:eastAsiaTheme="minorEastAsia"/>
          <w:b/>
          <w:bCs/>
          <w:color w:val="auto"/>
          <w:kern w:val="28"/>
          <w:lang w:eastAsia="zh-CN"/>
        </w:rPr>
        <w:t>附件</w:t>
      </w:r>
    </w:p>
    <w:bookmarkEnd w:id="36"/>
    <w:tbl>
      <w:tblPr>
        <w:tblStyle w:val="58"/>
        <w:tblW w:w="0" w:type="auto"/>
        <w:tblInd w:w="0" w:type="dxa"/>
        <w:tblLayout w:type="fixed"/>
        <w:tblCellMar>
          <w:top w:w="0" w:type="dxa"/>
          <w:left w:w="108" w:type="dxa"/>
          <w:bottom w:w="0" w:type="dxa"/>
          <w:right w:w="108" w:type="dxa"/>
        </w:tblCellMar>
      </w:tblPr>
      <w:tblGrid>
        <w:gridCol w:w="4968"/>
        <w:gridCol w:w="4860"/>
      </w:tblGrid>
      <w:tr w14:paraId="01AA14D0">
        <w:tblPrEx>
          <w:tblCellMar>
            <w:top w:w="0" w:type="dxa"/>
            <w:left w:w="108" w:type="dxa"/>
            <w:bottom w:w="0" w:type="dxa"/>
            <w:right w:w="108" w:type="dxa"/>
          </w:tblCellMar>
        </w:tblPrEx>
        <w:trPr>
          <w:trHeight w:val="458" w:hRule="atLeast"/>
        </w:trPr>
        <w:tc>
          <w:tcPr>
            <w:tcW w:w="4968" w:type="dxa"/>
          </w:tcPr>
          <w:p w14:paraId="4FD7E0B1">
            <w:pPr>
              <w:overflowPunct w:val="0"/>
              <w:topLinePunct/>
              <w:spacing w:line="360" w:lineRule="auto"/>
              <w:rPr>
                <w:rFonts w:eastAsiaTheme="minorEastAsia"/>
                <w:color w:val="auto"/>
              </w:rPr>
            </w:pPr>
            <w:r>
              <w:rPr>
                <w:rFonts w:eastAsiaTheme="minorEastAsia"/>
                <w:color w:val="auto"/>
              </w:rPr>
              <w:t>甲方：</w:t>
            </w:r>
            <w:r>
              <w:rPr>
                <w:rFonts w:eastAsiaTheme="minorEastAsia"/>
                <w:color w:val="auto"/>
                <w:u w:val="single"/>
              </w:rPr>
              <w:t>江苏省人民医院</w:t>
            </w:r>
          </w:p>
        </w:tc>
        <w:tc>
          <w:tcPr>
            <w:tcW w:w="4860" w:type="dxa"/>
          </w:tcPr>
          <w:p w14:paraId="27D3C144">
            <w:pPr>
              <w:overflowPunct w:val="0"/>
              <w:topLinePunct/>
              <w:spacing w:line="360" w:lineRule="auto"/>
              <w:rPr>
                <w:rFonts w:eastAsiaTheme="minorEastAsia"/>
                <w:color w:val="auto"/>
                <w:u w:val="single"/>
              </w:rPr>
            </w:pPr>
            <w:r>
              <w:rPr>
                <w:rFonts w:eastAsiaTheme="minorEastAsia"/>
                <w:color w:val="auto"/>
              </w:rPr>
              <w:t>乙方：</w:t>
            </w:r>
            <w:r>
              <w:rPr>
                <w:rFonts w:eastAsiaTheme="minorEastAsia"/>
                <w:color w:val="auto"/>
                <w:u w:val="single"/>
              </w:rPr>
              <w:t xml:space="preserve">                             </w:t>
            </w:r>
          </w:p>
        </w:tc>
      </w:tr>
      <w:tr w14:paraId="39B2BDE2">
        <w:tblPrEx>
          <w:tblCellMar>
            <w:top w:w="0" w:type="dxa"/>
            <w:left w:w="108" w:type="dxa"/>
            <w:bottom w:w="0" w:type="dxa"/>
            <w:right w:w="108" w:type="dxa"/>
          </w:tblCellMar>
        </w:tblPrEx>
        <w:trPr>
          <w:trHeight w:val="706" w:hRule="atLeast"/>
        </w:trPr>
        <w:tc>
          <w:tcPr>
            <w:tcW w:w="4968" w:type="dxa"/>
          </w:tcPr>
          <w:p w14:paraId="74ED317F">
            <w:pPr>
              <w:overflowPunct w:val="0"/>
              <w:topLinePunct/>
              <w:spacing w:line="360" w:lineRule="auto"/>
              <w:rPr>
                <w:rFonts w:eastAsiaTheme="minorEastAsia"/>
                <w:color w:val="auto"/>
              </w:rPr>
            </w:pPr>
            <w:r>
              <w:rPr>
                <w:rFonts w:eastAsiaTheme="minorEastAsia"/>
                <w:color w:val="auto"/>
              </w:rPr>
              <w:t>单位地址：</w:t>
            </w:r>
            <w:r>
              <w:rPr>
                <w:rFonts w:eastAsiaTheme="minorEastAsia"/>
                <w:color w:val="auto"/>
                <w:u w:val="single"/>
              </w:rPr>
              <w:t>南京市鼓楼区江东北路368号</w:t>
            </w:r>
          </w:p>
          <w:p w14:paraId="4A90CF58">
            <w:pPr>
              <w:overflowPunct w:val="0"/>
              <w:topLinePunct/>
              <w:spacing w:line="360" w:lineRule="auto"/>
              <w:rPr>
                <w:rFonts w:eastAsiaTheme="minorEastAsia"/>
                <w:color w:val="auto"/>
              </w:rPr>
            </w:pPr>
          </w:p>
        </w:tc>
        <w:tc>
          <w:tcPr>
            <w:tcW w:w="4860" w:type="dxa"/>
          </w:tcPr>
          <w:p w14:paraId="306F523D">
            <w:pPr>
              <w:overflowPunct w:val="0"/>
              <w:topLinePunct/>
              <w:spacing w:line="360" w:lineRule="auto"/>
              <w:rPr>
                <w:rFonts w:eastAsiaTheme="minorEastAsia"/>
                <w:color w:val="auto"/>
                <w:u w:val="single"/>
              </w:rPr>
            </w:pPr>
            <w:r>
              <w:rPr>
                <w:rFonts w:eastAsiaTheme="minorEastAsia"/>
                <w:color w:val="auto"/>
              </w:rPr>
              <w:t>单位地址：</w:t>
            </w:r>
            <w:r>
              <w:rPr>
                <w:rFonts w:eastAsiaTheme="minorEastAsia"/>
                <w:color w:val="auto"/>
                <w:u w:val="single"/>
              </w:rPr>
              <w:t xml:space="preserve">                         </w:t>
            </w:r>
          </w:p>
        </w:tc>
      </w:tr>
      <w:tr w14:paraId="2AF003E3">
        <w:tblPrEx>
          <w:tblCellMar>
            <w:top w:w="0" w:type="dxa"/>
            <w:left w:w="108" w:type="dxa"/>
            <w:bottom w:w="0" w:type="dxa"/>
            <w:right w:w="108" w:type="dxa"/>
          </w:tblCellMar>
        </w:tblPrEx>
        <w:trPr>
          <w:trHeight w:val="844" w:hRule="atLeast"/>
        </w:trPr>
        <w:tc>
          <w:tcPr>
            <w:tcW w:w="4968" w:type="dxa"/>
          </w:tcPr>
          <w:p w14:paraId="192B6B22">
            <w:pPr>
              <w:overflowPunct w:val="0"/>
              <w:topLinePunct/>
              <w:spacing w:line="360" w:lineRule="auto"/>
              <w:rPr>
                <w:rFonts w:eastAsiaTheme="minorEastAsia"/>
                <w:color w:val="auto"/>
              </w:rPr>
            </w:pPr>
            <w:r>
              <w:rPr>
                <w:rFonts w:eastAsiaTheme="minorEastAsia"/>
                <w:color w:val="auto"/>
              </w:rPr>
              <w:t>甲方法人/授权代表：</w:t>
            </w:r>
          </w:p>
          <w:p w14:paraId="31B9BDA3">
            <w:pPr>
              <w:overflowPunct w:val="0"/>
              <w:topLinePunct/>
              <w:spacing w:line="360" w:lineRule="auto"/>
              <w:rPr>
                <w:rFonts w:eastAsiaTheme="minorEastAsia"/>
                <w:color w:val="auto"/>
              </w:rPr>
            </w:pPr>
            <w:r>
              <w:rPr>
                <w:rFonts w:eastAsiaTheme="minorEastAsia"/>
                <w:color w:val="auto"/>
              </w:rPr>
              <w:t>分管院领导：</w:t>
            </w:r>
          </w:p>
        </w:tc>
        <w:tc>
          <w:tcPr>
            <w:tcW w:w="4860" w:type="dxa"/>
          </w:tcPr>
          <w:p w14:paraId="3DACD83A">
            <w:pPr>
              <w:overflowPunct w:val="0"/>
              <w:topLinePunct/>
              <w:spacing w:line="360" w:lineRule="auto"/>
              <w:rPr>
                <w:rFonts w:eastAsiaTheme="minorEastAsia"/>
                <w:color w:val="auto"/>
              </w:rPr>
            </w:pPr>
            <w:r>
              <w:rPr>
                <w:rFonts w:eastAsiaTheme="minorEastAsia"/>
                <w:color w:val="auto"/>
              </w:rPr>
              <w:t>乙方法人/授权代表：</w:t>
            </w:r>
          </w:p>
        </w:tc>
      </w:tr>
      <w:tr w14:paraId="05D21986">
        <w:tblPrEx>
          <w:tblCellMar>
            <w:top w:w="0" w:type="dxa"/>
            <w:left w:w="108" w:type="dxa"/>
            <w:bottom w:w="0" w:type="dxa"/>
            <w:right w:w="108" w:type="dxa"/>
          </w:tblCellMar>
        </w:tblPrEx>
        <w:trPr>
          <w:trHeight w:val="390" w:hRule="atLeast"/>
        </w:trPr>
        <w:tc>
          <w:tcPr>
            <w:tcW w:w="4968" w:type="dxa"/>
          </w:tcPr>
          <w:p w14:paraId="54D1D4A2">
            <w:pPr>
              <w:overflowPunct w:val="0"/>
              <w:topLinePunct/>
              <w:spacing w:line="360" w:lineRule="auto"/>
              <w:rPr>
                <w:rFonts w:eastAsiaTheme="minorEastAsia"/>
                <w:color w:val="auto"/>
              </w:rPr>
            </w:pPr>
            <w:r>
              <w:rPr>
                <w:rFonts w:eastAsiaTheme="minorEastAsia"/>
                <w:color w:val="auto"/>
              </w:rPr>
              <w:t>总务处负责人：</w:t>
            </w:r>
          </w:p>
          <w:p w14:paraId="10D73B66">
            <w:pPr>
              <w:overflowPunct w:val="0"/>
              <w:topLinePunct/>
              <w:spacing w:line="360" w:lineRule="auto"/>
              <w:rPr>
                <w:rFonts w:eastAsiaTheme="minorEastAsia"/>
                <w:color w:val="auto"/>
              </w:rPr>
            </w:pPr>
          </w:p>
          <w:p w14:paraId="2C0E64CA">
            <w:pPr>
              <w:overflowPunct w:val="0"/>
              <w:topLinePunct/>
              <w:spacing w:line="360" w:lineRule="auto"/>
              <w:rPr>
                <w:rFonts w:eastAsiaTheme="minorEastAsia"/>
                <w:color w:val="auto"/>
              </w:rPr>
            </w:pPr>
            <w:r>
              <w:rPr>
                <w:rFonts w:eastAsiaTheme="minorEastAsia"/>
                <w:color w:val="auto"/>
              </w:rPr>
              <w:t>项目经理：</w:t>
            </w:r>
          </w:p>
        </w:tc>
        <w:tc>
          <w:tcPr>
            <w:tcW w:w="4860" w:type="dxa"/>
          </w:tcPr>
          <w:p w14:paraId="3F3D5DB8">
            <w:pPr>
              <w:overflowPunct w:val="0"/>
              <w:topLinePunct/>
              <w:spacing w:line="360" w:lineRule="auto"/>
              <w:rPr>
                <w:rFonts w:eastAsiaTheme="minorEastAsia"/>
                <w:color w:val="auto"/>
              </w:rPr>
            </w:pPr>
            <w:r>
              <w:rPr>
                <w:rFonts w:eastAsiaTheme="minorEastAsia"/>
                <w:color w:val="auto"/>
              </w:rPr>
              <w:t>项目经理：</w:t>
            </w:r>
          </w:p>
          <w:p w14:paraId="3041287F">
            <w:pPr>
              <w:overflowPunct w:val="0"/>
              <w:topLinePunct/>
              <w:spacing w:line="360" w:lineRule="auto"/>
              <w:rPr>
                <w:rFonts w:eastAsiaTheme="minorEastAsia"/>
                <w:color w:val="auto"/>
                <w:u w:val="single"/>
              </w:rPr>
            </w:pPr>
            <w:r>
              <w:rPr>
                <w:rFonts w:eastAsiaTheme="minorEastAsia"/>
                <w:color w:val="auto"/>
              </w:rPr>
              <w:t>开户银行：</w:t>
            </w:r>
            <w:r>
              <w:rPr>
                <w:rFonts w:eastAsiaTheme="minorEastAsia"/>
                <w:color w:val="auto"/>
                <w:u w:val="single"/>
              </w:rPr>
              <w:t xml:space="preserve">                         </w:t>
            </w:r>
          </w:p>
          <w:p w14:paraId="4EBB6302">
            <w:pPr>
              <w:overflowPunct w:val="0"/>
              <w:topLinePunct/>
              <w:spacing w:line="360" w:lineRule="auto"/>
              <w:rPr>
                <w:rFonts w:eastAsiaTheme="minorEastAsia"/>
                <w:color w:val="auto"/>
                <w:u w:val="single"/>
              </w:rPr>
            </w:pPr>
            <w:r>
              <w:rPr>
                <w:rFonts w:eastAsiaTheme="minorEastAsia"/>
                <w:color w:val="auto"/>
              </w:rPr>
              <w:t>账号：</w:t>
            </w:r>
            <w:r>
              <w:rPr>
                <w:rFonts w:eastAsiaTheme="minorEastAsia"/>
                <w:color w:val="auto"/>
                <w:u w:val="single"/>
              </w:rPr>
              <w:t xml:space="preserve">                               </w:t>
            </w:r>
          </w:p>
        </w:tc>
      </w:tr>
      <w:tr w14:paraId="12CB2C7C">
        <w:tblPrEx>
          <w:tblCellMar>
            <w:top w:w="0" w:type="dxa"/>
            <w:left w:w="108" w:type="dxa"/>
            <w:bottom w:w="0" w:type="dxa"/>
            <w:right w:w="108" w:type="dxa"/>
          </w:tblCellMar>
        </w:tblPrEx>
        <w:trPr>
          <w:trHeight w:val="390" w:hRule="atLeast"/>
        </w:trPr>
        <w:tc>
          <w:tcPr>
            <w:tcW w:w="4968" w:type="dxa"/>
          </w:tcPr>
          <w:p w14:paraId="6829DC54">
            <w:pPr>
              <w:overflowPunct w:val="0"/>
              <w:topLinePunct/>
              <w:spacing w:line="360" w:lineRule="auto"/>
              <w:rPr>
                <w:rFonts w:eastAsiaTheme="minorEastAsia"/>
                <w:color w:val="auto"/>
              </w:rPr>
            </w:pPr>
            <w:r>
              <w:rPr>
                <w:rFonts w:eastAsiaTheme="minorEastAsia"/>
                <w:color w:val="auto"/>
              </w:rPr>
              <w:t>合同签署时间：</w:t>
            </w:r>
          </w:p>
        </w:tc>
        <w:tc>
          <w:tcPr>
            <w:tcW w:w="4860" w:type="dxa"/>
          </w:tcPr>
          <w:p w14:paraId="28F67AA1">
            <w:pPr>
              <w:overflowPunct w:val="0"/>
              <w:topLinePunct/>
              <w:spacing w:line="360" w:lineRule="auto"/>
              <w:rPr>
                <w:rFonts w:eastAsiaTheme="minorEastAsia"/>
                <w:color w:val="auto"/>
              </w:rPr>
            </w:pPr>
            <w:r>
              <w:rPr>
                <w:rFonts w:eastAsiaTheme="minorEastAsia"/>
                <w:color w:val="auto"/>
              </w:rPr>
              <w:t>合同签署时间：</w:t>
            </w:r>
          </w:p>
        </w:tc>
      </w:tr>
    </w:tbl>
    <w:p w14:paraId="17765B27">
      <w:pPr>
        <w:tabs>
          <w:tab w:val="left" w:pos="180"/>
          <w:tab w:val="left" w:pos="360"/>
        </w:tabs>
        <w:overflowPunct w:val="0"/>
        <w:topLinePunct/>
        <w:spacing w:line="360" w:lineRule="auto"/>
        <w:rPr>
          <w:rFonts w:eastAsiaTheme="minorEastAsia"/>
          <w:b/>
          <w:bCs/>
          <w:color w:val="auto"/>
          <w:kern w:val="28"/>
          <w:sz w:val="30"/>
          <w:szCs w:val="30"/>
        </w:rPr>
      </w:pPr>
    </w:p>
    <w:p w14:paraId="3293B34C">
      <w:pPr>
        <w:overflowPunct w:val="0"/>
        <w:topLinePunct/>
        <w:spacing w:line="360" w:lineRule="auto"/>
        <w:outlineLvl w:val="0"/>
        <w:rPr>
          <w:rFonts w:eastAsiaTheme="minorEastAsia"/>
          <w:color w:val="auto"/>
        </w:rPr>
      </w:pPr>
    </w:p>
    <w:p w14:paraId="67523310">
      <w:pPr>
        <w:widowControl/>
        <w:spacing w:line="360" w:lineRule="auto"/>
        <w:jc w:val="left"/>
        <w:rPr>
          <w:rFonts w:eastAsiaTheme="minorEastAsia"/>
          <w:color w:val="auto"/>
          <w:sz w:val="24"/>
        </w:rPr>
      </w:pPr>
      <w:r>
        <w:rPr>
          <w:rFonts w:eastAsiaTheme="minorEastAsia"/>
          <w:color w:val="auto"/>
        </w:rPr>
        <w:br w:type="page"/>
      </w:r>
    </w:p>
    <w:p w14:paraId="577DDF74">
      <w:pPr>
        <w:pStyle w:val="68"/>
        <w:rPr>
          <w:rFonts w:ascii="Times New Roman" w:hAnsi="Times New Roman" w:eastAsiaTheme="minorEastAsia"/>
          <w:color w:val="auto"/>
        </w:rPr>
      </w:pPr>
    </w:p>
    <w:p w14:paraId="12F23B89">
      <w:pPr>
        <w:pStyle w:val="13"/>
        <w:numPr>
          <w:ilvl w:val="0"/>
          <w:numId w:val="0"/>
        </w:numPr>
        <w:spacing w:line="360" w:lineRule="auto"/>
        <w:rPr>
          <w:rFonts w:eastAsiaTheme="minorEastAsia"/>
          <w:color w:val="auto"/>
        </w:rPr>
      </w:pPr>
      <w:r>
        <w:rPr>
          <w:rFonts w:eastAsiaTheme="minorEastAsia"/>
          <w:color w:val="auto"/>
        </w:rPr>
        <w:t xml:space="preserve">第六章 </w:t>
      </w:r>
      <w:bookmarkEnd w:id="34"/>
      <w:r>
        <w:rPr>
          <w:color w:val="auto"/>
        </w:rPr>
        <w:t>投标文件格式及附件</w:t>
      </w:r>
    </w:p>
    <w:p w14:paraId="71E2BACD">
      <w:pPr>
        <w:widowControl/>
        <w:adjustRightInd w:val="0"/>
        <w:spacing w:line="360" w:lineRule="auto"/>
        <w:jc w:val="left"/>
        <w:rPr>
          <w:rFonts w:eastAsiaTheme="minorEastAsia"/>
          <w:b/>
          <w:bCs/>
          <w:color w:val="auto"/>
          <w:szCs w:val="21"/>
        </w:rPr>
      </w:pPr>
    </w:p>
    <w:p w14:paraId="222547FB">
      <w:pPr>
        <w:spacing w:line="360" w:lineRule="auto"/>
        <w:rPr>
          <w:rFonts w:eastAsiaTheme="minorEastAsia"/>
          <w:color w:val="auto"/>
          <w:sz w:val="20"/>
          <w:szCs w:val="20"/>
        </w:rPr>
      </w:pPr>
    </w:p>
    <w:p w14:paraId="0B472541">
      <w:pPr>
        <w:spacing w:line="360" w:lineRule="auto"/>
        <w:rPr>
          <w:rFonts w:eastAsiaTheme="minorEastAsia"/>
          <w:color w:val="auto"/>
          <w:sz w:val="20"/>
          <w:szCs w:val="20"/>
        </w:rPr>
      </w:pPr>
    </w:p>
    <w:bookmarkEnd w:id="0"/>
    <w:p w14:paraId="436CE383">
      <w:pPr>
        <w:spacing w:line="360" w:lineRule="auto"/>
        <w:jc w:val="center"/>
        <w:rPr>
          <w:rFonts w:eastAsiaTheme="minorEastAsia"/>
          <w:color w:val="auto"/>
          <w:sz w:val="52"/>
          <w:szCs w:val="52"/>
        </w:rPr>
      </w:pPr>
      <w:r>
        <w:rPr>
          <w:rFonts w:eastAsiaTheme="minorEastAsia"/>
          <w:color w:val="auto"/>
          <w:sz w:val="52"/>
          <w:szCs w:val="52"/>
        </w:rPr>
        <w:t>投标文件</w:t>
      </w:r>
    </w:p>
    <w:p w14:paraId="4360FB92">
      <w:pPr>
        <w:spacing w:line="360" w:lineRule="auto"/>
        <w:rPr>
          <w:rFonts w:eastAsiaTheme="minorEastAsia"/>
          <w:color w:val="auto"/>
          <w:sz w:val="36"/>
          <w:szCs w:val="36"/>
        </w:rPr>
      </w:pPr>
    </w:p>
    <w:p w14:paraId="7A9FE7DA">
      <w:pPr>
        <w:spacing w:line="360" w:lineRule="auto"/>
        <w:rPr>
          <w:rFonts w:eastAsiaTheme="minorEastAsia"/>
          <w:color w:val="auto"/>
          <w:sz w:val="36"/>
          <w:szCs w:val="36"/>
        </w:rPr>
      </w:pPr>
    </w:p>
    <w:p w14:paraId="638E91E6">
      <w:pPr>
        <w:spacing w:line="360" w:lineRule="auto"/>
        <w:rPr>
          <w:rFonts w:eastAsiaTheme="minorEastAsia"/>
          <w:color w:val="auto"/>
          <w:sz w:val="36"/>
          <w:szCs w:val="36"/>
        </w:rPr>
      </w:pPr>
    </w:p>
    <w:p w14:paraId="6F80208F">
      <w:pPr>
        <w:spacing w:line="360" w:lineRule="auto"/>
        <w:ind w:firstLine="720" w:firstLineChars="200"/>
        <w:rPr>
          <w:rFonts w:eastAsiaTheme="minorEastAsia"/>
          <w:color w:val="auto"/>
          <w:sz w:val="36"/>
          <w:szCs w:val="36"/>
        </w:rPr>
      </w:pPr>
      <w:r>
        <w:rPr>
          <w:rFonts w:eastAsiaTheme="minorEastAsia"/>
          <w:color w:val="auto"/>
          <w:sz w:val="36"/>
          <w:szCs w:val="36"/>
        </w:rPr>
        <w:t>项目名称：</w:t>
      </w:r>
    </w:p>
    <w:p w14:paraId="216DFF65">
      <w:pPr>
        <w:spacing w:line="360" w:lineRule="auto"/>
        <w:ind w:firstLine="720" w:firstLineChars="200"/>
        <w:rPr>
          <w:rFonts w:eastAsiaTheme="minorEastAsia"/>
          <w:color w:val="auto"/>
          <w:sz w:val="36"/>
          <w:szCs w:val="36"/>
        </w:rPr>
      </w:pPr>
      <w:r>
        <w:rPr>
          <w:rFonts w:eastAsiaTheme="minorEastAsia"/>
          <w:color w:val="auto"/>
          <w:sz w:val="36"/>
          <w:szCs w:val="36"/>
        </w:rPr>
        <w:t>招标编号：</w:t>
      </w:r>
    </w:p>
    <w:p w14:paraId="13EB7978">
      <w:pPr>
        <w:spacing w:line="360" w:lineRule="auto"/>
        <w:ind w:firstLine="720" w:firstLineChars="200"/>
        <w:rPr>
          <w:rFonts w:eastAsiaTheme="minorEastAsia"/>
          <w:color w:val="auto"/>
          <w:sz w:val="36"/>
          <w:szCs w:val="36"/>
          <w:u w:val="single"/>
        </w:rPr>
      </w:pPr>
      <w:r>
        <w:rPr>
          <w:rFonts w:eastAsiaTheme="minorEastAsia"/>
          <w:color w:val="auto"/>
          <w:sz w:val="36"/>
          <w:szCs w:val="36"/>
        </w:rPr>
        <w:t>投标人名称：（加盖电子公章）</w:t>
      </w:r>
    </w:p>
    <w:p w14:paraId="4B9FB7C6">
      <w:pPr>
        <w:widowControl/>
        <w:spacing w:line="360" w:lineRule="auto"/>
        <w:ind w:firstLine="720" w:firstLineChars="200"/>
        <w:jc w:val="left"/>
        <w:rPr>
          <w:rFonts w:eastAsiaTheme="minorEastAsia"/>
          <w:color w:val="auto"/>
          <w:sz w:val="28"/>
          <w:szCs w:val="28"/>
        </w:rPr>
      </w:pPr>
      <w:r>
        <w:rPr>
          <w:rFonts w:eastAsiaTheme="minorEastAsia"/>
          <w:color w:val="auto"/>
          <w:sz w:val="36"/>
          <w:szCs w:val="36"/>
        </w:rPr>
        <w:t>日期：</w:t>
      </w:r>
    </w:p>
    <w:p w14:paraId="495A1633">
      <w:pPr>
        <w:spacing w:line="360" w:lineRule="auto"/>
        <w:rPr>
          <w:rFonts w:eastAsiaTheme="minorEastAsia"/>
          <w:color w:val="auto"/>
          <w:sz w:val="32"/>
          <w:szCs w:val="32"/>
        </w:rPr>
      </w:pPr>
      <w:r>
        <w:rPr>
          <w:rFonts w:eastAsiaTheme="minorEastAsia"/>
          <w:color w:val="auto"/>
          <w:sz w:val="32"/>
          <w:szCs w:val="32"/>
        </w:rPr>
        <w:br w:type="page"/>
      </w:r>
    </w:p>
    <w:p w14:paraId="20127241">
      <w:pPr>
        <w:spacing w:before="240" w:beforeLines="100" w:after="240" w:afterLines="100" w:line="360" w:lineRule="auto"/>
        <w:jc w:val="center"/>
        <w:rPr>
          <w:rFonts w:eastAsiaTheme="minorEastAsia"/>
          <w:color w:val="auto"/>
          <w:sz w:val="32"/>
          <w:szCs w:val="32"/>
        </w:rPr>
      </w:pPr>
      <w:r>
        <w:rPr>
          <w:rFonts w:eastAsiaTheme="minorEastAsia"/>
          <w:color w:val="auto"/>
          <w:sz w:val="32"/>
          <w:szCs w:val="32"/>
        </w:rPr>
        <w:t>目录</w:t>
      </w:r>
    </w:p>
    <w:p w14:paraId="7EB5E547">
      <w:pPr>
        <w:spacing w:line="360" w:lineRule="auto"/>
        <w:jc w:val="center"/>
        <w:rPr>
          <w:rFonts w:eastAsiaTheme="minorEastAsia"/>
          <w:color w:val="auto"/>
          <w:szCs w:val="21"/>
        </w:rPr>
      </w:pPr>
      <w:r>
        <w:rPr>
          <w:rFonts w:eastAsiaTheme="minorEastAsia"/>
          <w:color w:val="auto"/>
          <w:szCs w:val="21"/>
        </w:rPr>
        <w:t>（注：供应商根据附件顺序编制投标文件并制作目录（须生成页码））</w:t>
      </w:r>
    </w:p>
    <w:p w14:paraId="2329C171">
      <w:pPr>
        <w:spacing w:line="360" w:lineRule="auto"/>
        <w:rPr>
          <w:rFonts w:eastAsiaTheme="minorEastAsia"/>
          <w:color w:val="auto"/>
          <w:kern w:val="0"/>
          <w:szCs w:val="21"/>
        </w:rPr>
      </w:pPr>
      <w:r>
        <w:rPr>
          <w:rFonts w:eastAsiaTheme="minorEastAsia"/>
          <w:color w:val="auto"/>
        </w:rPr>
        <w:br w:type="page"/>
      </w:r>
      <w:r>
        <w:rPr>
          <w:rFonts w:eastAsiaTheme="minorEastAsia"/>
          <w:b/>
          <w:bCs/>
          <w:color w:val="auto"/>
          <w:kern w:val="0"/>
          <w:szCs w:val="21"/>
        </w:rPr>
        <w:t>附件一、投标申请及声明格式</w:t>
      </w:r>
    </w:p>
    <w:p w14:paraId="13EECE37">
      <w:pPr>
        <w:widowControl/>
        <w:shd w:val="clear" w:color="auto" w:fill="FFFFFF"/>
        <w:spacing w:line="360" w:lineRule="auto"/>
        <w:jc w:val="center"/>
        <w:rPr>
          <w:rFonts w:eastAsiaTheme="minorEastAsia"/>
          <w:b/>
          <w:color w:val="auto"/>
          <w:kern w:val="0"/>
          <w:szCs w:val="21"/>
        </w:rPr>
      </w:pPr>
      <w:r>
        <w:rPr>
          <w:rFonts w:eastAsiaTheme="minorEastAsia"/>
          <w:b/>
          <w:color w:val="auto"/>
          <w:kern w:val="0"/>
          <w:sz w:val="36"/>
          <w:szCs w:val="36"/>
        </w:rPr>
        <w:t>投标申请及声明</w:t>
      </w:r>
    </w:p>
    <w:p w14:paraId="4B69D65E">
      <w:pPr>
        <w:widowControl/>
        <w:shd w:val="clear" w:color="auto" w:fill="FFFFFF"/>
        <w:spacing w:line="360" w:lineRule="auto"/>
        <w:rPr>
          <w:rFonts w:eastAsiaTheme="minorEastAsia"/>
          <w:color w:val="auto"/>
          <w:kern w:val="0"/>
          <w:szCs w:val="21"/>
        </w:rPr>
      </w:pPr>
      <w:r>
        <w:rPr>
          <w:rFonts w:eastAsiaTheme="minorEastAsia"/>
          <w:color w:val="auto"/>
          <w:kern w:val="0"/>
          <w:szCs w:val="21"/>
        </w:rPr>
        <w:t> 致：江苏省设备成套股份有限公司</w:t>
      </w:r>
    </w:p>
    <w:p w14:paraId="3651AB71">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根据贵方</w:t>
      </w:r>
      <w:r>
        <w:rPr>
          <w:rFonts w:eastAsiaTheme="minorEastAsia"/>
          <w:color w:val="auto"/>
          <w:kern w:val="0"/>
          <w:szCs w:val="21"/>
          <w:u w:val="single"/>
        </w:rPr>
        <w:t>           </w:t>
      </w:r>
      <w:r>
        <w:rPr>
          <w:rFonts w:eastAsiaTheme="minorEastAsia"/>
          <w:color w:val="auto"/>
          <w:kern w:val="0"/>
          <w:szCs w:val="21"/>
        </w:rPr>
        <w:t>（项目名称） </w:t>
      </w:r>
      <w:r>
        <w:rPr>
          <w:rFonts w:eastAsiaTheme="minorEastAsia"/>
          <w:color w:val="auto"/>
          <w:kern w:val="0"/>
          <w:szCs w:val="21"/>
          <w:u w:val="single"/>
        </w:rPr>
        <w:t>       </w:t>
      </w:r>
      <w:r>
        <w:rPr>
          <w:rFonts w:eastAsiaTheme="minorEastAsia"/>
          <w:color w:val="auto"/>
          <w:kern w:val="0"/>
          <w:szCs w:val="21"/>
        </w:rPr>
        <w:t>（项目编号）投标邀请，正式授权下述签字人</w:t>
      </w:r>
      <w:r>
        <w:rPr>
          <w:rFonts w:eastAsiaTheme="minorEastAsia"/>
          <w:color w:val="auto"/>
          <w:kern w:val="0"/>
          <w:szCs w:val="21"/>
          <w:u w:val="single"/>
        </w:rPr>
        <w:t>           </w:t>
      </w:r>
      <w:r>
        <w:rPr>
          <w:rFonts w:eastAsiaTheme="minorEastAsia"/>
          <w:color w:val="auto"/>
          <w:kern w:val="0"/>
          <w:szCs w:val="21"/>
        </w:rPr>
        <w:t>(姓名和职务)代表供应商</w:t>
      </w:r>
      <w:r>
        <w:rPr>
          <w:rFonts w:eastAsiaTheme="minorEastAsia"/>
          <w:color w:val="auto"/>
          <w:kern w:val="0"/>
          <w:szCs w:val="21"/>
          <w:u w:val="single"/>
        </w:rPr>
        <w:t>     </w:t>
      </w:r>
      <w:r>
        <w:rPr>
          <w:rFonts w:eastAsiaTheme="minorEastAsia"/>
          <w:color w:val="auto"/>
          <w:kern w:val="0"/>
          <w:szCs w:val="21"/>
        </w:rPr>
        <w:t>（供应商名称），提交投标文件。</w:t>
      </w:r>
    </w:p>
    <w:p w14:paraId="762AD8FA">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据此函，签字人兹宣布声明和承诺如下：</w:t>
      </w:r>
    </w:p>
    <w:p w14:paraId="64D2E13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1、</w:t>
      </w:r>
      <w:r>
        <w:rPr>
          <w:rFonts w:eastAsiaTheme="minorEastAsia"/>
          <w:b/>
          <w:bCs/>
          <w:color w:val="auto"/>
          <w:kern w:val="0"/>
          <w:szCs w:val="21"/>
        </w:rPr>
        <w:t>我们的资格条件完全符合政府采购法和本次招标要求</w:t>
      </w:r>
      <w:r>
        <w:rPr>
          <w:rFonts w:eastAsiaTheme="minorEastAsia"/>
          <w:color w:val="auto"/>
          <w:kern w:val="0"/>
          <w:szCs w:val="21"/>
        </w:rPr>
        <w:t>，我们同意并向贵方提供了与投标有关的所有证据和资料。</w:t>
      </w:r>
    </w:p>
    <w:p w14:paraId="0917A2BA">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2、按招标要求，我们的投标总报价为（大写）</w:t>
      </w:r>
      <w:r>
        <w:rPr>
          <w:rFonts w:eastAsiaTheme="minorEastAsia"/>
          <w:color w:val="auto"/>
          <w:kern w:val="0"/>
          <w:szCs w:val="21"/>
          <w:u w:val="single"/>
        </w:rPr>
        <w:t>              </w:t>
      </w:r>
      <w:r>
        <w:rPr>
          <w:rFonts w:eastAsiaTheme="minorEastAsia"/>
          <w:color w:val="auto"/>
          <w:kern w:val="0"/>
          <w:szCs w:val="21"/>
        </w:rPr>
        <w:t>。</w:t>
      </w:r>
    </w:p>
    <w:p w14:paraId="6ACA6A92">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3、本项目交付时间为：满足采购文件要求。</w:t>
      </w:r>
    </w:p>
    <w:p w14:paraId="72675B4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4、我们已详细阅读全部招标文件及其有效补充文件，我们放弃对招标文件任何误解的权利，提交投标文件后，</w:t>
      </w:r>
      <w:r>
        <w:rPr>
          <w:rFonts w:eastAsiaTheme="minorEastAsia"/>
          <w:b/>
          <w:bCs/>
          <w:color w:val="auto"/>
          <w:kern w:val="0"/>
          <w:szCs w:val="21"/>
        </w:rPr>
        <w:t>不对招标文件本身提出质疑</w:t>
      </w:r>
      <w:r>
        <w:rPr>
          <w:rFonts w:eastAsiaTheme="minorEastAsia"/>
          <w:color w:val="auto"/>
          <w:kern w:val="0"/>
          <w:szCs w:val="21"/>
        </w:rPr>
        <w:t>。</w:t>
      </w:r>
    </w:p>
    <w:p w14:paraId="022660FC">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5、我们同意从规定的开标日期起遵循本投标文件，并在规定的投标有效期期满之前均具有约束力。</w:t>
      </w:r>
    </w:p>
    <w:p w14:paraId="15634617">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6、投标截止时间结束后参加投标的供应商不足三家的，或在评标期间出现符合专业条件的供应商或者对招标文件作出实质响应的供应商不足三家情形的，我们酌情决定是否参加</w:t>
      </w:r>
      <w:r>
        <w:rPr>
          <w:rFonts w:eastAsiaTheme="minorEastAsia"/>
          <w:color w:val="auto"/>
        </w:rPr>
        <w:t>贵方组织的其他采购方式采购</w:t>
      </w:r>
      <w:r>
        <w:rPr>
          <w:rFonts w:eastAsiaTheme="minorEastAsia"/>
          <w:color w:val="auto"/>
          <w:kern w:val="0"/>
          <w:szCs w:val="21"/>
        </w:rPr>
        <w:t>。</w:t>
      </w:r>
    </w:p>
    <w:p w14:paraId="1C84B016">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7、一旦我方中标，我方将根据招标文件的规定严格履行合同，并保证于承诺的时间完成货物的启动/集成、调试等服务，交付采购人验收、使用。</w:t>
      </w:r>
    </w:p>
    <w:p w14:paraId="2963EA4D">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79204930">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9、与本投标有关的正式联系方式为：</w:t>
      </w:r>
    </w:p>
    <w:p w14:paraId="66A49FA3">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地   址：</w:t>
      </w:r>
      <w:r>
        <w:rPr>
          <w:rFonts w:eastAsiaTheme="minorEastAsia"/>
          <w:color w:val="auto"/>
          <w:kern w:val="0"/>
          <w:szCs w:val="21"/>
          <w:u w:val="single"/>
        </w:rPr>
        <w:t>                      </w:t>
      </w:r>
    </w:p>
    <w:p w14:paraId="548D0AF4">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电   话：</w:t>
      </w:r>
      <w:r>
        <w:rPr>
          <w:rFonts w:eastAsiaTheme="minorEastAsia"/>
          <w:color w:val="auto"/>
          <w:kern w:val="0"/>
          <w:szCs w:val="21"/>
          <w:u w:val="single"/>
        </w:rPr>
        <w:t>                      </w:t>
      </w:r>
    </w:p>
    <w:p w14:paraId="41EA0B35">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传   真：</w:t>
      </w:r>
      <w:r>
        <w:rPr>
          <w:rFonts w:eastAsiaTheme="minorEastAsia"/>
          <w:color w:val="auto"/>
          <w:kern w:val="0"/>
          <w:szCs w:val="21"/>
          <w:u w:val="single"/>
        </w:rPr>
        <w:t>                      </w:t>
      </w:r>
    </w:p>
    <w:p w14:paraId="4ABCBE8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开户银行：</w:t>
      </w:r>
    </w:p>
    <w:p w14:paraId="45E7204F">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银行账号：</w:t>
      </w:r>
    </w:p>
    <w:p w14:paraId="4ECF3E8E">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供应商名称：</w:t>
      </w:r>
      <w:r>
        <w:rPr>
          <w:rFonts w:eastAsiaTheme="minorEastAsia"/>
          <w:color w:val="auto"/>
          <w:kern w:val="0"/>
          <w:szCs w:val="21"/>
          <w:u w:val="single"/>
        </w:rPr>
        <w:t>                 </w:t>
      </w:r>
      <w:r>
        <w:rPr>
          <w:rFonts w:eastAsiaTheme="minorEastAsia"/>
          <w:color w:val="auto"/>
          <w:kern w:val="0"/>
          <w:szCs w:val="21"/>
        </w:rPr>
        <w:t>（加盖电子公章）</w:t>
      </w:r>
    </w:p>
    <w:p w14:paraId="7F9FAED7">
      <w:pPr>
        <w:widowControl/>
        <w:shd w:val="clear" w:color="auto" w:fill="FFFFFF"/>
        <w:spacing w:line="360" w:lineRule="auto"/>
        <w:ind w:firstLine="420"/>
        <w:rPr>
          <w:rFonts w:eastAsiaTheme="minorEastAsia"/>
          <w:color w:val="auto"/>
          <w:kern w:val="0"/>
          <w:szCs w:val="21"/>
        </w:rPr>
      </w:pPr>
      <w:r>
        <w:rPr>
          <w:rFonts w:eastAsiaTheme="minorEastAsia"/>
          <w:color w:val="auto"/>
          <w:kern w:val="0"/>
          <w:szCs w:val="21"/>
        </w:rPr>
        <w:t>日    期：</w:t>
      </w:r>
      <w:r>
        <w:rPr>
          <w:rFonts w:eastAsiaTheme="minorEastAsia"/>
          <w:color w:val="auto"/>
          <w:kern w:val="0"/>
          <w:szCs w:val="21"/>
          <w:u w:val="single"/>
        </w:rPr>
        <w:t>     </w:t>
      </w:r>
      <w:r>
        <w:rPr>
          <w:rFonts w:eastAsiaTheme="minorEastAsia"/>
          <w:color w:val="auto"/>
          <w:kern w:val="0"/>
          <w:szCs w:val="21"/>
        </w:rPr>
        <w:t>年</w:t>
      </w:r>
      <w:r>
        <w:rPr>
          <w:rFonts w:eastAsiaTheme="minorEastAsia"/>
          <w:color w:val="auto"/>
          <w:kern w:val="0"/>
          <w:szCs w:val="21"/>
          <w:u w:val="single"/>
        </w:rPr>
        <w:t>    </w:t>
      </w:r>
      <w:r>
        <w:rPr>
          <w:rFonts w:eastAsiaTheme="minorEastAsia"/>
          <w:color w:val="auto"/>
          <w:kern w:val="0"/>
          <w:szCs w:val="21"/>
        </w:rPr>
        <w:t>月</w:t>
      </w:r>
      <w:r>
        <w:rPr>
          <w:rFonts w:eastAsiaTheme="minorEastAsia"/>
          <w:color w:val="auto"/>
          <w:kern w:val="0"/>
          <w:szCs w:val="21"/>
          <w:u w:val="single"/>
        </w:rPr>
        <w:t>    </w:t>
      </w:r>
      <w:r>
        <w:rPr>
          <w:rFonts w:eastAsiaTheme="minorEastAsia"/>
          <w:color w:val="auto"/>
          <w:kern w:val="0"/>
          <w:szCs w:val="21"/>
        </w:rPr>
        <w:t>日</w:t>
      </w:r>
    </w:p>
    <w:p w14:paraId="2C036578">
      <w:pPr>
        <w:widowControl/>
        <w:shd w:val="clear" w:color="auto" w:fill="FFFFFF"/>
        <w:spacing w:line="360" w:lineRule="auto"/>
        <w:rPr>
          <w:rFonts w:eastAsiaTheme="minorEastAsia"/>
          <w:color w:val="auto"/>
          <w:kern w:val="0"/>
          <w:szCs w:val="21"/>
        </w:rPr>
      </w:pPr>
      <w:r>
        <w:rPr>
          <w:rFonts w:eastAsiaTheme="minorEastAsia"/>
          <w:b/>
          <w:bCs/>
          <w:color w:val="auto"/>
          <w:kern w:val="0"/>
          <w:szCs w:val="21"/>
        </w:rPr>
        <w:br w:type="page"/>
      </w:r>
      <w:r>
        <w:rPr>
          <w:rFonts w:eastAsiaTheme="minorEastAsia"/>
          <w:b/>
          <w:bCs/>
          <w:color w:val="auto"/>
          <w:kern w:val="0"/>
          <w:szCs w:val="21"/>
        </w:rPr>
        <w:t>附件二、法定代表人授权委托书格式</w:t>
      </w:r>
    </w:p>
    <w:p w14:paraId="19586DB6">
      <w:pPr>
        <w:widowControl/>
        <w:shd w:val="clear" w:color="auto" w:fill="FFFFFF"/>
        <w:spacing w:line="360" w:lineRule="auto"/>
        <w:ind w:firstLine="720"/>
        <w:jc w:val="center"/>
        <w:rPr>
          <w:rFonts w:eastAsiaTheme="minorEastAsia"/>
          <w:color w:val="auto"/>
          <w:kern w:val="0"/>
          <w:sz w:val="36"/>
          <w:szCs w:val="36"/>
        </w:rPr>
      </w:pPr>
    </w:p>
    <w:p w14:paraId="70758CAC">
      <w:pPr>
        <w:widowControl/>
        <w:shd w:val="clear" w:color="auto" w:fill="FFFFFF"/>
        <w:spacing w:line="360" w:lineRule="auto"/>
        <w:ind w:firstLine="720"/>
        <w:jc w:val="center"/>
        <w:rPr>
          <w:rFonts w:eastAsiaTheme="minorEastAsia"/>
          <w:b/>
          <w:color w:val="auto"/>
          <w:kern w:val="0"/>
          <w:szCs w:val="21"/>
        </w:rPr>
      </w:pPr>
      <w:r>
        <w:rPr>
          <w:rFonts w:eastAsiaTheme="minorEastAsia"/>
          <w:b/>
          <w:color w:val="auto"/>
          <w:kern w:val="0"/>
          <w:sz w:val="36"/>
          <w:szCs w:val="36"/>
        </w:rPr>
        <w:t>法人授权书</w:t>
      </w:r>
    </w:p>
    <w:p w14:paraId="68A28D1B">
      <w:pPr>
        <w:widowControl/>
        <w:shd w:val="clear" w:color="auto" w:fill="FFFFFF"/>
        <w:spacing w:line="360" w:lineRule="auto"/>
        <w:jc w:val="left"/>
        <w:rPr>
          <w:rFonts w:eastAsiaTheme="minorEastAsia"/>
          <w:color w:val="auto"/>
          <w:kern w:val="0"/>
          <w:szCs w:val="21"/>
        </w:rPr>
      </w:pPr>
    </w:p>
    <w:p w14:paraId="3F0C30EE">
      <w:pPr>
        <w:spacing w:line="360" w:lineRule="auto"/>
        <w:ind w:firstLine="480"/>
        <w:rPr>
          <w:rFonts w:eastAsiaTheme="minorEastAsia"/>
          <w:color w:val="auto"/>
          <w:szCs w:val="21"/>
        </w:rPr>
      </w:pPr>
      <w:r>
        <w:rPr>
          <w:rFonts w:eastAsiaTheme="minorEastAsia"/>
          <w:color w:val="auto"/>
          <w:szCs w:val="21"/>
        </w:rPr>
        <w:t>本授权书声明：</w:t>
      </w:r>
      <w:r>
        <w:rPr>
          <w:rFonts w:eastAsiaTheme="minorEastAsia"/>
          <w:color w:val="auto"/>
          <w:szCs w:val="21"/>
          <w:u w:val="single"/>
        </w:rPr>
        <w:t xml:space="preserve">            </w:t>
      </w:r>
      <w:r>
        <w:rPr>
          <w:rFonts w:eastAsiaTheme="minorEastAsia"/>
          <w:color w:val="auto"/>
          <w:szCs w:val="21"/>
        </w:rPr>
        <w:t>（投标人名称）授权</w:t>
      </w:r>
      <w:r>
        <w:rPr>
          <w:rFonts w:eastAsiaTheme="minorEastAsia"/>
          <w:color w:val="auto"/>
          <w:szCs w:val="21"/>
          <w:u w:val="single"/>
        </w:rPr>
        <w:t xml:space="preserve">                 </w:t>
      </w:r>
      <w:r>
        <w:rPr>
          <w:rFonts w:eastAsiaTheme="minorEastAsia"/>
          <w:color w:val="auto"/>
          <w:szCs w:val="21"/>
        </w:rPr>
        <w:t>（被授权人姓名）作为我方参加编号为</w:t>
      </w:r>
      <w:r>
        <w:rPr>
          <w:rFonts w:eastAsiaTheme="minorEastAsia"/>
          <w:color w:val="auto"/>
          <w:szCs w:val="21"/>
          <w:u w:val="single"/>
        </w:rPr>
        <w:t xml:space="preserve">                             </w:t>
      </w:r>
      <w:r>
        <w:rPr>
          <w:rFonts w:eastAsiaTheme="minorEastAsia"/>
          <w:color w:val="auto"/>
          <w:szCs w:val="21"/>
        </w:rPr>
        <w:t>项目采购活动的合法代理人，以本单位名义全权处理一切与该项目采购有关的事务。</w:t>
      </w:r>
    </w:p>
    <w:p w14:paraId="51BDF86C">
      <w:pPr>
        <w:spacing w:line="360" w:lineRule="auto"/>
        <w:ind w:firstLine="480"/>
        <w:rPr>
          <w:rFonts w:eastAsiaTheme="minorEastAsia"/>
          <w:color w:val="auto"/>
          <w:szCs w:val="21"/>
        </w:rPr>
      </w:pPr>
      <w:r>
        <w:rPr>
          <w:rFonts w:eastAsiaTheme="minorEastAsia"/>
          <w:color w:val="auto"/>
          <w:szCs w:val="21"/>
        </w:rPr>
        <w:t>本授权书自______年____月____日起生效，特此声明。</w:t>
      </w:r>
    </w:p>
    <w:p w14:paraId="7FF01887">
      <w:pPr>
        <w:spacing w:line="360" w:lineRule="auto"/>
        <w:ind w:firstLine="480"/>
        <w:rPr>
          <w:rFonts w:eastAsiaTheme="minorEastAsia"/>
          <w:color w:val="auto"/>
          <w:szCs w:val="21"/>
        </w:rPr>
      </w:pPr>
      <w:r>
        <w:rPr>
          <w:rFonts w:eastAsiaTheme="minorEastAsia"/>
          <w:color w:val="auto"/>
          <w:szCs w:val="21"/>
        </w:rPr>
        <w:t>被授权人身份证号码：</w:t>
      </w:r>
    </w:p>
    <w:p w14:paraId="38E9F651">
      <w:pPr>
        <w:spacing w:line="360" w:lineRule="auto"/>
        <w:ind w:firstLine="480"/>
        <w:rPr>
          <w:rFonts w:eastAsiaTheme="minorEastAsia"/>
          <w:color w:val="auto"/>
          <w:szCs w:val="21"/>
          <w:u w:val="single"/>
        </w:rPr>
      </w:pPr>
      <w:r>
        <w:rPr>
          <w:rFonts w:eastAsiaTheme="minorEastAsia"/>
          <w:color w:val="auto"/>
          <w:szCs w:val="21"/>
        </w:rPr>
        <w:t>被授权人联系电话：           （手机）</w:t>
      </w:r>
    </w:p>
    <w:p w14:paraId="029B6443">
      <w:pPr>
        <w:spacing w:line="360" w:lineRule="auto"/>
        <w:ind w:firstLine="480"/>
        <w:rPr>
          <w:rFonts w:eastAsiaTheme="minorEastAsia"/>
          <w:color w:val="auto"/>
          <w:szCs w:val="21"/>
          <w:u w:val="single"/>
        </w:rPr>
      </w:pPr>
      <w:r>
        <w:rPr>
          <w:rFonts w:eastAsiaTheme="minorEastAsia"/>
          <w:color w:val="auto"/>
          <w:szCs w:val="21"/>
        </w:rPr>
        <w:t>投标人名称：              （加盖电子公章）</w:t>
      </w:r>
    </w:p>
    <w:p w14:paraId="1E6201DC">
      <w:pPr>
        <w:spacing w:line="360" w:lineRule="auto"/>
        <w:ind w:firstLine="480"/>
        <w:rPr>
          <w:rFonts w:eastAsiaTheme="minorEastAsia"/>
          <w:color w:val="auto"/>
          <w:szCs w:val="21"/>
          <w:u w:val="single"/>
        </w:rPr>
      </w:pPr>
      <w:r>
        <w:rPr>
          <w:rFonts w:eastAsiaTheme="minorEastAsia"/>
          <w:color w:val="auto"/>
          <w:szCs w:val="21"/>
        </w:rPr>
        <w:t>单位地址：</w:t>
      </w:r>
    </w:p>
    <w:p w14:paraId="30EE0C26">
      <w:pPr>
        <w:spacing w:line="360" w:lineRule="auto"/>
        <w:ind w:firstLine="480"/>
        <w:rPr>
          <w:rFonts w:eastAsiaTheme="minorEastAsia"/>
          <w:color w:val="auto"/>
          <w:szCs w:val="21"/>
        </w:rPr>
      </w:pPr>
      <w:r>
        <w:rPr>
          <w:rFonts w:eastAsiaTheme="minorEastAsia"/>
          <w:color w:val="auto"/>
          <w:szCs w:val="21"/>
        </w:rPr>
        <w:t>日    期：</w:t>
      </w:r>
    </w:p>
    <w:p w14:paraId="3754D344">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 </w:t>
      </w:r>
    </w:p>
    <w:p w14:paraId="4C3999CA">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 </w:t>
      </w:r>
    </w:p>
    <w:p w14:paraId="58CDBC2A">
      <w:pPr>
        <w:autoSpaceDE w:val="0"/>
        <w:autoSpaceDN w:val="0"/>
        <w:adjustRightInd w:val="0"/>
        <w:spacing w:line="360" w:lineRule="auto"/>
        <w:rPr>
          <w:rFonts w:eastAsiaTheme="minorEastAsia"/>
          <w:color w:val="auto"/>
          <w:lang w:val="zh-CN"/>
        </w:rPr>
      </w:pPr>
      <w:r>
        <w:rPr>
          <w:rFonts w:eastAsiaTheme="minorEastAsia"/>
          <w:b/>
          <w:bCs/>
          <w:color w:val="auto"/>
          <w:kern w:val="0"/>
          <w:szCs w:val="21"/>
        </w:rPr>
        <w:br w:type="page"/>
      </w:r>
      <w:r>
        <w:rPr>
          <w:rFonts w:eastAsiaTheme="minorEastAsia"/>
          <w:b/>
          <w:bCs/>
          <w:color w:val="auto"/>
          <w:kern w:val="0"/>
          <w:szCs w:val="21"/>
          <w:lang w:val="zh-CN"/>
        </w:rPr>
        <w:t>附件三、报价表</w:t>
      </w:r>
    </w:p>
    <w:p w14:paraId="67B872AB">
      <w:pPr>
        <w:autoSpaceDE w:val="0"/>
        <w:autoSpaceDN w:val="0"/>
        <w:adjustRightInd w:val="0"/>
        <w:spacing w:line="360" w:lineRule="auto"/>
        <w:rPr>
          <w:rFonts w:eastAsiaTheme="minorEastAsia"/>
          <w:b/>
          <w:bCs/>
          <w:color w:val="auto"/>
          <w:lang w:val="zh-CN"/>
        </w:rPr>
      </w:pPr>
    </w:p>
    <w:p w14:paraId="2A13FB0A">
      <w:pPr>
        <w:spacing w:line="360" w:lineRule="auto"/>
        <w:jc w:val="center"/>
        <w:rPr>
          <w:rFonts w:eastAsiaTheme="minorEastAsia"/>
          <w:b/>
          <w:color w:val="auto"/>
          <w:sz w:val="36"/>
          <w:szCs w:val="36"/>
        </w:rPr>
      </w:pPr>
      <w:r>
        <w:rPr>
          <w:rFonts w:eastAsiaTheme="minorEastAsia"/>
          <w:b/>
          <w:color w:val="auto"/>
          <w:sz w:val="36"/>
          <w:szCs w:val="36"/>
        </w:rPr>
        <w:t>开标一览表</w:t>
      </w:r>
    </w:p>
    <w:p w14:paraId="5B927E35">
      <w:pPr>
        <w:widowControl/>
        <w:shd w:val="clear" w:color="auto" w:fill="FFFFFF"/>
        <w:spacing w:line="360" w:lineRule="auto"/>
        <w:jc w:val="center"/>
        <w:rPr>
          <w:rFonts w:eastAsiaTheme="minorEastAsia"/>
          <w:color w:val="auto"/>
          <w:kern w:val="0"/>
          <w:sz w:val="24"/>
        </w:rPr>
      </w:pPr>
    </w:p>
    <w:p w14:paraId="1E008D59">
      <w:pPr>
        <w:pStyle w:val="25"/>
        <w:spacing w:line="360" w:lineRule="auto"/>
        <w:ind w:firstLine="474" w:firstLineChars="225"/>
        <w:rPr>
          <w:rFonts w:eastAsiaTheme="minorEastAsia"/>
          <w:color w:val="auto"/>
          <w:sz w:val="21"/>
          <w:szCs w:val="21"/>
        </w:rPr>
      </w:pPr>
      <w:r>
        <w:rPr>
          <w:rFonts w:eastAsiaTheme="minorEastAsia"/>
          <w:color w:val="auto"/>
          <w:sz w:val="21"/>
          <w:szCs w:val="21"/>
        </w:rPr>
        <w:t>项目名称：                     项目编号：</w:t>
      </w:r>
    </w:p>
    <w:tbl>
      <w:tblPr>
        <w:tblStyle w:val="58"/>
        <w:tblW w:w="8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0"/>
        <w:gridCol w:w="5131"/>
        <w:gridCol w:w="1639"/>
      </w:tblGrid>
      <w:tr w14:paraId="7CC15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163B5DDC">
            <w:pPr>
              <w:pStyle w:val="25"/>
              <w:spacing w:line="360" w:lineRule="auto"/>
              <w:ind w:firstLine="0"/>
              <w:jc w:val="center"/>
              <w:rPr>
                <w:rFonts w:eastAsiaTheme="minorEastAsia"/>
                <w:color w:val="auto"/>
                <w:sz w:val="21"/>
                <w:szCs w:val="21"/>
              </w:rPr>
            </w:pPr>
            <w:r>
              <w:rPr>
                <w:rFonts w:eastAsiaTheme="minorEastAsia"/>
                <w:color w:val="auto"/>
                <w:sz w:val="21"/>
                <w:szCs w:val="21"/>
              </w:rPr>
              <w:t>投标保证金</w:t>
            </w:r>
          </w:p>
        </w:tc>
        <w:tc>
          <w:tcPr>
            <w:tcW w:w="5131" w:type="dxa"/>
            <w:vAlign w:val="center"/>
          </w:tcPr>
          <w:p w14:paraId="7E8C822E">
            <w:pPr>
              <w:pStyle w:val="25"/>
              <w:spacing w:line="360" w:lineRule="auto"/>
              <w:ind w:firstLine="0"/>
              <w:rPr>
                <w:rFonts w:eastAsiaTheme="minorEastAsia"/>
                <w:color w:val="auto"/>
                <w:sz w:val="21"/>
                <w:szCs w:val="21"/>
              </w:rPr>
            </w:pPr>
            <w:r>
              <w:rPr>
                <w:rFonts w:eastAsiaTheme="minorEastAsia"/>
                <w:color w:val="auto"/>
                <w:sz w:val="21"/>
                <w:szCs w:val="21"/>
              </w:rPr>
              <w:t xml:space="preserve">/ </w:t>
            </w:r>
          </w:p>
        </w:tc>
        <w:tc>
          <w:tcPr>
            <w:tcW w:w="1639" w:type="dxa"/>
            <w:vAlign w:val="center"/>
          </w:tcPr>
          <w:p w14:paraId="6F6B26EE">
            <w:pPr>
              <w:pStyle w:val="25"/>
              <w:spacing w:line="360" w:lineRule="auto"/>
              <w:ind w:firstLine="474" w:firstLineChars="225"/>
              <w:rPr>
                <w:rFonts w:eastAsiaTheme="minorEastAsia"/>
                <w:color w:val="auto"/>
                <w:sz w:val="21"/>
                <w:szCs w:val="21"/>
              </w:rPr>
            </w:pPr>
            <w:r>
              <w:rPr>
                <w:rFonts w:eastAsiaTheme="minorEastAsia"/>
                <w:color w:val="auto"/>
                <w:sz w:val="21"/>
                <w:szCs w:val="21"/>
              </w:rPr>
              <w:t>备注</w:t>
            </w:r>
          </w:p>
        </w:tc>
      </w:tr>
      <w:tr w14:paraId="2001C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40" w:hRule="atLeast"/>
          <w:jc w:val="center"/>
        </w:trPr>
        <w:tc>
          <w:tcPr>
            <w:tcW w:w="1870" w:type="dxa"/>
            <w:vAlign w:val="center"/>
          </w:tcPr>
          <w:p w14:paraId="20CC96B8">
            <w:pPr>
              <w:pStyle w:val="25"/>
              <w:spacing w:line="360" w:lineRule="auto"/>
              <w:ind w:firstLine="0"/>
              <w:jc w:val="center"/>
              <w:rPr>
                <w:rFonts w:eastAsiaTheme="minorEastAsia"/>
                <w:color w:val="auto"/>
                <w:sz w:val="21"/>
                <w:szCs w:val="21"/>
              </w:rPr>
            </w:pPr>
            <w:r>
              <w:rPr>
                <w:rFonts w:eastAsiaTheme="minorEastAsia"/>
                <w:color w:val="auto"/>
                <w:sz w:val="21"/>
                <w:szCs w:val="21"/>
              </w:rPr>
              <w:t>投标总报价</w:t>
            </w:r>
          </w:p>
        </w:tc>
        <w:tc>
          <w:tcPr>
            <w:tcW w:w="5131" w:type="dxa"/>
            <w:vAlign w:val="center"/>
          </w:tcPr>
          <w:p w14:paraId="63BEDF97">
            <w:pPr>
              <w:pStyle w:val="25"/>
              <w:spacing w:line="360" w:lineRule="auto"/>
              <w:ind w:firstLine="0"/>
              <w:rPr>
                <w:rFonts w:eastAsiaTheme="minorEastAsia"/>
                <w:color w:val="auto"/>
                <w:sz w:val="21"/>
                <w:szCs w:val="21"/>
              </w:rPr>
            </w:pPr>
            <w:r>
              <w:rPr>
                <w:rFonts w:eastAsiaTheme="minorEastAsia"/>
                <w:color w:val="auto"/>
                <w:sz w:val="21"/>
                <w:szCs w:val="21"/>
              </w:rPr>
              <w:t>小写：人民币：</w:t>
            </w:r>
            <w:r>
              <w:rPr>
                <w:rFonts w:eastAsiaTheme="minorEastAsia"/>
                <w:color w:val="auto"/>
                <w:sz w:val="21"/>
                <w:szCs w:val="21"/>
                <w:u w:val="single"/>
              </w:rPr>
              <w:t xml:space="preserve">       </w:t>
            </w:r>
            <w:r>
              <w:rPr>
                <w:rFonts w:eastAsiaTheme="minorEastAsia"/>
                <w:color w:val="auto"/>
                <w:sz w:val="21"/>
                <w:szCs w:val="21"/>
              </w:rPr>
              <w:t>元</w:t>
            </w:r>
          </w:p>
          <w:p w14:paraId="2C94A063">
            <w:pPr>
              <w:pStyle w:val="25"/>
              <w:spacing w:line="360" w:lineRule="auto"/>
              <w:ind w:firstLine="0"/>
              <w:rPr>
                <w:rFonts w:eastAsiaTheme="minorEastAsia"/>
                <w:color w:val="auto"/>
                <w:sz w:val="21"/>
                <w:szCs w:val="21"/>
              </w:rPr>
            </w:pPr>
            <w:r>
              <w:rPr>
                <w:rFonts w:eastAsiaTheme="minorEastAsia"/>
                <w:color w:val="auto"/>
                <w:sz w:val="21"/>
                <w:szCs w:val="21"/>
              </w:rPr>
              <w:t>大写：人民币：</w:t>
            </w:r>
            <w:r>
              <w:rPr>
                <w:rFonts w:eastAsiaTheme="minorEastAsia"/>
                <w:color w:val="auto"/>
                <w:sz w:val="21"/>
                <w:szCs w:val="21"/>
                <w:u w:val="single"/>
              </w:rPr>
              <w:t xml:space="preserve">       </w:t>
            </w:r>
            <w:r>
              <w:rPr>
                <w:rFonts w:eastAsiaTheme="minorEastAsia"/>
                <w:color w:val="auto"/>
                <w:sz w:val="21"/>
                <w:szCs w:val="21"/>
              </w:rPr>
              <w:t xml:space="preserve"> 元</w:t>
            </w:r>
          </w:p>
        </w:tc>
        <w:tc>
          <w:tcPr>
            <w:tcW w:w="1639" w:type="dxa"/>
            <w:vAlign w:val="center"/>
          </w:tcPr>
          <w:p w14:paraId="5CD9CB75">
            <w:pPr>
              <w:pStyle w:val="25"/>
              <w:spacing w:line="360" w:lineRule="auto"/>
              <w:ind w:firstLine="0"/>
              <w:rPr>
                <w:rFonts w:eastAsiaTheme="minorEastAsia"/>
                <w:bCs/>
                <w:color w:val="auto"/>
                <w:sz w:val="21"/>
                <w:szCs w:val="21"/>
              </w:rPr>
            </w:pPr>
            <w:r>
              <w:rPr>
                <w:rFonts w:eastAsiaTheme="minorEastAsia"/>
                <w:color w:val="auto"/>
                <w:sz w:val="21"/>
                <w:szCs w:val="21"/>
              </w:rPr>
              <w:t>具体详见苏采云系统</w:t>
            </w:r>
          </w:p>
          <w:p w14:paraId="2A5F2B03">
            <w:pPr>
              <w:pStyle w:val="25"/>
              <w:spacing w:line="360" w:lineRule="auto"/>
              <w:ind w:firstLine="0"/>
              <w:rPr>
                <w:rFonts w:eastAsiaTheme="minorEastAsia"/>
                <w:color w:val="auto"/>
                <w:sz w:val="21"/>
                <w:szCs w:val="21"/>
              </w:rPr>
            </w:pPr>
          </w:p>
        </w:tc>
      </w:tr>
      <w:tr w14:paraId="1489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1870" w:type="dxa"/>
            <w:vAlign w:val="center"/>
          </w:tcPr>
          <w:p w14:paraId="00470EDE">
            <w:pPr>
              <w:pStyle w:val="25"/>
              <w:spacing w:line="360" w:lineRule="auto"/>
              <w:ind w:firstLine="0"/>
              <w:jc w:val="center"/>
              <w:rPr>
                <w:rFonts w:eastAsiaTheme="minorEastAsia"/>
                <w:color w:val="auto"/>
                <w:sz w:val="21"/>
                <w:szCs w:val="21"/>
              </w:rPr>
            </w:pPr>
            <w:r>
              <w:rPr>
                <w:rFonts w:eastAsiaTheme="minorEastAsia"/>
                <w:color w:val="auto"/>
                <w:sz w:val="21"/>
                <w:szCs w:val="21"/>
              </w:rPr>
              <w:t>合同履行期限</w:t>
            </w:r>
          </w:p>
        </w:tc>
        <w:tc>
          <w:tcPr>
            <w:tcW w:w="5131" w:type="dxa"/>
            <w:vAlign w:val="center"/>
          </w:tcPr>
          <w:p w14:paraId="41120C7A">
            <w:pPr>
              <w:pStyle w:val="25"/>
              <w:tabs>
                <w:tab w:val="left" w:pos="3624"/>
              </w:tabs>
              <w:spacing w:line="360" w:lineRule="auto"/>
              <w:ind w:firstLine="0"/>
              <w:rPr>
                <w:rFonts w:eastAsiaTheme="minorEastAsia"/>
                <w:color w:val="auto"/>
                <w:sz w:val="21"/>
                <w:szCs w:val="21"/>
                <w:u w:val="single"/>
              </w:rPr>
            </w:pPr>
            <w:r>
              <w:rPr>
                <w:rFonts w:eastAsiaTheme="minorEastAsia"/>
                <w:color w:val="auto"/>
                <w:sz w:val="21"/>
                <w:szCs w:val="21"/>
              </w:rPr>
              <w:t>一年。本项目招标有效期三年，合同一年一签，采购人将根据成交供应商日常履约情况及考核结果，决定是否续签下一年合同。</w:t>
            </w:r>
          </w:p>
        </w:tc>
        <w:tc>
          <w:tcPr>
            <w:tcW w:w="1639" w:type="dxa"/>
            <w:vAlign w:val="center"/>
          </w:tcPr>
          <w:p w14:paraId="6C757624">
            <w:pPr>
              <w:pStyle w:val="25"/>
              <w:spacing w:line="360" w:lineRule="auto"/>
              <w:ind w:firstLine="474" w:firstLineChars="225"/>
              <w:rPr>
                <w:rFonts w:eastAsiaTheme="minorEastAsia"/>
                <w:color w:val="auto"/>
                <w:sz w:val="21"/>
                <w:szCs w:val="21"/>
              </w:rPr>
            </w:pPr>
          </w:p>
          <w:p w14:paraId="714238CA">
            <w:pPr>
              <w:pStyle w:val="25"/>
              <w:spacing w:line="360" w:lineRule="auto"/>
              <w:ind w:firstLine="474" w:firstLineChars="225"/>
              <w:rPr>
                <w:rFonts w:eastAsiaTheme="minorEastAsia"/>
                <w:color w:val="auto"/>
                <w:sz w:val="21"/>
                <w:szCs w:val="21"/>
              </w:rPr>
            </w:pPr>
          </w:p>
        </w:tc>
      </w:tr>
      <w:tr w14:paraId="56136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1870" w:type="dxa"/>
            <w:vAlign w:val="center"/>
          </w:tcPr>
          <w:p w14:paraId="7AC07FA8">
            <w:pPr>
              <w:pStyle w:val="25"/>
              <w:spacing w:line="360" w:lineRule="auto"/>
              <w:ind w:firstLine="0"/>
              <w:jc w:val="center"/>
              <w:rPr>
                <w:rFonts w:eastAsiaTheme="minorEastAsia"/>
                <w:color w:val="auto"/>
                <w:sz w:val="21"/>
                <w:szCs w:val="21"/>
              </w:rPr>
            </w:pPr>
            <w:r>
              <w:rPr>
                <w:rFonts w:eastAsiaTheme="minorEastAsia"/>
                <w:color w:val="auto"/>
                <w:sz w:val="21"/>
                <w:szCs w:val="21"/>
              </w:rPr>
              <w:t>投标标的是否全部由小微企业提供</w:t>
            </w:r>
          </w:p>
        </w:tc>
        <w:tc>
          <w:tcPr>
            <w:tcW w:w="5131" w:type="dxa"/>
            <w:vAlign w:val="center"/>
          </w:tcPr>
          <w:p w14:paraId="45EE3961">
            <w:pPr>
              <w:pStyle w:val="25"/>
              <w:spacing w:line="360" w:lineRule="auto"/>
              <w:ind w:firstLine="474" w:firstLineChars="225"/>
              <w:rPr>
                <w:rFonts w:eastAsiaTheme="minorEastAsia"/>
                <w:color w:val="auto"/>
                <w:sz w:val="21"/>
                <w:szCs w:val="21"/>
              </w:rPr>
            </w:pPr>
            <w:r>
              <w:rPr>
                <w:rFonts w:eastAsiaTheme="minorEastAsia"/>
                <w:color w:val="auto"/>
                <w:sz w:val="21"/>
                <w:szCs w:val="21"/>
                <w:u w:val="single"/>
              </w:rPr>
              <w:t xml:space="preserve">                    </w:t>
            </w:r>
            <w:r>
              <w:rPr>
                <w:rFonts w:eastAsiaTheme="minorEastAsia"/>
                <w:color w:val="auto"/>
                <w:sz w:val="21"/>
                <w:szCs w:val="21"/>
              </w:rPr>
              <w:t>（</w:t>
            </w:r>
            <w:r>
              <w:rPr>
                <w:rFonts w:eastAsiaTheme="minorEastAsia"/>
                <w:color w:val="auto"/>
                <w:sz w:val="21"/>
                <w:szCs w:val="21"/>
                <w:lang w:val="zh-CN"/>
              </w:rPr>
              <w:t>填写“是”或“否</w:t>
            </w:r>
            <w:r>
              <w:rPr>
                <w:rFonts w:eastAsiaTheme="minorEastAsia"/>
                <w:color w:val="auto"/>
                <w:sz w:val="21"/>
                <w:szCs w:val="21"/>
              </w:rPr>
              <w:t>）</w:t>
            </w:r>
          </w:p>
        </w:tc>
        <w:tc>
          <w:tcPr>
            <w:tcW w:w="1639" w:type="dxa"/>
            <w:vAlign w:val="center"/>
          </w:tcPr>
          <w:p w14:paraId="5F1C2710">
            <w:pPr>
              <w:pStyle w:val="25"/>
              <w:spacing w:line="360" w:lineRule="auto"/>
              <w:ind w:firstLine="474" w:firstLineChars="225"/>
              <w:rPr>
                <w:rFonts w:eastAsiaTheme="minorEastAsia"/>
                <w:color w:val="auto"/>
                <w:sz w:val="21"/>
                <w:szCs w:val="21"/>
              </w:rPr>
            </w:pPr>
          </w:p>
        </w:tc>
      </w:tr>
    </w:tbl>
    <w:p w14:paraId="4298F2B6">
      <w:pPr>
        <w:widowControl/>
        <w:shd w:val="clear" w:color="auto" w:fill="FFFFFF"/>
        <w:spacing w:line="360" w:lineRule="auto"/>
        <w:jc w:val="left"/>
        <w:rPr>
          <w:rFonts w:eastAsiaTheme="minorEastAsia"/>
          <w:color w:val="auto"/>
          <w:kern w:val="0"/>
          <w:szCs w:val="21"/>
          <w:u w:val="single"/>
        </w:rPr>
      </w:pPr>
      <w:r>
        <w:rPr>
          <w:rFonts w:eastAsiaTheme="minorEastAsia"/>
          <w:color w:val="auto"/>
          <w:kern w:val="0"/>
          <w:szCs w:val="21"/>
        </w:rPr>
        <w:t>投标单位（加盖电子公章）：</w:t>
      </w:r>
      <w:r>
        <w:rPr>
          <w:rFonts w:eastAsiaTheme="minorEastAsia"/>
          <w:color w:val="auto"/>
          <w:kern w:val="0"/>
          <w:szCs w:val="21"/>
          <w:u w:val="single"/>
        </w:rPr>
        <w:t>                             </w:t>
      </w:r>
    </w:p>
    <w:p w14:paraId="00A3FC8C">
      <w:pPr>
        <w:widowControl/>
        <w:shd w:val="clear" w:color="auto" w:fill="FFFFFF"/>
        <w:spacing w:line="360" w:lineRule="auto"/>
        <w:ind w:firstLine="422" w:firstLineChars="200"/>
        <w:jc w:val="left"/>
        <w:rPr>
          <w:rFonts w:eastAsiaTheme="minorEastAsia"/>
          <w:b/>
          <w:bCs/>
          <w:color w:val="auto"/>
          <w:kern w:val="0"/>
          <w:szCs w:val="21"/>
        </w:rPr>
      </w:pPr>
      <w:r>
        <w:rPr>
          <w:rFonts w:eastAsiaTheme="minorEastAsia"/>
          <w:b/>
          <w:bCs/>
          <w:color w:val="auto"/>
          <w:kern w:val="0"/>
          <w:szCs w:val="21"/>
        </w:rPr>
        <w:t>1、本项目仅接受一个价格，不得填报有选择性报价方案。若有优惠条款须注明，但不得影响报价，影响产品整体功能。</w:t>
      </w:r>
    </w:p>
    <w:p w14:paraId="2E1C44D4">
      <w:pPr>
        <w:autoSpaceDE w:val="0"/>
        <w:autoSpaceDN w:val="0"/>
        <w:adjustRightInd w:val="0"/>
        <w:spacing w:line="360" w:lineRule="auto"/>
        <w:ind w:firstLine="420"/>
        <w:rPr>
          <w:rFonts w:eastAsiaTheme="minorEastAsia"/>
          <w:b/>
          <w:bCs/>
          <w:color w:val="auto"/>
          <w:szCs w:val="21"/>
        </w:rPr>
      </w:pPr>
      <w:r>
        <w:rPr>
          <w:rFonts w:eastAsiaTheme="minorEastAsia"/>
          <w:b/>
          <w:bCs/>
          <w:color w:val="auto"/>
          <w:kern w:val="0"/>
          <w:szCs w:val="21"/>
        </w:rPr>
        <w:t>2、</w:t>
      </w:r>
      <w:r>
        <w:rPr>
          <w:rFonts w:eastAsiaTheme="minorEastAsia"/>
          <w:b/>
          <w:bCs/>
          <w:color w:val="auto"/>
          <w:szCs w:val="21"/>
        </w:rPr>
        <w:t>“投标标的是否全部由小微企业提供</w:t>
      </w:r>
      <w:r>
        <w:rPr>
          <w:rFonts w:eastAsiaTheme="minorEastAsia"/>
          <w:b/>
          <w:bCs/>
          <w:color w:val="auto"/>
          <w:szCs w:val="21"/>
          <w:lang w:val="zh-CN"/>
        </w:rPr>
        <w:t>”栏内填写“是”或“否”。如填写“是”，</w:t>
      </w:r>
      <w:r>
        <w:rPr>
          <w:rFonts w:eastAsiaTheme="minorEastAsia"/>
          <w:b/>
          <w:bCs/>
          <w:color w:val="auto"/>
          <w:szCs w:val="21"/>
        </w:rPr>
        <w:t>供应商应按招标文件要求提供《中小企业声明函》、《残疾人福利性单位声明函》、《属于监狱企业的证明文件》。如未按要求提供、填写，或相关内容表述不清前后矛盾的，不享受价格扣除。</w:t>
      </w:r>
    </w:p>
    <w:p w14:paraId="0D8934D0">
      <w:pPr>
        <w:widowControl/>
        <w:shd w:val="clear" w:color="auto" w:fill="FFFFFF"/>
        <w:spacing w:line="360" w:lineRule="auto"/>
        <w:jc w:val="left"/>
        <w:rPr>
          <w:rFonts w:eastAsiaTheme="minorEastAsia"/>
          <w:color w:val="auto"/>
          <w:kern w:val="0"/>
          <w:szCs w:val="21"/>
          <w:u w:val="single"/>
        </w:rPr>
      </w:pPr>
    </w:p>
    <w:p w14:paraId="63BBCC97">
      <w:pPr>
        <w:widowControl/>
        <w:shd w:val="clear" w:color="auto" w:fill="FFFFFF"/>
        <w:spacing w:line="360" w:lineRule="auto"/>
        <w:jc w:val="left"/>
        <w:rPr>
          <w:rFonts w:eastAsiaTheme="minorEastAsia"/>
          <w:color w:val="auto"/>
          <w:kern w:val="0"/>
          <w:szCs w:val="21"/>
          <w:u w:val="single"/>
        </w:rPr>
      </w:pPr>
    </w:p>
    <w:p w14:paraId="36A4A7D1">
      <w:pPr>
        <w:widowControl/>
        <w:shd w:val="clear" w:color="auto" w:fill="FFFFFF"/>
        <w:spacing w:line="360" w:lineRule="auto"/>
        <w:jc w:val="left"/>
        <w:rPr>
          <w:rFonts w:eastAsiaTheme="minorEastAsia"/>
          <w:color w:val="auto"/>
          <w:kern w:val="0"/>
          <w:szCs w:val="21"/>
          <w:u w:val="single"/>
        </w:rPr>
      </w:pPr>
    </w:p>
    <w:p w14:paraId="65C6CEBF">
      <w:pPr>
        <w:widowControl/>
        <w:shd w:val="clear" w:color="auto" w:fill="FFFFFF"/>
        <w:spacing w:line="360" w:lineRule="auto"/>
        <w:jc w:val="left"/>
        <w:rPr>
          <w:rFonts w:eastAsiaTheme="minorEastAsia"/>
          <w:color w:val="auto"/>
          <w:kern w:val="0"/>
          <w:szCs w:val="21"/>
          <w:u w:val="single"/>
        </w:rPr>
      </w:pPr>
    </w:p>
    <w:p w14:paraId="16F65CB7">
      <w:pPr>
        <w:widowControl/>
        <w:shd w:val="clear" w:color="auto" w:fill="FFFFFF"/>
        <w:spacing w:line="360" w:lineRule="auto"/>
        <w:jc w:val="left"/>
        <w:rPr>
          <w:rFonts w:eastAsiaTheme="minorEastAsia"/>
          <w:color w:val="auto"/>
          <w:kern w:val="0"/>
          <w:szCs w:val="21"/>
          <w:u w:val="single"/>
        </w:rPr>
      </w:pPr>
    </w:p>
    <w:p w14:paraId="044F9E78">
      <w:pPr>
        <w:widowControl/>
        <w:shd w:val="clear" w:color="auto" w:fill="FFFFFF"/>
        <w:spacing w:line="360" w:lineRule="auto"/>
        <w:jc w:val="left"/>
        <w:rPr>
          <w:rFonts w:eastAsiaTheme="minorEastAsia"/>
          <w:color w:val="auto"/>
          <w:kern w:val="0"/>
          <w:szCs w:val="21"/>
          <w:u w:val="single"/>
        </w:rPr>
      </w:pPr>
    </w:p>
    <w:p w14:paraId="7D7F07BB">
      <w:pPr>
        <w:widowControl/>
        <w:shd w:val="clear" w:color="auto" w:fill="FFFFFF"/>
        <w:spacing w:line="360" w:lineRule="auto"/>
        <w:jc w:val="left"/>
        <w:rPr>
          <w:rFonts w:eastAsiaTheme="minorEastAsia"/>
          <w:color w:val="auto"/>
          <w:kern w:val="0"/>
          <w:szCs w:val="21"/>
          <w:u w:val="single"/>
        </w:rPr>
      </w:pPr>
    </w:p>
    <w:p w14:paraId="0D587C3C">
      <w:pPr>
        <w:pStyle w:val="69"/>
        <w:spacing w:line="360" w:lineRule="auto"/>
        <w:rPr>
          <w:rFonts w:ascii="Times New Roman" w:hAnsi="Times New Roman" w:eastAsiaTheme="minorEastAsia"/>
          <w:color w:val="auto"/>
          <w:kern w:val="0"/>
          <w:szCs w:val="21"/>
          <w:u w:val="single"/>
        </w:rPr>
      </w:pPr>
    </w:p>
    <w:p w14:paraId="16A2C179">
      <w:pPr>
        <w:pStyle w:val="69"/>
        <w:spacing w:line="360" w:lineRule="auto"/>
        <w:rPr>
          <w:rFonts w:ascii="Times New Roman" w:hAnsi="Times New Roman" w:eastAsiaTheme="minorEastAsia"/>
          <w:color w:val="auto"/>
          <w:kern w:val="0"/>
          <w:szCs w:val="21"/>
          <w:u w:val="single"/>
        </w:rPr>
      </w:pPr>
    </w:p>
    <w:p w14:paraId="7CE4F0DB">
      <w:pPr>
        <w:widowControl/>
        <w:shd w:val="clear" w:color="auto" w:fill="FFFFFF"/>
        <w:spacing w:line="360" w:lineRule="auto"/>
        <w:jc w:val="left"/>
        <w:rPr>
          <w:rFonts w:eastAsiaTheme="minorEastAsia"/>
          <w:color w:val="auto"/>
          <w:kern w:val="0"/>
          <w:szCs w:val="21"/>
          <w:u w:val="single"/>
        </w:rPr>
      </w:pPr>
    </w:p>
    <w:p w14:paraId="75F900B5">
      <w:pPr>
        <w:widowControl/>
        <w:shd w:val="clear" w:color="auto" w:fill="FFFFFF"/>
        <w:spacing w:line="360" w:lineRule="auto"/>
        <w:jc w:val="left"/>
        <w:rPr>
          <w:rFonts w:eastAsiaTheme="minorEastAsia"/>
          <w:color w:val="auto"/>
          <w:kern w:val="0"/>
          <w:szCs w:val="21"/>
          <w:u w:val="single"/>
        </w:rPr>
      </w:pPr>
    </w:p>
    <w:p w14:paraId="6C9D2965">
      <w:pPr>
        <w:widowControl/>
        <w:shd w:val="clear" w:color="auto" w:fill="FFFFFF"/>
        <w:spacing w:line="360" w:lineRule="auto"/>
        <w:jc w:val="left"/>
        <w:rPr>
          <w:rFonts w:eastAsiaTheme="minorEastAsia"/>
          <w:color w:val="auto"/>
          <w:kern w:val="0"/>
          <w:szCs w:val="21"/>
          <w:u w:val="single"/>
        </w:rPr>
      </w:pPr>
      <w:r>
        <w:rPr>
          <w:rFonts w:eastAsiaTheme="minorEastAsia"/>
          <w:b/>
          <w:bCs/>
          <w:color w:val="auto"/>
          <w:kern w:val="0"/>
          <w:szCs w:val="21"/>
          <w:lang w:val="zh-CN"/>
        </w:rPr>
        <w:t>附件</w:t>
      </w:r>
      <w:r>
        <w:rPr>
          <w:rFonts w:eastAsiaTheme="minorEastAsia"/>
          <w:b/>
          <w:bCs/>
          <w:color w:val="auto"/>
          <w:kern w:val="0"/>
          <w:szCs w:val="21"/>
        </w:rPr>
        <w:t>四</w:t>
      </w:r>
      <w:r>
        <w:rPr>
          <w:rFonts w:eastAsiaTheme="minorEastAsia"/>
          <w:b/>
          <w:bCs/>
          <w:color w:val="auto"/>
          <w:kern w:val="0"/>
          <w:szCs w:val="21"/>
          <w:lang w:val="zh-CN"/>
        </w:rPr>
        <w:t>、</w:t>
      </w:r>
      <w:r>
        <w:rPr>
          <w:rFonts w:eastAsiaTheme="minorEastAsia"/>
          <w:b/>
          <w:bCs/>
          <w:color w:val="auto"/>
          <w:kern w:val="0"/>
          <w:szCs w:val="21"/>
        </w:rPr>
        <w:t>分项</w:t>
      </w:r>
      <w:r>
        <w:rPr>
          <w:rFonts w:eastAsiaTheme="minorEastAsia"/>
          <w:b/>
          <w:bCs/>
          <w:color w:val="auto"/>
          <w:kern w:val="0"/>
          <w:szCs w:val="21"/>
          <w:lang w:val="zh-CN"/>
        </w:rPr>
        <w:t>报价表</w:t>
      </w:r>
    </w:p>
    <w:p w14:paraId="6449FB74">
      <w:pPr>
        <w:widowControl/>
        <w:shd w:val="clear" w:color="auto" w:fill="FFFFFF"/>
        <w:spacing w:line="360" w:lineRule="auto"/>
        <w:jc w:val="center"/>
        <w:rPr>
          <w:rFonts w:eastAsiaTheme="minorEastAsia"/>
          <w:b/>
          <w:color w:val="auto"/>
          <w:sz w:val="36"/>
          <w:szCs w:val="36"/>
        </w:rPr>
      </w:pPr>
      <w:r>
        <w:rPr>
          <w:rFonts w:eastAsiaTheme="minorEastAsia"/>
          <w:b/>
          <w:color w:val="auto"/>
          <w:sz w:val="36"/>
          <w:szCs w:val="36"/>
        </w:rPr>
        <w:t>分项报价表</w:t>
      </w:r>
    </w:p>
    <w:tbl>
      <w:tblPr>
        <w:tblStyle w:val="58"/>
        <w:tblW w:w="4779" w:type="pct"/>
        <w:tblInd w:w="0" w:type="dxa"/>
        <w:tblLayout w:type="autofit"/>
        <w:tblCellMar>
          <w:top w:w="0" w:type="dxa"/>
          <w:left w:w="108" w:type="dxa"/>
          <w:bottom w:w="0" w:type="dxa"/>
          <w:right w:w="108" w:type="dxa"/>
        </w:tblCellMar>
      </w:tblPr>
      <w:tblGrid>
        <w:gridCol w:w="738"/>
        <w:gridCol w:w="2177"/>
        <w:gridCol w:w="1014"/>
        <w:gridCol w:w="2404"/>
        <w:gridCol w:w="2879"/>
      </w:tblGrid>
      <w:tr w14:paraId="32617660">
        <w:tblPrEx>
          <w:tblCellMar>
            <w:top w:w="0" w:type="dxa"/>
            <w:left w:w="108" w:type="dxa"/>
            <w:bottom w:w="0" w:type="dxa"/>
            <w:right w:w="108" w:type="dxa"/>
          </w:tblCellMar>
        </w:tblPrEx>
        <w:trPr>
          <w:trHeight w:val="861" w:hRule="atLeast"/>
        </w:trPr>
        <w:tc>
          <w:tcPr>
            <w:tcW w:w="401" w:type="pct"/>
            <w:tcBorders>
              <w:top w:val="single" w:color="000000" w:sz="4" w:space="0"/>
              <w:left w:val="single" w:color="000000" w:sz="4" w:space="0"/>
              <w:bottom w:val="single" w:color="000000" w:sz="4" w:space="0"/>
              <w:right w:val="single" w:color="000000" w:sz="4" w:space="0"/>
            </w:tcBorders>
            <w:vAlign w:val="center"/>
          </w:tcPr>
          <w:p w14:paraId="05408369">
            <w:pPr>
              <w:widowControl/>
              <w:spacing w:line="360" w:lineRule="auto"/>
              <w:jc w:val="center"/>
              <w:textAlignment w:val="center"/>
              <w:rPr>
                <w:rFonts w:eastAsiaTheme="minorEastAsia"/>
                <w:b/>
                <w:bCs/>
                <w:color w:val="auto"/>
                <w:sz w:val="20"/>
                <w:szCs w:val="20"/>
              </w:rPr>
            </w:pPr>
            <w:r>
              <w:rPr>
                <w:rFonts w:eastAsiaTheme="minorEastAsia"/>
                <w:b/>
                <w:bCs/>
                <w:color w:val="auto"/>
                <w:kern w:val="0"/>
                <w:sz w:val="20"/>
                <w:szCs w:val="20"/>
                <w:lang w:bidi="ar"/>
              </w:rPr>
              <w:t>序号</w:t>
            </w:r>
          </w:p>
        </w:tc>
        <w:tc>
          <w:tcPr>
            <w:tcW w:w="1181" w:type="pct"/>
            <w:tcBorders>
              <w:top w:val="single" w:color="000000" w:sz="4" w:space="0"/>
              <w:left w:val="single" w:color="000000" w:sz="4" w:space="0"/>
              <w:bottom w:val="single" w:color="000000" w:sz="4" w:space="0"/>
              <w:right w:val="single" w:color="000000" w:sz="4" w:space="0"/>
            </w:tcBorders>
            <w:vAlign w:val="center"/>
          </w:tcPr>
          <w:p w14:paraId="16FE06B3">
            <w:pPr>
              <w:widowControl/>
              <w:spacing w:line="360" w:lineRule="auto"/>
              <w:jc w:val="center"/>
              <w:textAlignment w:val="center"/>
              <w:rPr>
                <w:rFonts w:eastAsiaTheme="minorEastAsia"/>
                <w:b/>
                <w:bCs/>
                <w:color w:val="auto"/>
                <w:sz w:val="20"/>
                <w:szCs w:val="20"/>
              </w:rPr>
            </w:pPr>
            <w:r>
              <w:rPr>
                <w:rFonts w:eastAsiaTheme="minorEastAsia"/>
                <w:b/>
                <w:bCs/>
                <w:color w:val="auto"/>
                <w:kern w:val="0"/>
                <w:sz w:val="20"/>
                <w:szCs w:val="20"/>
                <w:lang w:bidi="ar"/>
              </w:rPr>
              <w:t>岗位</w:t>
            </w:r>
          </w:p>
        </w:tc>
        <w:tc>
          <w:tcPr>
            <w:tcW w:w="550" w:type="pct"/>
            <w:tcBorders>
              <w:top w:val="single" w:color="000000" w:sz="4" w:space="0"/>
              <w:left w:val="single" w:color="000000" w:sz="4" w:space="0"/>
              <w:bottom w:val="single" w:color="000000" w:sz="4" w:space="0"/>
              <w:right w:val="single" w:color="000000" w:sz="4" w:space="0"/>
            </w:tcBorders>
            <w:vAlign w:val="center"/>
          </w:tcPr>
          <w:p w14:paraId="2A53B34E">
            <w:pPr>
              <w:widowControl/>
              <w:spacing w:line="360" w:lineRule="auto"/>
              <w:jc w:val="center"/>
              <w:textAlignment w:val="center"/>
              <w:rPr>
                <w:rFonts w:eastAsiaTheme="minorEastAsia"/>
                <w:b/>
                <w:bCs/>
                <w:color w:val="auto"/>
                <w:sz w:val="20"/>
                <w:szCs w:val="20"/>
              </w:rPr>
            </w:pPr>
            <w:r>
              <w:rPr>
                <w:rFonts w:eastAsiaTheme="minorEastAsia"/>
                <w:b/>
                <w:bCs/>
                <w:color w:val="auto"/>
                <w:kern w:val="0"/>
                <w:sz w:val="20"/>
                <w:szCs w:val="20"/>
                <w:lang w:bidi="ar"/>
              </w:rPr>
              <w:t>人数</w:t>
            </w:r>
          </w:p>
        </w:tc>
        <w:tc>
          <w:tcPr>
            <w:tcW w:w="1303" w:type="pct"/>
            <w:tcBorders>
              <w:top w:val="single" w:color="000000" w:sz="4" w:space="0"/>
              <w:left w:val="single" w:color="000000" w:sz="4" w:space="0"/>
              <w:bottom w:val="single" w:color="000000" w:sz="4" w:space="0"/>
              <w:right w:val="single" w:color="000000" w:sz="4" w:space="0"/>
            </w:tcBorders>
            <w:vAlign w:val="center"/>
          </w:tcPr>
          <w:p w14:paraId="68128C9A">
            <w:pPr>
              <w:widowControl/>
              <w:spacing w:line="360" w:lineRule="auto"/>
              <w:jc w:val="center"/>
              <w:textAlignment w:val="center"/>
              <w:rPr>
                <w:rFonts w:eastAsiaTheme="minorEastAsia"/>
                <w:b/>
                <w:bCs/>
                <w:color w:val="auto"/>
                <w:kern w:val="0"/>
                <w:sz w:val="20"/>
                <w:szCs w:val="20"/>
                <w:lang w:bidi="ar"/>
              </w:rPr>
            </w:pPr>
            <w:r>
              <w:rPr>
                <w:rFonts w:eastAsiaTheme="minorEastAsia"/>
                <w:b/>
                <w:bCs/>
                <w:color w:val="auto"/>
                <w:kern w:val="0"/>
                <w:sz w:val="20"/>
                <w:szCs w:val="20"/>
                <w:lang w:bidi="ar"/>
              </w:rPr>
              <w:t>费用（单位：</w:t>
            </w:r>
          </w:p>
          <w:p w14:paraId="2AA8E4E9">
            <w:pPr>
              <w:widowControl/>
              <w:spacing w:line="360" w:lineRule="auto"/>
              <w:jc w:val="center"/>
              <w:textAlignment w:val="center"/>
              <w:rPr>
                <w:rFonts w:eastAsiaTheme="minorEastAsia"/>
                <w:b/>
                <w:bCs/>
                <w:color w:val="auto"/>
                <w:kern w:val="0"/>
                <w:sz w:val="20"/>
                <w:szCs w:val="20"/>
                <w:lang w:bidi="ar"/>
              </w:rPr>
            </w:pPr>
            <w:r>
              <w:rPr>
                <w:rFonts w:eastAsiaTheme="minorEastAsia"/>
                <w:b/>
                <w:bCs/>
                <w:color w:val="auto"/>
                <w:kern w:val="0"/>
                <w:sz w:val="20"/>
                <w:szCs w:val="20"/>
                <w:lang w:bidi="ar"/>
              </w:rPr>
              <w:t>元/月/人）</w:t>
            </w:r>
          </w:p>
        </w:tc>
        <w:tc>
          <w:tcPr>
            <w:tcW w:w="1562" w:type="pct"/>
            <w:tcBorders>
              <w:top w:val="single" w:color="000000" w:sz="4" w:space="0"/>
              <w:left w:val="single" w:color="000000" w:sz="4" w:space="0"/>
              <w:bottom w:val="single" w:color="000000" w:sz="4" w:space="0"/>
              <w:right w:val="single" w:color="000000" w:sz="4" w:space="0"/>
            </w:tcBorders>
            <w:vAlign w:val="center"/>
          </w:tcPr>
          <w:p w14:paraId="2C6286E0">
            <w:pPr>
              <w:widowControl/>
              <w:spacing w:line="360" w:lineRule="auto"/>
              <w:jc w:val="center"/>
              <w:textAlignment w:val="center"/>
              <w:rPr>
                <w:rFonts w:eastAsiaTheme="minorEastAsia"/>
                <w:b/>
                <w:bCs/>
                <w:color w:val="auto"/>
              </w:rPr>
            </w:pPr>
            <w:r>
              <w:rPr>
                <w:rFonts w:eastAsiaTheme="minorEastAsia"/>
                <w:b/>
                <w:bCs/>
                <w:color w:val="auto"/>
              </w:rPr>
              <w:t>合价</w:t>
            </w:r>
          </w:p>
          <w:p w14:paraId="5ADD1D1C">
            <w:pPr>
              <w:widowControl/>
              <w:spacing w:line="360" w:lineRule="auto"/>
              <w:jc w:val="center"/>
              <w:textAlignment w:val="center"/>
              <w:rPr>
                <w:rFonts w:eastAsiaTheme="minorEastAsia"/>
                <w:b/>
                <w:bCs/>
                <w:color w:val="auto"/>
              </w:rPr>
            </w:pPr>
            <w:r>
              <w:rPr>
                <w:rFonts w:eastAsiaTheme="minorEastAsia"/>
                <w:b/>
                <w:bCs/>
                <w:color w:val="auto"/>
              </w:rPr>
              <w:t>（单位：元/年）</w:t>
            </w:r>
          </w:p>
          <w:p w14:paraId="6FB29DED">
            <w:pPr>
              <w:widowControl/>
              <w:spacing w:line="360" w:lineRule="auto"/>
              <w:jc w:val="center"/>
              <w:textAlignment w:val="center"/>
              <w:rPr>
                <w:rFonts w:eastAsiaTheme="minorEastAsia"/>
                <w:color w:val="auto"/>
              </w:rPr>
            </w:pPr>
            <w:r>
              <w:rPr>
                <w:rFonts w:eastAsiaTheme="minorEastAsia"/>
                <w:b/>
                <w:bCs/>
                <w:color w:val="auto"/>
              </w:rPr>
              <w:t>人数*费用*12</w:t>
            </w:r>
          </w:p>
        </w:tc>
      </w:tr>
      <w:tr w14:paraId="48C1F868">
        <w:tblPrEx>
          <w:tblCellMar>
            <w:top w:w="0" w:type="dxa"/>
            <w:left w:w="108" w:type="dxa"/>
            <w:bottom w:w="0" w:type="dxa"/>
            <w:right w:w="108" w:type="dxa"/>
          </w:tblCellMar>
        </w:tblPrEx>
        <w:trPr>
          <w:trHeight w:val="351"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6006FC4B">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1</w:t>
            </w:r>
          </w:p>
        </w:tc>
        <w:tc>
          <w:tcPr>
            <w:tcW w:w="1181" w:type="pct"/>
            <w:tcBorders>
              <w:top w:val="single" w:color="000000" w:sz="4" w:space="0"/>
              <w:left w:val="single" w:color="000000" w:sz="4" w:space="0"/>
              <w:bottom w:val="single" w:color="000000" w:sz="4" w:space="0"/>
              <w:right w:val="single" w:color="000000" w:sz="4" w:space="0"/>
            </w:tcBorders>
            <w:noWrap/>
            <w:vAlign w:val="center"/>
          </w:tcPr>
          <w:p w14:paraId="0709A4AA">
            <w:pPr>
              <w:widowControl/>
              <w:spacing w:line="360" w:lineRule="auto"/>
              <w:jc w:val="left"/>
              <w:textAlignment w:val="center"/>
              <w:rPr>
                <w:rFonts w:eastAsiaTheme="minorEastAsia"/>
                <w:color w:val="auto"/>
                <w:sz w:val="20"/>
                <w:szCs w:val="20"/>
              </w:rPr>
            </w:pPr>
            <w:r>
              <w:rPr>
                <w:rFonts w:eastAsiaTheme="minorEastAsia"/>
                <w:color w:val="auto"/>
                <w:szCs w:val="21"/>
              </w:rPr>
              <w:t>管理人员</w:t>
            </w:r>
          </w:p>
        </w:tc>
        <w:tc>
          <w:tcPr>
            <w:tcW w:w="550" w:type="pct"/>
            <w:tcBorders>
              <w:top w:val="single" w:color="000000" w:sz="4" w:space="0"/>
              <w:left w:val="single" w:color="000000" w:sz="4" w:space="0"/>
              <w:bottom w:val="single" w:color="000000" w:sz="4" w:space="0"/>
              <w:right w:val="single" w:color="000000" w:sz="4" w:space="0"/>
            </w:tcBorders>
            <w:noWrap/>
            <w:vAlign w:val="center"/>
          </w:tcPr>
          <w:p w14:paraId="17FEB1F3">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2</w:t>
            </w:r>
          </w:p>
        </w:tc>
        <w:tc>
          <w:tcPr>
            <w:tcW w:w="1303" w:type="pct"/>
            <w:tcBorders>
              <w:top w:val="single" w:color="000000" w:sz="4" w:space="0"/>
              <w:left w:val="single" w:color="000000" w:sz="4" w:space="0"/>
              <w:bottom w:val="single" w:color="000000" w:sz="4" w:space="0"/>
              <w:right w:val="single" w:color="000000" w:sz="4" w:space="0"/>
            </w:tcBorders>
            <w:noWrap/>
            <w:vAlign w:val="center"/>
          </w:tcPr>
          <w:p w14:paraId="20FD86DA">
            <w:pPr>
              <w:widowControl/>
              <w:spacing w:line="360" w:lineRule="auto"/>
              <w:jc w:val="center"/>
              <w:textAlignment w:val="center"/>
              <w:rPr>
                <w:rFonts w:eastAsiaTheme="minorEastAsia"/>
                <w:color w:val="auto"/>
                <w:sz w:val="20"/>
                <w:szCs w:val="20"/>
              </w:rPr>
            </w:pPr>
          </w:p>
        </w:tc>
        <w:tc>
          <w:tcPr>
            <w:tcW w:w="1562" w:type="pct"/>
            <w:tcBorders>
              <w:top w:val="single" w:color="000000" w:sz="4" w:space="0"/>
              <w:left w:val="single" w:color="000000" w:sz="4" w:space="0"/>
              <w:bottom w:val="single" w:color="000000" w:sz="4" w:space="0"/>
              <w:right w:val="single" w:color="000000" w:sz="4" w:space="0"/>
            </w:tcBorders>
            <w:noWrap/>
            <w:vAlign w:val="center"/>
          </w:tcPr>
          <w:p w14:paraId="392B2F4A">
            <w:pPr>
              <w:widowControl/>
              <w:spacing w:line="360" w:lineRule="auto"/>
              <w:jc w:val="center"/>
              <w:textAlignment w:val="center"/>
              <w:rPr>
                <w:rFonts w:eastAsiaTheme="minorEastAsia"/>
                <w:color w:val="auto"/>
                <w:sz w:val="20"/>
                <w:szCs w:val="20"/>
              </w:rPr>
            </w:pPr>
          </w:p>
        </w:tc>
      </w:tr>
      <w:tr w14:paraId="2BAB5DFE">
        <w:tblPrEx>
          <w:tblCellMar>
            <w:top w:w="0" w:type="dxa"/>
            <w:left w:w="108" w:type="dxa"/>
            <w:bottom w:w="0" w:type="dxa"/>
            <w:right w:w="108" w:type="dxa"/>
          </w:tblCellMar>
        </w:tblPrEx>
        <w:trPr>
          <w:trHeight w:val="351"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54639568">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2</w:t>
            </w:r>
          </w:p>
        </w:tc>
        <w:tc>
          <w:tcPr>
            <w:tcW w:w="1181" w:type="pct"/>
            <w:tcBorders>
              <w:top w:val="single" w:color="000000" w:sz="4" w:space="0"/>
              <w:left w:val="single" w:color="000000" w:sz="4" w:space="0"/>
              <w:bottom w:val="single" w:color="000000" w:sz="4" w:space="0"/>
              <w:right w:val="single" w:color="000000" w:sz="4" w:space="0"/>
            </w:tcBorders>
            <w:noWrap/>
            <w:vAlign w:val="center"/>
          </w:tcPr>
          <w:p w14:paraId="0B6798A4">
            <w:pPr>
              <w:widowControl/>
              <w:spacing w:line="360" w:lineRule="auto"/>
              <w:jc w:val="left"/>
              <w:textAlignment w:val="center"/>
              <w:rPr>
                <w:rFonts w:eastAsiaTheme="minorEastAsia"/>
                <w:color w:val="auto"/>
                <w:sz w:val="20"/>
                <w:szCs w:val="20"/>
              </w:rPr>
            </w:pPr>
            <w:r>
              <w:rPr>
                <w:rFonts w:eastAsiaTheme="minorEastAsia"/>
                <w:color w:val="auto"/>
                <w:szCs w:val="21"/>
              </w:rPr>
              <w:t>综合维修</w:t>
            </w:r>
          </w:p>
        </w:tc>
        <w:tc>
          <w:tcPr>
            <w:tcW w:w="550" w:type="pct"/>
            <w:tcBorders>
              <w:top w:val="single" w:color="000000" w:sz="4" w:space="0"/>
              <w:left w:val="single" w:color="000000" w:sz="4" w:space="0"/>
              <w:bottom w:val="single" w:color="000000" w:sz="4" w:space="0"/>
              <w:right w:val="single" w:color="000000" w:sz="4" w:space="0"/>
            </w:tcBorders>
            <w:noWrap/>
            <w:vAlign w:val="center"/>
          </w:tcPr>
          <w:p w14:paraId="20578799">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11</w:t>
            </w:r>
          </w:p>
        </w:tc>
        <w:tc>
          <w:tcPr>
            <w:tcW w:w="1303" w:type="pct"/>
            <w:tcBorders>
              <w:top w:val="single" w:color="000000" w:sz="4" w:space="0"/>
              <w:left w:val="single" w:color="000000" w:sz="4" w:space="0"/>
              <w:bottom w:val="single" w:color="000000" w:sz="4" w:space="0"/>
              <w:right w:val="single" w:color="000000" w:sz="4" w:space="0"/>
            </w:tcBorders>
            <w:noWrap/>
            <w:vAlign w:val="center"/>
          </w:tcPr>
          <w:p w14:paraId="58F9BF03">
            <w:pPr>
              <w:widowControl/>
              <w:spacing w:line="360" w:lineRule="auto"/>
              <w:jc w:val="center"/>
              <w:textAlignment w:val="center"/>
              <w:rPr>
                <w:rFonts w:eastAsiaTheme="minorEastAsia"/>
                <w:color w:val="auto"/>
                <w:sz w:val="20"/>
                <w:szCs w:val="20"/>
              </w:rPr>
            </w:pPr>
          </w:p>
        </w:tc>
        <w:tc>
          <w:tcPr>
            <w:tcW w:w="1562" w:type="pct"/>
            <w:tcBorders>
              <w:top w:val="single" w:color="000000" w:sz="4" w:space="0"/>
              <w:left w:val="single" w:color="000000" w:sz="4" w:space="0"/>
              <w:bottom w:val="single" w:color="000000" w:sz="4" w:space="0"/>
              <w:right w:val="single" w:color="000000" w:sz="4" w:space="0"/>
            </w:tcBorders>
            <w:noWrap/>
            <w:vAlign w:val="center"/>
          </w:tcPr>
          <w:p w14:paraId="0021CC68">
            <w:pPr>
              <w:widowControl/>
              <w:spacing w:line="360" w:lineRule="auto"/>
              <w:jc w:val="center"/>
              <w:textAlignment w:val="center"/>
              <w:rPr>
                <w:rFonts w:eastAsiaTheme="minorEastAsia"/>
                <w:color w:val="auto"/>
                <w:sz w:val="20"/>
                <w:szCs w:val="20"/>
              </w:rPr>
            </w:pPr>
          </w:p>
        </w:tc>
      </w:tr>
      <w:tr w14:paraId="3AE4438E">
        <w:tblPrEx>
          <w:tblCellMar>
            <w:top w:w="0" w:type="dxa"/>
            <w:left w:w="108" w:type="dxa"/>
            <w:bottom w:w="0" w:type="dxa"/>
            <w:right w:w="108" w:type="dxa"/>
          </w:tblCellMar>
        </w:tblPrEx>
        <w:trPr>
          <w:trHeight w:val="351"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68419331">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3</w:t>
            </w:r>
          </w:p>
        </w:tc>
        <w:tc>
          <w:tcPr>
            <w:tcW w:w="1181" w:type="pct"/>
            <w:tcBorders>
              <w:top w:val="single" w:color="000000" w:sz="4" w:space="0"/>
              <w:left w:val="single" w:color="000000" w:sz="4" w:space="0"/>
              <w:bottom w:val="single" w:color="000000" w:sz="4" w:space="0"/>
              <w:right w:val="single" w:color="000000" w:sz="4" w:space="0"/>
            </w:tcBorders>
            <w:noWrap/>
            <w:vAlign w:val="center"/>
          </w:tcPr>
          <w:p w14:paraId="36B8B6B0">
            <w:pPr>
              <w:widowControl/>
              <w:spacing w:line="360" w:lineRule="auto"/>
              <w:jc w:val="left"/>
              <w:textAlignment w:val="center"/>
              <w:rPr>
                <w:rFonts w:eastAsiaTheme="minorEastAsia"/>
                <w:color w:val="auto"/>
                <w:sz w:val="20"/>
                <w:szCs w:val="20"/>
              </w:rPr>
            </w:pPr>
            <w:r>
              <w:rPr>
                <w:rFonts w:eastAsiaTheme="minorEastAsia"/>
                <w:color w:val="auto"/>
                <w:szCs w:val="21"/>
              </w:rPr>
              <w:t>配电房值班电工</w:t>
            </w:r>
          </w:p>
        </w:tc>
        <w:tc>
          <w:tcPr>
            <w:tcW w:w="550" w:type="pct"/>
            <w:tcBorders>
              <w:top w:val="single" w:color="000000" w:sz="4" w:space="0"/>
              <w:left w:val="single" w:color="000000" w:sz="4" w:space="0"/>
              <w:bottom w:val="single" w:color="000000" w:sz="4" w:space="0"/>
              <w:right w:val="single" w:color="000000" w:sz="4" w:space="0"/>
            </w:tcBorders>
            <w:noWrap/>
            <w:vAlign w:val="center"/>
          </w:tcPr>
          <w:p w14:paraId="67454963">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8</w:t>
            </w:r>
          </w:p>
        </w:tc>
        <w:tc>
          <w:tcPr>
            <w:tcW w:w="1303" w:type="pct"/>
            <w:tcBorders>
              <w:top w:val="single" w:color="000000" w:sz="4" w:space="0"/>
              <w:left w:val="single" w:color="000000" w:sz="4" w:space="0"/>
              <w:bottom w:val="single" w:color="000000" w:sz="4" w:space="0"/>
              <w:right w:val="single" w:color="000000" w:sz="4" w:space="0"/>
            </w:tcBorders>
            <w:noWrap/>
            <w:vAlign w:val="center"/>
          </w:tcPr>
          <w:p w14:paraId="681D57CB">
            <w:pPr>
              <w:widowControl/>
              <w:spacing w:line="360" w:lineRule="auto"/>
              <w:jc w:val="center"/>
              <w:textAlignment w:val="center"/>
              <w:rPr>
                <w:rFonts w:eastAsiaTheme="minorEastAsia"/>
                <w:color w:val="auto"/>
                <w:sz w:val="20"/>
                <w:szCs w:val="20"/>
              </w:rPr>
            </w:pPr>
          </w:p>
        </w:tc>
        <w:tc>
          <w:tcPr>
            <w:tcW w:w="1562" w:type="pct"/>
            <w:tcBorders>
              <w:top w:val="single" w:color="000000" w:sz="4" w:space="0"/>
              <w:left w:val="single" w:color="000000" w:sz="4" w:space="0"/>
              <w:bottom w:val="single" w:color="000000" w:sz="4" w:space="0"/>
              <w:right w:val="single" w:color="000000" w:sz="4" w:space="0"/>
            </w:tcBorders>
            <w:noWrap/>
            <w:vAlign w:val="center"/>
          </w:tcPr>
          <w:p w14:paraId="48BDF81D">
            <w:pPr>
              <w:widowControl/>
              <w:spacing w:line="360" w:lineRule="auto"/>
              <w:jc w:val="center"/>
              <w:textAlignment w:val="center"/>
              <w:rPr>
                <w:rFonts w:eastAsiaTheme="minorEastAsia"/>
                <w:color w:val="auto"/>
                <w:sz w:val="20"/>
                <w:szCs w:val="20"/>
              </w:rPr>
            </w:pPr>
          </w:p>
        </w:tc>
      </w:tr>
      <w:tr w14:paraId="4C0BFD91">
        <w:tblPrEx>
          <w:tblCellMar>
            <w:top w:w="0" w:type="dxa"/>
            <w:left w:w="108" w:type="dxa"/>
            <w:bottom w:w="0" w:type="dxa"/>
            <w:right w:w="108" w:type="dxa"/>
          </w:tblCellMar>
        </w:tblPrEx>
        <w:trPr>
          <w:trHeight w:val="351"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62008250">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4</w:t>
            </w:r>
          </w:p>
        </w:tc>
        <w:tc>
          <w:tcPr>
            <w:tcW w:w="1181" w:type="pct"/>
            <w:tcBorders>
              <w:top w:val="single" w:color="000000" w:sz="4" w:space="0"/>
              <w:left w:val="single" w:color="000000" w:sz="4" w:space="0"/>
              <w:bottom w:val="single" w:color="000000" w:sz="4" w:space="0"/>
              <w:right w:val="single" w:color="000000" w:sz="4" w:space="0"/>
            </w:tcBorders>
            <w:noWrap/>
            <w:vAlign w:val="center"/>
          </w:tcPr>
          <w:p w14:paraId="48942E33">
            <w:pPr>
              <w:widowControl/>
              <w:spacing w:line="360" w:lineRule="auto"/>
              <w:jc w:val="left"/>
              <w:textAlignment w:val="center"/>
              <w:rPr>
                <w:rFonts w:eastAsiaTheme="minorEastAsia"/>
                <w:color w:val="auto"/>
                <w:sz w:val="20"/>
                <w:szCs w:val="20"/>
              </w:rPr>
            </w:pPr>
            <w:r>
              <w:rPr>
                <w:rFonts w:eastAsiaTheme="minorEastAsia"/>
                <w:bCs/>
                <w:color w:val="auto"/>
                <w:szCs w:val="21"/>
              </w:rPr>
              <w:t>电梯司梯</w:t>
            </w:r>
          </w:p>
        </w:tc>
        <w:tc>
          <w:tcPr>
            <w:tcW w:w="550" w:type="pct"/>
            <w:tcBorders>
              <w:top w:val="single" w:color="000000" w:sz="4" w:space="0"/>
              <w:left w:val="single" w:color="000000" w:sz="4" w:space="0"/>
              <w:bottom w:val="single" w:color="000000" w:sz="4" w:space="0"/>
              <w:right w:val="single" w:color="000000" w:sz="4" w:space="0"/>
            </w:tcBorders>
            <w:noWrap/>
            <w:vAlign w:val="center"/>
          </w:tcPr>
          <w:p w14:paraId="77BD2D05">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3</w:t>
            </w:r>
          </w:p>
        </w:tc>
        <w:tc>
          <w:tcPr>
            <w:tcW w:w="1303" w:type="pct"/>
            <w:tcBorders>
              <w:top w:val="single" w:color="000000" w:sz="4" w:space="0"/>
              <w:left w:val="single" w:color="000000" w:sz="4" w:space="0"/>
              <w:bottom w:val="single" w:color="000000" w:sz="4" w:space="0"/>
              <w:right w:val="single" w:color="000000" w:sz="4" w:space="0"/>
            </w:tcBorders>
            <w:noWrap/>
            <w:vAlign w:val="center"/>
          </w:tcPr>
          <w:p w14:paraId="2F75187F">
            <w:pPr>
              <w:widowControl/>
              <w:spacing w:line="360" w:lineRule="auto"/>
              <w:jc w:val="center"/>
              <w:textAlignment w:val="center"/>
              <w:rPr>
                <w:rFonts w:eastAsiaTheme="minorEastAsia"/>
                <w:color w:val="auto"/>
                <w:sz w:val="20"/>
                <w:szCs w:val="20"/>
              </w:rPr>
            </w:pPr>
          </w:p>
        </w:tc>
        <w:tc>
          <w:tcPr>
            <w:tcW w:w="1562" w:type="pct"/>
            <w:tcBorders>
              <w:top w:val="single" w:color="000000" w:sz="4" w:space="0"/>
              <w:left w:val="single" w:color="000000" w:sz="4" w:space="0"/>
              <w:bottom w:val="single" w:color="000000" w:sz="4" w:space="0"/>
              <w:right w:val="single" w:color="000000" w:sz="4" w:space="0"/>
            </w:tcBorders>
            <w:noWrap/>
            <w:vAlign w:val="center"/>
          </w:tcPr>
          <w:p w14:paraId="3A398765">
            <w:pPr>
              <w:widowControl/>
              <w:spacing w:line="360" w:lineRule="auto"/>
              <w:jc w:val="center"/>
              <w:textAlignment w:val="center"/>
              <w:rPr>
                <w:rFonts w:eastAsiaTheme="minorEastAsia"/>
                <w:color w:val="auto"/>
                <w:sz w:val="20"/>
                <w:szCs w:val="20"/>
              </w:rPr>
            </w:pPr>
          </w:p>
        </w:tc>
      </w:tr>
      <w:tr w14:paraId="109E5FA9">
        <w:tblPrEx>
          <w:tblCellMar>
            <w:top w:w="0" w:type="dxa"/>
            <w:left w:w="108" w:type="dxa"/>
            <w:bottom w:w="0" w:type="dxa"/>
            <w:right w:w="108" w:type="dxa"/>
          </w:tblCellMar>
        </w:tblPrEx>
        <w:trPr>
          <w:trHeight w:val="362" w:hRule="atLeast"/>
        </w:trPr>
        <w:tc>
          <w:tcPr>
            <w:tcW w:w="401" w:type="pct"/>
            <w:tcBorders>
              <w:top w:val="single" w:color="000000" w:sz="4" w:space="0"/>
              <w:left w:val="single" w:color="000000" w:sz="4" w:space="0"/>
              <w:bottom w:val="single" w:color="000000" w:sz="4" w:space="0"/>
              <w:right w:val="single" w:color="000000" w:sz="4" w:space="0"/>
            </w:tcBorders>
            <w:noWrap/>
            <w:vAlign w:val="center"/>
          </w:tcPr>
          <w:p w14:paraId="030B6F48">
            <w:pPr>
              <w:widowControl/>
              <w:spacing w:line="360" w:lineRule="auto"/>
              <w:jc w:val="center"/>
              <w:textAlignment w:val="center"/>
              <w:rPr>
                <w:rFonts w:eastAsiaTheme="minorEastAsia"/>
                <w:color w:val="auto"/>
                <w:sz w:val="20"/>
                <w:szCs w:val="20"/>
              </w:rPr>
            </w:pPr>
            <w:r>
              <w:rPr>
                <w:rFonts w:eastAsiaTheme="minorEastAsia"/>
                <w:color w:val="auto"/>
                <w:kern w:val="0"/>
                <w:sz w:val="20"/>
                <w:szCs w:val="20"/>
                <w:lang w:bidi="ar"/>
              </w:rPr>
              <w:t>5</w:t>
            </w:r>
          </w:p>
        </w:tc>
        <w:tc>
          <w:tcPr>
            <w:tcW w:w="3035" w:type="pct"/>
            <w:gridSpan w:val="3"/>
            <w:tcBorders>
              <w:top w:val="single" w:color="000000" w:sz="4" w:space="0"/>
              <w:left w:val="single" w:color="000000" w:sz="4" w:space="0"/>
              <w:bottom w:val="single" w:color="000000" w:sz="4" w:space="0"/>
              <w:right w:val="single" w:color="000000" w:sz="4" w:space="0"/>
            </w:tcBorders>
            <w:noWrap/>
            <w:vAlign w:val="center"/>
          </w:tcPr>
          <w:p w14:paraId="68B8DB32">
            <w:pPr>
              <w:widowControl/>
              <w:spacing w:line="360" w:lineRule="auto"/>
              <w:jc w:val="center"/>
              <w:textAlignment w:val="center"/>
              <w:rPr>
                <w:rFonts w:eastAsiaTheme="minorEastAsia"/>
                <w:color w:val="auto"/>
                <w:sz w:val="20"/>
                <w:szCs w:val="20"/>
              </w:rPr>
            </w:pPr>
            <w:r>
              <w:rPr>
                <w:rFonts w:eastAsiaTheme="minorEastAsia"/>
                <w:b/>
                <w:bCs/>
                <w:color w:val="auto"/>
                <w:kern w:val="0"/>
                <w:sz w:val="20"/>
                <w:szCs w:val="20"/>
                <w:lang w:bidi="ar"/>
              </w:rPr>
              <w:t>合计（单位：元）</w:t>
            </w:r>
          </w:p>
        </w:tc>
        <w:tc>
          <w:tcPr>
            <w:tcW w:w="1562" w:type="pct"/>
            <w:tcBorders>
              <w:top w:val="single" w:color="000000" w:sz="4" w:space="0"/>
              <w:left w:val="single" w:color="000000" w:sz="4" w:space="0"/>
              <w:bottom w:val="single" w:color="000000" w:sz="4" w:space="0"/>
              <w:right w:val="single" w:color="000000" w:sz="4" w:space="0"/>
            </w:tcBorders>
            <w:noWrap/>
            <w:vAlign w:val="center"/>
          </w:tcPr>
          <w:p w14:paraId="16BDF64B">
            <w:pPr>
              <w:widowControl/>
              <w:spacing w:line="360" w:lineRule="auto"/>
              <w:jc w:val="center"/>
              <w:textAlignment w:val="center"/>
              <w:rPr>
                <w:rFonts w:eastAsiaTheme="minorEastAsia"/>
                <w:color w:val="auto"/>
                <w:sz w:val="20"/>
                <w:szCs w:val="20"/>
              </w:rPr>
            </w:pPr>
          </w:p>
        </w:tc>
      </w:tr>
    </w:tbl>
    <w:p w14:paraId="26C883A7">
      <w:pPr>
        <w:spacing w:line="360" w:lineRule="auto"/>
        <w:ind w:firstLine="420" w:firstLineChars="200"/>
        <w:jc w:val="left"/>
        <w:rPr>
          <w:rFonts w:eastAsiaTheme="minorEastAsia"/>
          <w:color w:val="auto"/>
          <w14:ligatures w14:val="standardContextual"/>
        </w:rPr>
      </w:pPr>
      <w:r>
        <w:rPr>
          <w:rFonts w:eastAsiaTheme="minorEastAsia"/>
          <w:color w:val="auto"/>
          <w:szCs w:val="21"/>
          <w14:ligatures w14:val="standardContextual"/>
        </w:rPr>
        <w:t>注：投标报价应包含为实施本项目所产生的一切费用，包括但不限于社会保险、公积金、伙食补贴、交通补贴、高温费、国定节假日加班、医院突发事件需要临时加班、带薪年休假、经济补偿金、培训费、装备费、意外险、管理费、利润、税金及其他等一切费用，按实结算，以及为完成招标文件规定的服务工作所涉及到的一切相关费用。</w:t>
      </w:r>
    </w:p>
    <w:p w14:paraId="756F6C6A">
      <w:pPr>
        <w:widowControl/>
        <w:shd w:val="clear" w:color="auto" w:fill="FFFFFF"/>
        <w:spacing w:line="360" w:lineRule="auto"/>
        <w:jc w:val="left"/>
        <w:rPr>
          <w:rFonts w:eastAsiaTheme="minorEastAsia"/>
          <w:color w:val="auto"/>
          <w:kern w:val="0"/>
          <w:szCs w:val="21"/>
        </w:rPr>
      </w:pPr>
    </w:p>
    <w:p w14:paraId="4E9F1B0A">
      <w:pPr>
        <w:widowControl/>
        <w:shd w:val="clear" w:color="auto" w:fill="FFFFFF"/>
        <w:spacing w:line="360" w:lineRule="auto"/>
        <w:jc w:val="left"/>
        <w:rPr>
          <w:rFonts w:eastAsiaTheme="minorEastAsia"/>
          <w:color w:val="auto"/>
          <w:szCs w:val="21"/>
        </w:rPr>
      </w:pPr>
      <w:r>
        <w:rPr>
          <w:rFonts w:eastAsiaTheme="minorEastAsia"/>
          <w:color w:val="auto"/>
          <w:szCs w:val="21"/>
        </w:rPr>
        <w:t>说明：</w:t>
      </w:r>
    </w:p>
    <w:p w14:paraId="48DD2447">
      <w:pPr>
        <w:widowControl/>
        <w:shd w:val="clear" w:color="auto" w:fill="FFFFFF"/>
        <w:spacing w:line="360" w:lineRule="auto"/>
        <w:ind w:firstLine="422"/>
        <w:jc w:val="left"/>
        <w:rPr>
          <w:rFonts w:eastAsiaTheme="minorEastAsia"/>
          <w:b/>
          <w:bCs/>
          <w:color w:val="auto"/>
          <w:szCs w:val="21"/>
        </w:rPr>
      </w:pPr>
      <w:r>
        <w:rPr>
          <w:rFonts w:eastAsiaTheme="minorEastAsia"/>
          <w:b/>
          <w:bCs/>
          <w:color w:val="auto"/>
          <w:szCs w:val="21"/>
        </w:rPr>
        <w:t>1、本项目仅接受一个价格，不得填报有选择性报价方案。若有优惠条款须注明，但不得影响报价，影响产品整体功能；</w:t>
      </w:r>
    </w:p>
    <w:p w14:paraId="66C582DE">
      <w:pPr>
        <w:widowControl/>
        <w:shd w:val="clear" w:color="auto" w:fill="FFFFFF"/>
        <w:spacing w:line="360" w:lineRule="auto"/>
        <w:ind w:firstLine="422"/>
        <w:jc w:val="left"/>
        <w:rPr>
          <w:rFonts w:eastAsiaTheme="minorEastAsia"/>
          <w:b/>
          <w:bCs/>
          <w:color w:val="auto"/>
          <w:szCs w:val="21"/>
        </w:rPr>
      </w:pPr>
      <w:r>
        <w:rPr>
          <w:rFonts w:eastAsiaTheme="minorEastAsia"/>
          <w:b/>
          <w:bCs/>
          <w:color w:val="auto"/>
          <w:szCs w:val="21"/>
        </w:rPr>
        <w:t>2、分项报价表总价需与开标一览表中投标总价一致，若不一致以开标一览表中投标总价为准。</w:t>
      </w:r>
    </w:p>
    <w:p w14:paraId="423A7F00">
      <w:pPr>
        <w:widowControl/>
        <w:shd w:val="clear" w:color="auto" w:fill="FFFFFF"/>
        <w:spacing w:line="360" w:lineRule="auto"/>
        <w:ind w:firstLine="422"/>
        <w:jc w:val="left"/>
        <w:rPr>
          <w:rFonts w:eastAsiaTheme="minorEastAsia"/>
          <w:b/>
          <w:bCs/>
          <w:color w:val="auto"/>
          <w:szCs w:val="21"/>
        </w:rPr>
      </w:pPr>
    </w:p>
    <w:p w14:paraId="5927029B">
      <w:pPr>
        <w:widowControl/>
        <w:shd w:val="clear" w:color="auto" w:fill="FFFFFF"/>
        <w:spacing w:line="360" w:lineRule="auto"/>
        <w:ind w:firstLine="422"/>
        <w:jc w:val="left"/>
        <w:rPr>
          <w:rFonts w:eastAsiaTheme="minorEastAsia"/>
          <w:b/>
          <w:bCs/>
          <w:color w:val="auto"/>
          <w:szCs w:val="21"/>
        </w:rPr>
      </w:pPr>
    </w:p>
    <w:p w14:paraId="489BEBD2">
      <w:pPr>
        <w:widowControl/>
        <w:shd w:val="clear" w:color="auto" w:fill="FFFFFF"/>
        <w:spacing w:line="360" w:lineRule="auto"/>
        <w:ind w:firstLine="422"/>
        <w:jc w:val="left"/>
        <w:rPr>
          <w:rFonts w:eastAsiaTheme="minorEastAsia"/>
          <w:b/>
          <w:bCs/>
          <w:color w:val="auto"/>
          <w:szCs w:val="21"/>
        </w:rPr>
      </w:pPr>
    </w:p>
    <w:p w14:paraId="20B2A644">
      <w:pPr>
        <w:widowControl/>
        <w:shd w:val="clear" w:color="auto" w:fill="FFFFFF"/>
        <w:spacing w:line="360" w:lineRule="auto"/>
        <w:ind w:firstLine="422"/>
        <w:jc w:val="left"/>
        <w:rPr>
          <w:rFonts w:eastAsiaTheme="minorEastAsia"/>
          <w:b/>
          <w:bCs/>
          <w:color w:val="auto"/>
          <w:szCs w:val="21"/>
        </w:rPr>
      </w:pPr>
    </w:p>
    <w:p w14:paraId="00A1436B">
      <w:pPr>
        <w:widowControl/>
        <w:shd w:val="clear" w:color="auto" w:fill="FFFFFF"/>
        <w:spacing w:line="360" w:lineRule="auto"/>
        <w:ind w:firstLine="422"/>
        <w:jc w:val="left"/>
        <w:rPr>
          <w:rFonts w:eastAsiaTheme="minorEastAsia"/>
          <w:b/>
          <w:bCs/>
          <w:color w:val="auto"/>
          <w:szCs w:val="21"/>
        </w:rPr>
      </w:pPr>
    </w:p>
    <w:p w14:paraId="45A402A3">
      <w:pPr>
        <w:widowControl/>
        <w:shd w:val="clear" w:color="auto" w:fill="FFFFFF"/>
        <w:spacing w:line="360" w:lineRule="auto"/>
        <w:ind w:firstLine="422"/>
        <w:jc w:val="left"/>
        <w:rPr>
          <w:rFonts w:eastAsiaTheme="minorEastAsia"/>
          <w:b/>
          <w:bCs/>
          <w:color w:val="auto"/>
          <w:szCs w:val="21"/>
        </w:rPr>
      </w:pPr>
    </w:p>
    <w:p w14:paraId="40060BD8">
      <w:pPr>
        <w:widowControl/>
        <w:shd w:val="clear" w:color="auto" w:fill="FFFFFF"/>
        <w:spacing w:line="360" w:lineRule="auto"/>
        <w:ind w:firstLine="422"/>
        <w:jc w:val="left"/>
        <w:rPr>
          <w:rFonts w:eastAsiaTheme="minorEastAsia"/>
          <w:b/>
          <w:bCs/>
          <w:color w:val="auto"/>
          <w:szCs w:val="21"/>
        </w:rPr>
      </w:pPr>
    </w:p>
    <w:p w14:paraId="43014099">
      <w:pPr>
        <w:widowControl/>
        <w:shd w:val="clear" w:color="auto" w:fill="FFFFFF"/>
        <w:spacing w:line="360" w:lineRule="auto"/>
        <w:ind w:firstLine="422"/>
        <w:jc w:val="left"/>
        <w:rPr>
          <w:rFonts w:eastAsiaTheme="minorEastAsia"/>
          <w:b/>
          <w:bCs/>
          <w:color w:val="auto"/>
          <w:szCs w:val="21"/>
        </w:rPr>
      </w:pPr>
    </w:p>
    <w:p w14:paraId="22181356">
      <w:pPr>
        <w:widowControl/>
        <w:shd w:val="clear" w:color="auto" w:fill="FFFFFF"/>
        <w:spacing w:line="360" w:lineRule="auto"/>
        <w:ind w:firstLine="422"/>
        <w:jc w:val="left"/>
        <w:rPr>
          <w:rFonts w:eastAsiaTheme="minorEastAsia"/>
          <w:b/>
          <w:bCs/>
          <w:color w:val="auto"/>
          <w:szCs w:val="21"/>
        </w:rPr>
      </w:pPr>
    </w:p>
    <w:p w14:paraId="10AA9759">
      <w:pPr>
        <w:widowControl/>
        <w:shd w:val="clear" w:color="auto" w:fill="FFFFFF"/>
        <w:spacing w:line="360" w:lineRule="auto"/>
        <w:ind w:firstLine="422"/>
        <w:jc w:val="left"/>
        <w:rPr>
          <w:rFonts w:eastAsiaTheme="minorEastAsia"/>
          <w:b/>
          <w:bCs/>
          <w:color w:val="auto"/>
          <w:szCs w:val="21"/>
        </w:rPr>
      </w:pPr>
    </w:p>
    <w:p w14:paraId="7B7CE148">
      <w:pPr>
        <w:widowControl/>
        <w:shd w:val="clear" w:color="auto" w:fill="FFFFFF"/>
        <w:spacing w:line="360" w:lineRule="auto"/>
        <w:ind w:firstLine="422"/>
        <w:jc w:val="left"/>
        <w:rPr>
          <w:rFonts w:eastAsiaTheme="minorEastAsia"/>
          <w:b/>
          <w:bCs/>
          <w:color w:val="auto"/>
          <w:szCs w:val="21"/>
        </w:rPr>
      </w:pPr>
    </w:p>
    <w:p w14:paraId="00DB90F4">
      <w:pPr>
        <w:pStyle w:val="2"/>
        <w:spacing w:line="360" w:lineRule="auto"/>
        <w:ind w:firstLine="402"/>
        <w:rPr>
          <w:rFonts w:hint="default" w:ascii="Times New Roman" w:hAnsi="Times New Roman" w:eastAsiaTheme="minorEastAsia"/>
          <w:b/>
          <w:bCs/>
          <w:color w:val="auto"/>
          <w:szCs w:val="21"/>
        </w:rPr>
      </w:pPr>
    </w:p>
    <w:p w14:paraId="0254959E">
      <w:pPr>
        <w:spacing w:line="360" w:lineRule="auto"/>
        <w:rPr>
          <w:rFonts w:eastAsiaTheme="minorEastAsia"/>
          <w:b/>
          <w:bCs/>
          <w:color w:val="auto"/>
          <w:szCs w:val="21"/>
        </w:rPr>
      </w:pPr>
    </w:p>
    <w:p w14:paraId="01FC91FD">
      <w:pPr>
        <w:pStyle w:val="2"/>
        <w:spacing w:line="360" w:lineRule="auto"/>
        <w:ind w:firstLine="400"/>
        <w:rPr>
          <w:rFonts w:hint="default" w:ascii="Times New Roman" w:hAnsi="Times New Roman" w:eastAsiaTheme="minorEastAsia"/>
          <w:color w:val="auto"/>
        </w:rPr>
      </w:pPr>
    </w:p>
    <w:p w14:paraId="51794FBD">
      <w:pPr>
        <w:widowControl/>
        <w:shd w:val="clear" w:color="auto" w:fill="FFFFFF"/>
        <w:spacing w:line="360" w:lineRule="auto"/>
        <w:jc w:val="left"/>
        <w:rPr>
          <w:rFonts w:eastAsiaTheme="minorEastAsia"/>
          <w:color w:val="auto"/>
          <w:szCs w:val="21"/>
        </w:rPr>
      </w:pPr>
      <w:r>
        <w:rPr>
          <w:rFonts w:eastAsiaTheme="minorEastAsia"/>
          <w:color w:val="auto"/>
          <w:szCs w:val="21"/>
        </w:rPr>
        <w:t> </w:t>
      </w:r>
    </w:p>
    <w:p w14:paraId="35F4F966">
      <w:pPr>
        <w:widowControl/>
        <w:shd w:val="clear" w:color="auto" w:fill="FFFFFF"/>
        <w:spacing w:line="360" w:lineRule="auto"/>
        <w:jc w:val="left"/>
        <w:rPr>
          <w:rFonts w:eastAsiaTheme="minorEastAsia"/>
          <w:color w:val="auto"/>
          <w:szCs w:val="21"/>
        </w:rPr>
      </w:pPr>
    </w:p>
    <w:p w14:paraId="12108278">
      <w:pPr>
        <w:widowControl/>
        <w:shd w:val="clear" w:color="auto" w:fill="FFFFFF"/>
        <w:spacing w:line="360" w:lineRule="auto"/>
        <w:jc w:val="left"/>
        <w:rPr>
          <w:rFonts w:eastAsiaTheme="minorEastAsia"/>
          <w:color w:val="auto"/>
          <w:szCs w:val="21"/>
        </w:rPr>
      </w:pPr>
      <w:r>
        <w:rPr>
          <w:rFonts w:eastAsiaTheme="minorEastAsia"/>
          <w:b/>
          <w:bCs/>
          <w:color w:val="auto"/>
          <w:szCs w:val="21"/>
        </w:rPr>
        <w:t>附件五、</w:t>
      </w:r>
      <w:r>
        <w:rPr>
          <w:rFonts w:hint="eastAsia" w:eastAsiaTheme="minorEastAsia"/>
          <w:b/>
          <w:bCs/>
          <w:color w:val="auto"/>
          <w:szCs w:val="21"/>
          <w:lang w:val="en-US" w:eastAsia="zh-CN"/>
        </w:rPr>
        <w:t>技术</w:t>
      </w:r>
      <w:r>
        <w:rPr>
          <w:rFonts w:eastAsiaTheme="minorEastAsia"/>
          <w:b/>
          <w:bCs/>
          <w:color w:val="auto"/>
          <w:kern w:val="0"/>
          <w:szCs w:val="21"/>
        </w:rPr>
        <w:t>条款偏离表格式</w:t>
      </w:r>
    </w:p>
    <w:p w14:paraId="1E69E2DA">
      <w:pPr>
        <w:widowControl/>
        <w:shd w:val="clear" w:color="auto" w:fill="FFFFFF"/>
        <w:spacing w:line="360" w:lineRule="auto"/>
        <w:ind w:left="435"/>
        <w:jc w:val="left"/>
        <w:rPr>
          <w:rFonts w:eastAsiaTheme="minorEastAsia"/>
          <w:color w:val="auto"/>
          <w:szCs w:val="21"/>
        </w:rPr>
      </w:pPr>
      <w:r>
        <w:rPr>
          <w:rFonts w:eastAsiaTheme="minorEastAsia"/>
          <w:color w:val="auto"/>
          <w:sz w:val="24"/>
        </w:rPr>
        <w:t> </w:t>
      </w:r>
    </w:p>
    <w:p w14:paraId="4E9ADE90">
      <w:pPr>
        <w:widowControl/>
        <w:shd w:val="clear" w:color="auto" w:fill="FFFFFF"/>
        <w:spacing w:line="360" w:lineRule="auto"/>
        <w:ind w:left="420"/>
        <w:jc w:val="center"/>
        <w:rPr>
          <w:rFonts w:eastAsiaTheme="minorEastAsia"/>
          <w:b/>
          <w:color w:val="auto"/>
          <w:kern w:val="0"/>
          <w:szCs w:val="21"/>
        </w:rPr>
      </w:pPr>
      <w:r>
        <w:rPr>
          <w:rFonts w:hint="eastAsia" w:eastAsiaTheme="minorEastAsia"/>
          <w:b/>
          <w:color w:val="auto"/>
          <w:kern w:val="0"/>
          <w:sz w:val="36"/>
          <w:szCs w:val="36"/>
          <w:lang w:val="en-US" w:eastAsia="zh-CN"/>
        </w:rPr>
        <w:t>技术</w:t>
      </w:r>
      <w:r>
        <w:rPr>
          <w:rFonts w:eastAsiaTheme="minorEastAsia"/>
          <w:b/>
          <w:color w:val="auto"/>
          <w:kern w:val="0"/>
          <w:sz w:val="36"/>
          <w:szCs w:val="36"/>
        </w:rPr>
        <w:t>条款偏离表</w:t>
      </w:r>
    </w:p>
    <w:p w14:paraId="0224AC5D">
      <w:pPr>
        <w:widowControl/>
        <w:shd w:val="clear" w:color="auto" w:fill="FFFFFF"/>
        <w:spacing w:line="360" w:lineRule="auto"/>
        <w:jc w:val="left"/>
        <w:rPr>
          <w:rFonts w:eastAsiaTheme="minorEastAsia"/>
          <w:color w:val="auto"/>
          <w:kern w:val="0"/>
          <w:szCs w:val="21"/>
        </w:rPr>
      </w:pPr>
      <w:r>
        <w:rPr>
          <w:rFonts w:eastAsiaTheme="minorEastAsia"/>
          <w:color w:val="auto"/>
          <w:kern w:val="0"/>
          <w:sz w:val="24"/>
        </w:rPr>
        <w:t> </w:t>
      </w:r>
    </w:p>
    <w:p w14:paraId="5C5A14E9">
      <w:pPr>
        <w:widowControl/>
        <w:tabs>
          <w:tab w:val="left" w:pos="5366"/>
        </w:tabs>
        <w:spacing w:line="360" w:lineRule="auto"/>
        <w:ind w:firstLine="96" w:firstLineChars="46"/>
        <w:jc w:val="left"/>
        <w:rPr>
          <w:rFonts w:eastAsiaTheme="minorEastAsia"/>
          <w:color w:val="auto"/>
          <w:kern w:val="0"/>
          <w:szCs w:val="21"/>
        </w:rPr>
      </w:pPr>
      <w:r>
        <w:rPr>
          <w:rFonts w:eastAsiaTheme="minorEastAsia"/>
          <w:color w:val="auto"/>
          <w:kern w:val="0"/>
          <w:szCs w:val="21"/>
        </w:rPr>
        <w:t>项目名称：</w:t>
      </w:r>
      <w:r>
        <w:rPr>
          <w:rFonts w:eastAsiaTheme="minorEastAsia"/>
          <w:color w:val="auto"/>
          <w:kern w:val="0"/>
          <w:szCs w:val="21"/>
        </w:rPr>
        <w:tab/>
      </w:r>
      <w:r>
        <w:rPr>
          <w:rFonts w:eastAsiaTheme="minorEastAsia"/>
          <w:color w:val="auto"/>
          <w:kern w:val="0"/>
          <w:szCs w:val="21"/>
        </w:rPr>
        <w:t>项目编号：         </w:t>
      </w:r>
    </w:p>
    <w:tbl>
      <w:tblPr>
        <w:tblStyle w:val="5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832B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C07EECC">
            <w:pPr>
              <w:widowControl/>
              <w:spacing w:line="360" w:lineRule="auto"/>
              <w:jc w:val="center"/>
              <w:rPr>
                <w:rFonts w:eastAsiaTheme="minorEastAsia"/>
                <w:b/>
                <w:color w:val="auto"/>
                <w:kern w:val="0"/>
                <w:szCs w:val="21"/>
              </w:rPr>
            </w:pPr>
            <w:r>
              <w:rPr>
                <w:rFonts w:eastAsiaTheme="minorEastAsia"/>
                <w:b/>
                <w:color w:val="auto"/>
                <w:kern w:val="0"/>
                <w:szCs w:val="21"/>
              </w:rPr>
              <w:t>序号</w:t>
            </w:r>
          </w:p>
        </w:tc>
        <w:tc>
          <w:tcPr>
            <w:tcW w:w="1679" w:type="dxa"/>
            <w:tcMar>
              <w:top w:w="0" w:type="dxa"/>
              <w:left w:w="10" w:type="dxa"/>
              <w:bottom w:w="0" w:type="dxa"/>
              <w:right w:w="10" w:type="dxa"/>
            </w:tcMar>
            <w:vAlign w:val="center"/>
          </w:tcPr>
          <w:p w14:paraId="0D64E876">
            <w:pPr>
              <w:widowControl/>
              <w:spacing w:line="360" w:lineRule="auto"/>
              <w:jc w:val="center"/>
              <w:rPr>
                <w:rFonts w:eastAsiaTheme="minorEastAsia"/>
                <w:b/>
                <w:color w:val="auto"/>
                <w:kern w:val="0"/>
                <w:szCs w:val="21"/>
              </w:rPr>
            </w:pPr>
            <w:r>
              <w:rPr>
                <w:rFonts w:eastAsiaTheme="minorEastAsia"/>
                <w:b/>
                <w:color w:val="auto"/>
                <w:kern w:val="0"/>
                <w:szCs w:val="21"/>
              </w:rPr>
              <w:t>招标文件条目号</w:t>
            </w:r>
          </w:p>
        </w:tc>
        <w:tc>
          <w:tcPr>
            <w:tcW w:w="2488" w:type="dxa"/>
            <w:tcMar>
              <w:top w:w="0" w:type="dxa"/>
              <w:left w:w="10" w:type="dxa"/>
              <w:bottom w:w="0" w:type="dxa"/>
              <w:right w:w="10" w:type="dxa"/>
            </w:tcMar>
            <w:vAlign w:val="center"/>
          </w:tcPr>
          <w:p w14:paraId="0C91D5DC">
            <w:pPr>
              <w:widowControl/>
              <w:spacing w:line="360" w:lineRule="auto"/>
              <w:jc w:val="center"/>
              <w:rPr>
                <w:rFonts w:eastAsiaTheme="minorEastAsia"/>
                <w:b/>
                <w:color w:val="auto"/>
                <w:kern w:val="0"/>
                <w:szCs w:val="21"/>
              </w:rPr>
            </w:pPr>
            <w:r>
              <w:rPr>
                <w:rFonts w:eastAsiaTheme="minorEastAsia"/>
                <w:b/>
                <w:color w:val="auto"/>
                <w:kern w:val="0"/>
                <w:szCs w:val="21"/>
              </w:rPr>
              <w:t>招标文件要求的</w:t>
            </w:r>
            <w:r>
              <w:rPr>
                <w:rFonts w:hint="eastAsia" w:eastAsiaTheme="minorEastAsia"/>
                <w:b/>
                <w:color w:val="auto"/>
                <w:kern w:val="0"/>
                <w:szCs w:val="21"/>
                <w:lang w:val="en-US" w:eastAsia="zh-CN"/>
              </w:rPr>
              <w:t>技术</w:t>
            </w:r>
            <w:r>
              <w:rPr>
                <w:rFonts w:eastAsiaTheme="minorEastAsia"/>
                <w:b/>
                <w:color w:val="auto"/>
                <w:kern w:val="0"/>
                <w:szCs w:val="21"/>
              </w:rPr>
              <w:t>条款</w:t>
            </w:r>
          </w:p>
        </w:tc>
        <w:tc>
          <w:tcPr>
            <w:tcW w:w="3004" w:type="dxa"/>
            <w:tcMar>
              <w:top w:w="0" w:type="dxa"/>
              <w:left w:w="10" w:type="dxa"/>
              <w:bottom w:w="0" w:type="dxa"/>
              <w:right w:w="10" w:type="dxa"/>
            </w:tcMar>
            <w:vAlign w:val="center"/>
          </w:tcPr>
          <w:p w14:paraId="4DB62F0D">
            <w:pPr>
              <w:widowControl/>
              <w:spacing w:line="360" w:lineRule="auto"/>
              <w:jc w:val="center"/>
              <w:rPr>
                <w:rFonts w:eastAsiaTheme="minorEastAsia"/>
                <w:b/>
                <w:color w:val="auto"/>
                <w:kern w:val="0"/>
                <w:szCs w:val="21"/>
              </w:rPr>
            </w:pPr>
            <w:r>
              <w:rPr>
                <w:rFonts w:eastAsiaTheme="minorEastAsia"/>
                <w:b/>
                <w:color w:val="auto"/>
                <w:kern w:val="0"/>
                <w:szCs w:val="21"/>
              </w:rPr>
              <w:t>投标响应</w:t>
            </w:r>
          </w:p>
        </w:tc>
        <w:tc>
          <w:tcPr>
            <w:tcW w:w="1201" w:type="dxa"/>
            <w:tcMar>
              <w:top w:w="0" w:type="dxa"/>
              <w:left w:w="10" w:type="dxa"/>
              <w:bottom w:w="0" w:type="dxa"/>
              <w:right w:w="10" w:type="dxa"/>
            </w:tcMar>
            <w:vAlign w:val="center"/>
          </w:tcPr>
          <w:p w14:paraId="6A6E2CF8">
            <w:pPr>
              <w:widowControl/>
              <w:spacing w:line="360" w:lineRule="auto"/>
              <w:jc w:val="center"/>
              <w:rPr>
                <w:rFonts w:eastAsiaTheme="minorEastAsia"/>
                <w:b/>
                <w:color w:val="auto"/>
                <w:kern w:val="0"/>
                <w:szCs w:val="21"/>
              </w:rPr>
            </w:pPr>
            <w:r>
              <w:rPr>
                <w:rFonts w:eastAsiaTheme="minorEastAsia"/>
                <w:b/>
                <w:color w:val="auto"/>
                <w:kern w:val="0"/>
                <w:szCs w:val="21"/>
              </w:rPr>
              <w:t>偏离</w:t>
            </w:r>
          </w:p>
        </w:tc>
      </w:tr>
      <w:tr w14:paraId="13C9AD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2122C7B">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67DE76B0">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44FD38BD">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08F856E8">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69C1487B">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34837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BFF0C36">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09D8F58C">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06E8E890">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605DF40E">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43FEC98A">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02AA1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ED42975">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29FE9DC6">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294FBD18">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18E35C0D">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7D87BC25">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5BD8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AB3F222">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55E56B76">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7D3444CA">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7DFB3071">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7D5C0CB8">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60C2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0162E65">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52DCD93B">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54C33180">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287BC19A">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2D6ADBB2">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012F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AFDCC63">
            <w:pPr>
              <w:widowControl/>
              <w:spacing w:line="360" w:lineRule="auto"/>
              <w:jc w:val="center"/>
              <w:rPr>
                <w:rFonts w:eastAsiaTheme="minorEastAsia"/>
                <w:color w:val="auto"/>
                <w:kern w:val="0"/>
                <w:szCs w:val="21"/>
              </w:rPr>
            </w:pPr>
          </w:p>
        </w:tc>
        <w:tc>
          <w:tcPr>
            <w:tcW w:w="1679" w:type="dxa"/>
            <w:tcMar>
              <w:top w:w="0" w:type="dxa"/>
              <w:left w:w="10" w:type="dxa"/>
              <w:bottom w:w="0" w:type="dxa"/>
              <w:right w:w="10" w:type="dxa"/>
            </w:tcMar>
            <w:vAlign w:val="center"/>
          </w:tcPr>
          <w:p w14:paraId="045D4C5D">
            <w:pPr>
              <w:widowControl/>
              <w:spacing w:line="360" w:lineRule="auto"/>
              <w:jc w:val="center"/>
              <w:rPr>
                <w:rFonts w:eastAsiaTheme="minorEastAsia"/>
                <w:color w:val="auto"/>
                <w:kern w:val="0"/>
                <w:szCs w:val="21"/>
              </w:rPr>
            </w:pPr>
          </w:p>
        </w:tc>
        <w:tc>
          <w:tcPr>
            <w:tcW w:w="2488" w:type="dxa"/>
            <w:tcMar>
              <w:top w:w="0" w:type="dxa"/>
              <w:left w:w="10" w:type="dxa"/>
              <w:bottom w:w="0" w:type="dxa"/>
              <w:right w:w="10" w:type="dxa"/>
            </w:tcMar>
            <w:vAlign w:val="center"/>
          </w:tcPr>
          <w:p w14:paraId="203BE887">
            <w:pPr>
              <w:widowControl/>
              <w:spacing w:line="360" w:lineRule="auto"/>
              <w:jc w:val="center"/>
              <w:rPr>
                <w:rFonts w:eastAsiaTheme="minorEastAsia"/>
                <w:color w:val="auto"/>
                <w:kern w:val="0"/>
                <w:szCs w:val="21"/>
              </w:rPr>
            </w:pPr>
          </w:p>
        </w:tc>
        <w:tc>
          <w:tcPr>
            <w:tcW w:w="3004" w:type="dxa"/>
            <w:tcMar>
              <w:top w:w="0" w:type="dxa"/>
              <w:left w:w="10" w:type="dxa"/>
              <w:bottom w:w="0" w:type="dxa"/>
              <w:right w:w="10" w:type="dxa"/>
            </w:tcMar>
            <w:vAlign w:val="center"/>
          </w:tcPr>
          <w:p w14:paraId="57421D1E">
            <w:pPr>
              <w:widowControl/>
              <w:spacing w:line="360" w:lineRule="auto"/>
              <w:jc w:val="center"/>
              <w:rPr>
                <w:rFonts w:eastAsiaTheme="minorEastAsia"/>
                <w:color w:val="auto"/>
                <w:kern w:val="0"/>
                <w:szCs w:val="21"/>
              </w:rPr>
            </w:pPr>
          </w:p>
        </w:tc>
        <w:tc>
          <w:tcPr>
            <w:tcW w:w="1201" w:type="dxa"/>
            <w:tcMar>
              <w:top w:w="0" w:type="dxa"/>
              <w:left w:w="10" w:type="dxa"/>
              <w:bottom w:w="0" w:type="dxa"/>
              <w:right w:w="10" w:type="dxa"/>
            </w:tcMar>
            <w:vAlign w:val="center"/>
          </w:tcPr>
          <w:p w14:paraId="25C51DC9">
            <w:pPr>
              <w:widowControl/>
              <w:spacing w:line="360" w:lineRule="auto"/>
              <w:jc w:val="center"/>
              <w:rPr>
                <w:rFonts w:eastAsiaTheme="minorEastAsia"/>
                <w:color w:val="auto"/>
                <w:kern w:val="0"/>
                <w:szCs w:val="21"/>
              </w:rPr>
            </w:pPr>
          </w:p>
        </w:tc>
      </w:tr>
      <w:tr w14:paraId="5CAD3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EF71C77">
            <w:pPr>
              <w:widowControl/>
              <w:spacing w:line="360" w:lineRule="auto"/>
              <w:jc w:val="center"/>
              <w:rPr>
                <w:rFonts w:eastAsiaTheme="minorEastAsia"/>
                <w:color w:val="auto"/>
                <w:kern w:val="0"/>
                <w:szCs w:val="21"/>
              </w:rPr>
            </w:pPr>
          </w:p>
        </w:tc>
        <w:tc>
          <w:tcPr>
            <w:tcW w:w="1679" w:type="dxa"/>
            <w:tcMar>
              <w:top w:w="0" w:type="dxa"/>
              <w:left w:w="10" w:type="dxa"/>
              <w:bottom w:w="0" w:type="dxa"/>
              <w:right w:w="10" w:type="dxa"/>
            </w:tcMar>
            <w:vAlign w:val="center"/>
          </w:tcPr>
          <w:p w14:paraId="58E269C3">
            <w:pPr>
              <w:widowControl/>
              <w:spacing w:line="360" w:lineRule="auto"/>
              <w:jc w:val="center"/>
              <w:rPr>
                <w:rFonts w:eastAsiaTheme="minorEastAsia"/>
                <w:color w:val="auto"/>
                <w:kern w:val="0"/>
                <w:szCs w:val="21"/>
              </w:rPr>
            </w:pPr>
          </w:p>
        </w:tc>
        <w:tc>
          <w:tcPr>
            <w:tcW w:w="2488" w:type="dxa"/>
            <w:tcMar>
              <w:top w:w="0" w:type="dxa"/>
              <w:left w:w="10" w:type="dxa"/>
              <w:bottom w:w="0" w:type="dxa"/>
              <w:right w:w="10" w:type="dxa"/>
            </w:tcMar>
            <w:vAlign w:val="center"/>
          </w:tcPr>
          <w:p w14:paraId="0A5965A4">
            <w:pPr>
              <w:widowControl/>
              <w:spacing w:line="360" w:lineRule="auto"/>
              <w:jc w:val="center"/>
              <w:rPr>
                <w:rFonts w:eastAsiaTheme="minorEastAsia"/>
                <w:color w:val="auto"/>
                <w:kern w:val="0"/>
                <w:szCs w:val="21"/>
              </w:rPr>
            </w:pPr>
          </w:p>
        </w:tc>
        <w:tc>
          <w:tcPr>
            <w:tcW w:w="3004" w:type="dxa"/>
            <w:tcMar>
              <w:top w:w="0" w:type="dxa"/>
              <w:left w:w="10" w:type="dxa"/>
              <w:bottom w:w="0" w:type="dxa"/>
              <w:right w:w="10" w:type="dxa"/>
            </w:tcMar>
            <w:vAlign w:val="center"/>
          </w:tcPr>
          <w:p w14:paraId="3A7DDFA1">
            <w:pPr>
              <w:widowControl/>
              <w:spacing w:line="360" w:lineRule="auto"/>
              <w:jc w:val="center"/>
              <w:rPr>
                <w:rFonts w:eastAsiaTheme="minorEastAsia"/>
                <w:color w:val="auto"/>
                <w:kern w:val="0"/>
                <w:szCs w:val="21"/>
              </w:rPr>
            </w:pPr>
          </w:p>
        </w:tc>
        <w:tc>
          <w:tcPr>
            <w:tcW w:w="1201" w:type="dxa"/>
            <w:tcMar>
              <w:top w:w="0" w:type="dxa"/>
              <w:left w:w="10" w:type="dxa"/>
              <w:bottom w:w="0" w:type="dxa"/>
              <w:right w:w="10" w:type="dxa"/>
            </w:tcMar>
            <w:vAlign w:val="center"/>
          </w:tcPr>
          <w:p w14:paraId="5A580F20">
            <w:pPr>
              <w:widowControl/>
              <w:spacing w:line="360" w:lineRule="auto"/>
              <w:jc w:val="center"/>
              <w:rPr>
                <w:rFonts w:eastAsiaTheme="minorEastAsia"/>
                <w:color w:val="auto"/>
                <w:kern w:val="0"/>
                <w:szCs w:val="21"/>
              </w:rPr>
            </w:pPr>
          </w:p>
        </w:tc>
      </w:tr>
    </w:tbl>
    <w:p w14:paraId="7E67734C">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说明：</w:t>
      </w:r>
    </w:p>
    <w:p w14:paraId="6D223C63">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1、如果行数不够，请自行增加。</w:t>
      </w:r>
    </w:p>
    <w:p w14:paraId="381BAB8D">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2、内容响应存在正偏离或无偏离或负偏离的，请在本表中逐条列出。未列出的，也视为响应招标文件要求，无偏离。如果行数不够，请自行增加。</w:t>
      </w:r>
    </w:p>
    <w:p w14:paraId="4B399CF3">
      <w:pPr>
        <w:pStyle w:val="2"/>
        <w:spacing w:line="360" w:lineRule="auto"/>
        <w:ind w:firstLine="0" w:firstLineChars="0"/>
        <w:rPr>
          <w:rFonts w:hint="default" w:ascii="Times New Roman" w:hAnsi="Times New Roman" w:eastAsiaTheme="minorEastAsia"/>
          <w:color w:val="auto"/>
        </w:rPr>
      </w:pPr>
      <w:r>
        <w:rPr>
          <w:rFonts w:hint="default" w:ascii="Times New Roman" w:hAnsi="Times New Roman" w:eastAsiaTheme="minorEastAsia"/>
          <w:color w:val="auto"/>
          <w:szCs w:val="21"/>
        </w:rPr>
        <w:t>3、如无偏离可在投标响应栏填写“完全响应，无偏离。”</w:t>
      </w:r>
    </w:p>
    <w:p w14:paraId="4AAD7D37">
      <w:pPr>
        <w:widowControl/>
        <w:shd w:val="clear" w:color="auto" w:fill="FFFFFF"/>
        <w:spacing w:line="360" w:lineRule="auto"/>
        <w:jc w:val="left"/>
        <w:rPr>
          <w:rFonts w:eastAsiaTheme="minorEastAsia"/>
          <w:color w:val="auto"/>
          <w:kern w:val="0"/>
          <w:szCs w:val="21"/>
        </w:rPr>
      </w:pPr>
    </w:p>
    <w:p w14:paraId="5284B07D">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投标单位（加盖电子公章）：</w:t>
      </w:r>
      <w:r>
        <w:rPr>
          <w:rFonts w:eastAsiaTheme="minorEastAsia"/>
          <w:color w:val="auto"/>
          <w:kern w:val="0"/>
          <w:szCs w:val="21"/>
          <w:u w:val="single"/>
        </w:rPr>
        <w:t>                             </w:t>
      </w:r>
    </w:p>
    <w:p w14:paraId="695A1DB5">
      <w:pPr>
        <w:widowControl/>
        <w:shd w:val="clear" w:color="auto" w:fill="FFFFFF"/>
        <w:spacing w:line="360" w:lineRule="auto"/>
        <w:ind w:firstLine="422"/>
        <w:jc w:val="left"/>
        <w:rPr>
          <w:rFonts w:eastAsiaTheme="minorEastAsia"/>
          <w:b/>
          <w:bCs/>
          <w:color w:val="auto"/>
          <w:kern w:val="0"/>
          <w:szCs w:val="21"/>
          <w:lang w:val="zh-CN"/>
        </w:rPr>
      </w:pPr>
      <w:r>
        <w:rPr>
          <w:rFonts w:eastAsiaTheme="minorEastAsia"/>
          <w:b/>
          <w:bCs/>
          <w:color w:val="auto"/>
          <w:kern w:val="0"/>
          <w:szCs w:val="21"/>
          <w:lang w:val="zh-CN"/>
        </w:rPr>
        <w:br w:type="page"/>
      </w:r>
    </w:p>
    <w:p w14:paraId="41329B9F">
      <w:pPr>
        <w:widowControl/>
        <w:shd w:val="clear" w:color="auto" w:fill="FFFFFF"/>
        <w:spacing w:line="360" w:lineRule="auto"/>
        <w:jc w:val="left"/>
        <w:rPr>
          <w:rFonts w:eastAsiaTheme="minorEastAsia"/>
          <w:color w:val="auto"/>
          <w:kern w:val="0"/>
          <w:szCs w:val="21"/>
        </w:rPr>
      </w:pPr>
      <w:r>
        <w:rPr>
          <w:rFonts w:eastAsiaTheme="minorEastAsia"/>
          <w:b/>
          <w:bCs/>
          <w:color w:val="auto"/>
          <w:kern w:val="0"/>
          <w:szCs w:val="21"/>
        </w:rPr>
        <w:t>附件六、商务条款偏离表格式</w:t>
      </w:r>
    </w:p>
    <w:p w14:paraId="4D88E7B2">
      <w:pPr>
        <w:widowControl/>
        <w:shd w:val="clear" w:color="auto" w:fill="FFFFFF"/>
        <w:spacing w:line="360" w:lineRule="auto"/>
        <w:ind w:firstLine="420"/>
        <w:jc w:val="left"/>
        <w:rPr>
          <w:rFonts w:eastAsiaTheme="minorEastAsia"/>
          <w:color w:val="auto"/>
          <w:kern w:val="0"/>
          <w:szCs w:val="21"/>
        </w:rPr>
      </w:pPr>
      <w:r>
        <w:rPr>
          <w:rFonts w:eastAsiaTheme="minorEastAsia"/>
          <w:color w:val="auto"/>
          <w:kern w:val="0"/>
          <w:szCs w:val="21"/>
        </w:rPr>
        <w:t> </w:t>
      </w:r>
    </w:p>
    <w:p w14:paraId="182D75B4">
      <w:pPr>
        <w:widowControl/>
        <w:shd w:val="clear" w:color="auto" w:fill="FFFFFF"/>
        <w:spacing w:line="360" w:lineRule="auto"/>
        <w:ind w:left="420"/>
        <w:jc w:val="center"/>
        <w:rPr>
          <w:rFonts w:eastAsiaTheme="minorEastAsia"/>
          <w:b/>
          <w:color w:val="auto"/>
          <w:kern w:val="0"/>
          <w:szCs w:val="21"/>
        </w:rPr>
      </w:pPr>
      <w:r>
        <w:rPr>
          <w:rFonts w:eastAsiaTheme="minorEastAsia"/>
          <w:b/>
          <w:color w:val="auto"/>
          <w:kern w:val="0"/>
          <w:sz w:val="36"/>
          <w:szCs w:val="36"/>
        </w:rPr>
        <w:t>商务条款偏离表</w:t>
      </w:r>
    </w:p>
    <w:p w14:paraId="23092C4C">
      <w:pPr>
        <w:widowControl/>
        <w:shd w:val="clear" w:color="auto" w:fill="FFFFFF"/>
        <w:spacing w:line="360" w:lineRule="auto"/>
        <w:jc w:val="left"/>
        <w:rPr>
          <w:rFonts w:eastAsiaTheme="minorEastAsia"/>
          <w:color w:val="auto"/>
          <w:kern w:val="0"/>
          <w:szCs w:val="21"/>
        </w:rPr>
      </w:pPr>
      <w:r>
        <w:rPr>
          <w:rFonts w:eastAsiaTheme="minorEastAsia"/>
          <w:color w:val="auto"/>
          <w:kern w:val="0"/>
          <w:sz w:val="24"/>
        </w:rPr>
        <w:t> </w:t>
      </w:r>
    </w:p>
    <w:p w14:paraId="31F5120A">
      <w:pPr>
        <w:widowControl/>
        <w:tabs>
          <w:tab w:val="left" w:pos="5366"/>
        </w:tabs>
        <w:spacing w:line="360" w:lineRule="auto"/>
        <w:ind w:firstLine="96" w:firstLineChars="46"/>
        <w:jc w:val="left"/>
        <w:rPr>
          <w:rFonts w:eastAsiaTheme="minorEastAsia"/>
          <w:color w:val="auto"/>
          <w:kern w:val="0"/>
          <w:szCs w:val="21"/>
        </w:rPr>
      </w:pPr>
      <w:r>
        <w:rPr>
          <w:rFonts w:eastAsiaTheme="minorEastAsia"/>
          <w:color w:val="auto"/>
          <w:kern w:val="0"/>
          <w:szCs w:val="21"/>
        </w:rPr>
        <w:t>项目名称：</w:t>
      </w:r>
      <w:r>
        <w:rPr>
          <w:rFonts w:eastAsiaTheme="minorEastAsia"/>
          <w:color w:val="auto"/>
          <w:kern w:val="0"/>
          <w:szCs w:val="21"/>
        </w:rPr>
        <w:tab/>
      </w:r>
      <w:r>
        <w:rPr>
          <w:rFonts w:eastAsiaTheme="minorEastAsia"/>
          <w:color w:val="auto"/>
          <w:kern w:val="0"/>
          <w:szCs w:val="21"/>
        </w:rPr>
        <w:t>项目编号：         </w:t>
      </w:r>
    </w:p>
    <w:tbl>
      <w:tblPr>
        <w:tblStyle w:val="58"/>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638F4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1C1C67A">
            <w:pPr>
              <w:widowControl/>
              <w:spacing w:line="360" w:lineRule="auto"/>
              <w:jc w:val="center"/>
              <w:rPr>
                <w:rFonts w:eastAsiaTheme="minorEastAsia"/>
                <w:b/>
                <w:color w:val="auto"/>
                <w:kern w:val="0"/>
                <w:szCs w:val="21"/>
              </w:rPr>
            </w:pPr>
            <w:r>
              <w:rPr>
                <w:rFonts w:eastAsiaTheme="minorEastAsia"/>
                <w:b/>
                <w:color w:val="auto"/>
                <w:kern w:val="0"/>
                <w:szCs w:val="21"/>
              </w:rPr>
              <w:t>序号</w:t>
            </w:r>
          </w:p>
        </w:tc>
        <w:tc>
          <w:tcPr>
            <w:tcW w:w="1679" w:type="dxa"/>
            <w:tcMar>
              <w:top w:w="0" w:type="dxa"/>
              <w:left w:w="10" w:type="dxa"/>
              <w:bottom w:w="0" w:type="dxa"/>
              <w:right w:w="10" w:type="dxa"/>
            </w:tcMar>
            <w:vAlign w:val="center"/>
          </w:tcPr>
          <w:p w14:paraId="21E7FCAE">
            <w:pPr>
              <w:widowControl/>
              <w:spacing w:line="360" w:lineRule="auto"/>
              <w:jc w:val="center"/>
              <w:rPr>
                <w:rFonts w:eastAsiaTheme="minorEastAsia"/>
                <w:b/>
                <w:color w:val="auto"/>
                <w:kern w:val="0"/>
                <w:szCs w:val="21"/>
              </w:rPr>
            </w:pPr>
            <w:r>
              <w:rPr>
                <w:rFonts w:eastAsiaTheme="minorEastAsia"/>
                <w:b/>
                <w:color w:val="auto"/>
                <w:kern w:val="0"/>
                <w:szCs w:val="21"/>
              </w:rPr>
              <w:t>招标文件条目号</w:t>
            </w:r>
          </w:p>
        </w:tc>
        <w:tc>
          <w:tcPr>
            <w:tcW w:w="2488" w:type="dxa"/>
            <w:tcMar>
              <w:top w:w="0" w:type="dxa"/>
              <w:left w:w="10" w:type="dxa"/>
              <w:bottom w:w="0" w:type="dxa"/>
              <w:right w:w="10" w:type="dxa"/>
            </w:tcMar>
            <w:vAlign w:val="center"/>
          </w:tcPr>
          <w:p w14:paraId="5BD56831">
            <w:pPr>
              <w:widowControl/>
              <w:spacing w:line="360" w:lineRule="auto"/>
              <w:jc w:val="center"/>
              <w:rPr>
                <w:rFonts w:eastAsiaTheme="minorEastAsia"/>
                <w:b/>
                <w:color w:val="auto"/>
                <w:kern w:val="0"/>
                <w:szCs w:val="21"/>
              </w:rPr>
            </w:pPr>
            <w:r>
              <w:rPr>
                <w:rFonts w:eastAsiaTheme="minorEastAsia"/>
                <w:b/>
                <w:color w:val="auto"/>
                <w:kern w:val="0"/>
                <w:szCs w:val="21"/>
              </w:rPr>
              <w:t>招标文件要求的商务条款</w:t>
            </w:r>
          </w:p>
        </w:tc>
        <w:tc>
          <w:tcPr>
            <w:tcW w:w="3004" w:type="dxa"/>
            <w:tcMar>
              <w:top w:w="0" w:type="dxa"/>
              <w:left w:w="10" w:type="dxa"/>
              <w:bottom w:w="0" w:type="dxa"/>
              <w:right w:w="10" w:type="dxa"/>
            </w:tcMar>
            <w:vAlign w:val="center"/>
          </w:tcPr>
          <w:p w14:paraId="250AF67F">
            <w:pPr>
              <w:widowControl/>
              <w:spacing w:line="360" w:lineRule="auto"/>
              <w:jc w:val="center"/>
              <w:rPr>
                <w:rFonts w:eastAsiaTheme="minorEastAsia"/>
                <w:b/>
                <w:color w:val="auto"/>
                <w:kern w:val="0"/>
                <w:szCs w:val="21"/>
              </w:rPr>
            </w:pPr>
            <w:r>
              <w:rPr>
                <w:rFonts w:eastAsiaTheme="minorEastAsia"/>
                <w:b/>
                <w:color w:val="auto"/>
                <w:kern w:val="0"/>
                <w:szCs w:val="21"/>
              </w:rPr>
              <w:t>投标响应</w:t>
            </w:r>
          </w:p>
        </w:tc>
        <w:tc>
          <w:tcPr>
            <w:tcW w:w="1201" w:type="dxa"/>
            <w:tcMar>
              <w:top w:w="0" w:type="dxa"/>
              <w:left w:w="10" w:type="dxa"/>
              <w:bottom w:w="0" w:type="dxa"/>
              <w:right w:w="10" w:type="dxa"/>
            </w:tcMar>
            <w:vAlign w:val="center"/>
          </w:tcPr>
          <w:p w14:paraId="309F1FAF">
            <w:pPr>
              <w:widowControl/>
              <w:spacing w:line="360" w:lineRule="auto"/>
              <w:jc w:val="center"/>
              <w:rPr>
                <w:rFonts w:eastAsiaTheme="minorEastAsia"/>
                <w:b/>
                <w:color w:val="auto"/>
                <w:kern w:val="0"/>
                <w:szCs w:val="21"/>
              </w:rPr>
            </w:pPr>
            <w:r>
              <w:rPr>
                <w:rFonts w:eastAsiaTheme="minorEastAsia"/>
                <w:b/>
                <w:color w:val="auto"/>
                <w:kern w:val="0"/>
                <w:szCs w:val="21"/>
              </w:rPr>
              <w:t>偏离</w:t>
            </w:r>
          </w:p>
        </w:tc>
      </w:tr>
      <w:tr w14:paraId="235A7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A13134A">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18D7C418">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288A87C4">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658722C6">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0C4DE518">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27457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FB00DC9">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000DC0D9">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2AABFCBB">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230B58BF">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05584B17">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3DF7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2E22BB11">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056F4A87">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198ADE3C">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7F7C5851">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6055284A">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2B4B4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5CA802CE">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34808003">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40BBD180">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0060F040">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21ED6513">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60BB9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22DBEE7">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679" w:type="dxa"/>
            <w:tcMar>
              <w:top w:w="0" w:type="dxa"/>
              <w:left w:w="10" w:type="dxa"/>
              <w:bottom w:w="0" w:type="dxa"/>
              <w:right w:w="10" w:type="dxa"/>
            </w:tcMar>
            <w:vAlign w:val="center"/>
          </w:tcPr>
          <w:p w14:paraId="30014DCE">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2488" w:type="dxa"/>
            <w:tcMar>
              <w:top w:w="0" w:type="dxa"/>
              <w:left w:w="10" w:type="dxa"/>
              <w:bottom w:w="0" w:type="dxa"/>
              <w:right w:w="10" w:type="dxa"/>
            </w:tcMar>
            <w:vAlign w:val="center"/>
          </w:tcPr>
          <w:p w14:paraId="3D129FEB">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3004" w:type="dxa"/>
            <w:tcMar>
              <w:top w:w="0" w:type="dxa"/>
              <w:left w:w="10" w:type="dxa"/>
              <w:bottom w:w="0" w:type="dxa"/>
              <w:right w:w="10" w:type="dxa"/>
            </w:tcMar>
            <w:vAlign w:val="center"/>
          </w:tcPr>
          <w:p w14:paraId="0E8DE12D">
            <w:pPr>
              <w:widowControl/>
              <w:spacing w:line="360" w:lineRule="auto"/>
              <w:jc w:val="center"/>
              <w:rPr>
                <w:rFonts w:eastAsiaTheme="minorEastAsia"/>
                <w:color w:val="auto"/>
                <w:kern w:val="0"/>
                <w:szCs w:val="21"/>
              </w:rPr>
            </w:pPr>
            <w:r>
              <w:rPr>
                <w:rFonts w:eastAsiaTheme="minorEastAsia"/>
                <w:color w:val="auto"/>
                <w:kern w:val="0"/>
                <w:szCs w:val="21"/>
              </w:rPr>
              <w:t> </w:t>
            </w:r>
          </w:p>
        </w:tc>
        <w:tc>
          <w:tcPr>
            <w:tcW w:w="1201" w:type="dxa"/>
            <w:tcMar>
              <w:top w:w="0" w:type="dxa"/>
              <w:left w:w="10" w:type="dxa"/>
              <w:bottom w:w="0" w:type="dxa"/>
              <w:right w:w="10" w:type="dxa"/>
            </w:tcMar>
            <w:vAlign w:val="center"/>
          </w:tcPr>
          <w:p w14:paraId="740436EA">
            <w:pPr>
              <w:widowControl/>
              <w:spacing w:line="360" w:lineRule="auto"/>
              <w:jc w:val="center"/>
              <w:rPr>
                <w:rFonts w:eastAsiaTheme="minorEastAsia"/>
                <w:color w:val="auto"/>
                <w:kern w:val="0"/>
                <w:szCs w:val="21"/>
              </w:rPr>
            </w:pPr>
            <w:r>
              <w:rPr>
                <w:rFonts w:eastAsiaTheme="minorEastAsia"/>
                <w:color w:val="auto"/>
                <w:kern w:val="0"/>
                <w:szCs w:val="21"/>
              </w:rPr>
              <w:t> </w:t>
            </w:r>
          </w:p>
        </w:tc>
      </w:tr>
      <w:tr w14:paraId="18A4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7D0C3E3">
            <w:pPr>
              <w:widowControl/>
              <w:spacing w:line="360" w:lineRule="auto"/>
              <w:jc w:val="center"/>
              <w:rPr>
                <w:rFonts w:eastAsiaTheme="minorEastAsia"/>
                <w:color w:val="auto"/>
                <w:kern w:val="0"/>
                <w:szCs w:val="21"/>
              </w:rPr>
            </w:pPr>
          </w:p>
        </w:tc>
        <w:tc>
          <w:tcPr>
            <w:tcW w:w="1679" w:type="dxa"/>
            <w:tcMar>
              <w:top w:w="0" w:type="dxa"/>
              <w:left w:w="10" w:type="dxa"/>
              <w:bottom w:w="0" w:type="dxa"/>
              <w:right w:w="10" w:type="dxa"/>
            </w:tcMar>
            <w:vAlign w:val="center"/>
          </w:tcPr>
          <w:p w14:paraId="3EF7935D">
            <w:pPr>
              <w:widowControl/>
              <w:spacing w:line="360" w:lineRule="auto"/>
              <w:jc w:val="center"/>
              <w:rPr>
                <w:rFonts w:eastAsiaTheme="minorEastAsia"/>
                <w:color w:val="auto"/>
                <w:kern w:val="0"/>
                <w:szCs w:val="21"/>
              </w:rPr>
            </w:pPr>
          </w:p>
        </w:tc>
        <w:tc>
          <w:tcPr>
            <w:tcW w:w="2488" w:type="dxa"/>
            <w:tcMar>
              <w:top w:w="0" w:type="dxa"/>
              <w:left w:w="10" w:type="dxa"/>
              <w:bottom w:w="0" w:type="dxa"/>
              <w:right w:w="10" w:type="dxa"/>
            </w:tcMar>
            <w:vAlign w:val="center"/>
          </w:tcPr>
          <w:p w14:paraId="3ADD1D98">
            <w:pPr>
              <w:widowControl/>
              <w:spacing w:line="360" w:lineRule="auto"/>
              <w:jc w:val="center"/>
              <w:rPr>
                <w:rFonts w:eastAsiaTheme="minorEastAsia"/>
                <w:color w:val="auto"/>
                <w:kern w:val="0"/>
                <w:szCs w:val="21"/>
              </w:rPr>
            </w:pPr>
          </w:p>
        </w:tc>
        <w:tc>
          <w:tcPr>
            <w:tcW w:w="3004" w:type="dxa"/>
            <w:tcMar>
              <w:top w:w="0" w:type="dxa"/>
              <w:left w:w="10" w:type="dxa"/>
              <w:bottom w:w="0" w:type="dxa"/>
              <w:right w:w="10" w:type="dxa"/>
            </w:tcMar>
            <w:vAlign w:val="center"/>
          </w:tcPr>
          <w:p w14:paraId="4FC51CA5">
            <w:pPr>
              <w:widowControl/>
              <w:spacing w:line="360" w:lineRule="auto"/>
              <w:jc w:val="center"/>
              <w:rPr>
                <w:rFonts w:eastAsiaTheme="minorEastAsia"/>
                <w:color w:val="auto"/>
                <w:kern w:val="0"/>
                <w:szCs w:val="21"/>
              </w:rPr>
            </w:pPr>
          </w:p>
        </w:tc>
        <w:tc>
          <w:tcPr>
            <w:tcW w:w="1201" w:type="dxa"/>
            <w:tcMar>
              <w:top w:w="0" w:type="dxa"/>
              <w:left w:w="10" w:type="dxa"/>
              <w:bottom w:w="0" w:type="dxa"/>
              <w:right w:w="10" w:type="dxa"/>
            </w:tcMar>
            <w:vAlign w:val="center"/>
          </w:tcPr>
          <w:p w14:paraId="57E8CA45">
            <w:pPr>
              <w:widowControl/>
              <w:spacing w:line="360" w:lineRule="auto"/>
              <w:jc w:val="center"/>
              <w:rPr>
                <w:rFonts w:eastAsiaTheme="minorEastAsia"/>
                <w:color w:val="auto"/>
                <w:kern w:val="0"/>
                <w:szCs w:val="21"/>
              </w:rPr>
            </w:pPr>
          </w:p>
        </w:tc>
      </w:tr>
      <w:tr w14:paraId="5BC93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DE3B198">
            <w:pPr>
              <w:widowControl/>
              <w:spacing w:line="360" w:lineRule="auto"/>
              <w:jc w:val="center"/>
              <w:rPr>
                <w:rFonts w:eastAsiaTheme="minorEastAsia"/>
                <w:color w:val="auto"/>
                <w:kern w:val="0"/>
                <w:szCs w:val="21"/>
              </w:rPr>
            </w:pPr>
          </w:p>
        </w:tc>
        <w:tc>
          <w:tcPr>
            <w:tcW w:w="1679" w:type="dxa"/>
            <w:tcMar>
              <w:top w:w="0" w:type="dxa"/>
              <w:left w:w="10" w:type="dxa"/>
              <w:bottom w:w="0" w:type="dxa"/>
              <w:right w:w="10" w:type="dxa"/>
            </w:tcMar>
            <w:vAlign w:val="center"/>
          </w:tcPr>
          <w:p w14:paraId="232116E5">
            <w:pPr>
              <w:widowControl/>
              <w:spacing w:line="360" w:lineRule="auto"/>
              <w:jc w:val="center"/>
              <w:rPr>
                <w:rFonts w:eastAsiaTheme="minorEastAsia"/>
                <w:color w:val="auto"/>
                <w:kern w:val="0"/>
                <w:szCs w:val="21"/>
              </w:rPr>
            </w:pPr>
          </w:p>
        </w:tc>
        <w:tc>
          <w:tcPr>
            <w:tcW w:w="2488" w:type="dxa"/>
            <w:tcMar>
              <w:top w:w="0" w:type="dxa"/>
              <w:left w:w="10" w:type="dxa"/>
              <w:bottom w:w="0" w:type="dxa"/>
              <w:right w:w="10" w:type="dxa"/>
            </w:tcMar>
            <w:vAlign w:val="center"/>
          </w:tcPr>
          <w:p w14:paraId="477820A3">
            <w:pPr>
              <w:widowControl/>
              <w:spacing w:line="360" w:lineRule="auto"/>
              <w:jc w:val="center"/>
              <w:rPr>
                <w:rFonts w:eastAsiaTheme="minorEastAsia"/>
                <w:color w:val="auto"/>
                <w:kern w:val="0"/>
                <w:szCs w:val="21"/>
              </w:rPr>
            </w:pPr>
          </w:p>
        </w:tc>
        <w:tc>
          <w:tcPr>
            <w:tcW w:w="3004" w:type="dxa"/>
            <w:tcMar>
              <w:top w:w="0" w:type="dxa"/>
              <w:left w:w="10" w:type="dxa"/>
              <w:bottom w:w="0" w:type="dxa"/>
              <w:right w:w="10" w:type="dxa"/>
            </w:tcMar>
            <w:vAlign w:val="center"/>
          </w:tcPr>
          <w:p w14:paraId="6688F810">
            <w:pPr>
              <w:widowControl/>
              <w:spacing w:line="360" w:lineRule="auto"/>
              <w:jc w:val="center"/>
              <w:rPr>
                <w:rFonts w:eastAsiaTheme="minorEastAsia"/>
                <w:color w:val="auto"/>
                <w:kern w:val="0"/>
                <w:szCs w:val="21"/>
              </w:rPr>
            </w:pPr>
          </w:p>
        </w:tc>
        <w:tc>
          <w:tcPr>
            <w:tcW w:w="1201" w:type="dxa"/>
            <w:tcMar>
              <w:top w:w="0" w:type="dxa"/>
              <w:left w:w="10" w:type="dxa"/>
              <w:bottom w:w="0" w:type="dxa"/>
              <w:right w:w="10" w:type="dxa"/>
            </w:tcMar>
            <w:vAlign w:val="center"/>
          </w:tcPr>
          <w:p w14:paraId="2FA15867">
            <w:pPr>
              <w:widowControl/>
              <w:spacing w:line="360" w:lineRule="auto"/>
              <w:jc w:val="center"/>
              <w:rPr>
                <w:rFonts w:eastAsiaTheme="minorEastAsia"/>
                <w:color w:val="auto"/>
                <w:kern w:val="0"/>
                <w:szCs w:val="21"/>
              </w:rPr>
            </w:pPr>
          </w:p>
        </w:tc>
      </w:tr>
    </w:tbl>
    <w:p w14:paraId="5091CCE7">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说明：</w:t>
      </w:r>
    </w:p>
    <w:p w14:paraId="046E8BE5">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1、如果行数不够，请自行增加。</w:t>
      </w:r>
    </w:p>
    <w:p w14:paraId="1FF978BB">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2、内容响应存在正偏离或无偏离或负偏离的，请在本表中逐条列出。未列出的，也视为响应招标文件要求，无偏离。如果行数不够，请自行增加。</w:t>
      </w:r>
    </w:p>
    <w:p w14:paraId="40995BAD">
      <w:pPr>
        <w:pStyle w:val="2"/>
        <w:spacing w:line="360" w:lineRule="auto"/>
        <w:ind w:firstLine="0" w:firstLineChars="0"/>
        <w:rPr>
          <w:rFonts w:hint="default" w:ascii="Times New Roman" w:hAnsi="Times New Roman" w:eastAsiaTheme="minorEastAsia"/>
          <w:color w:val="auto"/>
        </w:rPr>
      </w:pPr>
      <w:r>
        <w:rPr>
          <w:rFonts w:hint="default" w:ascii="Times New Roman" w:hAnsi="Times New Roman" w:eastAsiaTheme="minorEastAsia"/>
          <w:color w:val="auto"/>
          <w:szCs w:val="21"/>
        </w:rPr>
        <w:t>3、如无偏离可在投标响应栏填写“完全响应，无偏离。”</w:t>
      </w:r>
    </w:p>
    <w:p w14:paraId="565EC919">
      <w:pPr>
        <w:widowControl/>
        <w:shd w:val="clear" w:color="auto" w:fill="FFFFFF"/>
        <w:spacing w:line="360" w:lineRule="auto"/>
        <w:jc w:val="left"/>
        <w:rPr>
          <w:rFonts w:eastAsiaTheme="minorEastAsia"/>
          <w:color w:val="auto"/>
          <w:kern w:val="0"/>
          <w:szCs w:val="21"/>
        </w:rPr>
      </w:pPr>
    </w:p>
    <w:p w14:paraId="0D55A857">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投标单位（加盖电子公章）：</w:t>
      </w:r>
      <w:r>
        <w:rPr>
          <w:rFonts w:eastAsiaTheme="minorEastAsia"/>
          <w:color w:val="auto"/>
          <w:kern w:val="0"/>
          <w:szCs w:val="21"/>
          <w:u w:val="single"/>
        </w:rPr>
        <w:t>                             </w:t>
      </w:r>
    </w:p>
    <w:p w14:paraId="2A27C66E">
      <w:pPr>
        <w:widowControl/>
        <w:shd w:val="clear" w:color="auto" w:fill="FFFFFF"/>
        <w:spacing w:line="360" w:lineRule="auto"/>
        <w:jc w:val="left"/>
        <w:rPr>
          <w:rFonts w:eastAsiaTheme="minorEastAsia"/>
          <w:color w:val="auto"/>
          <w:kern w:val="0"/>
          <w:szCs w:val="21"/>
        </w:rPr>
      </w:pPr>
    </w:p>
    <w:p w14:paraId="52F445F9">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 </w:t>
      </w:r>
    </w:p>
    <w:p w14:paraId="002D3D66">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 </w:t>
      </w:r>
    </w:p>
    <w:p w14:paraId="629920A9">
      <w:pPr>
        <w:widowControl/>
        <w:shd w:val="clear" w:color="auto" w:fill="FFFFFF"/>
        <w:spacing w:line="360" w:lineRule="auto"/>
        <w:jc w:val="left"/>
        <w:rPr>
          <w:rFonts w:eastAsiaTheme="minorEastAsia"/>
          <w:color w:val="auto"/>
          <w:kern w:val="0"/>
          <w:szCs w:val="21"/>
        </w:rPr>
      </w:pPr>
    </w:p>
    <w:p w14:paraId="2786CC7D">
      <w:pPr>
        <w:widowControl/>
        <w:shd w:val="clear" w:color="auto" w:fill="FFFFFF"/>
        <w:spacing w:line="360" w:lineRule="auto"/>
        <w:jc w:val="left"/>
        <w:rPr>
          <w:rFonts w:eastAsiaTheme="minorEastAsia"/>
          <w:b/>
          <w:color w:val="auto"/>
          <w:szCs w:val="21"/>
        </w:rPr>
      </w:pPr>
      <w:r>
        <w:rPr>
          <w:rFonts w:eastAsiaTheme="minorEastAsia"/>
          <w:b/>
          <w:bCs/>
          <w:color w:val="auto"/>
          <w:kern w:val="0"/>
          <w:szCs w:val="21"/>
        </w:rPr>
        <w:br w:type="page"/>
      </w:r>
      <w:r>
        <w:rPr>
          <w:rFonts w:eastAsiaTheme="minorEastAsia"/>
          <w:b/>
          <w:bCs/>
          <w:color w:val="auto"/>
          <w:kern w:val="0"/>
          <w:szCs w:val="21"/>
        </w:rPr>
        <w:t>附件七、方案</w:t>
      </w:r>
    </w:p>
    <w:p w14:paraId="795F9825">
      <w:pPr>
        <w:widowControl/>
        <w:shd w:val="clear" w:color="auto" w:fill="FFFFFF"/>
        <w:spacing w:line="360" w:lineRule="auto"/>
        <w:jc w:val="left"/>
        <w:rPr>
          <w:rFonts w:eastAsiaTheme="minorEastAsia"/>
          <w:b/>
          <w:color w:val="auto"/>
          <w:szCs w:val="21"/>
          <w:lang w:val="zh-CN"/>
        </w:rPr>
      </w:pPr>
    </w:p>
    <w:p w14:paraId="635CC13F">
      <w:pPr>
        <w:pStyle w:val="199"/>
        <w:snapToGrid w:val="0"/>
        <w:spacing w:before="0" w:after="0"/>
        <w:ind w:firstLine="0"/>
        <w:rPr>
          <w:rFonts w:ascii="Times New Roman" w:hAnsi="Times New Roman" w:eastAsiaTheme="minorEastAsia"/>
          <w:color w:val="auto"/>
          <w:kern w:val="2"/>
          <w:sz w:val="21"/>
          <w:szCs w:val="21"/>
        </w:rPr>
      </w:pPr>
      <w:r>
        <w:rPr>
          <w:rFonts w:ascii="Times New Roman" w:hAnsi="Times New Roman" w:eastAsiaTheme="minorEastAsia"/>
          <w:color w:val="auto"/>
          <w:kern w:val="2"/>
          <w:sz w:val="21"/>
          <w:szCs w:val="21"/>
        </w:rPr>
        <w:t>方案应根据招标人对项目的要求、评标标准的要求及项目本身的特点编写。</w:t>
      </w:r>
    </w:p>
    <w:p w14:paraId="786E66D3">
      <w:pPr>
        <w:pStyle w:val="199"/>
        <w:snapToGrid w:val="0"/>
        <w:spacing w:before="0" w:after="0"/>
        <w:ind w:firstLine="420" w:firstLineChars="200"/>
        <w:rPr>
          <w:rFonts w:ascii="Times New Roman" w:hAnsi="Times New Roman" w:eastAsiaTheme="minorEastAsia"/>
          <w:color w:val="auto"/>
          <w:kern w:val="2"/>
          <w:sz w:val="21"/>
          <w:szCs w:val="21"/>
        </w:rPr>
      </w:pPr>
    </w:p>
    <w:p w14:paraId="3E6B9DCB">
      <w:pPr>
        <w:widowControl/>
        <w:shd w:val="clear" w:color="auto" w:fill="FFFFFF"/>
        <w:spacing w:line="360" w:lineRule="auto"/>
        <w:jc w:val="left"/>
        <w:rPr>
          <w:rFonts w:eastAsiaTheme="minorEastAsia"/>
          <w:color w:val="auto"/>
          <w:kern w:val="0"/>
          <w:szCs w:val="21"/>
        </w:rPr>
      </w:pPr>
    </w:p>
    <w:p w14:paraId="41915960">
      <w:pPr>
        <w:widowControl/>
        <w:shd w:val="clear" w:color="auto" w:fill="FFFFFF"/>
        <w:spacing w:line="360" w:lineRule="auto"/>
        <w:jc w:val="left"/>
        <w:rPr>
          <w:rFonts w:eastAsiaTheme="minorEastAsia"/>
          <w:color w:val="auto"/>
          <w:kern w:val="0"/>
          <w:szCs w:val="21"/>
        </w:rPr>
      </w:pPr>
    </w:p>
    <w:p w14:paraId="001E8F8C">
      <w:pPr>
        <w:widowControl/>
        <w:shd w:val="clear" w:color="auto" w:fill="FFFFFF"/>
        <w:spacing w:line="360" w:lineRule="auto"/>
        <w:jc w:val="left"/>
        <w:rPr>
          <w:rFonts w:eastAsiaTheme="minorEastAsia"/>
          <w:b/>
          <w:bCs/>
          <w:color w:val="auto"/>
          <w:kern w:val="0"/>
          <w:szCs w:val="21"/>
        </w:rPr>
      </w:pPr>
      <w:r>
        <w:rPr>
          <w:rFonts w:eastAsiaTheme="minorEastAsia"/>
          <w:b/>
          <w:bCs/>
          <w:color w:val="auto"/>
          <w:kern w:val="0"/>
          <w:szCs w:val="21"/>
        </w:rPr>
        <w:t> </w:t>
      </w:r>
    </w:p>
    <w:p w14:paraId="2F758EE7">
      <w:pPr>
        <w:widowControl/>
        <w:adjustRightInd w:val="0"/>
        <w:spacing w:line="360" w:lineRule="auto"/>
        <w:rPr>
          <w:rFonts w:eastAsiaTheme="minorEastAsia"/>
          <w:b/>
          <w:bCs/>
          <w:color w:val="auto"/>
          <w:kern w:val="0"/>
          <w:sz w:val="24"/>
        </w:rPr>
      </w:pPr>
      <w:r>
        <w:rPr>
          <w:rFonts w:eastAsiaTheme="minorEastAsia"/>
          <w:color w:val="auto"/>
        </w:rPr>
        <w:br w:type="page"/>
      </w:r>
      <w:r>
        <w:rPr>
          <w:rFonts w:eastAsiaTheme="minorEastAsia"/>
          <w:b/>
          <w:bCs/>
          <w:color w:val="auto"/>
          <w:kern w:val="0"/>
          <w:sz w:val="24"/>
        </w:rPr>
        <w:t>附件八、拟参与本项目服务人员一览表</w:t>
      </w:r>
    </w:p>
    <w:p w14:paraId="4BF811BB">
      <w:pPr>
        <w:widowControl/>
        <w:adjustRightInd w:val="0"/>
        <w:spacing w:line="360" w:lineRule="auto"/>
        <w:rPr>
          <w:rFonts w:eastAsiaTheme="minorEastAsia"/>
          <w:b/>
          <w:bCs/>
          <w:color w:val="auto"/>
          <w:kern w:val="0"/>
          <w:sz w:val="24"/>
        </w:rPr>
      </w:pPr>
    </w:p>
    <w:p w14:paraId="06CD04AF">
      <w:pPr>
        <w:widowControl/>
        <w:adjustRightInd w:val="0"/>
        <w:spacing w:line="360" w:lineRule="auto"/>
        <w:jc w:val="center"/>
        <w:rPr>
          <w:rFonts w:eastAsiaTheme="minorEastAsia"/>
          <w:b/>
          <w:bCs/>
          <w:color w:val="auto"/>
          <w:kern w:val="0"/>
          <w:sz w:val="24"/>
        </w:rPr>
      </w:pPr>
      <w:r>
        <w:rPr>
          <w:rFonts w:eastAsiaTheme="minorEastAsia"/>
          <w:b/>
          <w:bCs/>
          <w:color w:val="auto"/>
          <w:kern w:val="0"/>
          <w:sz w:val="24"/>
        </w:rPr>
        <w:t>拟参与本项目服务人员一览表</w:t>
      </w:r>
    </w:p>
    <w:p w14:paraId="02396793">
      <w:pPr>
        <w:widowControl/>
        <w:adjustRightInd w:val="0"/>
        <w:spacing w:line="360" w:lineRule="auto"/>
        <w:jc w:val="center"/>
        <w:rPr>
          <w:rFonts w:eastAsiaTheme="minorEastAsia"/>
          <w:b/>
          <w:bCs/>
          <w:color w:val="auto"/>
          <w:kern w:val="0"/>
          <w:sz w:val="24"/>
        </w:rPr>
      </w:pPr>
    </w:p>
    <w:p w14:paraId="6F471624">
      <w:pPr>
        <w:widowControl/>
        <w:adjustRightInd w:val="0"/>
        <w:spacing w:line="360" w:lineRule="auto"/>
        <w:rPr>
          <w:rFonts w:eastAsiaTheme="minorEastAsia"/>
          <w:color w:val="auto"/>
          <w:kern w:val="0"/>
          <w:szCs w:val="21"/>
        </w:rPr>
      </w:pPr>
      <w:r>
        <w:rPr>
          <w:rFonts w:eastAsiaTheme="minorEastAsia"/>
          <w:color w:val="auto"/>
          <w:kern w:val="0"/>
          <w:szCs w:val="21"/>
        </w:rPr>
        <w:t>项目名称：                    项目编号：</w:t>
      </w:r>
    </w:p>
    <w:tbl>
      <w:tblPr>
        <w:tblStyle w:val="58"/>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51BB8EB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15295593">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序号</w:t>
            </w:r>
          </w:p>
        </w:tc>
        <w:tc>
          <w:tcPr>
            <w:tcW w:w="896" w:type="dxa"/>
            <w:tcBorders>
              <w:top w:val="single" w:color="000000" w:sz="4" w:space="0"/>
              <w:left w:val="nil"/>
              <w:bottom w:val="single" w:color="000000" w:sz="4" w:space="0"/>
              <w:right w:val="single" w:color="000000" w:sz="4" w:space="0"/>
            </w:tcBorders>
            <w:vAlign w:val="center"/>
          </w:tcPr>
          <w:p w14:paraId="6DC4A192">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姓名</w:t>
            </w:r>
          </w:p>
        </w:tc>
        <w:tc>
          <w:tcPr>
            <w:tcW w:w="663" w:type="dxa"/>
            <w:tcBorders>
              <w:top w:val="single" w:color="000000" w:sz="4" w:space="0"/>
              <w:left w:val="nil"/>
              <w:bottom w:val="single" w:color="000000" w:sz="4" w:space="0"/>
              <w:right w:val="single" w:color="000000" w:sz="4" w:space="0"/>
            </w:tcBorders>
            <w:vAlign w:val="center"/>
          </w:tcPr>
          <w:p w14:paraId="2B774E95">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性别</w:t>
            </w:r>
          </w:p>
        </w:tc>
        <w:tc>
          <w:tcPr>
            <w:tcW w:w="709" w:type="dxa"/>
            <w:tcBorders>
              <w:top w:val="single" w:color="000000" w:sz="4" w:space="0"/>
              <w:left w:val="nil"/>
              <w:bottom w:val="single" w:color="000000" w:sz="4" w:space="0"/>
              <w:right w:val="single" w:color="000000" w:sz="4" w:space="0"/>
            </w:tcBorders>
            <w:vAlign w:val="center"/>
          </w:tcPr>
          <w:p w14:paraId="1B0E7D60">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年龄</w:t>
            </w:r>
          </w:p>
        </w:tc>
        <w:tc>
          <w:tcPr>
            <w:tcW w:w="1134" w:type="dxa"/>
            <w:tcBorders>
              <w:top w:val="single" w:color="000000" w:sz="4" w:space="0"/>
              <w:left w:val="nil"/>
              <w:bottom w:val="single" w:color="000000" w:sz="4" w:space="0"/>
              <w:right w:val="single" w:color="000000" w:sz="4" w:space="0"/>
            </w:tcBorders>
            <w:vAlign w:val="center"/>
          </w:tcPr>
          <w:p w14:paraId="15EC9E26">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专业</w:t>
            </w:r>
          </w:p>
        </w:tc>
        <w:tc>
          <w:tcPr>
            <w:tcW w:w="931" w:type="dxa"/>
            <w:tcBorders>
              <w:top w:val="single" w:color="000000" w:sz="4" w:space="0"/>
              <w:left w:val="nil"/>
              <w:bottom w:val="single" w:color="000000" w:sz="4" w:space="0"/>
              <w:right w:val="single" w:color="000000" w:sz="4" w:space="0"/>
            </w:tcBorders>
            <w:vAlign w:val="center"/>
          </w:tcPr>
          <w:p w14:paraId="317BDC37">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学历</w:t>
            </w:r>
          </w:p>
        </w:tc>
        <w:tc>
          <w:tcPr>
            <w:tcW w:w="1020" w:type="dxa"/>
            <w:tcBorders>
              <w:top w:val="single" w:color="000000" w:sz="4" w:space="0"/>
              <w:left w:val="nil"/>
              <w:bottom w:val="single" w:color="000000" w:sz="4" w:space="0"/>
              <w:right w:val="single" w:color="000000" w:sz="4" w:space="0"/>
            </w:tcBorders>
            <w:vAlign w:val="center"/>
          </w:tcPr>
          <w:p w14:paraId="77BBFD99">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执业</w:t>
            </w:r>
          </w:p>
          <w:p w14:paraId="01FCCBB3">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资格</w:t>
            </w:r>
          </w:p>
        </w:tc>
        <w:tc>
          <w:tcPr>
            <w:tcW w:w="994" w:type="dxa"/>
            <w:tcBorders>
              <w:top w:val="single" w:color="000000" w:sz="4" w:space="0"/>
              <w:left w:val="nil"/>
              <w:bottom w:val="single" w:color="000000" w:sz="4" w:space="0"/>
              <w:right w:val="single" w:color="000000" w:sz="4" w:space="0"/>
            </w:tcBorders>
            <w:vAlign w:val="center"/>
          </w:tcPr>
          <w:p w14:paraId="5A1F41E8">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证书号</w:t>
            </w:r>
          </w:p>
        </w:tc>
        <w:tc>
          <w:tcPr>
            <w:tcW w:w="882" w:type="dxa"/>
            <w:tcBorders>
              <w:top w:val="single" w:color="000000" w:sz="4" w:space="0"/>
              <w:left w:val="nil"/>
              <w:bottom w:val="single" w:color="000000" w:sz="4" w:space="0"/>
              <w:right w:val="single" w:color="000000" w:sz="4" w:space="0"/>
            </w:tcBorders>
            <w:vAlign w:val="center"/>
          </w:tcPr>
          <w:p w14:paraId="7C303DBE">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61BD9869">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418CCDAF">
            <w:pPr>
              <w:widowControl/>
              <w:adjustRightInd w:val="0"/>
              <w:spacing w:line="360" w:lineRule="auto"/>
              <w:jc w:val="center"/>
              <w:rPr>
                <w:rFonts w:eastAsiaTheme="minorEastAsia"/>
                <w:b/>
                <w:bCs/>
                <w:color w:val="auto"/>
                <w:kern w:val="0"/>
                <w:szCs w:val="21"/>
              </w:rPr>
            </w:pPr>
            <w:r>
              <w:rPr>
                <w:rFonts w:eastAsiaTheme="minorEastAsia"/>
                <w:b/>
                <w:bCs/>
                <w:color w:val="auto"/>
                <w:kern w:val="0"/>
                <w:szCs w:val="21"/>
              </w:rPr>
              <w:t>备注</w:t>
            </w:r>
          </w:p>
        </w:tc>
      </w:tr>
      <w:tr w14:paraId="5EAE474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35FAC2C">
            <w:pPr>
              <w:widowControl/>
              <w:adjustRightInd w:val="0"/>
              <w:spacing w:line="360" w:lineRule="auto"/>
              <w:rPr>
                <w:rFonts w:eastAsiaTheme="minorEastAsia"/>
                <w:color w:val="auto"/>
                <w:kern w:val="0"/>
                <w:szCs w:val="21"/>
              </w:rPr>
            </w:pPr>
          </w:p>
        </w:tc>
        <w:tc>
          <w:tcPr>
            <w:tcW w:w="896" w:type="dxa"/>
            <w:tcBorders>
              <w:top w:val="single" w:color="000000" w:sz="4" w:space="0"/>
              <w:left w:val="nil"/>
              <w:bottom w:val="single" w:color="000000" w:sz="4" w:space="0"/>
              <w:right w:val="single" w:color="000000" w:sz="4" w:space="0"/>
            </w:tcBorders>
          </w:tcPr>
          <w:p w14:paraId="285CE0B6">
            <w:pPr>
              <w:widowControl/>
              <w:adjustRightInd w:val="0"/>
              <w:spacing w:line="360" w:lineRule="auto"/>
              <w:rPr>
                <w:rFonts w:eastAsiaTheme="minorEastAsia"/>
                <w:color w:val="auto"/>
                <w:kern w:val="0"/>
                <w:szCs w:val="21"/>
              </w:rPr>
            </w:pPr>
          </w:p>
        </w:tc>
        <w:tc>
          <w:tcPr>
            <w:tcW w:w="663" w:type="dxa"/>
            <w:tcBorders>
              <w:top w:val="single" w:color="000000" w:sz="4" w:space="0"/>
              <w:left w:val="nil"/>
              <w:bottom w:val="single" w:color="000000" w:sz="4" w:space="0"/>
              <w:right w:val="single" w:color="000000" w:sz="4" w:space="0"/>
            </w:tcBorders>
          </w:tcPr>
          <w:p w14:paraId="0E257FF6">
            <w:pPr>
              <w:widowControl/>
              <w:adjustRightInd w:val="0"/>
              <w:spacing w:line="360" w:lineRule="auto"/>
              <w:rPr>
                <w:rFonts w:eastAsiaTheme="minorEastAsia"/>
                <w:color w:val="auto"/>
                <w:kern w:val="0"/>
                <w:szCs w:val="21"/>
              </w:rPr>
            </w:pPr>
          </w:p>
        </w:tc>
        <w:tc>
          <w:tcPr>
            <w:tcW w:w="709" w:type="dxa"/>
            <w:tcBorders>
              <w:top w:val="single" w:color="000000" w:sz="4" w:space="0"/>
              <w:left w:val="nil"/>
              <w:bottom w:val="single" w:color="000000" w:sz="4" w:space="0"/>
              <w:right w:val="single" w:color="000000" w:sz="4" w:space="0"/>
            </w:tcBorders>
          </w:tcPr>
          <w:p w14:paraId="4FAAABAD">
            <w:pPr>
              <w:widowControl/>
              <w:adjustRightInd w:val="0"/>
              <w:spacing w:line="360" w:lineRule="auto"/>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6188E53C">
            <w:pPr>
              <w:widowControl/>
              <w:adjustRightInd w:val="0"/>
              <w:spacing w:line="360" w:lineRule="auto"/>
              <w:rPr>
                <w:rFonts w:eastAsiaTheme="minorEastAsia"/>
                <w:color w:val="auto"/>
                <w:kern w:val="0"/>
                <w:szCs w:val="21"/>
              </w:rPr>
            </w:pPr>
          </w:p>
        </w:tc>
        <w:tc>
          <w:tcPr>
            <w:tcW w:w="931" w:type="dxa"/>
            <w:tcBorders>
              <w:top w:val="single" w:color="000000" w:sz="4" w:space="0"/>
              <w:left w:val="nil"/>
              <w:bottom w:val="single" w:color="000000" w:sz="4" w:space="0"/>
              <w:right w:val="single" w:color="000000" w:sz="4" w:space="0"/>
            </w:tcBorders>
          </w:tcPr>
          <w:p w14:paraId="5BCF2362">
            <w:pPr>
              <w:widowControl/>
              <w:adjustRightInd w:val="0"/>
              <w:spacing w:line="360" w:lineRule="auto"/>
              <w:rPr>
                <w:rFonts w:eastAsiaTheme="minorEastAsia"/>
                <w:color w:val="auto"/>
                <w:kern w:val="0"/>
                <w:szCs w:val="21"/>
              </w:rPr>
            </w:pPr>
          </w:p>
        </w:tc>
        <w:tc>
          <w:tcPr>
            <w:tcW w:w="1020" w:type="dxa"/>
            <w:tcBorders>
              <w:top w:val="single" w:color="000000" w:sz="4" w:space="0"/>
              <w:left w:val="nil"/>
              <w:bottom w:val="single" w:color="000000" w:sz="4" w:space="0"/>
              <w:right w:val="single" w:color="000000" w:sz="4" w:space="0"/>
            </w:tcBorders>
          </w:tcPr>
          <w:p w14:paraId="348D58B8">
            <w:pPr>
              <w:widowControl/>
              <w:adjustRightInd w:val="0"/>
              <w:spacing w:line="360" w:lineRule="auto"/>
              <w:rPr>
                <w:rFonts w:eastAsiaTheme="minorEastAsia"/>
                <w:color w:val="auto"/>
                <w:kern w:val="0"/>
                <w:szCs w:val="21"/>
              </w:rPr>
            </w:pPr>
          </w:p>
        </w:tc>
        <w:tc>
          <w:tcPr>
            <w:tcW w:w="994" w:type="dxa"/>
            <w:tcBorders>
              <w:top w:val="single" w:color="000000" w:sz="4" w:space="0"/>
              <w:left w:val="nil"/>
              <w:bottom w:val="single" w:color="000000" w:sz="4" w:space="0"/>
              <w:right w:val="single" w:color="000000" w:sz="4" w:space="0"/>
            </w:tcBorders>
          </w:tcPr>
          <w:p w14:paraId="2D9156D3">
            <w:pPr>
              <w:widowControl/>
              <w:adjustRightInd w:val="0"/>
              <w:spacing w:line="360" w:lineRule="auto"/>
              <w:rPr>
                <w:rFonts w:eastAsiaTheme="minorEastAsia"/>
                <w:color w:val="auto"/>
                <w:kern w:val="0"/>
                <w:szCs w:val="21"/>
              </w:rPr>
            </w:pPr>
          </w:p>
        </w:tc>
        <w:tc>
          <w:tcPr>
            <w:tcW w:w="882" w:type="dxa"/>
            <w:tcBorders>
              <w:top w:val="single" w:color="000000" w:sz="4" w:space="0"/>
              <w:left w:val="nil"/>
              <w:bottom w:val="single" w:color="000000" w:sz="4" w:space="0"/>
              <w:right w:val="single" w:color="000000" w:sz="4" w:space="0"/>
            </w:tcBorders>
          </w:tcPr>
          <w:p w14:paraId="3BBC972C">
            <w:pPr>
              <w:widowControl/>
              <w:adjustRightInd w:val="0"/>
              <w:spacing w:line="360" w:lineRule="auto"/>
              <w:rPr>
                <w:rFonts w:eastAsiaTheme="minorEastAsia"/>
                <w:color w:val="auto"/>
                <w:kern w:val="0"/>
                <w:szCs w:val="21"/>
              </w:rPr>
            </w:pPr>
          </w:p>
        </w:tc>
        <w:tc>
          <w:tcPr>
            <w:tcW w:w="850" w:type="dxa"/>
            <w:tcBorders>
              <w:top w:val="single" w:color="000000" w:sz="4" w:space="0"/>
              <w:left w:val="nil"/>
              <w:bottom w:val="single" w:color="000000" w:sz="4" w:space="0"/>
              <w:right w:val="single" w:color="000000" w:sz="4" w:space="0"/>
            </w:tcBorders>
          </w:tcPr>
          <w:p w14:paraId="4D004781">
            <w:pPr>
              <w:widowControl/>
              <w:adjustRightInd w:val="0"/>
              <w:spacing w:line="360" w:lineRule="auto"/>
              <w:rPr>
                <w:rFonts w:eastAsiaTheme="minorEastAsia"/>
                <w:color w:val="auto"/>
                <w:kern w:val="0"/>
                <w:szCs w:val="21"/>
              </w:rPr>
            </w:pPr>
          </w:p>
        </w:tc>
        <w:tc>
          <w:tcPr>
            <w:tcW w:w="851" w:type="dxa"/>
            <w:tcBorders>
              <w:top w:val="single" w:color="000000" w:sz="4" w:space="0"/>
              <w:left w:val="nil"/>
              <w:bottom w:val="single" w:color="000000" w:sz="4" w:space="0"/>
              <w:right w:val="single" w:color="000000" w:sz="4" w:space="0"/>
            </w:tcBorders>
          </w:tcPr>
          <w:p w14:paraId="1EC3F582">
            <w:pPr>
              <w:widowControl/>
              <w:adjustRightInd w:val="0"/>
              <w:spacing w:line="360" w:lineRule="auto"/>
              <w:rPr>
                <w:rFonts w:eastAsiaTheme="minorEastAsia"/>
                <w:color w:val="auto"/>
                <w:kern w:val="0"/>
                <w:szCs w:val="21"/>
              </w:rPr>
            </w:pPr>
          </w:p>
        </w:tc>
      </w:tr>
      <w:tr w14:paraId="7085CC7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EF25553">
            <w:pPr>
              <w:widowControl/>
              <w:adjustRightInd w:val="0"/>
              <w:spacing w:line="360" w:lineRule="auto"/>
              <w:rPr>
                <w:rFonts w:eastAsiaTheme="minorEastAsia"/>
                <w:color w:val="auto"/>
                <w:kern w:val="0"/>
                <w:szCs w:val="21"/>
              </w:rPr>
            </w:pPr>
          </w:p>
        </w:tc>
        <w:tc>
          <w:tcPr>
            <w:tcW w:w="896" w:type="dxa"/>
            <w:tcBorders>
              <w:top w:val="single" w:color="000000" w:sz="4" w:space="0"/>
              <w:left w:val="nil"/>
              <w:bottom w:val="single" w:color="000000" w:sz="4" w:space="0"/>
              <w:right w:val="single" w:color="000000" w:sz="4" w:space="0"/>
            </w:tcBorders>
          </w:tcPr>
          <w:p w14:paraId="11C030C4">
            <w:pPr>
              <w:widowControl/>
              <w:adjustRightInd w:val="0"/>
              <w:spacing w:line="360" w:lineRule="auto"/>
              <w:rPr>
                <w:rFonts w:eastAsiaTheme="minorEastAsia"/>
                <w:color w:val="auto"/>
                <w:kern w:val="0"/>
                <w:szCs w:val="21"/>
              </w:rPr>
            </w:pPr>
          </w:p>
        </w:tc>
        <w:tc>
          <w:tcPr>
            <w:tcW w:w="663" w:type="dxa"/>
            <w:tcBorders>
              <w:top w:val="single" w:color="000000" w:sz="4" w:space="0"/>
              <w:left w:val="nil"/>
              <w:bottom w:val="single" w:color="000000" w:sz="4" w:space="0"/>
              <w:right w:val="single" w:color="000000" w:sz="4" w:space="0"/>
            </w:tcBorders>
          </w:tcPr>
          <w:p w14:paraId="151B79FD">
            <w:pPr>
              <w:widowControl/>
              <w:adjustRightInd w:val="0"/>
              <w:spacing w:line="360" w:lineRule="auto"/>
              <w:rPr>
                <w:rFonts w:eastAsiaTheme="minorEastAsia"/>
                <w:color w:val="auto"/>
                <w:kern w:val="0"/>
                <w:szCs w:val="21"/>
              </w:rPr>
            </w:pPr>
          </w:p>
        </w:tc>
        <w:tc>
          <w:tcPr>
            <w:tcW w:w="709" w:type="dxa"/>
            <w:tcBorders>
              <w:top w:val="single" w:color="000000" w:sz="4" w:space="0"/>
              <w:left w:val="nil"/>
              <w:bottom w:val="single" w:color="000000" w:sz="4" w:space="0"/>
              <w:right w:val="single" w:color="000000" w:sz="4" w:space="0"/>
            </w:tcBorders>
          </w:tcPr>
          <w:p w14:paraId="5A23ADE2">
            <w:pPr>
              <w:widowControl/>
              <w:adjustRightInd w:val="0"/>
              <w:spacing w:line="360" w:lineRule="auto"/>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25D2A22D">
            <w:pPr>
              <w:widowControl/>
              <w:adjustRightInd w:val="0"/>
              <w:spacing w:line="360" w:lineRule="auto"/>
              <w:rPr>
                <w:rFonts w:eastAsiaTheme="minorEastAsia"/>
                <w:color w:val="auto"/>
                <w:kern w:val="0"/>
                <w:szCs w:val="21"/>
              </w:rPr>
            </w:pPr>
          </w:p>
        </w:tc>
        <w:tc>
          <w:tcPr>
            <w:tcW w:w="931" w:type="dxa"/>
            <w:tcBorders>
              <w:top w:val="single" w:color="000000" w:sz="4" w:space="0"/>
              <w:left w:val="nil"/>
              <w:bottom w:val="single" w:color="000000" w:sz="4" w:space="0"/>
              <w:right w:val="single" w:color="000000" w:sz="4" w:space="0"/>
            </w:tcBorders>
          </w:tcPr>
          <w:p w14:paraId="1CA4617B">
            <w:pPr>
              <w:widowControl/>
              <w:adjustRightInd w:val="0"/>
              <w:spacing w:line="360" w:lineRule="auto"/>
              <w:rPr>
                <w:rFonts w:eastAsiaTheme="minorEastAsia"/>
                <w:color w:val="auto"/>
                <w:kern w:val="0"/>
                <w:szCs w:val="21"/>
              </w:rPr>
            </w:pPr>
          </w:p>
        </w:tc>
        <w:tc>
          <w:tcPr>
            <w:tcW w:w="1020" w:type="dxa"/>
            <w:tcBorders>
              <w:top w:val="single" w:color="000000" w:sz="4" w:space="0"/>
              <w:left w:val="nil"/>
              <w:bottom w:val="single" w:color="000000" w:sz="4" w:space="0"/>
              <w:right w:val="single" w:color="000000" w:sz="4" w:space="0"/>
            </w:tcBorders>
          </w:tcPr>
          <w:p w14:paraId="693C69F2">
            <w:pPr>
              <w:widowControl/>
              <w:adjustRightInd w:val="0"/>
              <w:spacing w:line="360" w:lineRule="auto"/>
              <w:rPr>
                <w:rFonts w:eastAsiaTheme="minorEastAsia"/>
                <w:color w:val="auto"/>
                <w:kern w:val="0"/>
                <w:szCs w:val="21"/>
              </w:rPr>
            </w:pPr>
          </w:p>
        </w:tc>
        <w:tc>
          <w:tcPr>
            <w:tcW w:w="994" w:type="dxa"/>
            <w:tcBorders>
              <w:top w:val="single" w:color="000000" w:sz="4" w:space="0"/>
              <w:left w:val="nil"/>
              <w:bottom w:val="single" w:color="000000" w:sz="4" w:space="0"/>
              <w:right w:val="single" w:color="000000" w:sz="4" w:space="0"/>
            </w:tcBorders>
          </w:tcPr>
          <w:p w14:paraId="4DB966F1">
            <w:pPr>
              <w:widowControl/>
              <w:adjustRightInd w:val="0"/>
              <w:spacing w:line="360" w:lineRule="auto"/>
              <w:rPr>
                <w:rFonts w:eastAsiaTheme="minorEastAsia"/>
                <w:color w:val="auto"/>
                <w:kern w:val="0"/>
                <w:szCs w:val="21"/>
              </w:rPr>
            </w:pPr>
          </w:p>
        </w:tc>
        <w:tc>
          <w:tcPr>
            <w:tcW w:w="882" w:type="dxa"/>
            <w:tcBorders>
              <w:top w:val="single" w:color="000000" w:sz="4" w:space="0"/>
              <w:left w:val="nil"/>
              <w:bottom w:val="single" w:color="000000" w:sz="4" w:space="0"/>
              <w:right w:val="single" w:color="000000" w:sz="4" w:space="0"/>
            </w:tcBorders>
          </w:tcPr>
          <w:p w14:paraId="5CAF1952">
            <w:pPr>
              <w:widowControl/>
              <w:adjustRightInd w:val="0"/>
              <w:spacing w:line="360" w:lineRule="auto"/>
              <w:rPr>
                <w:rFonts w:eastAsiaTheme="minorEastAsia"/>
                <w:color w:val="auto"/>
                <w:kern w:val="0"/>
                <w:szCs w:val="21"/>
              </w:rPr>
            </w:pPr>
          </w:p>
        </w:tc>
        <w:tc>
          <w:tcPr>
            <w:tcW w:w="850" w:type="dxa"/>
            <w:tcBorders>
              <w:top w:val="single" w:color="000000" w:sz="4" w:space="0"/>
              <w:left w:val="nil"/>
              <w:bottom w:val="single" w:color="000000" w:sz="4" w:space="0"/>
              <w:right w:val="single" w:color="000000" w:sz="4" w:space="0"/>
            </w:tcBorders>
          </w:tcPr>
          <w:p w14:paraId="446B3C99">
            <w:pPr>
              <w:widowControl/>
              <w:adjustRightInd w:val="0"/>
              <w:spacing w:line="360" w:lineRule="auto"/>
              <w:rPr>
                <w:rFonts w:eastAsiaTheme="minorEastAsia"/>
                <w:color w:val="auto"/>
                <w:kern w:val="0"/>
                <w:szCs w:val="21"/>
              </w:rPr>
            </w:pPr>
          </w:p>
        </w:tc>
        <w:tc>
          <w:tcPr>
            <w:tcW w:w="851" w:type="dxa"/>
            <w:tcBorders>
              <w:top w:val="single" w:color="000000" w:sz="4" w:space="0"/>
              <w:left w:val="nil"/>
              <w:bottom w:val="single" w:color="000000" w:sz="4" w:space="0"/>
              <w:right w:val="single" w:color="000000" w:sz="4" w:space="0"/>
            </w:tcBorders>
          </w:tcPr>
          <w:p w14:paraId="6100A34E">
            <w:pPr>
              <w:widowControl/>
              <w:adjustRightInd w:val="0"/>
              <w:spacing w:line="360" w:lineRule="auto"/>
              <w:rPr>
                <w:rFonts w:eastAsiaTheme="minorEastAsia"/>
                <w:color w:val="auto"/>
                <w:kern w:val="0"/>
                <w:szCs w:val="21"/>
              </w:rPr>
            </w:pPr>
          </w:p>
        </w:tc>
      </w:tr>
      <w:tr w14:paraId="104C73CE">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802B97D">
            <w:pPr>
              <w:widowControl/>
              <w:adjustRightInd w:val="0"/>
              <w:spacing w:line="360" w:lineRule="auto"/>
              <w:rPr>
                <w:rFonts w:eastAsiaTheme="minorEastAsia"/>
                <w:color w:val="auto"/>
                <w:kern w:val="0"/>
                <w:szCs w:val="21"/>
              </w:rPr>
            </w:pPr>
          </w:p>
        </w:tc>
        <w:tc>
          <w:tcPr>
            <w:tcW w:w="896" w:type="dxa"/>
            <w:tcBorders>
              <w:top w:val="single" w:color="000000" w:sz="4" w:space="0"/>
              <w:left w:val="nil"/>
              <w:bottom w:val="single" w:color="000000" w:sz="4" w:space="0"/>
              <w:right w:val="single" w:color="000000" w:sz="4" w:space="0"/>
            </w:tcBorders>
          </w:tcPr>
          <w:p w14:paraId="7B92E7C5">
            <w:pPr>
              <w:widowControl/>
              <w:adjustRightInd w:val="0"/>
              <w:spacing w:line="360" w:lineRule="auto"/>
              <w:rPr>
                <w:rFonts w:eastAsiaTheme="minorEastAsia"/>
                <w:color w:val="auto"/>
                <w:kern w:val="0"/>
                <w:szCs w:val="21"/>
              </w:rPr>
            </w:pPr>
          </w:p>
        </w:tc>
        <w:tc>
          <w:tcPr>
            <w:tcW w:w="663" w:type="dxa"/>
            <w:tcBorders>
              <w:top w:val="single" w:color="000000" w:sz="4" w:space="0"/>
              <w:left w:val="nil"/>
              <w:bottom w:val="single" w:color="000000" w:sz="4" w:space="0"/>
              <w:right w:val="single" w:color="000000" w:sz="4" w:space="0"/>
            </w:tcBorders>
          </w:tcPr>
          <w:p w14:paraId="4DD257F8">
            <w:pPr>
              <w:widowControl/>
              <w:adjustRightInd w:val="0"/>
              <w:spacing w:line="360" w:lineRule="auto"/>
              <w:rPr>
                <w:rFonts w:eastAsiaTheme="minorEastAsia"/>
                <w:color w:val="auto"/>
                <w:kern w:val="0"/>
                <w:szCs w:val="21"/>
              </w:rPr>
            </w:pPr>
          </w:p>
        </w:tc>
        <w:tc>
          <w:tcPr>
            <w:tcW w:w="709" w:type="dxa"/>
            <w:tcBorders>
              <w:top w:val="single" w:color="000000" w:sz="4" w:space="0"/>
              <w:left w:val="nil"/>
              <w:bottom w:val="single" w:color="000000" w:sz="4" w:space="0"/>
              <w:right w:val="single" w:color="000000" w:sz="4" w:space="0"/>
            </w:tcBorders>
          </w:tcPr>
          <w:p w14:paraId="1985920C">
            <w:pPr>
              <w:widowControl/>
              <w:adjustRightInd w:val="0"/>
              <w:spacing w:line="360" w:lineRule="auto"/>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34409EBE">
            <w:pPr>
              <w:widowControl/>
              <w:adjustRightInd w:val="0"/>
              <w:spacing w:line="360" w:lineRule="auto"/>
              <w:rPr>
                <w:rFonts w:eastAsiaTheme="minorEastAsia"/>
                <w:color w:val="auto"/>
                <w:kern w:val="0"/>
                <w:szCs w:val="21"/>
              </w:rPr>
            </w:pPr>
          </w:p>
        </w:tc>
        <w:tc>
          <w:tcPr>
            <w:tcW w:w="931" w:type="dxa"/>
            <w:tcBorders>
              <w:top w:val="single" w:color="000000" w:sz="4" w:space="0"/>
              <w:left w:val="nil"/>
              <w:bottom w:val="single" w:color="000000" w:sz="4" w:space="0"/>
              <w:right w:val="single" w:color="000000" w:sz="4" w:space="0"/>
            </w:tcBorders>
          </w:tcPr>
          <w:p w14:paraId="2E16A455">
            <w:pPr>
              <w:widowControl/>
              <w:adjustRightInd w:val="0"/>
              <w:spacing w:line="360" w:lineRule="auto"/>
              <w:rPr>
                <w:rFonts w:eastAsiaTheme="minorEastAsia"/>
                <w:color w:val="auto"/>
                <w:kern w:val="0"/>
                <w:szCs w:val="21"/>
              </w:rPr>
            </w:pPr>
          </w:p>
        </w:tc>
        <w:tc>
          <w:tcPr>
            <w:tcW w:w="1020" w:type="dxa"/>
            <w:tcBorders>
              <w:top w:val="single" w:color="000000" w:sz="4" w:space="0"/>
              <w:left w:val="nil"/>
              <w:bottom w:val="single" w:color="000000" w:sz="4" w:space="0"/>
              <w:right w:val="single" w:color="000000" w:sz="4" w:space="0"/>
            </w:tcBorders>
          </w:tcPr>
          <w:p w14:paraId="35AB2B65">
            <w:pPr>
              <w:widowControl/>
              <w:adjustRightInd w:val="0"/>
              <w:spacing w:line="360" w:lineRule="auto"/>
              <w:rPr>
                <w:rFonts w:eastAsiaTheme="minorEastAsia"/>
                <w:color w:val="auto"/>
                <w:kern w:val="0"/>
                <w:szCs w:val="21"/>
              </w:rPr>
            </w:pPr>
          </w:p>
        </w:tc>
        <w:tc>
          <w:tcPr>
            <w:tcW w:w="994" w:type="dxa"/>
            <w:tcBorders>
              <w:top w:val="single" w:color="000000" w:sz="4" w:space="0"/>
              <w:left w:val="nil"/>
              <w:bottom w:val="single" w:color="000000" w:sz="4" w:space="0"/>
              <w:right w:val="single" w:color="000000" w:sz="4" w:space="0"/>
            </w:tcBorders>
          </w:tcPr>
          <w:p w14:paraId="02AC855B">
            <w:pPr>
              <w:widowControl/>
              <w:adjustRightInd w:val="0"/>
              <w:spacing w:line="360" w:lineRule="auto"/>
              <w:rPr>
                <w:rFonts w:eastAsiaTheme="minorEastAsia"/>
                <w:color w:val="auto"/>
                <w:kern w:val="0"/>
                <w:szCs w:val="21"/>
              </w:rPr>
            </w:pPr>
          </w:p>
        </w:tc>
        <w:tc>
          <w:tcPr>
            <w:tcW w:w="882" w:type="dxa"/>
            <w:tcBorders>
              <w:top w:val="single" w:color="000000" w:sz="4" w:space="0"/>
              <w:left w:val="nil"/>
              <w:bottom w:val="single" w:color="000000" w:sz="4" w:space="0"/>
              <w:right w:val="single" w:color="000000" w:sz="4" w:space="0"/>
            </w:tcBorders>
          </w:tcPr>
          <w:p w14:paraId="2F84A85C">
            <w:pPr>
              <w:widowControl/>
              <w:adjustRightInd w:val="0"/>
              <w:spacing w:line="360" w:lineRule="auto"/>
              <w:rPr>
                <w:rFonts w:eastAsiaTheme="minorEastAsia"/>
                <w:color w:val="auto"/>
                <w:kern w:val="0"/>
                <w:szCs w:val="21"/>
              </w:rPr>
            </w:pPr>
          </w:p>
        </w:tc>
        <w:tc>
          <w:tcPr>
            <w:tcW w:w="850" w:type="dxa"/>
            <w:tcBorders>
              <w:top w:val="single" w:color="000000" w:sz="4" w:space="0"/>
              <w:left w:val="nil"/>
              <w:bottom w:val="single" w:color="000000" w:sz="4" w:space="0"/>
              <w:right w:val="single" w:color="000000" w:sz="4" w:space="0"/>
            </w:tcBorders>
          </w:tcPr>
          <w:p w14:paraId="0F3BA306">
            <w:pPr>
              <w:widowControl/>
              <w:adjustRightInd w:val="0"/>
              <w:spacing w:line="360" w:lineRule="auto"/>
              <w:rPr>
                <w:rFonts w:eastAsiaTheme="minorEastAsia"/>
                <w:color w:val="auto"/>
                <w:kern w:val="0"/>
                <w:szCs w:val="21"/>
              </w:rPr>
            </w:pPr>
          </w:p>
        </w:tc>
        <w:tc>
          <w:tcPr>
            <w:tcW w:w="851" w:type="dxa"/>
            <w:tcBorders>
              <w:top w:val="single" w:color="000000" w:sz="4" w:space="0"/>
              <w:left w:val="nil"/>
              <w:bottom w:val="single" w:color="000000" w:sz="4" w:space="0"/>
              <w:right w:val="single" w:color="000000" w:sz="4" w:space="0"/>
            </w:tcBorders>
          </w:tcPr>
          <w:p w14:paraId="7DE9E03D">
            <w:pPr>
              <w:widowControl/>
              <w:adjustRightInd w:val="0"/>
              <w:spacing w:line="360" w:lineRule="auto"/>
              <w:rPr>
                <w:rFonts w:eastAsiaTheme="minorEastAsia"/>
                <w:color w:val="auto"/>
                <w:kern w:val="0"/>
                <w:szCs w:val="21"/>
              </w:rPr>
            </w:pPr>
          </w:p>
        </w:tc>
      </w:tr>
      <w:tr w14:paraId="6B58070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0037230">
            <w:pPr>
              <w:widowControl/>
              <w:adjustRightInd w:val="0"/>
              <w:spacing w:line="360" w:lineRule="auto"/>
              <w:rPr>
                <w:rFonts w:eastAsiaTheme="minorEastAsia"/>
                <w:color w:val="auto"/>
                <w:kern w:val="0"/>
                <w:szCs w:val="21"/>
              </w:rPr>
            </w:pPr>
          </w:p>
        </w:tc>
        <w:tc>
          <w:tcPr>
            <w:tcW w:w="896" w:type="dxa"/>
            <w:tcBorders>
              <w:top w:val="single" w:color="000000" w:sz="4" w:space="0"/>
              <w:left w:val="nil"/>
              <w:bottom w:val="single" w:color="000000" w:sz="4" w:space="0"/>
              <w:right w:val="single" w:color="000000" w:sz="4" w:space="0"/>
            </w:tcBorders>
          </w:tcPr>
          <w:p w14:paraId="7F4078CB">
            <w:pPr>
              <w:widowControl/>
              <w:adjustRightInd w:val="0"/>
              <w:spacing w:line="360" w:lineRule="auto"/>
              <w:rPr>
                <w:rFonts w:eastAsiaTheme="minorEastAsia"/>
                <w:color w:val="auto"/>
                <w:kern w:val="0"/>
                <w:szCs w:val="21"/>
              </w:rPr>
            </w:pPr>
          </w:p>
        </w:tc>
        <w:tc>
          <w:tcPr>
            <w:tcW w:w="663" w:type="dxa"/>
            <w:tcBorders>
              <w:top w:val="single" w:color="000000" w:sz="4" w:space="0"/>
              <w:left w:val="nil"/>
              <w:bottom w:val="single" w:color="000000" w:sz="4" w:space="0"/>
              <w:right w:val="single" w:color="000000" w:sz="4" w:space="0"/>
            </w:tcBorders>
          </w:tcPr>
          <w:p w14:paraId="67671062">
            <w:pPr>
              <w:widowControl/>
              <w:adjustRightInd w:val="0"/>
              <w:spacing w:line="360" w:lineRule="auto"/>
              <w:rPr>
                <w:rFonts w:eastAsiaTheme="minorEastAsia"/>
                <w:color w:val="auto"/>
                <w:kern w:val="0"/>
                <w:szCs w:val="21"/>
              </w:rPr>
            </w:pPr>
          </w:p>
        </w:tc>
        <w:tc>
          <w:tcPr>
            <w:tcW w:w="709" w:type="dxa"/>
            <w:tcBorders>
              <w:top w:val="single" w:color="000000" w:sz="4" w:space="0"/>
              <w:left w:val="nil"/>
              <w:bottom w:val="single" w:color="000000" w:sz="4" w:space="0"/>
              <w:right w:val="single" w:color="000000" w:sz="4" w:space="0"/>
            </w:tcBorders>
          </w:tcPr>
          <w:p w14:paraId="77EC7D8E">
            <w:pPr>
              <w:widowControl/>
              <w:adjustRightInd w:val="0"/>
              <w:spacing w:line="360" w:lineRule="auto"/>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46999763">
            <w:pPr>
              <w:widowControl/>
              <w:adjustRightInd w:val="0"/>
              <w:spacing w:line="360" w:lineRule="auto"/>
              <w:rPr>
                <w:rFonts w:eastAsiaTheme="minorEastAsia"/>
                <w:color w:val="auto"/>
                <w:kern w:val="0"/>
                <w:szCs w:val="21"/>
              </w:rPr>
            </w:pPr>
          </w:p>
        </w:tc>
        <w:tc>
          <w:tcPr>
            <w:tcW w:w="931" w:type="dxa"/>
            <w:tcBorders>
              <w:top w:val="single" w:color="000000" w:sz="4" w:space="0"/>
              <w:left w:val="nil"/>
              <w:bottom w:val="single" w:color="000000" w:sz="4" w:space="0"/>
              <w:right w:val="single" w:color="000000" w:sz="4" w:space="0"/>
            </w:tcBorders>
          </w:tcPr>
          <w:p w14:paraId="0D5192E6">
            <w:pPr>
              <w:widowControl/>
              <w:adjustRightInd w:val="0"/>
              <w:spacing w:line="360" w:lineRule="auto"/>
              <w:rPr>
                <w:rFonts w:eastAsiaTheme="minorEastAsia"/>
                <w:color w:val="auto"/>
                <w:kern w:val="0"/>
                <w:szCs w:val="21"/>
              </w:rPr>
            </w:pPr>
          </w:p>
        </w:tc>
        <w:tc>
          <w:tcPr>
            <w:tcW w:w="1020" w:type="dxa"/>
            <w:tcBorders>
              <w:top w:val="single" w:color="000000" w:sz="4" w:space="0"/>
              <w:left w:val="nil"/>
              <w:bottom w:val="single" w:color="000000" w:sz="4" w:space="0"/>
              <w:right w:val="single" w:color="000000" w:sz="4" w:space="0"/>
            </w:tcBorders>
          </w:tcPr>
          <w:p w14:paraId="0D7D448B">
            <w:pPr>
              <w:widowControl/>
              <w:adjustRightInd w:val="0"/>
              <w:spacing w:line="360" w:lineRule="auto"/>
              <w:rPr>
                <w:rFonts w:eastAsiaTheme="minorEastAsia"/>
                <w:color w:val="auto"/>
                <w:kern w:val="0"/>
                <w:szCs w:val="21"/>
              </w:rPr>
            </w:pPr>
          </w:p>
        </w:tc>
        <w:tc>
          <w:tcPr>
            <w:tcW w:w="994" w:type="dxa"/>
            <w:tcBorders>
              <w:top w:val="single" w:color="000000" w:sz="4" w:space="0"/>
              <w:left w:val="nil"/>
              <w:bottom w:val="single" w:color="000000" w:sz="4" w:space="0"/>
              <w:right w:val="single" w:color="000000" w:sz="4" w:space="0"/>
            </w:tcBorders>
          </w:tcPr>
          <w:p w14:paraId="19BB4ACF">
            <w:pPr>
              <w:widowControl/>
              <w:adjustRightInd w:val="0"/>
              <w:spacing w:line="360" w:lineRule="auto"/>
              <w:rPr>
                <w:rFonts w:eastAsiaTheme="minorEastAsia"/>
                <w:color w:val="auto"/>
                <w:kern w:val="0"/>
                <w:szCs w:val="21"/>
              </w:rPr>
            </w:pPr>
          </w:p>
        </w:tc>
        <w:tc>
          <w:tcPr>
            <w:tcW w:w="882" w:type="dxa"/>
            <w:tcBorders>
              <w:top w:val="single" w:color="000000" w:sz="4" w:space="0"/>
              <w:left w:val="nil"/>
              <w:bottom w:val="single" w:color="000000" w:sz="4" w:space="0"/>
              <w:right w:val="single" w:color="000000" w:sz="4" w:space="0"/>
            </w:tcBorders>
          </w:tcPr>
          <w:p w14:paraId="4131B786">
            <w:pPr>
              <w:widowControl/>
              <w:adjustRightInd w:val="0"/>
              <w:spacing w:line="360" w:lineRule="auto"/>
              <w:rPr>
                <w:rFonts w:eastAsiaTheme="minorEastAsia"/>
                <w:color w:val="auto"/>
                <w:kern w:val="0"/>
                <w:szCs w:val="21"/>
              </w:rPr>
            </w:pPr>
          </w:p>
        </w:tc>
        <w:tc>
          <w:tcPr>
            <w:tcW w:w="850" w:type="dxa"/>
            <w:tcBorders>
              <w:top w:val="single" w:color="000000" w:sz="4" w:space="0"/>
              <w:left w:val="nil"/>
              <w:bottom w:val="single" w:color="000000" w:sz="4" w:space="0"/>
              <w:right w:val="single" w:color="000000" w:sz="4" w:space="0"/>
            </w:tcBorders>
          </w:tcPr>
          <w:p w14:paraId="2B5A5EBB">
            <w:pPr>
              <w:widowControl/>
              <w:adjustRightInd w:val="0"/>
              <w:spacing w:line="360" w:lineRule="auto"/>
              <w:rPr>
                <w:rFonts w:eastAsiaTheme="minorEastAsia"/>
                <w:color w:val="auto"/>
                <w:kern w:val="0"/>
                <w:szCs w:val="21"/>
              </w:rPr>
            </w:pPr>
          </w:p>
        </w:tc>
        <w:tc>
          <w:tcPr>
            <w:tcW w:w="851" w:type="dxa"/>
            <w:tcBorders>
              <w:top w:val="single" w:color="000000" w:sz="4" w:space="0"/>
              <w:left w:val="nil"/>
              <w:bottom w:val="single" w:color="000000" w:sz="4" w:space="0"/>
              <w:right w:val="single" w:color="000000" w:sz="4" w:space="0"/>
            </w:tcBorders>
          </w:tcPr>
          <w:p w14:paraId="44F0F79C">
            <w:pPr>
              <w:widowControl/>
              <w:adjustRightInd w:val="0"/>
              <w:spacing w:line="360" w:lineRule="auto"/>
              <w:rPr>
                <w:rFonts w:eastAsiaTheme="minorEastAsia"/>
                <w:color w:val="auto"/>
                <w:kern w:val="0"/>
                <w:szCs w:val="21"/>
              </w:rPr>
            </w:pPr>
          </w:p>
        </w:tc>
      </w:tr>
      <w:tr w14:paraId="4C205A6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B131600">
            <w:pPr>
              <w:widowControl/>
              <w:adjustRightInd w:val="0"/>
              <w:spacing w:line="360" w:lineRule="auto"/>
              <w:rPr>
                <w:rFonts w:eastAsiaTheme="minorEastAsia"/>
                <w:color w:val="auto"/>
                <w:kern w:val="0"/>
                <w:szCs w:val="21"/>
              </w:rPr>
            </w:pPr>
          </w:p>
        </w:tc>
        <w:tc>
          <w:tcPr>
            <w:tcW w:w="896" w:type="dxa"/>
            <w:tcBorders>
              <w:top w:val="single" w:color="000000" w:sz="4" w:space="0"/>
              <w:left w:val="nil"/>
              <w:bottom w:val="single" w:color="000000" w:sz="4" w:space="0"/>
              <w:right w:val="single" w:color="000000" w:sz="4" w:space="0"/>
            </w:tcBorders>
          </w:tcPr>
          <w:p w14:paraId="163FD226">
            <w:pPr>
              <w:widowControl/>
              <w:adjustRightInd w:val="0"/>
              <w:spacing w:line="360" w:lineRule="auto"/>
              <w:rPr>
                <w:rFonts w:eastAsiaTheme="minorEastAsia"/>
                <w:color w:val="auto"/>
                <w:kern w:val="0"/>
                <w:szCs w:val="21"/>
              </w:rPr>
            </w:pPr>
          </w:p>
        </w:tc>
        <w:tc>
          <w:tcPr>
            <w:tcW w:w="663" w:type="dxa"/>
            <w:tcBorders>
              <w:top w:val="single" w:color="000000" w:sz="4" w:space="0"/>
              <w:left w:val="nil"/>
              <w:bottom w:val="single" w:color="000000" w:sz="4" w:space="0"/>
              <w:right w:val="single" w:color="000000" w:sz="4" w:space="0"/>
            </w:tcBorders>
          </w:tcPr>
          <w:p w14:paraId="296DAE9C">
            <w:pPr>
              <w:widowControl/>
              <w:adjustRightInd w:val="0"/>
              <w:spacing w:line="360" w:lineRule="auto"/>
              <w:rPr>
                <w:rFonts w:eastAsiaTheme="minorEastAsia"/>
                <w:color w:val="auto"/>
                <w:kern w:val="0"/>
                <w:szCs w:val="21"/>
              </w:rPr>
            </w:pPr>
          </w:p>
        </w:tc>
        <w:tc>
          <w:tcPr>
            <w:tcW w:w="709" w:type="dxa"/>
            <w:tcBorders>
              <w:top w:val="single" w:color="000000" w:sz="4" w:space="0"/>
              <w:left w:val="nil"/>
              <w:bottom w:val="single" w:color="000000" w:sz="4" w:space="0"/>
              <w:right w:val="single" w:color="000000" w:sz="4" w:space="0"/>
            </w:tcBorders>
          </w:tcPr>
          <w:p w14:paraId="6FD04FFD">
            <w:pPr>
              <w:widowControl/>
              <w:adjustRightInd w:val="0"/>
              <w:spacing w:line="360" w:lineRule="auto"/>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25999B64">
            <w:pPr>
              <w:widowControl/>
              <w:adjustRightInd w:val="0"/>
              <w:spacing w:line="360" w:lineRule="auto"/>
              <w:rPr>
                <w:rFonts w:eastAsiaTheme="minorEastAsia"/>
                <w:color w:val="auto"/>
                <w:kern w:val="0"/>
                <w:szCs w:val="21"/>
              </w:rPr>
            </w:pPr>
          </w:p>
        </w:tc>
        <w:tc>
          <w:tcPr>
            <w:tcW w:w="931" w:type="dxa"/>
            <w:tcBorders>
              <w:top w:val="single" w:color="000000" w:sz="4" w:space="0"/>
              <w:left w:val="nil"/>
              <w:bottom w:val="single" w:color="000000" w:sz="4" w:space="0"/>
              <w:right w:val="single" w:color="000000" w:sz="4" w:space="0"/>
            </w:tcBorders>
          </w:tcPr>
          <w:p w14:paraId="10EB162F">
            <w:pPr>
              <w:widowControl/>
              <w:adjustRightInd w:val="0"/>
              <w:spacing w:line="360" w:lineRule="auto"/>
              <w:rPr>
                <w:rFonts w:eastAsiaTheme="minorEastAsia"/>
                <w:color w:val="auto"/>
                <w:kern w:val="0"/>
                <w:szCs w:val="21"/>
              </w:rPr>
            </w:pPr>
          </w:p>
        </w:tc>
        <w:tc>
          <w:tcPr>
            <w:tcW w:w="1020" w:type="dxa"/>
            <w:tcBorders>
              <w:top w:val="single" w:color="000000" w:sz="4" w:space="0"/>
              <w:left w:val="nil"/>
              <w:bottom w:val="single" w:color="000000" w:sz="4" w:space="0"/>
              <w:right w:val="single" w:color="000000" w:sz="4" w:space="0"/>
            </w:tcBorders>
          </w:tcPr>
          <w:p w14:paraId="25BECE29">
            <w:pPr>
              <w:widowControl/>
              <w:adjustRightInd w:val="0"/>
              <w:spacing w:line="360" w:lineRule="auto"/>
              <w:rPr>
                <w:rFonts w:eastAsiaTheme="minorEastAsia"/>
                <w:color w:val="auto"/>
                <w:kern w:val="0"/>
                <w:szCs w:val="21"/>
              </w:rPr>
            </w:pPr>
          </w:p>
        </w:tc>
        <w:tc>
          <w:tcPr>
            <w:tcW w:w="994" w:type="dxa"/>
            <w:tcBorders>
              <w:top w:val="single" w:color="000000" w:sz="4" w:space="0"/>
              <w:left w:val="nil"/>
              <w:bottom w:val="single" w:color="000000" w:sz="4" w:space="0"/>
              <w:right w:val="single" w:color="000000" w:sz="4" w:space="0"/>
            </w:tcBorders>
          </w:tcPr>
          <w:p w14:paraId="23F7C081">
            <w:pPr>
              <w:widowControl/>
              <w:adjustRightInd w:val="0"/>
              <w:spacing w:line="360" w:lineRule="auto"/>
              <w:rPr>
                <w:rFonts w:eastAsiaTheme="minorEastAsia"/>
                <w:color w:val="auto"/>
                <w:kern w:val="0"/>
                <w:szCs w:val="21"/>
              </w:rPr>
            </w:pPr>
          </w:p>
        </w:tc>
        <w:tc>
          <w:tcPr>
            <w:tcW w:w="882" w:type="dxa"/>
            <w:tcBorders>
              <w:top w:val="single" w:color="000000" w:sz="4" w:space="0"/>
              <w:left w:val="nil"/>
              <w:bottom w:val="single" w:color="000000" w:sz="4" w:space="0"/>
              <w:right w:val="single" w:color="000000" w:sz="4" w:space="0"/>
            </w:tcBorders>
          </w:tcPr>
          <w:p w14:paraId="72A0E4E2">
            <w:pPr>
              <w:widowControl/>
              <w:adjustRightInd w:val="0"/>
              <w:spacing w:line="360" w:lineRule="auto"/>
              <w:rPr>
                <w:rFonts w:eastAsiaTheme="minorEastAsia"/>
                <w:color w:val="auto"/>
                <w:kern w:val="0"/>
                <w:szCs w:val="21"/>
              </w:rPr>
            </w:pPr>
          </w:p>
        </w:tc>
        <w:tc>
          <w:tcPr>
            <w:tcW w:w="850" w:type="dxa"/>
            <w:tcBorders>
              <w:top w:val="single" w:color="000000" w:sz="4" w:space="0"/>
              <w:left w:val="nil"/>
              <w:bottom w:val="single" w:color="000000" w:sz="4" w:space="0"/>
              <w:right w:val="single" w:color="000000" w:sz="4" w:space="0"/>
            </w:tcBorders>
          </w:tcPr>
          <w:p w14:paraId="2179B202">
            <w:pPr>
              <w:widowControl/>
              <w:adjustRightInd w:val="0"/>
              <w:spacing w:line="360" w:lineRule="auto"/>
              <w:rPr>
                <w:rFonts w:eastAsiaTheme="minorEastAsia"/>
                <w:color w:val="auto"/>
                <w:kern w:val="0"/>
                <w:szCs w:val="21"/>
              </w:rPr>
            </w:pPr>
          </w:p>
        </w:tc>
        <w:tc>
          <w:tcPr>
            <w:tcW w:w="851" w:type="dxa"/>
            <w:tcBorders>
              <w:top w:val="single" w:color="000000" w:sz="4" w:space="0"/>
              <w:left w:val="nil"/>
              <w:bottom w:val="single" w:color="000000" w:sz="4" w:space="0"/>
              <w:right w:val="single" w:color="000000" w:sz="4" w:space="0"/>
            </w:tcBorders>
          </w:tcPr>
          <w:p w14:paraId="54AEAC99">
            <w:pPr>
              <w:widowControl/>
              <w:adjustRightInd w:val="0"/>
              <w:spacing w:line="360" w:lineRule="auto"/>
              <w:rPr>
                <w:rFonts w:eastAsiaTheme="minorEastAsia"/>
                <w:color w:val="auto"/>
                <w:kern w:val="0"/>
                <w:szCs w:val="21"/>
              </w:rPr>
            </w:pPr>
          </w:p>
        </w:tc>
      </w:tr>
      <w:tr w14:paraId="65E5180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039D035">
            <w:pPr>
              <w:widowControl/>
              <w:adjustRightInd w:val="0"/>
              <w:spacing w:line="360" w:lineRule="auto"/>
              <w:rPr>
                <w:rFonts w:eastAsiaTheme="minorEastAsia"/>
                <w:color w:val="auto"/>
                <w:kern w:val="0"/>
                <w:szCs w:val="21"/>
              </w:rPr>
            </w:pPr>
          </w:p>
        </w:tc>
        <w:tc>
          <w:tcPr>
            <w:tcW w:w="896" w:type="dxa"/>
            <w:tcBorders>
              <w:top w:val="single" w:color="000000" w:sz="4" w:space="0"/>
              <w:left w:val="nil"/>
              <w:bottom w:val="single" w:color="000000" w:sz="4" w:space="0"/>
              <w:right w:val="single" w:color="000000" w:sz="4" w:space="0"/>
            </w:tcBorders>
          </w:tcPr>
          <w:p w14:paraId="14F5351B">
            <w:pPr>
              <w:widowControl/>
              <w:adjustRightInd w:val="0"/>
              <w:spacing w:line="360" w:lineRule="auto"/>
              <w:rPr>
                <w:rFonts w:eastAsiaTheme="minorEastAsia"/>
                <w:color w:val="auto"/>
                <w:kern w:val="0"/>
                <w:szCs w:val="21"/>
              </w:rPr>
            </w:pPr>
          </w:p>
        </w:tc>
        <w:tc>
          <w:tcPr>
            <w:tcW w:w="663" w:type="dxa"/>
            <w:tcBorders>
              <w:top w:val="single" w:color="000000" w:sz="4" w:space="0"/>
              <w:left w:val="nil"/>
              <w:bottom w:val="single" w:color="000000" w:sz="4" w:space="0"/>
              <w:right w:val="single" w:color="000000" w:sz="4" w:space="0"/>
            </w:tcBorders>
          </w:tcPr>
          <w:p w14:paraId="1E031AF6">
            <w:pPr>
              <w:widowControl/>
              <w:adjustRightInd w:val="0"/>
              <w:spacing w:line="360" w:lineRule="auto"/>
              <w:rPr>
                <w:rFonts w:eastAsiaTheme="minorEastAsia"/>
                <w:color w:val="auto"/>
                <w:kern w:val="0"/>
                <w:szCs w:val="21"/>
              </w:rPr>
            </w:pPr>
          </w:p>
        </w:tc>
        <w:tc>
          <w:tcPr>
            <w:tcW w:w="709" w:type="dxa"/>
            <w:tcBorders>
              <w:top w:val="single" w:color="000000" w:sz="4" w:space="0"/>
              <w:left w:val="nil"/>
              <w:bottom w:val="single" w:color="000000" w:sz="4" w:space="0"/>
              <w:right w:val="single" w:color="000000" w:sz="4" w:space="0"/>
            </w:tcBorders>
          </w:tcPr>
          <w:p w14:paraId="782E1426">
            <w:pPr>
              <w:widowControl/>
              <w:adjustRightInd w:val="0"/>
              <w:spacing w:line="360" w:lineRule="auto"/>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1AC7EC45">
            <w:pPr>
              <w:widowControl/>
              <w:adjustRightInd w:val="0"/>
              <w:spacing w:line="360" w:lineRule="auto"/>
              <w:rPr>
                <w:rFonts w:eastAsiaTheme="minorEastAsia"/>
                <w:color w:val="auto"/>
                <w:kern w:val="0"/>
                <w:szCs w:val="21"/>
              </w:rPr>
            </w:pPr>
          </w:p>
        </w:tc>
        <w:tc>
          <w:tcPr>
            <w:tcW w:w="931" w:type="dxa"/>
            <w:tcBorders>
              <w:top w:val="single" w:color="000000" w:sz="4" w:space="0"/>
              <w:left w:val="nil"/>
              <w:bottom w:val="single" w:color="000000" w:sz="4" w:space="0"/>
              <w:right w:val="single" w:color="000000" w:sz="4" w:space="0"/>
            </w:tcBorders>
          </w:tcPr>
          <w:p w14:paraId="02BFCD4A">
            <w:pPr>
              <w:widowControl/>
              <w:adjustRightInd w:val="0"/>
              <w:spacing w:line="360" w:lineRule="auto"/>
              <w:rPr>
                <w:rFonts w:eastAsiaTheme="minorEastAsia"/>
                <w:color w:val="auto"/>
                <w:kern w:val="0"/>
                <w:szCs w:val="21"/>
              </w:rPr>
            </w:pPr>
          </w:p>
        </w:tc>
        <w:tc>
          <w:tcPr>
            <w:tcW w:w="1020" w:type="dxa"/>
            <w:tcBorders>
              <w:top w:val="single" w:color="000000" w:sz="4" w:space="0"/>
              <w:left w:val="nil"/>
              <w:bottom w:val="single" w:color="000000" w:sz="4" w:space="0"/>
              <w:right w:val="single" w:color="000000" w:sz="4" w:space="0"/>
            </w:tcBorders>
          </w:tcPr>
          <w:p w14:paraId="13334888">
            <w:pPr>
              <w:widowControl/>
              <w:adjustRightInd w:val="0"/>
              <w:spacing w:line="360" w:lineRule="auto"/>
              <w:rPr>
                <w:rFonts w:eastAsiaTheme="minorEastAsia"/>
                <w:color w:val="auto"/>
                <w:kern w:val="0"/>
                <w:szCs w:val="21"/>
              </w:rPr>
            </w:pPr>
          </w:p>
        </w:tc>
        <w:tc>
          <w:tcPr>
            <w:tcW w:w="994" w:type="dxa"/>
            <w:tcBorders>
              <w:top w:val="single" w:color="000000" w:sz="4" w:space="0"/>
              <w:left w:val="nil"/>
              <w:bottom w:val="single" w:color="000000" w:sz="4" w:space="0"/>
              <w:right w:val="single" w:color="000000" w:sz="4" w:space="0"/>
            </w:tcBorders>
          </w:tcPr>
          <w:p w14:paraId="3172492C">
            <w:pPr>
              <w:widowControl/>
              <w:adjustRightInd w:val="0"/>
              <w:spacing w:line="360" w:lineRule="auto"/>
              <w:rPr>
                <w:rFonts w:eastAsiaTheme="minorEastAsia"/>
                <w:color w:val="auto"/>
                <w:kern w:val="0"/>
                <w:szCs w:val="21"/>
              </w:rPr>
            </w:pPr>
          </w:p>
        </w:tc>
        <w:tc>
          <w:tcPr>
            <w:tcW w:w="882" w:type="dxa"/>
            <w:tcBorders>
              <w:top w:val="single" w:color="000000" w:sz="4" w:space="0"/>
              <w:left w:val="nil"/>
              <w:bottom w:val="single" w:color="000000" w:sz="4" w:space="0"/>
              <w:right w:val="single" w:color="000000" w:sz="4" w:space="0"/>
            </w:tcBorders>
          </w:tcPr>
          <w:p w14:paraId="086DFD92">
            <w:pPr>
              <w:widowControl/>
              <w:adjustRightInd w:val="0"/>
              <w:spacing w:line="360" w:lineRule="auto"/>
              <w:rPr>
                <w:rFonts w:eastAsiaTheme="minorEastAsia"/>
                <w:color w:val="auto"/>
                <w:kern w:val="0"/>
                <w:szCs w:val="21"/>
              </w:rPr>
            </w:pPr>
          </w:p>
        </w:tc>
        <w:tc>
          <w:tcPr>
            <w:tcW w:w="850" w:type="dxa"/>
            <w:tcBorders>
              <w:top w:val="single" w:color="000000" w:sz="4" w:space="0"/>
              <w:left w:val="nil"/>
              <w:bottom w:val="single" w:color="000000" w:sz="4" w:space="0"/>
              <w:right w:val="single" w:color="000000" w:sz="4" w:space="0"/>
            </w:tcBorders>
          </w:tcPr>
          <w:p w14:paraId="7EA582AE">
            <w:pPr>
              <w:widowControl/>
              <w:adjustRightInd w:val="0"/>
              <w:spacing w:line="360" w:lineRule="auto"/>
              <w:rPr>
                <w:rFonts w:eastAsiaTheme="minorEastAsia"/>
                <w:color w:val="auto"/>
                <w:kern w:val="0"/>
                <w:szCs w:val="21"/>
              </w:rPr>
            </w:pPr>
          </w:p>
        </w:tc>
        <w:tc>
          <w:tcPr>
            <w:tcW w:w="851" w:type="dxa"/>
            <w:tcBorders>
              <w:top w:val="single" w:color="000000" w:sz="4" w:space="0"/>
              <w:left w:val="nil"/>
              <w:bottom w:val="single" w:color="000000" w:sz="4" w:space="0"/>
              <w:right w:val="single" w:color="000000" w:sz="4" w:space="0"/>
            </w:tcBorders>
          </w:tcPr>
          <w:p w14:paraId="2E9359B4">
            <w:pPr>
              <w:widowControl/>
              <w:adjustRightInd w:val="0"/>
              <w:spacing w:line="360" w:lineRule="auto"/>
              <w:rPr>
                <w:rFonts w:eastAsiaTheme="minorEastAsia"/>
                <w:color w:val="auto"/>
                <w:kern w:val="0"/>
                <w:szCs w:val="21"/>
              </w:rPr>
            </w:pPr>
          </w:p>
        </w:tc>
      </w:tr>
      <w:tr w14:paraId="4074230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0D84D0B">
            <w:pPr>
              <w:widowControl/>
              <w:adjustRightInd w:val="0"/>
              <w:spacing w:line="360" w:lineRule="auto"/>
              <w:rPr>
                <w:rFonts w:eastAsiaTheme="minorEastAsia"/>
                <w:color w:val="auto"/>
                <w:kern w:val="0"/>
                <w:szCs w:val="21"/>
              </w:rPr>
            </w:pPr>
          </w:p>
        </w:tc>
        <w:tc>
          <w:tcPr>
            <w:tcW w:w="896" w:type="dxa"/>
            <w:tcBorders>
              <w:top w:val="single" w:color="000000" w:sz="4" w:space="0"/>
              <w:left w:val="nil"/>
              <w:bottom w:val="single" w:color="000000" w:sz="4" w:space="0"/>
              <w:right w:val="single" w:color="000000" w:sz="4" w:space="0"/>
            </w:tcBorders>
          </w:tcPr>
          <w:p w14:paraId="251059D1">
            <w:pPr>
              <w:widowControl/>
              <w:adjustRightInd w:val="0"/>
              <w:spacing w:line="360" w:lineRule="auto"/>
              <w:rPr>
                <w:rFonts w:eastAsiaTheme="minorEastAsia"/>
                <w:color w:val="auto"/>
                <w:kern w:val="0"/>
                <w:szCs w:val="21"/>
              </w:rPr>
            </w:pPr>
          </w:p>
        </w:tc>
        <w:tc>
          <w:tcPr>
            <w:tcW w:w="663" w:type="dxa"/>
            <w:tcBorders>
              <w:top w:val="single" w:color="000000" w:sz="4" w:space="0"/>
              <w:left w:val="nil"/>
              <w:bottom w:val="single" w:color="000000" w:sz="4" w:space="0"/>
              <w:right w:val="single" w:color="000000" w:sz="4" w:space="0"/>
            </w:tcBorders>
          </w:tcPr>
          <w:p w14:paraId="7F5270F4">
            <w:pPr>
              <w:widowControl/>
              <w:adjustRightInd w:val="0"/>
              <w:spacing w:line="360" w:lineRule="auto"/>
              <w:rPr>
                <w:rFonts w:eastAsiaTheme="minorEastAsia"/>
                <w:color w:val="auto"/>
                <w:kern w:val="0"/>
                <w:szCs w:val="21"/>
              </w:rPr>
            </w:pPr>
          </w:p>
        </w:tc>
        <w:tc>
          <w:tcPr>
            <w:tcW w:w="709" w:type="dxa"/>
            <w:tcBorders>
              <w:top w:val="single" w:color="000000" w:sz="4" w:space="0"/>
              <w:left w:val="nil"/>
              <w:bottom w:val="single" w:color="000000" w:sz="4" w:space="0"/>
              <w:right w:val="single" w:color="000000" w:sz="4" w:space="0"/>
            </w:tcBorders>
          </w:tcPr>
          <w:p w14:paraId="18C42C2A">
            <w:pPr>
              <w:widowControl/>
              <w:adjustRightInd w:val="0"/>
              <w:spacing w:line="360" w:lineRule="auto"/>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38DF13E9">
            <w:pPr>
              <w:widowControl/>
              <w:adjustRightInd w:val="0"/>
              <w:spacing w:line="360" w:lineRule="auto"/>
              <w:rPr>
                <w:rFonts w:eastAsiaTheme="minorEastAsia"/>
                <w:color w:val="auto"/>
                <w:kern w:val="0"/>
                <w:szCs w:val="21"/>
              </w:rPr>
            </w:pPr>
          </w:p>
        </w:tc>
        <w:tc>
          <w:tcPr>
            <w:tcW w:w="931" w:type="dxa"/>
            <w:tcBorders>
              <w:top w:val="single" w:color="000000" w:sz="4" w:space="0"/>
              <w:left w:val="nil"/>
              <w:bottom w:val="single" w:color="000000" w:sz="4" w:space="0"/>
              <w:right w:val="single" w:color="000000" w:sz="4" w:space="0"/>
            </w:tcBorders>
          </w:tcPr>
          <w:p w14:paraId="610BA483">
            <w:pPr>
              <w:widowControl/>
              <w:adjustRightInd w:val="0"/>
              <w:spacing w:line="360" w:lineRule="auto"/>
              <w:rPr>
                <w:rFonts w:eastAsiaTheme="minorEastAsia"/>
                <w:color w:val="auto"/>
                <w:kern w:val="0"/>
                <w:szCs w:val="21"/>
              </w:rPr>
            </w:pPr>
          </w:p>
        </w:tc>
        <w:tc>
          <w:tcPr>
            <w:tcW w:w="1020" w:type="dxa"/>
            <w:tcBorders>
              <w:top w:val="single" w:color="000000" w:sz="4" w:space="0"/>
              <w:left w:val="nil"/>
              <w:bottom w:val="single" w:color="000000" w:sz="4" w:space="0"/>
              <w:right w:val="single" w:color="000000" w:sz="4" w:space="0"/>
            </w:tcBorders>
          </w:tcPr>
          <w:p w14:paraId="16B331C0">
            <w:pPr>
              <w:widowControl/>
              <w:adjustRightInd w:val="0"/>
              <w:spacing w:line="360" w:lineRule="auto"/>
              <w:rPr>
                <w:rFonts w:eastAsiaTheme="minorEastAsia"/>
                <w:color w:val="auto"/>
                <w:kern w:val="0"/>
                <w:szCs w:val="21"/>
              </w:rPr>
            </w:pPr>
          </w:p>
        </w:tc>
        <w:tc>
          <w:tcPr>
            <w:tcW w:w="994" w:type="dxa"/>
            <w:tcBorders>
              <w:top w:val="single" w:color="000000" w:sz="4" w:space="0"/>
              <w:left w:val="nil"/>
              <w:bottom w:val="single" w:color="000000" w:sz="4" w:space="0"/>
              <w:right w:val="single" w:color="000000" w:sz="4" w:space="0"/>
            </w:tcBorders>
          </w:tcPr>
          <w:p w14:paraId="73884566">
            <w:pPr>
              <w:widowControl/>
              <w:adjustRightInd w:val="0"/>
              <w:spacing w:line="360" w:lineRule="auto"/>
              <w:rPr>
                <w:rFonts w:eastAsiaTheme="minorEastAsia"/>
                <w:color w:val="auto"/>
                <w:kern w:val="0"/>
                <w:szCs w:val="21"/>
              </w:rPr>
            </w:pPr>
          </w:p>
        </w:tc>
        <w:tc>
          <w:tcPr>
            <w:tcW w:w="882" w:type="dxa"/>
            <w:tcBorders>
              <w:top w:val="single" w:color="000000" w:sz="4" w:space="0"/>
              <w:left w:val="nil"/>
              <w:bottom w:val="single" w:color="000000" w:sz="4" w:space="0"/>
              <w:right w:val="single" w:color="000000" w:sz="4" w:space="0"/>
            </w:tcBorders>
          </w:tcPr>
          <w:p w14:paraId="4DDB522A">
            <w:pPr>
              <w:widowControl/>
              <w:adjustRightInd w:val="0"/>
              <w:spacing w:line="360" w:lineRule="auto"/>
              <w:rPr>
                <w:rFonts w:eastAsiaTheme="minorEastAsia"/>
                <w:color w:val="auto"/>
                <w:kern w:val="0"/>
                <w:szCs w:val="21"/>
              </w:rPr>
            </w:pPr>
          </w:p>
        </w:tc>
        <w:tc>
          <w:tcPr>
            <w:tcW w:w="850" w:type="dxa"/>
            <w:tcBorders>
              <w:top w:val="single" w:color="000000" w:sz="4" w:space="0"/>
              <w:left w:val="nil"/>
              <w:bottom w:val="single" w:color="000000" w:sz="4" w:space="0"/>
              <w:right w:val="single" w:color="000000" w:sz="4" w:space="0"/>
            </w:tcBorders>
          </w:tcPr>
          <w:p w14:paraId="71EBF5B0">
            <w:pPr>
              <w:widowControl/>
              <w:adjustRightInd w:val="0"/>
              <w:spacing w:line="360" w:lineRule="auto"/>
              <w:rPr>
                <w:rFonts w:eastAsiaTheme="minorEastAsia"/>
                <w:color w:val="auto"/>
                <w:kern w:val="0"/>
                <w:szCs w:val="21"/>
              </w:rPr>
            </w:pPr>
          </w:p>
        </w:tc>
        <w:tc>
          <w:tcPr>
            <w:tcW w:w="851" w:type="dxa"/>
            <w:tcBorders>
              <w:top w:val="single" w:color="000000" w:sz="4" w:space="0"/>
              <w:left w:val="nil"/>
              <w:bottom w:val="single" w:color="000000" w:sz="4" w:space="0"/>
              <w:right w:val="single" w:color="000000" w:sz="4" w:space="0"/>
            </w:tcBorders>
          </w:tcPr>
          <w:p w14:paraId="043D5861">
            <w:pPr>
              <w:widowControl/>
              <w:adjustRightInd w:val="0"/>
              <w:spacing w:line="360" w:lineRule="auto"/>
              <w:rPr>
                <w:rFonts w:eastAsiaTheme="minorEastAsia"/>
                <w:color w:val="auto"/>
                <w:kern w:val="0"/>
                <w:szCs w:val="21"/>
              </w:rPr>
            </w:pPr>
          </w:p>
        </w:tc>
      </w:tr>
      <w:tr w14:paraId="068C789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270C0AC">
            <w:pPr>
              <w:widowControl/>
              <w:adjustRightInd w:val="0"/>
              <w:spacing w:line="360" w:lineRule="auto"/>
              <w:rPr>
                <w:rFonts w:eastAsiaTheme="minorEastAsia"/>
                <w:color w:val="auto"/>
                <w:kern w:val="0"/>
                <w:szCs w:val="21"/>
              </w:rPr>
            </w:pPr>
          </w:p>
        </w:tc>
        <w:tc>
          <w:tcPr>
            <w:tcW w:w="896" w:type="dxa"/>
            <w:tcBorders>
              <w:top w:val="single" w:color="000000" w:sz="4" w:space="0"/>
              <w:left w:val="nil"/>
              <w:bottom w:val="single" w:color="000000" w:sz="4" w:space="0"/>
              <w:right w:val="single" w:color="000000" w:sz="4" w:space="0"/>
            </w:tcBorders>
          </w:tcPr>
          <w:p w14:paraId="7A9C6D5C">
            <w:pPr>
              <w:widowControl/>
              <w:adjustRightInd w:val="0"/>
              <w:spacing w:line="360" w:lineRule="auto"/>
              <w:rPr>
                <w:rFonts w:eastAsiaTheme="minorEastAsia"/>
                <w:color w:val="auto"/>
                <w:kern w:val="0"/>
                <w:szCs w:val="21"/>
              </w:rPr>
            </w:pPr>
          </w:p>
        </w:tc>
        <w:tc>
          <w:tcPr>
            <w:tcW w:w="663" w:type="dxa"/>
            <w:tcBorders>
              <w:top w:val="single" w:color="000000" w:sz="4" w:space="0"/>
              <w:left w:val="nil"/>
              <w:bottom w:val="single" w:color="000000" w:sz="4" w:space="0"/>
              <w:right w:val="single" w:color="000000" w:sz="4" w:space="0"/>
            </w:tcBorders>
          </w:tcPr>
          <w:p w14:paraId="5E1C4B52">
            <w:pPr>
              <w:widowControl/>
              <w:adjustRightInd w:val="0"/>
              <w:spacing w:line="360" w:lineRule="auto"/>
              <w:rPr>
                <w:rFonts w:eastAsiaTheme="minorEastAsia"/>
                <w:color w:val="auto"/>
                <w:kern w:val="0"/>
                <w:szCs w:val="21"/>
              </w:rPr>
            </w:pPr>
          </w:p>
        </w:tc>
        <w:tc>
          <w:tcPr>
            <w:tcW w:w="709" w:type="dxa"/>
            <w:tcBorders>
              <w:top w:val="single" w:color="000000" w:sz="4" w:space="0"/>
              <w:left w:val="nil"/>
              <w:bottom w:val="single" w:color="000000" w:sz="4" w:space="0"/>
              <w:right w:val="single" w:color="000000" w:sz="4" w:space="0"/>
            </w:tcBorders>
          </w:tcPr>
          <w:p w14:paraId="7E826E04">
            <w:pPr>
              <w:widowControl/>
              <w:adjustRightInd w:val="0"/>
              <w:spacing w:line="360" w:lineRule="auto"/>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6CC37880">
            <w:pPr>
              <w:widowControl/>
              <w:adjustRightInd w:val="0"/>
              <w:spacing w:line="360" w:lineRule="auto"/>
              <w:rPr>
                <w:rFonts w:eastAsiaTheme="minorEastAsia"/>
                <w:color w:val="auto"/>
                <w:kern w:val="0"/>
                <w:szCs w:val="21"/>
              </w:rPr>
            </w:pPr>
          </w:p>
        </w:tc>
        <w:tc>
          <w:tcPr>
            <w:tcW w:w="931" w:type="dxa"/>
            <w:tcBorders>
              <w:top w:val="single" w:color="000000" w:sz="4" w:space="0"/>
              <w:left w:val="nil"/>
              <w:bottom w:val="single" w:color="000000" w:sz="4" w:space="0"/>
              <w:right w:val="single" w:color="000000" w:sz="4" w:space="0"/>
            </w:tcBorders>
          </w:tcPr>
          <w:p w14:paraId="21F2B9D1">
            <w:pPr>
              <w:widowControl/>
              <w:adjustRightInd w:val="0"/>
              <w:spacing w:line="360" w:lineRule="auto"/>
              <w:rPr>
                <w:rFonts w:eastAsiaTheme="minorEastAsia"/>
                <w:color w:val="auto"/>
                <w:kern w:val="0"/>
                <w:szCs w:val="21"/>
              </w:rPr>
            </w:pPr>
          </w:p>
        </w:tc>
        <w:tc>
          <w:tcPr>
            <w:tcW w:w="1020" w:type="dxa"/>
            <w:tcBorders>
              <w:top w:val="single" w:color="000000" w:sz="4" w:space="0"/>
              <w:left w:val="nil"/>
              <w:bottom w:val="single" w:color="000000" w:sz="4" w:space="0"/>
              <w:right w:val="single" w:color="000000" w:sz="4" w:space="0"/>
            </w:tcBorders>
          </w:tcPr>
          <w:p w14:paraId="77CF4F61">
            <w:pPr>
              <w:widowControl/>
              <w:adjustRightInd w:val="0"/>
              <w:spacing w:line="360" w:lineRule="auto"/>
              <w:rPr>
                <w:rFonts w:eastAsiaTheme="minorEastAsia"/>
                <w:color w:val="auto"/>
                <w:kern w:val="0"/>
                <w:szCs w:val="21"/>
              </w:rPr>
            </w:pPr>
          </w:p>
        </w:tc>
        <w:tc>
          <w:tcPr>
            <w:tcW w:w="994" w:type="dxa"/>
            <w:tcBorders>
              <w:top w:val="single" w:color="000000" w:sz="4" w:space="0"/>
              <w:left w:val="nil"/>
              <w:bottom w:val="single" w:color="000000" w:sz="4" w:space="0"/>
              <w:right w:val="single" w:color="000000" w:sz="4" w:space="0"/>
            </w:tcBorders>
          </w:tcPr>
          <w:p w14:paraId="67252EE0">
            <w:pPr>
              <w:widowControl/>
              <w:adjustRightInd w:val="0"/>
              <w:spacing w:line="360" w:lineRule="auto"/>
              <w:rPr>
                <w:rFonts w:eastAsiaTheme="minorEastAsia"/>
                <w:color w:val="auto"/>
                <w:kern w:val="0"/>
                <w:szCs w:val="21"/>
              </w:rPr>
            </w:pPr>
          </w:p>
        </w:tc>
        <w:tc>
          <w:tcPr>
            <w:tcW w:w="882" w:type="dxa"/>
            <w:tcBorders>
              <w:top w:val="single" w:color="000000" w:sz="4" w:space="0"/>
              <w:left w:val="nil"/>
              <w:bottom w:val="single" w:color="000000" w:sz="4" w:space="0"/>
              <w:right w:val="single" w:color="000000" w:sz="4" w:space="0"/>
            </w:tcBorders>
          </w:tcPr>
          <w:p w14:paraId="18844448">
            <w:pPr>
              <w:widowControl/>
              <w:adjustRightInd w:val="0"/>
              <w:spacing w:line="360" w:lineRule="auto"/>
              <w:rPr>
                <w:rFonts w:eastAsiaTheme="minorEastAsia"/>
                <w:color w:val="auto"/>
                <w:kern w:val="0"/>
                <w:szCs w:val="21"/>
              </w:rPr>
            </w:pPr>
          </w:p>
        </w:tc>
        <w:tc>
          <w:tcPr>
            <w:tcW w:w="850" w:type="dxa"/>
            <w:tcBorders>
              <w:top w:val="single" w:color="000000" w:sz="4" w:space="0"/>
              <w:left w:val="nil"/>
              <w:bottom w:val="single" w:color="000000" w:sz="4" w:space="0"/>
              <w:right w:val="single" w:color="000000" w:sz="4" w:space="0"/>
            </w:tcBorders>
          </w:tcPr>
          <w:p w14:paraId="253C5021">
            <w:pPr>
              <w:widowControl/>
              <w:adjustRightInd w:val="0"/>
              <w:spacing w:line="360" w:lineRule="auto"/>
              <w:rPr>
                <w:rFonts w:eastAsiaTheme="minorEastAsia"/>
                <w:color w:val="auto"/>
                <w:kern w:val="0"/>
                <w:szCs w:val="21"/>
              </w:rPr>
            </w:pPr>
          </w:p>
        </w:tc>
        <w:tc>
          <w:tcPr>
            <w:tcW w:w="851" w:type="dxa"/>
            <w:tcBorders>
              <w:top w:val="single" w:color="000000" w:sz="4" w:space="0"/>
              <w:left w:val="nil"/>
              <w:bottom w:val="single" w:color="000000" w:sz="4" w:space="0"/>
              <w:right w:val="single" w:color="000000" w:sz="4" w:space="0"/>
            </w:tcBorders>
          </w:tcPr>
          <w:p w14:paraId="15DAD0E4">
            <w:pPr>
              <w:widowControl/>
              <w:adjustRightInd w:val="0"/>
              <w:spacing w:line="360" w:lineRule="auto"/>
              <w:rPr>
                <w:rFonts w:eastAsiaTheme="minorEastAsia"/>
                <w:color w:val="auto"/>
                <w:kern w:val="0"/>
                <w:szCs w:val="21"/>
              </w:rPr>
            </w:pPr>
          </w:p>
        </w:tc>
      </w:tr>
    </w:tbl>
    <w:p w14:paraId="55FA464A">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投标单位（加盖电子公章）：</w:t>
      </w:r>
      <w:r>
        <w:rPr>
          <w:rFonts w:eastAsiaTheme="minorEastAsia"/>
          <w:color w:val="auto"/>
          <w:kern w:val="0"/>
          <w:szCs w:val="21"/>
          <w:u w:val="single"/>
        </w:rPr>
        <w:t>                             </w:t>
      </w:r>
    </w:p>
    <w:p w14:paraId="7D676922">
      <w:pPr>
        <w:widowControl/>
        <w:adjustRightInd w:val="0"/>
        <w:spacing w:line="360" w:lineRule="auto"/>
        <w:rPr>
          <w:rFonts w:eastAsiaTheme="minorEastAsia"/>
          <w:color w:val="auto"/>
          <w:kern w:val="0"/>
          <w:szCs w:val="21"/>
        </w:rPr>
      </w:pPr>
    </w:p>
    <w:p w14:paraId="03393EE8">
      <w:pPr>
        <w:widowControl/>
        <w:adjustRightInd w:val="0"/>
        <w:spacing w:line="360" w:lineRule="auto"/>
        <w:rPr>
          <w:rFonts w:eastAsiaTheme="minorEastAsia"/>
          <w:b/>
          <w:bCs/>
          <w:color w:val="auto"/>
          <w:kern w:val="0"/>
          <w:szCs w:val="21"/>
        </w:rPr>
      </w:pPr>
    </w:p>
    <w:p w14:paraId="462F0001">
      <w:pPr>
        <w:widowControl/>
        <w:adjustRightInd w:val="0"/>
        <w:spacing w:line="360" w:lineRule="auto"/>
        <w:rPr>
          <w:rFonts w:eastAsiaTheme="minorEastAsia"/>
          <w:b/>
          <w:bCs/>
          <w:color w:val="auto"/>
          <w:kern w:val="0"/>
          <w:sz w:val="24"/>
        </w:rPr>
      </w:pPr>
      <w:r>
        <w:rPr>
          <w:rFonts w:eastAsiaTheme="minorEastAsia"/>
          <w:b/>
          <w:bCs/>
          <w:color w:val="auto"/>
          <w:kern w:val="0"/>
          <w:sz w:val="24"/>
        </w:rPr>
        <w:br w:type="page"/>
      </w:r>
      <w:r>
        <w:rPr>
          <w:rFonts w:eastAsiaTheme="minorEastAsia"/>
          <w:b/>
          <w:bCs/>
          <w:color w:val="auto"/>
          <w:kern w:val="0"/>
          <w:sz w:val="24"/>
        </w:rPr>
        <w:t>附件九、供应商类似业绩情况表</w:t>
      </w:r>
    </w:p>
    <w:p w14:paraId="14200946">
      <w:pPr>
        <w:widowControl/>
        <w:adjustRightInd w:val="0"/>
        <w:spacing w:line="360" w:lineRule="auto"/>
        <w:jc w:val="center"/>
        <w:rPr>
          <w:rFonts w:eastAsiaTheme="minorEastAsia"/>
          <w:b/>
          <w:bCs/>
          <w:color w:val="auto"/>
          <w:kern w:val="0"/>
          <w:sz w:val="24"/>
        </w:rPr>
      </w:pPr>
    </w:p>
    <w:p w14:paraId="2C1083EB">
      <w:pPr>
        <w:widowControl/>
        <w:adjustRightInd w:val="0"/>
        <w:spacing w:line="360" w:lineRule="auto"/>
        <w:jc w:val="center"/>
        <w:rPr>
          <w:rFonts w:eastAsiaTheme="minorEastAsia"/>
          <w:b/>
          <w:bCs/>
          <w:color w:val="auto"/>
          <w:kern w:val="0"/>
          <w:sz w:val="24"/>
        </w:rPr>
      </w:pPr>
      <w:r>
        <w:rPr>
          <w:rFonts w:eastAsiaTheme="minorEastAsia"/>
          <w:b/>
          <w:bCs/>
          <w:color w:val="auto"/>
          <w:kern w:val="0"/>
          <w:sz w:val="24"/>
        </w:rPr>
        <w:t>供应商类似业绩情况表</w:t>
      </w:r>
    </w:p>
    <w:tbl>
      <w:tblPr>
        <w:tblStyle w:val="58"/>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0017F15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0A19EC6">
            <w:pPr>
              <w:widowControl/>
              <w:spacing w:line="360" w:lineRule="auto"/>
              <w:jc w:val="center"/>
              <w:rPr>
                <w:rFonts w:eastAsiaTheme="minorEastAsia"/>
                <w:color w:val="auto"/>
                <w:kern w:val="0"/>
                <w:szCs w:val="21"/>
              </w:rPr>
            </w:pPr>
            <w:r>
              <w:rPr>
                <w:rFonts w:eastAsiaTheme="minorEastAsia"/>
                <w:color w:val="auto"/>
                <w:kern w:val="0"/>
                <w:szCs w:val="21"/>
              </w:rPr>
              <w:t>序号</w:t>
            </w:r>
          </w:p>
        </w:tc>
        <w:tc>
          <w:tcPr>
            <w:tcW w:w="1559" w:type="dxa"/>
            <w:tcBorders>
              <w:top w:val="single" w:color="000000" w:sz="4" w:space="0"/>
              <w:left w:val="nil"/>
              <w:bottom w:val="single" w:color="000000" w:sz="4" w:space="0"/>
              <w:right w:val="single" w:color="000000" w:sz="4" w:space="0"/>
            </w:tcBorders>
            <w:vAlign w:val="center"/>
          </w:tcPr>
          <w:p w14:paraId="2354C196">
            <w:pPr>
              <w:widowControl/>
              <w:spacing w:line="360" w:lineRule="auto"/>
              <w:jc w:val="center"/>
              <w:rPr>
                <w:rFonts w:eastAsiaTheme="minorEastAsia"/>
                <w:color w:val="auto"/>
                <w:kern w:val="0"/>
                <w:szCs w:val="21"/>
              </w:rPr>
            </w:pPr>
            <w:r>
              <w:rPr>
                <w:rFonts w:eastAsiaTheme="minorEastAsia"/>
                <w:color w:val="auto"/>
                <w:kern w:val="0"/>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05935F0D">
            <w:pPr>
              <w:widowControl/>
              <w:spacing w:line="360" w:lineRule="auto"/>
              <w:jc w:val="center"/>
              <w:rPr>
                <w:rFonts w:eastAsiaTheme="minorEastAsia"/>
                <w:color w:val="auto"/>
                <w:kern w:val="0"/>
                <w:szCs w:val="21"/>
              </w:rPr>
            </w:pPr>
            <w:r>
              <w:rPr>
                <w:rFonts w:eastAsiaTheme="minorEastAsia"/>
                <w:color w:val="auto"/>
                <w:kern w:val="0"/>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01B23B1C">
            <w:pPr>
              <w:widowControl/>
              <w:spacing w:line="360" w:lineRule="auto"/>
              <w:jc w:val="center"/>
              <w:rPr>
                <w:rFonts w:eastAsiaTheme="minorEastAsia"/>
                <w:color w:val="auto"/>
                <w:kern w:val="0"/>
                <w:szCs w:val="21"/>
              </w:rPr>
            </w:pPr>
            <w:r>
              <w:rPr>
                <w:rFonts w:eastAsiaTheme="minorEastAsia"/>
                <w:color w:val="auto"/>
                <w:kern w:val="0"/>
                <w:szCs w:val="21"/>
              </w:rPr>
              <w:t>内容</w:t>
            </w:r>
          </w:p>
        </w:tc>
        <w:tc>
          <w:tcPr>
            <w:tcW w:w="1034" w:type="dxa"/>
            <w:tcBorders>
              <w:top w:val="single" w:color="000000" w:sz="4" w:space="0"/>
              <w:left w:val="nil"/>
              <w:bottom w:val="single" w:color="000000" w:sz="4" w:space="0"/>
              <w:right w:val="single" w:color="000000" w:sz="4" w:space="0"/>
            </w:tcBorders>
            <w:vAlign w:val="center"/>
          </w:tcPr>
          <w:p w14:paraId="2D925C4B">
            <w:pPr>
              <w:widowControl/>
              <w:spacing w:line="360" w:lineRule="auto"/>
              <w:jc w:val="center"/>
              <w:rPr>
                <w:rFonts w:eastAsiaTheme="minorEastAsia"/>
                <w:color w:val="auto"/>
                <w:kern w:val="0"/>
                <w:szCs w:val="21"/>
              </w:rPr>
            </w:pPr>
            <w:r>
              <w:rPr>
                <w:rFonts w:eastAsiaTheme="minorEastAsia"/>
                <w:color w:val="auto"/>
                <w:kern w:val="0"/>
                <w:szCs w:val="21"/>
              </w:rPr>
              <w:t>金额</w:t>
            </w:r>
          </w:p>
        </w:tc>
        <w:tc>
          <w:tcPr>
            <w:tcW w:w="1517" w:type="dxa"/>
            <w:tcBorders>
              <w:top w:val="single" w:color="000000" w:sz="4" w:space="0"/>
              <w:left w:val="nil"/>
              <w:bottom w:val="single" w:color="000000" w:sz="4" w:space="0"/>
              <w:right w:val="single" w:color="000000" w:sz="4" w:space="0"/>
            </w:tcBorders>
          </w:tcPr>
          <w:p w14:paraId="62EB68C9">
            <w:pPr>
              <w:widowControl/>
              <w:spacing w:line="360" w:lineRule="auto"/>
              <w:jc w:val="center"/>
              <w:rPr>
                <w:rFonts w:eastAsiaTheme="minorEastAsia"/>
                <w:color w:val="auto"/>
                <w:kern w:val="0"/>
                <w:szCs w:val="21"/>
              </w:rPr>
            </w:pPr>
            <w:r>
              <w:rPr>
                <w:rFonts w:eastAsiaTheme="minorEastAsia"/>
                <w:color w:val="auto"/>
                <w:kern w:val="0"/>
                <w:szCs w:val="21"/>
              </w:rPr>
              <w:t>签约及服务</w:t>
            </w:r>
          </w:p>
          <w:p w14:paraId="7C1FD90F">
            <w:pPr>
              <w:widowControl/>
              <w:spacing w:line="360" w:lineRule="auto"/>
              <w:jc w:val="center"/>
              <w:rPr>
                <w:rFonts w:eastAsiaTheme="minorEastAsia"/>
                <w:color w:val="auto"/>
                <w:kern w:val="0"/>
                <w:szCs w:val="21"/>
              </w:rPr>
            </w:pPr>
            <w:r>
              <w:rPr>
                <w:rFonts w:eastAsiaTheme="minorEastAsia"/>
                <w:color w:val="auto"/>
                <w:kern w:val="0"/>
                <w:szCs w:val="21"/>
              </w:rPr>
              <w:t>时间</w:t>
            </w:r>
          </w:p>
        </w:tc>
        <w:tc>
          <w:tcPr>
            <w:tcW w:w="1134" w:type="dxa"/>
            <w:tcBorders>
              <w:top w:val="single" w:color="000000" w:sz="4" w:space="0"/>
              <w:left w:val="nil"/>
              <w:bottom w:val="single" w:color="000000" w:sz="4" w:space="0"/>
              <w:right w:val="single" w:color="000000" w:sz="4" w:space="0"/>
            </w:tcBorders>
          </w:tcPr>
          <w:p w14:paraId="6CD6FFD2">
            <w:pPr>
              <w:widowControl/>
              <w:spacing w:line="360" w:lineRule="auto"/>
              <w:jc w:val="center"/>
              <w:rPr>
                <w:rFonts w:eastAsiaTheme="minorEastAsia"/>
                <w:color w:val="auto"/>
                <w:kern w:val="0"/>
                <w:szCs w:val="21"/>
              </w:rPr>
            </w:pPr>
            <w:r>
              <w:rPr>
                <w:rFonts w:eastAsiaTheme="minorEastAsia"/>
                <w:color w:val="auto"/>
                <w:kern w:val="0"/>
                <w:szCs w:val="21"/>
              </w:rPr>
              <w:t>联系人及电话</w:t>
            </w:r>
          </w:p>
        </w:tc>
        <w:tc>
          <w:tcPr>
            <w:tcW w:w="1134" w:type="dxa"/>
            <w:tcBorders>
              <w:top w:val="single" w:color="000000" w:sz="4" w:space="0"/>
              <w:left w:val="nil"/>
              <w:bottom w:val="single" w:color="000000" w:sz="4" w:space="0"/>
              <w:right w:val="single" w:color="000000" w:sz="4" w:space="0"/>
            </w:tcBorders>
          </w:tcPr>
          <w:p w14:paraId="0F21005F">
            <w:pPr>
              <w:widowControl/>
              <w:spacing w:line="360" w:lineRule="auto"/>
              <w:jc w:val="center"/>
              <w:rPr>
                <w:rFonts w:eastAsiaTheme="minorEastAsia"/>
                <w:color w:val="auto"/>
                <w:kern w:val="0"/>
                <w:szCs w:val="21"/>
              </w:rPr>
            </w:pPr>
            <w:r>
              <w:rPr>
                <w:rFonts w:eastAsiaTheme="minorEastAsia"/>
                <w:color w:val="auto"/>
                <w:kern w:val="0"/>
                <w:szCs w:val="21"/>
              </w:rPr>
              <w:t>备注</w:t>
            </w:r>
          </w:p>
        </w:tc>
      </w:tr>
      <w:tr w14:paraId="1FC46F1F">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1924C41">
            <w:pPr>
              <w:widowControl/>
              <w:spacing w:line="360" w:lineRule="auto"/>
              <w:jc w:val="center"/>
              <w:rPr>
                <w:rFonts w:eastAsiaTheme="minorEastAsia"/>
                <w:color w:val="auto"/>
                <w:kern w:val="0"/>
                <w:szCs w:val="21"/>
              </w:rPr>
            </w:pPr>
          </w:p>
        </w:tc>
        <w:tc>
          <w:tcPr>
            <w:tcW w:w="1559" w:type="dxa"/>
            <w:tcBorders>
              <w:top w:val="single" w:color="000000" w:sz="4" w:space="0"/>
              <w:left w:val="nil"/>
              <w:bottom w:val="single" w:color="000000" w:sz="4" w:space="0"/>
              <w:right w:val="single" w:color="000000" w:sz="4" w:space="0"/>
            </w:tcBorders>
          </w:tcPr>
          <w:p w14:paraId="5484358D">
            <w:pPr>
              <w:widowControl/>
              <w:spacing w:line="360" w:lineRule="auto"/>
              <w:jc w:val="center"/>
              <w:rPr>
                <w:rFonts w:eastAsiaTheme="minorEastAsia"/>
                <w:color w:val="auto"/>
                <w:kern w:val="0"/>
                <w:szCs w:val="21"/>
              </w:rPr>
            </w:pPr>
          </w:p>
        </w:tc>
        <w:tc>
          <w:tcPr>
            <w:tcW w:w="1418" w:type="dxa"/>
            <w:tcBorders>
              <w:top w:val="single" w:color="000000" w:sz="4" w:space="0"/>
              <w:left w:val="nil"/>
              <w:bottom w:val="single" w:color="000000" w:sz="4" w:space="0"/>
              <w:right w:val="single" w:color="000000" w:sz="4" w:space="0"/>
            </w:tcBorders>
          </w:tcPr>
          <w:p w14:paraId="6F0744D3">
            <w:pPr>
              <w:widowControl/>
              <w:spacing w:line="360" w:lineRule="auto"/>
              <w:ind w:firstLine="120"/>
              <w:rPr>
                <w:rFonts w:eastAsiaTheme="minorEastAsia"/>
                <w:color w:val="auto"/>
                <w:kern w:val="0"/>
                <w:szCs w:val="21"/>
              </w:rPr>
            </w:pPr>
          </w:p>
        </w:tc>
        <w:tc>
          <w:tcPr>
            <w:tcW w:w="992" w:type="dxa"/>
            <w:tcBorders>
              <w:top w:val="single" w:color="000000" w:sz="4" w:space="0"/>
              <w:left w:val="nil"/>
              <w:bottom w:val="single" w:color="000000" w:sz="4" w:space="0"/>
              <w:right w:val="single" w:color="000000" w:sz="4" w:space="0"/>
            </w:tcBorders>
          </w:tcPr>
          <w:p w14:paraId="04E8545B">
            <w:pPr>
              <w:widowControl/>
              <w:spacing w:line="360" w:lineRule="auto"/>
              <w:jc w:val="center"/>
              <w:rPr>
                <w:rFonts w:eastAsiaTheme="minorEastAsia"/>
                <w:color w:val="auto"/>
                <w:kern w:val="0"/>
                <w:szCs w:val="21"/>
              </w:rPr>
            </w:pPr>
          </w:p>
        </w:tc>
        <w:tc>
          <w:tcPr>
            <w:tcW w:w="1034" w:type="dxa"/>
            <w:tcBorders>
              <w:top w:val="single" w:color="000000" w:sz="4" w:space="0"/>
              <w:left w:val="nil"/>
              <w:bottom w:val="single" w:color="000000" w:sz="4" w:space="0"/>
              <w:right w:val="single" w:color="000000" w:sz="4" w:space="0"/>
            </w:tcBorders>
          </w:tcPr>
          <w:p w14:paraId="5FF8EAB8">
            <w:pPr>
              <w:widowControl/>
              <w:spacing w:line="360" w:lineRule="auto"/>
              <w:jc w:val="center"/>
              <w:rPr>
                <w:rFonts w:eastAsiaTheme="minorEastAsia"/>
                <w:color w:val="auto"/>
                <w:kern w:val="0"/>
                <w:szCs w:val="21"/>
              </w:rPr>
            </w:pPr>
          </w:p>
        </w:tc>
        <w:tc>
          <w:tcPr>
            <w:tcW w:w="1517" w:type="dxa"/>
            <w:tcBorders>
              <w:top w:val="single" w:color="000000" w:sz="4" w:space="0"/>
              <w:left w:val="nil"/>
              <w:bottom w:val="single" w:color="000000" w:sz="4" w:space="0"/>
              <w:right w:val="single" w:color="000000" w:sz="4" w:space="0"/>
            </w:tcBorders>
          </w:tcPr>
          <w:p w14:paraId="6B516F81">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2E2F9FD3">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74133425">
            <w:pPr>
              <w:widowControl/>
              <w:spacing w:line="360" w:lineRule="auto"/>
              <w:jc w:val="center"/>
              <w:rPr>
                <w:rFonts w:eastAsiaTheme="minorEastAsia"/>
                <w:color w:val="auto"/>
                <w:kern w:val="0"/>
                <w:szCs w:val="21"/>
              </w:rPr>
            </w:pPr>
          </w:p>
        </w:tc>
      </w:tr>
      <w:tr w14:paraId="1D2A18C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DE7BF85">
            <w:pPr>
              <w:widowControl/>
              <w:spacing w:line="360" w:lineRule="auto"/>
              <w:jc w:val="center"/>
              <w:rPr>
                <w:rFonts w:eastAsiaTheme="minorEastAsia"/>
                <w:color w:val="auto"/>
                <w:kern w:val="0"/>
                <w:szCs w:val="21"/>
              </w:rPr>
            </w:pPr>
          </w:p>
        </w:tc>
        <w:tc>
          <w:tcPr>
            <w:tcW w:w="1559" w:type="dxa"/>
            <w:tcBorders>
              <w:top w:val="single" w:color="000000" w:sz="4" w:space="0"/>
              <w:left w:val="nil"/>
              <w:bottom w:val="single" w:color="000000" w:sz="4" w:space="0"/>
              <w:right w:val="single" w:color="000000" w:sz="4" w:space="0"/>
            </w:tcBorders>
          </w:tcPr>
          <w:p w14:paraId="4EAB2130">
            <w:pPr>
              <w:widowControl/>
              <w:spacing w:line="360" w:lineRule="auto"/>
              <w:jc w:val="center"/>
              <w:rPr>
                <w:rFonts w:eastAsiaTheme="minorEastAsia"/>
                <w:color w:val="auto"/>
                <w:kern w:val="0"/>
                <w:szCs w:val="21"/>
              </w:rPr>
            </w:pPr>
          </w:p>
        </w:tc>
        <w:tc>
          <w:tcPr>
            <w:tcW w:w="1418" w:type="dxa"/>
            <w:tcBorders>
              <w:top w:val="single" w:color="000000" w:sz="4" w:space="0"/>
              <w:left w:val="nil"/>
              <w:bottom w:val="single" w:color="000000" w:sz="4" w:space="0"/>
              <w:right w:val="single" w:color="000000" w:sz="4" w:space="0"/>
            </w:tcBorders>
          </w:tcPr>
          <w:p w14:paraId="16252068">
            <w:pPr>
              <w:widowControl/>
              <w:spacing w:line="360" w:lineRule="auto"/>
              <w:jc w:val="center"/>
              <w:rPr>
                <w:rFonts w:eastAsiaTheme="minorEastAsia"/>
                <w:color w:val="auto"/>
                <w:kern w:val="0"/>
                <w:szCs w:val="21"/>
              </w:rPr>
            </w:pPr>
          </w:p>
        </w:tc>
        <w:tc>
          <w:tcPr>
            <w:tcW w:w="992" w:type="dxa"/>
            <w:tcBorders>
              <w:top w:val="single" w:color="000000" w:sz="4" w:space="0"/>
              <w:left w:val="nil"/>
              <w:bottom w:val="single" w:color="000000" w:sz="4" w:space="0"/>
              <w:right w:val="single" w:color="000000" w:sz="4" w:space="0"/>
            </w:tcBorders>
          </w:tcPr>
          <w:p w14:paraId="2958F3D3">
            <w:pPr>
              <w:widowControl/>
              <w:spacing w:line="360" w:lineRule="auto"/>
              <w:jc w:val="center"/>
              <w:rPr>
                <w:rFonts w:eastAsiaTheme="minorEastAsia"/>
                <w:color w:val="auto"/>
                <w:kern w:val="0"/>
                <w:szCs w:val="21"/>
              </w:rPr>
            </w:pPr>
          </w:p>
        </w:tc>
        <w:tc>
          <w:tcPr>
            <w:tcW w:w="1034" w:type="dxa"/>
            <w:tcBorders>
              <w:top w:val="single" w:color="000000" w:sz="4" w:space="0"/>
              <w:left w:val="nil"/>
              <w:bottom w:val="single" w:color="000000" w:sz="4" w:space="0"/>
              <w:right w:val="single" w:color="000000" w:sz="4" w:space="0"/>
            </w:tcBorders>
          </w:tcPr>
          <w:p w14:paraId="548EA86A">
            <w:pPr>
              <w:widowControl/>
              <w:spacing w:line="360" w:lineRule="auto"/>
              <w:jc w:val="center"/>
              <w:rPr>
                <w:rFonts w:eastAsiaTheme="minorEastAsia"/>
                <w:color w:val="auto"/>
                <w:kern w:val="0"/>
                <w:szCs w:val="21"/>
              </w:rPr>
            </w:pPr>
          </w:p>
        </w:tc>
        <w:tc>
          <w:tcPr>
            <w:tcW w:w="1517" w:type="dxa"/>
            <w:tcBorders>
              <w:top w:val="single" w:color="000000" w:sz="4" w:space="0"/>
              <w:left w:val="nil"/>
              <w:bottom w:val="single" w:color="000000" w:sz="4" w:space="0"/>
              <w:right w:val="single" w:color="000000" w:sz="4" w:space="0"/>
            </w:tcBorders>
          </w:tcPr>
          <w:p w14:paraId="7FDFBE46">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4593867B">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479AEAAF">
            <w:pPr>
              <w:widowControl/>
              <w:spacing w:line="360" w:lineRule="auto"/>
              <w:jc w:val="center"/>
              <w:rPr>
                <w:rFonts w:eastAsiaTheme="minorEastAsia"/>
                <w:color w:val="auto"/>
                <w:kern w:val="0"/>
                <w:szCs w:val="21"/>
              </w:rPr>
            </w:pPr>
          </w:p>
        </w:tc>
      </w:tr>
      <w:tr w14:paraId="4E80B9B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305AF5B">
            <w:pPr>
              <w:widowControl/>
              <w:spacing w:line="360" w:lineRule="auto"/>
              <w:jc w:val="center"/>
              <w:rPr>
                <w:rFonts w:eastAsiaTheme="minorEastAsia"/>
                <w:color w:val="auto"/>
                <w:kern w:val="0"/>
                <w:szCs w:val="21"/>
              </w:rPr>
            </w:pPr>
          </w:p>
        </w:tc>
        <w:tc>
          <w:tcPr>
            <w:tcW w:w="1559" w:type="dxa"/>
            <w:tcBorders>
              <w:top w:val="single" w:color="000000" w:sz="4" w:space="0"/>
              <w:left w:val="nil"/>
              <w:bottom w:val="single" w:color="000000" w:sz="4" w:space="0"/>
              <w:right w:val="single" w:color="000000" w:sz="4" w:space="0"/>
            </w:tcBorders>
          </w:tcPr>
          <w:p w14:paraId="3C253C2E">
            <w:pPr>
              <w:widowControl/>
              <w:spacing w:line="360" w:lineRule="auto"/>
              <w:jc w:val="center"/>
              <w:rPr>
                <w:rFonts w:eastAsiaTheme="minorEastAsia"/>
                <w:color w:val="auto"/>
                <w:kern w:val="0"/>
                <w:szCs w:val="21"/>
              </w:rPr>
            </w:pPr>
          </w:p>
        </w:tc>
        <w:tc>
          <w:tcPr>
            <w:tcW w:w="1418" w:type="dxa"/>
            <w:tcBorders>
              <w:top w:val="single" w:color="000000" w:sz="4" w:space="0"/>
              <w:left w:val="nil"/>
              <w:bottom w:val="single" w:color="000000" w:sz="4" w:space="0"/>
              <w:right w:val="single" w:color="000000" w:sz="4" w:space="0"/>
            </w:tcBorders>
          </w:tcPr>
          <w:p w14:paraId="7B828FF1">
            <w:pPr>
              <w:widowControl/>
              <w:spacing w:line="360" w:lineRule="auto"/>
              <w:jc w:val="center"/>
              <w:rPr>
                <w:rFonts w:eastAsiaTheme="minorEastAsia"/>
                <w:color w:val="auto"/>
                <w:kern w:val="0"/>
                <w:szCs w:val="21"/>
              </w:rPr>
            </w:pPr>
          </w:p>
        </w:tc>
        <w:tc>
          <w:tcPr>
            <w:tcW w:w="992" w:type="dxa"/>
            <w:tcBorders>
              <w:top w:val="single" w:color="000000" w:sz="4" w:space="0"/>
              <w:left w:val="nil"/>
              <w:bottom w:val="single" w:color="000000" w:sz="4" w:space="0"/>
              <w:right w:val="single" w:color="000000" w:sz="4" w:space="0"/>
            </w:tcBorders>
          </w:tcPr>
          <w:p w14:paraId="5AD90B95">
            <w:pPr>
              <w:widowControl/>
              <w:spacing w:line="360" w:lineRule="auto"/>
              <w:jc w:val="center"/>
              <w:rPr>
                <w:rFonts w:eastAsiaTheme="minorEastAsia"/>
                <w:color w:val="auto"/>
                <w:kern w:val="0"/>
                <w:szCs w:val="21"/>
              </w:rPr>
            </w:pPr>
          </w:p>
        </w:tc>
        <w:tc>
          <w:tcPr>
            <w:tcW w:w="1034" w:type="dxa"/>
            <w:tcBorders>
              <w:top w:val="single" w:color="000000" w:sz="4" w:space="0"/>
              <w:left w:val="nil"/>
              <w:bottom w:val="single" w:color="000000" w:sz="4" w:space="0"/>
              <w:right w:val="single" w:color="000000" w:sz="4" w:space="0"/>
            </w:tcBorders>
          </w:tcPr>
          <w:p w14:paraId="539E36DC">
            <w:pPr>
              <w:widowControl/>
              <w:spacing w:line="360" w:lineRule="auto"/>
              <w:jc w:val="center"/>
              <w:rPr>
                <w:rFonts w:eastAsiaTheme="minorEastAsia"/>
                <w:color w:val="auto"/>
                <w:kern w:val="0"/>
                <w:szCs w:val="21"/>
              </w:rPr>
            </w:pPr>
          </w:p>
        </w:tc>
        <w:tc>
          <w:tcPr>
            <w:tcW w:w="1517" w:type="dxa"/>
            <w:tcBorders>
              <w:top w:val="single" w:color="000000" w:sz="4" w:space="0"/>
              <w:left w:val="nil"/>
              <w:bottom w:val="single" w:color="000000" w:sz="4" w:space="0"/>
              <w:right w:val="single" w:color="000000" w:sz="4" w:space="0"/>
            </w:tcBorders>
          </w:tcPr>
          <w:p w14:paraId="77AB66B1">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058F8D2A">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6F273748">
            <w:pPr>
              <w:widowControl/>
              <w:spacing w:line="360" w:lineRule="auto"/>
              <w:jc w:val="center"/>
              <w:rPr>
                <w:rFonts w:eastAsiaTheme="minorEastAsia"/>
                <w:color w:val="auto"/>
                <w:kern w:val="0"/>
                <w:szCs w:val="21"/>
              </w:rPr>
            </w:pPr>
          </w:p>
        </w:tc>
      </w:tr>
      <w:tr w14:paraId="4158D530">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B62A024">
            <w:pPr>
              <w:widowControl/>
              <w:spacing w:line="360" w:lineRule="auto"/>
              <w:jc w:val="center"/>
              <w:rPr>
                <w:rFonts w:eastAsiaTheme="minorEastAsia"/>
                <w:color w:val="auto"/>
                <w:kern w:val="0"/>
                <w:szCs w:val="21"/>
              </w:rPr>
            </w:pPr>
          </w:p>
        </w:tc>
        <w:tc>
          <w:tcPr>
            <w:tcW w:w="1559" w:type="dxa"/>
            <w:tcBorders>
              <w:top w:val="single" w:color="000000" w:sz="4" w:space="0"/>
              <w:left w:val="nil"/>
              <w:bottom w:val="single" w:color="000000" w:sz="4" w:space="0"/>
              <w:right w:val="single" w:color="000000" w:sz="4" w:space="0"/>
            </w:tcBorders>
          </w:tcPr>
          <w:p w14:paraId="51A6510E">
            <w:pPr>
              <w:widowControl/>
              <w:spacing w:line="360" w:lineRule="auto"/>
              <w:jc w:val="center"/>
              <w:rPr>
                <w:rFonts w:eastAsiaTheme="minorEastAsia"/>
                <w:color w:val="auto"/>
                <w:kern w:val="0"/>
                <w:szCs w:val="21"/>
              </w:rPr>
            </w:pPr>
          </w:p>
        </w:tc>
        <w:tc>
          <w:tcPr>
            <w:tcW w:w="1418" w:type="dxa"/>
            <w:tcBorders>
              <w:top w:val="single" w:color="000000" w:sz="4" w:space="0"/>
              <w:left w:val="nil"/>
              <w:bottom w:val="single" w:color="000000" w:sz="4" w:space="0"/>
              <w:right w:val="single" w:color="000000" w:sz="4" w:space="0"/>
            </w:tcBorders>
          </w:tcPr>
          <w:p w14:paraId="748066F7">
            <w:pPr>
              <w:widowControl/>
              <w:spacing w:line="360" w:lineRule="auto"/>
              <w:jc w:val="center"/>
              <w:rPr>
                <w:rFonts w:eastAsiaTheme="minorEastAsia"/>
                <w:color w:val="auto"/>
                <w:kern w:val="0"/>
                <w:szCs w:val="21"/>
              </w:rPr>
            </w:pPr>
          </w:p>
        </w:tc>
        <w:tc>
          <w:tcPr>
            <w:tcW w:w="992" w:type="dxa"/>
            <w:tcBorders>
              <w:top w:val="single" w:color="000000" w:sz="4" w:space="0"/>
              <w:left w:val="nil"/>
              <w:bottom w:val="single" w:color="000000" w:sz="4" w:space="0"/>
              <w:right w:val="single" w:color="000000" w:sz="4" w:space="0"/>
            </w:tcBorders>
          </w:tcPr>
          <w:p w14:paraId="7CFB0C9C">
            <w:pPr>
              <w:widowControl/>
              <w:spacing w:line="360" w:lineRule="auto"/>
              <w:jc w:val="center"/>
              <w:rPr>
                <w:rFonts w:eastAsiaTheme="minorEastAsia"/>
                <w:color w:val="auto"/>
                <w:kern w:val="0"/>
                <w:szCs w:val="21"/>
              </w:rPr>
            </w:pPr>
          </w:p>
        </w:tc>
        <w:tc>
          <w:tcPr>
            <w:tcW w:w="1034" w:type="dxa"/>
            <w:tcBorders>
              <w:top w:val="single" w:color="000000" w:sz="4" w:space="0"/>
              <w:left w:val="nil"/>
              <w:bottom w:val="single" w:color="000000" w:sz="4" w:space="0"/>
              <w:right w:val="single" w:color="000000" w:sz="4" w:space="0"/>
            </w:tcBorders>
          </w:tcPr>
          <w:p w14:paraId="461FB8AE">
            <w:pPr>
              <w:widowControl/>
              <w:spacing w:line="360" w:lineRule="auto"/>
              <w:jc w:val="center"/>
              <w:rPr>
                <w:rFonts w:eastAsiaTheme="minorEastAsia"/>
                <w:color w:val="auto"/>
                <w:kern w:val="0"/>
                <w:szCs w:val="21"/>
              </w:rPr>
            </w:pPr>
          </w:p>
        </w:tc>
        <w:tc>
          <w:tcPr>
            <w:tcW w:w="1517" w:type="dxa"/>
            <w:tcBorders>
              <w:top w:val="single" w:color="000000" w:sz="4" w:space="0"/>
              <w:left w:val="nil"/>
              <w:bottom w:val="single" w:color="000000" w:sz="4" w:space="0"/>
              <w:right w:val="single" w:color="000000" w:sz="4" w:space="0"/>
            </w:tcBorders>
          </w:tcPr>
          <w:p w14:paraId="49FCB65D">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7EECEEBD">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628FCA82">
            <w:pPr>
              <w:widowControl/>
              <w:spacing w:line="360" w:lineRule="auto"/>
              <w:jc w:val="center"/>
              <w:rPr>
                <w:rFonts w:eastAsiaTheme="minorEastAsia"/>
                <w:color w:val="auto"/>
                <w:kern w:val="0"/>
                <w:szCs w:val="21"/>
              </w:rPr>
            </w:pPr>
          </w:p>
        </w:tc>
      </w:tr>
      <w:tr w14:paraId="740A50F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7F764DD">
            <w:pPr>
              <w:widowControl/>
              <w:spacing w:line="360" w:lineRule="auto"/>
              <w:jc w:val="center"/>
              <w:rPr>
                <w:rFonts w:eastAsiaTheme="minorEastAsia"/>
                <w:color w:val="auto"/>
                <w:kern w:val="0"/>
                <w:szCs w:val="21"/>
              </w:rPr>
            </w:pPr>
          </w:p>
        </w:tc>
        <w:tc>
          <w:tcPr>
            <w:tcW w:w="1559" w:type="dxa"/>
            <w:tcBorders>
              <w:top w:val="single" w:color="000000" w:sz="4" w:space="0"/>
              <w:left w:val="nil"/>
              <w:bottom w:val="single" w:color="000000" w:sz="4" w:space="0"/>
              <w:right w:val="single" w:color="000000" w:sz="4" w:space="0"/>
            </w:tcBorders>
          </w:tcPr>
          <w:p w14:paraId="38E51E45">
            <w:pPr>
              <w:widowControl/>
              <w:spacing w:line="360" w:lineRule="auto"/>
              <w:jc w:val="center"/>
              <w:rPr>
                <w:rFonts w:eastAsiaTheme="minorEastAsia"/>
                <w:color w:val="auto"/>
                <w:kern w:val="0"/>
                <w:szCs w:val="21"/>
              </w:rPr>
            </w:pPr>
          </w:p>
        </w:tc>
        <w:tc>
          <w:tcPr>
            <w:tcW w:w="1418" w:type="dxa"/>
            <w:tcBorders>
              <w:top w:val="single" w:color="000000" w:sz="4" w:space="0"/>
              <w:left w:val="nil"/>
              <w:bottom w:val="single" w:color="000000" w:sz="4" w:space="0"/>
              <w:right w:val="single" w:color="000000" w:sz="4" w:space="0"/>
            </w:tcBorders>
          </w:tcPr>
          <w:p w14:paraId="48C70872">
            <w:pPr>
              <w:widowControl/>
              <w:spacing w:line="360" w:lineRule="auto"/>
              <w:jc w:val="center"/>
              <w:rPr>
                <w:rFonts w:eastAsiaTheme="minorEastAsia"/>
                <w:color w:val="auto"/>
                <w:kern w:val="0"/>
                <w:szCs w:val="21"/>
              </w:rPr>
            </w:pPr>
          </w:p>
        </w:tc>
        <w:tc>
          <w:tcPr>
            <w:tcW w:w="992" w:type="dxa"/>
            <w:tcBorders>
              <w:top w:val="single" w:color="000000" w:sz="4" w:space="0"/>
              <w:left w:val="nil"/>
              <w:bottom w:val="single" w:color="000000" w:sz="4" w:space="0"/>
              <w:right w:val="single" w:color="000000" w:sz="4" w:space="0"/>
            </w:tcBorders>
          </w:tcPr>
          <w:p w14:paraId="169BCCEA">
            <w:pPr>
              <w:widowControl/>
              <w:spacing w:line="360" w:lineRule="auto"/>
              <w:jc w:val="center"/>
              <w:rPr>
                <w:rFonts w:eastAsiaTheme="minorEastAsia"/>
                <w:color w:val="auto"/>
                <w:kern w:val="0"/>
                <w:szCs w:val="21"/>
              </w:rPr>
            </w:pPr>
          </w:p>
        </w:tc>
        <w:tc>
          <w:tcPr>
            <w:tcW w:w="1034" w:type="dxa"/>
            <w:tcBorders>
              <w:top w:val="single" w:color="000000" w:sz="4" w:space="0"/>
              <w:left w:val="nil"/>
              <w:bottom w:val="single" w:color="000000" w:sz="4" w:space="0"/>
              <w:right w:val="single" w:color="000000" w:sz="4" w:space="0"/>
            </w:tcBorders>
          </w:tcPr>
          <w:p w14:paraId="7210FC21">
            <w:pPr>
              <w:widowControl/>
              <w:spacing w:line="360" w:lineRule="auto"/>
              <w:jc w:val="center"/>
              <w:rPr>
                <w:rFonts w:eastAsiaTheme="minorEastAsia"/>
                <w:color w:val="auto"/>
                <w:kern w:val="0"/>
                <w:szCs w:val="21"/>
              </w:rPr>
            </w:pPr>
          </w:p>
        </w:tc>
        <w:tc>
          <w:tcPr>
            <w:tcW w:w="1517" w:type="dxa"/>
            <w:tcBorders>
              <w:top w:val="single" w:color="000000" w:sz="4" w:space="0"/>
              <w:left w:val="nil"/>
              <w:bottom w:val="single" w:color="000000" w:sz="4" w:space="0"/>
              <w:right w:val="single" w:color="000000" w:sz="4" w:space="0"/>
            </w:tcBorders>
          </w:tcPr>
          <w:p w14:paraId="10A57700">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36D2FBF7">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5718F8B6">
            <w:pPr>
              <w:widowControl/>
              <w:spacing w:line="360" w:lineRule="auto"/>
              <w:jc w:val="center"/>
              <w:rPr>
                <w:rFonts w:eastAsiaTheme="minorEastAsia"/>
                <w:color w:val="auto"/>
                <w:kern w:val="0"/>
                <w:szCs w:val="21"/>
              </w:rPr>
            </w:pPr>
          </w:p>
        </w:tc>
      </w:tr>
      <w:tr w14:paraId="2401BD7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AD1987B">
            <w:pPr>
              <w:widowControl/>
              <w:spacing w:line="360" w:lineRule="auto"/>
              <w:jc w:val="center"/>
              <w:rPr>
                <w:rFonts w:eastAsiaTheme="minorEastAsia"/>
                <w:color w:val="auto"/>
                <w:kern w:val="0"/>
                <w:szCs w:val="21"/>
              </w:rPr>
            </w:pPr>
          </w:p>
        </w:tc>
        <w:tc>
          <w:tcPr>
            <w:tcW w:w="1559" w:type="dxa"/>
            <w:tcBorders>
              <w:top w:val="single" w:color="000000" w:sz="4" w:space="0"/>
              <w:left w:val="nil"/>
              <w:bottom w:val="single" w:color="000000" w:sz="4" w:space="0"/>
              <w:right w:val="single" w:color="000000" w:sz="4" w:space="0"/>
            </w:tcBorders>
          </w:tcPr>
          <w:p w14:paraId="65D384B7">
            <w:pPr>
              <w:widowControl/>
              <w:spacing w:line="360" w:lineRule="auto"/>
              <w:jc w:val="center"/>
              <w:rPr>
                <w:rFonts w:eastAsiaTheme="minorEastAsia"/>
                <w:color w:val="auto"/>
                <w:kern w:val="0"/>
                <w:szCs w:val="21"/>
              </w:rPr>
            </w:pPr>
          </w:p>
        </w:tc>
        <w:tc>
          <w:tcPr>
            <w:tcW w:w="1418" w:type="dxa"/>
            <w:tcBorders>
              <w:top w:val="single" w:color="000000" w:sz="4" w:space="0"/>
              <w:left w:val="nil"/>
              <w:bottom w:val="single" w:color="000000" w:sz="4" w:space="0"/>
              <w:right w:val="single" w:color="000000" w:sz="4" w:space="0"/>
            </w:tcBorders>
          </w:tcPr>
          <w:p w14:paraId="7E975F1B">
            <w:pPr>
              <w:widowControl/>
              <w:spacing w:line="360" w:lineRule="auto"/>
              <w:jc w:val="center"/>
              <w:rPr>
                <w:rFonts w:eastAsiaTheme="minorEastAsia"/>
                <w:color w:val="auto"/>
                <w:kern w:val="0"/>
                <w:szCs w:val="21"/>
              </w:rPr>
            </w:pPr>
          </w:p>
        </w:tc>
        <w:tc>
          <w:tcPr>
            <w:tcW w:w="992" w:type="dxa"/>
            <w:tcBorders>
              <w:top w:val="single" w:color="000000" w:sz="4" w:space="0"/>
              <w:left w:val="nil"/>
              <w:bottom w:val="single" w:color="000000" w:sz="4" w:space="0"/>
              <w:right w:val="single" w:color="000000" w:sz="4" w:space="0"/>
            </w:tcBorders>
          </w:tcPr>
          <w:p w14:paraId="10288DF7">
            <w:pPr>
              <w:widowControl/>
              <w:spacing w:line="360" w:lineRule="auto"/>
              <w:jc w:val="center"/>
              <w:rPr>
                <w:rFonts w:eastAsiaTheme="minorEastAsia"/>
                <w:color w:val="auto"/>
                <w:kern w:val="0"/>
                <w:szCs w:val="21"/>
              </w:rPr>
            </w:pPr>
          </w:p>
        </w:tc>
        <w:tc>
          <w:tcPr>
            <w:tcW w:w="1034" w:type="dxa"/>
            <w:tcBorders>
              <w:top w:val="single" w:color="000000" w:sz="4" w:space="0"/>
              <w:left w:val="nil"/>
              <w:bottom w:val="single" w:color="000000" w:sz="4" w:space="0"/>
              <w:right w:val="single" w:color="000000" w:sz="4" w:space="0"/>
            </w:tcBorders>
          </w:tcPr>
          <w:p w14:paraId="7EDAF9A5">
            <w:pPr>
              <w:widowControl/>
              <w:spacing w:line="360" w:lineRule="auto"/>
              <w:jc w:val="center"/>
              <w:rPr>
                <w:rFonts w:eastAsiaTheme="minorEastAsia"/>
                <w:color w:val="auto"/>
                <w:kern w:val="0"/>
                <w:szCs w:val="21"/>
              </w:rPr>
            </w:pPr>
          </w:p>
        </w:tc>
        <w:tc>
          <w:tcPr>
            <w:tcW w:w="1517" w:type="dxa"/>
            <w:tcBorders>
              <w:top w:val="single" w:color="000000" w:sz="4" w:space="0"/>
              <w:left w:val="nil"/>
              <w:bottom w:val="single" w:color="000000" w:sz="4" w:space="0"/>
              <w:right w:val="single" w:color="000000" w:sz="4" w:space="0"/>
            </w:tcBorders>
          </w:tcPr>
          <w:p w14:paraId="31A822A2">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1A4565B7">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735BCE2E">
            <w:pPr>
              <w:widowControl/>
              <w:spacing w:line="360" w:lineRule="auto"/>
              <w:jc w:val="center"/>
              <w:rPr>
                <w:rFonts w:eastAsiaTheme="minorEastAsia"/>
                <w:color w:val="auto"/>
                <w:kern w:val="0"/>
                <w:szCs w:val="21"/>
              </w:rPr>
            </w:pPr>
          </w:p>
        </w:tc>
      </w:tr>
      <w:tr w14:paraId="770D96E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1CE305B">
            <w:pPr>
              <w:widowControl/>
              <w:spacing w:line="360" w:lineRule="auto"/>
              <w:jc w:val="center"/>
              <w:rPr>
                <w:rFonts w:eastAsiaTheme="minorEastAsia"/>
                <w:color w:val="auto"/>
                <w:kern w:val="0"/>
                <w:szCs w:val="21"/>
              </w:rPr>
            </w:pPr>
          </w:p>
        </w:tc>
        <w:tc>
          <w:tcPr>
            <w:tcW w:w="1559" w:type="dxa"/>
            <w:tcBorders>
              <w:top w:val="single" w:color="000000" w:sz="4" w:space="0"/>
              <w:left w:val="nil"/>
              <w:bottom w:val="single" w:color="000000" w:sz="4" w:space="0"/>
              <w:right w:val="single" w:color="000000" w:sz="4" w:space="0"/>
            </w:tcBorders>
          </w:tcPr>
          <w:p w14:paraId="0E2200C2">
            <w:pPr>
              <w:widowControl/>
              <w:spacing w:line="360" w:lineRule="auto"/>
              <w:jc w:val="center"/>
              <w:rPr>
                <w:rFonts w:eastAsiaTheme="minorEastAsia"/>
                <w:color w:val="auto"/>
                <w:kern w:val="0"/>
                <w:szCs w:val="21"/>
              </w:rPr>
            </w:pPr>
          </w:p>
        </w:tc>
        <w:tc>
          <w:tcPr>
            <w:tcW w:w="1418" w:type="dxa"/>
            <w:tcBorders>
              <w:top w:val="single" w:color="000000" w:sz="4" w:space="0"/>
              <w:left w:val="nil"/>
              <w:bottom w:val="single" w:color="000000" w:sz="4" w:space="0"/>
              <w:right w:val="single" w:color="000000" w:sz="4" w:space="0"/>
            </w:tcBorders>
          </w:tcPr>
          <w:p w14:paraId="4983C2F4">
            <w:pPr>
              <w:widowControl/>
              <w:spacing w:line="360" w:lineRule="auto"/>
              <w:jc w:val="center"/>
              <w:rPr>
                <w:rFonts w:eastAsiaTheme="minorEastAsia"/>
                <w:color w:val="auto"/>
                <w:kern w:val="0"/>
                <w:szCs w:val="21"/>
              </w:rPr>
            </w:pPr>
          </w:p>
        </w:tc>
        <w:tc>
          <w:tcPr>
            <w:tcW w:w="992" w:type="dxa"/>
            <w:tcBorders>
              <w:top w:val="single" w:color="000000" w:sz="4" w:space="0"/>
              <w:left w:val="nil"/>
              <w:bottom w:val="single" w:color="000000" w:sz="4" w:space="0"/>
              <w:right w:val="single" w:color="000000" w:sz="4" w:space="0"/>
            </w:tcBorders>
          </w:tcPr>
          <w:p w14:paraId="5EDAF87C">
            <w:pPr>
              <w:widowControl/>
              <w:spacing w:line="360" w:lineRule="auto"/>
              <w:jc w:val="center"/>
              <w:rPr>
                <w:rFonts w:eastAsiaTheme="minorEastAsia"/>
                <w:color w:val="auto"/>
                <w:kern w:val="0"/>
                <w:szCs w:val="21"/>
              </w:rPr>
            </w:pPr>
          </w:p>
        </w:tc>
        <w:tc>
          <w:tcPr>
            <w:tcW w:w="1034" w:type="dxa"/>
            <w:tcBorders>
              <w:top w:val="single" w:color="000000" w:sz="4" w:space="0"/>
              <w:left w:val="nil"/>
              <w:bottom w:val="single" w:color="000000" w:sz="4" w:space="0"/>
              <w:right w:val="single" w:color="000000" w:sz="4" w:space="0"/>
            </w:tcBorders>
          </w:tcPr>
          <w:p w14:paraId="117B91D4">
            <w:pPr>
              <w:widowControl/>
              <w:spacing w:line="360" w:lineRule="auto"/>
              <w:jc w:val="center"/>
              <w:rPr>
                <w:rFonts w:eastAsiaTheme="minorEastAsia"/>
                <w:color w:val="auto"/>
                <w:kern w:val="0"/>
                <w:szCs w:val="21"/>
              </w:rPr>
            </w:pPr>
          </w:p>
        </w:tc>
        <w:tc>
          <w:tcPr>
            <w:tcW w:w="1517" w:type="dxa"/>
            <w:tcBorders>
              <w:top w:val="single" w:color="000000" w:sz="4" w:space="0"/>
              <w:left w:val="nil"/>
              <w:bottom w:val="single" w:color="000000" w:sz="4" w:space="0"/>
              <w:right w:val="single" w:color="000000" w:sz="4" w:space="0"/>
            </w:tcBorders>
          </w:tcPr>
          <w:p w14:paraId="4C963141">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38EC7024">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6196F3A3">
            <w:pPr>
              <w:widowControl/>
              <w:spacing w:line="360" w:lineRule="auto"/>
              <w:jc w:val="center"/>
              <w:rPr>
                <w:rFonts w:eastAsiaTheme="minorEastAsia"/>
                <w:color w:val="auto"/>
                <w:kern w:val="0"/>
                <w:szCs w:val="21"/>
              </w:rPr>
            </w:pPr>
          </w:p>
        </w:tc>
      </w:tr>
      <w:tr w14:paraId="1E4FCE7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F62B17F">
            <w:pPr>
              <w:widowControl/>
              <w:spacing w:line="360" w:lineRule="auto"/>
              <w:jc w:val="center"/>
              <w:rPr>
                <w:rFonts w:eastAsiaTheme="minorEastAsia"/>
                <w:color w:val="auto"/>
                <w:kern w:val="0"/>
                <w:szCs w:val="21"/>
              </w:rPr>
            </w:pPr>
          </w:p>
        </w:tc>
        <w:tc>
          <w:tcPr>
            <w:tcW w:w="1559" w:type="dxa"/>
            <w:tcBorders>
              <w:top w:val="single" w:color="000000" w:sz="4" w:space="0"/>
              <w:left w:val="nil"/>
              <w:bottom w:val="single" w:color="000000" w:sz="4" w:space="0"/>
              <w:right w:val="single" w:color="000000" w:sz="4" w:space="0"/>
            </w:tcBorders>
          </w:tcPr>
          <w:p w14:paraId="68403AF6">
            <w:pPr>
              <w:widowControl/>
              <w:spacing w:line="360" w:lineRule="auto"/>
              <w:jc w:val="center"/>
              <w:rPr>
                <w:rFonts w:eastAsiaTheme="minorEastAsia"/>
                <w:color w:val="auto"/>
                <w:kern w:val="0"/>
                <w:szCs w:val="21"/>
              </w:rPr>
            </w:pPr>
          </w:p>
        </w:tc>
        <w:tc>
          <w:tcPr>
            <w:tcW w:w="1418" w:type="dxa"/>
            <w:tcBorders>
              <w:top w:val="single" w:color="000000" w:sz="4" w:space="0"/>
              <w:left w:val="nil"/>
              <w:bottom w:val="single" w:color="000000" w:sz="4" w:space="0"/>
              <w:right w:val="single" w:color="000000" w:sz="4" w:space="0"/>
            </w:tcBorders>
          </w:tcPr>
          <w:p w14:paraId="0322E9CE">
            <w:pPr>
              <w:widowControl/>
              <w:spacing w:line="360" w:lineRule="auto"/>
              <w:jc w:val="center"/>
              <w:rPr>
                <w:rFonts w:eastAsiaTheme="minorEastAsia"/>
                <w:color w:val="auto"/>
                <w:kern w:val="0"/>
                <w:szCs w:val="21"/>
              </w:rPr>
            </w:pPr>
          </w:p>
        </w:tc>
        <w:tc>
          <w:tcPr>
            <w:tcW w:w="992" w:type="dxa"/>
            <w:tcBorders>
              <w:top w:val="single" w:color="000000" w:sz="4" w:space="0"/>
              <w:left w:val="nil"/>
              <w:bottom w:val="single" w:color="000000" w:sz="4" w:space="0"/>
              <w:right w:val="single" w:color="000000" w:sz="4" w:space="0"/>
            </w:tcBorders>
          </w:tcPr>
          <w:p w14:paraId="6D702FAB">
            <w:pPr>
              <w:widowControl/>
              <w:spacing w:line="360" w:lineRule="auto"/>
              <w:jc w:val="center"/>
              <w:rPr>
                <w:rFonts w:eastAsiaTheme="minorEastAsia"/>
                <w:color w:val="auto"/>
                <w:kern w:val="0"/>
                <w:szCs w:val="21"/>
              </w:rPr>
            </w:pPr>
          </w:p>
        </w:tc>
        <w:tc>
          <w:tcPr>
            <w:tcW w:w="1034" w:type="dxa"/>
            <w:tcBorders>
              <w:top w:val="single" w:color="000000" w:sz="4" w:space="0"/>
              <w:left w:val="nil"/>
              <w:bottom w:val="single" w:color="000000" w:sz="4" w:space="0"/>
              <w:right w:val="single" w:color="000000" w:sz="4" w:space="0"/>
            </w:tcBorders>
          </w:tcPr>
          <w:p w14:paraId="03E196EF">
            <w:pPr>
              <w:widowControl/>
              <w:spacing w:line="360" w:lineRule="auto"/>
              <w:jc w:val="center"/>
              <w:rPr>
                <w:rFonts w:eastAsiaTheme="minorEastAsia"/>
                <w:color w:val="auto"/>
                <w:kern w:val="0"/>
                <w:szCs w:val="21"/>
              </w:rPr>
            </w:pPr>
          </w:p>
        </w:tc>
        <w:tc>
          <w:tcPr>
            <w:tcW w:w="1517" w:type="dxa"/>
            <w:tcBorders>
              <w:top w:val="single" w:color="000000" w:sz="4" w:space="0"/>
              <w:left w:val="nil"/>
              <w:bottom w:val="single" w:color="000000" w:sz="4" w:space="0"/>
              <w:right w:val="single" w:color="000000" w:sz="4" w:space="0"/>
            </w:tcBorders>
          </w:tcPr>
          <w:p w14:paraId="0067F0EC">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2E9233A6">
            <w:pPr>
              <w:widowControl/>
              <w:spacing w:line="360" w:lineRule="auto"/>
              <w:jc w:val="center"/>
              <w:rPr>
                <w:rFonts w:eastAsiaTheme="minorEastAsia"/>
                <w:color w:val="auto"/>
                <w:kern w:val="0"/>
                <w:szCs w:val="21"/>
              </w:rPr>
            </w:pPr>
          </w:p>
        </w:tc>
        <w:tc>
          <w:tcPr>
            <w:tcW w:w="1134" w:type="dxa"/>
            <w:tcBorders>
              <w:top w:val="single" w:color="000000" w:sz="4" w:space="0"/>
              <w:left w:val="nil"/>
              <w:bottom w:val="single" w:color="000000" w:sz="4" w:space="0"/>
              <w:right w:val="single" w:color="000000" w:sz="4" w:space="0"/>
            </w:tcBorders>
          </w:tcPr>
          <w:p w14:paraId="39D43DB3">
            <w:pPr>
              <w:widowControl/>
              <w:spacing w:line="360" w:lineRule="auto"/>
              <w:jc w:val="center"/>
              <w:rPr>
                <w:rFonts w:eastAsiaTheme="minorEastAsia"/>
                <w:color w:val="auto"/>
                <w:kern w:val="0"/>
                <w:szCs w:val="21"/>
              </w:rPr>
            </w:pPr>
          </w:p>
        </w:tc>
      </w:tr>
    </w:tbl>
    <w:p w14:paraId="76AFE41F">
      <w:pPr>
        <w:widowControl/>
        <w:shd w:val="clear" w:color="auto" w:fill="FFFFFF"/>
        <w:spacing w:line="360" w:lineRule="auto"/>
        <w:jc w:val="left"/>
        <w:rPr>
          <w:rFonts w:eastAsiaTheme="minorEastAsia"/>
          <w:color w:val="auto"/>
          <w:kern w:val="0"/>
          <w:szCs w:val="21"/>
        </w:rPr>
      </w:pPr>
      <w:r>
        <w:rPr>
          <w:rFonts w:eastAsiaTheme="minorEastAsia"/>
          <w:color w:val="auto"/>
          <w:kern w:val="0"/>
          <w:szCs w:val="21"/>
        </w:rPr>
        <w:t>投标单位（加盖电子公章）：</w:t>
      </w:r>
      <w:r>
        <w:rPr>
          <w:rFonts w:eastAsiaTheme="minorEastAsia"/>
          <w:color w:val="auto"/>
          <w:kern w:val="0"/>
          <w:szCs w:val="21"/>
          <w:u w:val="single"/>
        </w:rPr>
        <w:t>                             </w:t>
      </w:r>
    </w:p>
    <w:p w14:paraId="54CF6B00">
      <w:pPr>
        <w:spacing w:line="360" w:lineRule="auto"/>
        <w:rPr>
          <w:rFonts w:eastAsiaTheme="minorEastAsia"/>
          <w:b/>
          <w:bCs/>
          <w:color w:val="auto"/>
        </w:rPr>
      </w:pPr>
      <w:r>
        <w:rPr>
          <w:rFonts w:eastAsiaTheme="minorEastAsia"/>
          <w:color w:val="auto"/>
          <w:kern w:val="0"/>
          <w:szCs w:val="21"/>
          <w:u w:val="single"/>
        </w:rPr>
        <w:br w:type="page"/>
      </w:r>
      <w:r>
        <w:rPr>
          <w:rFonts w:eastAsiaTheme="minorEastAsia"/>
          <w:b/>
          <w:color w:val="auto"/>
        </w:rPr>
        <w:t>附件十</w:t>
      </w:r>
      <w:r>
        <w:rPr>
          <w:rFonts w:eastAsiaTheme="minorEastAsia"/>
          <w:b/>
          <w:bCs/>
          <w:color w:val="auto"/>
        </w:rPr>
        <w:t>：企业声明函格式</w:t>
      </w:r>
    </w:p>
    <w:p w14:paraId="3448D503">
      <w:pPr>
        <w:wordWrap w:val="0"/>
        <w:overflowPunct w:val="0"/>
        <w:topLinePunct/>
        <w:spacing w:line="360" w:lineRule="auto"/>
        <w:jc w:val="center"/>
        <w:rPr>
          <w:rFonts w:eastAsiaTheme="minorEastAsia"/>
          <w:b/>
          <w:color w:val="auto"/>
          <w:sz w:val="32"/>
          <w:szCs w:val="32"/>
        </w:rPr>
      </w:pPr>
      <w:bookmarkStart w:id="37" w:name="_Toc31332_WPSOffice_Level2"/>
      <w:bookmarkStart w:id="38" w:name="_Toc6934"/>
      <w:r>
        <w:rPr>
          <w:rFonts w:eastAsiaTheme="minorEastAsia"/>
          <w:b/>
          <w:color w:val="auto"/>
          <w:sz w:val="32"/>
          <w:szCs w:val="32"/>
        </w:rPr>
        <w:t>（一</w:t>
      </w:r>
      <w:bookmarkEnd w:id="37"/>
      <w:bookmarkEnd w:id="38"/>
      <w:r>
        <w:rPr>
          <w:rFonts w:eastAsiaTheme="minorEastAsia"/>
          <w:b/>
          <w:color w:val="auto"/>
          <w:sz w:val="32"/>
          <w:szCs w:val="32"/>
        </w:rPr>
        <w:t xml:space="preserve">）中小企业声明函（工程、服务） </w:t>
      </w:r>
    </w:p>
    <w:p w14:paraId="6920B126">
      <w:pPr>
        <w:wordWrap w:val="0"/>
        <w:overflowPunct w:val="0"/>
        <w:topLinePunct/>
        <w:spacing w:line="360" w:lineRule="auto"/>
        <w:ind w:firstLine="420" w:firstLineChars="200"/>
        <w:rPr>
          <w:rFonts w:eastAsiaTheme="minorEastAsia"/>
          <w:color w:val="auto"/>
        </w:rPr>
      </w:pPr>
      <w:r>
        <w:rPr>
          <w:rFonts w:eastAsiaTheme="minorEastAsia"/>
          <w:color w:val="auto"/>
        </w:rPr>
        <w:t>本公司（联合体）郑重声明，根据《政府采购促进中小企业发展管理办法》（财库﹝2020﹞46号）的规定，本公司（联合体）参加</w:t>
      </w:r>
      <w:r>
        <w:rPr>
          <w:rFonts w:eastAsiaTheme="minorEastAsia"/>
          <w:color w:val="auto"/>
          <w:u w:val="single"/>
        </w:rPr>
        <w:t>（单位名称）</w:t>
      </w:r>
      <w:r>
        <w:rPr>
          <w:rFonts w:eastAsiaTheme="minorEastAsia"/>
          <w:color w:val="auto"/>
        </w:rPr>
        <w:t>的</w:t>
      </w:r>
      <w:r>
        <w:rPr>
          <w:rFonts w:eastAsiaTheme="minorEastAsia"/>
          <w:color w:val="auto"/>
          <w:u w:val="single"/>
        </w:rPr>
        <w:t>（项目名称）</w:t>
      </w:r>
      <w:r>
        <w:rPr>
          <w:rFonts w:eastAsiaTheme="minorEastAsia"/>
          <w:color w:val="auto"/>
        </w:rPr>
        <w:t xml:space="preserve">采购活动，工程的施工单位全部为符合政策要求的中小企业（或者：服务 全部由符合政策要求的中小企业承接）。相关企业（含联合体中的中小企业、签订分包意向协议的中小企业）的具体情 况如下： </w:t>
      </w:r>
    </w:p>
    <w:p w14:paraId="2638EF93">
      <w:pPr>
        <w:numPr>
          <w:ilvl w:val="0"/>
          <w:numId w:val="27"/>
        </w:numPr>
        <w:wordWrap w:val="0"/>
        <w:overflowPunct w:val="0"/>
        <w:topLinePunct/>
        <w:spacing w:line="360" w:lineRule="auto"/>
        <w:ind w:firstLine="420" w:firstLineChars="200"/>
        <w:rPr>
          <w:rFonts w:eastAsiaTheme="minorEastAsia"/>
          <w:color w:val="auto"/>
        </w:rPr>
      </w:pPr>
      <w:r>
        <w:rPr>
          <w:rFonts w:eastAsiaTheme="minorEastAsia"/>
          <w:color w:val="auto"/>
          <w:u w:val="single"/>
        </w:rPr>
        <w:t xml:space="preserve">        （标的名称）</w:t>
      </w:r>
      <w:r>
        <w:rPr>
          <w:rFonts w:eastAsiaTheme="minorEastAsia"/>
          <w:color w:val="auto"/>
        </w:rPr>
        <w:t>，属于</w:t>
      </w:r>
      <w:r>
        <w:rPr>
          <w:rFonts w:eastAsiaTheme="minorEastAsia"/>
          <w:bCs/>
          <w:color w:val="auto"/>
          <w:u w:val="single"/>
        </w:rPr>
        <w:t>其他未列明行业</w:t>
      </w:r>
      <w:r>
        <w:rPr>
          <w:rFonts w:eastAsiaTheme="minorEastAsia"/>
          <w:color w:val="auto"/>
          <w:u w:val="single"/>
        </w:rPr>
        <w:t>（采购文件中明确的所属行业）</w:t>
      </w:r>
      <w:r>
        <w:rPr>
          <w:rFonts w:eastAsiaTheme="minorEastAsia"/>
          <w:color w:val="auto"/>
        </w:rPr>
        <w:t>；承建（承接）企业为</w:t>
      </w:r>
      <w:r>
        <w:rPr>
          <w:rFonts w:eastAsiaTheme="minorEastAsia"/>
          <w:color w:val="auto"/>
          <w:u w:val="single"/>
        </w:rPr>
        <w:t xml:space="preserve">        （企业名称）</w:t>
      </w:r>
      <w:r>
        <w:rPr>
          <w:rFonts w:eastAsiaTheme="minorEastAsia"/>
          <w:color w:val="auto"/>
        </w:rPr>
        <w:t>，从业人员</w:t>
      </w:r>
      <w:r>
        <w:rPr>
          <w:rFonts w:eastAsiaTheme="minorEastAsia"/>
          <w:color w:val="auto"/>
          <w:u w:val="single"/>
        </w:rPr>
        <w:t xml:space="preserve">    </w:t>
      </w:r>
      <w:r>
        <w:rPr>
          <w:rFonts w:eastAsiaTheme="minorEastAsia"/>
          <w:color w:val="auto"/>
        </w:rPr>
        <w:t>人，营业收入为</w:t>
      </w:r>
      <w:r>
        <w:rPr>
          <w:rFonts w:eastAsiaTheme="minorEastAsia"/>
          <w:color w:val="auto"/>
          <w:u w:val="single"/>
        </w:rPr>
        <w:t xml:space="preserve">    </w:t>
      </w:r>
      <w:r>
        <w:rPr>
          <w:rFonts w:eastAsiaTheme="minorEastAsia"/>
          <w:color w:val="auto"/>
        </w:rPr>
        <w:t>万元，资产总额为</w:t>
      </w:r>
      <w:r>
        <w:rPr>
          <w:rFonts w:eastAsiaTheme="minorEastAsia"/>
          <w:color w:val="auto"/>
          <w:u w:val="single"/>
        </w:rPr>
        <w:t xml:space="preserve">    </w:t>
      </w:r>
      <w:r>
        <w:rPr>
          <w:rFonts w:eastAsiaTheme="minorEastAsia"/>
          <w:color w:val="auto"/>
        </w:rPr>
        <w:t>万元</w:t>
      </w:r>
      <w:r>
        <w:rPr>
          <w:rFonts w:eastAsiaTheme="minorEastAsia"/>
          <w:color w:val="auto"/>
          <w:vertAlign w:val="superscript"/>
        </w:rPr>
        <w:t>1</w:t>
      </w:r>
      <w:r>
        <w:rPr>
          <w:rFonts w:eastAsiaTheme="minorEastAsia"/>
          <w:color w:val="auto"/>
        </w:rPr>
        <w:t>，属于</w:t>
      </w:r>
      <w:r>
        <w:rPr>
          <w:rFonts w:eastAsiaTheme="minorEastAsia"/>
          <w:color w:val="auto"/>
          <w:u w:val="single"/>
        </w:rPr>
        <w:t>（中型企业、小型企业、微型企业）</w:t>
      </w:r>
      <w:r>
        <w:rPr>
          <w:rFonts w:eastAsiaTheme="minorEastAsia"/>
          <w:color w:val="auto"/>
        </w:rPr>
        <w:t xml:space="preserve">； </w:t>
      </w:r>
    </w:p>
    <w:p w14:paraId="714B9C09">
      <w:pPr>
        <w:wordWrap w:val="0"/>
        <w:overflowPunct w:val="0"/>
        <w:topLinePunct/>
        <w:spacing w:line="360" w:lineRule="auto"/>
        <w:ind w:firstLine="420" w:firstLineChars="200"/>
        <w:rPr>
          <w:rFonts w:eastAsiaTheme="minorEastAsia"/>
          <w:color w:val="auto"/>
        </w:rPr>
      </w:pPr>
      <w:r>
        <w:rPr>
          <w:rFonts w:eastAsiaTheme="minorEastAsia"/>
          <w:color w:val="auto"/>
        </w:rPr>
        <w:t xml:space="preserve">…… </w:t>
      </w:r>
    </w:p>
    <w:p w14:paraId="7CAE09F7">
      <w:pPr>
        <w:wordWrap w:val="0"/>
        <w:overflowPunct w:val="0"/>
        <w:topLinePunct/>
        <w:spacing w:line="360" w:lineRule="auto"/>
        <w:ind w:firstLine="420" w:firstLineChars="200"/>
        <w:rPr>
          <w:rFonts w:eastAsiaTheme="minorEastAsia"/>
          <w:color w:val="auto"/>
        </w:rPr>
      </w:pPr>
      <w:r>
        <w:rPr>
          <w:rFonts w:eastAsiaTheme="minorEastAsia"/>
          <w:color w:val="auto"/>
        </w:rPr>
        <w:t xml:space="preserve">以上企业，不属于大企业的分支机构，不存在控股股东为大企业的情形，也不存在与大企业的负责人为同一人的情形。 </w:t>
      </w:r>
    </w:p>
    <w:p w14:paraId="3BC13CF2">
      <w:pPr>
        <w:wordWrap w:val="0"/>
        <w:overflowPunct w:val="0"/>
        <w:topLinePunct/>
        <w:spacing w:line="360" w:lineRule="auto"/>
        <w:ind w:firstLine="420" w:firstLineChars="200"/>
        <w:rPr>
          <w:rFonts w:eastAsiaTheme="minorEastAsia"/>
          <w:color w:val="auto"/>
        </w:rPr>
      </w:pPr>
      <w:r>
        <w:rPr>
          <w:rFonts w:eastAsiaTheme="minorEastAsia"/>
          <w:color w:val="auto"/>
        </w:rPr>
        <w:t xml:space="preserve">本企业对上述声明内容的真实性负责。如有虚假，将依法承担相应责任。 </w:t>
      </w:r>
    </w:p>
    <w:p w14:paraId="7F4BDF42">
      <w:pPr>
        <w:wordWrap w:val="0"/>
        <w:overflowPunct w:val="0"/>
        <w:topLinePunct/>
        <w:spacing w:line="360" w:lineRule="auto"/>
        <w:ind w:firstLine="420" w:firstLineChars="200"/>
        <w:rPr>
          <w:rFonts w:eastAsiaTheme="minorEastAsia"/>
          <w:color w:val="auto"/>
        </w:rPr>
      </w:pPr>
    </w:p>
    <w:p w14:paraId="1CC0F4E5">
      <w:pPr>
        <w:wordWrap w:val="0"/>
        <w:overflowPunct w:val="0"/>
        <w:topLinePunct/>
        <w:spacing w:line="360" w:lineRule="auto"/>
        <w:ind w:firstLine="4620" w:firstLineChars="2200"/>
        <w:rPr>
          <w:rFonts w:eastAsiaTheme="minorEastAsia"/>
          <w:color w:val="auto"/>
        </w:rPr>
      </w:pPr>
      <w:r>
        <w:rPr>
          <w:rFonts w:eastAsiaTheme="minorEastAsia"/>
          <w:color w:val="auto"/>
        </w:rPr>
        <w:t xml:space="preserve">企业名称（盖章）： </w:t>
      </w:r>
    </w:p>
    <w:p w14:paraId="317FA9DE">
      <w:pPr>
        <w:wordWrap w:val="0"/>
        <w:overflowPunct w:val="0"/>
        <w:topLinePunct/>
        <w:spacing w:line="360" w:lineRule="auto"/>
        <w:ind w:firstLine="4620" w:firstLineChars="2200"/>
        <w:rPr>
          <w:rFonts w:eastAsiaTheme="minorEastAsia"/>
          <w:color w:val="auto"/>
        </w:rPr>
      </w:pPr>
      <w:r>
        <w:rPr>
          <w:rFonts w:eastAsiaTheme="minorEastAsia"/>
          <w:color w:val="auto"/>
        </w:rPr>
        <w:t>日 期：</w:t>
      </w:r>
    </w:p>
    <w:p w14:paraId="09A477BA">
      <w:pPr>
        <w:wordWrap w:val="0"/>
        <w:overflowPunct w:val="0"/>
        <w:topLinePunct/>
        <w:spacing w:line="360" w:lineRule="auto"/>
        <w:ind w:firstLine="480"/>
        <w:rPr>
          <w:rFonts w:eastAsiaTheme="minorEastAsia"/>
          <w:color w:val="auto"/>
        </w:rPr>
      </w:pPr>
      <w:r>
        <w:rPr>
          <w:rFonts w:eastAsiaTheme="minorEastAsia"/>
          <w:color w:val="auto"/>
        </w:rPr>
        <mc:AlternateContent>
          <mc:Choice Requires="wps">
            <w:drawing>
              <wp:anchor distT="0" distB="0" distL="114300" distR="114300" simplePos="0" relativeHeight="251662336" behindDoc="0" locked="0" layoutInCell="1" allowOverlap="1">
                <wp:simplePos x="0" y="0"/>
                <wp:positionH relativeFrom="column">
                  <wp:posOffset>-34290</wp:posOffset>
                </wp:positionH>
                <wp:positionV relativeFrom="paragraph">
                  <wp:posOffset>254635</wp:posOffset>
                </wp:positionV>
                <wp:extent cx="1962150" cy="635"/>
                <wp:effectExtent l="0" t="0" r="0" b="0"/>
                <wp:wrapNone/>
                <wp:docPr id="15" name="直接连接符 15"/>
                <wp:cNvGraphicFramePr/>
                <a:graphic xmlns:a="http://schemas.openxmlformats.org/drawingml/2006/main">
                  <a:graphicData uri="http://schemas.microsoft.com/office/word/2010/wordprocessingShape">
                    <wps:wsp>
                      <wps:cNvCnPr/>
                      <wps:spPr>
                        <a:xfrm>
                          <a:off x="0" y="0"/>
                          <a:ext cx="1962150" cy="635"/>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2.7pt;margin-top:20.05pt;height:0.05pt;width:154.5pt;z-index:251662336;mso-width-relative:page;mso-height-relative:page;" filled="f" stroked="t" coordsize="21600,21600" o:gfxdata="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3dEF01wAAAAgBAAAPAAAAAAAAAAEAIAAAACIAAABkcnMvZG93bnJldi54bWxQSwEC&#10;FAAUAAAACACHTuJAdigMT/UBAADqAwAADgAAAAAAAAABACAAAAAmAQAAZHJzL2Uyb0RvYy54bWxQ&#10;SwUGAAAAAAYABgBZAQAAjQUAAAAA&#10;">
                <v:fill on="f" focussize="0,0"/>
                <v:stroke color="#000000" joinstyle="round"/>
                <v:imagedata o:title=""/>
                <o:lock v:ext="edit" aspectratio="f"/>
              </v:line>
            </w:pict>
          </mc:Fallback>
        </mc:AlternateContent>
      </w:r>
      <w:r>
        <w:rPr>
          <w:rFonts w:eastAsiaTheme="minorEastAsia"/>
          <w:color w:val="auto"/>
        </w:rPr>
        <w:t xml:space="preserve"> </w:t>
      </w:r>
    </w:p>
    <w:p w14:paraId="0591D864">
      <w:pPr>
        <w:wordWrap w:val="0"/>
        <w:overflowPunct w:val="0"/>
        <w:topLinePunct/>
        <w:spacing w:line="360" w:lineRule="auto"/>
        <w:ind w:firstLine="480"/>
        <w:rPr>
          <w:rFonts w:eastAsiaTheme="minorEastAsia"/>
          <w:b/>
          <w:bCs/>
          <w:color w:val="auto"/>
          <w:sz w:val="18"/>
          <w:szCs w:val="18"/>
        </w:rPr>
      </w:pPr>
      <w:r>
        <w:rPr>
          <w:rFonts w:eastAsiaTheme="minorEastAsia"/>
          <w:color w:val="auto"/>
          <w:sz w:val="18"/>
          <w:szCs w:val="18"/>
          <w:vertAlign w:val="superscript"/>
        </w:rPr>
        <w:t>1</w:t>
      </w:r>
      <w:r>
        <w:rPr>
          <w:rFonts w:eastAsiaTheme="minorEastAsia"/>
          <w:color w:val="auto"/>
          <w:sz w:val="18"/>
          <w:szCs w:val="18"/>
        </w:rPr>
        <w:t>从业人员、营业收入、资产总额填报上一年度数据，无上一年度数据的新成立企业可不填报。</w:t>
      </w:r>
    </w:p>
    <w:p w14:paraId="4727222F">
      <w:pPr>
        <w:wordWrap w:val="0"/>
        <w:overflowPunct w:val="0"/>
        <w:topLinePunct/>
        <w:spacing w:line="360" w:lineRule="auto"/>
        <w:ind w:firstLine="480"/>
        <w:rPr>
          <w:rFonts w:eastAsiaTheme="minorEastAsia"/>
          <w:b/>
          <w:bCs/>
          <w:color w:val="auto"/>
          <w:sz w:val="18"/>
          <w:szCs w:val="18"/>
        </w:rPr>
      </w:pPr>
    </w:p>
    <w:p w14:paraId="43574535">
      <w:pPr>
        <w:wordWrap w:val="0"/>
        <w:overflowPunct w:val="0"/>
        <w:topLinePunct/>
        <w:spacing w:line="360" w:lineRule="auto"/>
        <w:ind w:right="6" w:firstLine="420" w:firstLineChars="200"/>
        <w:rPr>
          <w:rFonts w:eastAsiaTheme="minorEastAsia"/>
          <w:color w:val="auto"/>
        </w:rPr>
      </w:pPr>
      <w:r>
        <w:rPr>
          <w:rFonts w:eastAsiaTheme="minorEastAsia"/>
          <w:color w:val="auto"/>
        </w:rPr>
        <w:t>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bookmarkStart w:id="39" w:name="_Toc20898"/>
    </w:p>
    <w:p w14:paraId="0606DDD2">
      <w:pPr>
        <w:wordWrap w:val="0"/>
        <w:overflowPunct w:val="0"/>
        <w:topLinePunct/>
        <w:spacing w:line="360" w:lineRule="auto"/>
        <w:ind w:right="6" w:firstLine="420" w:firstLineChars="200"/>
        <w:rPr>
          <w:rFonts w:eastAsiaTheme="minorEastAsia"/>
          <w:color w:val="auto"/>
        </w:rPr>
      </w:pPr>
      <w:r>
        <w:rPr>
          <w:rFonts w:eastAsiaTheme="minorEastAsia"/>
          <w:color w:val="auto"/>
        </w:rPr>
        <w:t>2.供应商未按上述要求提供声明函的，价格将不做相应扣除。</w:t>
      </w:r>
      <w:bookmarkEnd w:id="39"/>
    </w:p>
    <w:p w14:paraId="5078736A">
      <w:pPr>
        <w:wordWrap w:val="0"/>
        <w:overflowPunct w:val="0"/>
        <w:topLinePunct/>
        <w:spacing w:line="360" w:lineRule="auto"/>
        <w:ind w:right="6" w:firstLine="420" w:firstLineChars="200"/>
        <w:rPr>
          <w:rFonts w:eastAsiaTheme="minorEastAsia"/>
          <w:color w:val="auto"/>
        </w:rPr>
      </w:pPr>
      <w:r>
        <w:rPr>
          <w:rFonts w:eastAsiaTheme="minorEastAsia"/>
          <w:color w:val="auto"/>
        </w:rPr>
        <w:t>3.服务采购项目：服务由中小企业承接 ，即提供服务的人员为中小企业按照《中华人民共和国民法典》订立劳动合同的从业人员，享受中小企业扶持政策。</w:t>
      </w:r>
    </w:p>
    <w:p w14:paraId="37F09734">
      <w:pPr>
        <w:wordWrap w:val="0"/>
        <w:overflowPunct w:val="0"/>
        <w:topLinePunct/>
        <w:spacing w:line="360" w:lineRule="auto"/>
        <w:ind w:right="6" w:firstLine="420" w:firstLineChars="200"/>
        <w:rPr>
          <w:rFonts w:eastAsiaTheme="minorEastAsia"/>
          <w:color w:val="auto"/>
        </w:rPr>
      </w:pPr>
      <w:r>
        <w:rPr>
          <w:rFonts w:eastAsiaTheme="minorEastAsia"/>
          <w:color w:val="auto"/>
        </w:rPr>
        <w:t>4.中标、中标供应商享受本办法规定的中小企业扶持政策的，《中小企业声明函》将随中标、成交结果公开，中小企业应对其声明内容的真实性负责，声明函内容不实的，属于提供虚假材料谋取中标、成</w:t>
      </w:r>
      <w:bookmarkStart w:id="40" w:name="_Toc1379"/>
      <w:r>
        <w:rPr>
          <w:rFonts w:eastAsiaTheme="minorEastAsia"/>
          <w:color w:val="auto"/>
        </w:rPr>
        <w:t>交，将依照《中华人民共和国政府采购法》等国家有关规定追究相应责任。</w:t>
      </w:r>
      <w:bookmarkEnd w:id="40"/>
    </w:p>
    <w:p w14:paraId="23E57CBC">
      <w:pPr>
        <w:wordWrap w:val="0"/>
        <w:overflowPunct w:val="0"/>
        <w:topLinePunct/>
        <w:spacing w:line="360" w:lineRule="auto"/>
        <w:ind w:right="6" w:firstLine="420" w:firstLineChars="200"/>
        <w:rPr>
          <w:rFonts w:eastAsiaTheme="minorEastAsia"/>
          <w:color w:val="auto"/>
        </w:rPr>
        <w:sectPr>
          <w:headerReference r:id="rId3" w:type="default"/>
          <w:footerReference r:id="rId4" w:type="default"/>
          <w:pgSz w:w="11906" w:h="16838"/>
          <w:pgMar w:top="1701" w:right="1134" w:bottom="1701" w:left="1134" w:header="850" w:footer="998" w:gutter="0"/>
          <w:pgNumType w:fmt="decimal" w:start="1"/>
          <w:cols w:space="0" w:num="1"/>
        </w:sectPr>
      </w:pPr>
    </w:p>
    <w:p w14:paraId="35EEFFC8">
      <w:pPr>
        <w:wordWrap w:val="0"/>
        <w:overflowPunct w:val="0"/>
        <w:topLinePunct/>
        <w:spacing w:line="360" w:lineRule="auto"/>
        <w:jc w:val="center"/>
        <w:rPr>
          <w:rFonts w:eastAsiaTheme="minorEastAsia"/>
          <w:b/>
          <w:bCs/>
          <w:color w:val="auto"/>
          <w:sz w:val="28"/>
        </w:rPr>
      </w:pPr>
      <w:bookmarkStart w:id="41" w:name="_bookmark56"/>
      <w:bookmarkEnd w:id="41"/>
      <w:r>
        <w:rPr>
          <w:rFonts w:eastAsiaTheme="minorEastAsia"/>
          <w:b/>
          <w:color w:val="auto"/>
          <w:sz w:val="32"/>
          <w:szCs w:val="32"/>
        </w:rPr>
        <w:t>（二）残疾人福利性单位声明函</w:t>
      </w:r>
    </w:p>
    <w:p w14:paraId="2CD75A13">
      <w:pPr>
        <w:wordWrap w:val="0"/>
        <w:overflowPunct w:val="0"/>
        <w:topLinePunct/>
        <w:spacing w:line="360" w:lineRule="auto"/>
        <w:ind w:firstLine="420" w:firstLineChars="200"/>
        <w:rPr>
          <w:rFonts w:eastAsiaTheme="minorEastAsia"/>
          <w:color w:val="auto"/>
        </w:rPr>
      </w:pPr>
      <w:r>
        <w:rPr>
          <w:rFonts w:eastAsiaTheme="minorEastAsia"/>
          <w:color w:val="auto"/>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CA74A24">
      <w:pPr>
        <w:wordWrap w:val="0"/>
        <w:overflowPunct w:val="0"/>
        <w:topLinePunct/>
        <w:spacing w:line="360" w:lineRule="auto"/>
        <w:ind w:firstLine="420" w:firstLineChars="200"/>
        <w:rPr>
          <w:rFonts w:eastAsiaTheme="minorEastAsia"/>
          <w:color w:val="auto"/>
        </w:rPr>
      </w:pPr>
      <w:r>
        <w:rPr>
          <w:rFonts w:eastAsiaTheme="minorEastAsia"/>
          <w:color w:val="auto"/>
        </w:rPr>
        <w:t>本单位对上述声明的真实性负责。如有虚假，将依法承担相应责任。</w:t>
      </w:r>
    </w:p>
    <w:p w14:paraId="18D42C9C">
      <w:pPr>
        <w:wordWrap w:val="0"/>
        <w:overflowPunct w:val="0"/>
        <w:topLinePunct/>
        <w:spacing w:line="360" w:lineRule="auto"/>
        <w:ind w:firstLine="5040" w:firstLineChars="2400"/>
        <w:rPr>
          <w:rFonts w:eastAsiaTheme="minorEastAsia"/>
          <w:color w:val="auto"/>
        </w:rPr>
      </w:pPr>
      <w:r>
        <w:rPr>
          <w:rFonts w:eastAsiaTheme="minorEastAsia"/>
          <w:color w:val="auto"/>
        </w:rPr>
        <w:t>单位名称（盖章）：</w:t>
      </w:r>
    </w:p>
    <w:p w14:paraId="1EC014DF">
      <w:pPr>
        <w:wordWrap w:val="0"/>
        <w:overflowPunct w:val="0"/>
        <w:topLinePunct/>
        <w:spacing w:line="360" w:lineRule="auto"/>
        <w:ind w:firstLine="5040" w:firstLineChars="2400"/>
        <w:rPr>
          <w:rFonts w:eastAsiaTheme="minorEastAsia"/>
          <w:color w:val="auto"/>
        </w:rPr>
      </w:pPr>
      <w:r>
        <w:rPr>
          <w:rFonts w:eastAsiaTheme="minorEastAsia"/>
          <w:color w:val="auto"/>
        </w:rPr>
        <w:t>日  期：</w:t>
      </w:r>
    </w:p>
    <w:p w14:paraId="49ED6B54">
      <w:pPr>
        <w:wordWrap w:val="0"/>
        <w:overflowPunct w:val="0"/>
        <w:topLinePunct/>
        <w:spacing w:line="360" w:lineRule="auto"/>
        <w:rPr>
          <w:rFonts w:eastAsiaTheme="minorEastAsia"/>
          <w:b/>
          <w:bCs/>
          <w:color w:val="auto"/>
        </w:rPr>
      </w:pPr>
    </w:p>
    <w:p w14:paraId="343B57D3">
      <w:pPr>
        <w:pStyle w:val="68"/>
        <w:ind w:firstLine="482"/>
        <w:rPr>
          <w:rFonts w:ascii="Times New Roman" w:hAnsi="Times New Roman" w:eastAsiaTheme="minorEastAsia"/>
          <w:b/>
          <w:bCs/>
          <w:color w:val="auto"/>
        </w:rPr>
      </w:pPr>
    </w:p>
    <w:p w14:paraId="63A4F91D">
      <w:pPr>
        <w:pStyle w:val="68"/>
        <w:ind w:firstLine="482"/>
        <w:rPr>
          <w:rFonts w:ascii="Times New Roman" w:hAnsi="Times New Roman" w:eastAsiaTheme="minorEastAsia"/>
          <w:b/>
          <w:bCs/>
          <w:color w:val="auto"/>
        </w:rPr>
      </w:pPr>
    </w:p>
    <w:p w14:paraId="4AF5C7F8">
      <w:pPr>
        <w:pStyle w:val="68"/>
        <w:ind w:firstLine="482"/>
        <w:rPr>
          <w:rFonts w:ascii="Times New Roman" w:hAnsi="Times New Roman" w:eastAsiaTheme="minorEastAsia"/>
          <w:b/>
          <w:bCs/>
          <w:color w:val="auto"/>
        </w:rPr>
      </w:pPr>
    </w:p>
    <w:p w14:paraId="5205474A">
      <w:pPr>
        <w:pStyle w:val="68"/>
        <w:ind w:firstLine="482"/>
        <w:rPr>
          <w:rFonts w:ascii="Times New Roman" w:hAnsi="Times New Roman" w:eastAsiaTheme="minorEastAsia"/>
          <w:b/>
          <w:bCs/>
          <w:color w:val="auto"/>
        </w:rPr>
      </w:pPr>
    </w:p>
    <w:p w14:paraId="2F8CC5B0">
      <w:pPr>
        <w:wordWrap w:val="0"/>
        <w:overflowPunct w:val="0"/>
        <w:topLinePunct/>
        <w:spacing w:line="360" w:lineRule="auto"/>
        <w:rPr>
          <w:rFonts w:eastAsiaTheme="minorEastAsia"/>
          <w:b/>
          <w:bCs/>
          <w:color w:val="auto"/>
        </w:rPr>
      </w:pPr>
    </w:p>
    <w:p w14:paraId="4688C8AE">
      <w:pPr>
        <w:wordWrap w:val="0"/>
        <w:overflowPunct w:val="0"/>
        <w:topLinePunct/>
        <w:spacing w:line="360" w:lineRule="auto"/>
        <w:jc w:val="center"/>
        <w:rPr>
          <w:rFonts w:eastAsiaTheme="minorEastAsia"/>
          <w:b/>
          <w:color w:val="auto"/>
          <w:sz w:val="32"/>
          <w:szCs w:val="32"/>
        </w:rPr>
      </w:pPr>
      <w:r>
        <w:rPr>
          <w:rFonts w:eastAsiaTheme="minorEastAsia"/>
          <w:b/>
          <w:color w:val="auto"/>
          <w:sz w:val="32"/>
          <w:szCs w:val="32"/>
        </w:rPr>
        <w:t>（三）属于监狱企业的证明文件</w:t>
      </w:r>
    </w:p>
    <w:p w14:paraId="08878997">
      <w:pPr>
        <w:wordWrap w:val="0"/>
        <w:overflowPunct w:val="0"/>
        <w:topLinePunct/>
        <w:spacing w:line="360" w:lineRule="auto"/>
        <w:rPr>
          <w:rFonts w:eastAsiaTheme="minorEastAsia"/>
          <w:bCs/>
          <w:color w:val="auto"/>
        </w:rPr>
      </w:pPr>
      <w:r>
        <w:rPr>
          <w:rFonts w:eastAsiaTheme="minorEastAsia"/>
          <w:bCs/>
          <w:color w:val="auto"/>
        </w:rPr>
        <w:t>（提供由省级以上监狱管理局、戒毒管理局（含新疆生产建设兵团）出具的属于监狱企业的证明文件）</w:t>
      </w:r>
    </w:p>
    <w:p w14:paraId="52B6192E">
      <w:pPr>
        <w:wordWrap w:val="0"/>
        <w:overflowPunct w:val="0"/>
        <w:topLinePunct/>
        <w:spacing w:line="360" w:lineRule="auto"/>
        <w:rPr>
          <w:rFonts w:eastAsiaTheme="minorEastAsia"/>
          <w:b/>
          <w:bCs/>
          <w:color w:val="auto"/>
        </w:rPr>
      </w:pPr>
    </w:p>
    <w:p w14:paraId="2EF0E3D0">
      <w:pPr>
        <w:pStyle w:val="68"/>
        <w:wordWrap w:val="0"/>
        <w:overflowPunct w:val="0"/>
        <w:topLinePunct/>
        <w:ind w:firstLine="482"/>
        <w:rPr>
          <w:rFonts w:ascii="Times New Roman" w:hAnsi="Times New Roman" w:eastAsiaTheme="minorEastAsia"/>
          <w:b/>
          <w:bCs/>
          <w:color w:val="auto"/>
        </w:rPr>
      </w:pPr>
    </w:p>
    <w:p w14:paraId="6A605DD4">
      <w:pPr>
        <w:pStyle w:val="68"/>
        <w:wordWrap w:val="0"/>
        <w:overflowPunct w:val="0"/>
        <w:topLinePunct/>
        <w:ind w:firstLine="482"/>
        <w:rPr>
          <w:rFonts w:ascii="Times New Roman" w:hAnsi="Times New Roman" w:eastAsiaTheme="minorEastAsia"/>
          <w:b/>
          <w:bCs/>
          <w:color w:val="auto"/>
        </w:rPr>
      </w:pPr>
    </w:p>
    <w:p w14:paraId="0DFC81DC">
      <w:pPr>
        <w:pStyle w:val="68"/>
        <w:wordWrap w:val="0"/>
        <w:overflowPunct w:val="0"/>
        <w:topLinePunct/>
        <w:ind w:firstLine="482"/>
        <w:rPr>
          <w:rFonts w:ascii="Times New Roman" w:hAnsi="Times New Roman" w:eastAsiaTheme="minorEastAsia"/>
          <w:b/>
          <w:bCs/>
          <w:color w:val="auto"/>
        </w:rPr>
      </w:pPr>
    </w:p>
    <w:p w14:paraId="2B0E815B">
      <w:pPr>
        <w:wordWrap w:val="0"/>
        <w:overflowPunct w:val="0"/>
        <w:topLinePunct/>
        <w:spacing w:line="360" w:lineRule="auto"/>
        <w:ind w:left="6"/>
        <w:rPr>
          <w:rFonts w:eastAsiaTheme="minorEastAsia"/>
          <w:b/>
          <w:bCs/>
          <w:color w:val="auto"/>
          <w:sz w:val="20"/>
          <w:szCs w:val="20"/>
        </w:rPr>
      </w:pPr>
      <w:bookmarkStart w:id="42" w:name="_bookmark57"/>
      <w:bookmarkEnd w:id="42"/>
      <w:bookmarkStart w:id="43" w:name="_Toc11171"/>
      <w:bookmarkStart w:id="44" w:name="_Toc18247"/>
      <w:bookmarkStart w:id="45" w:name="_Toc22516_WPSOffice_Level1"/>
      <w:r>
        <w:rPr>
          <w:rFonts w:eastAsiaTheme="minorEastAsia"/>
          <w:b/>
          <w:bCs/>
          <w:color w:val="auto"/>
          <w:sz w:val="20"/>
          <w:szCs w:val="20"/>
        </w:rPr>
        <w:br w:type="column"/>
      </w:r>
      <w:r>
        <w:rPr>
          <w:rFonts w:eastAsiaTheme="minorEastAsia"/>
          <w:b/>
          <w:bCs/>
          <w:color w:val="auto"/>
          <w:sz w:val="20"/>
          <w:szCs w:val="20"/>
        </w:rPr>
        <w:t>附件十一 供应商基本情况表</w:t>
      </w:r>
      <w:bookmarkEnd w:id="43"/>
      <w:bookmarkEnd w:id="44"/>
      <w:bookmarkEnd w:id="45"/>
    </w:p>
    <w:p w14:paraId="66854EE2">
      <w:pPr>
        <w:pStyle w:val="68"/>
        <w:wordWrap w:val="0"/>
        <w:overflowPunct w:val="0"/>
        <w:topLinePunct/>
        <w:ind w:firstLine="0" w:firstLineChars="0"/>
        <w:jc w:val="center"/>
        <w:rPr>
          <w:rFonts w:ascii="Times New Roman" w:hAnsi="Times New Roman" w:eastAsiaTheme="minorEastAsia"/>
          <w:b/>
          <w:color w:val="auto"/>
          <w:sz w:val="32"/>
          <w:szCs w:val="32"/>
        </w:rPr>
      </w:pPr>
      <w:r>
        <w:rPr>
          <w:rFonts w:ascii="Times New Roman" w:hAnsi="Times New Roman" w:eastAsiaTheme="minorEastAsia"/>
          <w:b/>
          <w:color w:val="auto"/>
          <w:sz w:val="32"/>
          <w:szCs w:val="32"/>
        </w:rPr>
        <w:t>供应商基本情况表</w:t>
      </w:r>
    </w:p>
    <w:p w14:paraId="2330113D">
      <w:pPr>
        <w:wordWrap w:val="0"/>
        <w:overflowPunct w:val="0"/>
        <w:topLinePunct/>
        <w:spacing w:line="360" w:lineRule="auto"/>
        <w:rPr>
          <w:rFonts w:eastAsiaTheme="minorEastAsia"/>
          <w:color w:val="auto"/>
        </w:rPr>
      </w:pPr>
    </w:p>
    <w:tbl>
      <w:tblPr>
        <w:tblStyle w:val="299"/>
        <w:tblW w:w="932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05"/>
        <w:gridCol w:w="1783"/>
        <w:gridCol w:w="5538"/>
      </w:tblGrid>
      <w:tr w14:paraId="6BC292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9" w:hRule="atLeast"/>
          <w:jc w:val="center"/>
        </w:trPr>
        <w:tc>
          <w:tcPr>
            <w:tcW w:w="2005" w:type="dxa"/>
            <w:vAlign w:val="center"/>
          </w:tcPr>
          <w:p w14:paraId="06122289">
            <w:pPr>
              <w:wordWrap w:val="0"/>
              <w:overflowPunct w:val="0"/>
              <w:topLinePunct/>
              <w:spacing w:before="139" w:line="360" w:lineRule="auto"/>
              <w:ind w:left="125" w:right="3" w:firstLine="228"/>
              <w:jc w:val="center"/>
              <w:rPr>
                <w:rFonts w:eastAsiaTheme="minorEastAsia"/>
                <w:color w:val="auto"/>
              </w:rPr>
            </w:pPr>
            <w:r>
              <w:rPr>
                <w:rFonts w:eastAsiaTheme="minorEastAsia"/>
                <w:color w:val="auto"/>
              </w:rPr>
              <w:t>供应商名称</w:t>
            </w:r>
          </w:p>
        </w:tc>
        <w:tc>
          <w:tcPr>
            <w:tcW w:w="7321" w:type="dxa"/>
            <w:gridSpan w:val="2"/>
            <w:vAlign w:val="center"/>
          </w:tcPr>
          <w:p w14:paraId="00C39F4A">
            <w:pPr>
              <w:wordWrap w:val="0"/>
              <w:overflowPunct w:val="0"/>
              <w:topLinePunct/>
              <w:spacing w:before="139" w:line="360" w:lineRule="auto"/>
              <w:ind w:left="125" w:right="3" w:firstLine="228"/>
              <w:rPr>
                <w:rFonts w:eastAsiaTheme="minorEastAsia"/>
                <w:color w:val="auto"/>
              </w:rPr>
            </w:pPr>
          </w:p>
        </w:tc>
      </w:tr>
      <w:tr w14:paraId="1A5BC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90" w:hRule="atLeast"/>
          <w:jc w:val="center"/>
        </w:trPr>
        <w:tc>
          <w:tcPr>
            <w:tcW w:w="2005" w:type="dxa"/>
            <w:vAlign w:val="center"/>
          </w:tcPr>
          <w:p w14:paraId="2270ABB1">
            <w:pPr>
              <w:wordWrap w:val="0"/>
              <w:overflowPunct w:val="0"/>
              <w:topLinePunct/>
              <w:spacing w:before="139" w:line="360" w:lineRule="auto"/>
              <w:ind w:right="3"/>
              <w:jc w:val="center"/>
              <w:rPr>
                <w:rFonts w:eastAsiaTheme="minorEastAsia"/>
                <w:color w:val="auto"/>
              </w:rPr>
            </w:pPr>
            <w:r>
              <w:rPr>
                <w:rFonts w:eastAsiaTheme="minorEastAsia"/>
                <w:color w:val="auto"/>
              </w:rPr>
              <w:t>社会机构统一信用代码</w:t>
            </w:r>
          </w:p>
        </w:tc>
        <w:tc>
          <w:tcPr>
            <w:tcW w:w="7321" w:type="dxa"/>
            <w:gridSpan w:val="2"/>
            <w:vAlign w:val="center"/>
          </w:tcPr>
          <w:p w14:paraId="5777649D">
            <w:pPr>
              <w:wordWrap w:val="0"/>
              <w:overflowPunct w:val="0"/>
              <w:topLinePunct/>
              <w:spacing w:before="139" w:line="360" w:lineRule="auto"/>
              <w:ind w:left="125" w:right="3" w:firstLine="228"/>
              <w:rPr>
                <w:rFonts w:eastAsiaTheme="minorEastAsia"/>
                <w:color w:val="auto"/>
              </w:rPr>
            </w:pPr>
          </w:p>
        </w:tc>
      </w:tr>
      <w:tr w14:paraId="096A94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8" w:hRule="atLeast"/>
          <w:jc w:val="center"/>
        </w:trPr>
        <w:tc>
          <w:tcPr>
            <w:tcW w:w="2005" w:type="dxa"/>
            <w:vAlign w:val="center"/>
          </w:tcPr>
          <w:p w14:paraId="4E0286D8">
            <w:pPr>
              <w:wordWrap w:val="0"/>
              <w:overflowPunct w:val="0"/>
              <w:topLinePunct/>
              <w:spacing w:before="139" w:line="360" w:lineRule="auto"/>
              <w:ind w:left="125" w:right="3" w:firstLine="228"/>
              <w:rPr>
                <w:rFonts w:eastAsiaTheme="minorEastAsia"/>
                <w:color w:val="auto"/>
              </w:rPr>
            </w:pPr>
            <w:r>
              <w:rPr>
                <w:rFonts w:eastAsiaTheme="minorEastAsia"/>
                <w:color w:val="auto"/>
              </w:rPr>
              <w:t>供应商规模</w:t>
            </w:r>
          </w:p>
        </w:tc>
        <w:tc>
          <w:tcPr>
            <w:tcW w:w="1783" w:type="dxa"/>
            <w:tcBorders>
              <w:right w:val="nil"/>
            </w:tcBorders>
            <w:vAlign w:val="center"/>
          </w:tcPr>
          <w:p w14:paraId="51FBEF86">
            <w:pPr>
              <w:wordWrap w:val="0"/>
              <w:overflowPunct w:val="0"/>
              <w:topLinePunct/>
              <w:spacing w:before="139" w:line="360" w:lineRule="auto"/>
              <w:ind w:left="125" w:right="3" w:firstLine="228"/>
              <w:rPr>
                <w:rFonts w:eastAsiaTheme="minorEastAsia"/>
                <w:color w:val="auto"/>
              </w:rPr>
            </w:pPr>
            <w:r>
              <w:rPr>
                <w:rFonts w:eastAsiaTheme="minorEastAsia"/>
                <w:color w:val="auto"/>
              </w:rPr>
              <w:t>□大型</w:t>
            </w:r>
          </w:p>
        </w:tc>
        <w:tc>
          <w:tcPr>
            <w:tcW w:w="5538" w:type="dxa"/>
            <w:tcBorders>
              <w:left w:val="nil"/>
            </w:tcBorders>
            <w:vAlign w:val="center"/>
          </w:tcPr>
          <w:p w14:paraId="4920C677">
            <w:pPr>
              <w:wordWrap w:val="0"/>
              <w:overflowPunct w:val="0"/>
              <w:topLinePunct/>
              <w:spacing w:before="139" w:line="360" w:lineRule="auto"/>
              <w:ind w:left="125" w:right="3" w:firstLine="228"/>
              <w:rPr>
                <w:rFonts w:eastAsiaTheme="minorEastAsia"/>
                <w:color w:val="auto"/>
              </w:rPr>
            </w:pPr>
            <w:r>
              <w:rPr>
                <w:rFonts w:eastAsiaTheme="minorEastAsia"/>
                <w:color w:val="auto"/>
              </w:rPr>
              <w:t>□ 中型          □小微型</w:t>
            </w:r>
          </w:p>
        </w:tc>
      </w:tr>
      <w:tr w14:paraId="22865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33" w:hRule="atLeast"/>
          <w:jc w:val="center"/>
        </w:trPr>
        <w:tc>
          <w:tcPr>
            <w:tcW w:w="2005" w:type="dxa"/>
            <w:vAlign w:val="center"/>
          </w:tcPr>
          <w:p w14:paraId="58CDFC15">
            <w:pPr>
              <w:wordWrap w:val="0"/>
              <w:overflowPunct w:val="0"/>
              <w:topLinePunct/>
              <w:spacing w:before="139" w:line="360" w:lineRule="auto"/>
              <w:ind w:right="3"/>
              <w:jc w:val="center"/>
              <w:rPr>
                <w:rFonts w:eastAsiaTheme="minorEastAsia"/>
                <w:color w:val="auto"/>
              </w:rPr>
            </w:pPr>
            <w:r>
              <w:rPr>
                <w:rFonts w:eastAsiaTheme="minorEastAsia"/>
                <w:color w:val="auto"/>
              </w:rPr>
              <w:t>供应商所在区域（细化到省份）</w:t>
            </w:r>
          </w:p>
        </w:tc>
        <w:tc>
          <w:tcPr>
            <w:tcW w:w="7321" w:type="dxa"/>
            <w:gridSpan w:val="2"/>
            <w:vAlign w:val="center"/>
          </w:tcPr>
          <w:p w14:paraId="714C9894">
            <w:pPr>
              <w:wordWrap w:val="0"/>
              <w:overflowPunct w:val="0"/>
              <w:topLinePunct/>
              <w:spacing w:before="139" w:line="360" w:lineRule="auto"/>
              <w:ind w:left="125" w:right="3" w:firstLine="228"/>
              <w:rPr>
                <w:rFonts w:eastAsiaTheme="minorEastAsia"/>
                <w:color w:val="auto"/>
              </w:rPr>
            </w:pPr>
          </w:p>
        </w:tc>
      </w:tr>
      <w:tr w14:paraId="4D2917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44" w:hRule="atLeast"/>
          <w:jc w:val="center"/>
        </w:trPr>
        <w:tc>
          <w:tcPr>
            <w:tcW w:w="2005" w:type="dxa"/>
            <w:vAlign w:val="center"/>
          </w:tcPr>
          <w:p w14:paraId="16900909">
            <w:pPr>
              <w:wordWrap w:val="0"/>
              <w:overflowPunct w:val="0"/>
              <w:topLinePunct/>
              <w:spacing w:before="139" w:line="360" w:lineRule="auto"/>
              <w:ind w:left="125" w:right="3" w:firstLine="228"/>
              <w:rPr>
                <w:rFonts w:eastAsiaTheme="minorEastAsia"/>
                <w:color w:val="auto"/>
              </w:rPr>
            </w:pPr>
            <w:r>
              <w:rPr>
                <w:rFonts w:eastAsiaTheme="minorEastAsia"/>
                <w:color w:val="auto"/>
              </w:rPr>
              <w:t>是否特殊性质</w:t>
            </w:r>
          </w:p>
        </w:tc>
        <w:tc>
          <w:tcPr>
            <w:tcW w:w="7321" w:type="dxa"/>
            <w:gridSpan w:val="2"/>
            <w:vAlign w:val="center"/>
          </w:tcPr>
          <w:p w14:paraId="2EB7684D">
            <w:pPr>
              <w:wordWrap w:val="0"/>
              <w:overflowPunct w:val="0"/>
              <w:topLinePunct/>
              <w:spacing w:before="139" w:line="360" w:lineRule="auto"/>
              <w:ind w:left="125" w:right="3" w:firstLine="228"/>
              <w:rPr>
                <w:rFonts w:eastAsiaTheme="minorEastAsia"/>
                <w:color w:val="auto"/>
              </w:rPr>
            </w:pPr>
            <w:r>
              <w:rPr>
                <w:rFonts w:eastAsiaTheme="minorEastAsia"/>
                <w:color w:val="auto"/>
              </w:rPr>
              <w:t>□监狱    □企业残疾人     □福利性单位     □其他</w:t>
            </w:r>
          </w:p>
        </w:tc>
      </w:tr>
    </w:tbl>
    <w:p w14:paraId="3C693FEE">
      <w:pPr>
        <w:wordWrap w:val="0"/>
        <w:overflowPunct w:val="0"/>
        <w:topLinePunct/>
        <w:spacing w:before="52" w:line="360" w:lineRule="auto"/>
        <w:rPr>
          <w:rFonts w:eastAsiaTheme="minorEastAsia"/>
          <w:color w:val="auto"/>
        </w:rPr>
      </w:pPr>
      <w:r>
        <w:rPr>
          <w:rFonts w:eastAsiaTheme="minorEastAsia"/>
          <w:color w:val="auto"/>
        </w:rPr>
        <w:t>注：</w:t>
      </w:r>
    </w:p>
    <w:p w14:paraId="2CC6595D">
      <w:pPr>
        <w:wordWrap w:val="0"/>
        <w:overflowPunct w:val="0"/>
        <w:topLinePunct/>
        <w:spacing w:line="360" w:lineRule="auto"/>
        <w:ind w:right="3" w:firstLine="420" w:firstLineChars="200"/>
        <w:rPr>
          <w:rFonts w:eastAsiaTheme="minorEastAsia"/>
          <w:color w:val="auto"/>
        </w:rPr>
      </w:pPr>
      <w:r>
        <w:rPr>
          <w:rFonts w:eastAsiaTheme="minorEastAsia"/>
          <w:color w:val="auto"/>
        </w:rPr>
        <w:t>1.供应商规模：供应商应对照工业和信息化部、国家统计局、国家发展改革委、财政部《关于印发中 小企业划型标准规定的通知》（工信部联企业〔2011〕300 号）中的规模划分勾选自身规模；</w:t>
      </w:r>
    </w:p>
    <w:p w14:paraId="505F1EB3">
      <w:pPr>
        <w:wordWrap w:val="0"/>
        <w:overflowPunct w:val="0"/>
        <w:topLinePunct/>
        <w:spacing w:line="360" w:lineRule="auto"/>
        <w:ind w:firstLine="420" w:firstLineChars="200"/>
        <w:rPr>
          <w:rFonts w:eastAsiaTheme="minorEastAsia"/>
          <w:color w:val="auto"/>
        </w:rPr>
      </w:pPr>
      <w:bookmarkStart w:id="46" w:name="_Toc16100"/>
      <w:r>
        <w:rPr>
          <w:rFonts w:eastAsiaTheme="minorEastAsia"/>
          <w:color w:val="auto"/>
        </w:rPr>
        <w:t>2.供应商所在区域：指供应商注册地所在地区，具体细化到省份；</w:t>
      </w:r>
      <w:bookmarkEnd w:id="46"/>
    </w:p>
    <w:p w14:paraId="6C2991AA">
      <w:pPr>
        <w:wordWrap w:val="0"/>
        <w:overflowPunct w:val="0"/>
        <w:topLinePunct/>
        <w:spacing w:line="360" w:lineRule="auto"/>
        <w:ind w:right="3" w:firstLine="420" w:firstLineChars="200"/>
        <w:rPr>
          <w:rFonts w:eastAsiaTheme="minorEastAsia"/>
          <w:color w:val="auto"/>
        </w:rPr>
        <w:sectPr>
          <w:headerReference r:id="rId5" w:type="default"/>
          <w:footerReference r:id="rId6" w:type="default"/>
          <w:pgSz w:w="11906" w:h="16838"/>
          <w:pgMar w:top="1701" w:right="1134" w:bottom="1701" w:left="1134" w:header="850" w:footer="998" w:gutter="0"/>
          <w:pgNumType w:fmt="decimal"/>
          <w:cols w:space="0" w:num="1"/>
        </w:sectPr>
      </w:pPr>
      <w:r>
        <w:rPr>
          <w:rFonts w:eastAsiaTheme="minorEastAsia"/>
          <w:color w:val="auto"/>
        </w:rPr>
        <w:t>3.是否特殊性质：供应商应对照《财政部司法部关于政府采购支持监狱企业发展有关问题的通知》 （财库〔2014〕68号）和《财政部民政部中国残疾人联合会关于促进残疾人就业政府采购政策的通知》（财库〔2017〕141号）的规定勾选自身性质。</w:t>
      </w:r>
    </w:p>
    <w:p w14:paraId="11C62265">
      <w:pPr>
        <w:keepNext w:val="0"/>
        <w:keepLines w:val="0"/>
        <w:pageBreakBefore w:val="0"/>
        <w:widowControl w:val="0"/>
        <w:kinsoku/>
        <w:autoSpaceDE/>
        <w:autoSpaceDN/>
        <w:bidi w:val="0"/>
        <w:adjustRightInd/>
        <w:snapToGrid/>
        <w:spacing w:line="240" w:lineRule="auto"/>
        <w:textAlignment w:val="auto"/>
        <w:rPr>
          <w:rFonts w:eastAsiaTheme="minorEastAsia"/>
          <w:b/>
          <w:color w:val="auto"/>
          <w:kern w:val="0"/>
        </w:rPr>
      </w:pPr>
      <w:r>
        <w:rPr>
          <w:rFonts w:eastAsiaTheme="minorEastAsia"/>
          <w:b/>
          <w:color w:val="auto"/>
          <w:kern w:val="0"/>
        </w:rPr>
        <w:t>附：中小企业划型标准规定</w:t>
      </w:r>
    </w:p>
    <w:p w14:paraId="79222513">
      <w:pPr>
        <w:keepNext w:val="0"/>
        <w:keepLines w:val="0"/>
        <w:pageBreakBefore w:val="0"/>
        <w:widowControl w:val="0"/>
        <w:kinsoku/>
        <w:wordWrap w:val="0"/>
        <w:overflowPunct w:val="0"/>
        <w:topLinePunct/>
        <w:autoSpaceDE/>
        <w:autoSpaceDN/>
        <w:bidi w:val="0"/>
        <w:adjustRightInd/>
        <w:snapToGrid/>
        <w:spacing w:line="240" w:lineRule="auto"/>
        <w:textAlignment w:val="auto"/>
        <w:rPr>
          <w:rFonts w:eastAsiaTheme="minorEastAsia"/>
          <w:color w:val="auto"/>
        </w:rPr>
      </w:pPr>
      <w:r>
        <w:rPr>
          <w:rFonts w:eastAsiaTheme="minorEastAsia"/>
          <w:color w:val="auto"/>
        </w:rPr>
        <w:t>中小微企业划型标准如下：</w:t>
      </w:r>
    </w:p>
    <w:p w14:paraId="2DF5466F">
      <w:pPr>
        <w:wordWrap w:val="0"/>
        <w:overflowPunct w:val="0"/>
        <w:topLinePunct/>
        <w:spacing w:line="360" w:lineRule="auto"/>
        <w:rPr>
          <w:rFonts w:eastAsiaTheme="minorEastAsia"/>
          <w:color w:val="auto"/>
        </w:rPr>
      </w:pPr>
    </w:p>
    <w:tbl>
      <w:tblPr>
        <w:tblStyle w:val="299"/>
        <w:tblW w:w="920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751"/>
        <w:gridCol w:w="1638"/>
        <w:gridCol w:w="1083"/>
        <w:gridCol w:w="1921"/>
        <w:gridCol w:w="1710"/>
        <w:gridCol w:w="1104"/>
      </w:tblGrid>
      <w:tr w14:paraId="2ED8CE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359BE5F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行业名称</w:t>
            </w:r>
          </w:p>
        </w:tc>
        <w:tc>
          <w:tcPr>
            <w:tcW w:w="1638" w:type="dxa"/>
            <w:vAlign w:val="center"/>
          </w:tcPr>
          <w:p w14:paraId="38D2262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指标名称</w:t>
            </w:r>
          </w:p>
        </w:tc>
        <w:tc>
          <w:tcPr>
            <w:tcW w:w="1083" w:type="dxa"/>
            <w:vAlign w:val="center"/>
          </w:tcPr>
          <w:p w14:paraId="710F3FF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计量</w:t>
            </w:r>
          </w:p>
          <w:p w14:paraId="7116131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单位</w:t>
            </w:r>
          </w:p>
        </w:tc>
        <w:tc>
          <w:tcPr>
            <w:tcW w:w="1921" w:type="dxa"/>
            <w:vAlign w:val="center"/>
          </w:tcPr>
          <w:p w14:paraId="76E64452">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中型</w:t>
            </w:r>
          </w:p>
        </w:tc>
        <w:tc>
          <w:tcPr>
            <w:tcW w:w="1710" w:type="dxa"/>
            <w:vAlign w:val="center"/>
          </w:tcPr>
          <w:p w14:paraId="7AD7F33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小型</w:t>
            </w:r>
          </w:p>
        </w:tc>
        <w:tc>
          <w:tcPr>
            <w:tcW w:w="1104" w:type="dxa"/>
            <w:vAlign w:val="center"/>
          </w:tcPr>
          <w:p w14:paraId="4999DDA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微型</w:t>
            </w:r>
          </w:p>
        </w:tc>
      </w:tr>
      <w:tr w14:paraId="1697B7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4E89CE2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农、林、牧、渔</w:t>
            </w:r>
          </w:p>
        </w:tc>
        <w:tc>
          <w:tcPr>
            <w:tcW w:w="1638" w:type="dxa"/>
            <w:vAlign w:val="center"/>
          </w:tcPr>
          <w:p w14:paraId="17B5720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26E4263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199A3A1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500≤Y＜20000</w:t>
            </w:r>
          </w:p>
        </w:tc>
        <w:tc>
          <w:tcPr>
            <w:tcW w:w="1710" w:type="dxa"/>
            <w:vAlign w:val="center"/>
          </w:tcPr>
          <w:p w14:paraId="4CB3236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50≤Y＜500</w:t>
            </w:r>
          </w:p>
        </w:tc>
        <w:tc>
          <w:tcPr>
            <w:tcW w:w="1104" w:type="dxa"/>
            <w:vAlign w:val="center"/>
          </w:tcPr>
          <w:p w14:paraId="0F60FB5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Y＜50</w:t>
            </w:r>
          </w:p>
        </w:tc>
      </w:tr>
      <w:tr w14:paraId="00490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5579336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工业</w:t>
            </w:r>
          </w:p>
        </w:tc>
        <w:tc>
          <w:tcPr>
            <w:tcW w:w="1638" w:type="dxa"/>
            <w:vAlign w:val="center"/>
          </w:tcPr>
          <w:p w14:paraId="25B5EAD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4EFFB7B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4338A1E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300≤X＜1000</w:t>
            </w:r>
          </w:p>
        </w:tc>
        <w:tc>
          <w:tcPr>
            <w:tcW w:w="1710" w:type="dxa"/>
            <w:vAlign w:val="center"/>
          </w:tcPr>
          <w:p w14:paraId="6EA714D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20≤X＜300</w:t>
            </w:r>
          </w:p>
        </w:tc>
        <w:tc>
          <w:tcPr>
            <w:tcW w:w="1104" w:type="dxa"/>
            <w:vAlign w:val="center"/>
          </w:tcPr>
          <w:p w14:paraId="1AD88A9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X＜20</w:t>
            </w:r>
          </w:p>
        </w:tc>
      </w:tr>
      <w:tr w14:paraId="75068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0BE0354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3368404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4177C6F2">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2B17FB9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2000≤Y＜40000</w:t>
            </w:r>
          </w:p>
        </w:tc>
        <w:tc>
          <w:tcPr>
            <w:tcW w:w="1710" w:type="dxa"/>
            <w:vAlign w:val="center"/>
          </w:tcPr>
          <w:p w14:paraId="521C489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300≤Y＜2000</w:t>
            </w:r>
          </w:p>
        </w:tc>
        <w:tc>
          <w:tcPr>
            <w:tcW w:w="1104" w:type="dxa"/>
            <w:vAlign w:val="center"/>
          </w:tcPr>
          <w:p w14:paraId="221AB10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Y＜300</w:t>
            </w:r>
          </w:p>
        </w:tc>
      </w:tr>
      <w:tr w14:paraId="44FF3F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16451A2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建筑业</w:t>
            </w:r>
          </w:p>
        </w:tc>
        <w:tc>
          <w:tcPr>
            <w:tcW w:w="1638" w:type="dxa"/>
            <w:vAlign w:val="center"/>
          </w:tcPr>
          <w:p w14:paraId="7408D4BB">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11D5FB3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5913AC1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6000≤Y＜80000</w:t>
            </w:r>
          </w:p>
        </w:tc>
        <w:tc>
          <w:tcPr>
            <w:tcW w:w="1710" w:type="dxa"/>
            <w:vAlign w:val="center"/>
          </w:tcPr>
          <w:p w14:paraId="62BF091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300≤Y＜6000</w:t>
            </w:r>
          </w:p>
        </w:tc>
        <w:tc>
          <w:tcPr>
            <w:tcW w:w="1104" w:type="dxa"/>
            <w:vAlign w:val="center"/>
          </w:tcPr>
          <w:p w14:paraId="55CD6DE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Y＜300</w:t>
            </w:r>
          </w:p>
        </w:tc>
      </w:tr>
      <w:tr w14:paraId="63A2B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0F41090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4D0416E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资产总额 （Z）</w:t>
            </w:r>
          </w:p>
        </w:tc>
        <w:tc>
          <w:tcPr>
            <w:tcW w:w="1083" w:type="dxa"/>
            <w:vAlign w:val="center"/>
          </w:tcPr>
          <w:p w14:paraId="30F0639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11290AA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5000≤Z＜80000</w:t>
            </w:r>
          </w:p>
        </w:tc>
        <w:tc>
          <w:tcPr>
            <w:tcW w:w="1710" w:type="dxa"/>
            <w:vAlign w:val="center"/>
          </w:tcPr>
          <w:p w14:paraId="6E8B1D2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300≤Z＜5000</w:t>
            </w:r>
          </w:p>
        </w:tc>
        <w:tc>
          <w:tcPr>
            <w:tcW w:w="1104" w:type="dxa"/>
            <w:vAlign w:val="center"/>
          </w:tcPr>
          <w:p w14:paraId="69EA7BF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Z＜300</w:t>
            </w:r>
          </w:p>
        </w:tc>
      </w:tr>
      <w:tr w14:paraId="0D3404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7549BA6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批发业</w:t>
            </w:r>
          </w:p>
        </w:tc>
        <w:tc>
          <w:tcPr>
            <w:tcW w:w="1638" w:type="dxa"/>
            <w:vAlign w:val="center"/>
          </w:tcPr>
          <w:p w14:paraId="2880663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60DE4EBB">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4B7F345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20≤X＜200</w:t>
            </w:r>
          </w:p>
        </w:tc>
        <w:tc>
          <w:tcPr>
            <w:tcW w:w="1710" w:type="dxa"/>
            <w:vAlign w:val="center"/>
          </w:tcPr>
          <w:p w14:paraId="6A08210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5≤X＜20</w:t>
            </w:r>
          </w:p>
        </w:tc>
        <w:tc>
          <w:tcPr>
            <w:tcW w:w="1104" w:type="dxa"/>
            <w:vAlign w:val="center"/>
          </w:tcPr>
          <w:p w14:paraId="54E9176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X＜5</w:t>
            </w:r>
          </w:p>
        </w:tc>
      </w:tr>
      <w:tr w14:paraId="10E21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FA1E35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209B2E1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7C43E5A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53CDDB1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5000≤Y＜40000</w:t>
            </w:r>
          </w:p>
        </w:tc>
        <w:tc>
          <w:tcPr>
            <w:tcW w:w="1710" w:type="dxa"/>
            <w:vAlign w:val="center"/>
          </w:tcPr>
          <w:p w14:paraId="1B5B97D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1000≤Y＜5000</w:t>
            </w:r>
          </w:p>
        </w:tc>
        <w:tc>
          <w:tcPr>
            <w:tcW w:w="1104" w:type="dxa"/>
            <w:vAlign w:val="center"/>
          </w:tcPr>
          <w:p w14:paraId="23DDD932">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Y＜1000</w:t>
            </w:r>
          </w:p>
        </w:tc>
      </w:tr>
      <w:tr w14:paraId="22344C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4D05722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零售业</w:t>
            </w:r>
          </w:p>
        </w:tc>
        <w:tc>
          <w:tcPr>
            <w:tcW w:w="1638" w:type="dxa"/>
            <w:vAlign w:val="center"/>
          </w:tcPr>
          <w:p w14:paraId="64F8BBA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3543B0B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00DF150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50≤X＜300</w:t>
            </w:r>
          </w:p>
        </w:tc>
        <w:tc>
          <w:tcPr>
            <w:tcW w:w="1710" w:type="dxa"/>
            <w:vAlign w:val="center"/>
          </w:tcPr>
          <w:p w14:paraId="093772E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10≤X＜50</w:t>
            </w:r>
          </w:p>
        </w:tc>
        <w:tc>
          <w:tcPr>
            <w:tcW w:w="1104" w:type="dxa"/>
            <w:vAlign w:val="center"/>
          </w:tcPr>
          <w:p w14:paraId="2F3F15C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w:t>
            </w:r>
          </w:p>
        </w:tc>
      </w:tr>
      <w:tr w14:paraId="273E37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4B6E59F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637DEAA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70A0C8C2">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6342B97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500≤Y＜20000</w:t>
            </w:r>
          </w:p>
        </w:tc>
        <w:tc>
          <w:tcPr>
            <w:tcW w:w="1710" w:type="dxa"/>
            <w:vAlign w:val="center"/>
          </w:tcPr>
          <w:p w14:paraId="11D2790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100≤Y＜500</w:t>
            </w:r>
          </w:p>
        </w:tc>
        <w:tc>
          <w:tcPr>
            <w:tcW w:w="1104" w:type="dxa"/>
            <w:vAlign w:val="center"/>
          </w:tcPr>
          <w:p w14:paraId="5279D71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Y＜100</w:t>
            </w:r>
          </w:p>
        </w:tc>
      </w:tr>
      <w:tr w14:paraId="542B42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18E9930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交通运输业</w:t>
            </w:r>
          </w:p>
        </w:tc>
        <w:tc>
          <w:tcPr>
            <w:tcW w:w="1638" w:type="dxa"/>
            <w:vAlign w:val="center"/>
          </w:tcPr>
          <w:p w14:paraId="53BB38F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5084E3A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151F211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300≤X＜1000</w:t>
            </w:r>
          </w:p>
        </w:tc>
        <w:tc>
          <w:tcPr>
            <w:tcW w:w="1710" w:type="dxa"/>
            <w:vAlign w:val="center"/>
          </w:tcPr>
          <w:p w14:paraId="66444C0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20≤X＜300</w:t>
            </w:r>
          </w:p>
        </w:tc>
        <w:tc>
          <w:tcPr>
            <w:tcW w:w="1104" w:type="dxa"/>
            <w:vAlign w:val="center"/>
          </w:tcPr>
          <w:p w14:paraId="6524E9D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X＜20</w:t>
            </w:r>
          </w:p>
        </w:tc>
      </w:tr>
      <w:tr w14:paraId="232F27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AA61C6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719D7AA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4178536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4025844B">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3000≤Y＜30000</w:t>
            </w:r>
          </w:p>
        </w:tc>
        <w:tc>
          <w:tcPr>
            <w:tcW w:w="1710" w:type="dxa"/>
            <w:vAlign w:val="center"/>
          </w:tcPr>
          <w:p w14:paraId="7A51093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200≤Y＜3000</w:t>
            </w:r>
          </w:p>
        </w:tc>
        <w:tc>
          <w:tcPr>
            <w:tcW w:w="1104" w:type="dxa"/>
            <w:vAlign w:val="center"/>
          </w:tcPr>
          <w:p w14:paraId="11DB3FE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Y＜200</w:t>
            </w:r>
          </w:p>
        </w:tc>
      </w:tr>
      <w:tr w14:paraId="015083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631CADD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仓储业</w:t>
            </w:r>
          </w:p>
        </w:tc>
        <w:tc>
          <w:tcPr>
            <w:tcW w:w="1638" w:type="dxa"/>
            <w:vAlign w:val="center"/>
          </w:tcPr>
          <w:p w14:paraId="5E45975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2ECB27E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42C710E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100≤X＜200</w:t>
            </w:r>
          </w:p>
        </w:tc>
        <w:tc>
          <w:tcPr>
            <w:tcW w:w="1710" w:type="dxa"/>
            <w:vAlign w:val="center"/>
          </w:tcPr>
          <w:p w14:paraId="69E0400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20≤X＜100</w:t>
            </w:r>
          </w:p>
        </w:tc>
        <w:tc>
          <w:tcPr>
            <w:tcW w:w="1104" w:type="dxa"/>
            <w:vAlign w:val="center"/>
          </w:tcPr>
          <w:p w14:paraId="5B059C7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X＜20</w:t>
            </w:r>
          </w:p>
        </w:tc>
      </w:tr>
      <w:tr w14:paraId="6737A1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08CFED82">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2BD74B1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7D67FBB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1931966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1000≤Y＜30000</w:t>
            </w:r>
          </w:p>
        </w:tc>
        <w:tc>
          <w:tcPr>
            <w:tcW w:w="1710" w:type="dxa"/>
            <w:vAlign w:val="center"/>
          </w:tcPr>
          <w:p w14:paraId="1E64D97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100≤Y＜1000</w:t>
            </w:r>
          </w:p>
        </w:tc>
        <w:tc>
          <w:tcPr>
            <w:tcW w:w="1104" w:type="dxa"/>
            <w:vAlign w:val="center"/>
          </w:tcPr>
          <w:p w14:paraId="1DF8A75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Y＜100</w:t>
            </w:r>
          </w:p>
        </w:tc>
      </w:tr>
      <w:tr w14:paraId="20EB2B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5C3C560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邮政业</w:t>
            </w:r>
          </w:p>
        </w:tc>
        <w:tc>
          <w:tcPr>
            <w:tcW w:w="1638" w:type="dxa"/>
            <w:vAlign w:val="center"/>
          </w:tcPr>
          <w:p w14:paraId="11BCA41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0CF072A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7F6C530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300≤X＜1000</w:t>
            </w:r>
          </w:p>
        </w:tc>
        <w:tc>
          <w:tcPr>
            <w:tcW w:w="1710" w:type="dxa"/>
            <w:vAlign w:val="center"/>
          </w:tcPr>
          <w:p w14:paraId="79B9266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20≤X＜300</w:t>
            </w:r>
          </w:p>
        </w:tc>
        <w:tc>
          <w:tcPr>
            <w:tcW w:w="1104" w:type="dxa"/>
            <w:vAlign w:val="center"/>
          </w:tcPr>
          <w:p w14:paraId="4F0228F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X＜20</w:t>
            </w:r>
          </w:p>
        </w:tc>
      </w:tr>
      <w:tr w14:paraId="7E4814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79030D4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052064F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46CEE07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098591D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2000≤Y＜30000</w:t>
            </w:r>
          </w:p>
        </w:tc>
        <w:tc>
          <w:tcPr>
            <w:tcW w:w="1710" w:type="dxa"/>
            <w:vAlign w:val="center"/>
          </w:tcPr>
          <w:p w14:paraId="6439AF5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100≤Y＜2000</w:t>
            </w:r>
          </w:p>
        </w:tc>
        <w:tc>
          <w:tcPr>
            <w:tcW w:w="1104" w:type="dxa"/>
            <w:vAlign w:val="center"/>
          </w:tcPr>
          <w:p w14:paraId="14077CB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Y＜100</w:t>
            </w:r>
          </w:p>
        </w:tc>
      </w:tr>
      <w:tr w14:paraId="757396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2E3910C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住宿业</w:t>
            </w:r>
          </w:p>
        </w:tc>
        <w:tc>
          <w:tcPr>
            <w:tcW w:w="1638" w:type="dxa"/>
            <w:vAlign w:val="center"/>
          </w:tcPr>
          <w:p w14:paraId="5E46680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4E10DEE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78443D6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100≤X＜300</w:t>
            </w:r>
          </w:p>
        </w:tc>
        <w:tc>
          <w:tcPr>
            <w:tcW w:w="1710" w:type="dxa"/>
            <w:vAlign w:val="center"/>
          </w:tcPr>
          <w:p w14:paraId="6CF37692">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10≤X＜100</w:t>
            </w:r>
          </w:p>
        </w:tc>
        <w:tc>
          <w:tcPr>
            <w:tcW w:w="1104" w:type="dxa"/>
            <w:vAlign w:val="center"/>
          </w:tcPr>
          <w:p w14:paraId="5318B20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w:t>
            </w:r>
          </w:p>
        </w:tc>
      </w:tr>
      <w:tr w14:paraId="3670B8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6E4F8DA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7CFAAE2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37F8616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4EBD14F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2000≤Y＜10000</w:t>
            </w:r>
          </w:p>
        </w:tc>
        <w:tc>
          <w:tcPr>
            <w:tcW w:w="1710" w:type="dxa"/>
            <w:vAlign w:val="center"/>
          </w:tcPr>
          <w:p w14:paraId="46DA273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100≤Y＜2000</w:t>
            </w:r>
          </w:p>
        </w:tc>
        <w:tc>
          <w:tcPr>
            <w:tcW w:w="1104" w:type="dxa"/>
            <w:vAlign w:val="center"/>
          </w:tcPr>
          <w:p w14:paraId="3A1E460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Y＜100</w:t>
            </w:r>
          </w:p>
        </w:tc>
      </w:tr>
      <w:tr w14:paraId="6CBA50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1D5B72A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餐饮业</w:t>
            </w:r>
          </w:p>
        </w:tc>
        <w:tc>
          <w:tcPr>
            <w:tcW w:w="1638" w:type="dxa"/>
            <w:vAlign w:val="center"/>
          </w:tcPr>
          <w:p w14:paraId="584A8D9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3F25DB2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2A553B1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100≤X＜300</w:t>
            </w:r>
          </w:p>
        </w:tc>
        <w:tc>
          <w:tcPr>
            <w:tcW w:w="1710" w:type="dxa"/>
            <w:vAlign w:val="center"/>
          </w:tcPr>
          <w:p w14:paraId="22C8A59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10≤X＜100</w:t>
            </w:r>
          </w:p>
        </w:tc>
        <w:tc>
          <w:tcPr>
            <w:tcW w:w="1104" w:type="dxa"/>
            <w:vAlign w:val="center"/>
          </w:tcPr>
          <w:p w14:paraId="0686641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w:t>
            </w:r>
          </w:p>
        </w:tc>
      </w:tr>
      <w:tr w14:paraId="02EDCD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42B3B92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03D3F64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759AB53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4B27C3A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2000≤Y＜10000</w:t>
            </w:r>
          </w:p>
        </w:tc>
        <w:tc>
          <w:tcPr>
            <w:tcW w:w="1710" w:type="dxa"/>
            <w:vAlign w:val="center"/>
          </w:tcPr>
          <w:p w14:paraId="4F896CB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100≤Y＜2000</w:t>
            </w:r>
          </w:p>
        </w:tc>
        <w:tc>
          <w:tcPr>
            <w:tcW w:w="1104" w:type="dxa"/>
            <w:vAlign w:val="center"/>
          </w:tcPr>
          <w:p w14:paraId="661D08F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Y＜100</w:t>
            </w:r>
          </w:p>
        </w:tc>
      </w:tr>
      <w:tr w14:paraId="25DC3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77E0B6C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信息传输业</w:t>
            </w:r>
          </w:p>
        </w:tc>
        <w:tc>
          <w:tcPr>
            <w:tcW w:w="1638" w:type="dxa"/>
            <w:vAlign w:val="center"/>
          </w:tcPr>
          <w:p w14:paraId="02D0D39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205192B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7476F21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100≤X＜2000</w:t>
            </w:r>
          </w:p>
        </w:tc>
        <w:tc>
          <w:tcPr>
            <w:tcW w:w="1710" w:type="dxa"/>
            <w:vAlign w:val="center"/>
          </w:tcPr>
          <w:p w14:paraId="12324B4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10≤X＜100</w:t>
            </w:r>
          </w:p>
        </w:tc>
        <w:tc>
          <w:tcPr>
            <w:tcW w:w="1104" w:type="dxa"/>
            <w:vAlign w:val="center"/>
          </w:tcPr>
          <w:p w14:paraId="2E7DA97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w:t>
            </w:r>
          </w:p>
        </w:tc>
      </w:tr>
      <w:tr w14:paraId="58B9EC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0D79638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04ED123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15E04A02">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5883DE8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1000≤Y＜100000</w:t>
            </w:r>
          </w:p>
        </w:tc>
        <w:tc>
          <w:tcPr>
            <w:tcW w:w="1710" w:type="dxa"/>
            <w:vAlign w:val="center"/>
          </w:tcPr>
          <w:p w14:paraId="55FCDCE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100≤Y＜1000</w:t>
            </w:r>
          </w:p>
        </w:tc>
        <w:tc>
          <w:tcPr>
            <w:tcW w:w="1104" w:type="dxa"/>
            <w:vAlign w:val="center"/>
          </w:tcPr>
          <w:p w14:paraId="60B3470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Y＜100</w:t>
            </w:r>
          </w:p>
        </w:tc>
      </w:tr>
      <w:tr w14:paraId="5B1F3C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6FB9AE1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软件和信息技术服务业</w:t>
            </w:r>
          </w:p>
        </w:tc>
        <w:tc>
          <w:tcPr>
            <w:tcW w:w="1638" w:type="dxa"/>
            <w:vAlign w:val="center"/>
          </w:tcPr>
          <w:p w14:paraId="4157C0BB">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5E8997D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5F928E4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100≤X＜300</w:t>
            </w:r>
          </w:p>
        </w:tc>
        <w:tc>
          <w:tcPr>
            <w:tcW w:w="1710" w:type="dxa"/>
            <w:vAlign w:val="center"/>
          </w:tcPr>
          <w:p w14:paraId="146A54E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10≤X＜100</w:t>
            </w:r>
          </w:p>
        </w:tc>
        <w:tc>
          <w:tcPr>
            <w:tcW w:w="1104" w:type="dxa"/>
            <w:vAlign w:val="center"/>
          </w:tcPr>
          <w:p w14:paraId="4E48D4F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w:t>
            </w:r>
          </w:p>
        </w:tc>
      </w:tr>
      <w:tr w14:paraId="4E2C11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5856933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0C5AF23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180AC8C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70C6296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1000≤Y＜10000</w:t>
            </w:r>
          </w:p>
        </w:tc>
        <w:tc>
          <w:tcPr>
            <w:tcW w:w="1710" w:type="dxa"/>
            <w:vAlign w:val="center"/>
          </w:tcPr>
          <w:p w14:paraId="7D2E3DF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50≤Y＜1000</w:t>
            </w:r>
          </w:p>
        </w:tc>
        <w:tc>
          <w:tcPr>
            <w:tcW w:w="1104" w:type="dxa"/>
            <w:vAlign w:val="center"/>
          </w:tcPr>
          <w:p w14:paraId="720BEA6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Y＜50</w:t>
            </w:r>
          </w:p>
        </w:tc>
      </w:tr>
      <w:tr w14:paraId="419AFF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0BA4D891">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房地产开发经营</w:t>
            </w:r>
          </w:p>
        </w:tc>
        <w:tc>
          <w:tcPr>
            <w:tcW w:w="1638" w:type="dxa"/>
            <w:vAlign w:val="center"/>
          </w:tcPr>
          <w:p w14:paraId="4E14E9F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1360D13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044824E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1000≤Y＜200000</w:t>
            </w:r>
          </w:p>
        </w:tc>
        <w:tc>
          <w:tcPr>
            <w:tcW w:w="1710" w:type="dxa"/>
            <w:vAlign w:val="center"/>
          </w:tcPr>
          <w:p w14:paraId="5EBD2CB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100≤X＜1000</w:t>
            </w:r>
          </w:p>
        </w:tc>
        <w:tc>
          <w:tcPr>
            <w:tcW w:w="1104" w:type="dxa"/>
            <w:vAlign w:val="center"/>
          </w:tcPr>
          <w:p w14:paraId="1A68CD5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X＜100</w:t>
            </w:r>
          </w:p>
        </w:tc>
      </w:tr>
      <w:tr w14:paraId="522C9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724279E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7B4C8AAE">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资产总额 （Z）</w:t>
            </w:r>
          </w:p>
        </w:tc>
        <w:tc>
          <w:tcPr>
            <w:tcW w:w="1083" w:type="dxa"/>
            <w:vAlign w:val="center"/>
          </w:tcPr>
          <w:p w14:paraId="427132B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0BB379E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5000≤Z＜10000</w:t>
            </w:r>
          </w:p>
        </w:tc>
        <w:tc>
          <w:tcPr>
            <w:tcW w:w="1710" w:type="dxa"/>
            <w:vAlign w:val="center"/>
          </w:tcPr>
          <w:p w14:paraId="7F58BAE7">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2000≤Y＜5000</w:t>
            </w:r>
          </w:p>
        </w:tc>
        <w:tc>
          <w:tcPr>
            <w:tcW w:w="1104" w:type="dxa"/>
            <w:vAlign w:val="center"/>
          </w:tcPr>
          <w:p w14:paraId="0A07394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Y＜2000</w:t>
            </w:r>
          </w:p>
        </w:tc>
      </w:tr>
      <w:tr w14:paraId="304660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13B28EC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物业管理</w:t>
            </w:r>
          </w:p>
        </w:tc>
        <w:tc>
          <w:tcPr>
            <w:tcW w:w="1638" w:type="dxa"/>
            <w:vAlign w:val="center"/>
          </w:tcPr>
          <w:p w14:paraId="441B06D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5BE2043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08C8FFAA">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300≤X＜1000</w:t>
            </w:r>
          </w:p>
        </w:tc>
        <w:tc>
          <w:tcPr>
            <w:tcW w:w="1710" w:type="dxa"/>
            <w:vAlign w:val="center"/>
          </w:tcPr>
          <w:p w14:paraId="2204C10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100≤X＜300</w:t>
            </w:r>
          </w:p>
        </w:tc>
        <w:tc>
          <w:tcPr>
            <w:tcW w:w="1104" w:type="dxa"/>
            <w:vAlign w:val="center"/>
          </w:tcPr>
          <w:p w14:paraId="2B6DD9B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X＜100</w:t>
            </w:r>
          </w:p>
        </w:tc>
      </w:tr>
      <w:tr w14:paraId="32647D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16E4939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59FFABC6">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营业收入 （Y）</w:t>
            </w:r>
          </w:p>
        </w:tc>
        <w:tc>
          <w:tcPr>
            <w:tcW w:w="1083" w:type="dxa"/>
            <w:vAlign w:val="center"/>
          </w:tcPr>
          <w:p w14:paraId="406DBE8B">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4D33BEC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1000≤Y＜5000</w:t>
            </w:r>
          </w:p>
        </w:tc>
        <w:tc>
          <w:tcPr>
            <w:tcW w:w="1710" w:type="dxa"/>
            <w:vAlign w:val="center"/>
          </w:tcPr>
          <w:p w14:paraId="5529A6F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500≤Y＜1000</w:t>
            </w:r>
          </w:p>
        </w:tc>
        <w:tc>
          <w:tcPr>
            <w:tcW w:w="1104" w:type="dxa"/>
            <w:vAlign w:val="center"/>
          </w:tcPr>
          <w:p w14:paraId="39F6213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Y＜500</w:t>
            </w:r>
          </w:p>
        </w:tc>
      </w:tr>
      <w:tr w14:paraId="70F73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restart"/>
            <w:tcBorders>
              <w:bottom w:val="nil"/>
            </w:tcBorders>
            <w:vAlign w:val="center"/>
          </w:tcPr>
          <w:p w14:paraId="542E133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租赁和商务服务业</w:t>
            </w:r>
          </w:p>
        </w:tc>
        <w:tc>
          <w:tcPr>
            <w:tcW w:w="1638" w:type="dxa"/>
            <w:vAlign w:val="center"/>
          </w:tcPr>
          <w:p w14:paraId="06A3649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4557DA1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565766C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100≤X＜300</w:t>
            </w:r>
          </w:p>
        </w:tc>
        <w:tc>
          <w:tcPr>
            <w:tcW w:w="1710" w:type="dxa"/>
            <w:vAlign w:val="center"/>
          </w:tcPr>
          <w:p w14:paraId="720E846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10≤X＜100</w:t>
            </w:r>
          </w:p>
        </w:tc>
        <w:tc>
          <w:tcPr>
            <w:tcW w:w="1104" w:type="dxa"/>
            <w:vAlign w:val="center"/>
          </w:tcPr>
          <w:p w14:paraId="31FA78C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w:t>
            </w:r>
          </w:p>
        </w:tc>
      </w:tr>
      <w:tr w14:paraId="253D6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Merge w:val="continue"/>
            <w:tcBorders>
              <w:top w:val="nil"/>
            </w:tcBorders>
            <w:vAlign w:val="center"/>
          </w:tcPr>
          <w:p w14:paraId="572DACC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p>
        </w:tc>
        <w:tc>
          <w:tcPr>
            <w:tcW w:w="1638" w:type="dxa"/>
            <w:vAlign w:val="center"/>
          </w:tcPr>
          <w:p w14:paraId="0E4928C8">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资产总额 （Z）</w:t>
            </w:r>
          </w:p>
        </w:tc>
        <w:tc>
          <w:tcPr>
            <w:tcW w:w="1083" w:type="dxa"/>
            <w:vAlign w:val="center"/>
          </w:tcPr>
          <w:p w14:paraId="27AE2AC5">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万元</w:t>
            </w:r>
          </w:p>
        </w:tc>
        <w:tc>
          <w:tcPr>
            <w:tcW w:w="1921" w:type="dxa"/>
            <w:vAlign w:val="center"/>
          </w:tcPr>
          <w:p w14:paraId="5FAB7E30">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8000≤Z＜120000</w:t>
            </w:r>
          </w:p>
        </w:tc>
        <w:tc>
          <w:tcPr>
            <w:tcW w:w="1710" w:type="dxa"/>
            <w:vAlign w:val="center"/>
          </w:tcPr>
          <w:p w14:paraId="5114E13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100≤Z＜8000</w:t>
            </w:r>
          </w:p>
        </w:tc>
        <w:tc>
          <w:tcPr>
            <w:tcW w:w="1104" w:type="dxa"/>
            <w:vAlign w:val="center"/>
          </w:tcPr>
          <w:p w14:paraId="2911A6EC">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Y＜100</w:t>
            </w:r>
          </w:p>
        </w:tc>
      </w:tr>
      <w:tr w14:paraId="39B8CD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0" w:hRule="atLeast"/>
          <w:jc w:val="center"/>
        </w:trPr>
        <w:tc>
          <w:tcPr>
            <w:tcW w:w="1751" w:type="dxa"/>
            <w:vAlign w:val="center"/>
          </w:tcPr>
          <w:p w14:paraId="3F18852D">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其他未列明行业</w:t>
            </w:r>
          </w:p>
        </w:tc>
        <w:tc>
          <w:tcPr>
            <w:tcW w:w="1638" w:type="dxa"/>
            <w:vAlign w:val="center"/>
          </w:tcPr>
          <w:p w14:paraId="2AB9EC43">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从业人员 （X）</w:t>
            </w:r>
          </w:p>
        </w:tc>
        <w:tc>
          <w:tcPr>
            <w:tcW w:w="1083" w:type="dxa"/>
            <w:vAlign w:val="center"/>
          </w:tcPr>
          <w:p w14:paraId="39A982CF">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人</w:t>
            </w:r>
          </w:p>
        </w:tc>
        <w:tc>
          <w:tcPr>
            <w:tcW w:w="1921" w:type="dxa"/>
            <w:vAlign w:val="center"/>
          </w:tcPr>
          <w:p w14:paraId="370C091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100≤X＜300</w:t>
            </w:r>
          </w:p>
        </w:tc>
        <w:tc>
          <w:tcPr>
            <w:tcW w:w="1710" w:type="dxa"/>
            <w:vAlign w:val="center"/>
          </w:tcPr>
          <w:p w14:paraId="63C521D9">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10≤X＜100</w:t>
            </w:r>
          </w:p>
        </w:tc>
        <w:tc>
          <w:tcPr>
            <w:tcW w:w="1104" w:type="dxa"/>
            <w:vAlign w:val="center"/>
          </w:tcPr>
          <w:p w14:paraId="1CB07D04">
            <w:pPr>
              <w:keepNext w:val="0"/>
              <w:keepLines w:val="0"/>
              <w:pageBreakBefore w:val="0"/>
              <w:widowControl w:val="0"/>
              <w:kinsoku/>
              <w:wordWrap w:val="0"/>
              <w:overflowPunct w:val="0"/>
              <w:topLinePunct/>
              <w:autoSpaceDE/>
              <w:autoSpaceDN/>
              <w:bidi w:val="0"/>
              <w:adjustRightInd/>
              <w:snapToGrid/>
              <w:spacing w:line="240" w:lineRule="auto"/>
              <w:ind w:left="0"/>
              <w:jc w:val="center"/>
              <w:textAlignment w:val="auto"/>
              <w:rPr>
                <w:rFonts w:eastAsiaTheme="minorEastAsia"/>
                <w:color w:val="auto"/>
              </w:rPr>
            </w:pPr>
            <w:r>
              <w:rPr>
                <w:rFonts w:eastAsiaTheme="minorEastAsia"/>
                <w:color w:val="auto"/>
              </w:rPr>
              <w:t>X＜10</w:t>
            </w:r>
          </w:p>
        </w:tc>
      </w:tr>
    </w:tbl>
    <w:p w14:paraId="07A8D032">
      <w:pPr>
        <w:wordWrap w:val="0"/>
        <w:overflowPunct w:val="0"/>
        <w:topLinePunct/>
        <w:spacing w:line="360" w:lineRule="auto"/>
        <w:ind w:left="11" w:firstLine="420" w:firstLineChars="200"/>
        <w:rPr>
          <w:rFonts w:eastAsiaTheme="minorEastAsia"/>
          <w:color w:val="auto"/>
        </w:rPr>
      </w:pPr>
      <w:r>
        <w:rPr>
          <w:rFonts w:eastAsiaTheme="minorEastAsia"/>
          <w:color w:val="auto"/>
        </w:rPr>
        <w:t>说明：上述标准参照《关于印发中小企业划型标准规定的通知》（工信部联企业〔2011〕300 号），大型、中型和</w:t>
      </w:r>
      <w:bookmarkStart w:id="47" w:name="_Toc27977"/>
      <w:r>
        <w:rPr>
          <w:rFonts w:eastAsiaTheme="minorEastAsia"/>
          <w:color w:val="auto"/>
        </w:rPr>
        <w:t>小型企业须同时满足所列指标的下限，否则下划一档；微型企业只须满足所列指标中的一项即可。</w:t>
      </w:r>
      <w:bookmarkEnd w:id="47"/>
    </w:p>
    <w:p w14:paraId="7247B953">
      <w:pPr>
        <w:wordWrap w:val="0"/>
        <w:overflowPunct w:val="0"/>
        <w:topLinePunct/>
        <w:spacing w:line="360" w:lineRule="auto"/>
        <w:rPr>
          <w:rFonts w:eastAsiaTheme="minorEastAsia"/>
          <w:color w:val="auto"/>
        </w:rPr>
        <w:sectPr>
          <w:headerReference r:id="rId7" w:type="default"/>
          <w:footerReference r:id="rId8" w:type="default"/>
          <w:pgSz w:w="11906" w:h="16838"/>
          <w:pgMar w:top="1701" w:right="1134" w:bottom="1701" w:left="1134" w:header="850" w:footer="998" w:gutter="0"/>
          <w:pgNumType w:fmt="decimal"/>
          <w:cols w:space="0" w:num="1"/>
        </w:sectPr>
      </w:pPr>
    </w:p>
    <w:p w14:paraId="449D8799">
      <w:pPr>
        <w:spacing w:line="360" w:lineRule="auto"/>
        <w:jc w:val="left"/>
        <w:rPr>
          <w:rFonts w:eastAsiaTheme="minorEastAsia"/>
          <w:b/>
          <w:color w:val="auto"/>
        </w:rPr>
      </w:pPr>
      <w:r>
        <w:rPr>
          <w:rFonts w:eastAsiaTheme="minorEastAsia"/>
          <w:b/>
          <w:color w:val="auto"/>
        </w:rPr>
        <w:t>附件十二、无重大违法记录声明格式</w:t>
      </w:r>
    </w:p>
    <w:p w14:paraId="6A67DD35">
      <w:pPr>
        <w:spacing w:line="360" w:lineRule="auto"/>
        <w:jc w:val="center"/>
        <w:rPr>
          <w:rFonts w:eastAsiaTheme="minorEastAsia"/>
          <w:color w:val="auto"/>
          <w:sz w:val="28"/>
          <w:szCs w:val="36"/>
        </w:rPr>
      </w:pPr>
    </w:p>
    <w:p w14:paraId="2D9E3849">
      <w:pPr>
        <w:spacing w:line="360" w:lineRule="auto"/>
        <w:jc w:val="center"/>
        <w:rPr>
          <w:rFonts w:eastAsiaTheme="minorEastAsia"/>
          <w:color w:val="auto"/>
          <w:sz w:val="28"/>
          <w:szCs w:val="36"/>
        </w:rPr>
      </w:pPr>
      <w:r>
        <w:rPr>
          <w:rFonts w:eastAsiaTheme="minorEastAsia"/>
          <w:color w:val="auto"/>
          <w:sz w:val="28"/>
          <w:szCs w:val="36"/>
        </w:rPr>
        <w:t>无重大违法记录声明</w:t>
      </w:r>
    </w:p>
    <w:p w14:paraId="29E20FEE">
      <w:pPr>
        <w:spacing w:line="360" w:lineRule="auto"/>
        <w:rPr>
          <w:rFonts w:eastAsiaTheme="minorEastAsia"/>
          <w:color w:val="auto"/>
          <w:szCs w:val="21"/>
        </w:rPr>
      </w:pPr>
    </w:p>
    <w:p w14:paraId="6089D4E8">
      <w:pPr>
        <w:spacing w:line="360" w:lineRule="auto"/>
        <w:rPr>
          <w:rFonts w:eastAsiaTheme="minorEastAsia"/>
          <w:color w:val="auto"/>
          <w:szCs w:val="21"/>
        </w:rPr>
      </w:pPr>
      <w:r>
        <w:rPr>
          <w:rFonts w:eastAsiaTheme="minorEastAsia"/>
          <w:color w:val="auto"/>
          <w:szCs w:val="21"/>
        </w:rPr>
        <w:t>江苏省设备成套股份有限公司：</w:t>
      </w:r>
    </w:p>
    <w:p w14:paraId="22B9B202">
      <w:pPr>
        <w:spacing w:line="360" w:lineRule="auto"/>
        <w:rPr>
          <w:rFonts w:eastAsiaTheme="minorEastAsia"/>
          <w:color w:val="auto"/>
        </w:rPr>
      </w:pPr>
    </w:p>
    <w:p w14:paraId="48EEB584">
      <w:pPr>
        <w:spacing w:line="360" w:lineRule="auto"/>
        <w:ind w:firstLine="336" w:firstLineChars="160"/>
        <w:rPr>
          <w:rFonts w:eastAsiaTheme="minorEastAsia"/>
          <w:color w:val="auto"/>
        </w:rPr>
      </w:pPr>
      <w:r>
        <w:rPr>
          <w:rFonts w:eastAsiaTheme="minorEastAsia"/>
          <w:color w:val="auto"/>
        </w:rPr>
        <w:t>我单位（供应商名称）郑重声明：</w:t>
      </w:r>
    </w:p>
    <w:p w14:paraId="08B66B0A">
      <w:pPr>
        <w:widowControl/>
        <w:shd w:val="clear" w:color="auto" w:fill="FFFFFF"/>
        <w:spacing w:line="360" w:lineRule="auto"/>
        <w:ind w:firstLine="308" w:firstLineChars="147"/>
        <w:rPr>
          <w:rFonts w:eastAsiaTheme="minorEastAsia"/>
          <w:b/>
          <w:color w:val="auto"/>
          <w:kern w:val="0"/>
          <w:szCs w:val="21"/>
        </w:rPr>
      </w:pPr>
      <w:r>
        <w:rPr>
          <w:rFonts w:eastAsiaTheme="minorEastAsia"/>
          <w:color w:val="auto"/>
          <w:kern w:val="0"/>
          <w:szCs w:val="21"/>
        </w:rPr>
        <w:t>我单位</w:t>
      </w:r>
      <w:r>
        <w:rPr>
          <w:rFonts w:eastAsiaTheme="minorEastAsia"/>
          <w:color w:val="auto"/>
        </w:rPr>
        <w:t>参加政府采购活动前3年内在经营活动中（</w:t>
      </w:r>
      <w:r>
        <w:rPr>
          <w:rFonts w:eastAsiaTheme="minorEastAsia"/>
          <w:b/>
          <w:i/>
          <w:color w:val="auto"/>
          <w:u w:val="single"/>
        </w:rPr>
        <w:t>在下划线上如实填写：有或没有</w:t>
      </w:r>
      <w:r>
        <w:rPr>
          <w:rFonts w:eastAsiaTheme="minorEastAsia"/>
          <w:color w:val="auto"/>
        </w:rPr>
        <w:t>）</w:t>
      </w:r>
      <w:r>
        <w:rPr>
          <w:rFonts w:eastAsiaTheme="minorEastAsia"/>
          <w:b/>
          <w:color w:val="auto"/>
        </w:rPr>
        <w:t>重大违法记录</w:t>
      </w:r>
      <w:r>
        <w:rPr>
          <w:rFonts w:eastAsiaTheme="minorEastAsia"/>
          <w:b/>
          <w:color w:val="auto"/>
          <w:kern w:val="0"/>
          <w:szCs w:val="21"/>
        </w:rPr>
        <w:t>，且不是失信被执行人、重大税收违法失信主体名单、政府采购严重违法失信行为记录名单的供应商。</w:t>
      </w:r>
    </w:p>
    <w:p w14:paraId="59350931">
      <w:pPr>
        <w:spacing w:line="360" w:lineRule="auto"/>
        <w:ind w:firstLine="420" w:firstLineChars="200"/>
        <w:rPr>
          <w:rFonts w:eastAsiaTheme="minorEastAsia"/>
          <w:color w:val="auto"/>
        </w:rPr>
      </w:pPr>
    </w:p>
    <w:p w14:paraId="62AE7D3B">
      <w:pPr>
        <w:spacing w:line="360" w:lineRule="auto"/>
        <w:ind w:firstLine="315" w:firstLineChars="150"/>
        <w:rPr>
          <w:rFonts w:eastAsiaTheme="minorEastAsia"/>
          <w:color w:val="auto"/>
        </w:rPr>
      </w:pPr>
      <w:r>
        <w:rPr>
          <w:rFonts w:eastAsiaTheme="minorEastAsia"/>
          <w:color w:val="auto"/>
        </w:rPr>
        <w:t>（说明：政府采购法第二十二条第一款第五项所称重大违法记录，是指供应商因违法经营受到刑事处罚或者责令停产停业、吊销许可证或者执照、较大数额罚款等行政处罚。）</w:t>
      </w:r>
    </w:p>
    <w:p w14:paraId="5B0737DE">
      <w:pPr>
        <w:spacing w:line="360" w:lineRule="auto"/>
        <w:rPr>
          <w:rFonts w:eastAsiaTheme="minorEastAsia"/>
          <w:color w:val="auto"/>
        </w:rPr>
      </w:pPr>
    </w:p>
    <w:p w14:paraId="3EF72E05">
      <w:pPr>
        <w:spacing w:line="360" w:lineRule="auto"/>
        <w:rPr>
          <w:rFonts w:eastAsiaTheme="minorEastAsia"/>
          <w:color w:val="auto"/>
        </w:rPr>
      </w:pPr>
    </w:p>
    <w:p w14:paraId="2BAD3EA6">
      <w:pPr>
        <w:spacing w:line="360" w:lineRule="auto"/>
        <w:ind w:firstLine="5103" w:firstLineChars="2430"/>
        <w:rPr>
          <w:rFonts w:eastAsiaTheme="minorEastAsia"/>
          <w:color w:val="auto"/>
        </w:rPr>
      </w:pPr>
      <w:r>
        <w:rPr>
          <w:rFonts w:eastAsiaTheme="minorEastAsia"/>
          <w:color w:val="auto"/>
        </w:rPr>
        <w:t>声明人：（</w:t>
      </w:r>
      <w:r>
        <w:rPr>
          <w:rFonts w:eastAsiaTheme="minorEastAsia"/>
          <w:color w:val="auto"/>
          <w:kern w:val="0"/>
          <w:szCs w:val="21"/>
        </w:rPr>
        <w:t>加盖电子公章</w:t>
      </w:r>
      <w:r>
        <w:rPr>
          <w:rFonts w:eastAsiaTheme="minorEastAsia"/>
          <w:color w:val="auto"/>
        </w:rPr>
        <w:t>）</w:t>
      </w:r>
    </w:p>
    <w:p w14:paraId="30492F10">
      <w:pPr>
        <w:autoSpaceDE w:val="0"/>
        <w:autoSpaceDN w:val="0"/>
        <w:adjustRightInd w:val="0"/>
        <w:spacing w:line="360" w:lineRule="auto"/>
        <w:ind w:firstLine="5250" w:firstLineChars="2500"/>
        <w:rPr>
          <w:rFonts w:eastAsiaTheme="minorEastAsia"/>
          <w:b/>
          <w:color w:val="auto"/>
        </w:rPr>
      </w:pPr>
      <w:r>
        <w:rPr>
          <w:rFonts w:eastAsiaTheme="minorEastAsia"/>
          <w:color w:val="auto"/>
          <w:szCs w:val="21"/>
          <w:lang w:val="zh-CN"/>
        </w:rPr>
        <w:t>日期：</w:t>
      </w:r>
      <w:r>
        <w:rPr>
          <w:rFonts w:eastAsiaTheme="minorEastAsia"/>
          <w:color w:val="auto"/>
          <w:szCs w:val="21"/>
        </w:rPr>
        <w:t xml:space="preserve">        </w:t>
      </w:r>
      <w:r>
        <w:rPr>
          <w:rFonts w:eastAsiaTheme="minorEastAsia"/>
          <w:color w:val="auto"/>
          <w:szCs w:val="21"/>
          <w:lang w:val="zh-CN"/>
        </w:rPr>
        <w:t>年</w:t>
      </w:r>
      <w:r>
        <w:rPr>
          <w:rFonts w:eastAsiaTheme="minorEastAsia"/>
          <w:color w:val="auto"/>
          <w:szCs w:val="21"/>
        </w:rPr>
        <w:t xml:space="preserve">        </w:t>
      </w:r>
      <w:r>
        <w:rPr>
          <w:rFonts w:eastAsiaTheme="minorEastAsia"/>
          <w:color w:val="auto"/>
          <w:szCs w:val="21"/>
          <w:lang w:val="zh-CN"/>
        </w:rPr>
        <w:t>月</w:t>
      </w:r>
      <w:r>
        <w:rPr>
          <w:rFonts w:eastAsiaTheme="minorEastAsia"/>
          <w:b/>
          <w:color w:val="auto"/>
          <w:szCs w:val="21"/>
          <w:lang w:val="zh-CN"/>
        </w:rPr>
        <w:br w:type="page"/>
      </w:r>
      <w:r>
        <w:rPr>
          <w:rFonts w:eastAsiaTheme="minorEastAsia"/>
          <w:b/>
          <w:color w:val="auto"/>
        </w:rPr>
        <w:t>附件十三、资格资信证明文件</w:t>
      </w:r>
    </w:p>
    <w:p w14:paraId="029F3A9B">
      <w:pPr>
        <w:autoSpaceDE w:val="0"/>
        <w:autoSpaceDN w:val="0"/>
        <w:adjustRightInd w:val="0"/>
        <w:spacing w:line="360" w:lineRule="auto"/>
        <w:rPr>
          <w:rFonts w:eastAsiaTheme="minorEastAsia"/>
          <w:b/>
          <w:color w:val="auto"/>
        </w:rPr>
      </w:pPr>
    </w:p>
    <w:p w14:paraId="3197EBDB">
      <w:pPr>
        <w:autoSpaceDE w:val="0"/>
        <w:autoSpaceDN w:val="0"/>
        <w:adjustRightInd w:val="0"/>
        <w:spacing w:line="360" w:lineRule="auto"/>
        <w:rPr>
          <w:rFonts w:eastAsiaTheme="minorEastAsia"/>
          <w:bCs/>
          <w:color w:val="auto"/>
        </w:rPr>
      </w:pPr>
      <w:r>
        <w:rPr>
          <w:rFonts w:eastAsiaTheme="minorEastAsia"/>
          <w:bCs/>
          <w:color w:val="auto"/>
        </w:rPr>
        <w:t>根据采购公告中二、申请人的资格要求填写</w:t>
      </w:r>
    </w:p>
    <w:p w14:paraId="2C3FF619">
      <w:pPr>
        <w:autoSpaceDE w:val="0"/>
        <w:autoSpaceDN w:val="0"/>
        <w:adjustRightInd w:val="0"/>
        <w:spacing w:line="360" w:lineRule="auto"/>
        <w:rPr>
          <w:rFonts w:eastAsiaTheme="minorEastAsia"/>
          <w:b/>
          <w:color w:val="auto"/>
        </w:rPr>
      </w:pPr>
    </w:p>
    <w:p w14:paraId="2CD0D6C7">
      <w:pPr>
        <w:autoSpaceDE w:val="0"/>
        <w:autoSpaceDN w:val="0"/>
        <w:adjustRightInd w:val="0"/>
        <w:spacing w:line="360" w:lineRule="auto"/>
        <w:rPr>
          <w:rFonts w:eastAsiaTheme="minorEastAsia"/>
          <w:b/>
          <w:color w:val="auto"/>
        </w:rPr>
      </w:pPr>
    </w:p>
    <w:p w14:paraId="62CC64E3">
      <w:pPr>
        <w:autoSpaceDE w:val="0"/>
        <w:autoSpaceDN w:val="0"/>
        <w:adjustRightInd w:val="0"/>
        <w:spacing w:line="360" w:lineRule="auto"/>
        <w:rPr>
          <w:rFonts w:eastAsiaTheme="minorEastAsia"/>
          <w:b/>
          <w:color w:val="auto"/>
        </w:rPr>
      </w:pPr>
    </w:p>
    <w:p w14:paraId="56473513">
      <w:pPr>
        <w:spacing w:line="360" w:lineRule="auto"/>
        <w:rPr>
          <w:rFonts w:eastAsiaTheme="minorEastAsia"/>
          <w:b/>
          <w:color w:val="auto"/>
        </w:rPr>
      </w:pPr>
      <w:r>
        <w:rPr>
          <w:rFonts w:eastAsiaTheme="minorEastAsia"/>
          <w:b/>
          <w:color w:val="auto"/>
        </w:rPr>
        <w:br w:type="page"/>
      </w:r>
    </w:p>
    <w:p w14:paraId="04CC073A">
      <w:pPr>
        <w:autoSpaceDE w:val="0"/>
        <w:autoSpaceDN w:val="0"/>
        <w:adjustRightInd w:val="0"/>
        <w:spacing w:line="360" w:lineRule="auto"/>
        <w:rPr>
          <w:rFonts w:eastAsiaTheme="minorEastAsia"/>
          <w:b/>
          <w:color w:val="auto"/>
        </w:rPr>
      </w:pPr>
      <w:r>
        <w:rPr>
          <w:rFonts w:eastAsiaTheme="minorEastAsia"/>
          <w:b/>
          <w:color w:val="auto"/>
        </w:rPr>
        <w:t>附件十四、其他</w:t>
      </w:r>
    </w:p>
    <w:p w14:paraId="223DF013">
      <w:pPr>
        <w:widowControl/>
        <w:spacing w:line="360" w:lineRule="auto"/>
        <w:jc w:val="left"/>
        <w:rPr>
          <w:rFonts w:eastAsiaTheme="minorEastAsia"/>
          <w:b/>
          <w:color w:val="auto"/>
        </w:rPr>
      </w:pPr>
    </w:p>
    <w:p w14:paraId="3D2FBEA0">
      <w:pPr>
        <w:widowControl/>
        <w:shd w:val="clear" w:color="auto" w:fill="FFFFFF"/>
        <w:spacing w:line="360" w:lineRule="auto"/>
        <w:jc w:val="left"/>
        <w:rPr>
          <w:rFonts w:eastAsiaTheme="minorEastAsia"/>
          <w:b/>
          <w:bCs/>
          <w:color w:val="auto"/>
          <w:kern w:val="0"/>
          <w:szCs w:val="21"/>
          <w:lang w:val="zh-CN"/>
        </w:rPr>
      </w:pPr>
    </w:p>
    <w:p w14:paraId="6BB0E307">
      <w:pPr>
        <w:spacing w:before="317" w:beforeLines="100" w:after="317" w:afterLines="100" w:line="360" w:lineRule="auto"/>
        <w:jc w:val="center"/>
        <w:rPr>
          <w:rFonts w:eastAsiaTheme="minorEastAsia"/>
          <w:b/>
          <w:bCs/>
          <w:color w:val="auto"/>
          <w:kern w:val="0"/>
          <w:szCs w:val="21"/>
          <w:lang w:val="zh-CN"/>
        </w:rPr>
      </w:pPr>
    </w:p>
    <w:bookmarkEnd w:id="1"/>
    <w:p w14:paraId="7C027AC0">
      <w:pPr>
        <w:spacing w:line="360" w:lineRule="auto"/>
        <w:rPr>
          <w:rFonts w:eastAsiaTheme="minorEastAsia"/>
          <w:b/>
          <w:bCs/>
          <w:color w:val="auto"/>
          <w:kern w:val="0"/>
          <w:szCs w:val="21"/>
        </w:rPr>
      </w:pPr>
    </w:p>
    <w:sectPr>
      <w:footerReference r:id="rId11" w:type="first"/>
      <w:headerReference r:id="rId9" w:type="default"/>
      <w:footerReference r:id="rId10" w:type="default"/>
      <w:pgSz w:w="11905" w:h="16838"/>
      <w:pgMar w:top="1213" w:right="1293" w:bottom="1213" w:left="1293" w:header="850" w:footer="992" w:gutter="0"/>
      <w:pgNumType w:fmt="decimal"/>
      <w:cols w:space="0" w:num="1"/>
      <w:titlePg/>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Ari">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KNLe">
    <w:altName w:val="宋体"/>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Garamond">
    <w:panose1 w:val="02020404030301010803"/>
    <w:charset w:val="00"/>
    <w:family w:val="roman"/>
    <w:pitch w:val="default"/>
    <w:sig w:usb0="00000287" w:usb1="00000000" w:usb2="00000000" w:usb3="00000000" w:csb0="0000009F" w:csb1="DFD70000"/>
  </w:font>
  <w:font w:name="Microsoft YaHei UI">
    <w:panose1 w:val="020B0503020204020204"/>
    <w:charset w:val="86"/>
    <w:family w:val="swiss"/>
    <w:pitch w:val="default"/>
    <w:sig w:usb0="80000287" w:usb1="2ACF3C50" w:usb2="00000016" w:usb3="00000000" w:csb0="0004001F" w:csb1="00000000"/>
  </w:font>
  <w:font w:name="PingFangTC-light">
    <w:altName w:val="微软雅黑"/>
    <w:panose1 w:val="00000000000000000000"/>
    <w:charset w:val="00"/>
    <w:family w:val="auto"/>
    <w:pitch w:val="default"/>
    <w:sig w:usb0="00000000" w:usb1="00000000" w:usb2="00000000" w:usb3="00000000" w:csb0="00040001" w:csb1="00000000"/>
  </w:font>
  <w:font w:name="TimesNewRomanPS-BoldMT">
    <w:altName w:val="PMingLiU-ExtB"/>
    <w:panose1 w:val="00000000000000000000"/>
    <w:charset w:val="00"/>
    <w:family w:val="roman"/>
    <w:pitch w:val="default"/>
    <w:sig w:usb0="00000000" w:usb1="00000000" w:usb2="00000000" w:usb3="00000000" w:csb0="00040001" w:csb1="00000000"/>
  </w:font>
  <w:font w:name="PMingLiU-ExtB">
    <w:panose1 w:val="02020500000000000000"/>
    <w:charset w:val="88"/>
    <w:family w:val="auto"/>
    <w:pitch w:val="default"/>
    <w:sig w:usb0="8000002F" w:usb1="02000008" w:usb2="00000000" w:usb3="00000000" w:csb0="00100001" w:csb1="00000000"/>
  </w:font>
  <w:font w:name="Cambria Math">
    <w:panose1 w:val="02040503050406030204"/>
    <w:charset w:val="00"/>
    <w:family w:val="roman"/>
    <w:pitch w:val="default"/>
    <w:sig w:usb0="E00006FF" w:usb1="420024FF" w:usb2="02000000" w:usb3="00000000" w:csb0="2000019F"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9613F6">
    <w:pPr>
      <w:pStyle w:val="41"/>
      <w:jc w:val="center"/>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57617"/>
                            <w:docPartObj>
                              <w:docPartGallery w:val="autotext"/>
                            </w:docPartObj>
                          </w:sdtPr>
                          <w:sdtContent>
                            <w:p w14:paraId="00469CCA">
                              <w:pPr>
                                <w:pStyle w:val="41"/>
                                <w:jc w:val="center"/>
                              </w:pPr>
                              <w:r>
                                <w:fldChar w:fldCharType="begin"/>
                              </w:r>
                              <w:r>
                                <w:instrText xml:space="preserve">PAGE   \* MERGEFORMAT</w:instrText>
                              </w:r>
                              <w:r>
                                <w:fldChar w:fldCharType="separate"/>
                              </w:r>
                              <w:r>
                                <w:rPr>
                                  <w:lang w:val="zh-CN"/>
                                </w:rPr>
                                <w:t>2</w:t>
                              </w:r>
                              <w:r>
                                <w:fldChar w:fldCharType="end"/>
                              </w:r>
                            </w:p>
                          </w:sdtContent>
                        </w:sdt>
                        <w:p w14:paraId="4BF91171">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57617"/>
                      <w:docPartObj>
                        <w:docPartGallery w:val="autotext"/>
                      </w:docPartObj>
                    </w:sdtPr>
                    <w:sdtContent>
                      <w:p w14:paraId="00469CCA">
                        <w:pPr>
                          <w:pStyle w:val="41"/>
                          <w:jc w:val="center"/>
                        </w:pPr>
                        <w:r>
                          <w:fldChar w:fldCharType="begin"/>
                        </w:r>
                        <w:r>
                          <w:instrText xml:space="preserve">PAGE   \* MERGEFORMAT</w:instrText>
                        </w:r>
                        <w:r>
                          <w:fldChar w:fldCharType="separate"/>
                        </w:r>
                        <w:r>
                          <w:rPr>
                            <w:lang w:val="zh-CN"/>
                          </w:rPr>
                          <w:t>2</w:t>
                        </w:r>
                        <w:r>
                          <w:fldChar w:fldCharType="end"/>
                        </w:r>
                      </w:p>
                    </w:sdtContent>
                  </w:sdt>
                  <w:p w14:paraId="4BF91171">
                    <w:pPr>
                      <w:pStyle w:val="2"/>
                    </w:pPr>
                  </w:p>
                </w:txbxContent>
              </v:textbox>
            </v:shape>
          </w:pict>
        </mc:Fallback>
      </mc:AlternateContent>
    </w:r>
  </w:p>
  <w:p w14:paraId="386379BD">
    <w:pPr>
      <w:spacing w:line="196" w:lineRule="auto"/>
      <w:ind w:left="4737"/>
      <w:rPr>
        <w:rFonts w:eastAsia="Times New Roman"/>
        <w:sz w:val="17"/>
        <w:szCs w:val="17"/>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049F0">
    <w:pPr>
      <w:spacing w:line="196" w:lineRule="auto"/>
      <w:ind w:left="4850"/>
      <w:rPr>
        <w:rFonts w:eastAsia="Times New Roman"/>
        <w:sz w:val="17"/>
        <w:szCs w:val="17"/>
      </w:rPr>
    </w:pPr>
    <w:r>
      <w:rPr>
        <w:sz w:val="17"/>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AFC59D">
                          <w:pPr>
                            <w:pStyle w:val="41"/>
                            <w:ind w:firstLine="360"/>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NiTWUt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NNiTWUtAgAAVwQAAA4AAAAAAAAAAQAgAAAAHwEAAGRycy9lMm9Eb2MueG1sUEsFBgAAAAAG&#10;AAYAWQEAAL4FAAAAAA==&#10;">
              <v:fill on="f" focussize="0,0"/>
              <v:stroke on="f" weight="0.5pt"/>
              <v:imagedata o:title=""/>
              <o:lock v:ext="edit" aspectratio="f"/>
              <v:textbox inset="0mm,0mm,0mm,0mm" style="mso-fit-shape-to-text:t;">
                <w:txbxContent>
                  <w:p w14:paraId="69AFC59D">
                    <w:pPr>
                      <w:pStyle w:val="41"/>
                      <w:ind w:firstLine="360"/>
                    </w:pPr>
                    <w:r>
                      <w:rPr>
                        <w:rFonts w:hint="eastAsia"/>
                      </w:rPr>
                      <w:fldChar w:fldCharType="begin"/>
                    </w:r>
                    <w:r>
                      <w:rPr>
                        <w:rFonts w:hint="eastAsia"/>
                      </w:rPr>
                      <w:instrText xml:space="preserve"> PAGE  \* MERGEFORMAT </w:instrText>
                    </w:r>
                    <w:r>
                      <w:rPr>
                        <w:rFonts w:hint="eastAsia"/>
                      </w:rPr>
                      <w:fldChar w:fldCharType="separate"/>
                    </w:r>
                    <w:r>
                      <w:t>47</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82D62">
    <w:pPr>
      <w:spacing w:line="193" w:lineRule="auto"/>
      <w:ind w:left="4737"/>
      <w:rPr>
        <w:rFonts w:eastAsia="Times New Roman"/>
        <w:sz w:val="17"/>
        <w:szCs w:val="17"/>
      </w:rPr>
    </w:pPr>
    <w:r>
      <w:rPr>
        <w:sz w:val="17"/>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D4838">
                          <w:pPr>
                            <w:pStyle w:val="41"/>
                            <w:ind w:firstLine="360"/>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svHiU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PpF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HsvHiUtAgAAVwQAAA4AAAAAAAAAAQAgAAAAHwEAAGRycy9lMm9Eb2MueG1sUEsFBgAAAAAG&#10;AAYAWQEAAL4FAAAAAA==&#10;">
              <v:fill on="f" focussize="0,0"/>
              <v:stroke on="f" weight="0.5pt"/>
              <v:imagedata o:title=""/>
              <o:lock v:ext="edit" aspectratio="f"/>
              <v:textbox inset="0mm,0mm,0mm,0mm" style="mso-fit-shape-to-text:t;">
                <w:txbxContent>
                  <w:p w14:paraId="1B8D4838">
                    <w:pPr>
                      <w:pStyle w:val="41"/>
                      <w:ind w:firstLine="360"/>
                    </w:pPr>
                    <w:r>
                      <w:rPr>
                        <w:rFonts w:hint="eastAsia"/>
                      </w:rPr>
                      <w:fldChar w:fldCharType="begin"/>
                    </w:r>
                    <w:r>
                      <w:rPr>
                        <w:rFonts w:hint="eastAsia"/>
                      </w:rPr>
                      <w:instrText xml:space="preserve"> PAGE  \* MERGEFORMAT </w:instrText>
                    </w:r>
                    <w:r>
                      <w:rPr>
                        <w:rFonts w:hint="eastAsia"/>
                      </w:rPr>
                      <w:fldChar w:fldCharType="separate"/>
                    </w:r>
                    <w:r>
                      <w:t>48</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89C3E">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C5736E">
                          <w:pPr>
                            <w:pStyle w:val="41"/>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AC5736E">
                    <w:pPr>
                      <w:pStyle w:val="41"/>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76F85">
    <w:pPr>
      <w:pStyle w:val="4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0E091">
                          <w:pPr>
                            <w:pStyle w:val="41"/>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3B0E091">
                    <w:pPr>
                      <w:pStyle w:val="41"/>
                    </w:pPr>
                    <w:r>
                      <w:fldChar w:fldCharType="begin"/>
                    </w:r>
                    <w:r>
                      <w:instrText xml:space="preserve"> PAGE  \* MERGEFORMAT </w:instrText>
                    </w:r>
                    <w:r>
                      <w:fldChar w:fldCharType="separate"/>
                    </w:r>
                    <w:r>
                      <w:t>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395A">
    <w:pPr>
      <w:spacing w:line="350" w:lineRule="exact"/>
      <w:ind w:firstLine="1"/>
      <w:textAlignment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4776E">
    <w:pPr>
      <w:spacing w:line="350" w:lineRule="exact"/>
      <w:ind w:firstLine="114"/>
      <w:textAlignment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7EA7F">
    <w:pPr>
      <w:spacing w:line="350" w:lineRule="exact"/>
      <w:ind w:firstLine="1"/>
      <w:textAlignment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DDBF2">
    <w:pPr>
      <w:spacing w:line="14" w:lineRule="auto"/>
      <w:rPr>
        <w:rFonts w:ascii="Arial"/>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651FDF"/>
    <w:multiLevelType w:val="singleLevel"/>
    <w:tmpl w:val="82651FDF"/>
    <w:lvl w:ilvl="0" w:tentative="0">
      <w:start w:val="1"/>
      <w:numFmt w:val="decimal"/>
      <w:lvlText w:val="%1."/>
      <w:lvlJc w:val="left"/>
      <w:pPr>
        <w:ind w:left="425" w:hanging="425"/>
      </w:pPr>
      <w:rPr>
        <w:rFonts w:hint="default"/>
      </w:rPr>
    </w:lvl>
  </w:abstractNum>
  <w:abstractNum w:abstractNumId="1">
    <w:nsid w:val="99649B8B"/>
    <w:multiLevelType w:val="singleLevel"/>
    <w:tmpl w:val="99649B8B"/>
    <w:lvl w:ilvl="0" w:tentative="0">
      <w:start w:val="1"/>
      <w:numFmt w:val="decimal"/>
      <w:suff w:val="space"/>
      <w:lvlText w:val="%1."/>
      <w:lvlJc w:val="left"/>
    </w:lvl>
  </w:abstractNum>
  <w:abstractNum w:abstractNumId="2">
    <w:nsid w:val="B63A320B"/>
    <w:multiLevelType w:val="singleLevel"/>
    <w:tmpl w:val="B63A320B"/>
    <w:lvl w:ilvl="0" w:tentative="0">
      <w:start w:val="1"/>
      <w:numFmt w:val="decimal"/>
      <w:lvlText w:val="%1."/>
      <w:lvlJc w:val="left"/>
      <w:pPr>
        <w:ind w:left="425" w:hanging="425"/>
      </w:pPr>
      <w:rPr>
        <w:rFonts w:hint="default"/>
      </w:rPr>
    </w:lvl>
  </w:abstractNum>
  <w:abstractNum w:abstractNumId="3">
    <w:nsid w:val="00000002"/>
    <w:multiLevelType w:val="multilevel"/>
    <w:tmpl w:val="00000002"/>
    <w:lvl w:ilvl="0" w:tentative="0">
      <w:start w:val="1"/>
      <w:numFmt w:val="japaneseCounting"/>
      <w:pStyle w:val="287"/>
      <w:lvlText w:val="%1、"/>
      <w:lvlJc w:val="left"/>
      <w:pPr>
        <w:tabs>
          <w:tab w:val="left" w:pos="720"/>
        </w:tabs>
        <w:ind w:left="720" w:hanging="720"/>
      </w:pPr>
      <w:rPr>
        <w:rFonts w:hint="eastAsia"/>
      </w:rPr>
    </w:lvl>
    <w:lvl w:ilvl="1" w:tentative="0">
      <w:start w:val="1"/>
      <w:numFmt w:val="chineseCountingThousand"/>
      <w:lvlText w:val="（%2）"/>
      <w:lvlJc w:val="left"/>
      <w:pPr>
        <w:tabs>
          <w:tab w:val="left" w:pos="780"/>
        </w:tabs>
        <w:ind w:left="780" w:hanging="780"/>
      </w:pPr>
      <w:rPr>
        <w:rFonts w:hint="eastAsia"/>
      </w:rPr>
    </w:lvl>
    <w:lvl w:ilvl="2" w:tentative="0">
      <w:start w:val="1"/>
      <w:numFmt w:val="lowerRoman"/>
      <w:lvlText w:val="%3."/>
      <w:lvlJc w:val="right"/>
      <w:pPr>
        <w:tabs>
          <w:tab w:val="left" w:pos="1260"/>
        </w:tabs>
        <w:ind w:left="1260" w:hanging="420"/>
      </w:pPr>
      <w:rPr>
        <w:rFonts w:hint="eastAsia"/>
      </w:rPr>
    </w:lvl>
    <w:lvl w:ilvl="3" w:tentative="0">
      <w:start w:val="1"/>
      <w:numFmt w:val="decimal"/>
      <w:lvlText w:val="%4."/>
      <w:lvlJc w:val="left"/>
      <w:pPr>
        <w:tabs>
          <w:tab w:val="left" w:pos="1680"/>
        </w:tabs>
        <w:ind w:left="1680" w:hanging="420"/>
      </w:pPr>
      <w:rPr>
        <w:rFonts w:hint="eastAsia"/>
      </w:rPr>
    </w:lvl>
    <w:lvl w:ilvl="4" w:tentative="0">
      <w:start w:val="1"/>
      <w:numFmt w:val="lowerLetter"/>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4">
    <w:nsid w:val="00000006"/>
    <w:multiLevelType w:val="multilevel"/>
    <w:tmpl w:val="00000006"/>
    <w:lvl w:ilvl="0" w:tentative="0">
      <w:start w:val="1"/>
      <w:numFmt w:val="chineseCountingThousand"/>
      <w:pStyle w:val="13"/>
      <w:suff w:val="nothing"/>
      <w:lvlText w:val="第%1章"/>
      <w:lvlJc w:val="left"/>
      <w:pPr>
        <w:ind w:left="0" w:firstLine="0"/>
      </w:pPr>
    </w:lvl>
    <w:lvl w:ilvl="1" w:tentative="0">
      <w:start w:val="1"/>
      <w:numFmt w:val="none"/>
      <w:pStyle w:val="14"/>
      <w:suff w:val="nothing"/>
      <w:lvlText w:val=""/>
      <w:lvlJc w:val="left"/>
      <w:pPr>
        <w:ind w:left="0" w:firstLine="0"/>
      </w:pPr>
    </w:lvl>
    <w:lvl w:ilvl="2" w:tentative="0">
      <w:start w:val="1"/>
      <w:numFmt w:val="none"/>
      <w:pStyle w:val="15"/>
      <w:suff w:val="nothing"/>
      <w:lvlText w:val=""/>
      <w:lvlJc w:val="left"/>
      <w:pPr>
        <w:ind w:left="0" w:firstLine="0"/>
      </w:pPr>
    </w:lvl>
    <w:lvl w:ilvl="3" w:tentative="0">
      <w:start w:val="1"/>
      <w:numFmt w:val="none"/>
      <w:pStyle w:val="16"/>
      <w:suff w:val="nothing"/>
      <w:lvlText w:val=""/>
      <w:lvlJc w:val="left"/>
      <w:pPr>
        <w:ind w:left="0" w:firstLine="0"/>
      </w:pPr>
    </w:lvl>
    <w:lvl w:ilvl="4" w:tentative="0">
      <w:start w:val="1"/>
      <w:numFmt w:val="none"/>
      <w:pStyle w:val="17"/>
      <w:suff w:val="nothing"/>
      <w:lvlText w:val=""/>
      <w:lvlJc w:val="left"/>
      <w:pPr>
        <w:ind w:left="0" w:firstLine="0"/>
      </w:pPr>
    </w:lvl>
    <w:lvl w:ilvl="5" w:tentative="0">
      <w:start w:val="1"/>
      <w:numFmt w:val="none"/>
      <w:pStyle w:val="18"/>
      <w:suff w:val="nothing"/>
      <w:lvlText w:val=""/>
      <w:lvlJc w:val="left"/>
      <w:pPr>
        <w:ind w:left="0" w:firstLine="0"/>
      </w:pPr>
    </w:lvl>
    <w:lvl w:ilvl="6" w:tentative="0">
      <w:start w:val="1"/>
      <w:numFmt w:val="none"/>
      <w:pStyle w:val="19"/>
      <w:suff w:val="nothing"/>
      <w:lvlText w:val=""/>
      <w:lvlJc w:val="left"/>
      <w:pPr>
        <w:ind w:left="0" w:firstLine="0"/>
      </w:pPr>
    </w:lvl>
    <w:lvl w:ilvl="7" w:tentative="0">
      <w:start w:val="1"/>
      <w:numFmt w:val="none"/>
      <w:pStyle w:val="20"/>
      <w:suff w:val="nothing"/>
      <w:lvlText w:val=""/>
      <w:lvlJc w:val="left"/>
      <w:pPr>
        <w:ind w:left="0" w:firstLine="0"/>
      </w:pPr>
    </w:lvl>
    <w:lvl w:ilvl="8" w:tentative="0">
      <w:start w:val="1"/>
      <w:numFmt w:val="none"/>
      <w:pStyle w:val="21"/>
      <w:suff w:val="nothing"/>
      <w:lvlText w:val=""/>
      <w:lvlJc w:val="left"/>
      <w:pPr>
        <w:ind w:left="0" w:firstLine="0"/>
      </w:pPr>
    </w:lvl>
  </w:abstractNum>
  <w:abstractNum w:abstractNumId="5">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6">
    <w:nsid w:val="130A2188"/>
    <w:multiLevelType w:val="multilevel"/>
    <w:tmpl w:val="130A2188"/>
    <w:lvl w:ilvl="0" w:tentative="0">
      <w:start w:val="1"/>
      <w:numFmt w:val="chineseCountingThousand"/>
      <w:pStyle w:val="165"/>
      <w:lvlText w:val="%1"/>
      <w:lvlJc w:val="left"/>
      <w:pPr>
        <w:ind w:left="425" w:hanging="425"/>
      </w:pPr>
      <w:rPr>
        <w:rFonts w:hint="eastAsia" w:ascii="Arial Unicode MS" w:hAnsi="Arial Unicode MS" w:eastAsia="微软雅黑"/>
        <w:b/>
        <w:i w:val="0"/>
        <w:lang w:val="en-US"/>
      </w:rPr>
    </w:lvl>
    <w:lvl w:ilvl="1" w:tentative="0">
      <w:start w:val="1"/>
      <w:numFmt w:val="decimal"/>
      <w:pStyle w:val="183"/>
      <w:isLgl/>
      <w:lvlText w:val="%1.%2"/>
      <w:lvlJc w:val="left"/>
      <w:pPr>
        <w:ind w:left="425" w:hanging="425"/>
      </w:pPr>
      <w:rPr>
        <w:rFonts w:hint="eastAsia" w:ascii="Arial Unicode MS" w:hAnsi="Arial Unicode MS" w:eastAsia="微软雅黑"/>
        <w:b/>
        <w:i w:val="0"/>
      </w:rPr>
    </w:lvl>
    <w:lvl w:ilvl="2" w:tentative="0">
      <w:start w:val="1"/>
      <w:numFmt w:val="decimal"/>
      <w:pStyle w:val="196"/>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7">
    <w:nsid w:val="196A21CC"/>
    <w:multiLevelType w:val="multilevel"/>
    <w:tmpl w:val="196A21CC"/>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1A1D7994"/>
    <w:multiLevelType w:val="multilevel"/>
    <w:tmpl w:val="1A1D7994"/>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AEA2748"/>
    <w:multiLevelType w:val="multilevel"/>
    <w:tmpl w:val="1AEA2748"/>
    <w:lvl w:ilvl="0" w:tentative="0">
      <w:start w:val="1"/>
      <w:numFmt w:val="japaneseCounting"/>
      <w:lvlText w:val="%1、"/>
      <w:lvlJc w:val="left"/>
      <w:pPr>
        <w:ind w:left="450" w:hanging="45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1D1068CC"/>
    <w:multiLevelType w:val="singleLevel"/>
    <w:tmpl w:val="1D1068CC"/>
    <w:lvl w:ilvl="0" w:tentative="0">
      <w:start w:val="1"/>
      <w:numFmt w:val="decimal"/>
      <w:lvlText w:val="%1."/>
      <w:lvlJc w:val="left"/>
      <w:pPr>
        <w:ind w:left="425" w:hanging="425"/>
      </w:pPr>
      <w:rPr>
        <w:rFonts w:hint="default"/>
      </w:rPr>
    </w:lvl>
  </w:abstractNum>
  <w:abstractNum w:abstractNumId="11">
    <w:nsid w:val="1DF030B1"/>
    <w:multiLevelType w:val="multilevel"/>
    <w:tmpl w:val="1DF030B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23B46F80"/>
    <w:multiLevelType w:val="singleLevel"/>
    <w:tmpl w:val="23B46F80"/>
    <w:lvl w:ilvl="0" w:tentative="0">
      <w:start w:val="1"/>
      <w:numFmt w:val="decimal"/>
      <w:lvlText w:val="%1."/>
      <w:lvlJc w:val="left"/>
      <w:pPr>
        <w:ind w:left="425" w:hanging="425"/>
      </w:pPr>
      <w:rPr>
        <w:rFonts w:hint="default"/>
      </w:rPr>
    </w:lvl>
  </w:abstractNum>
  <w:abstractNum w:abstractNumId="13">
    <w:nsid w:val="32A51BDF"/>
    <w:multiLevelType w:val="singleLevel"/>
    <w:tmpl w:val="32A51BDF"/>
    <w:lvl w:ilvl="0" w:tentative="0">
      <w:start w:val="1"/>
      <w:numFmt w:val="decimal"/>
      <w:lvlText w:val="%1."/>
      <w:lvlJc w:val="left"/>
      <w:pPr>
        <w:ind w:left="425" w:hanging="425"/>
      </w:pPr>
      <w:rPr>
        <w:rFonts w:hint="default"/>
      </w:rPr>
    </w:lvl>
  </w:abstractNum>
  <w:abstractNum w:abstractNumId="14">
    <w:nsid w:val="358B6B26"/>
    <w:multiLevelType w:val="singleLevel"/>
    <w:tmpl w:val="358B6B26"/>
    <w:lvl w:ilvl="0" w:tentative="0">
      <w:start w:val="1"/>
      <w:numFmt w:val="decimal"/>
      <w:lvlText w:val="%1)"/>
      <w:lvlJc w:val="left"/>
      <w:pPr>
        <w:tabs>
          <w:tab w:val="left" w:pos="420"/>
        </w:tabs>
        <w:ind w:left="845" w:hanging="425"/>
      </w:pPr>
      <w:rPr>
        <w:rFonts w:hint="default"/>
      </w:rPr>
    </w:lvl>
  </w:abstractNum>
  <w:abstractNum w:abstractNumId="15">
    <w:nsid w:val="377861F1"/>
    <w:multiLevelType w:val="singleLevel"/>
    <w:tmpl w:val="377861F1"/>
    <w:lvl w:ilvl="0" w:tentative="0">
      <w:start w:val="2"/>
      <w:numFmt w:val="decimal"/>
      <w:suff w:val="nothing"/>
      <w:lvlText w:val="（%1）"/>
      <w:lvlJc w:val="left"/>
    </w:lvl>
  </w:abstractNum>
  <w:abstractNum w:abstractNumId="16">
    <w:nsid w:val="3ED81936"/>
    <w:multiLevelType w:val="multilevel"/>
    <w:tmpl w:val="3ED81936"/>
    <w:lvl w:ilvl="0" w:tentative="0">
      <w:start w:val="1"/>
      <w:numFmt w:val="chineseCountingThousand"/>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3FAB54AA"/>
    <w:multiLevelType w:val="multilevel"/>
    <w:tmpl w:val="3FAB54AA"/>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486165E7"/>
    <w:multiLevelType w:val="multilevel"/>
    <w:tmpl w:val="486165E7"/>
    <w:lvl w:ilvl="0" w:tentative="0">
      <w:start w:val="1"/>
      <w:numFmt w:val="bullet"/>
      <w:pStyle w:val="24"/>
      <w:lvlText w:val=""/>
      <w:lvlJc w:val="left"/>
      <w:pPr>
        <w:ind w:left="42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19">
    <w:nsid w:val="53E96B72"/>
    <w:multiLevelType w:val="multilevel"/>
    <w:tmpl w:val="53E96B7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576F7B97"/>
    <w:multiLevelType w:val="multilevel"/>
    <w:tmpl w:val="576F7B97"/>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5B5800F3"/>
    <w:multiLevelType w:val="multilevel"/>
    <w:tmpl w:val="5B5800F3"/>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F63E033"/>
    <w:multiLevelType w:val="singleLevel"/>
    <w:tmpl w:val="5F63E033"/>
    <w:lvl w:ilvl="0" w:tentative="0">
      <w:start w:val="1"/>
      <w:numFmt w:val="decimal"/>
      <w:lvlText w:val="%1."/>
      <w:lvlJc w:val="left"/>
      <w:pPr>
        <w:ind w:left="425" w:hanging="425"/>
      </w:pPr>
      <w:rPr>
        <w:rFonts w:hint="default"/>
      </w:rPr>
    </w:lvl>
  </w:abstractNum>
  <w:abstractNum w:abstractNumId="23">
    <w:nsid w:val="5FFE6D01"/>
    <w:multiLevelType w:val="multilevel"/>
    <w:tmpl w:val="5FFE6D01"/>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6A464189"/>
    <w:multiLevelType w:val="multilevel"/>
    <w:tmpl w:val="6A464189"/>
    <w:lvl w:ilvl="0" w:tentative="0">
      <w:start w:val="1"/>
      <w:numFmt w:val="decimal"/>
      <w:lvlText w:val="%1."/>
      <w:lvlJc w:val="left"/>
      <w:pPr>
        <w:ind w:left="860" w:hanging="440"/>
      </w:pPr>
      <w:rPr>
        <w:rFonts w:hint="eastAsia"/>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5">
    <w:nsid w:val="6FDEE9A6"/>
    <w:multiLevelType w:val="singleLevel"/>
    <w:tmpl w:val="6FDEE9A6"/>
    <w:lvl w:ilvl="0" w:tentative="0">
      <w:start w:val="1"/>
      <w:numFmt w:val="decimal"/>
      <w:lvlText w:val="(%1)"/>
      <w:lvlJc w:val="left"/>
      <w:pPr>
        <w:ind w:left="0" w:firstLine="0"/>
      </w:pPr>
      <w:rPr>
        <w:rFonts w:hint="default"/>
      </w:rPr>
    </w:lvl>
  </w:abstractNum>
  <w:abstractNum w:abstractNumId="26">
    <w:nsid w:val="7E462197"/>
    <w:multiLevelType w:val="multilevel"/>
    <w:tmpl w:val="7E462197"/>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4"/>
  </w:num>
  <w:num w:numId="2">
    <w:abstractNumId w:val="18"/>
  </w:num>
  <w:num w:numId="3">
    <w:abstractNumId w:val="6"/>
  </w:num>
  <w:num w:numId="4">
    <w:abstractNumId w:val="3"/>
  </w:num>
  <w:num w:numId="5">
    <w:abstractNumId w:val="15"/>
  </w:num>
  <w:num w:numId="6">
    <w:abstractNumId w:val="5"/>
  </w:num>
  <w:num w:numId="7">
    <w:abstractNumId w:val="9"/>
  </w:num>
  <w:num w:numId="8">
    <w:abstractNumId w:val="2"/>
  </w:num>
  <w:num w:numId="9">
    <w:abstractNumId w:val="11"/>
  </w:num>
  <w:num w:numId="10">
    <w:abstractNumId w:val="19"/>
  </w:num>
  <w:num w:numId="11">
    <w:abstractNumId w:val="17"/>
  </w:num>
  <w:num w:numId="12">
    <w:abstractNumId w:val="25"/>
  </w:num>
  <w:num w:numId="13">
    <w:abstractNumId w:val="7"/>
  </w:num>
  <w:num w:numId="14">
    <w:abstractNumId w:val="23"/>
  </w:num>
  <w:num w:numId="15">
    <w:abstractNumId w:val="26"/>
  </w:num>
  <w:num w:numId="16">
    <w:abstractNumId w:val="21"/>
  </w:num>
  <w:num w:numId="17">
    <w:abstractNumId w:val="8"/>
  </w:num>
  <w:num w:numId="18">
    <w:abstractNumId w:val="16"/>
  </w:num>
  <w:num w:numId="19">
    <w:abstractNumId w:val="0"/>
  </w:num>
  <w:num w:numId="20">
    <w:abstractNumId w:val="24"/>
  </w:num>
  <w:num w:numId="21">
    <w:abstractNumId w:val="20"/>
  </w:num>
  <w:num w:numId="22">
    <w:abstractNumId w:val="14"/>
  </w:num>
  <w:num w:numId="23">
    <w:abstractNumId w:val="12"/>
  </w:num>
  <w:num w:numId="24">
    <w:abstractNumId w:val="10"/>
  </w:num>
  <w:num w:numId="25">
    <w:abstractNumId w:val="13"/>
  </w:num>
  <w:num w:numId="26">
    <w:abstractNumId w:val="22"/>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210"/>
  <w:drawingGridVerticalSpacing w:val="159"/>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3ZTJlNDMxNWNhZThhZGNhOGZhNzA0YmQ2ZjZmNTgifQ=="/>
  </w:docVars>
  <w:rsids>
    <w:rsidRoot w:val="00172A27"/>
    <w:rsid w:val="00000D04"/>
    <w:rsid w:val="000033BC"/>
    <w:rsid w:val="000036C7"/>
    <w:rsid w:val="000037BA"/>
    <w:rsid w:val="00003E09"/>
    <w:rsid w:val="00004ADD"/>
    <w:rsid w:val="00005B2C"/>
    <w:rsid w:val="000112C5"/>
    <w:rsid w:val="0001140D"/>
    <w:rsid w:val="00011AF5"/>
    <w:rsid w:val="0001272B"/>
    <w:rsid w:val="00013841"/>
    <w:rsid w:val="00013EE1"/>
    <w:rsid w:val="000147B4"/>
    <w:rsid w:val="00016168"/>
    <w:rsid w:val="000163B7"/>
    <w:rsid w:val="00016AB8"/>
    <w:rsid w:val="000207B3"/>
    <w:rsid w:val="00020AA1"/>
    <w:rsid w:val="00020F19"/>
    <w:rsid w:val="0002403A"/>
    <w:rsid w:val="000240F2"/>
    <w:rsid w:val="00024385"/>
    <w:rsid w:val="0002464E"/>
    <w:rsid w:val="00024BA8"/>
    <w:rsid w:val="00025C6F"/>
    <w:rsid w:val="00026D12"/>
    <w:rsid w:val="00027F74"/>
    <w:rsid w:val="00031921"/>
    <w:rsid w:val="00031D0A"/>
    <w:rsid w:val="00031EC9"/>
    <w:rsid w:val="00032B4A"/>
    <w:rsid w:val="00032EB2"/>
    <w:rsid w:val="00033744"/>
    <w:rsid w:val="00033F13"/>
    <w:rsid w:val="00035A5A"/>
    <w:rsid w:val="000362DD"/>
    <w:rsid w:val="00037558"/>
    <w:rsid w:val="0004062C"/>
    <w:rsid w:val="00041087"/>
    <w:rsid w:val="000412CE"/>
    <w:rsid w:val="000427E1"/>
    <w:rsid w:val="00042948"/>
    <w:rsid w:val="00043A61"/>
    <w:rsid w:val="00044669"/>
    <w:rsid w:val="00044757"/>
    <w:rsid w:val="00044FB9"/>
    <w:rsid w:val="0004552D"/>
    <w:rsid w:val="000458DD"/>
    <w:rsid w:val="000473B7"/>
    <w:rsid w:val="000479C7"/>
    <w:rsid w:val="00047F5E"/>
    <w:rsid w:val="00051706"/>
    <w:rsid w:val="000518FD"/>
    <w:rsid w:val="00051ABD"/>
    <w:rsid w:val="00051BCC"/>
    <w:rsid w:val="00051EB2"/>
    <w:rsid w:val="000527C8"/>
    <w:rsid w:val="00053EBB"/>
    <w:rsid w:val="00054F7D"/>
    <w:rsid w:val="00056E6B"/>
    <w:rsid w:val="000573CA"/>
    <w:rsid w:val="00057D28"/>
    <w:rsid w:val="0006006F"/>
    <w:rsid w:val="00060B89"/>
    <w:rsid w:val="00062472"/>
    <w:rsid w:val="0006265F"/>
    <w:rsid w:val="00063857"/>
    <w:rsid w:val="000640E2"/>
    <w:rsid w:val="0006476D"/>
    <w:rsid w:val="00064BCC"/>
    <w:rsid w:val="00066180"/>
    <w:rsid w:val="00067D84"/>
    <w:rsid w:val="00071667"/>
    <w:rsid w:val="00071D19"/>
    <w:rsid w:val="00072185"/>
    <w:rsid w:val="00072FC5"/>
    <w:rsid w:val="000737C5"/>
    <w:rsid w:val="000758E2"/>
    <w:rsid w:val="00077270"/>
    <w:rsid w:val="00081250"/>
    <w:rsid w:val="00082C45"/>
    <w:rsid w:val="000851FF"/>
    <w:rsid w:val="0008631F"/>
    <w:rsid w:val="00086A13"/>
    <w:rsid w:val="00086DDF"/>
    <w:rsid w:val="000871BB"/>
    <w:rsid w:val="000906B1"/>
    <w:rsid w:val="00090C02"/>
    <w:rsid w:val="0009280E"/>
    <w:rsid w:val="000944A4"/>
    <w:rsid w:val="000963C4"/>
    <w:rsid w:val="00096BB7"/>
    <w:rsid w:val="00097207"/>
    <w:rsid w:val="00097293"/>
    <w:rsid w:val="00097411"/>
    <w:rsid w:val="000978F6"/>
    <w:rsid w:val="00097C5F"/>
    <w:rsid w:val="000A0330"/>
    <w:rsid w:val="000A2C8C"/>
    <w:rsid w:val="000A45A0"/>
    <w:rsid w:val="000A573E"/>
    <w:rsid w:val="000A659A"/>
    <w:rsid w:val="000A72E5"/>
    <w:rsid w:val="000A7DA8"/>
    <w:rsid w:val="000A7DB5"/>
    <w:rsid w:val="000B086C"/>
    <w:rsid w:val="000B21A6"/>
    <w:rsid w:val="000B23F6"/>
    <w:rsid w:val="000B2B7D"/>
    <w:rsid w:val="000B4AC4"/>
    <w:rsid w:val="000B6FEE"/>
    <w:rsid w:val="000B77FB"/>
    <w:rsid w:val="000B79FC"/>
    <w:rsid w:val="000C0F9B"/>
    <w:rsid w:val="000C2254"/>
    <w:rsid w:val="000C3C47"/>
    <w:rsid w:val="000D0A66"/>
    <w:rsid w:val="000D1821"/>
    <w:rsid w:val="000D18A2"/>
    <w:rsid w:val="000D2E57"/>
    <w:rsid w:val="000D38AB"/>
    <w:rsid w:val="000D4CDD"/>
    <w:rsid w:val="000E0528"/>
    <w:rsid w:val="000E14EE"/>
    <w:rsid w:val="000E4ABD"/>
    <w:rsid w:val="000E513A"/>
    <w:rsid w:val="000E5792"/>
    <w:rsid w:val="000E595A"/>
    <w:rsid w:val="000E6BE6"/>
    <w:rsid w:val="000E706E"/>
    <w:rsid w:val="000E70D0"/>
    <w:rsid w:val="000E7AEC"/>
    <w:rsid w:val="000F2596"/>
    <w:rsid w:val="000F33E1"/>
    <w:rsid w:val="000F353A"/>
    <w:rsid w:val="000F3911"/>
    <w:rsid w:val="000F39B4"/>
    <w:rsid w:val="000F5394"/>
    <w:rsid w:val="000F64B8"/>
    <w:rsid w:val="000F78F6"/>
    <w:rsid w:val="00100C2D"/>
    <w:rsid w:val="00100F84"/>
    <w:rsid w:val="00102973"/>
    <w:rsid w:val="00103E89"/>
    <w:rsid w:val="00106DF5"/>
    <w:rsid w:val="0010745A"/>
    <w:rsid w:val="00107AD2"/>
    <w:rsid w:val="0011056C"/>
    <w:rsid w:val="0011087D"/>
    <w:rsid w:val="00111319"/>
    <w:rsid w:val="00112380"/>
    <w:rsid w:val="001144F5"/>
    <w:rsid w:val="001152DD"/>
    <w:rsid w:val="00115425"/>
    <w:rsid w:val="00115C20"/>
    <w:rsid w:val="0011699D"/>
    <w:rsid w:val="00116AB7"/>
    <w:rsid w:val="00117CA2"/>
    <w:rsid w:val="00120F0A"/>
    <w:rsid w:val="00121249"/>
    <w:rsid w:val="001219F5"/>
    <w:rsid w:val="00122C54"/>
    <w:rsid w:val="00122D4A"/>
    <w:rsid w:val="00123A13"/>
    <w:rsid w:val="00124DDA"/>
    <w:rsid w:val="00125FE2"/>
    <w:rsid w:val="00127416"/>
    <w:rsid w:val="0013061E"/>
    <w:rsid w:val="00130C01"/>
    <w:rsid w:val="001315EC"/>
    <w:rsid w:val="001326EC"/>
    <w:rsid w:val="00132750"/>
    <w:rsid w:val="00132D0F"/>
    <w:rsid w:val="00133C84"/>
    <w:rsid w:val="001340E9"/>
    <w:rsid w:val="0013431C"/>
    <w:rsid w:val="00137BAE"/>
    <w:rsid w:val="00140367"/>
    <w:rsid w:val="0014045A"/>
    <w:rsid w:val="0014108C"/>
    <w:rsid w:val="00142258"/>
    <w:rsid w:val="00142870"/>
    <w:rsid w:val="00142C36"/>
    <w:rsid w:val="00144352"/>
    <w:rsid w:val="00145CD4"/>
    <w:rsid w:val="001476E8"/>
    <w:rsid w:val="00147766"/>
    <w:rsid w:val="00147D5B"/>
    <w:rsid w:val="00153691"/>
    <w:rsid w:val="0015548B"/>
    <w:rsid w:val="00155FF3"/>
    <w:rsid w:val="00156B27"/>
    <w:rsid w:val="00156C22"/>
    <w:rsid w:val="00157740"/>
    <w:rsid w:val="0016049E"/>
    <w:rsid w:val="001606AC"/>
    <w:rsid w:val="001611C3"/>
    <w:rsid w:val="00161871"/>
    <w:rsid w:val="001620DA"/>
    <w:rsid w:val="001627E7"/>
    <w:rsid w:val="00163572"/>
    <w:rsid w:val="001636DA"/>
    <w:rsid w:val="00163D70"/>
    <w:rsid w:val="0016544C"/>
    <w:rsid w:val="00165899"/>
    <w:rsid w:val="001709AF"/>
    <w:rsid w:val="0017267D"/>
    <w:rsid w:val="00172A27"/>
    <w:rsid w:val="00172BB0"/>
    <w:rsid w:val="00173F2B"/>
    <w:rsid w:val="001758C7"/>
    <w:rsid w:val="00176ACB"/>
    <w:rsid w:val="00180512"/>
    <w:rsid w:val="001830B8"/>
    <w:rsid w:val="001843D3"/>
    <w:rsid w:val="00184409"/>
    <w:rsid w:val="001879CE"/>
    <w:rsid w:val="00190367"/>
    <w:rsid w:val="00190B4C"/>
    <w:rsid w:val="00190F21"/>
    <w:rsid w:val="0019168F"/>
    <w:rsid w:val="001932AB"/>
    <w:rsid w:val="00193455"/>
    <w:rsid w:val="00194AF0"/>
    <w:rsid w:val="00195605"/>
    <w:rsid w:val="0019726C"/>
    <w:rsid w:val="001977B1"/>
    <w:rsid w:val="00197D95"/>
    <w:rsid w:val="00197E0F"/>
    <w:rsid w:val="001A01E0"/>
    <w:rsid w:val="001A184A"/>
    <w:rsid w:val="001A21D1"/>
    <w:rsid w:val="001A2955"/>
    <w:rsid w:val="001A2A12"/>
    <w:rsid w:val="001A2F51"/>
    <w:rsid w:val="001A38B9"/>
    <w:rsid w:val="001A4779"/>
    <w:rsid w:val="001A510F"/>
    <w:rsid w:val="001A65A9"/>
    <w:rsid w:val="001A687E"/>
    <w:rsid w:val="001A7DAF"/>
    <w:rsid w:val="001B0329"/>
    <w:rsid w:val="001B3EA3"/>
    <w:rsid w:val="001B3F8B"/>
    <w:rsid w:val="001B4A81"/>
    <w:rsid w:val="001B5B6F"/>
    <w:rsid w:val="001B6097"/>
    <w:rsid w:val="001B6617"/>
    <w:rsid w:val="001B77CB"/>
    <w:rsid w:val="001C0134"/>
    <w:rsid w:val="001C08AA"/>
    <w:rsid w:val="001C0FC5"/>
    <w:rsid w:val="001C158D"/>
    <w:rsid w:val="001C226C"/>
    <w:rsid w:val="001C29EE"/>
    <w:rsid w:val="001C34CC"/>
    <w:rsid w:val="001C44BC"/>
    <w:rsid w:val="001C64F0"/>
    <w:rsid w:val="001C6D1C"/>
    <w:rsid w:val="001D09A1"/>
    <w:rsid w:val="001D3678"/>
    <w:rsid w:val="001D4C43"/>
    <w:rsid w:val="001D56B2"/>
    <w:rsid w:val="001D5FB4"/>
    <w:rsid w:val="001D7522"/>
    <w:rsid w:val="001E070F"/>
    <w:rsid w:val="001E28FB"/>
    <w:rsid w:val="001E4541"/>
    <w:rsid w:val="001E566C"/>
    <w:rsid w:val="001E638E"/>
    <w:rsid w:val="001E6506"/>
    <w:rsid w:val="001F2240"/>
    <w:rsid w:val="001F26E3"/>
    <w:rsid w:val="001F29E7"/>
    <w:rsid w:val="001F2EB7"/>
    <w:rsid w:val="001F3EF6"/>
    <w:rsid w:val="001F4321"/>
    <w:rsid w:val="001F759E"/>
    <w:rsid w:val="001F7CC7"/>
    <w:rsid w:val="00201CD1"/>
    <w:rsid w:val="00201D6D"/>
    <w:rsid w:val="00201D97"/>
    <w:rsid w:val="00202386"/>
    <w:rsid w:val="002025D4"/>
    <w:rsid w:val="002035A8"/>
    <w:rsid w:val="00204DF7"/>
    <w:rsid w:val="00204EF8"/>
    <w:rsid w:val="00205C8A"/>
    <w:rsid w:val="00206E55"/>
    <w:rsid w:val="00207739"/>
    <w:rsid w:val="002079EB"/>
    <w:rsid w:val="00210C2B"/>
    <w:rsid w:val="002125B5"/>
    <w:rsid w:val="00212D87"/>
    <w:rsid w:val="00213F8B"/>
    <w:rsid w:val="00214027"/>
    <w:rsid w:val="00215B16"/>
    <w:rsid w:val="0021753F"/>
    <w:rsid w:val="002179DE"/>
    <w:rsid w:val="00217E04"/>
    <w:rsid w:val="002215ED"/>
    <w:rsid w:val="00221D5A"/>
    <w:rsid w:val="00221FDC"/>
    <w:rsid w:val="002226F8"/>
    <w:rsid w:val="002226FD"/>
    <w:rsid w:val="00224089"/>
    <w:rsid w:val="002256F3"/>
    <w:rsid w:val="00226A2F"/>
    <w:rsid w:val="00227213"/>
    <w:rsid w:val="0023257D"/>
    <w:rsid w:val="00232DC8"/>
    <w:rsid w:val="00232F23"/>
    <w:rsid w:val="0023309F"/>
    <w:rsid w:val="002333D8"/>
    <w:rsid w:val="00233FC5"/>
    <w:rsid w:val="002340E4"/>
    <w:rsid w:val="00235A36"/>
    <w:rsid w:val="002368B0"/>
    <w:rsid w:val="00236D6F"/>
    <w:rsid w:val="002373C5"/>
    <w:rsid w:val="0023761F"/>
    <w:rsid w:val="00241093"/>
    <w:rsid w:val="00241BAE"/>
    <w:rsid w:val="00241C7D"/>
    <w:rsid w:val="0024336F"/>
    <w:rsid w:val="0024462B"/>
    <w:rsid w:val="00245DA2"/>
    <w:rsid w:val="00246E21"/>
    <w:rsid w:val="0025013B"/>
    <w:rsid w:val="00250EDD"/>
    <w:rsid w:val="00253197"/>
    <w:rsid w:val="00254080"/>
    <w:rsid w:val="00255147"/>
    <w:rsid w:val="0025541A"/>
    <w:rsid w:val="00256BC3"/>
    <w:rsid w:val="002570EE"/>
    <w:rsid w:val="002573C5"/>
    <w:rsid w:val="00257AE9"/>
    <w:rsid w:val="002604F0"/>
    <w:rsid w:val="002608FB"/>
    <w:rsid w:val="002617E6"/>
    <w:rsid w:val="00263349"/>
    <w:rsid w:val="00263C10"/>
    <w:rsid w:val="00264614"/>
    <w:rsid w:val="00266D06"/>
    <w:rsid w:val="00267018"/>
    <w:rsid w:val="002708AF"/>
    <w:rsid w:val="002740C3"/>
    <w:rsid w:val="00274257"/>
    <w:rsid w:val="00275345"/>
    <w:rsid w:val="0027657D"/>
    <w:rsid w:val="0027735C"/>
    <w:rsid w:val="0027753E"/>
    <w:rsid w:val="00277F81"/>
    <w:rsid w:val="002810AC"/>
    <w:rsid w:val="002812CC"/>
    <w:rsid w:val="00281FAD"/>
    <w:rsid w:val="00283518"/>
    <w:rsid w:val="00283EBD"/>
    <w:rsid w:val="002867C5"/>
    <w:rsid w:val="00287104"/>
    <w:rsid w:val="00290972"/>
    <w:rsid w:val="00293A50"/>
    <w:rsid w:val="00293EC3"/>
    <w:rsid w:val="00295A7F"/>
    <w:rsid w:val="00296C36"/>
    <w:rsid w:val="0029719B"/>
    <w:rsid w:val="00297710"/>
    <w:rsid w:val="002A0D7F"/>
    <w:rsid w:val="002A171A"/>
    <w:rsid w:val="002A2805"/>
    <w:rsid w:val="002A3AF4"/>
    <w:rsid w:val="002A3F20"/>
    <w:rsid w:val="002A43E4"/>
    <w:rsid w:val="002A74F1"/>
    <w:rsid w:val="002A78A7"/>
    <w:rsid w:val="002A7B32"/>
    <w:rsid w:val="002B1F4F"/>
    <w:rsid w:val="002B23A4"/>
    <w:rsid w:val="002B446D"/>
    <w:rsid w:val="002B458C"/>
    <w:rsid w:val="002B7B7D"/>
    <w:rsid w:val="002C0744"/>
    <w:rsid w:val="002C084A"/>
    <w:rsid w:val="002C24AF"/>
    <w:rsid w:val="002C2791"/>
    <w:rsid w:val="002C4A64"/>
    <w:rsid w:val="002C607A"/>
    <w:rsid w:val="002C6711"/>
    <w:rsid w:val="002D03DF"/>
    <w:rsid w:val="002D10B1"/>
    <w:rsid w:val="002D116A"/>
    <w:rsid w:val="002D1BA7"/>
    <w:rsid w:val="002D2894"/>
    <w:rsid w:val="002D4D5F"/>
    <w:rsid w:val="002D53A8"/>
    <w:rsid w:val="002D696C"/>
    <w:rsid w:val="002D7BA2"/>
    <w:rsid w:val="002E0562"/>
    <w:rsid w:val="002E0CE4"/>
    <w:rsid w:val="002E0D80"/>
    <w:rsid w:val="002E0FD5"/>
    <w:rsid w:val="002E35B5"/>
    <w:rsid w:val="002E3BC8"/>
    <w:rsid w:val="002E3DCF"/>
    <w:rsid w:val="002E585D"/>
    <w:rsid w:val="002E5CD7"/>
    <w:rsid w:val="002E67FB"/>
    <w:rsid w:val="002E6D7C"/>
    <w:rsid w:val="002F0590"/>
    <w:rsid w:val="002F0C61"/>
    <w:rsid w:val="002F0DA6"/>
    <w:rsid w:val="002F1718"/>
    <w:rsid w:val="002F365C"/>
    <w:rsid w:val="002F4462"/>
    <w:rsid w:val="002F5066"/>
    <w:rsid w:val="002F5701"/>
    <w:rsid w:val="002F5D82"/>
    <w:rsid w:val="002F6084"/>
    <w:rsid w:val="002F7A68"/>
    <w:rsid w:val="0030167A"/>
    <w:rsid w:val="00303BDA"/>
    <w:rsid w:val="003045F8"/>
    <w:rsid w:val="00304E56"/>
    <w:rsid w:val="00305346"/>
    <w:rsid w:val="00306641"/>
    <w:rsid w:val="003071C6"/>
    <w:rsid w:val="00307810"/>
    <w:rsid w:val="00307815"/>
    <w:rsid w:val="003106F7"/>
    <w:rsid w:val="00310B78"/>
    <w:rsid w:val="00310C5A"/>
    <w:rsid w:val="003120B1"/>
    <w:rsid w:val="003129FD"/>
    <w:rsid w:val="00312B26"/>
    <w:rsid w:val="00313484"/>
    <w:rsid w:val="00313AEF"/>
    <w:rsid w:val="00313BF3"/>
    <w:rsid w:val="003141CA"/>
    <w:rsid w:val="003154A3"/>
    <w:rsid w:val="003158B6"/>
    <w:rsid w:val="0032022B"/>
    <w:rsid w:val="003203E5"/>
    <w:rsid w:val="0032061A"/>
    <w:rsid w:val="0032445C"/>
    <w:rsid w:val="0032457C"/>
    <w:rsid w:val="003246D4"/>
    <w:rsid w:val="00326C8C"/>
    <w:rsid w:val="00327533"/>
    <w:rsid w:val="003279E3"/>
    <w:rsid w:val="003309C5"/>
    <w:rsid w:val="00333493"/>
    <w:rsid w:val="003335D3"/>
    <w:rsid w:val="00334124"/>
    <w:rsid w:val="003350AB"/>
    <w:rsid w:val="0033645E"/>
    <w:rsid w:val="00340850"/>
    <w:rsid w:val="00343AA6"/>
    <w:rsid w:val="0034418A"/>
    <w:rsid w:val="00345337"/>
    <w:rsid w:val="00345DB5"/>
    <w:rsid w:val="003469B0"/>
    <w:rsid w:val="00346E30"/>
    <w:rsid w:val="0034735E"/>
    <w:rsid w:val="003508E0"/>
    <w:rsid w:val="00351AFA"/>
    <w:rsid w:val="00352523"/>
    <w:rsid w:val="003527FB"/>
    <w:rsid w:val="00352E13"/>
    <w:rsid w:val="00355C4A"/>
    <w:rsid w:val="0035619F"/>
    <w:rsid w:val="0035730E"/>
    <w:rsid w:val="00357CF7"/>
    <w:rsid w:val="00357D63"/>
    <w:rsid w:val="003600F4"/>
    <w:rsid w:val="003615E4"/>
    <w:rsid w:val="00362AD3"/>
    <w:rsid w:val="003651BD"/>
    <w:rsid w:val="00365E77"/>
    <w:rsid w:val="00367044"/>
    <w:rsid w:val="00367B81"/>
    <w:rsid w:val="0037007A"/>
    <w:rsid w:val="00371206"/>
    <w:rsid w:val="00372366"/>
    <w:rsid w:val="00372537"/>
    <w:rsid w:val="00372574"/>
    <w:rsid w:val="00374628"/>
    <w:rsid w:val="00375450"/>
    <w:rsid w:val="00375F56"/>
    <w:rsid w:val="003762DA"/>
    <w:rsid w:val="003767C0"/>
    <w:rsid w:val="0037760B"/>
    <w:rsid w:val="003809F9"/>
    <w:rsid w:val="00381242"/>
    <w:rsid w:val="00381E36"/>
    <w:rsid w:val="0038343A"/>
    <w:rsid w:val="00383892"/>
    <w:rsid w:val="00385D15"/>
    <w:rsid w:val="00386153"/>
    <w:rsid w:val="0038766E"/>
    <w:rsid w:val="003924B9"/>
    <w:rsid w:val="00393EC0"/>
    <w:rsid w:val="00395B3B"/>
    <w:rsid w:val="00395D23"/>
    <w:rsid w:val="003969C7"/>
    <w:rsid w:val="00396C5E"/>
    <w:rsid w:val="003A12C6"/>
    <w:rsid w:val="003A1936"/>
    <w:rsid w:val="003A2501"/>
    <w:rsid w:val="003A2F14"/>
    <w:rsid w:val="003A3E1F"/>
    <w:rsid w:val="003A4366"/>
    <w:rsid w:val="003A477C"/>
    <w:rsid w:val="003A5576"/>
    <w:rsid w:val="003A565F"/>
    <w:rsid w:val="003A5A66"/>
    <w:rsid w:val="003B03E6"/>
    <w:rsid w:val="003B1470"/>
    <w:rsid w:val="003B24D1"/>
    <w:rsid w:val="003B3CAC"/>
    <w:rsid w:val="003B4F8A"/>
    <w:rsid w:val="003B57AF"/>
    <w:rsid w:val="003B5E57"/>
    <w:rsid w:val="003B6680"/>
    <w:rsid w:val="003B6BFB"/>
    <w:rsid w:val="003B6DB0"/>
    <w:rsid w:val="003B7B34"/>
    <w:rsid w:val="003C0A54"/>
    <w:rsid w:val="003C12CB"/>
    <w:rsid w:val="003C1F02"/>
    <w:rsid w:val="003C3C31"/>
    <w:rsid w:val="003C449B"/>
    <w:rsid w:val="003C5B1B"/>
    <w:rsid w:val="003C7F64"/>
    <w:rsid w:val="003D11A8"/>
    <w:rsid w:val="003D1C4F"/>
    <w:rsid w:val="003D2B12"/>
    <w:rsid w:val="003D67C8"/>
    <w:rsid w:val="003E01BA"/>
    <w:rsid w:val="003E0214"/>
    <w:rsid w:val="003E0897"/>
    <w:rsid w:val="003E1379"/>
    <w:rsid w:val="003E206D"/>
    <w:rsid w:val="003E35F2"/>
    <w:rsid w:val="003E3689"/>
    <w:rsid w:val="003E51D1"/>
    <w:rsid w:val="003E582E"/>
    <w:rsid w:val="003E5A9E"/>
    <w:rsid w:val="003F12C3"/>
    <w:rsid w:val="003F1925"/>
    <w:rsid w:val="003F22CE"/>
    <w:rsid w:val="003F2F8E"/>
    <w:rsid w:val="003F2FB9"/>
    <w:rsid w:val="003F374E"/>
    <w:rsid w:val="003F49F0"/>
    <w:rsid w:val="003F569B"/>
    <w:rsid w:val="003F604B"/>
    <w:rsid w:val="003F628B"/>
    <w:rsid w:val="0040000B"/>
    <w:rsid w:val="00400EF4"/>
    <w:rsid w:val="004012D8"/>
    <w:rsid w:val="00401780"/>
    <w:rsid w:val="00401DB3"/>
    <w:rsid w:val="00403E2E"/>
    <w:rsid w:val="004041F8"/>
    <w:rsid w:val="0040420E"/>
    <w:rsid w:val="0040669D"/>
    <w:rsid w:val="004077E5"/>
    <w:rsid w:val="00407F04"/>
    <w:rsid w:val="0041032A"/>
    <w:rsid w:val="004112F7"/>
    <w:rsid w:val="004119C7"/>
    <w:rsid w:val="00413B7E"/>
    <w:rsid w:val="00413DA2"/>
    <w:rsid w:val="00415246"/>
    <w:rsid w:val="004157AF"/>
    <w:rsid w:val="0041654A"/>
    <w:rsid w:val="0041692B"/>
    <w:rsid w:val="00416D57"/>
    <w:rsid w:val="0041706F"/>
    <w:rsid w:val="00417B8E"/>
    <w:rsid w:val="00417D62"/>
    <w:rsid w:val="00417EF4"/>
    <w:rsid w:val="0042051E"/>
    <w:rsid w:val="00420A4C"/>
    <w:rsid w:val="00420AEA"/>
    <w:rsid w:val="004218D4"/>
    <w:rsid w:val="00422753"/>
    <w:rsid w:val="00423C68"/>
    <w:rsid w:val="00424B0C"/>
    <w:rsid w:val="00425290"/>
    <w:rsid w:val="00430302"/>
    <w:rsid w:val="00430442"/>
    <w:rsid w:val="00432205"/>
    <w:rsid w:val="004326C8"/>
    <w:rsid w:val="004329E4"/>
    <w:rsid w:val="00433874"/>
    <w:rsid w:val="0043397B"/>
    <w:rsid w:val="00433C90"/>
    <w:rsid w:val="00434F67"/>
    <w:rsid w:val="00435AEC"/>
    <w:rsid w:val="004361EB"/>
    <w:rsid w:val="00436888"/>
    <w:rsid w:val="00436D39"/>
    <w:rsid w:val="0043707B"/>
    <w:rsid w:val="0043758E"/>
    <w:rsid w:val="00437CEA"/>
    <w:rsid w:val="0044076A"/>
    <w:rsid w:val="004409E7"/>
    <w:rsid w:val="00440CD0"/>
    <w:rsid w:val="00441B77"/>
    <w:rsid w:val="0044226E"/>
    <w:rsid w:val="00442FE5"/>
    <w:rsid w:val="00443704"/>
    <w:rsid w:val="004469B7"/>
    <w:rsid w:val="00447E6A"/>
    <w:rsid w:val="004500BD"/>
    <w:rsid w:val="004506CC"/>
    <w:rsid w:val="00451189"/>
    <w:rsid w:val="00452E04"/>
    <w:rsid w:val="00453FD6"/>
    <w:rsid w:val="00454259"/>
    <w:rsid w:val="0045464A"/>
    <w:rsid w:val="0045557D"/>
    <w:rsid w:val="00455EC9"/>
    <w:rsid w:val="00455F44"/>
    <w:rsid w:val="0046330A"/>
    <w:rsid w:val="00463ACA"/>
    <w:rsid w:val="00463CB4"/>
    <w:rsid w:val="004642FE"/>
    <w:rsid w:val="00465979"/>
    <w:rsid w:val="00465E82"/>
    <w:rsid w:val="0046775B"/>
    <w:rsid w:val="00467F64"/>
    <w:rsid w:val="00470C69"/>
    <w:rsid w:val="00471326"/>
    <w:rsid w:val="00471DFA"/>
    <w:rsid w:val="004723AD"/>
    <w:rsid w:val="004726C8"/>
    <w:rsid w:val="00472F86"/>
    <w:rsid w:val="0047430A"/>
    <w:rsid w:val="0047504A"/>
    <w:rsid w:val="004755F3"/>
    <w:rsid w:val="00475609"/>
    <w:rsid w:val="00476ECA"/>
    <w:rsid w:val="00477B1A"/>
    <w:rsid w:val="00480614"/>
    <w:rsid w:val="00483480"/>
    <w:rsid w:val="00484798"/>
    <w:rsid w:val="00484D05"/>
    <w:rsid w:val="00485414"/>
    <w:rsid w:val="00485BB3"/>
    <w:rsid w:val="00485D05"/>
    <w:rsid w:val="004860C3"/>
    <w:rsid w:val="00490CC4"/>
    <w:rsid w:val="00491064"/>
    <w:rsid w:val="00492FA1"/>
    <w:rsid w:val="00492FA2"/>
    <w:rsid w:val="00494A57"/>
    <w:rsid w:val="00496F84"/>
    <w:rsid w:val="00497549"/>
    <w:rsid w:val="004A1C78"/>
    <w:rsid w:val="004A24F0"/>
    <w:rsid w:val="004A2C31"/>
    <w:rsid w:val="004A58FD"/>
    <w:rsid w:val="004A5E41"/>
    <w:rsid w:val="004B0663"/>
    <w:rsid w:val="004B3846"/>
    <w:rsid w:val="004B389D"/>
    <w:rsid w:val="004B4285"/>
    <w:rsid w:val="004B5ADB"/>
    <w:rsid w:val="004B66F5"/>
    <w:rsid w:val="004B746D"/>
    <w:rsid w:val="004C1F95"/>
    <w:rsid w:val="004C426D"/>
    <w:rsid w:val="004C49AD"/>
    <w:rsid w:val="004C4DBA"/>
    <w:rsid w:val="004C5090"/>
    <w:rsid w:val="004C5718"/>
    <w:rsid w:val="004C5C92"/>
    <w:rsid w:val="004C5E4A"/>
    <w:rsid w:val="004C5EAB"/>
    <w:rsid w:val="004C6150"/>
    <w:rsid w:val="004C6766"/>
    <w:rsid w:val="004C6A6C"/>
    <w:rsid w:val="004C6F0B"/>
    <w:rsid w:val="004C6F22"/>
    <w:rsid w:val="004C7623"/>
    <w:rsid w:val="004D0036"/>
    <w:rsid w:val="004D07DF"/>
    <w:rsid w:val="004D0A73"/>
    <w:rsid w:val="004D1BCD"/>
    <w:rsid w:val="004D21A9"/>
    <w:rsid w:val="004D343E"/>
    <w:rsid w:val="004D4236"/>
    <w:rsid w:val="004D44D7"/>
    <w:rsid w:val="004D5AE2"/>
    <w:rsid w:val="004D611F"/>
    <w:rsid w:val="004D744F"/>
    <w:rsid w:val="004D77BC"/>
    <w:rsid w:val="004D7D51"/>
    <w:rsid w:val="004E33DD"/>
    <w:rsid w:val="004E3F50"/>
    <w:rsid w:val="004E4749"/>
    <w:rsid w:val="004E47B7"/>
    <w:rsid w:val="004E58AB"/>
    <w:rsid w:val="004E6188"/>
    <w:rsid w:val="004E6FA2"/>
    <w:rsid w:val="004F00A4"/>
    <w:rsid w:val="004F043D"/>
    <w:rsid w:val="004F0BBC"/>
    <w:rsid w:val="004F2550"/>
    <w:rsid w:val="004F2DE3"/>
    <w:rsid w:val="004F3ACF"/>
    <w:rsid w:val="004F5909"/>
    <w:rsid w:val="004F5BAF"/>
    <w:rsid w:val="004F6C5C"/>
    <w:rsid w:val="004F6FB8"/>
    <w:rsid w:val="0050060A"/>
    <w:rsid w:val="00501DC6"/>
    <w:rsid w:val="00502239"/>
    <w:rsid w:val="0050298B"/>
    <w:rsid w:val="00502CFD"/>
    <w:rsid w:val="00502FF2"/>
    <w:rsid w:val="005041F8"/>
    <w:rsid w:val="0050794D"/>
    <w:rsid w:val="00507FE8"/>
    <w:rsid w:val="00512D9D"/>
    <w:rsid w:val="005165F4"/>
    <w:rsid w:val="00516AD7"/>
    <w:rsid w:val="005172E4"/>
    <w:rsid w:val="00517586"/>
    <w:rsid w:val="00520554"/>
    <w:rsid w:val="005217B8"/>
    <w:rsid w:val="0052251E"/>
    <w:rsid w:val="00522E49"/>
    <w:rsid w:val="00524933"/>
    <w:rsid w:val="00524F38"/>
    <w:rsid w:val="0052705A"/>
    <w:rsid w:val="00527756"/>
    <w:rsid w:val="005278AA"/>
    <w:rsid w:val="005302CB"/>
    <w:rsid w:val="0053099A"/>
    <w:rsid w:val="005309D8"/>
    <w:rsid w:val="0053340F"/>
    <w:rsid w:val="005334EE"/>
    <w:rsid w:val="0053471D"/>
    <w:rsid w:val="005358FA"/>
    <w:rsid w:val="00535C12"/>
    <w:rsid w:val="00536092"/>
    <w:rsid w:val="005360DB"/>
    <w:rsid w:val="005406B2"/>
    <w:rsid w:val="00542510"/>
    <w:rsid w:val="005430D6"/>
    <w:rsid w:val="005432D4"/>
    <w:rsid w:val="00546284"/>
    <w:rsid w:val="0054652E"/>
    <w:rsid w:val="0054703C"/>
    <w:rsid w:val="0054748C"/>
    <w:rsid w:val="00550CDC"/>
    <w:rsid w:val="00550D42"/>
    <w:rsid w:val="00550DC4"/>
    <w:rsid w:val="005514AF"/>
    <w:rsid w:val="00551B4A"/>
    <w:rsid w:val="00552394"/>
    <w:rsid w:val="005525C3"/>
    <w:rsid w:val="00552860"/>
    <w:rsid w:val="00552EE6"/>
    <w:rsid w:val="00553332"/>
    <w:rsid w:val="00553B82"/>
    <w:rsid w:val="00554AFE"/>
    <w:rsid w:val="00557436"/>
    <w:rsid w:val="005606F8"/>
    <w:rsid w:val="00561AEC"/>
    <w:rsid w:val="005627DD"/>
    <w:rsid w:val="0056374A"/>
    <w:rsid w:val="005641C9"/>
    <w:rsid w:val="00564D3D"/>
    <w:rsid w:val="00565929"/>
    <w:rsid w:val="00566375"/>
    <w:rsid w:val="00566859"/>
    <w:rsid w:val="00567F95"/>
    <w:rsid w:val="005704E6"/>
    <w:rsid w:val="00572476"/>
    <w:rsid w:val="00573C88"/>
    <w:rsid w:val="005759AF"/>
    <w:rsid w:val="00576AB4"/>
    <w:rsid w:val="005770BB"/>
    <w:rsid w:val="005772FD"/>
    <w:rsid w:val="00580137"/>
    <w:rsid w:val="00580340"/>
    <w:rsid w:val="0058036B"/>
    <w:rsid w:val="00580AB2"/>
    <w:rsid w:val="00580BCE"/>
    <w:rsid w:val="00582092"/>
    <w:rsid w:val="00582383"/>
    <w:rsid w:val="00582D37"/>
    <w:rsid w:val="00583D73"/>
    <w:rsid w:val="005852C9"/>
    <w:rsid w:val="00585A17"/>
    <w:rsid w:val="00585A68"/>
    <w:rsid w:val="00586140"/>
    <w:rsid w:val="005868C9"/>
    <w:rsid w:val="00586A03"/>
    <w:rsid w:val="00586B6F"/>
    <w:rsid w:val="00586E84"/>
    <w:rsid w:val="005877F6"/>
    <w:rsid w:val="00591A3C"/>
    <w:rsid w:val="00592F71"/>
    <w:rsid w:val="00592FF1"/>
    <w:rsid w:val="00593C0D"/>
    <w:rsid w:val="0059416E"/>
    <w:rsid w:val="00595039"/>
    <w:rsid w:val="00596B43"/>
    <w:rsid w:val="005978F6"/>
    <w:rsid w:val="005A1804"/>
    <w:rsid w:val="005A1D5F"/>
    <w:rsid w:val="005A495B"/>
    <w:rsid w:val="005A56EA"/>
    <w:rsid w:val="005A5A91"/>
    <w:rsid w:val="005A61D7"/>
    <w:rsid w:val="005A704F"/>
    <w:rsid w:val="005A7208"/>
    <w:rsid w:val="005B1828"/>
    <w:rsid w:val="005B2DC5"/>
    <w:rsid w:val="005B3BA9"/>
    <w:rsid w:val="005B43AB"/>
    <w:rsid w:val="005B7896"/>
    <w:rsid w:val="005C0875"/>
    <w:rsid w:val="005C09DF"/>
    <w:rsid w:val="005C0B25"/>
    <w:rsid w:val="005C0BE9"/>
    <w:rsid w:val="005C0FD4"/>
    <w:rsid w:val="005C31E6"/>
    <w:rsid w:val="005C3479"/>
    <w:rsid w:val="005C4816"/>
    <w:rsid w:val="005C4EDA"/>
    <w:rsid w:val="005C5E8D"/>
    <w:rsid w:val="005C6901"/>
    <w:rsid w:val="005C6934"/>
    <w:rsid w:val="005C772A"/>
    <w:rsid w:val="005D00AF"/>
    <w:rsid w:val="005D0BB9"/>
    <w:rsid w:val="005D1757"/>
    <w:rsid w:val="005D3E66"/>
    <w:rsid w:val="005D4603"/>
    <w:rsid w:val="005D5118"/>
    <w:rsid w:val="005D630D"/>
    <w:rsid w:val="005D6A45"/>
    <w:rsid w:val="005E038D"/>
    <w:rsid w:val="005E04C9"/>
    <w:rsid w:val="005E0A69"/>
    <w:rsid w:val="005E0D79"/>
    <w:rsid w:val="005E3ADC"/>
    <w:rsid w:val="005E3C9F"/>
    <w:rsid w:val="005E4330"/>
    <w:rsid w:val="005E4F2C"/>
    <w:rsid w:val="005E5029"/>
    <w:rsid w:val="005E58CC"/>
    <w:rsid w:val="005E6299"/>
    <w:rsid w:val="005E6C37"/>
    <w:rsid w:val="005F07FE"/>
    <w:rsid w:val="005F0947"/>
    <w:rsid w:val="005F12EC"/>
    <w:rsid w:val="005F35E4"/>
    <w:rsid w:val="005F46BB"/>
    <w:rsid w:val="005F5E49"/>
    <w:rsid w:val="005F6134"/>
    <w:rsid w:val="005F61EC"/>
    <w:rsid w:val="005F7704"/>
    <w:rsid w:val="00600CE3"/>
    <w:rsid w:val="00600CEF"/>
    <w:rsid w:val="00601094"/>
    <w:rsid w:val="00601227"/>
    <w:rsid w:val="00601875"/>
    <w:rsid w:val="00601B4B"/>
    <w:rsid w:val="0060368E"/>
    <w:rsid w:val="00603813"/>
    <w:rsid w:val="00604060"/>
    <w:rsid w:val="00606EDF"/>
    <w:rsid w:val="006100FC"/>
    <w:rsid w:val="006128AC"/>
    <w:rsid w:val="0061542D"/>
    <w:rsid w:val="00616575"/>
    <w:rsid w:val="00620715"/>
    <w:rsid w:val="00620DF2"/>
    <w:rsid w:val="00621875"/>
    <w:rsid w:val="0062207D"/>
    <w:rsid w:val="00624187"/>
    <w:rsid w:val="00624705"/>
    <w:rsid w:val="006252AF"/>
    <w:rsid w:val="0062643C"/>
    <w:rsid w:val="00627161"/>
    <w:rsid w:val="00627322"/>
    <w:rsid w:val="00627775"/>
    <w:rsid w:val="00627CC9"/>
    <w:rsid w:val="00627DDE"/>
    <w:rsid w:val="006304CC"/>
    <w:rsid w:val="00631DEC"/>
    <w:rsid w:val="0063400A"/>
    <w:rsid w:val="00634CC2"/>
    <w:rsid w:val="00635435"/>
    <w:rsid w:val="00636109"/>
    <w:rsid w:val="00636AA5"/>
    <w:rsid w:val="006370A1"/>
    <w:rsid w:val="0063795C"/>
    <w:rsid w:val="00637F2B"/>
    <w:rsid w:val="00643EB1"/>
    <w:rsid w:val="00643F28"/>
    <w:rsid w:val="00645777"/>
    <w:rsid w:val="00646FBB"/>
    <w:rsid w:val="006476CE"/>
    <w:rsid w:val="006503D3"/>
    <w:rsid w:val="00652A82"/>
    <w:rsid w:val="00654154"/>
    <w:rsid w:val="00654CF6"/>
    <w:rsid w:val="00655583"/>
    <w:rsid w:val="006555AA"/>
    <w:rsid w:val="00656945"/>
    <w:rsid w:val="00657952"/>
    <w:rsid w:val="00660377"/>
    <w:rsid w:val="00661BA3"/>
    <w:rsid w:val="0066223F"/>
    <w:rsid w:val="00663C55"/>
    <w:rsid w:val="006643D5"/>
    <w:rsid w:val="006659A4"/>
    <w:rsid w:val="0066768A"/>
    <w:rsid w:val="0066779D"/>
    <w:rsid w:val="006677DC"/>
    <w:rsid w:val="00667CB8"/>
    <w:rsid w:val="00670628"/>
    <w:rsid w:val="00671618"/>
    <w:rsid w:val="00673B0F"/>
    <w:rsid w:val="006747FF"/>
    <w:rsid w:val="0067483E"/>
    <w:rsid w:val="00674C28"/>
    <w:rsid w:val="00675C0E"/>
    <w:rsid w:val="0067674F"/>
    <w:rsid w:val="00676AA0"/>
    <w:rsid w:val="00676B2B"/>
    <w:rsid w:val="00677CF1"/>
    <w:rsid w:val="00681700"/>
    <w:rsid w:val="00681A74"/>
    <w:rsid w:val="00683612"/>
    <w:rsid w:val="006844C3"/>
    <w:rsid w:val="0068770C"/>
    <w:rsid w:val="006903EB"/>
    <w:rsid w:val="00693394"/>
    <w:rsid w:val="006935CB"/>
    <w:rsid w:val="0069367E"/>
    <w:rsid w:val="0069495E"/>
    <w:rsid w:val="00694A08"/>
    <w:rsid w:val="0069514B"/>
    <w:rsid w:val="00696F43"/>
    <w:rsid w:val="00697B92"/>
    <w:rsid w:val="00697D38"/>
    <w:rsid w:val="006A0450"/>
    <w:rsid w:val="006A2FA2"/>
    <w:rsid w:val="006A30DA"/>
    <w:rsid w:val="006A6A77"/>
    <w:rsid w:val="006A76FC"/>
    <w:rsid w:val="006B03AA"/>
    <w:rsid w:val="006B10BA"/>
    <w:rsid w:val="006B1332"/>
    <w:rsid w:val="006B21F9"/>
    <w:rsid w:val="006B31A5"/>
    <w:rsid w:val="006B3287"/>
    <w:rsid w:val="006B3D8B"/>
    <w:rsid w:val="006B4C50"/>
    <w:rsid w:val="006B690E"/>
    <w:rsid w:val="006B70FF"/>
    <w:rsid w:val="006B7DB0"/>
    <w:rsid w:val="006B7FF7"/>
    <w:rsid w:val="006C01BE"/>
    <w:rsid w:val="006C16DB"/>
    <w:rsid w:val="006C2451"/>
    <w:rsid w:val="006C375A"/>
    <w:rsid w:val="006C4AA7"/>
    <w:rsid w:val="006C4B5C"/>
    <w:rsid w:val="006C5D15"/>
    <w:rsid w:val="006C7827"/>
    <w:rsid w:val="006C7983"/>
    <w:rsid w:val="006D0719"/>
    <w:rsid w:val="006D09F2"/>
    <w:rsid w:val="006D1409"/>
    <w:rsid w:val="006D2667"/>
    <w:rsid w:val="006D3BB9"/>
    <w:rsid w:val="006D3CAC"/>
    <w:rsid w:val="006D3D8B"/>
    <w:rsid w:val="006E0A0E"/>
    <w:rsid w:val="006E1B8C"/>
    <w:rsid w:val="006E31A1"/>
    <w:rsid w:val="006E3E65"/>
    <w:rsid w:val="006E4404"/>
    <w:rsid w:val="006E4BDF"/>
    <w:rsid w:val="006E77A9"/>
    <w:rsid w:val="006E7D40"/>
    <w:rsid w:val="006F0403"/>
    <w:rsid w:val="006F0FCE"/>
    <w:rsid w:val="006F1608"/>
    <w:rsid w:val="006F31BB"/>
    <w:rsid w:val="006F3293"/>
    <w:rsid w:val="006F36D3"/>
    <w:rsid w:val="006F6030"/>
    <w:rsid w:val="006F62A0"/>
    <w:rsid w:val="006F75D1"/>
    <w:rsid w:val="006F7B4F"/>
    <w:rsid w:val="00700959"/>
    <w:rsid w:val="007013E4"/>
    <w:rsid w:val="00701A01"/>
    <w:rsid w:val="00701FDD"/>
    <w:rsid w:val="007021C8"/>
    <w:rsid w:val="00702945"/>
    <w:rsid w:val="0070316B"/>
    <w:rsid w:val="00703446"/>
    <w:rsid w:val="007038AB"/>
    <w:rsid w:val="007045EC"/>
    <w:rsid w:val="00705AB6"/>
    <w:rsid w:val="00705BAB"/>
    <w:rsid w:val="007077A6"/>
    <w:rsid w:val="007118A7"/>
    <w:rsid w:val="00711B4E"/>
    <w:rsid w:val="0071236C"/>
    <w:rsid w:val="00712F17"/>
    <w:rsid w:val="007139E4"/>
    <w:rsid w:val="00716B4F"/>
    <w:rsid w:val="00716C49"/>
    <w:rsid w:val="007177BB"/>
    <w:rsid w:val="00720E8A"/>
    <w:rsid w:val="007213DC"/>
    <w:rsid w:val="0072184F"/>
    <w:rsid w:val="007221B0"/>
    <w:rsid w:val="007226D3"/>
    <w:rsid w:val="007240F3"/>
    <w:rsid w:val="00727891"/>
    <w:rsid w:val="007305AB"/>
    <w:rsid w:val="0073090C"/>
    <w:rsid w:val="00731173"/>
    <w:rsid w:val="0073170E"/>
    <w:rsid w:val="00731C48"/>
    <w:rsid w:val="0073200D"/>
    <w:rsid w:val="00732750"/>
    <w:rsid w:val="00733BAB"/>
    <w:rsid w:val="007341A1"/>
    <w:rsid w:val="00734D0B"/>
    <w:rsid w:val="00735C26"/>
    <w:rsid w:val="00735E4B"/>
    <w:rsid w:val="007364B5"/>
    <w:rsid w:val="007406B3"/>
    <w:rsid w:val="007422E5"/>
    <w:rsid w:val="00742ACC"/>
    <w:rsid w:val="007432A1"/>
    <w:rsid w:val="00743AC8"/>
    <w:rsid w:val="007451ED"/>
    <w:rsid w:val="007458B4"/>
    <w:rsid w:val="00746717"/>
    <w:rsid w:val="007467DE"/>
    <w:rsid w:val="007503CF"/>
    <w:rsid w:val="007527CE"/>
    <w:rsid w:val="007529DB"/>
    <w:rsid w:val="00753361"/>
    <w:rsid w:val="0075416E"/>
    <w:rsid w:val="00755FDF"/>
    <w:rsid w:val="00756342"/>
    <w:rsid w:val="00756BF4"/>
    <w:rsid w:val="007571EB"/>
    <w:rsid w:val="007604A0"/>
    <w:rsid w:val="00760E2D"/>
    <w:rsid w:val="0076252C"/>
    <w:rsid w:val="007639EB"/>
    <w:rsid w:val="00764437"/>
    <w:rsid w:val="00764D39"/>
    <w:rsid w:val="00766CDC"/>
    <w:rsid w:val="007670AD"/>
    <w:rsid w:val="00767F86"/>
    <w:rsid w:val="00771B11"/>
    <w:rsid w:val="007727E0"/>
    <w:rsid w:val="00772B9E"/>
    <w:rsid w:val="00772C5A"/>
    <w:rsid w:val="00773D1C"/>
    <w:rsid w:val="00774485"/>
    <w:rsid w:val="00774A96"/>
    <w:rsid w:val="007752BE"/>
    <w:rsid w:val="00775C02"/>
    <w:rsid w:val="007763D4"/>
    <w:rsid w:val="007767E0"/>
    <w:rsid w:val="00776CBB"/>
    <w:rsid w:val="00776DAD"/>
    <w:rsid w:val="007773B8"/>
    <w:rsid w:val="00777BF5"/>
    <w:rsid w:val="00781498"/>
    <w:rsid w:val="0078226B"/>
    <w:rsid w:val="0078416B"/>
    <w:rsid w:val="00784A5B"/>
    <w:rsid w:val="00784E07"/>
    <w:rsid w:val="0078786A"/>
    <w:rsid w:val="0079007B"/>
    <w:rsid w:val="007903B1"/>
    <w:rsid w:val="0079192A"/>
    <w:rsid w:val="00793211"/>
    <w:rsid w:val="00793CE4"/>
    <w:rsid w:val="007950A2"/>
    <w:rsid w:val="0079589E"/>
    <w:rsid w:val="00795DE4"/>
    <w:rsid w:val="007A285E"/>
    <w:rsid w:val="007A3029"/>
    <w:rsid w:val="007A3880"/>
    <w:rsid w:val="007A469E"/>
    <w:rsid w:val="007A4C35"/>
    <w:rsid w:val="007A5697"/>
    <w:rsid w:val="007A67CC"/>
    <w:rsid w:val="007A6D30"/>
    <w:rsid w:val="007A7822"/>
    <w:rsid w:val="007B00C4"/>
    <w:rsid w:val="007B0587"/>
    <w:rsid w:val="007B2825"/>
    <w:rsid w:val="007B299F"/>
    <w:rsid w:val="007B4D43"/>
    <w:rsid w:val="007B4D6A"/>
    <w:rsid w:val="007B6685"/>
    <w:rsid w:val="007C0C37"/>
    <w:rsid w:val="007C1804"/>
    <w:rsid w:val="007C3478"/>
    <w:rsid w:val="007C3704"/>
    <w:rsid w:val="007C46A8"/>
    <w:rsid w:val="007C48C7"/>
    <w:rsid w:val="007C5F2D"/>
    <w:rsid w:val="007C6987"/>
    <w:rsid w:val="007C701D"/>
    <w:rsid w:val="007D1717"/>
    <w:rsid w:val="007D23BF"/>
    <w:rsid w:val="007D30E4"/>
    <w:rsid w:val="007D60DB"/>
    <w:rsid w:val="007D615F"/>
    <w:rsid w:val="007E04A3"/>
    <w:rsid w:val="007E05FE"/>
    <w:rsid w:val="007E0B5C"/>
    <w:rsid w:val="007E0C57"/>
    <w:rsid w:val="007E3ECC"/>
    <w:rsid w:val="007E5512"/>
    <w:rsid w:val="007E69C0"/>
    <w:rsid w:val="007E6D2C"/>
    <w:rsid w:val="007E6D3E"/>
    <w:rsid w:val="007F403B"/>
    <w:rsid w:val="007F497B"/>
    <w:rsid w:val="007F528C"/>
    <w:rsid w:val="007F656A"/>
    <w:rsid w:val="00800176"/>
    <w:rsid w:val="00801882"/>
    <w:rsid w:val="008022E4"/>
    <w:rsid w:val="00802408"/>
    <w:rsid w:val="00807B8A"/>
    <w:rsid w:val="008100C8"/>
    <w:rsid w:val="00813784"/>
    <w:rsid w:val="00813ACF"/>
    <w:rsid w:val="00813E14"/>
    <w:rsid w:val="00815A42"/>
    <w:rsid w:val="00815ED4"/>
    <w:rsid w:val="0081619F"/>
    <w:rsid w:val="00816F31"/>
    <w:rsid w:val="00820E09"/>
    <w:rsid w:val="00821117"/>
    <w:rsid w:val="008229F1"/>
    <w:rsid w:val="00822C3F"/>
    <w:rsid w:val="0082352C"/>
    <w:rsid w:val="0082408B"/>
    <w:rsid w:val="008248E2"/>
    <w:rsid w:val="00824C15"/>
    <w:rsid w:val="00825B11"/>
    <w:rsid w:val="0082667C"/>
    <w:rsid w:val="0082761A"/>
    <w:rsid w:val="00827C2D"/>
    <w:rsid w:val="00830124"/>
    <w:rsid w:val="00831A1E"/>
    <w:rsid w:val="00832600"/>
    <w:rsid w:val="0083290D"/>
    <w:rsid w:val="0083386A"/>
    <w:rsid w:val="00833C7A"/>
    <w:rsid w:val="00835672"/>
    <w:rsid w:val="00836244"/>
    <w:rsid w:val="0083672E"/>
    <w:rsid w:val="00840610"/>
    <w:rsid w:val="008407B0"/>
    <w:rsid w:val="0084216B"/>
    <w:rsid w:val="008421DE"/>
    <w:rsid w:val="0084342C"/>
    <w:rsid w:val="00845109"/>
    <w:rsid w:val="00845D03"/>
    <w:rsid w:val="00846967"/>
    <w:rsid w:val="00846FB4"/>
    <w:rsid w:val="00850056"/>
    <w:rsid w:val="008528F2"/>
    <w:rsid w:val="00852DE7"/>
    <w:rsid w:val="00861FDD"/>
    <w:rsid w:val="0086227A"/>
    <w:rsid w:val="008635B9"/>
    <w:rsid w:val="00863672"/>
    <w:rsid w:val="00864412"/>
    <w:rsid w:val="00864CBD"/>
    <w:rsid w:val="0086648A"/>
    <w:rsid w:val="0086783C"/>
    <w:rsid w:val="00870D02"/>
    <w:rsid w:val="00870D28"/>
    <w:rsid w:val="00872E0F"/>
    <w:rsid w:val="008763EA"/>
    <w:rsid w:val="00877A8A"/>
    <w:rsid w:val="008800D8"/>
    <w:rsid w:val="00880A6B"/>
    <w:rsid w:val="00880F08"/>
    <w:rsid w:val="00880F39"/>
    <w:rsid w:val="00881BD6"/>
    <w:rsid w:val="00881BED"/>
    <w:rsid w:val="00882AB7"/>
    <w:rsid w:val="0088575E"/>
    <w:rsid w:val="00885CAF"/>
    <w:rsid w:val="008862C5"/>
    <w:rsid w:val="008865FD"/>
    <w:rsid w:val="00886640"/>
    <w:rsid w:val="00891D55"/>
    <w:rsid w:val="00891FBB"/>
    <w:rsid w:val="00892615"/>
    <w:rsid w:val="00892ACF"/>
    <w:rsid w:val="00892E1D"/>
    <w:rsid w:val="0089353F"/>
    <w:rsid w:val="008938EC"/>
    <w:rsid w:val="008948B2"/>
    <w:rsid w:val="00895979"/>
    <w:rsid w:val="00896C7A"/>
    <w:rsid w:val="00896EAB"/>
    <w:rsid w:val="008A126A"/>
    <w:rsid w:val="008A3C15"/>
    <w:rsid w:val="008A53D0"/>
    <w:rsid w:val="008A7AA4"/>
    <w:rsid w:val="008B0795"/>
    <w:rsid w:val="008B0C0F"/>
    <w:rsid w:val="008B128D"/>
    <w:rsid w:val="008B168D"/>
    <w:rsid w:val="008B2586"/>
    <w:rsid w:val="008B2C46"/>
    <w:rsid w:val="008B30E9"/>
    <w:rsid w:val="008B4D6D"/>
    <w:rsid w:val="008B558C"/>
    <w:rsid w:val="008B5643"/>
    <w:rsid w:val="008B6C7E"/>
    <w:rsid w:val="008B7A42"/>
    <w:rsid w:val="008C113C"/>
    <w:rsid w:val="008C1984"/>
    <w:rsid w:val="008C2E45"/>
    <w:rsid w:val="008C30C4"/>
    <w:rsid w:val="008C3BF5"/>
    <w:rsid w:val="008C42F0"/>
    <w:rsid w:val="008C502A"/>
    <w:rsid w:val="008D0BF3"/>
    <w:rsid w:val="008D2503"/>
    <w:rsid w:val="008D2FEE"/>
    <w:rsid w:val="008D3CB4"/>
    <w:rsid w:val="008D556A"/>
    <w:rsid w:val="008D5AA6"/>
    <w:rsid w:val="008D7219"/>
    <w:rsid w:val="008E2792"/>
    <w:rsid w:val="008E2C55"/>
    <w:rsid w:val="008E2D2A"/>
    <w:rsid w:val="008E309A"/>
    <w:rsid w:val="008E411E"/>
    <w:rsid w:val="008E4454"/>
    <w:rsid w:val="008E4653"/>
    <w:rsid w:val="008E5122"/>
    <w:rsid w:val="008E5C87"/>
    <w:rsid w:val="008E6170"/>
    <w:rsid w:val="008E63A9"/>
    <w:rsid w:val="008E6AB6"/>
    <w:rsid w:val="008E7378"/>
    <w:rsid w:val="008E7A24"/>
    <w:rsid w:val="008F00FD"/>
    <w:rsid w:val="008F1907"/>
    <w:rsid w:val="008F1C48"/>
    <w:rsid w:val="008F2544"/>
    <w:rsid w:val="008F5667"/>
    <w:rsid w:val="008F57E9"/>
    <w:rsid w:val="008F67CB"/>
    <w:rsid w:val="009003BF"/>
    <w:rsid w:val="00905A74"/>
    <w:rsid w:val="00905DE8"/>
    <w:rsid w:val="0090795C"/>
    <w:rsid w:val="009108B8"/>
    <w:rsid w:val="00910C0E"/>
    <w:rsid w:val="00910F76"/>
    <w:rsid w:val="00911695"/>
    <w:rsid w:val="00911A6D"/>
    <w:rsid w:val="00912504"/>
    <w:rsid w:val="00915A2F"/>
    <w:rsid w:val="00916171"/>
    <w:rsid w:val="00917E2A"/>
    <w:rsid w:val="009223C2"/>
    <w:rsid w:val="00922D7D"/>
    <w:rsid w:val="00923223"/>
    <w:rsid w:val="009238FC"/>
    <w:rsid w:val="009243DC"/>
    <w:rsid w:val="0092521B"/>
    <w:rsid w:val="009257C7"/>
    <w:rsid w:val="00927BA0"/>
    <w:rsid w:val="00927E3C"/>
    <w:rsid w:val="009300DD"/>
    <w:rsid w:val="00930CF2"/>
    <w:rsid w:val="00930FF5"/>
    <w:rsid w:val="00931DEC"/>
    <w:rsid w:val="009320C7"/>
    <w:rsid w:val="00932581"/>
    <w:rsid w:val="009339FB"/>
    <w:rsid w:val="009348CD"/>
    <w:rsid w:val="00935161"/>
    <w:rsid w:val="00935B11"/>
    <w:rsid w:val="009361D3"/>
    <w:rsid w:val="00936D7E"/>
    <w:rsid w:val="00936F46"/>
    <w:rsid w:val="00937780"/>
    <w:rsid w:val="00940DF0"/>
    <w:rsid w:val="0094375E"/>
    <w:rsid w:val="009443CC"/>
    <w:rsid w:val="00950D66"/>
    <w:rsid w:val="00951AAB"/>
    <w:rsid w:val="00951B8E"/>
    <w:rsid w:val="00953CE9"/>
    <w:rsid w:val="00954C60"/>
    <w:rsid w:val="00955A1E"/>
    <w:rsid w:val="009560D2"/>
    <w:rsid w:val="00957288"/>
    <w:rsid w:val="00960ACF"/>
    <w:rsid w:val="00961017"/>
    <w:rsid w:val="00961335"/>
    <w:rsid w:val="00961F25"/>
    <w:rsid w:val="009627DA"/>
    <w:rsid w:val="00962947"/>
    <w:rsid w:val="00964046"/>
    <w:rsid w:val="00964193"/>
    <w:rsid w:val="00964EE9"/>
    <w:rsid w:val="00965C05"/>
    <w:rsid w:val="00971F85"/>
    <w:rsid w:val="009723B1"/>
    <w:rsid w:val="00974BBF"/>
    <w:rsid w:val="00975864"/>
    <w:rsid w:val="00976444"/>
    <w:rsid w:val="00976721"/>
    <w:rsid w:val="00981166"/>
    <w:rsid w:val="009819B0"/>
    <w:rsid w:val="00985AC0"/>
    <w:rsid w:val="009867A9"/>
    <w:rsid w:val="00987D75"/>
    <w:rsid w:val="009906A4"/>
    <w:rsid w:val="00990A95"/>
    <w:rsid w:val="00990AA1"/>
    <w:rsid w:val="00990BEB"/>
    <w:rsid w:val="009914FD"/>
    <w:rsid w:val="00991DED"/>
    <w:rsid w:val="00992892"/>
    <w:rsid w:val="00995208"/>
    <w:rsid w:val="00995C2D"/>
    <w:rsid w:val="00996942"/>
    <w:rsid w:val="00996FFA"/>
    <w:rsid w:val="009A10E3"/>
    <w:rsid w:val="009A1B26"/>
    <w:rsid w:val="009A217B"/>
    <w:rsid w:val="009A2584"/>
    <w:rsid w:val="009A3F56"/>
    <w:rsid w:val="009A6064"/>
    <w:rsid w:val="009B28DF"/>
    <w:rsid w:val="009B3B18"/>
    <w:rsid w:val="009B49FC"/>
    <w:rsid w:val="009B4BC4"/>
    <w:rsid w:val="009B58F2"/>
    <w:rsid w:val="009B6F6E"/>
    <w:rsid w:val="009C052A"/>
    <w:rsid w:val="009C273F"/>
    <w:rsid w:val="009C2CE4"/>
    <w:rsid w:val="009C2E52"/>
    <w:rsid w:val="009C308B"/>
    <w:rsid w:val="009C5742"/>
    <w:rsid w:val="009C634D"/>
    <w:rsid w:val="009C6B7F"/>
    <w:rsid w:val="009D09B2"/>
    <w:rsid w:val="009D1894"/>
    <w:rsid w:val="009D2241"/>
    <w:rsid w:val="009D42CB"/>
    <w:rsid w:val="009D57E1"/>
    <w:rsid w:val="009D7A62"/>
    <w:rsid w:val="009D7AF9"/>
    <w:rsid w:val="009D7E3A"/>
    <w:rsid w:val="009E04F7"/>
    <w:rsid w:val="009E1899"/>
    <w:rsid w:val="009E4318"/>
    <w:rsid w:val="009E4743"/>
    <w:rsid w:val="009E4FF3"/>
    <w:rsid w:val="009E5017"/>
    <w:rsid w:val="009E5E59"/>
    <w:rsid w:val="009E5EE5"/>
    <w:rsid w:val="009E793F"/>
    <w:rsid w:val="009E7BF8"/>
    <w:rsid w:val="009F005A"/>
    <w:rsid w:val="009F060E"/>
    <w:rsid w:val="009F4A60"/>
    <w:rsid w:val="009F4E4D"/>
    <w:rsid w:val="009F62C3"/>
    <w:rsid w:val="009F67DB"/>
    <w:rsid w:val="009F7123"/>
    <w:rsid w:val="00A009E1"/>
    <w:rsid w:val="00A01286"/>
    <w:rsid w:val="00A02419"/>
    <w:rsid w:val="00A03561"/>
    <w:rsid w:val="00A04CAD"/>
    <w:rsid w:val="00A05161"/>
    <w:rsid w:val="00A0532B"/>
    <w:rsid w:val="00A05DF6"/>
    <w:rsid w:val="00A05EBA"/>
    <w:rsid w:val="00A06538"/>
    <w:rsid w:val="00A06C8F"/>
    <w:rsid w:val="00A07F8E"/>
    <w:rsid w:val="00A10721"/>
    <w:rsid w:val="00A11D07"/>
    <w:rsid w:val="00A142EE"/>
    <w:rsid w:val="00A15221"/>
    <w:rsid w:val="00A156B4"/>
    <w:rsid w:val="00A174BA"/>
    <w:rsid w:val="00A17910"/>
    <w:rsid w:val="00A17E00"/>
    <w:rsid w:val="00A21FEB"/>
    <w:rsid w:val="00A23187"/>
    <w:rsid w:val="00A234AD"/>
    <w:rsid w:val="00A23AA3"/>
    <w:rsid w:val="00A23B5F"/>
    <w:rsid w:val="00A25AE7"/>
    <w:rsid w:val="00A26584"/>
    <w:rsid w:val="00A30B87"/>
    <w:rsid w:val="00A31791"/>
    <w:rsid w:val="00A33A06"/>
    <w:rsid w:val="00A3443B"/>
    <w:rsid w:val="00A358EB"/>
    <w:rsid w:val="00A37343"/>
    <w:rsid w:val="00A37ABF"/>
    <w:rsid w:val="00A4036E"/>
    <w:rsid w:val="00A4044B"/>
    <w:rsid w:val="00A412D5"/>
    <w:rsid w:val="00A437CD"/>
    <w:rsid w:val="00A4388C"/>
    <w:rsid w:val="00A448BE"/>
    <w:rsid w:val="00A451A3"/>
    <w:rsid w:val="00A4567F"/>
    <w:rsid w:val="00A45F50"/>
    <w:rsid w:val="00A46714"/>
    <w:rsid w:val="00A47017"/>
    <w:rsid w:val="00A52396"/>
    <w:rsid w:val="00A524A4"/>
    <w:rsid w:val="00A54843"/>
    <w:rsid w:val="00A5593E"/>
    <w:rsid w:val="00A56F2E"/>
    <w:rsid w:val="00A57CBD"/>
    <w:rsid w:val="00A606EC"/>
    <w:rsid w:val="00A636A0"/>
    <w:rsid w:val="00A64CCC"/>
    <w:rsid w:val="00A64FA1"/>
    <w:rsid w:val="00A6611C"/>
    <w:rsid w:val="00A663C9"/>
    <w:rsid w:val="00A66B1F"/>
    <w:rsid w:val="00A703EA"/>
    <w:rsid w:val="00A70562"/>
    <w:rsid w:val="00A70DAE"/>
    <w:rsid w:val="00A711BC"/>
    <w:rsid w:val="00A722F2"/>
    <w:rsid w:val="00A72A24"/>
    <w:rsid w:val="00A72AC5"/>
    <w:rsid w:val="00A7306A"/>
    <w:rsid w:val="00A73DC0"/>
    <w:rsid w:val="00A74908"/>
    <w:rsid w:val="00A76434"/>
    <w:rsid w:val="00A84C71"/>
    <w:rsid w:val="00A8560A"/>
    <w:rsid w:val="00A87993"/>
    <w:rsid w:val="00A87DDA"/>
    <w:rsid w:val="00A90970"/>
    <w:rsid w:val="00A9111A"/>
    <w:rsid w:val="00A916F8"/>
    <w:rsid w:val="00A939FC"/>
    <w:rsid w:val="00A9574C"/>
    <w:rsid w:val="00A96D7B"/>
    <w:rsid w:val="00A97CAA"/>
    <w:rsid w:val="00AA0DFF"/>
    <w:rsid w:val="00AA32EC"/>
    <w:rsid w:val="00AA38B0"/>
    <w:rsid w:val="00AA48DB"/>
    <w:rsid w:val="00AA68C5"/>
    <w:rsid w:val="00AA6D6C"/>
    <w:rsid w:val="00AA7036"/>
    <w:rsid w:val="00AA76E0"/>
    <w:rsid w:val="00AB0C8C"/>
    <w:rsid w:val="00AB1E6B"/>
    <w:rsid w:val="00AB342B"/>
    <w:rsid w:val="00AB4603"/>
    <w:rsid w:val="00AB4B93"/>
    <w:rsid w:val="00AB618D"/>
    <w:rsid w:val="00AB7BC7"/>
    <w:rsid w:val="00AC0555"/>
    <w:rsid w:val="00AC1F3C"/>
    <w:rsid w:val="00AC2763"/>
    <w:rsid w:val="00AC3A0F"/>
    <w:rsid w:val="00AC3CE1"/>
    <w:rsid w:val="00AC5797"/>
    <w:rsid w:val="00AC5AFB"/>
    <w:rsid w:val="00AC6109"/>
    <w:rsid w:val="00AC66B0"/>
    <w:rsid w:val="00AC7511"/>
    <w:rsid w:val="00AD07F0"/>
    <w:rsid w:val="00AD2779"/>
    <w:rsid w:val="00AD4C59"/>
    <w:rsid w:val="00AD5827"/>
    <w:rsid w:val="00AD5D52"/>
    <w:rsid w:val="00AD6419"/>
    <w:rsid w:val="00AD664C"/>
    <w:rsid w:val="00AE1C40"/>
    <w:rsid w:val="00AE1CDC"/>
    <w:rsid w:val="00AE3DF9"/>
    <w:rsid w:val="00AE5721"/>
    <w:rsid w:val="00AE71A6"/>
    <w:rsid w:val="00AF0791"/>
    <w:rsid w:val="00AF0813"/>
    <w:rsid w:val="00AF35B7"/>
    <w:rsid w:val="00AF4078"/>
    <w:rsid w:val="00AF4596"/>
    <w:rsid w:val="00AF5BB3"/>
    <w:rsid w:val="00AF62B4"/>
    <w:rsid w:val="00AF66ED"/>
    <w:rsid w:val="00B01C76"/>
    <w:rsid w:val="00B028E1"/>
    <w:rsid w:val="00B045F5"/>
    <w:rsid w:val="00B04924"/>
    <w:rsid w:val="00B0516F"/>
    <w:rsid w:val="00B0648B"/>
    <w:rsid w:val="00B06F31"/>
    <w:rsid w:val="00B0788D"/>
    <w:rsid w:val="00B0793B"/>
    <w:rsid w:val="00B12544"/>
    <w:rsid w:val="00B128F3"/>
    <w:rsid w:val="00B12E42"/>
    <w:rsid w:val="00B14156"/>
    <w:rsid w:val="00B14513"/>
    <w:rsid w:val="00B147A7"/>
    <w:rsid w:val="00B14F0A"/>
    <w:rsid w:val="00B17064"/>
    <w:rsid w:val="00B174A4"/>
    <w:rsid w:val="00B208FC"/>
    <w:rsid w:val="00B21345"/>
    <w:rsid w:val="00B218A0"/>
    <w:rsid w:val="00B21CD1"/>
    <w:rsid w:val="00B25969"/>
    <w:rsid w:val="00B266BC"/>
    <w:rsid w:val="00B26A86"/>
    <w:rsid w:val="00B26F8E"/>
    <w:rsid w:val="00B3135E"/>
    <w:rsid w:val="00B31686"/>
    <w:rsid w:val="00B35BA3"/>
    <w:rsid w:val="00B3752F"/>
    <w:rsid w:val="00B400F4"/>
    <w:rsid w:val="00B40276"/>
    <w:rsid w:val="00B40CB7"/>
    <w:rsid w:val="00B41216"/>
    <w:rsid w:val="00B4191E"/>
    <w:rsid w:val="00B419FE"/>
    <w:rsid w:val="00B41B5C"/>
    <w:rsid w:val="00B41E08"/>
    <w:rsid w:val="00B430FA"/>
    <w:rsid w:val="00B4362D"/>
    <w:rsid w:val="00B43BE2"/>
    <w:rsid w:val="00B43F73"/>
    <w:rsid w:val="00B44662"/>
    <w:rsid w:val="00B45AEE"/>
    <w:rsid w:val="00B45ED2"/>
    <w:rsid w:val="00B4651E"/>
    <w:rsid w:val="00B46826"/>
    <w:rsid w:val="00B51251"/>
    <w:rsid w:val="00B51E6A"/>
    <w:rsid w:val="00B52ABC"/>
    <w:rsid w:val="00B52BCB"/>
    <w:rsid w:val="00B53034"/>
    <w:rsid w:val="00B53594"/>
    <w:rsid w:val="00B53A07"/>
    <w:rsid w:val="00B6089C"/>
    <w:rsid w:val="00B60C6E"/>
    <w:rsid w:val="00B621D6"/>
    <w:rsid w:val="00B62640"/>
    <w:rsid w:val="00B62C19"/>
    <w:rsid w:val="00B6458E"/>
    <w:rsid w:val="00B646E8"/>
    <w:rsid w:val="00B64765"/>
    <w:rsid w:val="00B64F5A"/>
    <w:rsid w:val="00B66E13"/>
    <w:rsid w:val="00B70D16"/>
    <w:rsid w:val="00B72BD0"/>
    <w:rsid w:val="00B73B6F"/>
    <w:rsid w:val="00B74BB5"/>
    <w:rsid w:val="00B74E27"/>
    <w:rsid w:val="00B76210"/>
    <w:rsid w:val="00B77FEE"/>
    <w:rsid w:val="00B8294D"/>
    <w:rsid w:val="00B83525"/>
    <w:rsid w:val="00B847F1"/>
    <w:rsid w:val="00B852CF"/>
    <w:rsid w:val="00B867AC"/>
    <w:rsid w:val="00B86BF1"/>
    <w:rsid w:val="00B871C6"/>
    <w:rsid w:val="00B908D5"/>
    <w:rsid w:val="00B93C77"/>
    <w:rsid w:val="00B95A8D"/>
    <w:rsid w:val="00B96584"/>
    <w:rsid w:val="00B96B13"/>
    <w:rsid w:val="00BA04FA"/>
    <w:rsid w:val="00BA1720"/>
    <w:rsid w:val="00BA2556"/>
    <w:rsid w:val="00BA5931"/>
    <w:rsid w:val="00BA643D"/>
    <w:rsid w:val="00BA69E6"/>
    <w:rsid w:val="00BA74D9"/>
    <w:rsid w:val="00BA77B1"/>
    <w:rsid w:val="00BA7827"/>
    <w:rsid w:val="00BB1D01"/>
    <w:rsid w:val="00BB2AF5"/>
    <w:rsid w:val="00BB479A"/>
    <w:rsid w:val="00BB5965"/>
    <w:rsid w:val="00BB69A3"/>
    <w:rsid w:val="00BB6E73"/>
    <w:rsid w:val="00BB7D4D"/>
    <w:rsid w:val="00BB7FFD"/>
    <w:rsid w:val="00BC0BCF"/>
    <w:rsid w:val="00BC1B7E"/>
    <w:rsid w:val="00BC1DA6"/>
    <w:rsid w:val="00BC1FEC"/>
    <w:rsid w:val="00BC4002"/>
    <w:rsid w:val="00BC4039"/>
    <w:rsid w:val="00BC44D5"/>
    <w:rsid w:val="00BC4788"/>
    <w:rsid w:val="00BC7141"/>
    <w:rsid w:val="00BD0801"/>
    <w:rsid w:val="00BD1BFA"/>
    <w:rsid w:val="00BD239B"/>
    <w:rsid w:val="00BD25D1"/>
    <w:rsid w:val="00BD2CBA"/>
    <w:rsid w:val="00BD3E09"/>
    <w:rsid w:val="00BD424B"/>
    <w:rsid w:val="00BD75C8"/>
    <w:rsid w:val="00BD7A67"/>
    <w:rsid w:val="00BD7E31"/>
    <w:rsid w:val="00BE1227"/>
    <w:rsid w:val="00BE14FC"/>
    <w:rsid w:val="00BE157D"/>
    <w:rsid w:val="00BE18B2"/>
    <w:rsid w:val="00BE3415"/>
    <w:rsid w:val="00BE421E"/>
    <w:rsid w:val="00BE47A9"/>
    <w:rsid w:val="00BE5994"/>
    <w:rsid w:val="00BE73AA"/>
    <w:rsid w:val="00BF0823"/>
    <w:rsid w:val="00BF2DEB"/>
    <w:rsid w:val="00BF3AF0"/>
    <w:rsid w:val="00BF3BDE"/>
    <w:rsid w:val="00BF3E76"/>
    <w:rsid w:val="00BF4F4B"/>
    <w:rsid w:val="00BF53AE"/>
    <w:rsid w:val="00BF58A6"/>
    <w:rsid w:val="00BF59A7"/>
    <w:rsid w:val="00BF7529"/>
    <w:rsid w:val="00C0020E"/>
    <w:rsid w:val="00C00D89"/>
    <w:rsid w:val="00C014D5"/>
    <w:rsid w:val="00C01CB3"/>
    <w:rsid w:val="00C02808"/>
    <w:rsid w:val="00C029C5"/>
    <w:rsid w:val="00C0348C"/>
    <w:rsid w:val="00C058F3"/>
    <w:rsid w:val="00C063BE"/>
    <w:rsid w:val="00C06F4F"/>
    <w:rsid w:val="00C07CE5"/>
    <w:rsid w:val="00C106F5"/>
    <w:rsid w:val="00C10D33"/>
    <w:rsid w:val="00C10F9C"/>
    <w:rsid w:val="00C13769"/>
    <w:rsid w:val="00C13CD9"/>
    <w:rsid w:val="00C15D9F"/>
    <w:rsid w:val="00C17EE9"/>
    <w:rsid w:val="00C20199"/>
    <w:rsid w:val="00C21662"/>
    <w:rsid w:val="00C21D85"/>
    <w:rsid w:val="00C22E95"/>
    <w:rsid w:val="00C23A7A"/>
    <w:rsid w:val="00C2455D"/>
    <w:rsid w:val="00C25CF4"/>
    <w:rsid w:val="00C34DAD"/>
    <w:rsid w:val="00C34E2D"/>
    <w:rsid w:val="00C368A2"/>
    <w:rsid w:val="00C36C36"/>
    <w:rsid w:val="00C4112C"/>
    <w:rsid w:val="00C42190"/>
    <w:rsid w:val="00C44F54"/>
    <w:rsid w:val="00C45F02"/>
    <w:rsid w:val="00C4790F"/>
    <w:rsid w:val="00C5138C"/>
    <w:rsid w:val="00C51FE2"/>
    <w:rsid w:val="00C52F0D"/>
    <w:rsid w:val="00C536D8"/>
    <w:rsid w:val="00C541EA"/>
    <w:rsid w:val="00C55E63"/>
    <w:rsid w:val="00C55F5D"/>
    <w:rsid w:val="00C574B2"/>
    <w:rsid w:val="00C60C03"/>
    <w:rsid w:val="00C61906"/>
    <w:rsid w:val="00C640E4"/>
    <w:rsid w:val="00C648AB"/>
    <w:rsid w:val="00C65A0F"/>
    <w:rsid w:val="00C66416"/>
    <w:rsid w:val="00C6720B"/>
    <w:rsid w:val="00C6780C"/>
    <w:rsid w:val="00C72249"/>
    <w:rsid w:val="00C72B83"/>
    <w:rsid w:val="00C7453F"/>
    <w:rsid w:val="00C746BD"/>
    <w:rsid w:val="00C74D3D"/>
    <w:rsid w:val="00C74F5D"/>
    <w:rsid w:val="00C76D05"/>
    <w:rsid w:val="00C777EC"/>
    <w:rsid w:val="00C7784E"/>
    <w:rsid w:val="00C80836"/>
    <w:rsid w:val="00C85FB7"/>
    <w:rsid w:val="00C86554"/>
    <w:rsid w:val="00C867D9"/>
    <w:rsid w:val="00C86EF1"/>
    <w:rsid w:val="00C86F9D"/>
    <w:rsid w:val="00C87051"/>
    <w:rsid w:val="00C90F6F"/>
    <w:rsid w:val="00C90F8A"/>
    <w:rsid w:val="00C916E8"/>
    <w:rsid w:val="00C92E7E"/>
    <w:rsid w:val="00C938B7"/>
    <w:rsid w:val="00C94FFC"/>
    <w:rsid w:val="00C950D7"/>
    <w:rsid w:val="00C95681"/>
    <w:rsid w:val="00C97691"/>
    <w:rsid w:val="00CA0C53"/>
    <w:rsid w:val="00CA138A"/>
    <w:rsid w:val="00CA17E5"/>
    <w:rsid w:val="00CA2B62"/>
    <w:rsid w:val="00CA3030"/>
    <w:rsid w:val="00CA3931"/>
    <w:rsid w:val="00CA3CD3"/>
    <w:rsid w:val="00CA496B"/>
    <w:rsid w:val="00CA4B97"/>
    <w:rsid w:val="00CA5876"/>
    <w:rsid w:val="00CA6209"/>
    <w:rsid w:val="00CA62D1"/>
    <w:rsid w:val="00CB0266"/>
    <w:rsid w:val="00CB0495"/>
    <w:rsid w:val="00CB0CCF"/>
    <w:rsid w:val="00CB3467"/>
    <w:rsid w:val="00CB389D"/>
    <w:rsid w:val="00CB3E3D"/>
    <w:rsid w:val="00CB503C"/>
    <w:rsid w:val="00CB68D5"/>
    <w:rsid w:val="00CB7AEE"/>
    <w:rsid w:val="00CB7F0F"/>
    <w:rsid w:val="00CC12E0"/>
    <w:rsid w:val="00CC3FAB"/>
    <w:rsid w:val="00CC4D44"/>
    <w:rsid w:val="00CC4E3B"/>
    <w:rsid w:val="00CC6A0D"/>
    <w:rsid w:val="00CC770D"/>
    <w:rsid w:val="00CD15B3"/>
    <w:rsid w:val="00CD345C"/>
    <w:rsid w:val="00CD3AC0"/>
    <w:rsid w:val="00CD4B70"/>
    <w:rsid w:val="00CD4D47"/>
    <w:rsid w:val="00CD57F5"/>
    <w:rsid w:val="00CD66E1"/>
    <w:rsid w:val="00CD76FF"/>
    <w:rsid w:val="00CE03A7"/>
    <w:rsid w:val="00CE20D5"/>
    <w:rsid w:val="00CE27AF"/>
    <w:rsid w:val="00CE30B0"/>
    <w:rsid w:val="00CE5447"/>
    <w:rsid w:val="00CE56C1"/>
    <w:rsid w:val="00CE64EF"/>
    <w:rsid w:val="00CF075E"/>
    <w:rsid w:val="00CF07A6"/>
    <w:rsid w:val="00CF0D31"/>
    <w:rsid w:val="00CF0FFE"/>
    <w:rsid w:val="00CF257E"/>
    <w:rsid w:val="00CF2F6B"/>
    <w:rsid w:val="00CF388C"/>
    <w:rsid w:val="00CF3BD9"/>
    <w:rsid w:val="00CF439D"/>
    <w:rsid w:val="00CF467C"/>
    <w:rsid w:val="00CF52B0"/>
    <w:rsid w:val="00CF586B"/>
    <w:rsid w:val="00CF7CF7"/>
    <w:rsid w:val="00D0063F"/>
    <w:rsid w:val="00D028C5"/>
    <w:rsid w:val="00D029D2"/>
    <w:rsid w:val="00D02FBC"/>
    <w:rsid w:val="00D03886"/>
    <w:rsid w:val="00D045FB"/>
    <w:rsid w:val="00D04600"/>
    <w:rsid w:val="00D0746D"/>
    <w:rsid w:val="00D10B08"/>
    <w:rsid w:val="00D1163E"/>
    <w:rsid w:val="00D128FD"/>
    <w:rsid w:val="00D134A5"/>
    <w:rsid w:val="00D13DFA"/>
    <w:rsid w:val="00D13F05"/>
    <w:rsid w:val="00D15918"/>
    <w:rsid w:val="00D1596B"/>
    <w:rsid w:val="00D16A2C"/>
    <w:rsid w:val="00D17CA5"/>
    <w:rsid w:val="00D17FB5"/>
    <w:rsid w:val="00D23B2E"/>
    <w:rsid w:val="00D25B5E"/>
    <w:rsid w:val="00D27127"/>
    <w:rsid w:val="00D32AAA"/>
    <w:rsid w:val="00D34579"/>
    <w:rsid w:val="00D351D3"/>
    <w:rsid w:val="00D36535"/>
    <w:rsid w:val="00D40C1C"/>
    <w:rsid w:val="00D40D5F"/>
    <w:rsid w:val="00D430A9"/>
    <w:rsid w:val="00D43E63"/>
    <w:rsid w:val="00D4423F"/>
    <w:rsid w:val="00D459F5"/>
    <w:rsid w:val="00D45A43"/>
    <w:rsid w:val="00D4737E"/>
    <w:rsid w:val="00D473B7"/>
    <w:rsid w:val="00D47A0A"/>
    <w:rsid w:val="00D47A8B"/>
    <w:rsid w:val="00D50032"/>
    <w:rsid w:val="00D5050A"/>
    <w:rsid w:val="00D5069A"/>
    <w:rsid w:val="00D52F40"/>
    <w:rsid w:val="00D52F4C"/>
    <w:rsid w:val="00D532E3"/>
    <w:rsid w:val="00D53374"/>
    <w:rsid w:val="00D53965"/>
    <w:rsid w:val="00D53A5B"/>
    <w:rsid w:val="00D5600A"/>
    <w:rsid w:val="00D613DA"/>
    <w:rsid w:val="00D62BB1"/>
    <w:rsid w:val="00D65CE2"/>
    <w:rsid w:val="00D66AA5"/>
    <w:rsid w:val="00D66C0D"/>
    <w:rsid w:val="00D674CF"/>
    <w:rsid w:val="00D67AB8"/>
    <w:rsid w:val="00D70F0F"/>
    <w:rsid w:val="00D72480"/>
    <w:rsid w:val="00D728B4"/>
    <w:rsid w:val="00D7295D"/>
    <w:rsid w:val="00D74534"/>
    <w:rsid w:val="00D76010"/>
    <w:rsid w:val="00D764E6"/>
    <w:rsid w:val="00D802DC"/>
    <w:rsid w:val="00D80DD9"/>
    <w:rsid w:val="00D82692"/>
    <w:rsid w:val="00D8370A"/>
    <w:rsid w:val="00D83EC3"/>
    <w:rsid w:val="00D90426"/>
    <w:rsid w:val="00D917F2"/>
    <w:rsid w:val="00D9211C"/>
    <w:rsid w:val="00D922E2"/>
    <w:rsid w:val="00D93039"/>
    <w:rsid w:val="00D9327D"/>
    <w:rsid w:val="00D93869"/>
    <w:rsid w:val="00D94B93"/>
    <w:rsid w:val="00D95BAC"/>
    <w:rsid w:val="00D97D9D"/>
    <w:rsid w:val="00DA07F3"/>
    <w:rsid w:val="00DA20E5"/>
    <w:rsid w:val="00DA362A"/>
    <w:rsid w:val="00DA3DD3"/>
    <w:rsid w:val="00DA4537"/>
    <w:rsid w:val="00DA4726"/>
    <w:rsid w:val="00DA6255"/>
    <w:rsid w:val="00DA786D"/>
    <w:rsid w:val="00DA79FF"/>
    <w:rsid w:val="00DA7FA1"/>
    <w:rsid w:val="00DB02DB"/>
    <w:rsid w:val="00DB1E2B"/>
    <w:rsid w:val="00DB2E4F"/>
    <w:rsid w:val="00DB2F12"/>
    <w:rsid w:val="00DB38E1"/>
    <w:rsid w:val="00DB4A19"/>
    <w:rsid w:val="00DB5E0A"/>
    <w:rsid w:val="00DB68D4"/>
    <w:rsid w:val="00DC07F3"/>
    <w:rsid w:val="00DC0A0B"/>
    <w:rsid w:val="00DC360B"/>
    <w:rsid w:val="00DC39D1"/>
    <w:rsid w:val="00DC409D"/>
    <w:rsid w:val="00DC426A"/>
    <w:rsid w:val="00DC4FCC"/>
    <w:rsid w:val="00DC53CD"/>
    <w:rsid w:val="00DC570C"/>
    <w:rsid w:val="00DD08A5"/>
    <w:rsid w:val="00DD3430"/>
    <w:rsid w:val="00DD4887"/>
    <w:rsid w:val="00DD4DEB"/>
    <w:rsid w:val="00DD5BAF"/>
    <w:rsid w:val="00DD5D0F"/>
    <w:rsid w:val="00DD7056"/>
    <w:rsid w:val="00DD763F"/>
    <w:rsid w:val="00DD7900"/>
    <w:rsid w:val="00DD7BD8"/>
    <w:rsid w:val="00DE0AC9"/>
    <w:rsid w:val="00DE0EA4"/>
    <w:rsid w:val="00DE1CA0"/>
    <w:rsid w:val="00DE5637"/>
    <w:rsid w:val="00DE5F38"/>
    <w:rsid w:val="00DE67FD"/>
    <w:rsid w:val="00DE7E64"/>
    <w:rsid w:val="00DE7F7D"/>
    <w:rsid w:val="00DF05DB"/>
    <w:rsid w:val="00DF23B4"/>
    <w:rsid w:val="00DF3066"/>
    <w:rsid w:val="00DF3897"/>
    <w:rsid w:val="00DF5769"/>
    <w:rsid w:val="00DF7AE1"/>
    <w:rsid w:val="00DF7E33"/>
    <w:rsid w:val="00E00838"/>
    <w:rsid w:val="00E00F42"/>
    <w:rsid w:val="00E0116C"/>
    <w:rsid w:val="00E014A6"/>
    <w:rsid w:val="00E02CEA"/>
    <w:rsid w:val="00E0387F"/>
    <w:rsid w:val="00E04305"/>
    <w:rsid w:val="00E0473B"/>
    <w:rsid w:val="00E04B2B"/>
    <w:rsid w:val="00E04BDD"/>
    <w:rsid w:val="00E04D4B"/>
    <w:rsid w:val="00E04E53"/>
    <w:rsid w:val="00E070B5"/>
    <w:rsid w:val="00E117DE"/>
    <w:rsid w:val="00E12A33"/>
    <w:rsid w:val="00E12B81"/>
    <w:rsid w:val="00E13411"/>
    <w:rsid w:val="00E134A1"/>
    <w:rsid w:val="00E1366E"/>
    <w:rsid w:val="00E13CF7"/>
    <w:rsid w:val="00E1406D"/>
    <w:rsid w:val="00E147B5"/>
    <w:rsid w:val="00E171E1"/>
    <w:rsid w:val="00E17DAE"/>
    <w:rsid w:val="00E26533"/>
    <w:rsid w:val="00E303F7"/>
    <w:rsid w:val="00E30714"/>
    <w:rsid w:val="00E31976"/>
    <w:rsid w:val="00E32546"/>
    <w:rsid w:val="00E32B6F"/>
    <w:rsid w:val="00E334F0"/>
    <w:rsid w:val="00E338F7"/>
    <w:rsid w:val="00E3489C"/>
    <w:rsid w:val="00E36349"/>
    <w:rsid w:val="00E364AF"/>
    <w:rsid w:val="00E369B3"/>
    <w:rsid w:val="00E36B8D"/>
    <w:rsid w:val="00E36FA9"/>
    <w:rsid w:val="00E37171"/>
    <w:rsid w:val="00E374F0"/>
    <w:rsid w:val="00E41469"/>
    <w:rsid w:val="00E41763"/>
    <w:rsid w:val="00E44361"/>
    <w:rsid w:val="00E461B2"/>
    <w:rsid w:val="00E503A3"/>
    <w:rsid w:val="00E51420"/>
    <w:rsid w:val="00E522B5"/>
    <w:rsid w:val="00E53B1C"/>
    <w:rsid w:val="00E5520C"/>
    <w:rsid w:val="00E561A6"/>
    <w:rsid w:val="00E56503"/>
    <w:rsid w:val="00E5657C"/>
    <w:rsid w:val="00E60594"/>
    <w:rsid w:val="00E607AB"/>
    <w:rsid w:val="00E607E2"/>
    <w:rsid w:val="00E61798"/>
    <w:rsid w:val="00E63D31"/>
    <w:rsid w:val="00E6570F"/>
    <w:rsid w:val="00E658BE"/>
    <w:rsid w:val="00E7091A"/>
    <w:rsid w:val="00E7122E"/>
    <w:rsid w:val="00E71259"/>
    <w:rsid w:val="00E73D06"/>
    <w:rsid w:val="00E73F56"/>
    <w:rsid w:val="00E76D0B"/>
    <w:rsid w:val="00E80F99"/>
    <w:rsid w:val="00E81207"/>
    <w:rsid w:val="00E82156"/>
    <w:rsid w:val="00E8292F"/>
    <w:rsid w:val="00E82E12"/>
    <w:rsid w:val="00E82EB2"/>
    <w:rsid w:val="00E84D4A"/>
    <w:rsid w:val="00E85579"/>
    <w:rsid w:val="00E871F1"/>
    <w:rsid w:val="00E876F5"/>
    <w:rsid w:val="00E909B3"/>
    <w:rsid w:val="00E92862"/>
    <w:rsid w:val="00E92966"/>
    <w:rsid w:val="00E92EE9"/>
    <w:rsid w:val="00E943B5"/>
    <w:rsid w:val="00E94FD7"/>
    <w:rsid w:val="00E96801"/>
    <w:rsid w:val="00E968CF"/>
    <w:rsid w:val="00E9716F"/>
    <w:rsid w:val="00E975AB"/>
    <w:rsid w:val="00EA09B1"/>
    <w:rsid w:val="00EA0AE1"/>
    <w:rsid w:val="00EA152B"/>
    <w:rsid w:val="00EA3DFF"/>
    <w:rsid w:val="00EA4BF6"/>
    <w:rsid w:val="00EA6A40"/>
    <w:rsid w:val="00EB226C"/>
    <w:rsid w:val="00EB228E"/>
    <w:rsid w:val="00EB24E2"/>
    <w:rsid w:val="00EB29AC"/>
    <w:rsid w:val="00EB4048"/>
    <w:rsid w:val="00EB43BB"/>
    <w:rsid w:val="00EB5814"/>
    <w:rsid w:val="00EB6B3F"/>
    <w:rsid w:val="00EB77BA"/>
    <w:rsid w:val="00EB7F9C"/>
    <w:rsid w:val="00EC0994"/>
    <w:rsid w:val="00EC10C0"/>
    <w:rsid w:val="00EC2780"/>
    <w:rsid w:val="00EC403F"/>
    <w:rsid w:val="00EC5E2B"/>
    <w:rsid w:val="00EC5E2E"/>
    <w:rsid w:val="00EC6044"/>
    <w:rsid w:val="00EC628E"/>
    <w:rsid w:val="00EC68FF"/>
    <w:rsid w:val="00EC6982"/>
    <w:rsid w:val="00EC7BAF"/>
    <w:rsid w:val="00ED0160"/>
    <w:rsid w:val="00ED016E"/>
    <w:rsid w:val="00ED113C"/>
    <w:rsid w:val="00ED2A85"/>
    <w:rsid w:val="00ED44A9"/>
    <w:rsid w:val="00ED5A99"/>
    <w:rsid w:val="00ED5E19"/>
    <w:rsid w:val="00ED70E8"/>
    <w:rsid w:val="00ED7BEF"/>
    <w:rsid w:val="00EE19AB"/>
    <w:rsid w:val="00EE59C9"/>
    <w:rsid w:val="00EE6CCB"/>
    <w:rsid w:val="00EE78B2"/>
    <w:rsid w:val="00EE7E0A"/>
    <w:rsid w:val="00EF0DEA"/>
    <w:rsid w:val="00EF1EB3"/>
    <w:rsid w:val="00EF2299"/>
    <w:rsid w:val="00EF32F3"/>
    <w:rsid w:val="00EF3E20"/>
    <w:rsid w:val="00EF4558"/>
    <w:rsid w:val="00EF4CE3"/>
    <w:rsid w:val="00EF52AB"/>
    <w:rsid w:val="00EF716E"/>
    <w:rsid w:val="00F00286"/>
    <w:rsid w:val="00F02C0C"/>
    <w:rsid w:val="00F02F2A"/>
    <w:rsid w:val="00F03651"/>
    <w:rsid w:val="00F047A2"/>
    <w:rsid w:val="00F05D5E"/>
    <w:rsid w:val="00F060AA"/>
    <w:rsid w:val="00F06B84"/>
    <w:rsid w:val="00F10C97"/>
    <w:rsid w:val="00F111F5"/>
    <w:rsid w:val="00F11755"/>
    <w:rsid w:val="00F12552"/>
    <w:rsid w:val="00F12BE8"/>
    <w:rsid w:val="00F135DB"/>
    <w:rsid w:val="00F137C2"/>
    <w:rsid w:val="00F1381A"/>
    <w:rsid w:val="00F144BB"/>
    <w:rsid w:val="00F15B03"/>
    <w:rsid w:val="00F163AE"/>
    <w:rsid w:val="00F16B01"/>
    <w:rsid w:val="00F203E1"/>
    <w:rsid w:val="00F20E52"/>
    <w:rsid w:val="00F20F9C"/>
    <w:rsid w:val="00F23C2B"/>
    <w:rsid w:val="00F246C8"/>
    <w:rsid w:val="00F27CB2"/>
    <w:rsid w:val="00F300F7"/>
    <w:rsid w:val="00F30221"/>
    <w:rsid w:val="00F305F9"/>
    <w:rsid w:val="00F30FED"/>
    <w:rsid w:val="00F314DE"/>
    <w:rsid w:val="00F315CF"/>
    <w:rsid w:val="00F3169A"/>
    <w:rsid w:val="00F31E88"/>
    <w:rsid w:val="00F322ED"/>
    <w:rsid w:val="00F34DC6"/>
    <w:rsid w:val="00F356A7"/>
    <w:rsid w:val="00F3575F"/>
    <w:rsid w:val="00F35C36"/>
    <w:rsid w:val="00F365C1"/>
    <w:rsid w:val="00F3778B"/>
    <w:rsid w:val="00F40680"/>
    <w:rsid w:val="00F42C76"/>
    <w:rsid w:val="00F42E9D"/>
    <w:rsid w:val="00F4340B"/>
    <w:rsid w:val="00F4481E"/>
    <w:rsid w:val="00F44E1D"/>
    <w:rsid w:val="00F45A1A"/>
    <w:rsid w:val="00F465E5"/>
    <w:rsid w:val="00F47828"/>
    <w:rsid w:val="00F50196"/>
    <w:rsid w:val="00F50BA2"/>
    <w:rsid w:val="00F51187"/>
    <w:rsid w:val="00F52175"/>
    <w:rsid w:val="00F52A69"/>
    <w:rsid w:val="00F56683"/>
    <w:rsid w:val="00F571E6"/>
    <w:rsid w:val="00F602A9"/>
    <w:rsid w:val="00F60E76"/>
    <w:rsid w:val="00F63656"/>
    <w:rsid w:val="00F6789D"/>
    <w:rsid w:val="00F67F5D"/>
    <w:rsid w:val="00F709C6"/>
    <w:rsid w:val="00F72186"/>
    <w:rsid w:val="00F72E92"/>
    <w:rsid w:val="00F73A04"/>
    <w:rsid w:val="00F757A6"/>
    <w:rsid w:val="00F76DD6"/>
    <w:rsid w:val="00F77E27"/>
    <w:rsid w:val="00F80577"/>
    <w:rsid w:val="00F83BBA"/>
    <w:rsid w:val="00F8424B"/>
    <w:rsid w:val="00F8455C"/>
    <w:rsid w:val="00F84879"/>
    <w:rsid w:val="00F8613C"/>
    <w:rsid w:val="00F8625A"/>
    <w:rsid w:val="00F87634"/>
    <w:rsid w:val="00F90B71"/>
    <w:rsid w:val="00F91B2B"/>
    <w:rsid w:val="00F91C3E"/>
    <w:rsid w:val="00F925CB"/>
    <w:rsid w:val="00F92AF7"/>
    <w:rsid w:val="00F92FA8"/>
    <w:rsid w:val="00F93507"/>
    <w:rsid w:val="00F93B98"/>
    <w:rsid w:val="00F94557"/>
    <w:rsid w:val="00F94DC8"/>
    <w:rsid w:val="00F967E0"/>
    <w:rsid w:val="00FA088D"/>
    <w:rsid w:val="00FA0B41"/>
    <w:rsid w:val="00FA138F"/>
    <w:rsid w:val="00FA13CB"/>
    <w:rsid w:val="00FA180A"/>
    <w:rsid w:val="00FA534A"/>
    <w:rsid w:val="00FA6257"/>
    <w:rsid w:val="00FA62AE"/>
    <w:rsid w:val="00FA63F1"/>
    <w:rsid w:val="00FA65FB"/>
    <w:rsid w:val="00FB05F4"/>
    <w:rsid w:val="00FB0692"/>
    <w:rsid w:val="00FB113A"/>
    <w:rsid w:val="00FB19CA"/>
    <w:rsid w:val="00FB1C45"/>
    <w:rsid w:val="00FB1D95"/>
    <w:rsid w:val="00FB2707"/>
    <w:rsid w:val="00FB2C77"/>
    <w:rsid w:val="00FB433B"/>
    <w:rsid w:val="00FB4366"/>
    <w:rsid w:val="00FB60C3"/>
    <w:rsid w:val="00FB678E"/>
    <w:rsid w:val="00FC003B"/>
    <w:rsid w:val="00FC0121"/>
    <w:rsid w:val="00FC02A6"/>
    <w:rsid w:val="00FC0622"/>
    <w:rsid w:val="00FC12BF"/>
    <w:rsid w:val="00FC1F29"/>
    <w:rsid w:val="00FC218B"/>
    <w:rsid w:val="00FC2638"/>
    <w:rsid w:val="00FC367D"/>
    <w:rsid w:val="00FC36B9"/>
    <w:rsid w:val="00FC4D67"/>
    <w:rsid w:val="00FC4F35"/>
    <w:rsid w:val="00FC546B"/>
    <w:rsid w:val="00FD0A22"/>
    <w:rsid w:val="00FD24E1"/>
    <w:rsid w:val="00FD2D54"/>
    <w:rsid w:val="00FD4A87"/>
    <w:rsid w:val="00FD4AD6"/>
    <w:rsid w:val="00FD6875"/>
    <w:rsid w:val="00FE0272"/>
    <w:rsid w:val="00FE04CE"/>
    <w:rsid w:val="00FE152C"/>
    <w:rsid w:val="00FE2D29"/>
    <w:rsid w:val="00FE3CC9"/>
    <w:rsid w:val="00FE4057"/>
    <w:rsid w:val="00FE4237"/>
    <w:rsid w:val="00FE42F7"/>
    <w:rsid w:val="00FE464E"/>
    <w:rsid w:val="00FE471D"/>
    <w:rsid w:val="00FE675C"/>
    <w:rsid w:val="00FE74FC"/>
    <w:rsid w:val="00FF0106"/>
    <w:rsid w:val="00FF04AB"/>
    <w:rsid w:val="00FF0DB2"/>
    <w:rsid w:val="00FF23F4"/>
    <w:rsid w:val="00FF2F69"/>
    <w:rsid w:val="00FF375E"/>
    <w:rsid w:val="00FF50E6"/>
    <w:rsid w:val="00FF617C"/>
    <w:rsid w:val="00FF6ECE"/>
    <w:rsid w:val="010B1003"/>
    <w:rsid w:val="011B5492"/>
    <w:rsid w:val="01214A1E"/>
    <w:rsid w:val="0132265F"/>
    <w:rsid w:val="0136557F"/>
    <w:rsid w:val="013B5608"/>
    <w:rsid w:val="014F1B49"/>
    <w:rsid w:val="015001BC"/>
    <w:rsid w:val="015360F5"/>
    <w:rsid w:val="0161201C"/>
    <w:rsid w:val="01674AD8"/>
    <w:rsid w:val="016F0A91"/>
    <w:rsid w:val="017A1879"/>
    <w:rsid w:val="017A1896"/>
    <w:rsid w:val="017B15F7"/>
    <w:rsid w:val="018502B5"/>
    <w:rsid w:val="018B0123"/>
    <w:rsid w:val="0194102D"/>
    <w:rsid w:val="019B2A51"/>
    <w:rsid w:val="01BB069A"/>
    <w:rsid w:val="01BB3CD7"/>
    <w:rsid w:val="01BD17FD"/>
    <w:rsid w:val="01CA09D6"/>
    <w:rsid w:val="01E4322D"/>
    <w:rsid w:val="01EE6DBE"/>
    <w:rsid w:val="020C008E"/>
    <w:rsid w:val="020E7F3F"/>
    <w:rsid w:val="02140D77"/>
    <w:rsid w:val="021A6004"/>
    <w:rsid w:val="022C24DE"/>
    <w:rsid w:val="022E08B9"/>
    <w:rsid w:val="023A07E4"/>
    <w:rsid w:val="023C3F99"/>
    <w:rsid w:val="025D291A"/>
    <w:rsid w:val="0261662C"/>
    <w:rsid w:val="027202B1"/>
    <w:rsid w:val="02721F48"/>
    <w:rsid w:val="02805163"/>
    <w:rsid w:val="02815E8D"/>
    <w:rsid w:val="0290724D"/>
    <w:rsid w:val="0299522D"/>
    <w:rsid w:val="02E41BF4"/>
    <w:rsid w:val="02F07CB0"/>
    <w:rsid w:val="03054218"/>
    <w:rsid w:val="030D2E29"/>
    <w:rsid w:val="030D75EF"/>
    <w:rsid w:val="030E2C59"/>
    <w:rsid w:val="031168BC"/>
    <w:rsid w:val="03426C59"/>
    <w:rsid w:val="03433AF1"/>
    <w:rsid w:val="034D095E"/>
    <w:rsid w:val="03501AE4"/>
    <w:rsid w:val="035C652E"/>
    <w:rsid w:val="03634B73"/>
    <w:rsid w:val="03716722"/>
    <w:rsid w:val="03802C3C"/>
    <w:rsid w:val="039B623A"/>
    <w:rsid w:val="03A10CAA"/>
    <w:rsid w:val="03AA796C"/>
    <w:rsid w:val="03B31109"/>
    <w:rsid w:val="03B44AA5"/>
    <w:rsid w:val="03D96926"/>
    <w:rsid w:val="03E8294D"/>
    <w:rsid w:val="03F10150"/>
    <w:rsid w:val="040020A7"/>
    <w:rsid w:val="0414147C"/>
    <w:rsid w:val="0419566F"/>
    <w:rsid w:val="041E1308"/>
    <w:rsid w:val="042747BE"/>
    <w:rsid w:val="042E4027"/>
    <w:rsid w:val="043A5387"/>
    <w:rsid w:val="04473247"/>
    <w:rsid w:val="044D2B93"/>
    <w:rsid w:val="04833676"/>
    <w:rsid w:val="04930DBB"/>
    <w:rsid w:val="04954308"/>
    <w:rsid w:val="049F77B2"/>
    <w:rsid w:val="04A1730E"/>
    <w:rsid w:val="04A2371F"/>
    <w:rsid w:val="04A53BA4"/>
    <w:rsid w:val="04AA1834"/>
    <w:rsid w:val="04D17C83"/>
    <w:rsid w:val="04E374DE"/>
    <w:rsid w:val="04FF00EB"/>
    <w:rsid w:val="050140F6"/>
    <w:rsid w:val="0501459E"/>
    <w:rsid w:val="05131314"/>
    <w:rsid w:val="05175FCF"/>
    <w:rsid w:val="052263A0"/>
    <w:rsid w:val="054E23E8"/>
    <w:rsid w:val="05586075"/>
    <w:rsid w:val="055F11C8"/>
    <w:rsid w:val="05614B92"/>
    <w:rsid w:val="058E5789"/>
    <w:rsid w:val="05942874"/>
    <w:rsid w:val="059C5E7A"/>
    <w:rsid w:val="059F3F35"/>
    <w:rsid w:val="05AB2DB2"/>
    <w:rsid w:val="05C127AF"/>
    <w:rsid w:val="05C342DE"/>
    <w:rsid w:val="05C542BE"/>
    <w:rsid w:val="05CD3F30"/>
    <w:rsid w:val="05D44390"/>
    <w:rsid w:val="05D56659"/>
    <w:rsid w:val="05E530D0"/>
    <w:rsid w:val="05E62C5E"/>
    <w:rsid w:val="05EA2DDC"/>
    <w:rsid w:val="05EB76F4"/>
    <w:rsid w:val="05EC4B85"/>
    <w:rsid w:val="05EE467B"/>
    <w:rsid w:val="05F56B6A"/>
    <w:rsid w:val="05F7106C"/>
    <w:rsid w:val="06027766"/>
    <w:rsid w:val="061B11E8"/>
    <w:rsid w:val="06235043"/>
    <w:rsid w:val="062460B6"/>
    <w:rsid w:val="06255BC2"/>
    <w:rsid w:val="06305727"/>
    <w:rsid w:val="06322461"/>
    <w:rsid w:val="06392E0D"/>
    <w:rsid w:val="06440D68"/>
    <w:rsid w:val="064F49ED"/>
    <w:rsid w:val="06500E91"/>
    <w:rsid w:val="06583625"/>
    <w:rsid w:val="0661309E"/>
    <w:rsid w:val="06647C6C"/>
    <w:rsid w:val="06652B20"/>
    <w:rsid w:val="06665E33"/>
    <w:rsid w:val="067F1204"/>
    <w:rsid w:val="06936D88"/>
    <w:rsid w:val="0697791C"/>
    <w:rsid w:val="069845E6"/>
    <w:rsid w:val="069B6288"/>
    <w:rsid w:val="069E06D7"/>
    <w:rsid w:val="06A31CA0"/>
    <w:rsid w:val="06BD2DD4"/>
    <w:rsid w:val="06D31947"/>
    <w:rsid w:val="06D67D46"/>
    <w:rsid w:val="06D70734"/>
    <w:rsid w:val="06D70DEC"/>
    <w:rsid w:val="06D92562"/>
    <w:rsid w:val="06E760D7"/>
    <w:rsid w:val="06EA54F2"/>
    <w:rsid w:val="06EA54F3"/>
    <w:rsid w:val="06F3181D"/>
    <w:rsid w:val="06F650AE"/>
    <w:rsid w:val="07075B45"/>
    <w:rsid w:val="070A76BD"/>
    <w:rsid w:val="071A149F"/>
    <w:rsid w:val="071C273A"/>
    <w:rsid w:val="071E5D15"/>
    <w:rsid w:val="072E5643"/>
    <w:rsid w:val="073D7196"/>
    <w:rsid w:val="073F2CB4"/>
    <w:rsid w:val="07504429"/>
    <w:rsid w:val="07517B0E"/>
    <w:rsid w:val="07612720"/>
    <w:rsid w:val="07656730"/>
    <w:rsid w:val="07702E6D"/>
    <w:rsid w:val="07792B42"/>
    <w:rsid w:val="077E37DC"/>
    <w:rsid w:val="077E3D0B"/>
    <w:rsid w:val="07854B6B"/>
    <w:rsid w:val="078C511B"/>
    <w:rsid w:val="078C7EA0"/>
    <w:rsid w:val="078D2D8A"/>
    <w:rsid w:val="07907253"/>
    <w:rsid w:val="079A523F"/>
    <w:rsid w:val="07A36C6C"/>
    <w:rsid w:val="07AC2FBC"/>
    <w:rsid w:val="07B63E56"/>
    <w:rsid w:val="07B643D7"/>
    <w:rsid w:val="07BE2A34"/>
    <w:rsid w:val="07C46E6D"/>
    <w:rsid w:val="07D43E3E"/>
    <w:rsid w:val="07D94EB6"/>
    <w:rsid w:val="07DE24CD"/>
    <w:rsid w:val="07DF1893"/>
    <w:rsid w:val="07E46E2F"/>
    <w:rsid w:val="07E53F70"/>
    <w:rsid w:val="07F03CBF"/>
    <w:rsid w:val="07F42B67"/>
    <w:rsid w:val="08030FD3"/>
    <w:rsid w:val="080D0CE3"/>
    <w:rsid w:val="08234384"/>
    <w:rsid w:val="082425D6"/>
    <w:rsid w:val="084C38DA"/>
    <w:rsid w:val="086626CB"/>
    <w:rsid w:val="087522BE"/>
    <w:rsid w:val="08790814"/>
    <w:rsid w:val="08817F9A"/>
    <w:rsid w:val="08933F38"/>
    <w:rsid w:val="089E56D2"/>
    <w:rsid w:val="08A26BBA"/>
    <w:rsid w:val="08B44CE3"/>
    <w:rsid w:val="08B472FE"/>
    <w:rsid w:val="08B614BD"/>
    <w:rsid w:val="08B65ABE"/>
    <w:rsid w:val="08B756F5"/>
    <w:rsid w:val="08B937A7"/>
    <w:rsid w:val="08CD671D"/>
    <w:rsid w:val="08D2311E"/>
    <w:rsid w:val="08D83875"/>
    <w:rsid w:val="08DE01DE"/>
    <w:rsid w:val="08EA43A8"/>
    <w:rsid w:val="08EB1C9C"/>
    <w:rsid w:val="08F56067"/>
    <w:rsid w:val="08F56798"/>
    <w:rsid w:val="09072AF5"/>
    <w:rsid w:val="090D78C9"/>
    <w:rsid w:val="09101FB3"/>
    <w:rsid w:val="092403B3"/>
    <w:rsid w:val="092469AB"/>
    <w:rsid w:val="09296C06"/>
    <w:rsid w:val="09320D22"/>
    <w:rsid w:val="09363D16"/>
    <w:rsid w:val="093C5A12"/>
    <w:rsid w:val="093F6F9B"/>
    <w:rsid w:val="095A2C6D"/>
    <w:rsid w:val="09835B7C"/>
    <w:rsid w:val="09CA0506"/>
    <w:rsid w:val="09D5558C"/>
    <w:rsid w:val="09EA2B39"/>
    <w:rsid w:val="09EF724C"/>
    <w:rsid w:val="09F5019B"/>
    <w:rsid w:val="09F8752F"/>
    <w:rsid w:val="0A075ECD"/>
    <w:rsid w:val="0A0C2B4C"/>
    <w:rsid w:val="0A0D439F"/>
    <w:rsid w:val="0A0F0D09"/>
    <w:rsid w:val="0A112A27"/>
    <w:rsid w:val="0A1D4600"/>
    <w:rsid w:val="0A1F68B2"/>
    <w:rsid w:val="0A210F95"/>
    <w:rsid w:val="0A2836E0"/>
    <w:rsid w:val="0A29194C"/>
    <w:rsid w:val="0A2A37A7"/>
    <w:rsid w:val="0A593073"/>
    <w:rsid w:val="0A611922"/>
    <w:rsid w:val="0A6273E5"/>
    <w:rsid w:val="0A662CAA"/>
    <w:rsid w:val="0A690774"/>
    <w:rsid w:val="0A6F1B02"/>
    <w:rsid w:val="0A762E91"/>
    <w:rsid w:val="0A7B3CEB"/>
    <w:rsid w:val="0A8E5529"/>
    <w:rsid w:val="0AAB206E"/>
    <w:rsid w:val="0AB44EF5"/>
    <w:rsid w:val="0ABD33E4"/>
    <w:rsid w:val="0AC159A6"/>
    <w:rsid w:val="0AC736EC"/>
    <w:rsid w:val="0AD41965"/>
    <w:rsid w:val="0AE34BB1"/>
    <w:rsid w:val="0AEC3153"/>
    <w:rsid w:val="0AED0B6E"/>
    <w:rsid w:val="0AF3003D"/>
    <w:rsid w:val="0AF50259"/>
    <w:rsid w:val="0B01077F"/>
    <w:rsid w:val="0B27258E"/>
    <w:rsid w:val="0B2A763E"/>
    <w:rsid w:val="0B305355"/>
    <w:rsid w:val="0B3771AD"/>
    <w:rsid w:val="0B3C5E11"/>
    <w:rsid w:val="0B462EC8"/>
    <w:rsid w:val="0B493559"/>
    <w:rsid w:val="0B4B7099"/>
    <w:rsid w:val="0B53165C"/>
    <w:rsid w:val="0B747542"/>
    <w:rsid w:val="0B807D10"/>
    <w:rsid w:val="0B974E6D"/>
    <w:rsid w:val="0B9E1A60"/>
    <w:rsid w:val="0BA825A3"/>
    <w:rsid w:val="0BAD70EA"/>
    <w:rsid w:val="0BD504C7"/>
    <w:rsid w:val="0BE53F44"/>
    <w:rsid w:val="0BE60C5C"/>
    <w:rsid w:val="0C296CAE"/>
    <w:rsid w:val="0C365370"/>
    <w:rsid w:val="0C41127C"/>
    <w:rsid w:val="0C442C80"/>
    <w:rsid w:val="0C485EB3"/>
    <w:rsid w:val="0C4B30F1"/>
    <w:rsid w:val="0C7376A8"/>
    <w:rsid w:val="0C7B02EA"/>
    <w:rsid w:val="0C801F53"/>
    <w:rsid w:val="0C8076E1"/>
    <w:rsid w:val="0C923562"/>
    <w:rsid w:val="0CA97841"/>
    <w:rsid w:val="0CC75673"/>
    <w:rsid w:val="0CCC6A62"/>
    <w:rsid w:val="0CF22F65"/>
    <w:rsid w:val="0CFD3771"/>
    <w:rsid w:val="0CFF0F1B"/>
    <w:rsid w:val="0D001BEA"/>
    <w:rsid w:val="0D003464"/>
    <w:rsid w:val="0D06500F"/>
    <w:rsid w:val="0D0A7F77"/>
    <w:rsid w:val="0D167C75"/>
    <w:rsid w:val="0D200F78"/>
    <w:rsid w:val="0D33542E"/>
    <w:rsid w:val="0D455E22"/>
    <w:rsid w:val="0D4D0748"/>
    <w:rsid w:val="0D5F19BA"/>
    <w:rsid w:val="0D5F5515"/>
    <w:rsid w:val="0D6D057B"/>
    <w:rsid w:val="0D8238FA"/>
    <w:rsid w:val="0D8943DC"/>
    <w:rsid w:val="0D8A04E4"/>
    <w:rsid w:val="0D932BB8"/>
    <w:rsid w:val="0D98461B"/>
    <w:rsid w:val="0D9C676A"/>
    <w:rsid w:val="0DB00467"/>
    <w:rsid w:val="0DB904D9"/>
    <w:rsid w:val="0DBB0918"/>
    <w:rsid w:val="0DC70662"/>
    <w:rsid w:val="0DC83A03"/>
    <w:rsid w:val="0DE25782"/>
    <w:rsid w:val="0DEE271A"/>
    <w:rsid w:val="0DF148E8"/>
    <w:rsid w:val="0E143F24"/>
    <w:rsid w:val="0E210D90"/>
    <w:rsid w:val="0E280BF1"/>
    <w:rsid w:val="0E2A2732"/>
    <w:rsid w:val="0E2F7B01"/>
    <w:rsid w:val="0E4B5699"/>
    <w:rsid w:val="0E512E80"/>
    <w:rsid w:val="0E6C0832"/>
    <w:rsid w:val="0E6E1A32"/>
    <w:rsid w:val="0E7771D7"/>
    <w:rsid w:val="0E7F7EE9"/>
    <w:rsid w:val="0E834E7D"/>
    <w:rsid w:val="0E8A0E0C"/>
    <w:rsid w:val="0E915BD0"/>
    <w:rsid w:val="0E940398"/>
    <w:rsid w:val="0EAA2F5B"/>
    <w:rsid w:val="0ECD4128"/>
    <w:rsid w:val="0ED40186"/>
    <w:rsid w:val="0ED73668"/>
    <w:rsid w:val="0EE52393"/>
    <w:rsid w:val="0EEE1C53"/>
    <w:rsid w:val="0EF05635"/>
    <w:rsid w:val="0F0913A4"/>
    <w:rsid w:val="0F360DD3"/>
    <w:rsid w:val="0F533426"/>
    <w:rsid w:val="0F601CC9"/>
    <w:rsid w:val="0F6B1793"/>
    <w:rsid w:val="0F7B5DFB"/>
    <w:rsid w:val="0F7C2FDF"/>
    <w:rsid w:val="0F8B4CE8"/>
    <w:rsid w:val="0F953DB9"/>
    <w:rsid w:val="0FCD39F7"/>
    <w:rsid w:val="0FE46ECC"/>
    <w:rsid w:val="0FF37EF3"/>
    <w:rsid w:val="0FFE4C46"/>
    <w:rsid w:val="10024DAE"/>
    <w:rsid w:val="10064480"/>
    <w:rsid w:val="100930B7"/>
    <w:rsid w:val="10156FD1"/>
    <w:rsid w:val="10235C2C"/>
    <w:rsid w:val="10371F2F"/>
    <w:rsid w:val="105A6D80"/>
    <w:rsid w:val="106863F7"/>
    <w:rsid w:val="107B23CF"/>
    <w:rsid w:val="107C0AD5"/>
    <w:rsid w:val="107E1871"/>
    <w:rsid w:val="10824E25"/>
    <w:rsid w:val="10AA2979"/>
    <w:rsid w:val="10BB79B4"/>
    <w:rsid w:val="10BD5626"/>
    <w:rsid w:val="10C34956"/>
    <w:rsid w:val="10C85301"/>
    <w:rsid w:val="10DF5529"/>
    <w:rsid w:val="10EA1EE2"/>
    <w:rsid w:val="10EF1AD3"/>
    <w:rsid w:val="10F5099F"/>
    <w:rsid w:val="11046680"/>
    <w:rsid w:val="1120453B"/>
    <w:rsid w:val="112C24FB"/>
    <w:rsid w:val="11332BDF"/>
    <w:rsid w:val="113B273E"/>
    <w:rsid w:val="113B2AF3"/>
    <w:rsid w:val="11423CF0"/>
    <w:rsid w:val="1159078C"/>
    <w:rsid w:val="1159255C"/>
    <w:rsid w:val="115A5A4D"/>
    <w:rsid w:val="115D038D"/>
    <w:rsid w:val="11627CCB"/>
    <w:rsid w:val="116741A8"/>
    <w:rsid w:val="11785740"/>
    <w:rsid w:val="118126C7"/>
    <w:rsid w:val="11887A9E"/>
    <w:rsid w:val="11906E7E"/>
    <w:rsid w:val="119D5213"/>
    <w:rsid w:val="119E030F"/>
    <w:rsid w:val="11A37371"/>
    <w:rsid w:val="11A402E3"/>
    <w:rsid w:val="11AC3296"/>
    <w:rsid w:val="11B43285"/>
    <w:rsid w:val="11B63BD3"/>
    <w:rsid w:val="11BF3764"/>
    <w:rsid w:val="11BF5D6D"/>
    <w:rsid w:val="11D61938"/>
    <w:rsid w:val="11EE77B0"/>
    <w:rsid w:val="11EF6486"/>
    <w:rsid w:val="11F75962"/>
    <w:rsid w:val="11FC0451"/>
    <w:rsid w:val="120C4EB8"/>
    <w:rsid w:val="120D0435"/>
    <w:rsid w:val="12100B1F"/>
    <w:rsid w:val="122D760A"/>
    <w:rsid w:val="12311F5A"/>
    <w:rsid w:val="12427601"/>
    <w:rsid w:val="12527D3F"/>
    <w:rsid w:val="125944FB"/>
    <w:rsid w:val="125F062A"/>
    <w:rsid w:val="12624EB7"/>
    <w:rsid w:val="126B2BAF"/>
    <w:rsid w:val="126E605B"/>
    <w:rsid w:val="127952CC"/>
    <w:rsid w:val="1282388F"/>
    <w:rsid w:val="12833A99"/>
    <w:rsid w:val="128572E6"/>
    <w:rsid w:val="128A0F8B"/>
    <w:rsid w:val="129139EE"/>
    <w:rsid w:val="1298013A"/>
    <w:rsid w:val="12B26461"/>
    <w:rsid w:val="12C07CCC"/>
    <w:rsid w:val="12CF75E2"/>
    <w:rsid w:val="12D228CA"/>
    <w:rsid w:val="12DD22F2"/>
    <w:rsid w:val="12DF2B84"/>
    <w:rsid w:val="12E06408"/>
    <w:rsid w:val="12E3308D"/>
    <w:rsid w:val="12F36759"/>
    <w:rsid w:val="12FE0D2C"/>
    <w:rsid w:val="1300045E"/>
    <w:rsid w:val="130A6921"/>
    <w:rsid w:val="13392CAD"/>
    <w:rsid w:val="133D024F"/>
    <w:rsid w:val="133D6D87"/>
    <w:rsid w:val="13436291"/>
    <w:rsid w:val="13453BAE"/>
    <w:rsid w:val="135D3CC0"/>
    <w:rsid w:val="135E2A54"/>
    <w:rsid w:val="13716BB4"/>
    <w:rsid w:val="13821EE1"/>
    <w:rsid w:val="13890B9C"/>
    <w:rsid w:val="138A52B7"/>
    <w:rsid w:val="138B6022"/>
    <w:rsid w:val="139525D9"/>
    <w:rsid w:val="13963C5C"/>
    <w:rsid w:val="13AD487E"/>
    <w:rsid w:val="13CB4137"/>
    <w:rsid w:val="13D11AEC"/>
    <w:rsid w:val="13D334C9"/>
    <w:rsid w:val="13D42386"/>
    <w:rsid w:val="13E04117"/>
    <w:rsid w:val="13E36F2F"/>
    <w:rsid w:val="13F27FD8"/>
    <w:rsid w:val="13F53078"/>
    <w:rsid w:val="13FA3C10"/>
    <w:rsid w:val="141334FE"/>
    <w:rsid w:val="14197590"/>
    <w:rsid w:val="141C7AF8"/>
    <w:rsid w:val="142D5867"/>
    <w:rsid w:val="14311C3C"/>
    <w:rsid w:val="144B7858"/>
    <w:rsid w:val="147B3F3C"/>
    <w:rsid w:val="147D18D0"/>
    <w:rsid w:val="148876BD"/>
    <w:rsid w:val="148F7029"/>
    <w:rsid w:val="14A05CEA"/>
    <w:rsid w:val="14AA450A"/>
    <w:rsid w:val="14B60A59"/>
    <w:rsid w:val="14BA7BD0"/>
    <w:rsid w:val="14BE0DA8"/>
    <w:rsid w:val="14C10F31"/>
    <w:rsid w:val="14C81165"/>
    <w:rsid w:val="14DF2DE8"/>
    <w:rsid w:val="14E20E88"/>
    <w:rsid w:val="14E71B9C"/>
    <w:rsid w:val="14ED24C4"/>
    <w:rsid w:val="14EE3E39"/>
    <w:rsid w:val="14FE6E45"/>
    <w:rsid w:val="15030DD2"/>
    <w:rsid w:val="151246C1"/>
    <w:rsid w:val="15155054"/>
    <w:rsid w:val="15190BB8"/>
    <w:rsid w:val="151C7951"/>
    <w:rsid w:val="15300534"/>
    <w:rsid w:val="153D4CD7"/>
    <w:rsid w:val="15430081"/>
    <w:rsid w:val="1549179A"/>
    <w:rsid w:val="155855A0"/>
    <w:rsid w:val="15760A82"/>
    <w:rsid w:val="15885993"/>
    <w:rsid w:val="158A3C94"/>
    <w:rsid w:val="15943580"/>
    <w:rsid w:val="15993399"/>
    <w:rsid w:val="159F71E4"/>
    <w:rsid w:val="15A07BB3"/>
    <w:rsid w:val="15DA54BE"/>
    <w:rsid w:val="15DE1A29"/>
    <w:rsid w:val="15F06B3D"/>
    <w:rsid w:val="15F15AC1"/>
    <w:rsid w:val="15F20E8D"/>
    <w:rsid w:val="16091932"/>
    <w:rsid w:val="160C2F38"/>
    <w:rsid w:val="16305FE2"/>
    <w:rsid w:val="16436C21"/>
    <w:rsid w:val="16527642"/>
    <w:rsid w:val="166636FC"/>
    <w:rsid w:val="16770127"/>
    <w:rsid w:val="16883ABF"/>
    <w:rsid w:val="169D3553"/>
    <w:rsid w:val="16A90098"/>
    <w:rsid w:val="16AA3EEF"/>
    <w:rsid w:val="16AD19E8"/>
    <w:rsid w:val="16BB65F1"/>
    <w:rsid w:val="16C30E50"/>
    <w:rsid w:val="16D85DE3"/>
    <w:rsid w:val="16DF70C3"/>
    <w:rsid w:val="16E13DB6"/>
    <w:rsid w:val="16E36A8E"/>
    <w:rsid w:val="16E6312D"/>
    <w:rsid w:val="16E90E79"/>
    <w:rsid w:val="170A0BE8"/>
    <w:rsid w:val="17147CB9"/>
    <w:rsid w:val="17174321"/>
    <w:rsid w:val="171B1048"/>
    <w:rsid w:val="17382C6C"/>
    <w:rsid w:val="17664982"/>
    <w:rsid w:val="17832749"/>
    <w:rsid w:val="1796736C"/>
    <w:rsid w:val="17975599"/>
    <w:rsid w:val="179901BE"/>
    <w:rsid w:val="17AC7EF2"/>
    <w:rsid w:val="17B2733D"/>
    <w:rsid w:val="17D32110"/>
    <w:rsid w:val="17EF333D"/>
    <w:rsid w:val="17F736BA"/>
    <w:rsid w:val="18094EF4"/>
    <w:rsid w:val="180B1C8C"/>
    <w:rsid w:val="18273A1C"/>
    <w:rsid w:val="183B40F7"/>
    <w:rsid w:val="1856228A"/>
    <w:rsid w:val="18584B75"/>
    <w:rsid w:val="18655549"/>
    <w:rsid w:val="18664548"/>
    <w:rsid w:val="187266B8"/>
    <w:rsid w:val="18731F52"/>
    <w:rsid w:val="18794B9A"/>
    <w:rsid w:val="18846779"/>
    <w:rsid w:val="189D5730"/>
    <w:rsid w:val="18A24E51"/>
    <w:rsid w:val="18A33768"/>
    <w:rsid w:val="18AB1F57"/>
    <w:rsid w:val="18AD3F21"/>
    <w:rsid w:val="18AE6BDF"/>
    <w:rsid w:val="18B93372"/>
    <w:rsid w:val="18BC41FE"/>
    <w:rsid w:val="18D255E8"/>
    <w:rsid w:val="18E73115"/>
    <w:rsid w:val="18EF758B"/>
    <w:rsid w:val="18FE652B"/>
    <w:rsid w:val="190A6030"/>
    <w:rsid w:val="191206D3"/>
    <w:rsid w:val="191F53BB"/>
    <w:rsid w:val="192D3625"/>
    <w:rsid w:val="192E2BD3"/>
    <w:rsid w:val="19362545"/>
    <w:rsid w:val="193F52CF"/>
    <w:rsid w:val="19434886"/>
    <w:rsid w:val="194D74B2"/>
    <w:rsid w:val="197B5636"/>
    <w:rsid w:val="19864E1F"/>
    <w:rsid w:val="198C7FDB"/>
    <w:rsid w:val="198D30EC"/>
    <w:rsid w:val="199926F8"/>
    <w:rsid w:val="19AF4590"/>
    <w:rsid w:val="19C159DC"/>
    <w:rsid w:val="19D43730"/>
    <w:rsid w:val="19EB3A5C"/>
    <w:rsid w:val="19EB4862"/>
    <w:rsid w:val="19F274CB"/>
    <w:rsid w:val="19F62F82"/>
    <w:rsid w:val="19F636A6"/>
    <w:rsid w:val="19FE4FDA"/>
    <w:rsid w:val="1A0056B3"/>
    <w:rsid w:val="1A045D94"/>
    <w:rsid w:val="1A134258"/>
    <w:rsid w:val="1A182150"/>
    <w:rsid w:val="1A1C5CE8"/>
    <w:rsid w:val="1A1F2E2D"/>
    <w:rsid w:val="1A200C49"/>
    <w:rsid w:val="1A2340A7"/>
    <w:rsid w:val="1A290333"/>
    <w:rsid w:val="1A2C7C12"/>
    <w:rsid w:val="1A382E26"/>
    <w:rsid w:val="1A3A5DAF"/>
    <w:rsid w:val="1A564A70"/>
    <w:rsid w:val="1A5B175B"/>
    <w:rsid w:val="1A5C16D9"/>
    <w:rsid w:val="1A5C6D63"/>
    <w:rsid w:val="1A705206"/>
    <w:rsid w:val="1A7636B6"/>
    <w:rsid w:val="1A7B17BE"/>
    <w:rsid w:val="1AAE21D3"/>
    <w:rsid w:val="1ABF7F3C"/>
    <w:rsid w:val="1AC77FED"/>
    <w:rsid w:val="1AC8028B"/>
    <w:rsid w:val="1AC90DBB"/>
    <w:rsid w:val="1ADC3B62"/>
    <w:rsid w:val="1AE133EF"/>
    <w:rsid w:val="1AEF4DAE"/>
    <w:rsid w:val="1AF5395E"/>
    <w:rsid w:val="1AF77FAB"/>
    <w:rsid w:val="1AFB020E"/>
    <w:rsid w:val="1AFC3438"/>
    <w:rsid w:val="1AFC6661"/>
    <w:rsid w:val="1B117B33"/>
    <w:rsid w:val="1B324BB2"/>
    <w:rsid w:val="1B3A29B9"/>
    <w:rsid w:val="1B46240B"/>
    <w:rsid w:val="1B492FF3"/>
    <w:rsid w:val="1B4950A4"/>
    <w:rsid w:val="1B556620"/>
    <w:rsid w:val="1B6D5BEA"/>
    <w:rsid w:val="1B703F63"/>
    <w:rsid w:val="1B734B45"/>
    <w:rsid w:val="1B924A70"/>
    <w:rsid w:val="1BA324C2"/>
    <w:rsid w:val="1BA61267"/>
    <w:rsid w:val="1BA710FC"/>
    <w:rsid w:val="1BAF2B44"/>
    <w:rsid w:val="1BB43819"/>
    <w:rsid w:val="1BE0460E"/>
    <w:rsid w:val="1BE2208B"/>
    <w:rsid w:val="1BF400B9"/>
    <w:rsid w:val="1C2663BF"/>
    <w:rsid w:val="1C36433C"/>
    <w:rsid w:val="1C376E21"/>
    <w:rsid w:val="1C377217"/>
    <w:rsid w:val="1C381D54"/>
    <w:rsid w:val="1C473B3B"/>
    <w:rsid w:val="1C607E4F"/>
    <w:rsid w:val="1C6C7C4F"/>
    <w:rsid w:val="1C721035"/>
    <w:rsid w:val="1C751981"/>
    <w:rsid w:val="1C7F7983"/>
    <w:rsid w:val="1C867C8B"/>
    <w:rsid w:val="1C887DF5"/>
    <w:rsid w:val="1C89288A"/>
    <w:rsid w:val="1C9547C0"/>
    <w:rsid w:val="1CA47846"/>
    <w:rsid w:val="1CAE723C"/>
    <w:rsid w:val="1CB20F2B"/>
    <w:rsid w:val="1CB710F3"/>
    <w:rsid w:val="1CBC72F2"/>
    <w:rsid w:val="1CD565D5"/>
    <w:rsid w:val="1CD87093"/>
    <w:rsid w:val="1CDF6675"/>
    <w:rsid w:val="1CEF14EF"/>
    <w:rsid w:val="1CF43006"/>
    <w:rsid w:val="1CFE1CEE"/>
    <w:rsid w:val="1D054A3A"/>
    <w:rsid w:val="1D077570"/>
    <w:rsid w:val="1D13456F"/>
    <w:rsid w:val="1D1A4F19"/>
    <w:rsid w:val="1D2A3966"/>
    <w:rsid w:val="1D325942"/>
    <w:rsid w:val="1D574167"/>
    <w:rsid w:val="1D672B1F"/>
    <w:rsid w:val="1D68660F"/>
    <w:rsid w:val="1D7C2114"/>
    <w:rsid w:val="1D81597C"/>
    <w:rsid w:val="1D856076"/>
    <w:rsid w:val="1D8B3670"/>
    <w:rsid w:val="1D8E2134"/>
    <w:rsid w:val="1D9F1323"/>
    <w:rsid w:val="1DA73124"/>
    <w:rsid w:val="1DAE0556"/>
    <w:rsid w:val="1DAF6046"/>
    <w:rsid w:val="1DB1270C"/>
    <w:rsid w:val="1DB25B36"/>
    <w:rsid w:val="1DB67C12"/>
    <w:rsid w:val="1DC55869"/>
    <w:rsid w:val="1DC615E1"/>
    <w:rsid w:val="1DD50B1E"/>
    <w:rsid w:val="1DD940C3"/>
    <w:rsid w:val="1DDF7150"/>
    <w:rsid w:val="1E036173"/>
    <w:rsid w:val="1E060554"/>
    <w:rsid w:val="1E0F6E32"/>
    <w:rsid w:val="1E415560"/>
    <w:rsid w:val="1E4A7C66"/>
    <w:rsid w:val="1E5D18EA"/>
    <w:rsid w:val="1E604A81"/>
    <w:rsid w:val="1E706AC5"/>
    <w:rsid w:val="1E706D9C"/>
    <w:rsid w:val="1E841A5F"/>
    <w:rsid w:val="1E9C40CB"/>
    <w:rsid w:val="1EA33881"/>
    <w:rsid w:val="1EA40105"/>
    <w:rsid w:val="1EA972F9"/>
    <w:rsid w:val="1EB12291"/>
    <w:rsid w:val="1EBC7CC4"/>
    <w:rsid w:val="1EC665E8"/>
    <w:rsid w:val="1ED8781E"/>
    <w:rsid w:val="1EDA5344"/>
    <w:rsid w:val="1EDC6093"/>
    <w:rsid w:val="1EE461C3"/>
    <w:rsid w:val="1EE95587"/>
    <w:rsid w:val="1EF26B32"/>
    <w:rsid w:val="1F06438B"/>
    <w:rsid w:val="1F0C725C"/>
    <w:rsid w:val="1F1A010C"/>
    <w:rsid w:val="1F3507CD"/>
    <w:rsid w:val="1F491A48"/>
    <w:rsid w:val="1F494278"/>
    <w:rsid w:val="1F4C5B16"/>
    <w:rsid w:val="1F524DE1"/>
    <w:rsid w:val="1F544598"/>
    <w:rsid w:val="1F69585D"/>
    <w:rsid w:val="1F6B38B0"/>
    <w:rsid w:val="1F811C64"/>
    <w:rsid w:val="1FD0749B"/>
    <w:rsid w:val="1FE35ADC"/>
    <w:rsid w:val="1FE5567A"/>
    <w:rsid w:val="1FF02946"/>
    <w:rsid w:val="1FF2076E"/>
    <w:rsid w:val="1FF24910"/>
    <w:rsid w:val="1FF935A1"/>
    <w:rsid w:val="201C3E72"/>
    <w:rsid w:val="201D72F1"/>
    <w:rsid w:val="203342AF"/>
    <w:rsid w:val="203A5CDB"/>
    <w:rsid w:val="203F40E9"/>
    <w:rsid w:val="20541126"/>
    <w:rsid w:val="205A5568"/>
    <w:rsid w:val="20675240"/>
    <w:rsid w:val="206823A1"/>
    <w:rsid w:val="206947A6"/>
    <w:rsid w:val="206B4E99"/>
    <w:rsid w:val="20743577"/>
    <w:rsid w:val="20743970"/>
    <w:rsid w:val="207540D6"/>
    <w:rsid w:val="20781B6F"/>
    <w:rsid w:val="207A43DF"/>
    <w:rsid w:val="207F6629"/>
    <w:rsid w:val="20857532"/>
    <w:rsid w:val="20B24112"/>
    <w:rsid w:val="20BD316F"/>
    <w:rsid w:val="20C5523A"/>
    <w:rsid w:val="20C84D8F"/>
    <w:rsid w:val="20CB4F5C"/>
    <w:rsid w:val="20D91DD8"/>
    <w:rsid w:val="20DC598D"/>
    <w:rsid w:val="20DD5762"/>
    <w:rsid w:val="20EE43F2"/>
    <w:rsid w:val="20F301B2"/>
    <w:rsid w:val="20F716A2"/>
    <w:rsid w:val="20F903BB"/>
    <w:rsid w:val="21011A51"/>
    <w:rsid w:val="21096B24"/>
    <w:rsid w:val="210B25F8"/>
    <w:rsid w:val="211E2099"/>
    <w:rsid w:val="2123675E"/>
    <w:rsid w:val="213D605E"/>
    <w:rsid w:val="213E6057"/>
    <w:rsid w:val="21416ED0"/>
    <w:rsid w:val="21464CD9"/>
    <w:rsid w:val="2152037E"/>
    <w:rsid w:val="21587431"/>
    <w:rsid w:val="215C1EE3"/>
    <w:rsid w:val="21611D4D"/>
    <w:rsid w:val="21637A27"/>
    <w:rsid w:val="216C08BA"/>
    <w:rsid w:val="21724815"/>
    <w:rsid w:val="217E7356"/>
    <w:rsid w:val="217F3103"/>
    <w:rsid w:val="21823A71"/>
    <w:rsid w:val="218477E9"/>
    <w:rsid w:val="21A665AD"/>
    <w:rsid w:val="21A734D8"/>
    <w:rsid w:val="21B33C19"/>
    <w:rsid w:val="21BB34D8"/>
    <w:rsid w:val="21D722C1"/>
    <w:rsid w:val="21DF24FF"/>
    <w:rsid w:val="21E14D78"/>
    <w:rsid w:val="21FD3792"/>
    <w:rsid w:val="22110DF7"/>
    <w:rsid w:val="22136A87"/>
    <w:rsid w:val="222C0C93"/>
    <w:rsid w:val="222F1E4B"/>
    <w:rsid w:val="22427CC5"/>
    <w:rsid w:val="22456F79"/>
    <w:rsid w:val="224A3FC7"/>
    <w:rsid w:val="224B3D5F"/>
    <w:rsid w:val="2258252F"/>
    <w:rsid w:val="225E4F1E"/>
    <w:rsid w:val="22785BA0"/>
    <w:rsid w:val="228F63A9"/>
    <w:rsid w:val="22A177E6"/>
    <w:rsid w:val="22DA35DC"/>
    <w:rsid w:val="22E6677E"/>
    <w:rsid w:val="22EA23F7"/>
    <w:rsid w:val="22F17100"/>
    <w:rsid w:val="231D3794"/>
    <w:rsid w:val="23216ED5"/>
    <w:rsid w:val="232C62EE"/>
    <w:rsid w:val="233236E3"/>
    <w:rsid w:val="23384D2F"/>
    <w:rsid w:val="233B768D"/>
    <w:rsid w:val="233D5E32"/>
    <w:rsid w:val="233E1B2D"/>
    <w:rsid w:val="234350AA"/>
    <w:rsid w:val="2346752C"/>
    <w:rsid w:val="23487548"/>
    <w:rsid w:val="23585DD8"/>
    <w:rsid w:val="235B4AD3"/>
    <w:rsid w:val="237613B4"/>
    <w:rsid w:val="237D05D8"/>
    <w:rsid w:val="239B1C02"/>
    <w:rsid w:val="23AB3435"/>
    <w:rsid w:val="23AB3963"/>
    <w:rsid w:val="23AF49DD"/>
    <w:rsid w:val="23B9580C"/>
    <w:rsid w:val="23BA793E"/>
    <w:rsid w:val="23D17044"/>
    <w:rsid w:val="23D172B3"/>
    <w:rsid w:val="23D841ED"/>
    <w:rsid w:val="23E40684"/>
    <w:rsid w:val="23EE40AF"/>
    <w:rsid w:val="23F23381"/>
    <w:rsid w:val="240972D9"/>
    <w:rsid w:val="2411563C"/>
    <w:rsid w:val="241E2177"/>
    <w:rsid w:val="242447AF"/>
    <w:rsid w:val="24334C53"/>
    <w:rsid w:val="24373239"/>
    <w:rsid w:val="243E06E8"/>
    <w:rsid w:val="24431BDE"/>
    <w:rsid w:val="245260B7"/>
    <w:rsid w:val="24771FAD"/>
    <w:rsid w:val="24823B61"/>
    <w:rsid w:val="24941BD4"/>
    <w:rsid w:val="24A15D95"/>
    <w:rsid w:val="24C41DFA"/>
    <w:rsid w:val="24CF3471"/>
    <w:rsid w:val="24D75451"/>
    <w:rsid w:val="24DC47FF"/>
    <w:rsid w:val="24DD7990"/>
    <w:rsid w:val="24F904EE"/>
    <w:rsid w:val="25005256"/>
    <w:rsid w:val="250439EF"/>
    <w:rsid w:val="252411C6"/>
    <w:rsid w:val="25304F06"/>
    <w:rsid w:val="2557729C"/>
    <w:rsid w:val="255A6A4F"/>
    <w:rsid w:val="256F3379"/>
    <w:rsid w:val="257239B5"/>
    <w:rsid w:val="2573525C"/>
    <w:rsid w:val="2573603F"/>
    <w:rsid w:val="25781413"/>
    <w:rsid w:val="257A3E03"/>
    <w:rsid w:val="258C3DF5"/>
    <w:rsid w:val="25A36BFD"/>
    <w:rsid w:val="25AE0288"/>
    <w:rsid w:val="25DF7546"/>
    <w:rsid w:val="25E1786F"/>
    <w:rsid w:val="25E83AD3"/>
    <w:rsid w:val="25EB11E1"/>
    <w:rsid w:val="25F252DE"/>
    <w:rsid w:val="25F453F1"/>
    <w:rsid w:val="25F574EA"/>
    <w:rsid w:val="260B280F"/>
    <w:rsid w:val="261C6242"/>
    <w:rsid w:val="263F3EBB"/>
    <w:rsid w:val="26574DB8"/>
    <w:rsid w:val="26693330"/>
    <w:rsid w:val="266A3CEA"/>
    <w:rsid w:val="266E1364"/>
    <w:rsid w:val="268E2249"/>
    <w:rsid w:val="269229A8"/>
    <w:rsid w:val="26A67D94"/>
    <w:rsid w:val="26BF0FB8"/>
    <w:rsid w:val="26C52C94"/>
    <w:rsid w:val="26CD258B"/>
    <w:rsid w:val="26D703BB"/>
    <w:rsid w:val="26DA2D9F"/>
    <w:rsid w:val="26E51871"/>
    <w:rsid w:val="26E56F7C"/>
    <w:rsid w:val="26EC52C4"/>
    <w:rsid w:val="26F7280B"/>
    <w:rsid w:val="26FD1062"/>
    <w:rsid w:val="270F5DA7"/>
    <w:rsid w:val="2712322F"/>
    <w:rsid w:val="27224B0F"/>
    <w:rsid w:val="272F1E9F"/>
    <w:rsid w:val="27313F6F"/>
    <w:rsid w:val="2742617D"/>
    <w:rsid w:val="274E1A68"/>
    <w:rsid w:val="2764417B"/>
    <w:rsid w:val="27795A37"/>
    <w:rsid w:val="278476CC"/>
    <w:rsid w:val="27B54BA0"/>
    <w:rsid w:val="27B55939"/>
    <w:rsid w:val="27D019B8"/>
    <w:rsid w:val="27DA4607"/>
    <w:rsid w:val="27DC1EEA"/>
    <w:rsid w:val="27E965F8"/>
    <w:rsid w:val="27EE11CB"/>
    <w:rsid w:val="27F710A0"/>
    <w:rsid w:val="27FC457D"/>
    <w:rsid w:val="280653FC"/>
    <w:rsid w:val="280E2503"/>
    <w:rsid w:val="282E0D0A"/>
    <w:rsid w:val="283659E1"/>
    <w:rsid w:val="283E5C7F"/>
    <w:rsid w:val="284F7247"/>
    <w:rsid w:val="2851741F"/>
    <w:rsid w:val="2854115A"/>
    <w:rsid w:val="286744CD"/>
    <w:rsid w:val="287B2854"/>
    <w:rsid w:val="2887096F"/>
    <w:rsid w:val="28891A68"/>
    <w:rsid w:val="288C3EFB"/>
    <w:rsid w:val="28AD2EF5"/>
    <w:rsid w:val="28B0142C"/>
    <w:rsid w:val="28B031C4"/>
    <w:rsid w:val="28B813D8"/>
    <w:rsid w:val="28C05393"/>
    <w:rsid w:val="28C15F16"/>
    <w:rsid w:val="28C46D91"/>
    <w:rsid w:val="28C8217E"/>
    <w:rsid w:val="28D13A25"/>
    <w:rsid w:val="28D8259C"/>
    <w:rsid w:val="28DC615D"/>
    <w:rsid w:val="28DE402A"/>
    <w:rsid w:val="28E23AA6"/>
    <w:rsid w:val="28FC235B"/>
    <w:rsid w:val="291433AE"/>
    <w:rsid w:val="292274D8"/>
    <w:rsid w:val="29432A42"/>
    <w:rsid w:val="2946101E"/>
    <w:rsid w:val="294D2BB7"/>
    <w:rsid w:val="294F62D4"/>
    <w:rsid w:val="2950363D"/>
    <w:rsid w:val="2957261A"/>
    <w:rsid w:val="29712D49"/>
    <w:rsid w:val="297414A2"/>
    <w:rsid w:val="2976043F"/>
    <w:rsid w:val="297A24D3"/>
    <w:rsid w:val="29826D04"/>
    <w:rsid w:val="29834CA6"/>
    <w:rsid w:val="298429E5"/>
    <w:rsid w:val="299627B0"/>
    <w:rsid w:val="299C340E"/>
    <w:rsid w:val="29A20242"/>
    <w:rsid w:val="29A94291"/>
    <w:rsid w:val="29AA102F"/>
    <w:rsid w:val="29AA7F26"/>
    <w:rsid w:val="29AE5D4B"/>
    <w:rsid w:val="29C70BBB"/>
    <w:rsid w:val="29D250A3"/>
    <w:rsid w:val="29D679A9"/>
    <w:rsid w:val="29D97152"/>
    <w:rsid w:val="29DA563F"/>
    <w:rsid w:val="29EA6773"/>
    <w:rsid w:val="29F51284"/>
    <w:rsid w:val="29FC5C1D"/>
    <w:rsid w:val="29FF4B63"/>
    <w:rsid w:val="2A0D0CC4"/>
    <w:rsid w:val="2A1757C0"/>
    <w:rsid w:val="2A2622F9"/>
    <w:rsid w:val="2A285241"/>
    <w:rsid w:val="2A2E7A7E"/>
    <w:rsid w:val="2A323B4A"/>
    <w:rsid w:val="2A411D8E"/>
    <w:rsid w:val="2A4735A8"/>
    <w:rsid w:val="2A585CB7"/>
    <w:rsid w:val="2A596630"/>
    <w:rsid w:val="2A5F40B6"/>
    <w:rsid w:val="2A651256"/>
    <w:rsid w:val="2A66617B"/>
    <w:rsid w:val="2A755953"/>
    <w:rsid w:val="2A7C3754"/>
    <w:rsid w:val="2A9456D6"/>
    <w:rsid w:val="2AAA2B75"/>
    <w:rsid w:val="2AAF06EE"/>
    <w:rsid w:val="2ACD1247"/>
    <w:rsid w:val="2ADF3CE2"/>
    <w:rsid w:val="2AEB17DC"/>
    <w:rsid w:val="2B004385"/>
    <w:rsid w:val="2B157704"/>
    <w:rsid w:val="2B1A174A"/>
    <w:rsid w:val="2B211BBC"/>
    <w:rsid w:val="2B2E3C78"/>
    <w:rsid w:val="2B3002E1"/>
    <w:rsid w:val="2B332625"/>
    <w:rsid w:val="2B565C6F"/>
    <w:rsid w:val="2B565E56"/>
    <w:rsid w:val="2B5A784A"/>
    <w:rsid w:val="2B721990"/>
    <w:rsid w:val="2B7865F9"/>
    <w:rsid w:val="2B856C30"/>
    <w:rsid w:val="2B8C374E"/>
    <w:rsid w:val="2B8F46B6"/>
    <w:rsid w:val="2B991DFF"/>
    <w:rsid w:val="2BA00853"/>
    <w:rsid w:val="2BBB64FD"/>
    <w:rsid w:val="2BD22877"/>
    <w:rsid w:val="2BDC385F"/>
    <w:rsid w:val="2BE02FAC"/>
    <w:rsid w:val="2BEC2B5B"/>
    <w:rsid w:val="2BF24C23"/>
    <w:rsid w:val="2BF27A1C"/>
    <w:rsid w:val="2BFC6B25"/>
    <w:rsid w:val="2C291E13"/>
    <w:rsid w:val="2C421FD2"/>
    <w:rsid w:val="2C5119A3"/>
    <w:rsid w:val="2C60078B"/>
    <w:rsid w:val="2C6B4093"/>
    <w:rsid w:val="2C997AF3"/>
    <w:rsid w:val="2C997CDE"/>
    <w:rsid w:val="2C9C00DD"/>
    <w:rsid w:val="2C9E14E5"/>
    <w:rsid w:val="2CA62764"/>
    <w:rsid w:val="2CCA2E9C"/>
    <w:rsid w:val="2CD05FD9"/>
    <w:rsid w:val="2CD25FF8"/>
    <w:rsid w:val="2CE67F8C"/>
    <w:rsid w:val="2CF3392B"/>
    <w:rsid w:val="2CFC0B7C"/>
    <w:rsid w:val="2D006B18"/>
    <w:rsid w:val="2D0D68B9"/>
    <w:rsid w:val="2D297BC6"/>
    <w:rsid w:val="2D2C46F5"/>
    <w:rsid w:val="2D377655"/>
    <w:rsid w:val="2D391440"/>
    <w:rsid w:val="2D403484"/>
    <w:rsid w:val="2D44170C"/>
    <w:rsid w:val="2D651E34"/>
    <w:rsid w:val="2D9F4A6D"/>
    <w:rsid w:val="2DAB5DC1"/>
    <w:rsid w:val="2DD22829"/>
    <w:rsid w:val="2DEE2D62"/>
    <w:rsid w:val="2DF14475"/>
    <w:rsid w:val="2DF83CAE"/>
    <w:rsid w:val="2E1036F7"/>
    <w:rsid w:val="2E2760CC"/>
    <w:rsid w:val="2E2F76FC"/>
    <w:rsid w:val="2E3223C1"/>
    <w:rsid w:val="2E3507E9"/>
    <w:rsid w:val="2E3B3187"/>
    <w:rsid w:val="2E422DCC"/>
    <w:rsid w:val="2E424CB4"/>
    <w:rsid w:val="2E751378"/>
    <w:rsid w:val="2E754540"/>
    <w:rsid w:val="2E905186"/>
    <w:rsid w:val="2EA313FB"/>
    <w:rsid w:val="2EAF3631"/>
    <w:rsid w:val="2EBD4347"/>
    <w:rsid w:val="2EC13E2B"/>
    <w:rsid w:val="2EC519AD"/>
    <w:rsid w:val="2ED2330B"/>
    <w:rsid w:val="2ED705EB"/>
    <w:rsid w:val="2ED84BF3"/>
    <w:rsid w:val="2EDC447A"/>
    <w:rsid w:val="2EDE45E5"/>
    <w:rsid w:val="2EDF5746"/>
    <w:rsid w:val="2EE5733A"/>
    <w:rsid w:val="2EEE11AC"/>
    <w:rsid w:val="2EF22236"/>
    <w:rsid w:val="2EFC1307"/>
    <w:rsid w:val="2EFE35E8"/>
    <w:rsid w:val="2F0A451D"/>
    <w:rsid w:val="2F0C6ACF"/>
    <w:rsid w:val="2F1C36B5"/>
    <w:rsid w:val="2F1E025C"/>
    <w:rsid w:val="2F29621C"/>
    <w:rsid w:val="2F315682"/>
    <w:rsid w:val="2F4E6128"/>
    <w:rsid w:val="2F513423"/>
    <w:rsid w:val="2F593497"/>
    <w:rsid w:val="2F80221D"/>
    <w:rsid w:val="2F805A94"/>
    <w:rsid w:val="2FA6202F"/>
    <w:rsid w:val="2FBE1AB6"/>
    <w:rsid w:val="2FD37C16"/>
    <w:rsid w:val="2FDB47FA"/>
    <w:rsid w:val="2FE343F7"/>
    <w:rsid w:val="2FEC4ED7"/>
    <w:rsid w:val="2FFB4CA4"/>
    <w:rsid w:val="30222090"/>
    <w:rsid w:val="302C79CA"/>
    <w:rsid w:val="30383415"/>
    <w:rsid w:val="303D5733"/>
    <w:rsid w:val="303F08C7"/>
    <w:rsid w:val="30412492"/>
    <w:rsid w:val="304704C5"/>
    <w:rsid w:val="305A4537"/>
    <w:rsid w:val="30615FED"/>
    <w:rsid w:val="306B04F2"/>
    <w:rsid w:val="30717AD3"/>
    <w:rsid w:val="3086532C"/>
    <w:rsid w:val="308F3CE9"/>
    <w:rsid w:val="30933F17"/>
    <w:rsid w:val="309713C6"/>
    <w:rsid w:val="30981D7F"/>
    <w:rsid w:val="309B5A24"/>
    <w:rsid w:val="30A232E4"/>
    <w:rsid w:val="30B11567"/>
    <w:rsid w:val="30C50C66"/>
    <w:rsid w:val="30DA5348"/>
    <w:rsid w:val="30EB45DA"/>
    <w:rsid w:val="30ED1711"/>
    <w:rsid w:val="3103697D"/>
    <w:rsid w:val="310F3573"/>
    <w:rsid w:val="31167200"/>
    <w:rsid w:val="311D6673"/>
    <w:rsid w:val="312C69BA"/>
    <w:rsid w:val="31393DCB"/>
    <w:rsid w:val="31636DC3"/>
    <w:rsid w:val="316A224B"/>
    <w:rsid w:val="316D2854"/>
    <w:rsid w:val="316E5F97"/>
    <w:rsid w:val="31712EBC"/>
    <w:rsid w:val="31772EC7"/>
    <w:rsid w:val="317D5FB6"/>
    <w:rsid w:val="318C7F04"/>
    <w:rsid w:val="31903F88"/>
    <w:rsid w:val="31930A3B"/>
    <w:rsid w:val="319C292D"/>
    <w:rsid w:val="319C5AA7"/>
    <w:rsid w:val="319E0453"/>
    <w:rsid w:val="319F465C"/>
    <w:rsid w:val="31A237FE"/>
    <w:rsid w:val="31C32FA3"/>
    <w:rsid w:val="31CD468B"/>
    <w:rsid w:val="31D13B19"/>
    <w:rsid w:val="31D2634F"/>
    <w:rsid w:val="31D91BE1"/>
    <w:rsid w:val="31E60856"/>
    <w:rsid w:val="31E721BD"/>
    <w:rsid w:val="31EA35E8"/>
    <w:rsid w:val="3203308C"/>
    <w:rsid w:val="32075FF9"/>
    <w:rsid w:val="3218008E"/>
    <w:rsid w:val="322651B5"/>
    <w:rsid w:val="322C0610"/>
    <w:rsid w:val="322E1BFD"/>
    <w:rsid w:val="32303773"/>
    <w:rsid w:val="323A3E96"/>
    <w:rsid w:val="323E22F7"/>
    <w:rsid w:val="3252691D"/>
    <w:rsid w:val="326A3247"/>
    <w:rsid w:val="32737B32"/>
    <w:rsid w:val="32755D55"/>
    <w:rsid w:val="328A273D"/>
    <w:rsid w:val="328B4E7C"/>
    <w:rsid w:val="32A5173A"/>
    <w:rsid w:val="32A616A3"/>
    <w:rsid w:val="32BB148C"/>
    <w:rsid w:val="32BB6217"/>
    <w:rsid w:val="32CD74E8"/>
    <w:rsid w:val="32EE71B8"/>
    <w:rsid w:val="32F40F29"/>
    <w:rsid w:val="33184235"/>
    <w:rsid w:val="33291ACF"/>
    <w:rsid w:val="332C1220"/>
    <w:rsid w:val="333C7F24"/>
    <w:rsid w:val="333D7CDA"/>
    <w:rsid w:val="33407A27"/>
    <w:rsid w:val="336C20F6"/>
    <w:rsid w:val="33721193"/>
    <w:rsid w:val="337D6DD6"/>
    <w:rsid w:val="33844E91"/>
    <w:rsid w:val="33907FCF"/>
    <w:rsid w:val="33941B0E"/>
    <w:rsid w:val="339670C9"/>
    <w:rsid w:val="33982C90"/>
    <w:rsid w:val="339B1966"/>
    <w:rsid w:val="33A23507"/>
    <w:rsid w:val="33A45AC9"/>
    <w:rsid w:val="33B47396"/>
    <w:rsid w:val="33B576E0"/>
    <w:rsid w:val="33C1178D"/>
    <w:rsid w:val="33CD5CBF"/>
    <w:rsid w:val="33CF6A93"/>
    <w:rsid w:val="33D52CF0"/>
    <w:rsid w:val="33D91C17"/>
    <w:rsid w:val="33E3198C"/>
    <w:rsid w:val="33EB5AE0"/>
    <w:rsid w:val="33EF31E8"/>
    <w:rsid w:val="33F352AE"/>
    <w:rsid w:val="34086A2A"/>
    <w:rsid w:val="341063AE"/>
    <w:rsid w:val="3411315F"/>
    <w:rsid w:val="341663D8"/>
    <w:rsid w:val="342009F1"/>
    <w:rsid w:val="342B6606"/>
    <w:rsid w:val="34476B80"/>
    <w:rsid w:val="34491953"/>
    <w:rsid w:val="344F1FA8"/>
    <w:rsid w:val="344F264A"/>
    <w:rsid w:val="345614B9"/>
    <w:rsid w:val="345721E6"/>
    <w:rsid w:val="345C39F7"/>
    <w:rsid w:val="34621C0C"/>
    <w:rsid w:val="34751483"/>
    <w:rsid w:val="347A51A8"/>
    <w:rsid w:val="34825689"/>
    <w:rsid w:val="348778C5"/>
    <w:rsid w:val="349F1DF8"/>
    <w:rsid w:val="34A118FF"/>
    <w:rsid w:val="34A20947"/>
    <w:rsid w:val="34A91197"/>
    <w:rsid w:val="34AD0D0B"/>
    <w:rsid w:val="34B44B7E"/>
    <w:rsid w:val="34B57235"/>
    <w:rsid w:val="34DC6C43"/>
    <w:rsid w:val="34E84C40"/>
    <w:rsid w:val="34FD25A1"/>
    <w:rsid w:val="35056F41"/>
    <w:rsid w:val="350A4AD0"/>
    <w:rsid w:val="350F0702"/>
    <w:rsid w:val="35232B6D"/>
    <w:rsid w:val="35273B22"/>
    <w:rsid w:val="35345E60"/>
    <w:rsid w:val="35417A73"/>
    <w:rsid w:val="35537C83"/>
    <w:rsid w:val="35643762"/>
    <w:rsid w:val="3569521C"/>
    <w:rsid w:val="3573036E"/>
    <w:rsid w:val="35872663"/>
    <w:rsid w:val="358D2CB9"/>
    <w:rsid w:val="359F496F"/>
    <w:rsid w:val="35A4403C"/>
    <w:rsid w:val="35A563B0"/>
    <w:rsid w:val="35A873D1"/>
    <w:rsid w:val="35B74892"/>
    <w:rsid w:val="35C76FEA"/>
    <w:rsid w:val="35D750B2"/>
    <w:rsid w:val="35E83327"/>
    <w:rsid w:val="35EB719D"/>
    <w:rsid w:val="361121FD"/>
    <w:rsid w:val="36117392"/>
    <w:rsid w:val="36312097"/>
    <w:rsid w:val="363E6589"/>
    <w:rsid w:val="36427105"/>
    <w:rsid w:val="36460B81"/>
    <w:rsid w:val="36495886"/>
    <w:rsid w:val="364A0BAA"/>
    <w:rsid w:val="3656754F"/>
    <w:rsid w:val="36637A63"/>
    <w:rsid w:val="366C3D62"/>
    <w:rsid w:val="367F4F73"/>
    <w:rsid w:val="3683166A"/>
    <w:rsid w:val="36A00700"/>
    <w:rsid w:val="36B2386A"/>
    <w:rsid w:val="36BB5604"/>
    <w:rsid w:val="36C97D20"/>
    <w:rsid w:val="36CC5A63"/>
    <w:rsid w:val="36CF7301"/>
    <w:rsid w:val="36D37F34"/>
    <w:rsid w:val="36DF1B09"/>
    <w:rsid w:val="36F54FB9"/>
    <w:rsid w:val="36F5558D"/>
    <w:rsid w:val="36FA75CB"/>
    <w:rsid w:val="36FE69CC"/>
    <w:rsid w:val="37077031"/>
    <w:rsid w:val="370A446C"/>
    <w:rsid w:val="370D11A6"/>
    <w:rsid w:val="37171462"/>
    <w:rsid w:val="37186290"/>
    <w:rsid w:val="371F5514"/>
    <w:rsid w:val="37236D14"/>
    <w:rsid w:val="374A1271"/>
    <w:rsid w:val="37647A49"/>
    <w:rsid w:val="376806DB"/>
    <w:rsid w:val="37846EE5"/>
    <w:rsid w:val="37884A5C"/>
    <w:rsid w:val="37904CE2"/>
    <w:rsid w:val="379461DF"/>
    <w:rsid w:val="379C5527"/>
    <w:rsid w:val="379F25AA"/>
    <w:rsid w:val="37A95DA4"/>
    <w:rsid w:val="37B7331B"/>
    <w:rsid w:val="37BE432D"/>
    <w:rsid w:val="37C0269B"/>
    <w:rsid w:val="37C20289"/>
    <w:rsid w:val="37CC113C"/>
    <w:rsid w:val="37D50947"/>
    <w:rsid w:val="37DD3769"/>
    <w:rsid w:val="37FE4685"/>
    <w:rsid w:val="38137DC2"/>
    <w:rsid w:val="383046D1"/>
    <w:rsid w:val="38316343"/>
    <w:rsid w:val="38540962"/>
    <w:rsid w:val="385C6972"/>
    <w:rsid w:val="38664C72"/>
    <w:rsid w:val="38727B02"/>
    <w:rsid w:val="38812AD7"/>
    <w:rsid w:val="388D702A"/>
    <w:rsid w:val="38995592"/>
    <w:rsid w:val="389F5CD8"/>
    <w:rsid w:val="38AA6BDA"/>
    <w:rsid w:val="38B279EB"/>
    <w:rsid w:val="38B82AF5"/>
    <w:rsid w:val="38BB2F8E"/>
    <w:rsid w:val="38C379DB"/>
    <w:rsid w:val="38C7204D"/>
    <w:rsid w:val="38EA6C83"/>
    <w:rsid w:val="38F13A35"/>
    <w:rsid w:val="392B1828"/>
    <w:rsid w:val="39415A8A"/>
    <w:rsid w:val="3942200C"/>
    <w:rsid w:val="394D58E5"/>
    <w:rsid w:val="39684010"/>
    <w:rsid w:val="398656D3"/>
    <w:rsid w:val="399027B5"/>
    <w:rsid w:val="39933B19"/>
    <w:rsid w:val="39A33CED"/>
    <w:rsid w:val="39A44A75"/>
    <w:rsid w:val="39B34CB8"/>
    <w:rsid w:val="39B44BE6"/>
    <w:rsid w:val="39B63F14"/>
    <w:rsid w:val="39BB11C0"/>
    <w:rsid w:val="39BE1D8D"/>
    <w:rsid w:val="39C236BE"/>
    <w:rsid w:val="39C306DF"/>
    <w:rsid w:val="39E55B1B"/>
    <w:rsid w:val="39E66E3B"/>
    <w:rsid w:val="39ED5AEC"/>
    <w:rsid w:val="39F25C1A"/>
    <w:rsid w:val="39F33306"/>
    <w:rsid w:val="39FA1E0C"/>
    <w:rsid w:val="39FC665F"/>
    <w:rsid w:val="39FD5585"/>
    <w:rsid w:val="39FFB5EE"/>
    <w:rsid w:val="3A0D241C"/>
    <w:rsid w:val="3A1A5808"/>
    <w:rsid w:val="3A1E30B1"/>
    <w:rsid w:val="3A200049"/>
    <w:rsid w:val="3A2B463D"/>
    <w:rsid w:val="3A386A14"/>
    <w:rsid w:val="3A3C0A2C"/>
    <w:rsid w:val="3A453174"/>
    <w:rsid w:val="3A4B0824"/>
    <w:rsid w:val="3A4D5C6A"/>
    <w:rsid w:val="3A5133D0"/>
    <w:rsid w:val="3A52381C"/>
    <w:rsid w:val="3A58654F"/>
    <w:rsid w:val="3A5A3006"/>
    <w:rsid w:val="3A687E26"/>
    <w:rsid w:val="3A751F6D"/>
    <w:rsid w:val="3A7E7074"/>
    <w:rsid w:val="3A830B2E"/>
    <w:rsid w:val="3A8322BE"/>
    <w:rsid w:val="3AB331C1"/>
    <w:rsid w:val="3ABB3E24"/>
    <w:rsid w:val="3ABD57F2"/>
    <w:rsid w:val="3AC7029B"/>
    <w:rsid w:val="3AC7728A"/>
    <w:rsid w:val="3ACB380C"/>
    <w:rsid w:val="3ADB2271"/>
    <w:rsid w:val="3ADD6DC9"/>
    <w:rsid w:val="3AE64634"/>
    <w:rsid w:val="3AF6205F"/>
    <w:rsid w:val="3B050D2B"/>
    <w:rsid w:val="3B117EE8"/>
    <w:rsid w:val="3B1D2FE9"/>
    <w:rsid w:val="3B1F566C"/>
    <w:rsid w:val="3B265D2B"/>
    <w:rsid w:val="3B343BD6"/>
    <w:rsid w:val="3B384250"/>
    <w:rsid w:val="3B497D60"/>
    <w:rsid w:val="3B4D0406"/>
    <w:rsid w:val="3B4E2EEA"/>
    <w:rsid w:val="3B4F3729"/>
    <w:rsid w:val="3B5C1C29"/>
    <w:rsid w:val="3B716F78"/>
    <w:rsid w:val="3B7364AD"/>
    <w:rsid w:val="3B8725C8"/>
    <w:rsid w:val="3B9119EE"/>
    <w:rsid w:val="3BB54638"/>
    <w:rsid w:val="3BCB557E"/>
    <w:rsid w:val="3BD62991"/>
    <w:rsid w:val="3BD95935"/>
    <w:rsid w:val="3BE55FE8"/>
    <w:rsid w:val="3BEE198D"/>
    <w:rsid w:val="3BF05D4F"/>
    <w:rsid w:val="3BF3499E"/>
    <w:rsid w:val="3BF34A5A"/>
    <w:rsid w:val="3BFD046C"/>
    <w:rsid w:val="3BFE376A"/>
    <w:rsid w:val="3C0331DD"/>
    <w:rsid w:val="3C0812EB"/>
    <w:rsid w:val="3C264489"/>
    <w:rsid w:val="3C277440"/>
    <w:rsid w:val="3C2A50F0"/>
    <w:rsid w:val="3C2B11E4"/>
    <w:rsid w:val="3C302B8A"/>
    <w:rsid w:val="3C40286C"/>
    <w:rsid w:val="3C410359"/>
    <w:rsid w:val="3C4373C4"/>
    <w:rsid w:val="3C506122"/>
    <w:rsid w:val="3C5207B8"/>
    <w:rsid w:val="3C6329C5"/>
    <w:rsid w:val="3C6F4FF8"/>
    <w:rsid w:val="3C7050E2"/>
    <w:rsid w:val="3C9508B9"/>
    <w:rsid w:val="3CA65F73"/>
    <w:rsid w:val="3CA94FAB"/>
    <w:rsid w:val="3CAD3C40"/>
    <w:rsid w:val="3CB1741D"/>
    <w:rsid w:val="3CBC20D5"/>
    <w:rsid w:val="3CBE1861"/>
    <w:rsid w:val="3CC15468"/>
    <w:rsid w:val="3CC9460F"/>
    <w:rsid w:val="3CCB2319"/>
    <w:rsid w:val="3CD06F1D"/>
    <w:rsid w:val="3CD9405C"/>
    <w:rsid w:val="3CDB019A"/>
    <w:rsid w:val="3CE83CA8"/>
    <w:rsid w:val="3CEA65E2"/>
    <w:rsid w:val="3CF672F5"/>
    <w:rsid w:val="3D0A1433"/>
    <w:rsid w:val="3D11065F"/>
    <w:rsid w:val="3D136241"/>
    <w:rsid w:val="3D32517E"/>
    <w:rsid w:val="3D327AFB"/>
    <w:rsid w:val="3D364DBF"/>
    <w:rsid w:val="3D5B4B1B"/>
    <w:rsid w:val="3D6267D9"/>
    <w:rsid w:val="3D7778E1"/>
    <w:rsid w:val="3D7D0CF0"/>
    <w:rsid w:val="3DD0510F"/>
    <w:rsid w:val="3DD64A42"/>
    <w:rsid w:val="3DE45F8B"/>
    <w:rsid w:val="3DE9514C"/>
    <w:rsid w:val="3DFF7691"/>
    <w:rsid w:val="3E0E5257"/>
    <w:rsid w:val="3E151A9D"/>
    <w:rsid w:val="3E21293C"/>
    <w:rsid w:val="3E281D09"/>
    <w:rsid w:val="3E414576"/>
    <w:rsid w:val="3E5B0DA3"/>
    <w:rsid w:val="3E5F71BC"/>
    <w:rsid w:val="3E6A644A"/>
    <w:rsid w:val="3E7013C9"/>
    <w:rsid w:val="3E711D4C"/>
    <w:rsid w:val="3E734A16"/>
    <w:rsid w:val="3E7A3FF6"/>
    <w:rsid w:val="3E7F552E"/>
    <w:rsid w:val="3E861F2A"/>
    <w:rsid w:val="3E865C72"/>
    <w:rsid w:val="3E920965"/>
    <w:rsid w:val="3E92378D"/>
    <w:rsid w:val="3E97400C"/>
    <w:rsid w:val="3E9773E4"/>
    <w:rsid w:val="3EBC63BD"/>
    <w:rsid w:val="3EC57D85"/>
    <w:rsid w:val="3ED81093"/>
    <w:rsid w:val="3EF76DEB"/>
    <w:rsid w:val="3F0C0DAD"/>
    <w:rsid w:val="3F147322"/>
    <w:rsid w:val="3F185CE9"/>
    <w:rsid w:val="3F1B7BDA"/>
    <w:rsid w:val="3F3E3276"/>
    <w:rsid w:val="3F484B39"/>
    <w:rsid w:val="3F4F53D8"/>
    <w:rsid w:val="3F4F7231"/>
    <w:rsid w:val="3F6C7DE3"/>
    <w:rsid w:val="3F7561FB"/>
    <w:rsid w:val="3F7647BE"/>
    <w:rsid w:val="3F8175A9"/>
    <w:rsid w:val="3F8320DE"/>
    <w:rsid w:val="3F9110FB"/>
    <w:rsid w:val="3F970AC9"/>
    <w:rsid w:val="3F983970"/>
    <w:rsid w:val="3F9F2443"/>
    <w:rsid w:val="3FA04C1F"/>
    <w:rsid w:val="3FAB3EF2"/>
    <w:rsid w:val="3FB74B79"/>
    <w:rsid w:val="3FB857E0"/>
    <w:rsid w:val="3FB97FE1"/>
    <w:rsid w:val="3FBB48C6"/>
    <w:rsid w:val="3FC45529"/>
    <w:rsid w:val="3FC62C11"/>
    <w:rsid w:val="3FDB0AC5"/>
    <w:rsid w:val="3FDD483D"/>
    <w:rsid w:val="3FE10133"/>
    <w:rsid w:val="3FE76F82"/>
    <w:rsid w:val="3FEC4A80"/>
    <w:rsid w:val="3FF03FC2"/>
    <w:rsid w:val="3FF1653A"/>
    <w:rsid w:val="400F586A"/>
    <w:rsid w:val="400F6AFF"/>
    <w:rsid w:val="40145BD0"/>
    <w:rsid w:val="40225FCC"/>
    <w:rsid w:val="402C43AB"/>
    <w:rsid w:val="402D0F85"/>
    <w:rsid w:val="4031573F"/>
    <w:rsid w:val="403645F3"/>
    <w:rsid w:val="403C0ED4"/>
    <w:rsid w:val="403F4E27"/>
    <w:rsid w:val="40491F46"/>
    <w:rsid w:val="404C688B"/>
    <w:rsid w:val="40651646"/>
    <w:rsid w:val="40654A73"/>
    <w:rsid w:val="408847A8"/>
    <w:rsid w:val="40A86353"/>
    <w:rsid w:val="40B41A41"/>
    <w:rsid w:val="40CA3AFC"/>
    <w:rsid w:val="40CC47B9"/>
    <w:rsid w:val="40D47A4A"/>
    <w:rsid w:val="40DA369D"/>
    <w:rsid w:val="40E41DEF"/>
    <w:rsid w:val="40F17FA1"/>
    <w:rsid w:val="40F2485A"/>
    <w:rsid w:val="40F40090"/>
    <w:rsid w:val="40F410CA"/>
    <w:rsid w:val="40FC47E1"/>
    <w:rsid w:val="4108167E"/>
    <w:rsid w:val="411C4B49"/>
    <w:rsid w:val="41345493"/>
    <w:rsid w:val="4138297C"/>
    <w:rsid w:val="415902F8"/>
    <w:rsid w:val="415E0AA4"/>
    <w:rsid w:val="41610010"/>
    <w:rsid w:val="4186659F"/>
    <w:rsid w:val="418802C8"/>
    <w:rsid w:val="4188317F"/>
    <w:rsid w:val="41924FB9"/>
    <w:rsid w:val="41B34DF1"/>
    <w:rsid w:val="41B62002"/>
    <w:rsid w:val="41BA5DCC"/>
    <w:rsid w:val="41BB0480"/>
    <w:rsid w:val="41BF708C"/>
    <w:rsid w:val="41C37A62"/>
    <w:rsid w:val="41D46BCA"/>
    <w:rsid w:val="41D91E7D"/>
    <w:rsid w:val="42041BE8"/>
    <w:rsid w:val="42097713"/>
    <w:rsid w:val="420D42E6"/>
    <w:rsid w:val="421329F6"/>
    <w:rsid w:val="42186FAF"/>
    <w:rsid w:val="421A58D4"/>
    <w:rsid w:val="4226071D"/>
    <w:rsid w:val="423000FD"/>
    <w:rsid w:val="42436B6D"/>
    <w:rsid w:val="424C6F4F"/>
    <w:rsid w:val="424F1955"/>
    <w:rsid w:val="4260768D"/>
    <w:rsid w:val="42635B8E"/>
    <w:rsid w:val="4269685C"/>
    <w:rsid w:val="426C239E"/>
    <w:rsid w:val="426D00FA"/>
    <w:rsid w:val="427D17F0"/>
    <w:rsid w:val="427E41C7"/>
    <w:rsid w:val="427E7BC1"/>
    <w:rsid w:val="42804160"/>
    <w:rsid w:val="429B6A6B"/>
    <w:rsid w:val="42A57908"/>
    <w:rsid w:val="42A908D1"/>
    <w:rsid w:val="42BB2A5D"/>
    <w:rsid w:val="42C51959"/>
    <w:rsid w:val="42CB6444"/>
    <w:rsid w:val="42CD0F79"/>
    <w:rsid w:val="42F27836"/>
    <w:rsid w:val="430A6E5A"/>
    <w:rsid w:val="43122A4F"/>
    <w:rsid w:val="43140869"/>
    <w:rsid w:val="431C1B20"/>
    <w:rsid w:val="4323476C"/>
    <w:rsid w:val="4330416F"/>
    <w:rsid w:val="4331708F"/>
    <w:rsid w:val="433E2AAC"/>
    <w:rsid w:val="434F7A62"/>
    <w:rsid w:val="435710A2"/>
    <w:rsid w:val="43657A8B"/>
    <w:rsid w:val="43670FED"/>
    <w:rsid w:val="436752A6"/>
    <w:rsid w:val="436E61ED"/>
    <w:rsid w:val="43784FA8"/>
    <w:rsid w:val="43804E58"/>
    <w:rsid w:val="43843FDD"/>
    <w:rsid w:val="438C2802"/>
    <w:rsid w:val="438F69B2"/>
    <w:rsid w:val="439253D7"/>
    <w:rsid w:val="439F0E69"/>
    <w:rsid w:val="43CF5FD3"/>
    <w:rsid w:val="43D70A3E"/>
    <w:rsid w:val="43D7406A"/>
    <w:rsid w:val="43D95209"/>
    <w:rsid w:val="43DB1093"/>
    <w:rsid w:val="43DC5799"/>
    <w:rsid w:val="43E82411"/>
    <w:rsid w:val="43EA1140"/>
    <w:rsid w:val="43EB3248"/>
    <w:rsid w:val="43EF0FE2"/>
    <w:rsid w:val="43F42B17"/>
    <w:rsid w:val="441A3D23"/>
    <w:rsid w:val="441E1F6C"/>
    <w:rsid w:val="44226CC2"/>
    <w:rsid w:val="44262549"/>
    <w:rsid w:val="44284DFE"/>
    <w:rsid w:val="44310E3A"/>
    <w:rsid w:val="44383138"/>
    <w:rsid w:val="443B29FC"/>
    <w:rsid w:val="443B4DCB"/>
    <w:rsid w:val="443D5D23"/>
    <w:rsid w:val="44615A3C"/>
    <w:rsid w:val="4464327A"/>
    <w:rsid w:val="446A3FBF"/>
    <w:rsid w:val="446D0FEB"/>
    <w:rsid w:val="447339C1"/>
    <w:rsid w:val="4493196E"/>
    <w:rsid w:val="44C1636E"/>
    <w:rsid w:val="44CA076D"/>
    <w:rsid w:val="44CC2B81"/>
    <w:rsid w:val="44D8473A"/>
    <w:rsid w:val="44E37827"/>
    <w:rsid w:val="44E4666D"/>
    <w:rsid w:val="44E701A5"/>
    <w:rsid w:val="44E87F0C"/>
    <w:rsid w:val="44EE5887"/>
    <w:rsid w:val="45080D22"/>
    <w:rsid w:val="450E74EC"/>
    <w:rsid w:val="45265484"/>
    <w:rsid w:val="452B40C5"/>
    <w:rsid w:val="452B429C"/>
    <w:rsid w:val="452D74E0"/>
    <w:rsid w:val="45396AC7"/>
    <w:rsid w:val="453E5BB6"/>
    <w:rsid w:val="454A74FC"/>
    <w:rsid w:val="457C4123"/>
    <w:rsid w:val="45855844"/>
    <w:rsid w:val="458B69F6"/>
    <w:rsid w:val="458D5460"/>
    <w:rsid w:val="45986DBD"/>
    <w:rsid w:val="45A647C9"/>
    <w:rsid w:val="45AD42A8"/>
    <w:rsid w:val="45C73FC5"/>
    <w:rsid w:val="45C943D0"/>
    <w:rsid w:val="45DA6D30"/>
    <w:rsid w:val="45DE14B8"/>
    <w:rsid w:val="45E36925"/>
    <w:rsid w:val="46024B08"/>
    <w:rsid w:val="461E71F2"/>
    <w:rsid w:val="463842DE"/>
    <w:rsid w:val="46386E53"/>
    <w:rsid w:val="4639036D"/>
    <w:rsid w:val="463A05A5"/>
    <w:rsid w:val="463A5557"/>
    <w:rsid w:val="46460291"/>
    <w:rsid w:val="464A0A81"/>
    <w:rsid w:val="46625A9D"/>
    <w:rsid w:val="4666004F"/>
    <w:rsid w:val="466F6152"/>
    <w:rsid w:val="469506DA"/>
    <w:rsid w:val="469B1818"/>
    <w:rsid w:val="46A47E62"/>
    <w:rsid w:val="46A9385A"/>
    <w:rsid w:val="46B93CFB"/>
    <w:rsid w:val="46C95B1B"/>
    <w:rsid w:val="46CA4E0D"/>
    <w:rsid w:val="46E2098A"/>
    <w:rsid w:val="46E97663"/>
    <w:rsid w:val="47037361"/>
    <w:rsid w:val="470B23CA"/>
    <w:rsid w:val="471A1ED2"/>
    <w:rsid w:val="471E22EE"/>
    <w:rsid w:val="47227A3A"/>
    <w:rsid w:val="47260E83"/>
    <w:rsid w:val="472762D3"/>
    <w:rsid w:val="472D4D19"/>
    <w:rsid w:val="472E0159"/>
    <w:rsid w:val="4740402F"/>
    <w:rsid w:val="47454177"/>
    <w:rsid w:val="474B6530"/>
    <w:rsid w:val="474D4ED2"/>
    <w:rsid w:val="474F15D8"/>
    <w:rsid w:val="475278BE"/>
    <w:rsid w:val="4754049B"/>
    <w:rsid w:val="475E7C0D"/>
    <w:rsid w:val="47611A4A"/>
    <w:rsid w:val="476415D8"/>
    <w:rsid w:val="47701558"/>
    <w:rsid w:val="47710A73"/>
    <w:rsid w:val="477426A5"/>
    <w:rsid w:val="47857C94"/>
    <w:rsid w:val="47873BD6"/>
    <w:rsid w:val="47B03AF7"/>
    <w:rsid w:val="47B2336A"/>
    <w:rsid w:val="47BA4F6E"/>
    <w:rsid w:val="47D7366E"/>
    <w:rsid w:val="47E12DA0"/>
    <w:rsid w:val="47E26E94"/>
    <w:rsid w:val="48057437"/>
    <w:rsid w:val="48084421"/>
    <w:rsid w:val="48200DE3"/>
    <w:rsid w:val="482427BB"/>
    <w:rsid w:val="482A083B"/>
    <w:rsid w:val="486771FE"/>
    <w:rsid w:val="486C3D94"/>
    <w:rsid w:val="487814A5"/>
    <w:rsid w:val="48981D61"/>
    <w:rsid w:val="489E1623"/>
    <w:rsid w:val="489E2F22"/>
    <w:rsid w:val="48A226AD"/>
    <w:rsid w:val="48A8494C"/>
    <w:rsid w:val="48AF37A3"/>
    <w:rsid w:val="48B2699F"/>
    <w:rsid w:val="48B3438D"/>
    <w:rsid w:val="48B64853"/>
    <w:rsid w:val="48B67D8D"/>
    <w:rsid w:val="48BD345D"/>
    <w:rsid w:val="48BF0DE3"/>
    <w:rsid w:val="48C260C0"/>
    <w:rsid w:val="48C7608A"/>
    <w:rsid w:val="48FA020D"/>
    <w:rsid w:val="4902628A"/>
    <w:rsid w:val="490B2882"/>
    <w:rsid w:val="492412C0"/>
    <w:rsid w:val="493A38BD"/>
    <w:rsid w:val="49454B79"/>
    <w:rsid w:val="494E7D53"/>
    <w:rsid w:val="496D4E83"/>
    <w:rsid w:val="49804BB7"/>
    <w:rsid w:val="4988006D"/>
    <w:rsid w:val="499646A6"/>
    <w:rsid w:val="499A6678"/>
    <w:rsid w:val="499F4D25"/>
    <w:rsid w:val="49B26E0D"/>
    <w:rsid w:val="49BB06FB"/>
    <w:rsid w:val="49BC2A68"/>
    <w:rsid w:val="49D7054F"/>
    <w:rsid w:val="49DC1BF0"/>
    <w:rsid w:val="49F04BCB"/>
    <w:rsid w:val="49F1437E"/>
    <w:rsid w:val="49F264F4"/>
    <w:rsid w:val="49FD451C"/>
    <w:rsid w:val="4A1452FF"/>
    <w:rsid w:val="4A152F65"/>
    <w:rsid w:val="4A3E0914"/>
    <w:rsid w:val="4A3F1207"/>
    <w:rsid w:val="4A4A158E"/>
    <w:rsid w:val="4A57472F"/>
    <w:rsid w:val="4A655B5A"/>
    <w:rsid w:val="4A715E3D"/>
    <w:rsid w:val="4A7364C9"/>
    <w:rsid w:val="4AB72982"/>
    <w:rsid w:val="4ADB7400"/>
    <w:rsid w:val="4AE65E7E"/>
    <w:rsid w:val="4AEC002A"/>
    <w:rsid w:val="4B1B2082"/>
    <w:rsid w:val="4B1F3F5B"/>
    <w:rsid w:val="4B2D78A9"/>
    <w:rsid w:val="4B34383E"/>
    <w:rsid w:val="4B3F45FD"/>
    <w:rsid w:val="4B410375"/>
    <w:rsid w:val="4B497EFB"/>
    <w:rsid w:val="4B635F8B"/>
    <w:rsid w:val="4B65032C"/>
    <w:rsid w:val="4B712A43"/>
    <w:rsid w:val="4B751C99"/>
    <w:rsid w:val="4B82202B"/>
    <w:rsid w:val="4B942E31"/>
    <w:rsid w:val="4B9502D0"/>
    <w:rsid w:val="4B9F743B"/>
    <w:rsid w:val="4BAE157A"/>
    <w:rsid w:val="4BBA1ED6"/>
    <w:rsid w:val="4BBE1692"/>
    <w:rsid w:val="4BCA0C2B"/>
    <w:rsid w:val="4BD65A7B"/>
    <w:rsid w:val="4BE84E2A"/>
    <w:rsid w:val="4BEA4569"/>
    <w:rsid w:val="4BEE162B"/>
    <w:rsid w:val="4BFC604B"/>
    <w:rsid w:val="4C0B49E3"/>
    <w:rsid w:val="4C107D48"/>
    <w:rsid w:val="4C180EC0"/>
    <w:rsid w:val="4C333DA3"/>
    <w:rsid w:val="4C471D74"/>
    <w:rsid w:val="4C520360"/>
    <w:rsid w:val="4C696745"/>
    <w:rsid w:val="4C737423"/>
    <w:rsid w:val="4C83051A"/>
    <w:rsid w:val="4C885B30"/>
    <w:rsid w:val="4C955322"/>
    <w:rsid w:val="4C987A51"/>
    <w:rsid w:val="4C993ABE"/>
    <w:rsid w:val="4CAA2DCE"/>
    <w:rsid w:val="4CB30463"/>
    <w:rsid w:val="4CB37051"/>
    <w:rsid w:val="4CB96EE9"/>
    <w:rsid w:val="4CD66C96"/>
    <w:rsid w:val="4CDC5A3B"/>
    <w:rsid w:val="4CDF0E5D"/>
    <w:rsid w:val="4CE376D5"/>
    <w:rsid w:val="4CF11927"/>
    <w:rsid w:val="4D036D03"/>
    <w:rsid w:val="4D057778"/>
    <w:rsid w:val="4D08475C"/>
    <w:rsid w:val="4D0D3FCB"/>
    <w:rsid w:val="4D12010F"/>
    <w:rsid w:val="4D20220D"/>
    <w:rsid w:val="4D280486"/>
    <w:rsid w:val="4D48526E"/>
    <w:rsid w:val="4D490CE6"/>
    <w:rsid w:val="4D547564"/>
    <w:rsid w:val="4D5845B0"/>
    <w:rsid w:val="4D587BF8"/>
    <w:rsid w:val="4D622825"/>
    <w:rsid w:val="4D6C65CD"/>
    <w:rsid w:val="4D8217BA"/>
    <w:rsid w:val="4D950505"/>
    <w:rsid w:val="4D962179"/>
    <w:rsid w:val="4D984841"/>
    <w:rsid w:val="4D9C1BB4"/>
    <w:rsid w:val="4DA8143A"/>
    <w:rsid w:val="4DB87097"/>
    <w:rsid w:val="4DC65A69"/>
    <w:rsid w:val="4DE44FE8"/>
    <w:rsid w:val="4DF4626D"/>
    <w:rsid w:val="4DFC20A2"/>
    <w:rsid w:val="4DFF1B97"/>
    <w:rsid w:val="4E020B1B"/>
    <w:rsid w:val="4E043535"/>
    <w:rsid w:val="4E0860B4"/>
    <w:rsid w:val="4E1362FB"/>
    <w:rsid w:val="4E25360E"/>
    <w:rsid w:val="4E2719FC"/>
    <w:rsid w:val="4E435C44"/>
    <w:rsid w:val="4E5E12F1"/>
    <w:rsid w:val="4E5F6109"/>
    <w:rsid w:val="4E62045F"/>
    <w:rsid w:val="4E6C2881"/>
    <w:rsid w:val="4E783F31"/>
    <w:rsid w:val="4E870795"/>
    <w:rsid w:val="4E9D1F36"/>
    <w:rsid w:val="4EA50C1B"/>
    <w:rsid w:val="4EAC689C"/>
    <w:rsid w:val="4EB25AA5"/>
    <w:rsid w:val="4ED96B17"/>
    <w:rsid w:val="4EDA3756"/>
    <w:rsid w:val="4EDD2691"/>
    <w:rsid w:val="4EE96D5A"/>
    <w:rsid w:val="4EF911E3"/>
    <w:rsid w:val="4EF94046"/>
    <w:rsid w:val="4F001FF8"/>
    <w:rsid w:val="4F0048E8"/>
    <w:rsid w:val="4F0C760F"/>
    <w:rsid w:val="4F15188C"/>
    <w:rsid w:val="4F1B712F"/>
    <w:rsid w:val="4F255836"/>
    <w:rsid w:val="4F29165C"/>
    <w:rsid w:val="4F3F24FD"/>
    <w:rsid w:val="4F4F67C3"/>
    <w:rsid w:val="4F580453"/>
    <w:rsid w:val="4F6178F6"/>
    <w:rsid w:val="4F647CAE"/>
    <w:rsid w:val="4F694BCC"/>
    <w:rsid w:val="4F7537FB"/>
    <w:rsid w:val="4F7F4759"/>
    <w:rsid w:val="4F8A3560"/>
    <w:rsid w:val="4F8A6E9D"/>
    <w:rsid w:val="4F8D5C0A"/>
    <w:rsid w:val="4FA00EA1"/>
    <w:rsid w:val="4FA7410F"/>
    <w:rsid w:val="4FAD422B"/>
    <w:rsid w:val="4FB10DBD"/>
    <w:rsid w:val="4FD02150"/>
    <w:rsid w:val="4FD47514"/>
    <w:rsid w:val="4FDC31A9"/>
    <w:rsid w:val="4FDD1C76"/>
    <w:rsid w:val="4FE15CB0"/>
    <w:rsid w:val="4FF525AA"/>
    <w:rsid w:val="4FF60136"/>
    <w:rsid w:val="4FF63DCE"/>
    <w:rsid w:val="4FF8305E"/>
    <w:rsid w:val="500A5543"/>
    <w:rsid w:val="500B5AAA"/>
    <w:rsid w:val="501516A2"/>
    <w:rsid w:val="501D01A2"/>
    <w:rsid w:val="501D19C7"/>
    <w:rsid w:val="502344EE"/>
    <w:rsid w:val="502617E8"/>
    <w:rsid w:val="50372FFC"/>
    <w:rsid w:val="50381A05"/>
    <w:rsid w:val="5040752C"/>
    <w:rsid w:val="504305E6"/>
    <w:rsid w:val="50497753"/>
    <w:rsid w:val="504C6018"/>
    <w:rsid w:val="50500C93"/>
    <w:rsid w:val="505C17AE"/>
    <w:rsid w:val="50603DEC"/>
    <w:rsid w:val="506E1264"/>
    <w:rsid w:val="50717230"/>
    <w:rsid w:val="507408A5"/>
    <w:rsid w:val="50812D7E"/>
    <w:rsid w:val="508B7406"/>
    <w:rsid w:val="509F73B0"/>
    <w:rsid w:val="50B10CEB"/>
    <w:rsid w:val="50B15470"/>
    <w:rsid w:val="50B26A6B"/>
    <w:rsid w:val="50B4221A"/>
    <w:rsid w:val="50B427DB"/>
    <w:rsid w:val="50BA2236"/>
    <w:rsid w:val="50C20F4E"/>
    <w:rsid w:val="50CA4969"/>
    <w:rsid w:val="50CE19FC"/>
    <w:rsid w:val="50D17AA6"/>
    <w:rsid w:val="50D40C4B"/>
    <w:rsid w:val="50D43A3A"/>
    <w:rsid w:val="50DB0910"/>
    <w:rsid w:val="50E46F54"/>
    <w:rsid w:val="5100482F"/>
    <w:rsid w:val="51070C7A"/>
    <w:rsid w:val="5144267E"/>
    <w:rsid w:val="514D07CA"/>
    <w:rsid w:val="515C2AF0"/>
    <w:rsid w:val="51604849"/>
    <w:rsid w:val="516E79EA"/>
    <w:rsid w:val="51747844"/>
    <w:rsid w:val="51777F08"/>
    <w:rsid w:val="517F7AC8"/>
    <w:rsid w:val="518F170F"/>
    <w:rsid w:val="51912DDA"/>
    <w:rsid w:val="51927369"/>
    <w:rsid w:val="519354F5"/>
    <w:rsid w:val="51A02B7A"/>
    <w:rsid w:val="51AB47E1"/>
    <w:rsid w:val="51B047FE"/>
    <w:rsid w:val="51B204B9"/>
    <w:rsid w:val="51B56296"/>
    <w:rsid w:val="51B91CD3"/>
    <w:rsid w:val="51C7134B"/>
    <w:rsid w:val="51C72834"/>
    <w:rsid w:val="51D11D27"/>
    <w:rsid w:val="51E74EF3"/>
    <w:rsid w:val="520C2961"/>
    <w:rsid w:val="5216600B"/>
    <w:rsid w:val="52262073"/>
    <w:rsid w:val="522F500B"/>
    <w:rsid w:val="523852D6"/>
    <w:rsid w:val="523A5B1F"/>
    <w:rsid w:val="523E768F"/>
    <w:rsid w:val="5242577E"/>
    <w:rsid w:val="524424F9"/>
    <w:rsid w:val="52444056"/>
    <w:rsid w:val="52592449"/>
    <w:rsid w:val="527076ED"/>
    <w:rsid w:val="52727066"/>
    <w:rsid w:val="52783884"/>
    <w:rsid w:val="527F7A31"/>
    <w:rsid w:val="52887CA3"/>
    <w:rsid w:val="528D6949"/>
    <w:rsid w:val="52AC28BC"/>
    <w:rsid w:val="52B05067"/>
    <w:rsid w:val="52C21214"/>
    <w:rsid w:val="52CC23E6"/>
    <w:rsid w:val="52D7787C"/>
    <w:rsid w:val="52E07238"/>
    <w:rsid w:val="52EA11D5"/>
    <w:rsid w:val="52F97788"/>
    <w:rsid w:val="530254EA"/>
    <w:rsid w:val="531D3476"/>
    <w:rsid w:val="5329120F"/>
    <w:rsid w:val="53355CDF"/>
    <w:rsid w:val="533C1545"/>
    <w:rsid w:val="53641CBF"/>
    <w:rsid w:val="536F68C7"/>
    <w:rsid w:val="5382736B"/>
    <w:rsid w:val="539E491F"/>
    <w:rsid w:val="53A771E4"/>
    <w:rsid w:val="53AC1956"/>
    <w:rsid w:val="53B24EEA"/>
    <w:rsid w:val="53B97E84"/>
    <w:rsid w:val="53BF4F14"/>
    <w:rsid w:val="53C54A7E"/>
    <w:rsid w:val="53C72845"/>
    <w:rsid w:val="53CA6414"/>
    <w:rsid w:val="53CC2CC8"/>
    <w:rsid w:val="53CE0B29"/>
    <w:rsid w:val="53D00E36"/>
    <w:rsid w:val="53D31D47"/>
    <w:rsid w:val="53DD499C"/>
    <w:rsid w:val="53E92CA6"/>
    <w:rsid w:val="53EF09CA"/>
    <w:rsid w:val="53F014B1"/>
    <w:rsid w:val="53F14F37"/>
    <w:rsid w:val="53FA37B7"/>
    <w:rsid w:val="54014B46"/>
    <w:rsid w:val="5406215C"/>
    <w:rsid w:val="5408182A"/>
    <w:rsid w:val="540A7468"/>
    <w:rsid w:val="54125F57"/>
    <w:rsid w:val="54187343"/>
    <w:rsid w:val="541C31AF"/>
    <w:rsid w:val="541F4FCC"/>
    <w:rsid w:val="5420466B"/>
    <w:rsid w:val="542058E8"/>
    <w:rsid w:val="542F4AAF"/>
    <w:rsid w:val="5433414C"/>
    <w:rsid w:val="543C5B7E"/>
    <w:rsid w:val="54442C85"/>
    <w:rsid w:val="54465F20"/>
    <w:rsid w:val="54531FF1"/>
    <w:rsid w:val="545D4199"/>
    <w:rsid w:val="547E0130"/>
    <w:rsid w:val="54810F9F"/>
    <w:rsid w:val="54831B18"/>
    <w:rsid w:val="54853F27"/>
    <w:rsid w:val="548D2A4E"/>
    <w:rsid w:val="54941F46"/>
    <w:rsid w:val="549502FD"/>
    <w:rsid w:val="549C03CB"/>
    <w:rsid w:val="54A05118"/>
    <w:rsid w:val="54A6749B"/>
    <w:rsid w:val="54AB09A6"/>
    <w:rsid w:val="54AF20D4"/>
    <w:rsid w:val="54B54386"/>
    <w:rsid w:val="54B72A99"/>
    <w:rsid w:val="54BC49A0"/>
    <w:rsid w:val="54C17E31"/>
    <w:rsid w:val="54CA2F2A"/>
    <w:rsid w:val="54CD4A28"/>
    <w:rsid w:val="54E8205E"/>
    <w:rsid w:val="54EA5134"/>
    <w:rsid w:val="54FE1085"/>
    <w:rsid w:val="55022976"/>
    <w:rsid w:val="55067F3A"/>
    <w:rsid w:val="551408A9"/>
    <w:rsid w:val="55180399"/>
    <w:rsid w:val="551C096F"/>
    <w:rsid w:val="55240097"/>
    <w:rsid w:val="552750BE"/>
    <w:rsid w:val="55280F4B"/>
    <w:rsid w:val="552C3D46"/>
    <w:rsid w:val="55332A56"/>
    <w:rsid w:val="553614DC"/>
    <w:rsid w:val="55367C64"/>
    <w:rsid w:val="55483D0E"/>
    <w:rsid w:val="554D13EE"/>
    <w:rsid w:val="55546EF7"/>
    <w:rsid w:val="55582E57"/>
    <w:rsid w:val="556A01A2"/>
    <w:rsid w:val="559341A6"/>
    <w:rsid w:val="55A61710"/>
    <w:rsid w:val="55C57ADE"/>
    <w:rsid w:val="55CD2CA6"/>
    <w:rsid w:val="55CE22F2"/>
    <w:rsid w:val="55EE7B38"/>
    <w:rsid w:val="561072C2"/>
    <w:rsid w:val="56160365"/>
    <w:rsid w:val="561717F3"/>
    <w:rsid w:val="561777E0"/>
    <w:rsid w:val="5624351D"/>
    <w:rsid w:val="5627496E"/>
    <w:rsid w:val="565047BF"/>
    <w:rsid w:val="56552F27"/>
    <w:rsid w:val="566E6821"/>
    <w:rsid w:val="5675145B"/>
    <w:rsid w:val="567B2E7E"/>
    <w:rsid w:val="56800D49"/>
    <w:rsid w:val="56815ACA"/>
    <w:rsid w:val="569C4DDB"/>
    <w:rsid w:val="56DD747D"/>
    <w:rsid w:val="56EE039D"/>
    <w:rsid w:val="56F16387"/>
    <w:rsid w:val="56F96728"/>
    <w:rsid w:val="570861EB"/>
    <w:rsid w:val="570A3D11"/>
    <w:rsid w:val="570D63B4"/>
    <w:rsid w:val="570E7622"/>
    <w:rsid w:val="571257E0"/>
    <w:rsid w:val="571F273F"/>
    <w:rsid w:val="572F7A73"/>
    <w:rsid w:val="574D3BFE"/>
    <w:rsid w:val="57511940"/>
    <w:rsid w:val="575B5634"/>
    <w:rsid w:val="575D7EC0"/>
    <w:rsid w:val="576138FC"/>
    <w:rsid w:val="57617155"/>
    <w:rsid w:val="57672F12"/>
    <w:rsid w:val="578736CD"/>
    <w:rsid w:val="578739BB"/>
    <w:rsid w:val="57893C0F"/>
    <w:rsid w:val="578A4E52"/>
    <w:rsid w:val="5798256F"/>
    <w:rsid w:val="579840C7"/>
    <w:rsid w:val="57C2221D"/>
    <w:rsid w:val="57C85CE0"/>
    <w:rsid w:val="57C93C68"/>
    <w:rsid w:val="57CD4D3F"/>
    <w:rsid w:val="57DB6E60"/>
    <w:rsid w:val="57E1536E"/>
    <w:rsid w:val="57F268AD"/>
    <w:rsid w:val="57FD673B"/>
    <w:rsid w:val="580E15DF"/>
    <w:rsid w:val="583A7FA8"/>
    <w:rsid w:val="584E40D2"/>
    <w:rsid w:val="58544955"/>
    <w:rsid w:val="58566AE7"/>
    <w:rsid w:val="585962B5"/>
    <w:rsid w:val="585C4D9F"/>
    <w:rsid w:val="585F5B75"/>
    <w:rsid w:val="586E1F24"/>
    <w:rsid w:val="5875165E"/>
    <w:rsid w:val="587A4269"/>
    <w:rsid w:val="58825B29"/>
    <w:rsid w:val="589A5A5F"/>
    <w:rsid w:val="589E07BD"/>
    <w:rsid w:val="58A3441E"/>
    <w:rsid w:val="58B303D9"/>
    <w:rsid w:val="58B94375"/>
    <w:rsid w:val="58BA4A70"/>
    <w:rsid w:val="58C17CFE"/>
    <w:rsid w:val="58C91339"/>
    <w:rsid w:val="58D0365B"/>
    <w:rsid w:val="58E46830"/>
    <w:rsid w:val="59017396"/>
    <w:rsid w:val="5902444F"/>
    <w:rsid w:val="591B5CBF"/>
    <w:rsid w:val="5927514C"/>
    <w:rsid w:val="59360753"/>
    <w:rsid w:val="593C799C"/>
    <w:rsid w:val="594F610B"/>
    <w:rsid w:val="59565909"/>
    <w:rsid w:val="59600EE5"/>
    <w:rsid w:val="59634BDC"/>
    <w:rsid w:val="59690770"/>
    <w:rsid w:val="599228E0"/>
    <w:rsid w:val="59941B20"/>
    <w:rsid w:val="599A4004"/>
    <w:rsid w:val="599B086D"/>
    <w:rsid w:val="59B927ED"/>
    <w:rsid w:val="59BB12F3"/>
    <w:rsid w:val="59BF5C8E"/>
    <w:rsid w:val="59C75EEA"/>
    <w:rsid w:val="59D97EC2"/>
    <w:rsid w:val="59DE1A89"/>
    <w:rsid w:val="59E27409"/>
    <w:rsid w:val="59E52BA1"/>
    <w:rsid w:val="59ED36DC"/>
    <w:rsid w:val="59FC781F"/>
    <w:rsid w:val="59FE7432"/>
    <w:rsid w:val="5A286BCC"/>
    <w:rsid w:val="5A3526A3"/>
    <w:rsid w:val="5A412E86"/>
    <w:rsid w:val="5A442114"/>
    <w:rsid w:val="5A4E41C1"/>
    <w:rsid w:val="5A6210CC"/>
    <w:rsid w:val="5A621727"/>
    <w:rsid w:val="5A627DD5"/>
    <w:rsid w:val="5A7348C9"/>
    <w:rsid w:val="5A7521D8"/>
    <w:rsid w:val="5A7E7218"/>
    <w:rsid w:val="5A9725BE"/>
    <w:rsid w:val="5AC76508"/>
    <w:rsid w:val="5AD45AFB"/>
    <w:rsid w:val="5AF7501A"/>
    <w:rsid w:val="5AF86428"/>
    <w:rsid w:val="5AFC1624"/>
    <w:rsid w:val="5B01542B"/>
    <w:rsid w:val="5B0373F5"/>
    <w:rsid w:val="5B095493"/>
    <w:rsid w:val="5B115BA8"/>
    <w:rsid w:val="5B235AE9"/>
    <w:rsid w:val="5B246A53"/>
    <w:rsid w:val="5B2E51B4"/>
    <w:rsid w:val="5B416E74"/>
    <w:rsid w:val="5B437EA2"/>
    <w:rsid w:val="5B527A35"/>
    <w:rsid w:val="5B534ED1"/>
    <w:rsid w:val="5B5A4BBC"/>
    <w:rsid w:val="5B5D71C6"/>
    <w:rsid w:val="5B5E1129"/>
    <w:rsid w:val="5B73349D"/>
    <w:rsid w:val="5B8859A0"/>
    <w:rsid w:val="5B9F7743"/>
    <w:rsid w:val="5BB522B5"/>
    <w:rsid w:val="5BB94B97"/>
    <w:rsid w:val="5BB95F56"/>
    <w:rsid w:val="5BBA4618"/>
    <w:rsid w:val="5BCD19A9"/>
    <w:rsid w:val="5BD448EE"/>
    <w:rsid w:val="5BE32D83"/>
    <w:rsid w:val="5BF84DDB"/>
    <w:rsid w:val="5C0C22DA"/>
    <w:rsid w:val="5C0F3B78"/>
    <w:rsid w:val="5C111338"/>
    <w:rsid w:val="5C3A6E47"/>
    <w:rsid w:val="5C466E0C"/>
    <w:rsid w:val="5C691941"/>
    <w:rsid w:val="5C7919DF"/>
    <w:rsid w:val="5C885591"/>
    <w:rsid w:val="5C903C36"/>
    <w:rsid w:val="5CA35DD8"/>
    <w:rsid w:val="5CAF2C65"/>
    <w:rsid w:val="5CB35D47"/>
    <w:rsid w:val="5CB52971"/>
    <w:rsid w:val="5CB54F34"/>
    <w:rsid w:val="5CC85C68"/>
    <w:rsid w:val="5CD050B5"/>
    <w:rsid w:val="5CEC3A93"/>
    <w:rsid w:val="5CEF405D"/>
    <w:rsid w:val="5CF60894"/>
    <w:rsid w:val="5CFE5040"/>
    <w:rsid w:val="5CFF599B"/>
    <w:rsid w:val="5D1341B2"/>
    <w:rsid w:val="5D251093"/>
    <w:rsid w:val="5D287B54"/>
    <w:rsid w:val="5D3047D1"/>
    <w:rsid w:val="5D39744D"/>
    <w:rsid w:val="5D4723BF"/>
    <w:rsid w:val="5D494018"/>
    <w:rsid w:val="5D541610"/>
    <w:rsid w:val="5D5B2957"/>
    <w:rsid w:val="5D683540"/>
    <w:rsid w:val="5D6B14A2"/>
    <w:rsid w:val="5D6F7055"/>
    <w:rsid w:val="5D9B0E6A"/>
    <w:rsid w:val="5D9E1AED"/>
    <w:rsid w:val="5D9E4E16"/>
    <w:rsid w:val="5D9E7178"/>
    <w:rsid w:val="5DB03139"/>
    <w:rsid w:val="5DB83D3A"/>
    <w:rsid w:val="5DBA0135"/>
    <w:rsid w:val="5DCD5DE5"/>
    <w:rsid w:val="5DD437EF"/>
    <w:rsid w:val="5DE975A6"/>
    <w:rsid w:val="5DF16302"/>
    <w:rsid w:val="5DF67642"/>
    <w:rsid w:val="5DF87773"/>
    <w:rsid w:val="5DF94AE0"/>
    <w:rsid w:val="5DF954D4"/>
    <w:rsid w:val="5DFF4B46"/>
    <w:rsid w:val="5E06795D"/>
    <w:rsid w:val="5E11708E"/>
    <w:rsid w:val="5E243943"/>
    <w:rsid w:val="5E27164D"/>
    <w:rsid w:val="5E333195"/>
    <w:rsid w:val="5E3653EC"/>
    <w:rsid w:val="5E3B0A10"/>
    <w:rsid w:val="5E424B71"/>
    <w:rsid w:val="5E5B06A8"/>
    <w:rsid w:val="5E68756F"/>
    <w:rsid w:val="5E6B0BF4"/>
    <w:rsid w:val="5E7128C8"/>
    <w:rsid w:val="5E881A80"/>
    <w:rsid w:val="5EA06D09"/>
    <w:rsid w:val="5EA70098"/>
    <w:rsid w:val="5EAA5A56"/>
    <w:rsid w:val="5EB51AB3"/>
    <w:rsid w:val="5EC33621"/>
    <w:rsid w:val="5EC43A2E"/>
    <w:rsid w:val="5ECB3525"/>
    <w:rsid w:val="5ED26DC5"/>
    <w:rsid w:val="5ED75BF1"/>
    <w:rsid w:val="5EF31C67"/>
    <w:rsid w:val="5EF4004E"/>
    <w:rsid w:val="5EFA106E"/>
    <w:rsid w:val="5EFF06CD"/>
    <w:rsid w:val="5EFF08E7"/>
    <w:rsid w:val="5F010576"/>
    <w:rsid w:val="5F015B15"/>
    <w:rsid w:val="5F0251FA"/>
    <w:rsid w:val="5F3062DF"/>
    <w:rsid w:val="5F366419"/>
    <w:rsid w:val="5F4475AE"/>
    <w:rsid w:val="5F4A6799"/>
    <w:rsid w:val="5F4C5207"/>
    <w:rsid w:val="5F6334E9"/>
    <w:rsid w:val="5F685A79"/>
    <w:rsid w:val="5F6C2424"/>
    <w:rsid w:val="5F895ABF"/>
    <w:rsid w:val="5F946A7C"/>
    <w:rsid w:val="5FAA42E4"/>
    <w:rsid w:val="5FB54A36"/>
    <w:rsid w:val="5FBA79B0"/>
    <w:rsid w:val="5FBB029F"/>
    <w:rsid w:val="5FC61813"/>
    <w:rsid w:val="5FD57CF6"/>
    <w:rsid w:val="5FF50EAD"/>
    <w:rsid w:val="5FFF5CB2"/>
    <w:rsid w:val="600676E3"/>
    <w:rsid w:val="60087405"/>
    <w:rsid w:val="600C3E51"/>
    <w:rsid w:val="60125733"/>
    <w:rsid w:val="601C5687"/>
    <w:rsid w:val="601D636B"/>
    <w:rsid w:val="60207038"/>
    <w:rsid w:val="602B7B91"/>
    <w:rsid w:val="602C0A39"/>
    <w:rsid w:val="602D6CC3"/>
    <w:rsid w:val="60391C4C"/>
    <w:rsid w:val="603B021E"/>
    <w:rsid w:val="60584683"/>
    <w:rsid w:val="605E3C41"/>
    <w:rsid w:val="60647840"/>
    <w:rsid w:val="606F768E"/>
    <w:rsid w:val="608B4A72"/>
    <w:rsid w:val="608D00E3"/>
    <w:rsid w:val="60992490"/>
    <w:rsid w:val="609E3C6B"/>
    <w:rsid w:val="60A1419A"/>
    <w:rsid w:val="60A43A47"/>
    <w:rsid w:val="60C33C2B"/>
    <w:rsid w:val="60CF38D6"/>
    <w:rsid w:val="60D80D60"/>
    <w:rsid w:val="60E97ACC"/>
    <w:rsid w:val="61082E2C"/>
    <w:rsid w:val="61160E7E"/>
    <w:rsid w:val="61251748"/>
    <w:rsid w:val="61311E12"/>
    <w:rsid w:val="613A2575"/>
    <w:rsid w:val="613A51F3"/>
    <w:rsid w:val="614147D4"/>
    <w:rsid w:val="61637659"/>
    <w:rsid w:val="61730EE3"/>
    <w:rsid w:val="617B001B"/>
    <w:rsid w:val="617C570B"/>
    <w:rsid w:val="61840B64"/>
    <w:rsid w:val="61853804"/>
    <w:rsid w:val="619B53CA"/>
    <w:rsid w:val="61A15272"/>
    <w:rsid w:val="61A56DFA"/>
    <w:rsid w:val="61CB22EF"/>
    <w:rsid w:val="61DC654E"/>
    <w:rsid w:val="61EB5F1D"/>
    <w:rsid w:val="61EF2482"/>
    <w:rsid w:val="61FC06FB"/>
    <w:rsid w:val="620E3D7B"/>
    <w:rsid w:val="62117133"/>
    <w:rsid w:val="62162FF2"/>
    <w:rsid w:val="62167684"/>
    <w:rsid w:val="621B5631"/>
    <w:rsid w:val="622C27C0"/>
    <w:rsid w:val="626B762E"/>
    <w:rsid w:val="626D5F91"/>
    <w:rsid w:val="627E7D9D"/>
    <w:rsid w:val="628232F6"/>
    <w:rsid w:val="628407FE"/>
    <w:rsid w:val="62880405"/>
    <w:rsid w:val="629073C4"/>
    <w:rsid w:val="62996318"/>
    <w:rsid w:val="629C7308"/>
    <w:rsid w:val="62AA6D2C"/>
    <w:rsid w:val="62AF2CB3"/>
    <w:rsid w:val="62B0179B"/>
    <w:rsid w:val="62CC094F"/>
    <w:rsid w:val="62EC0F65"/>
    <w:rsid w:val="62F10837"/>
    <w:rsid w:val="630334E9"/>
    <w:rsid w:val="6313173E"/>
    <w:rsid w:val="63242B23"/>
    <w:rsid w:val="63564BD4"/>
    <w:rsid w:val="635C73A1"/>
    <w:rsid w:val="63743838"/>
    <w:rsid w:val="637455EF"/>
    <w:rsid w:val="637509AF"/>
    <w:rsid w:val="638F4A5D"/>
    <w:rsid w:val="639859D5"/>
    <w:rsid w:val="63A1155A"/>
    <w:rsid w:val="63A23228"/>
    <w:rsid w:val="63AB5D44"/>
    <w:rsid w:val="63B04CF8"/>
    <w:rsid w:val="63BA7188"/>
    <w:rsid w:val="63D26267"/>
    <w:rsid w:val="63DF59C2"/>
    <w:rsid w:val="63E6136F"/>
    <w:rsid w:val="63EA625B"/>
    <w:rsid w:val="63ED5BB1"/>
    <w:rsid w:val="63FC6F31"/>
    <w:rsid w:val="641B0AB8"/>
    <w:rsid w:val="642B2B02"/>
    <w:rsid w:val="642E4F72"/>
    <w:rsid w:val="643B3BCB"/>
    <w:rsid w:val="64591E34"/>
    <w:rsid w:val="646469D4"/>
    <w:rsid w:val="646507D9"/>
    <w:rsid w:val="64701795"/>
    <w:rsid w:val="647A419D"/>
    <w:rsid w:val="64813139"/>
    <w:rsid w:val="64846083"/>
    <w:rsid w:val="64851089"/>
    <w:rsid w:val="64873B16"/>
    <w:rsid w:val="648D7E50"/>
    <w:rsid w:val="64947640"/>
    <w:rsid w:val="64970918"/>
    <w:rsid w:val="64983CC9"/>
    <w:rsid w:val="649A7A6D"/>
    <w:rsid w:val="64A054C1"/>
    <w:rsid w:val="64A73F2B"/>
    <w:rsid w:val="64AF414A"/>
    <w:rsid w:val="64B109D5"/>
    <w:rsid w:val="64D10534"/>
    <w:rsid w:val="64E43E7F"/>
    <w:rsid w:val="64EA5182"/>
    <w:rsid w:val="64FE5C71"/>
    <w:rsid w:val="64FF4F0B"/>
    <w:rsid w:val="65107E36"/>
    <w:rsid w:val="652C12F7"/>
    <w:rsid w:val="653B5A04"/>
    <w:rsid w:val="654E476E"/>
    <w:rsid w:val="654E74BF"/>
    <w:rsid w:val="65640A91"/>
    <w:rsid w:val="656A1091"/>
    <w:rsid w:val="657A4758"/>
    <w:rsid w:val="657B11CD"/>
    <w:rsid w:val="6582705D"/>
    <w:rsid w:val="658A6BCD"/>
    <w:rsid w:val="65942372"/>
    <w:rsid w:val="659D0782"/>
    <w:rsid w:val="659D7C90"/>
    <w:rsid w:val="65A75FC0"/>
    <w:rsid w:val="65D04EEB"/>
    <w:rsid w:val="65D424B9"/>
    <w:rsid w:val="65DC302A"/>
    <w:rsid w:val="65E712F6"/>
    <w:rsid w:val="66001BA4"/>
    <w:rsid w:val="66025947"/>
    <w:rsid w:val="6618187B"/>
    <w:rsid w:val="6619127A"/>
    <w:rsid w:val="661D6738"/>
    <w:rsid w:val="66327C36"/>
    <w:rsid w:val="663C7469"/>
    <w:rsid w:val="664408C2"/>
    <w:rsid w:val="664E494D"/>
    <w:rsid w:val="6651279A"/>
    <w:rsid w:val="66884C53"/>
    <w:rsid w:val="669064F3"/>
    <w:rsid w:val="669D39BC"/>
    <w:rsid w:val="66A62086"/>
    <w:rsid w:val="66A84677"/>
    <w:rsid w:val="66B07D06"/>
    <w:rsid w:val="66B8269C"/>
    <w:rsid w:val="66DA6749"/>
    <w:rsid w:val="66E77BCB"/>
    <w:rsid w:val="66EF68FA"/>
    <w:rsid w:val="66F824FD"/>
    <w:rsid w:val="66FE6CC3"/>
    <w:rsid w:val="67006172"/>
    <w:rsid w:val="6710278C"/>
    <w:rsid w:val="671D46C8"/>
    <w:rsid w:val="671F22A3"/>
    <w:rsid w:val="67291A35"/>
    <w:rsid w:val="673669FF"/>
    <w:rsid w:val="67393CB7"/>
    <w:rsid w:val="673C6439"/>
    <w:rsid w:val="674A015A"/>
    <w:rsid w:val="674D0272"/>
    <w:rsid w:val="676A0B2B"/>
    <w:rsid w:val="676C3006"/>
    <w:rsid w:val="67827A7F"/>
    <w:rsid w:val="67851192"/>
    <w:rsid w:val="67A667D3"/>
    <w:rsid w:val="67A67534"/>
    <w:rsid w:val="67A74C82"/>
    <w:rsid w:val="67A95111"/>
    <w:rsid w:val="67B90A82"/>
    <w:rsid w:val="67BD1F65"/>
    <w:rsid w:val="67C365BF"/>
    <w:rsid w:val="67CF04D5"/>
    <w:rsid w:val="67D8341E"/>
    <w:rsid w:val="67E46FF5"/>
    <w:rsid w:val="67ED6C16"/>
    <w:rsid w:val="680A6C82"/>
    <w:rsid w:val="68103152"/>
    <w:rsid w:val="681E0A45"/>
    <w:rsid w:val="6824034C"/>
    <w:rsid w:val="6838505E"/>
    <w:rsid w:val="683E3347"/>
    <w:rsid w:val="684E469A"/>
    <w:rsid w:val="68501E11"/>
    <w:rsid w:val="685E57CE"/>
    <w:rsid w:val="685F4AA0"/>
    <w:rsid w:val="68623D3F"/>
    <w:rsid w:val="686C7E0A"/>
    <w:rsid w:val="68757042"/>
    <w:rsid w:val="687B2232"/>
    <w:rsid w:val="687D6111"/>
    <w:rsid w:val="68817BAC"/>
    <w:rsid w:val="6886166B"/>
    <w:rsid w:val="68954A3C"/>
    <w:rsid w:val="689B0DF8"/>
    <w:rsid w:val="68A21BF9"/>
    <w:rsid w:val="68A52B32"/>
    <w:rsid w:val="68A87665"/>
    <w:rsid w:val="68B5096E"/>
    <w:rsid w:val="68B81BD2"/>
    <w:rsid w:val="68BE2C7A"/>
    <w:rsid w:val="68CC10BC"/>
    <w:rsid w:val="68D04C43"/>
    <w:rsid w:val="68D128E1"/>
    <w:rsid w:val="68E04998"/>
    <w:rsid w:val="68F44B09"/>
    <w:rsid w:val="68FA1B9A"/>
    <w:rsid w:val="69197DE4"/>
    <w:rsid w:val="69307272"/>
    <w:rsid w:val="694E046E"/>
    <w:rsid w:val="69652D27"/>
    <w:rsid w:val="69782D5D"/>
    <w:rsid w:val="69831701"/>
    <w:rsid w:val="69952A0C"/>
    <w:rsid w:val="699A1218"/>
    <w:rsid w:val="699B4BDB"/>
    <w:rsid w:val="69A51678"/>
    <w:rsid w:val="69BB329B"/>
    <w:rsid w:val="69BD4C61"/>
    <w:rsid w:val="69C77525"/>
    <w:rsid w:val="69DC6CE6"/>
    <w:rsid w:val="69FC56C6"/>
    <w:rsid w:val="69FD3B6F"/>
    <w:rsid w:val="6A0065EF"/>
    <w:rsid w:val="6A112F7C"/>
    <w:rsid w:val="6A1F1C32"/>
    <w:rsid w:val="6A2B4B56"/>
    <w:rsid w:val="6A3011BF"/>
    <w:rsid w:val="6A445335"/>
    <w:rsid w:val="6A486BD3"/>
    <w:rsid w:val="6A515BCF"/>
    <w:rsid w:val="6A541841"/>
    <w:rsid w:val="6A576E16"/>
    <w:rsid w:val="6A594E5C"/>
    <w:rsid w:val="6A616283"/>
    <w:rsid w:val="6A641407"/>
    <w:rsid w:val="6A656882"/>
    <w:rsid w:val="6A7C4ACE"/>
    <w:rsid w:val="6A7F3555"/>
    <w:rsid w:val="6A841BD5"/>
    <w:rsid w:val="6A8B60FB"/>
    <w:rsid w:val="6A8D2838"/>
    <w:rsid w:val="6A9674BF"/>
    <w:rsid w:val="6A9A37E0"/>
    <w:rsid w:val="6AA27334"/>
    <w:rsid w:val="6AA604CA"/>
    <w:rsid w:val="6AB67B97"/>
    <w:rsid w:val="6ABB4666"/>
    <w:rsid w:val="6ACE3652"/>
    <w:rsid w:val="6ADB41F3"/>
    <w:rsid w:val="6ADD5CCB"/>
    <w:rsid w:val="6ADF0BB9"/>
    <w:rsid w:val="6AFB4F4A"/>
    <w:rsid w:val="6B12444F"/>
    <w:rsid w:val="6B1B6095"/>
    <w:rsid w:val="6B295E41"/>
    <w:rsid w:val="6B2A12A7"/>
    <w:rsid w:val="6B3426CD"/>
    <w:rsid w:val="6B4533C9"/>
    <w:rsid w:val="6B574BF4"/>
    <w:rsid w:val="6B5C39DF"/>
    <w:rsid w:val="6B5E11EE"/>
    <w:rsid w:val="6B611EB1"/>
    <w:rsid w:val="6B723E14"/>
    <w:rsid w:val="6B8626E8"/>
    <w:rsid w:val="6B961766"/>
    <w:rsid w:val="6B981494"/>
    <w:rsid w:val="6BA240C1"/>
    <w:rsid w:val="6BA3123F"/>
    <w:rsid w:val="6BAB02B2"/>
    <w:rsid w:val="6BB6063D"/>
    <w:rsid w:val="6BB979A5"/>
    <w:rsid w:val="6BC8334A"/>
    <w:rsid w:val="6BD61A98"/>
    <w:rsid w:val="6BF54B38"/>
    <w:rsid w:val="6BF77F96"/>
    <w:rsid w:val="6BFC7F2A"/>
    <w:rsid w:val="6BFE19E1"/>
    <w:rsid w:val="6C050A47"/>
    <w:rsid w:val="6C0B1A74"/>
    <w:rsid w:val="6C16659B"/>
    <w:rsid w:val="6C253932"/>
    <w:rsid w:val="6C27235B"/>
    <w:rsid w:val="6C3311BD"/>
    <w:rsid w:val="6C3342D8"/>
    <w:rsid w:val="6C394A8B"/>
    <w:rsid w:val="6C420156"/>
    <w:rsid w:val="6C44161C"/>
    <w:rsid w:val="6C494D21"/>
    <w:rsid w:val="6C5142B7"/>
    <w:rsid w:val="6C5E4626"/>
    <w:rsid w:val="6C6658B0"/>
    <w:rsid w:val="6C7457E7"/>
    <w:rsid w:val="6C7D6E82"/>
    <w:rsid w:val="6C8311C3"/>
    <w:rsid w:val="6C852224"/>
    <w:rsid w:val="6C8B0FF9"/>
    <w:rsid w:val="6C8C62B9"/>
    <w:rsid w:val="6C9A748E"/>
    <w:rsid w:val="6CA5691E"/>
    <w:rsid w:val="6CB32387"/>
    <w:rsid w:val="6CFC1EEB"/>
    <w:rsid w:val="6CFD2D93"/>
    <w:rsid w:val="6D0A227B"/>
    <w:rsid w:val="6D1A1A0C"/>
    <w:rsid w:val="6D1B3C07"/>
    <w:rsid w:val="6D1E1E6D"/>
    <w:rsid w:val="6D290842"/>
    <w:rsid w:val="6D321190"/>
    <w:rsid w:val="6D34343E"/>
    <w:rsid w:val="6D3444D5"/>
    <w:rsid w:val="6D372F2F"/>
    <w:rsid w:val="6D465142"/>
    <w:rsid w:val="6D4742BE"/>
    <w:rsid w:val="6D5C5D42"/>
    <w:rsid w:val="6D624D93"/>
    <w:rsid w:val="6D631F76"/>
    <w:rsid w:val="6D680792"/>
    <w:rsid w:val="6D917649"/>
    <w:rsid w:val="6D965EA7"/>
    <w:rsid w:val="6D966E32"/>
    <w:rsid w:val="6DAA54AF"/>
    <w:rsid w:val="6DAB0FE0"/>
    <w:rsid w:val="6DCF760B"/>
    <w:rsid w:val="6DEE7FF8"/>
    <w:rsid w:val="6DF40E20"/>
    <w:rsid w:val="6E0B6604"/>
    <w:rsid w:val="6E1E5CB1"/>
    <w:rsid w:val="6E2F3C06"/>
    <w:rsid w:val="6E4771A1"/>
    <w:rsid w:val="6E51496A"/>
    <w:rsid w:val="6E627916"/>
    <w:rsid w:val="6E8555D0"/>
    <w:rsid w:val="6E876629"/>
    <w:rsid w:val="6E893B3A"/>
    <w:rsid w:val="6E906D9A"/>
    <w:rsid w:val="6E9F7F55"/>
    <w:rsid w:val="6ED34F21"/>
    <w:rsid w:val="6EDA7020"/>
    <w:rsid w:val="6EDF1C43"/>
    <w:rsid w:val="6F08338C"/>
    <w:rsid w:val="6F1063C6"/>
    <w:rsid w:val="6F116045"/>
    <w:rsid w:val="6F492FDA"/>
    <w:rsid w:val="6F4F00B9"/>
    <w:rsid w:val="6F561A7D"/>
    <w:rsid w:val="6F6005AE"/>
    <w:rsid w:val="6F7313BD"/>
    <w:rsid w:val="6F7B7A25"/>
    <w:rsid w:val="6F93083A"/>
    <w:rsid w:val="6F997ED1"/>
    <w:rsid w:val="6FA629B9"/>
    <w:rsid w:val="6FAB65C3"/>
    <w:rsid w:val="6FB41CDF"/>
    <w:rsid w:val="6FDC1496"/>
    <w:rsid w:val="6FE52B7F"/>
    <w:rsid w:val="6FEE1FCA"/>
    <w:rsid w:val="70001CFE"/>
    <w:rsid w:val="70002605"/>
    <w:rsid w:val="70047746"/>
    <w:rsid w:val="70096E76"/>
    <w:rsid w:val="700C06A3"/>
    <w:rsid w:val="701B22C2"/>
    <w:rsid w:val="703674CE"/>
    <w:rsid w:val="704A18A5"/>
    <w:rsid w:val="70535193"/>
    <w:rsid w:val="705353D7"/>
    <w:rsid w:val="70595CFD"/>
    <w:rsid w:val="70715952"/>
    <w:rsid w:val="70731CBA"/>
    <w:rsid w:val="70744B2B"/>
    <w:rsid w:val="707E38C7"/>
    <w:rsid w:val="70802164"/>
    <w:rsid w:val="708F70A3"/>
    <w:rsid w:val="709A3B3E"/>
    <w:rsid w:val="709B5583"/>
    <w:rsid w:val="709D579F"/>
    <w:rsid w:val="709F3CB3"/>
    <w:rsid w:val="70A02F6E"/>
    <w:rsid w:val="70AB2A5F"/>
    <w:rsid w:val="70C40F6B"/>
    <w:rsid w:val="70E8499B"/>
    <w:rsid w:val="70FF2B52"/>
    <w:rsid w:val="71053071"/>
    <w:rsid w:val="710C4547"/>
    <w:rsid w:val="71132EB6"/>
    <w:rsid w:val="71146B3B"/>
    <w:rsid w:val="711E1A75"/>
    <w:rsid w:val="713711A7"/>
    <w:rsid w:val="715E5257"/>
    <w:rsid w:val="71754026"/>
    <w:rsid w:val="717C2078"/>
    <w:rsid w:val="718176C8"/>
    <w:rsid w:val="718B2F22"/>
    <w:rsid w:val="71944ECF"/>
    <w:rsid w:val="71B51326"/>
    <w:rsid w:val="71BB1264"/>
    <w:rsid w:val="71C14470"/>
    <w:rsid w:val="71D23226"/>
    <w:rsid w:val="71DD01AD"/>
    <w:rsid w:val="71E01DDD"/>
    <w:rsid w:val="71EF3DD8"/>
    <w:rsid w:val="7201218A"/>
    <w:rsid w:val="721C270E"/>
    <w:rsid w:val="723D68AF"/>
    <w:rsid w:val="724721AC"/>
    <w:rsid w:val="724C0702"/>
    <w:rsid w:val="72563C24"/>
    <w:rsid w:val="726259F7"/>
    <w:rsid w:val="72705108"/>
    <w:rsid w:val="727150EE"/>
    <w:rsid w:val="729452D5"/>
    <w:rsid w:val="72992944"/>
    <w:rsid w:val="72B15531"/>
    <w:rsid w:val="72C03958"/>
    <w:rsid w:val="72C366C1"/>
    <w:rsid w:val="72D07765"/>
    <w:rsid w:val="72D30125"/>
    <w:rsid w:val="72F657B0"/>
    <w:rsid w:val="72FC409A"/>
    <w:rsid w:val="73032FC0"/>
    <w:rsid w:val="730F48D7"/>
    <w:rsid w:val="73253B84"/>
    <w:rsid w:val="7332361C"/>
    <w:rsid w:val="733D0BED"/>
    <w:rsid w:val="734343DB"/>
    <w:rsid w:val="73540715"/>
    <w:rsid w:val="73555EBD"/>
    <w:rsid w:val="735A34D3"/>
    <w:rsid w:val="7366546C"/>
    <w:rsid w:val="7367064C"/>
    <w:rsid w:val="738334CA"/>
    <w:rsid w:val="738707F8"/>
    <w:rsid w:val="738754CA"/>
    <w:rsid w:val="738B6F89"/>
    <w:rsid w:val="738F72FB"/>
    <w:rsid w:val="73927111"/>
    <w:rsid w:val="739C7406"/>
    <w:rsid w:val="73AE590F"/>
    <w:rsid w:val="73C056D8"/>
    <w:rsid w:val="73C51294"/>
    <w:rsid w:val="73C757DE"/>
    <w:rsid w:val="73CB6AC4"/>
    <w:rsid w:val="73D54BCE"/>
    <w:rsid w:val="73EA4D92"/>
    <w:rsid w:val="73ED1A3A"/>
    <w:rsid w:val="73F05696"/>
    <w:rsid w:val="73F50B6F"/>
    <w:rsid w:val="740011C8"/>
    <w:rsid w:val="74146799"/>
    <w:rsid w:val="741A1B16"/>
    <w:rsid w:val="741C3D5C"/>
    <w:rsid w:val="741E67C6"/>
    <w:rsid w:val="742C5E27"/>
    <w:rsid w:val="74551D23"/>
    <w:rsid w:val="745D7B18"/>
    <w:rsid w:val="745F299C"/>
    <w:rsid w:val="74641475"/>
    <w:rsid w:val="746F1484"/>
    <w:rsid w:val="747C2E12"/>
    <w:rsid w:val="74B800CA"/>
    <w:rsid w:val="74BB61F3"/>
    <w:rsid w:val="74D06143"/>
    <w:rsid w:val="74D40FC4"/>
    <w:rsid w:val="74EE65C9"/>
    <w:rsid w:val="74F55B27"/>
    <w:rsid w:val="75036D8F"/>
    <w:rsid w:val="7528638E"/>
    <w:rsid w:val="752F1C4C"/>
    <w:rsid w:val="753D165B"/>
    <w:rsid w:val="75406D1A"/>
    <w:rsid w:val="75511543"/>
    <w:rsid w:val="755D54FC"/>
    <w:rsid w:val="756B2471"/>
    <w:rsid w:val="75726F76"/>
    <w:rsid w:val="75805B4E"/>
    <w:rsid w:val="758D6086"/>
    <w:rsid w:val="758F1A33"/>
    <w:rsid w:val="75A4107C"/>
    <w:rsid w:val="75B07B59"/>
    <w:rsid w:val="75C8596C"/>
    <w:rsid w:val="75D307FB"/>
    <w:rsid w:val="75E74A0A"/>
    <w:rsid w:val="75F8009A"/>
    <w:rsid w:val="75FD55DB"/>
    <w:rsid w:val="75FF1C28"/>
    <w:rsid w:val="761E6A3A"/>
    <w:rsid w:val="76241D0C"/>
    <w:rsid w:val="76277FE4"/>
    <w:rsid w:val="762A1882"/>
    <w:rsid w:val="763653BA"/>
    <w:rsid w:val="763A138B"/>
    <w:rsid w:val="763A3819"/>
    <w:rsid w:val="76464EFD"/>
    <w:rsid w:val="76471DE8"/>
    <w:rsid w:val="764C1D57"/>
    <w:rsid w:val="764D3755"/>
    <w:rsid w:val="766D196F"/>
    <w:rsid w:val="76701D3D"/>
    <w:rsid w:val="76911902"/>
    <w:rsid w:val="76951140"/>
    <w:rsid w:val="76974BD9"/>
    <w:rsid w:val="76977026"/>
    <w:rsid w:val="76984A3E"/>
    <w:rsid w:val="76A70C95"/>
    <w:rsid w:val="76C92E49"/>
    <w:rsid w:val="76D15D09"/>
    <w:rsid w:val="76E56BA6"/>
    <w:rsid w:val="76EB626F"/>
    <w:rsid w:val="76F57B1F"/>
    <w:rsid w:val="76F679B7"/>
    <w:rsid w:val="771349E5"/>
    <w:rsid w:val="7714635C"/>
    <w:rsid w:val="771C30FA"/>
    <w:rsid w:val="77206134"/>
    <w:rsid w:val="77277675"/>
    <w:rsid w:val="77291FC5"/>
    <w:rsid w:val="772F3A61"/>
    <w:rsid w:val="773553A7"/>
    <w:rsid w:val="773A3D47"/>
    <w:rsid w:val="77580A66"/>
    <w:rsid w:val="77737259"/>
    <w:rsid w:val="778D01FE"/>
    <w:rsid w:val="77A3436B"/>
    <w:rsid w:val="77AD1CF3"/>
    <w:rsid w:val="77AF566A"/>
    <w:rsid w:val="77B86288"/>
    <w:rsid w:val="77C27C29"/>
    <w:rsid w:val="77C76754"/>
    <w:rsid w:val="77F437B1"/>
    <w:rsid w:val="780738D1"/>
    <w:rsid w:val="780F36D1"/>
    <w:rsid w:val="78140E63"/>
    <w:rsid w:val="782226C6"/>
    <w:rsid w:val="783D4AFF"/>
    <w:rsid w:val="784D30F3"/>
    <w:rsid w:val="78570929"/>
    <w:rsid w:val="78632AB8"/>
    <w:rsid w:val="78693C27"/>
    <w:rsid w:val="78700340"/>
    <w:rsid w:val="78747106"/>
    <w:rsid w:val="788A2C6A"/>
    <w:rsid w:val="788D602E"/>
    <w:rsid w:val="7899313C"/>
    <w:rsid w:val="78A27DF6"/>
    <w:rsid w:val="78AD0D21"/>
    <w:rsid w:val="78AF42C1"/>
    <w:rsid w:val="78B5001F"/>
    <w:rsid w:val="78B65A67"/>
    <w:rsid w:val="78B73B4F"/>
    <w:rsid w:val="78B934ED"/>
    <w:rsid w:val="78C37C8A"/>
    <w:rsid w:val="78D05741"/>
    <w:rsid w:val="78D77987"/>
    <w:rsid w:val="78DE2D7C"/>
    <w:rsid w:val="78FA1FA9"/>
    <w:rsid w:val="78FF6FF6"/>
    <w:rsid w:val="791B5CC7"/>
    <w:rsid w:val="7922596C"/>
    <w:rsid w:val="792F01A6"/>
    <w:rsid w:val="79330A4E"/>
    <w:rsid w:val="79382965"/>
    <w:rsid w:val="793DDE01"/>
    <w:rsid w:val="7942440B"/>
    <w:rsid w:val="79483FF5"/>
    <w:rsid w:val="794C1894"/>
    <w:rsid w:val="795161CA"/>
    <w:rsid w:val="795E792F"/>
    <w:rsid w:val="797D1676"/>
    <w:rsid w:val="79820F11"/>
    <w:rsid w:val="79A22FB7"/>
    <w:rsid w:val="79A71D90"/>
    <w:rsid w:val="79A81252"/>
    <w:rsid w:val="79AC037E"/>
    <w:rsid w:val="79AE4579"/>
    <w:rsid w:val="79B4594A"/>
    <w:rsid w:val="79B978EA"/>
    <w:rsid w:val="79BC708D"/>
    <w:rsid w:val="79D20267"/>
    <w:rsid w:val="79EB1C7D"/>
    <w:rsid w:val="79F17FFA"/>
    <w:rsid w:val="79FA5A10"/>
    <w:rsid w:val="7A187C44"/>
    <w:rsid w:val="7A1B476E"/>
    <w:rsid w:val="7A1F5BDD"/>
    <w:rsid w:val="7A241CE1"/>
    <w:rsid w:val="7A2B07AE"/>
    <w:rsid w:val="7A2B20CE"/>
    <w:rsid w:val="7A3373DA"/>
    <w:rsid w:val="7A50702E"/>
    <w:rsid w:val="7A654168"/>
    <w:rsid w:val="7A721A4A"/>
    <w:rsid w:val="7A85352B"/>
    <w:rsid w:val="7A9722EA"/>
    <w:rsid w:val="7A976D2A"/>
    <w:rsid w:val="7AA240DD"/>
    <w:rsid w:val="7AA274F5"/>
    <w:rsid w:val="7AA8721A"/>
    <w:rsid w:val="7ACA2BAC"/>
    <w:rsid w:val="7AF27BF0"/>
    <w:rsid w:val="7AF64429"/>
    <w:rsid w:val="7AFC5E1D"/>
    <w:rsid w:val="7B045492"/>
    <w:rsid w:val="7B0D7A1D"/>
    <w:rsid w:val="7B1A6AB5"/>
    <w:rsid w:val="7B327BB5"/>
    <w:rsid w:val="7B3330E5"/>
    <w:rsid w:val="7B33563C"/>
    <w:rsid w:val="7B397B96"/>
    <w:rsid w:val="7B4C0E94"/>
    <w:rsid w:val="7B4C1878"/>
    <w:rsid w:val="7B5737ED"/>
    <w:rsid w:val="7B576EF9"/>
    <w:rsid w:val="7B594633"/>
    <w:rsid w:val="7B596D6B"/>
    <w:rsid w:val="7B5C21FC"/>
    <w:rsid w:val="7B600D89"/>
    <w:rsid w:val="7B6D1672"/>
    <w:rsid w:val="7B763FD0"/>
    <w:rsid w:val="7B7B048A"/>
    <w:rsid w:val="7B8D6D12"/>
    <w:rsid w:val="7B9147B3"/>
    <w:rsid w:val="7BAB0D70"/>
    <w:rsid w:val="7BAC1017"/>
    <w:rsid w:val="7BB06C82"/>
    <w:rsid w:val="7BC5015F"/>
    <w:rsid w:val="7BD953F2"/>
    <w:rsid w:val="7BDB40C8"/>
    <w:rsid w:val="7BE129E3"/>
    <w:rsid w:val="7BEE6EAE"/>
    <w:rsid w:val="7BFC639E"/>
    <w:rsid w:val="7BFE4AD0"/>
    <w:rsid w:val="7C1060A4"/>
    <w:rsid w:val="7C212B16"/>
    <w:rsid w:val="7C2C55ED"/>
    <w:rsid w:val="7C344D27"/>
    <w:rsid w:val="7C417667"/>
    <w:rsid w:val="7C5F7DAC"/>
    <w:rsid w:val="7C6034EF"/>
    <w:rsid w:val="7C605FFE"/>
    <w:rsid w:val="7C6929D9"/>
    <w:rsid w:val="7C8408F5"/>
    <w:rsid w:val="7C8F3841"/>
    <w:rsid w:val="7C927737"/>
    <w:rsid w:val="7CA03619"/>
    <w:rsid w:val="7CC57201"/>
    <w:rsid w:val="7CC940C8"/>
    <w:rsid w:val="7CCA16C9"/>
    <w:rsid w:val="7CE055BA"/>
    <w:rsid w:val="7CE72D65"/>
    <w:rsid w:val="7CEB12A8"/>
    <w:rsid w:val="7CF12392"/>
    <w:rsid w:val="7CFC1051"/>
    <w:rsid w:val="7CFF4DE5"/>
    <w:rsid w:val="7D095941"/>
    <w:rsid w:val="7D146269"/>
    <w:rsid w:val="7D15058B"/>
    <w:rsid w:val="7D157DA1"/>
    <w:rsid w:val="7D204AD7"/>
    <w:rsid w:val="7D213138"/>
    <w:rsid w:val="7D2521B2"/>
    <w:rsid w:val="7D27783F"/>
    <w:rsid w:val="7D317598"/>
    <w:rsid w:val="7D3230DC"/>
    <w:rsid w:val="7D353F3A"/>
    <w:rsid w:val="7D364FB1"/>
    <w:rsid w:val="7D3B25EC"/>
    <w:rsid w:val="7D3D4761"/>
    <w:rsid w:val="7D4172EA"/>
    <w:rsid w:val="7D4D08D5"/>
    <w:rsid w:val="7D551F58"/>
    <w:rsid w:val="7D5611AF"/>
    <w:rsid w:val="7D6A282B"/>
    <w:rsid w:val="7D7405B4"/>
    <w:rsid w:val="7D8775BA"/>
    <w:rsid w:val="7D8D7458"/>
    <w:rsid w:val="7D9046C1"/>
    <w:rsid w:val="7DB042A2"/>
    <w:rsid w:val="7DB12F4A"/>
    <w:rsid w:val="7DB859C6"/>
    <w:rsid w:val="7DDD0D5C"/>
    <w:rsid w:val="7DF04831"/>
    <w:rsid w:val="7DF22A1C"/>
    <w:rsid w:val="7DF806EE"/>
    <w:rsid w:val="7DFC3B04"/>
    <w:rsid w:val="7E091328"/>
    <w:rsid w:val="7E0E1134"/>
    <w:rsid w:val="7E282CD5"/>
    <w:rsid w:val="7E3672A9"/>
    <w:rsid w:val="7E4618EE"/>
    <w:rsid w:val="7E49452F"/>
    <w:rsid w:val="7E4D2A1C"/>
    <w:rsid w:val="7E505923"/>
    <w:rsid w:val="7E577B57"/>
    <w:rsid w:val="7E580EA1"/>
    <w:rsid w:val="7E5E656D"/>
    <w:rsid w:val="7E7A400D"/>
    <w:rsid w:val="7E852C8D"/>
    <w:rsid w:val="7E872237"/>
    <w:rsid w:val="7E873820"/>
    <w:rsid w:val="7E8C3F75"/>
    <w:rsid w:val="7E980219"/>
    <w:rsid w:val="7E9832EF"/>
    <w:rsid w:val="7EA80241"/>
    <w:rsid w:val="7EAB6E1B"/>
    <w:rsid w:val="7EAC234E"/>
    <w:rsid w:val="7ED76DD4"/>
    <w:rsid w:val="7EE354CD"/>
    <w:rsid w:val="7EF23159"/>
    <w:rsid w:val="7EF2624D"/>
    <w:rsid w:val="7F04556E"/>
    <w:rsid w:val="7F06366D"/>
    <w:rsid w:val="7F0709B3"/>
    <w:rsid w:val="7F13011A"/>
    <w:rsid w:val="7F2869A1"/>
    <w:rsid w:val="7F5456A0"/>
    <w:rsid w:val="7F5C0130"/>
    <w:rsid w:val="7F6F0C30"/>
    <w:rsid w:val="7F79289E"/>
    <w:rsid w:val="7F814DD6"/>
    <w:rsid w:val="7F8B73C1"/>
    <w:rsid w:val="7F8F1F7C"/>
    <w:rsid w:val="7F9228BA"/>
    <w:rsid w:val="7FA02BB5"/>
    <w:rsid w:val="7FA30658"/>
    <w:rsid w:val="7FA8445B"/>
    <w:rsid w:val="7FCA114D"/>
    <w:rsid w:val="7FD338C7"/>
    <w:rsid w:val="7FD422E4"/>
    <w:rsid w:val="7FD60385"/>
    <w:rsid w:val="7FFB5FCD"/>
    <w:rsid w:val="AFEB971F"/>
    <w:rsid w:val="BE9EC712"/>
    <w:rsid w:val="FFFD503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semiHidden="0"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3">
    <w:name w:val="heading 1"/>
    <w:basedOn w:val="1"/>
    <w:next w:val="1"/>
    <w:link w:val="296"/>
    <w:qFormat/>
    <w:uiPriority w:val="0"/>
    <w:pPr>
      <w:keepNext/>
      <w:keepLines/>
      <w:numPr>
        <w:ilvl w:val="0"/>
        <w:numId w:val="1"/>
      </w:numPr>
      <w:spacing w:before="340" w:after="330" w:line="578" w:lineRule="auto"/>
      <w:jc w:val="center"/>
      <w:outlineLvl w:val="0"/>
    </w:pPr>
    <w:rPr>
      <w:b/>
      <w:bCs/>
      <w:kern w:val="44"/>
      <w:sz w:val="32"/>
      <w:szCs w:val="44"/>
    </w:rPr>
  </w:style>
  <w:style w:type="paragraph" w:styleId="14">
    <w:name w:val="heading 2"/>
    <w:basedOn w:val="1"/>
    <w:next w:val="1"/>
    <w:link w:val="8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15">
    <w:name w:val="heading 3"/>
    <w:basedOn w:val="1"/>
    <w:next w:val="1"/>
    <w:link w:val="119"/>
    <w:qFormat/>
    <w:uiPriority w:val="0"/>
    <w:pPr>
      <w:keepNext/>
      <w:keepLines/>
      <w:numPr>
        <w:ilvl w:val="2"/>
        <w:numId w:val="1"/>
      </w:numPr>
      <w:spacing w:before="260" w:after="260" w:line="416" w:lineRule="auto"/>
      <w:outlineLvl w:val="2"/>
    </w:pPr>
    <w:rPr>
      <w:b/>
      <w:bCs/>
      <w:sz w:val="32"/>
      <w:szCs w:val="32"/>
    </w:rPr>
  </w:style>
  <w:style w:type="paragraph" w:styleId="16">
    <w:name w:val="heading 4"/>
    <w:basedOn w:val="1"/>
    <w:next w:val="1"/>
    <w:link w:val="157"/>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17">
    <w:name w:val="heading 5"/>
    <w:basedOn w:val="1"/>
    <w:next w:val="1"/>
    <w:link w:val="109"/>
    <w:qFormat/>
    <w:uiPriority w:val="0"/>
    <w:pPr>
      <w:keepNext/>
      <w:keepLines/>
      <w:numPr>
        <w:ilvl w:val="4"/>
        <w:numId w:val="1"/>
      </w:numPr>
      <w:spacing w:before="280" w:after="290" w:line="376" w:lineRule="auto"/>
      <w:outlineLvl w:val="4"/>
    </w:pPr>
    <w:rPr>
      <w:b/>
      <w:bCs/>
      <w:sz w:val="28"/>
      <w:szCs w:val="28"/>
    </w:rPr>
  </w:style>
  <w:style w:type="paragraph" w:styleId="18">
    <w:name w:val="heading 6"/>
    <w:basedOn w:val="1"/>
    <w:next w:val="1"/>
    <w:link w:val="95"/>
    <w:qFormat/>
    <w:uiPriority w:val="0"/>
    <w:pPr>
      <w:keepNext/>
      <w:keepLines/>
      <w:numPr>
        <w:ilvl w:val="5"/>
        <w:numId w:val="1"/>
      </w:numPr>
      <w:spacing w:before="240" w:after="64" w:line="320" w:lineRule="auto"/>
      <w:outlineLvl w:val="5"/>
    </w:pPr>
    <w:rPr>
      <w:rFonts w:ascii="Cambria" w:hAnsi="Cambria"/>
      <w:b/>
      <w:bCs/>
      <w:sz w:val="24"/>
    </w:rPr>
  </w:style>
  <w:style w:type="paragraph" w:styleId="19">
    <w:name w:val="heading 7"/>
    <w:basedOn w:val="1"/>
    <w:next w:val="1"/>
    <w:link w:val="150"/>
    <w:qFormat/>
    <w:uiPriority w:val="0"/>
    <w:pPr>
      <w:keepNext/>
      <w:keepLines/>
      <w:numPr>
        <w:ilvl w:val="6"/>
        <w:numId w:val="1"/>
      </w:numPr>
      <w:spacing w:before="240" w:after="64" w:line="320" w:lineRule="auto"/>
      <w:outlineLvl w:val="6"/>
    </w:pPr>
    <w:rPr>
      <w:b/>
      <w:bCs/>
      <w:sz w:val="24"/>
    </w:rPr>
  </w:style>
  <w:style w:type="paragraph" w:styleId="20">
    <w:name w:val="heading 8"/>
    <w:basedOn w:val="1"/>
    <w:next w:val="1"/>
    <w:link w:val="135"/>
    <w:qFormat/>
    <w:uiPriority w:val="0"/>
    <w:pPr>
      <w:keepNext/>
      <w:keepLines/>
      <w:numPr>
        <w:ilvl w:val="7"/>
        <w:numId w:val="1"/>
      </w:numPr>
      <w:spacing w:before="240" w:after="64" w:line="320" w:lineRule="auto"/>
      <w:outlineLvl w:val="7"/>
    </w:pPr>
    <w:rPr>
      <w:rFonts w:ascii="Cambria" w:hAnsi="Cambria"/>
      <w:sz w:val="24"/>
    </w:rPr>
  </w:style>
  <w:style w:type="paragraph" w:styleId="21">
    <w:name w:val="heading 9"/>
    <w:basedOn w:val="1"/>
    <w:next w:val="1"/>
    <w:link w:val="113"/>
    <w:qFormat/>
    <w:uiPriority w:val="0"/>
    <w:pPr>
      <w:keepNext/>
      <w:keepLines/>
      <w:numPr>
        <w:ilvl w:val="8"/>
        <w:numId w:val="1"/>
      </w:numPr>
      <w:spacing w:before="240" w:after="64" w:line="320" w:lineRule="auto"/>
      <w:outlineLvl w:val="8"/>
    </w:pPr>
    <w:rPr>
      <w:rFonts w:ascii="Cambria" w:hAnsi="Cambria"/>
      <w:szCs w:val="21"/>
    </w:rPr>
  </w:style>
  <w:style w:type="character" w:default="1" w:styleId="60">
    <w:name w:val="Default Paragraph Font"/>
    <w:semiHidden/>
    <w:unhideWhenUsed/>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customStyle="1" w:styleId="2">
    <w:name w:val="段"/>
    <w:basedOn w:val="3"/>
    <w:next w:val="1"/>
    <w:qFormat/>
    <w:uiPriority w:val="0"/>
    <w:pPr>
      <w:widowControl/>
      <w:autoSpaceDE w:val="0"/>
      <w:autoSpaceDN w:val="0"/>
      <w:ind w:firstLine="200" w:firstLineChars="200"/>
    </w:pPr>
    <w:rPr>
      <w:rFonts w:hint="eastAsia" w:ascii="宋体"/>
    </w:rPr>
  </w:style>
  <w:style w:type="paragraph" w:customStyle="1" w:styleId="3">
    <w:name w:val="正文1"/>
    <w:next w:val="4"/>
    <w:qFormat/>
    <w:uiPriority w:val="0"/>
    <w:pPr>
      <w:widowControl w:val="0"/>
      <w:jc w:val="both"/>
    </w:pPr>
    <w:rPr>
      <w:rFonts w:ascii="Calibri" w:hAnsi="Calibri" w:eastAsia="宋体" w:cs="Times New Roman"/>
      <w:lang w:val="en-US" w:eastAsia="zh-CN" w:bidi="ar-SA"/>
    </w:rPr>
  </w:style>
  <w:style w:type="paragraph" w:customStyle="1" w:styleId="4">
    <w:name w:val="正文文本1"/>
    <w:basedOn w:val="5"/>
    <w:next w:val="11"/>
    <w:qFormat/>
    <w:uiPriority w:val="0"/>
    <w:rPr>
      <w:rFonts w:ascii="楷体_GB2312" w:hAnsi="Arial" w:eastAsia="楷体_GB2312"/>
      <w:sz w:val="28"/>
      <w:szCs w:val="28"/>
    </w:rPr>
  </w:style>
  <w:style w:type="paragraph" w:customStyle="1" w:styleId="5">
    <w:name w:val="正文111"/>
    <w:next w:val="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6">
    <w:name w:val="正文文本缩进1"/>
    <w:basedOn w:val="7"/>
    <w:next w:val="10"/>
    <w:qFormat/>
    <w:uiPriority w:val="0"/>
    <w:pPr>
      <w:spacing w:after="120"/>
      <w:ind w:left="420"/>
    </w:pPr>
  </w:style>
  <w:style w:type="paragraph" w:customStyle="1" w:styleId="7">
    <w:name w:val="正文11"/>
    <w:next w:val="8"/>
    <w:qFormat/>
    <w:uiPriority w:val="0"/>
    <w:rPr>
      <w:rFonts w:ascii="Calibri" w:hAnsi="Calibri" w:eastAsia="宋体" w:cs="Calibri"/>
      <w:sz w:val="24"/>
      <w:szCs w:val="24"/>
      <w:lang w:val="en-US" w:eastAsia="zh-CN" w:bidi="ar-SA"/>
    </w:rPr>
  </w:style>
  <w:style w:type="paragraph" w:customStyle="1" w:styleId="8">
    <w:name w:val="文本块1"/>
    <w:basedOn w:val="5"/>
    <w:next w:val="9"/>
    <w:qFormat/>
    <w:uiPriority w:val="0"/>
    <w:pPr>
      <w:ind w:left="256" w:right="6" w:firstLine="624"/>
    </w:pPr>
    <w:rPr>
      <w:rFonts w:eastAsia="仿宋_GB2312"/>
      <w:sz w:val="28"/>
    </w:rPr>
  </w:style>
  <w:style w:type="paragraph" w:customStyle="1" w:styleId="9">
    <w:name w:val="标题 41"/>
    <w:basedOn w:val="7"/>
    <w:next w:val="7"/>
    <w:qFormat/>
    <w:uiPriority w:val="0"/>
    <w:pPr>
      <w:keepNext/>
      <w:keepLines/>
      <w:spacing w:before="280" w:after="290" w:line="376" w:lineRule="auto"/>
      <w:outlineLvl w:val="3"/>
    </w:pPr>
    <w:rPr>
      <w:rFonts w:ascii="Cambria" w:hAnsi="Cambria"/>
      <w:b/>
      <w:bCs/>
      <w:sz w:val="28"/>
      <w:szCs w:val="28"/>
    </w:rPr>
  </w:style>
  <w:style w:type="paragraph" w:customStyle="1" w:styleId="10">
    <w:name w:val="寄信人地址1"/>
    <w:basedOn w:val="1"/>
    <w:qFormat/>
    <w:uiPriority w:val="0"/>
    <w:rPr>
      <w:rFonts w:ascii="Arial" w:hAnsi="Arial"/>
    </w:rPr>
  </w:style>
  <w:style w:type="paragraph" w:customStyle="1" w:styleId="11">
    <w:name w:val="一级条标题"/>
    <w:basedOn w:val="12"/>
    <w:next w:val="2"/>
    <w:qFormat/>
    <w:uiPriority w:val="0"/>
    <w:pPr>
      <w:tabs>
        <w:tab w:val="left" w:pos="810"/>
        <w:tab w:val="left" w:pos="907"/>
        <w:tab w:val="left" w:pos="1265"/>
      </w:tabs>
      <w:spacing w:before="0" w:after="0"/>
      <w:ind w:left="907" w:hanging="907"/>
      <w:outlineLvl w:val="2"/>
    </w:pPr>
    <w:rPr>
      <w:rFonts w:hAnsi="宋体"/>
      <w:kern w:val="0"/>
      <w:sz w:val="20"/>
      <w:szCs w:val="20"/>
    </w:rPr>
  </w:style>
  <w:style w:type="paragraph" w:customStyle="1" w:styleId="12">
    <w:name w:val="章标题"/>
    <w:next w:val="1"/>
    <w:qFormat/>
    <w:uiPriority w:val="0"/>
    <w:pPr>
      <w:tabs>
        <w:tab w:val="left" w:pos="810"/>
        <w:tab w:val="left" w:pos="1265"/>
      </w:tabs>
      <w:spacing w:before="50" w:after="50"/>
      <w:ind w:left="810" w:hanging="810"/>
      <w:jc w:val="both"/>
      <w:outlineLvl w:val="1"/>
    </w:pPr>
    <w:rPr>
      <w:rFonts w:ascii="黑体" w:hAnsi="Times New Roman" w:eastAsia="黑体" w:cs="Times New Roman"/>
      <w:kern w:val="2"/>
      <w:sz w:val="21"/>
      <w:szCs w:val="22"/>
      <w:lang w:val="en-US" w:eastAsia="zh-CN" w:bidi="ar-SA"/>
    </w:rPr>
  </w:style>
  <w:style w:type="paragraph" w:styleId="22">
    <w:name w:val="List 3"/>
    <w:basedOn w:val="1"/>
    <w:unhideWhenUsed/>
    <w:qFormat/>
    <w:uiPriority w:val="99"/>
    <w:pPr>
      <w:spacing w:before="100" w:beforeAutospacing="1" w:after="100" w:afterAutospacing="1"/>
      <w:ind w:left="1260" w:hanging="420"/>
    </w:pPr>
    <w:rPr>
      <w:szCs w:val="21"/>
    </w:rPr>
  </w:style>
  <w:style w:type="paragraph" w:styleId="23">
    <w:name w:val="toc 7"/>
    <w:basedOn w:val="1"/>
    <w:next w:val="1"/>
    <w:unhideWhenUsed/>
    <w:qFormat/>
    <w:uiPriority w:val="39"/>
    <w:pPr>
      <w:ind w:left="2520" w:leftChars="1200"/>
    </w:pPr>
    <w:rPr>
      <w:rFonts w:ascii="Calibri" w:hAnsi="Calibri"/>
      <w:szCs w:val="22"/>
    </w:rPr>
  </w:style>
  <w:style w:type="paragraph" w:styleId="24">
    <w:name w:val="List Number"/>
    <w:basedOn w:val="1"/>
    <w:qFormat/>
    <w:uiPriority w:val="0"/>
    <w:pPr>
      <w:numPr>
        <w:ilvl w:val="0"/>
        <w:numId w:val="2"/>
      </w:numPr>
      <w:contextualSpacing/>
    </w:pPr>
    <w:rPr>
      <w:rFonts w:ascii="Calibri" w:hAnsi="Calibri"/>
    </w:rPr>
  </w:style>
  <w:style w:type="paragraph" w:styleId="25">
    <w:name w:val="Normal Indent"/>
    <w:basedOn w:val="1"/>
    <w:link w:val="237"/>
    <w:qFormat/>
    <w:uiPriority w:val="0"/>
    <w:pPr>
      <w:ind w:firstLine="420"/>
    </w:pPr>
    <w:rPr>
      <w:b/>
      <w:sz w:val="24"/>
      <w:szCs w:val="20"/>
    </w:rPr>
  </w:style>
  <w:style w:type="paragraph" w:styleId="26">
    <w:name w:val="caption"/>
    <w:basedOn w:val="1"/>
    <w:next w:val="1"/>
    <w:qFormat/>
    <w:uiPriority w:val="0"/>
    <w:rPr>
      <w:rFonts w:ascii="Cambria" w:hAnsi="Cambria" w:eastAsia="黑体"/>
      <w:sz w:val="20"/>
      <w:szCs w:val="22"/>
    </w:rPr>
  </w:style>
  <w:style w:type="paragraph" w:styleId="27">
    <w:name w:val="Document Map"/>
    <w:basedOn w:val="1"/>
    <w:link w:val="103"/>
    <w:qFormat/>
    <w:uiPriority w:val="0"/>
    <w:rPr>
      <w:rFonts w:ascii="宋体"/>
      <w:sz w:val="18"/>
      <w:szCs w:val="18"/>
    </w:rPr>
  </w:style>
  <w:style w:type="paragraph" w:styleId="28">
    <w:name w:val="annotation text"/>
    <w:basedOn w:val="1"/>
    <w:link w:val="127"/>
    <w:qFormat/>
    <w:uiPriority w:val="0"/>
    <w:pPr>
      <w:jc w:val="left"/>
    </w:pPr>
  </w:style>
  <w:style w:type="paragraph" w:styleId="29">
    <w:name w:val="Body Text 3"/>
    <w:basedOn w:val="1"/>
    <w:link w:val="146"/>
    <w:qFormat/>
    <w:uiPriority w:val="0"/>
    <w:rPr>
      <w:rFonts w:ascii="宋体"/>
      <w:sz w:val="24"/>
      <w:szCs w:val="20"/>
    </w:rPr>
  </w:style>
  <w:style w:type="paragraph" w:styleId="30">
    <w:name w:val="Body Text"/>
    <w:basedOn w:val="1"/>
    <w:next w:val="1"/>
    <w:link w:val="134"/>
    <w:qFormat/>
    <w:uiPriority w:val="0"/>
    <w:pPr>
      <w:jc w:val="center"/>
    </w:pPr>
    <w:rPr>
      <w:rFonts w:eastAsia="幼圆"/>
      <w:b/>
      <w:bCs/>
      <w:sz w:val="44"/>
    </w:rPr>
  </w:style>
  <w:style w:type="paragraph" w:styleId="31">
    <w:name w:val="Body Text Indent"/>
    <w:basedOn w:val="1"/>
    <w:link w:val="90"/>
    <w:qFormat/>
    <w:uiPriority w:val="0"/>
    <w:pPr>
      <w:spacing w:after="120"/>
      <w:ind w:left="420" w:leftChars="200"/>
    </w:pPr>
  </w:style>
  <w:style w:type="paragraph" w:styleId="32">
    <w:name w:val="Block Text"/>
    <w:basedOn w:val="1"/>
    <w:next w:val="1"/>
    <w:unhideWhenUsed/>
    <w:qFormat/>
    <w:uiPriority w:val="99"/>
    <w:pPr>
      <w:spacing w:after="120"/>
      <w:ind w:left="1440" w:leftChars="700" w:right="1440" w:rightChars="700"/>
    </w:pPr>
  </w:style>
  <w:style w:type="paragraph" w:styleId="33">
    <w:name w:val="index 4"/>
    <w:basedOn w:val="1"/>
    <w:next w:val="1"/>
    <w:qFormat/>
    <w:uiPriority w:val="0"/>
    <w:pPr>
      <w:ind w:left="600" w:leftChars="600"/>
    </w:pPr>
    <w:rPr>
      <w:rFonts w:ascii="Calibri" w:hAnsi="Calibri"/>
    </w:rPr>
  </w:style>
  <w:style w:type="paragraph" w:styleId="34">
    <w:name w:val="toc 5"/>
    <w:basedOn w:val="1"/>
    <w:next w:val="1"/>
    <w:unhideWhenUsed/>
    <w:qFormat/>
    <w:uiPriority w:val="39"/>
    <w:pPr>
      <w:ind w:left="1680" w:leftChars="800"/>
    </w:pPr>
    <w:rPr>
      <w:rFonts w:ascii="Calibri" w:hAnsi="Calibri"/>
      <w:szCs w:val="22"/>
    </w:rPr>
  </w:style>
  <w:style w:type="paragraph" w:styleId="35">
    <w:name w:val="toc 3"/>
    <w:basedOn w:val="1"/>
    <w:next w:val="1"/>
    <w:qFormat/>
    <w:uiPriority w:val="39"/>
    <w:pPr>
      <w:ind w:left="840" w:leftChars="400"/>
    </w:pPr>
    <w:rPr>
      <w:rFonts w:ascii="Calibri" w:hAnsi="Calibri"/>
      <w:szCs w:val="22"/>
    </w:rPr>
  </w:style>
  <w:style w:type="paragraph" w:styleId="36">
    <w:name w:val="Plain Text"/>
    <w:basedOn w:val="1"/>
    <w:link w:val="96"/>
    <w:qFormat/>
    <w:uiPriority w:val="0"/>
    <w:rPr>
      <w:rFonts w:ascii="Ari"/>
    </w:rPr>
  </w:style>
  <w:style w:type="paragraph" w:styleId="37">
    <w:name w:val="toc 8"/>
    <w:basedOn w:val="1"/>
    <w:next w:val="1"/>
    <w:unhideWhenUsed/>
    <w:qFormat/>
    <w:uiPriority w:val="39"/>
    <w:pPr>
      <w:ind w:left="2940" w:leftChars="1400"/>
    </w:pPr>
    <w:rPr>
      <w:rFonts w:ascii="Calibri" w:hAnsi="Calibri"/>
      <w:szCs w:val="22"/>
    </w:rPr>
  </w:style>
  <w:style w:type="paragraph" w:styleId="38">
    <w:name w:val="Date"/>
    <w:basedOn w:val="1"/>
    <w:next w:val="1"/>
    <w:link w:val="104"/>
    <w:unhideWhenUsed/>
    <w:qFormat/>
    <w:uiPriority w:val="0"/>
  </w:style>
  <w:style w:type="paragraph" w:styleId="39">
    <w:name w:val="Body Text Indent 2"/>
    <w:basedOn w:val="1"/>
    <w:link w:val="126"/>
    <w:unhideWhenUsed/>
    <w:qFormat/>
    <w:uiPriority w:val="99"/>
    <w:pPr>
      <w:spacing w:line="420" w:lineRule="exact"/>
      <w:ind w:firstLine="525"/>
    </w:pPr>
    <w:rPr>
      <w:rFonts w:ascii="宋体"/>
      <w:kern w:val="0"/>
      <w:sz w:val="20"/>
      <w:szCs w:val="20"/>
    </w:rPr>
  </w:style>
  <w:style w:type="paragraph" w:styleId="40">
    <w:name w:val="Balloon Text"/>
    <w:basedOn w:val="1"/>
    <w:link w:val="149"/>
    <w:qFormat/>
    <w:uiPriority w:val="0"/>
    <w:rPr>
      <w:sz w:val="18"/>
      <w:szCs w:val="18"/>
    </w:rPr>
  </w:style>
  <w:style w:type="paragraph" w:styleId="41">
    <w:name w:val="footer"/>
    <w:basedOn w:val="1"/>
    <w:link w:val="139"/>
    <w:qFormat/>
    <w:uiPriority w:val="99"/>
    <w:pPr>
      <w:tabs>
        <w:tab w:val="center" w:pos="4153"/>
        <w:tab w:val="right" w:pos="8306"/>
      </w:tabs>
      <w:snapToGrid w:val="0"/>
      <w:jc w:val="left"/>
    </w:pPr>
    <w:rPr>
      <w:sz w:val="18"/>
      <w:szCs w:val="18"/>
    </w:rPr>
  </w:style>
  <w:style w:type="paragraph" w:styleId="42">
    <w:name w:val="envelope return"/>
    <w:basedOn w:val="1"/>
    <w:qFormat/>
    <w:uiPriority w:val="0"/>
    <w:pPr>
      <w:snapToGrid w:val="0"/>
    </w:pPr>
    <w:rPr>
      <w:rFonts w:ascii="Arial" w:hAnsi="Arial"/>
    </w:rPr>
  </w:style>
  <w:style w:type="paragraph" w:styleId="43">
    <w:name w:val="header"/>
    <w:basedOn w:val="1"/>
    <w:link w:val="94"/>
    <w:qFormat/>
    <w:uiPriority w:val="0"/>
    <w:pPr>
      <w:pBdr>
        <w:bottom w:val="single" w:color="auto" w:sz="6" w:space="1"/>
      </w:pBdr>
      <w:tabs>
        <w:tab w:val="center" w:pos="4153"/>
        <w:tab w:val="right" w:pos="8306"/>
      </w:tabs>
      <w:snapToGrid w:val="0"/>
      <w:jc w:val="center"/>
    </w:pPr>
    <w:rPr>
      <w:sz w:val="18"/>
      <w:szCs w:val="18"/>
    </w:rPr>
  </w:style>
  <w:style w:type="paragraph" w:styleId="44">
    <w:name w:val="toc 1"/>
    <w:basedOn w:val="1"/>
    <w:next w:val="1"/>
    <w:qFormat/>
    <w:uiPriority w:val="39"/>
  </w:style>
  <w:style w:type="paragraph" w:styleId="45">
    <w:name w:val="toc 4"/>
    <w:basedOn w:val="1"/>
    <w:next w:val="1"/>
    <w:unhideWhenUsed/>
    <w:qFormat/>
    <w:uiPriority w:val="39"/>
    <w:pPr>
      <w:ind w:left="1260" w:leftChars="600"/>
    </w:pPr>
    <w:rPr>
      <w:rFonts w:ascii="Calibri" w:hAnsi="Calibri"/>
      <w:szCs w:val="22"/>
    </w:rPr>
  </w:style>
  <w:style w:type="paragraph" w:styleId="46">
    <w:name w:val="Subtitle"/>
    <w:basedOn w:val="1"/>
    <w:next w:val="1"/>
    <w:link w:val="122"/>
    <w:qFormat/>
    <w:uiPriority w:val="0"/>
    <w:pPr>
      <w:spacing w:before="240" w:after="60" w:line="312" w:lineRule="auto"/>
      <w:jc w:val="center"/>
      <w:outlineLvl w:val="1"/>
    </w:pPr>
    <w:rPr>
      <w:rFonts w:ascii="Cambria" w:hAnsi="Cambria"/>
      <w:b/>
      <w:bCs/>
      <w:kern w:val="28"/>
      <w:sz w:val="32"/>
      <w:szCs w:val="32"/>
    </w:rPr>
  </w:style>
  <w:style w:type="paragraph" w:styleId="47">
    <w:name w:val="toc 6"/>
    <w:basedOn w:val="1"/>
    <w:next w:val="1"/>
    <w:unhideWhenUsed/>
    <w:qFormat/>
    <w:uiPriority w:val="39"/>
    <w:pPr>
      <w:ind w:left="2100" w:leftChars="1000"/>
    </w:pPr>
    <w:rPr>
      <w:rFonts w:ascii="Calibri" w:hAnsi="Calibri"/>
      <w:szCs w:val="22"/>
    </w:rPr>
  </w:style>
  <w:style w:type="paragraph" w:styleId="48">
    <w:name w:val="Body Text Indent 3"/>
    <w:basedOn w:val="1"/>
    <w:link w:val="147"/>
    <w:qFormat/>
    <w:uiPriority w:val="0"/>
    <w:pPr>
      <w:spacing w:after="120"/>
      <w:ind w:left="420" w:leftChars="200"/>
    </w:pPr>
    <w:rPr>
      <w:sz w:val="16"/>
      <w:szCs w:val="20"/>
    </w:rPr>
  </w:style>
  <w:style w:type="paragraph" w:styleId="49">
    <w:name w:val="toc 2"/>
    <w:basedOn w:val="1"/>
    <w:next w:val="1"/>
    <w:qFormat/>
    <w:uiPriority w:val="39"/>
    <w:pPr>
      <w:ind w:left="420" w:leftChars="200"/>
    </w:pPr>
    <w:rPr>
      <w:rFonts w:ascii="Calibri" w:hAnsi="Calibri"/>
      <w:szCs w:val="22"/>
    </w:rPr>
  </w:style>
  <w:style w:type="paragraph" w:styleId="50">
    <w:name w:val="toc 9"/>
    <w:basedOn w:val="1"/>
    <w:next w:val="1"/>
    <w:unhideWhenUsed/>
    <w:qFormat/>
    <w:uiPriority w:val="39"/>
    <w:pPr>
      <w:ind w:left="3360" w:leftChars="1600"/>
    </w:pPr>
    <w:rPr>
      <w:rFonts w:ascii="Calibri" w:hAnsi="Calibri"/>
      <w:szCs w:val="22"/>
    </w:rPr>
  </w:style>
  <w:style w:type="paragraph" w:styleId="51">
    <w:name w:val="HTML Preformatted"/>
    <w:basedOn w:val="1"/>
    <w:link w:val="23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52">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53">
    <w:name w:val="index 1"/>
    <w:basedOn w:val="1"/>
    <w:next w:val="1"/>
    <w:qFormat/>
    <w:uiPriority w:val="0"/>
    <w:pPr>
      <w:spacing w:line="220" w:lineRule="exact"/>
      <w:jc w:val="center"/>
    </w:pPr>
    <w:rPr>
      <w:rFonts w:ascii="仿宋_GB2312" w:hAnsi="Calibri" w:eastAsia="仿宋_GB2312"/>
      <w:szCs w:val="22"/>
    </w:rPr>
  </w:style>
  <w:style w:type="paragraph" w:styleId="54">
    <w:name w:val="Title"/>
    <w:basedOn w:val="1"/>
    <w:link w:val="99"/>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55">
    <w:name w:val="annotation subject"/>
    <w:basedOn w:val="28"/>
    <w:next w:val="28"/>
    <w:link w:val="137"/>
    <w:qFormat/>
    <w:uiPriority w:val="0"/>
    <w:rPr>
      <w:b/>
      <w:bCs/>
    </w:rPr>
  </w:style>
  <w:style w:type="paragraph" w:styleId="56">
    <w:name w:val="Body Text First Indent"/>
    <w:basedOn w:val="30"/>
    <w:unhideWhenUsed/>
    <w:qFormat/>
    <w:uiPriority w:val="99"/>
    <w:pPr>
      <w:spacing w:line="400" w:lineRule="atLeast"/>
      <w:ind w:firstLine="426"/>
    </w:pPr>
    <w:rPr>
      <w:sz w:val="24"/>
      <w:szCs w:val="20"/>
    </w:rPr>
  </w:style>
  <w:style w:type="paragraph" w:styleId="57">
    <w:name w:val="Body Text First Indent 2"/>
    <w:basedOn w:val="31"/>
    <w:unhideWhenUsed/>
    <w:qFormat/>
    <w:uiPriority w:val="99"/>
    <w:pPr>
      <w:ind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basedOn w:val="60"/>
    <w:qFormat/>
    <w:uiPriority w:val="0"/>
    <w:rPr>
      <w:rFonts w:cs="Times New Roman"/>
      <w:b/>
    </w:rPr>
  </w:style>
  <w:style w:type="character" w:styleId="62">
    <w:name w:val="page number"/>
    <w:qFormat/>
    <w:uiPriority w:val="0"/>
    <w:rPr>
      <w:rFonts w:eastAsia="宋体"/>
      <w:b/>
      <w:spacing w:val="0"/>
      <w:kern w:val="2"/>
      <w:sz w:val="24"/>
      <w:szCs w:val="24"/>
      <w:vertAlign w:val="baseline"/>
      <w:lang w:val="en-US" w:eastAsia="zh-CN" w:bidi="ar-SA"/>
    </w:rPr>
  </w:style>
  <w:style w:type="character" w:styleId="63">
    <w:name w:val="FollowedHyperlink"/>
    <w:qFormat/>
    <w:uiPriority w:val="0"/>
    <w:rPr>
      <w:color w:val="800080"/>
      <w:u w:val="single"/>
    </w:rPr>
  </w:style>
  <w:style w:type="character" w:styleId="64">
    <w:name w:val="Emphasis"/>
    <w:basedOn w:val="60"/>
    <w:qFormat/>
    <w:uiPriority w:val="0"/>
    <w:rPr>
      <w:color w:val="CC0000"/>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HTML Cite"/>
    <w:qFormat/>
    <w:uiPriority w:val="0"/>
    <w:rPr>
      <w:color w:val="008000"/>
    </w:rPr>
  </w:style>
  <w:style w:type="paragraph" w:customStyle="1" w:styleId="68">
    <w:name w:val="首行缩进"/>
    <w:basedOn w:val="1"/>
    <w:qFormat/>
    <w:uiPriority w:val="0"/>
    <w:pPr>
      <w:spacing w:line="360" w:lineRule="auto"/>
      <w:ind w:firstLine="480" w:firstLineChars="200"/>
      <w:jc w:val="left"/>
    </w:pPr>
    <w:rPr>
      <w:rFonts w:ascii="宋体" w:hAnsi="宋体"/>
      <w:sz w:val="24"/>
    </w:rPr>
  </w:style>
  <w:style w:type="paragraph" w:customStyle="1" w:styleId="69">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70">
    <w:name w:val="报告正文"/>
    <w:basedOn w:val="1"/>
    <w:qFormat/>
    <w:uiPriority w:val="0"/>
    <w:pPr>
      <w:ind w:firstLine="560" w:firstLineChars="200"/>
    </w:pPr>
    <w:rPr>
      <w:szCs w:val="20"/>
      <w:lang w:val="zh-CN"/>
    </w:rPr>
  </w:style>
  <w:style w:type="paragraph" w:customStyle="1" w:styleId="7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2">
    <w:name w:val="Body Text First Indent 21"/>
    <w:basedOn w:val="73"/>
    <w:qFormat/>
    <w:uiPriority w:val="0"/>
    <w:pPr>
      <w:ind w:firstLine="420"/>
    </w:pPr>
  </w:style>
  <w:style w:type="paragraph" w:customStyle="1" w:styleId="73">
    <w:name w:val="Body Text Indent1"/>
    <w:basedOn w:val="1"/>
    <w:qFormat/>
    <w:uiPriority w:val="0"/>
    <w:pPr>
      <w:ind w:left="420" w:leftChars="200"/>
    </w:pPr>
  </w:style>
  <w:style w:type="paragraph" w:styleId="74">
    <w:name w:val="List Paragraph"/>
    <w:basedOn w:val="1"/>
    <w:link w:val="254"/>
    <w:qFormat/>
    <w:uiPriority w:val="99"/>
    <w:pPr>
      <w:ind w:firstLine="420" w:firstLineChars="200"/>
    </w:pPr>
  </w:style>
  <w:style w:type="character" w:customStyle="1" w:styleId="75">
    <w:name w:val="明显强调1"/>
    <w:qFormat/>
    <w:uiPriority w:val="0"/>
    <w:rPr>
      <w:b/>
      <w:bCs/>
      <w:i/>
      <w:iCs/>
      <w:color w:val="4F81BD"/>
    </w:rPr>
  </w:style>
  <w:style w:type="character" w:customStyle="1" w:styleId="76">
    <w:name w:val="批注文字 Char2"/>
    <w:qFormat/>
    <w:uiPriority w:val="0"/>
    <w:rPr>
      <w:kern w:val="2"/>
      <w:sz w:val="21"/>
    </w:rPr>
  </w:style>
  <w:style w:type="character" w:customStyle="1" w:styleId="77">
    <w:name w:val="标题 3 Char_0"/>
    <w:link w:val="78"/>
    <w:qFormat/>
    <w:uiPriority w:val="0"/>
    <w:rPr>
      <w:b/>
      <w:bCs/>
      <w:sz w:val="32"/>
      <w:szCs w:val="32"/>
    </w:rPr>
  </w:style>
  <w:style w:type="paragraph" w:customStyle="1" w:styleId="78">
    <w:name w:val="标题 3_0"/>
    <w:basedOn w:val="79"/>
    <w:next w:val="79"/>
    <w:link w:val="77"/>
    <w:qFormat/>
    <w:uiPriority w:val="0"/>
    <w:pPr>
      <w:keepNext/>
      <w:keepLines/>
      <w:spacing w:before="260" w:after="260" w:line="416" w:lineRule="auto"/>
      <w:outlineLvl w:val="2"/>
    </w:pPr>
    <w:rPr>
      <w:b/>
      <w:bCs/>
      <w:kern w:val="0"/>
      <w:sz w:val="32"/>
      <w:szCs w:val="32"/>
    </w:rPr>
  </w:style>
  <w:style w:type="paragraph" w:customStyle="1" w:styleId="79">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0">
    <w:name w:val="标题 2 字符"/>
    <w:link w:val="14"/>
    <w:qFormat/>
    <w:uiPriority w:val="0"/>
    <w:rPr>
      <w:rFonts w:ascii="Cambria" w:hAnsi="Cambria"/>
      <w:b/>
      <w:bCs/>
      <w:kern w:val="2"/>
      <w:sz w:val="32"/>
      <w:szCs w:val="32"/>
    </w:rPr>
  </w:style>
  <w:style w:type="character" w:customStyle="1" w:styleId="81">
    <w:name w:val="正文文本 Char2"/>
    <w:semiHidden/>
    <w:qFormat/>
    <w:uiPriority w:val="99"/>
    <w:rPr>
      <w:rFonts w:ascii="Calibri" w:hAnsi="Calibri" w:eastAsia="宋体" w:cs="Times New Roman"/>
    </w:rPr>
  </w:style>
  <w:style w:type="character" w:customStyle="1" w:styleId="82">
    <w:name w:val="页脚 Char1"/>
    <w:semiHidden/>
    <w:qFormat/>
    <w:uiPriority w:val="99"/>
    <w:rPr>
      <w:rFonts w:ascii="Calibri" w:hAnsi="Calibri" w:eastAsia="宋体" w:cs="Times New Roman"/>
      <w:sz w:val="18"/>
      <w:szCs w:val="18"/>
    </w:rPr>
  </w:style>
  <w:style w:type="character" w:customStyle="1" w:styleId="83">
    <w:name w:val="明显引用 Char2"/>
    <w:qFormat/>
    <w:uiPriority w:val="99"/>
    <w:rPr>
      <w:b/>
      <w:bCs/>
      <w:i/>
      <w:iCs/>
      <w:color w:val="4F81BD"/>
      <w:kern w:val="2"/>
      <w:sz w:val="21"/>
      <w:szCs w:val="24"/>
    </w:rPr>
  </w:style>
  <w:style w:type="character" w:customStyle="1" w:styleId="84">
    <w:name w:val="引用 Char"/>
    <w:link w:val="85"/>
    <w:qFormat/>
    <w:uiPriority w:val="0"/>
    <w:rPr>
      <w:i/>
      <w:iCs/>
      <w:color w:val="000000"/>
    </w:rPr>
  </w:style>
  <w:style w:type="paragraph" w:customStyle="1" w:styleId="85">
    <w:name w:val="引用1"/>
    <w:basedOn w:val="1"/>
    <w:next w:val="1"/>
    <w:link w:val="84"/>
    <w:qFormat/>
    <w:uiPriority w:val="0"/>
    <w:rPr>
      <w:i/>
      <w:iCs/>
      <w:color w:val="000000"/>
      <w:kern w:val="0"/>
      <w:sz w:val="20"/>
      <w:szCs w:val="20"/>
    </w:rPr>
  </w:style>
  <w:style w:type="character" w:customStyle="1" w:styleId="86">
    <w:name w:val="标题 1 Char_0"/>
    <w:link w:val="87"/>
    <w:qFormat/>
    <w:uiPriority w:val="0"/>
    <w:rPr>
      <w:b/>
      <w:bCs/>
      <w:kern w:val="44"/>
      <w:sz w:val="44"/>
      <w:szCs w:val="44"/>
    </w:rPr>
  </w:style>
  <w:style w:type="paragraph" w:customStyle="1" w:styleId="87">
    <w:name w:val="标题 1_0"/>
    <w:basedOn w:val="79"/>
    <w:next w:val="79"/>
    <w:link w:val="86"/>
    <w:qFormat/>
    <w:uiPriority w:val="0"/>
    <w:pPr>
      <w:keepNext/>
      <w:keepLines/>
      <w:spacing w:before="340" w:after="330" w:line="578" w:lineRule="auto"/>
      <w:outlineLvl w:val="0"/>
    </w:pPr>
    <w:rPr>
      <w:b/>
      <w:bCs/>
      <w:kern w:val="44"/>
      <w:sz w:val="44"/>
      <w:szCs w:val="44"/>
    </w:rPr>
  </w:style>
  <w:style w:type="character" w:customStyle="1" w:styleId="88">
    <w:name w:val="正文文本缩进 3 Char1"/>
    <w:semiHidden/>
    <w:qFormat/>
    <w:uiPriority w:val="99"/>
    <w:rPr>
      <w:kern w:val="2"/>
      <w:sz w:val="16"/>
      <w:szCs w:val="16"/>
    </w:rPr>
  </w:style>
  <w:style w:type="character" w:customStyle="1" w:styleId="89">
    <w:name w:val="引用 Char1"/>
    <w:qFormat/>
    <w:uiPriority w:val="29"/>
    <w:rPr>
      <w:i/>
      <w:iCs/>
      <w:color w:val="000000"/>
      <w:kern w:val="2"/>
      <w:sz w:val="21"/>
    </w:rPr>
  </w:style>
  <w:style w:type="character" w:customStyle="1" w:styleId="90">
    <w:name w:val="正文文本缩进 字符"/>
    <w:link w:val="31"/>
    <w:qFormat/>
    <w:uiPriority w:val="0"/>
    <w:rPr>
      <w:kern w:val="2"/>
      <w:sz w:val="21"/>
      <w:szCs w:val="24"/>
    </w:rPr>
  </w:style>
  <w:style w:type="character" w:customStyle="1" w:styleId="91">
    <w:name w:val="font161"/>
    <w:qFormat/>
    <w:uiPriority w:val="0"/>
    <w:rPr>
      <w:b/>
      <w:sz w:val="32"/>
    </w:rPr>
  </w:style>
  <w:style w:type="character" w:customStyle="1" w:styleId="92">
    <w:name w:val="标题 4 Char_0"/>
    <w:link w:val="93"/>
    <w:qFormat/>
    <w:uiPriority w:val="0"/>
    <w:rPr>
      <w:rFonts w:ascii="Arial" w:hAnsi="Arial" w:eastAsia="黑体"/>
      <w:b/>
      <w:bCs/>
      <w:sz w:val="28"/>
      <w:szCs w:val="28"/>
    </w:rPr>
  </w:style>
  <w:style w:type="paragraph" w:customStyle="1" w:styleId="93">
    <w:name w:val="标题 4_0"/>
    <w:basedOn w:val="79"/>
    <w:next w:val="79"/>
    <w:link w:val="92"/>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94">
    <w:name w:val="页眉 字符"/>
    <w:link w:val="43"/>
    <w:qFormat/>
    <w:uiPriority w:val="0"/>
    <w:rPr>
      <w:kern w:val="2"/>
      <w:sz w:val="18"/>
      <w:szCs w:val="18"/>
    </w:rPr>
  </w:style>
  <w:style w:type="character" w:customStyle="1" w:styleId="95">
    <w:name w:val="标题 6 字符"/>
    <w:link w:val="18"/>
    <w:qFormat/>
    <w:uiPriority w:val="0"/>
    <w:rPr>
      <w:rFonts w:ascii="Cambria" w:hAnsi="Cambria"/>
      <w:b/>
      <w:bCs/>
      <w:kern w:val="2"/>
      <w:sz w:val="24"/>
      <w:szCs w:val="24"/>
    </w:rPr>
  </w:style>
  <w:style w:type="character" w:customStyle="1" w:styleId="96">
    <w:name w:val="纯文本 字符"/>
    <w:link w:val="36"/>
    <w:qFormat/>
    <w:uiPriority w:val="99"/>
    <w:rPr>
      <w:rFonts w:ascii="Ari"/>
      <w:lang w:val="en-US" w:eastAsia="zh-CN" w:bidi="ar-SA"/>
    </w:rPr>
  </w:style>
  <w:style w:type="character" w:customStyle="1" w:styleId="97">
    <w:name w:val="引用 Char2"/>
    <w:qFormat/>
    <w:uiPriority w:val="99"/>
    <w:rPr>
      <w:i/>
      <w:iCs/>
      <w:color w:val="000000"/>
      <w:kern w:val="2"/>
      <w:sz w:val="21"/>
      <w:szCs w:val="24"/>
    </w:rPr>
  </w:style>
  <w:style w:type="character" w:customStyle="1" w:styleId="98">
    <w:name w:val="rvts11"/>
    <w:qFormat/>
    <w:uiPriority w:val="0"/>
    <w:rPr>
      <w:rFonts w:hint="default" w:ascii="KNLe" w:hAnsi="KNLe"/>
      <w:sz w:val="24"/>
      <w:szCs w:val="24"/>
      <w:u w:val="single"/>
    </w:rPr>
  </w:style>
  <w:style w:type="character" w:customStyle="1" w:styleId="99">
    <w:name w:val="标题 字符"/>
    <w:link w:val="54"/>
    <w:qFormat/>
    <w:uiPriority w:val="0"/>
    <w:rPr>
      <w:rFonts w:ascii="Arial" w:hAnsi="Arial"/>
      <w:b/>
      <w:sz w:val="32"/>
    </w:rPr>
  </w:style>
  <w:style w:type="character" w:customStyle="1" w:styleId="100">
    <w:name w:val="标题5 Char Char"/>
    <w:link w:val="101"/>
    <w:qFormat/>
    <w:uiPriority w:val="0"/>
    <w:rPr>
      <w:rFonts w:ascii="Arial" w:hAnsi="Arial"/>
      <w:b/>
      <w:bCs/>
      <w:sz w:val="24"/>
      <w:szCs w:val="32"/>
    </w:rPr>
  </w:style>
  <w:style w:type="paragraph" w:customStyle="1" w:styleId="101">
    <w:name w:val="标题5"/>
    <w:basedOn w:val="15"/>
    <w:link w:val="100"/>
    <w:qFormat/>
    <w:uiPriority w:val="0"/>
    <w:pPr>
      <w:numPr>
        <w:ilvl w:val="0"/>
        <w:numId w:val="0"/>
      </w:numPr>
      <w:spacing w:line="413" w:lineRule="auto"/>
    </w:pPr>
    <w:rPr>
      <w:rFonts w:ascii="Arial" w:hAnsi="Arial"/>
      <w:kern w:val="0"/>
      <w:sz w:val="24"/>
    </w:rPr>
  </w:style>
  <w:style w:type="character" w:customStyle="1" w:styleId="102">
    <w:name w:val="副标题 Char2"/>
    <w:qFormat/>
    <w:uiPriority w:val="11"/>
    <w:rPr>
      <w:rFonts w:ascii="Cambria" w:hAnsi="Cambria" w:cs="Times New Roman"/>
      <w:b/>
      <w:bCs/>
      <w:kern w:val="28"/>
      <w:sz w:val="32"/>
      <w:szCs w:val="32"/>
    </w:rPr>
  </w:style>
  <w:style w:type="character" w:customStyle="1" w:styleId="103">
    <w:name w:val="文档结构图 字符"/>
    <w:link w:val="27"/>
    <w:qFormat/>
    <w:uiPriority w:val="0"/>
    <w:rPr>
      <w:rFonts w:ascii="宋体"/>
      <w:kern w:val="2"/>
      <w:sz w:val="18"/>
      <w:szCs w:val="18"/>
    </w:rPr>
  </w:style>
  <w:style w:type="character" w:customStyle="1" w:styleId="104">
    <w:name w:val="日期 字符"/>
    <w:link w:val="38"/>
    <w:qFormat/>
    <w:uiPriority w:val="0"/>
    <w:rPr>
      <w:kern w:val="2"/>
      <w:sz w:val="21"/>
      <w:szCs w:val="24"/>
    </w:rPr>
  </w:style>
  <w:style w:type="character" w:customStyle="1" w:styleId="105">
    <w:name w:val="批注主题 Char1"/>
    <w:qFormat/>
    <w:uiPriority w:val="0"/>
    <w:rPr>
      <w:b/>
      <w:bCs/>
      <w:kern w:val="2"/>
      <w:sz w:val="21"/>
      <w:szCs w:val="22"/>
    </w:rPr>
  </w:style>
  <w:style w:type="character" w:customStyle="1" w:styleId="106">
    <w:name w:val="font31"/>
    <w:qFormat/>
    <w:uiPriority w:val="0"/>
    <w:rPr>
      <w:rFonts w:hint="eastAsia" w:ascii="宋体" w:hAnsi="宋体" w:eastAsia="宋体" w:cs="宋体"/>
      <w:color w:val="000000"/>
      <w:sz w:val="20"/>
      <w:szCs w:val="20"/>
      <w:u w:val="none"/>
    </w:rPr>
  </w:style>
  <w:style w:type="character" w:customStyle="1" w:styleId="107">
    <w:name w:val="明显引用 Char"/>
    <w:link w:val="108"/>
    <w:qFormat/>
    <w:uiPriority w:val="0"/>
    <w:rPr>
      <w:b/>
      <w:bCs/>
      <w:i/>
      <w:iCs/>
      <w:color w:val="4F81BD"/>
    </w:rPr>
  </w:style>
  <w:style w:type="paragraph" w:customStyle="1" w:styleId="108">
    <w:name w:val="明显引用1"/>
    <w:basedOn w:val="1"/>
    <w:next w:val="1"/>
    <w:link w:val="107"/>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09">
    <w:name w:val="标题 5 字符"/>
    <w:link w:val="17"/>
    <w:qFormat/>
    <w:uiPriority w:val="0"/>
    <w:rPr>
      <w:b/>
      <w:bCs/>
      <w:kern w:val="2"/>
      <w:sz w:val="28"/>
      <w:szCs w:val="28"/>
    </w:rPr>
  </w:style>
  <w:style w:type="character" w:customStyle="1" w:styleId="110">
    <w:name w:val="日期 Char1"/>
    <w:qFormat/>
    <w:uiPriority w:val="0"/>
    <w:rPr>
      <w:rFonts w:ascii="Calibri" w:hAnsi="Calibri" w:eastAsia="宋体" w:cs="Times New Roman"/>
    </w:rPr>
  </w:style>
  <w:style w:type="character" w:customStyle="1" w:styleId="111">
    <w:name w:val="批注框文本 Char1"/>
    <w:qFormat/>
    <w:uiPriority w:val="0"/>
    <w:rPr>
      <w:kern w:val="2"/>
      <w:sz w:val="18"/>
      <w:szCs w:val="18"/>
    </w:rPr>
  </w:style>
  <w:style w:type="character" w:customStyle="1" w:styleId="112">
    <w:name w:val="标题 Char1"/>
    <w:qFormat/>
    <w:uiPriority w:val="10"/>
    <w:rPr>
      <w:rFonts w:ascii="Cambria" w:hAnsi="Cambria" w:eastAsia="宋体" w:cs="Times New Roman"/>
      <w:b/>
      <w:bCs/>
      <w:sz w:val="32"/>
      <w:szCs w:val="32"/>
    </w:rPr>
  </w:style>
  <w:style w:type="character" w:customStyle="1" w:styleId="113">
    <w:name w:val="标题 9 字符"/>
    <w:link w:val="21"/>
    <w:qFormat/>
    <w:uiPriority w:val="0"/>
    <w:rPr>
      <w:rFonts w:ascii="Cambria" w:hAnsi="Cambria"/>
      <w:kern w:val="2"/>
      <w:sz w:val="21"/>
      <w:szCs w:val="21"/>
    </w:rPr>
  </w:style>
  <w:style w:type="character" w:customStyle="1" w:styleId="114">
    <w:name w:val="不明显参考1"/>
    <w:qFormat/>
    <w:uiPriority w:val="0"/>
    <w:rPr>
      <w:smallCaps/>
      <w:color w:val="C0504D"/>
      <w:u w:val="single"/>
    </w:rPr>
  </w:style>
  <w:style w:type="character" w:customStyle="1" w:styleId="115">
    <w:name w:val="批注文字 Char1"/>
    <w:qFormat/>
    <w:uiPriority w:val="0"/>
    <w:rPr>
      <w:rFonts w:ascii="Calibri" w:hAnsi="Calibri" w:eastAsia="宋体" w:cs="Times New Roman"/>
    </w:rPr>
  </w:style>
  <w:style w:type="character" w:customStyle="1" w:styleId="116">
    <w:name w:val="标题 Char2"/>
    <w:qFormat/>
    <w:uiPriority w:val="10"/>
    <w:rPr>
      <w:rFonts w:ascii="Cambria" w:hAnsi="Cambria" w:cs="Times New Roman"/>
      <w:b/>
      <w:bCs/>
      <w:kern w:val="2"/>
      <w:sz w:val="32"/>
      <w:szCs w:val="32"/>
    </w:rPr>
  </w:style>
  <w:style w:type="character" w:customStyle="1" w:styleId="117">
    <w:name w:val="正文文本 3 Char1"/>
    <w:semiHidden/>
    <w:qFormat/>
    <w:uiPriority w:val="99"/>
    <w:rPr>
      <w:kern w:val="2"/>
      <w:sz w:val="16"/>
      <w:szCs w:val="16"/>
    </w:rPr>
  </w:style>
  <w:style w:type="character" w:customStyle="1" w:styleId="118">
    <w:name w:val="批注主题 Char2"/>
    <w:qFormat/>
    <w:uiPriority w:val="0"/>
    <w:rPr>
      <w:b/>
      <w:bCs/>
      <w:kern w:val="2"/>
      <w:sz w:val="21"/>
    </w:rPr>
  </w:style>
  <w:style w:type="character" w:customStyle="1" w:styleId="119">
    <w:name w:val="标题 3 字符"/>
    <w:link w:val="15"/>
    <w:qFormat/>
    <w:uiPriority w:val="0"/>
    <w:rPr>
      <w:b/>
      <w:bCs/>
      <w:kern w:val="2"/>
      <w:sz w:val="32"/>
      <w:szCs w:val="32"/>
    </w:rPr>
  </w:style>
  <w:style w:type="character" w:customStyle="1" w:styleId="120">
    <w:name w:val="正文文本 Char_0"/>
    <w:link w:val="121"/>
    <w:qFormat/>
    <w:uiPriority w:val="0"/>
    <w:rPr>
      <w:szCs w:val="24"/>
    </w:rPr>
  </w:style>
  <w:style w:type="paragraph" w:customStyle="1" w:styleId="121">
    <w:name w:val="正文文本_0"/>
    <w:basedOn w:val="79"/>
    <w:link w:val="120"/>
    <w:qFormat/>
    <w:uiPriority w:val="0"/>
    <w:pPr>
      <w:spacing w:after="120"/>
    </w:pPr>
    <w:rPr>
      <w:kern w:val="0"/>
      <w:sz w:val="20"/>
    </w:rPr>
  </w:style>
  <w:style w:type="character" w:customStyle="1" w:styleId="122">
    <w:name w:val="副标题 字符"/>
    <w:link w:val="46"/>
    <w:qFormat/>
    <w:uiPriority w:val="0"/>
    <w:rPr>
      <w:rFonts w:ascii="Cambria" w:hAnsi="Cambria"/>
      <w:b/>
      <w:bCs/>
      <w:kern w:val="28"/>
      <w:sz w:val="32"/>
      <w:szCs w:val="32"/>
    </w:rPr>
  </w:style>
  <w:style w:type="character" w:customStyle="1" w:styleId="123">
    <w:name w:val="bookmark"/>
    <w:basedOn w:val="60"/>
    <w:qFormat/>
    <w:uiPriority w:val="0"/>
  </w:style>
  <w:style w:type="character" w:customStyle="1" w:styleId="124">
    <w:name w:val="标题 5 Char_0"/>
    <w:link w:val="125"/>
    <w:qFormat/>
    <w:uiPriority w:val="0"/>
    <w:rPr>
      <w:rFonts w:ascii="Calibri" w:hAnsi="Calibri"/>
      <w:b/>
      <w:bCs/>
      <w:sz w:val="28"/>
      <w:szCs w:val="28"/>
    </w:rPr>
  </w:style>
  <w:style w:type="paragraph" w:customStyle="1" w:styleId="125">
    <w:name w:val="标题 5_0"/>
    <w:basedOn w:val="79"/>
    <w:next w:val="79"/>
    <w:link w:val="124"/>
    <w:qFormat/>
    <w:uiPriority w:val="0"/>
    <w:pPr>
      <w:keepNext/>
      <w:keepLines/>
      <w:spacing w:before="280" w:after="290" w:line="372" w:lineRule="auto"/>
      <w:outlineLvl w:val="4"/>
    </w:pPr>
    <w:rPr>
      <w:rFonts w:ascii="Calibri" w:hAnsi="Calibri"/>
      <w:b/>
      <w:bCs/>
      <w:kern w:val="0"/>
      <w:sz w:val="28"/>
      <w:szCs w:val="28"/>
    </w:rPr>
  </w:style>
  <w:style w:type="character" w:customStyle="1" w:styleId="126">
    <w:name w:val="正文文本缩进 2 字符"/>
    <w:link w:val="39"/>
    <w:qFormat/>
    <w:uiPriority w:val="99"/>
    <w:rPr>
      <w:rFonts w:ascii="宋体"/>
    </w:rPr>
  </w:style>
  <w:style w:type="character" w:customStyle="1" w:styleId="127">
    <w:name w:val="批注文字 字符"/>
    <w:link w:val="28"/>
    <w:qFormat/>
    <w:uiPriority w:val="0"/>
    <w:rPr>
      <w:kern w:val="2"/>
      <w:sz w:val="21"/>
      <w:szCs w:val="24"/>
    </w:rPr>
  </w:style>
  <w:style w:type="character" w:customStyle="1" w:styleId="128">
    <w:name w:val="font11"/>
    <w:qFormat/>
    <w:uiPriority w:val="0"/>
    <w:rPr>
      <w:rFonts w:hint="eastAsia" w:ascii="宋体" w:hAnsi="宋体" w:eastAsia="宋体" w:cs="宋体"/>
      <w:color w:val="000000"/>
      <w:sz w:val="20"/>
      <w:szCs w:val="20"/>
      <w:u w:val="none"/>
    </w:rPr>
  </w:style>
  <w:style w:type="character" w:customStyle="1" w:styleId="129">
    <w:name w:val="明显参考1"/>
    <w:qFormat/>
    <w:uiPriority w:val="0"/>
    <w:rPr>
      <w:b/>
      <w:bCs/>
      <w:smallCaps/>
      <w:color w:val="C0504D"/>
      <w:spacing w:val="5"/>
      <w:u w:val="single"/>
    </w:rPr>
  </w:style>
  <w:style w:type="character" w:customStyle="1" w:styleId="130">
    <w:name w:val="超链接_0"/>
    <w:qFormat/>
    <w:uiPriority w:val="99"/>
    <w:rPr>
      <w:rFonts w:ascii="Calibri" w:hAnsi="Calibri"/>
      <w:color w:val="0000FF"/>
      <w:u w:val="single"/>
    </w:rPr>
  </w:style>
  <w:style w:type="character" w:customStyle="1" w:styleId="131">
    <w:name w:val="文档结构图 Char2"/>
    <w:semiHidden/>
    <w:qFormat/>
    <w:uiPriority w:val="99"/>
    <w:rPr>
      <w:rFonts w:ascii="宋体" w:hAnsi="Calibri" w:eastAsia="宋体" w:cs="Times New Roman"/>
      <w:sz w:val="18"/>
      <w:szCs w:val="18"/>
    </w:rPr>
  </w:style>
  <w:style w:type="character" w:customStyle="1" w:styleId="132">
    <w:name w:val="textcontents"/>
    <w:qFormat/>
    <w:uiPriority w:val="0"/>
    <w:rPr>
      <w:rFonts w:cs="Times New Roman"/>
    </w:rPr>
  </w:style>
  <w:style w:type="character" w:customStyle="1" w:styleId="133">
    <w:name w:val="标题 1 Char"/>
    <w:qFormat/>
    <w:uiPriority w:val="0"/>
    <w:rPr>
      <w:b/>
      <w:bCs/>
      <w:kern w:val="44"/>
      <w:sz w:val="32"/>
      <w:szCs w:val="44"/>
    </w:rPr>
  </w:style>
  <w:style w:type="character" w:customStyle="1" w:styleId="134">
    <w:name w:val="正文文本 字符"/>
    <w:link w:val="30"/>
    <w:qFormat/>
    <w:uiPriority w:val="0"/>
    <w:rPr>
      <w:rFonts w:eastAsia="幼圆"/>
      <w:b/>
      <w:bCs/>
      <w:kern w:val="2"/>
      <w:sz w:val="44"/>
      <w:szCs w:val="24"/>
    </w:rPr>
  </w:style>
  <w:style w:type="character" w:customStyle="1" w:styleId="135">
    <w:name w:val="标题 8 字符"/>
    <w:link w:val="20"/>
    <w:qFormat/>
    <w:uiPriority w:val="0"/>
    <w:rPr>
      <w:rFonts w:ascii="Cambria" w:hAnsi="Cambria"/>
      <w:kern w:val="2"/>
      <w:sz w:val="24"/>
      <w:szCs w:val="24"/>
    </w:rPr>
  </w:style>
  <w:style w:type="character" w:customStyle="1" w:styleId="136">
    <w:name w:val="副标题 Char1"/>
    <w:qFormat/>
    <w:uiPriority w:val="11"/>
    <w:rPr>
      <w:rFonts w:ascii="Cambria" w:hAnsi="Cambria" w:cs="Times New Roman"/>
      <w:b/>
      <w:bCs/>
      <w:kern w:val="28"/>
      <w:sz w:val="32"/>
      <w:szCs w:val="32"/>
    </w:rPr>
  </w:style>
  <w:style w:type="character" w:customStyle="1" w:styleId="137">
    <w:name w:val="批注主题 字符"/>
    <w:link w:val="55"/>
    <w:qFormat/>
    <w:uiPriority w:val="0"/>
    <w:rPr>
      <w:b/>
      <w:bCs/>
      <w:kern w:val="2"/>
      <w:sz w:val="21"/>
      <w:szCs w:val="24"/>
    </w:rPr>
  </w:style>
  <w:style w:type="character" w:customStyle="1" w:styleId="138">
    <w:name w:val="书籍标题1"/>
    <w:qFormat/>
    <w:uiPriority w:val="0"/>
    <w:rPr>
      <w:b/>
      <w:bCs/>
      <w:smallCaps/>
      <w:spacing w:val="5"/>
    </w:rPr>
  </w:style>
  <w:style w:type="character" w:customStyle="1" w:styleId="139">
    <w:name w:val="页脚 字符"/>
    <w:link w:val="41"/>
    <w:qFormat/>
    <w:uiPriority w:val="99"/>
    <w:rPr>
      <w:kern w:val="2"/>
      <w:sz w:val="18"/>
      <w:szCs w:val="18"/>
    </w:rPr>
  </w:style>
  <w:style w:type="character" w:customStyle="1" w:styleId="140">
    <w:name w:val="标题4 Char Char"/>
    <w:link w:val="141"/>
    <w:qFormat/>
    <w:uiPriority w:val="0"/>
    <w:rPr>
      <w:rFonts w:ascii="Arial" w:hAnsi="Arial"/>
      <w:b/>
      <w:bCs/>
      <w:sz w:val="24"/>
      <w:szCs w:val="32"/>
    </w:rPr>
  </w:style>
  <w:style w:type="paragraph" w:customStyle="1" w:styleId="141">
    <w:name w:val="标题4"/>
    <w:basedOn w:val="14"/>
    <w:next w:val="33"/>
    <w:link w:val="140"/>
    <w:qFormat/>
    <w:uiPriority w:val="0"/>
    <w:pPr>
      <w:numPr>
        <w:ilvl w:val="0"/>
        <w:numId w:val="0"/>
      </w:numPr>
      <w:spacing w:line="413" w:lineRule="auto"/>
    </w:pPr>
    <w:rPr>
      <w:rFonts w:ascii="Arial" w:hAnsi="Arial"/>
      <w:kern w:val="0"/>
      <w:sz w:val="24"/>
    </w:rPr>
  </w:style>
  <w:style w:type="character" w:customStyle="1" w:styleId="142">
    <w:name w:val="正文文本 Char1"/>
    <w:qFormat/>
    <w:uiPriority w:val="0"/>
    <w:rPr>
      <w:rFonts w:ascii="Calibri" w:hAnsi="Calibri" w:eastAsia="宋体" w:cs="Times New Roman"/>
    </w:rPr>
  </w:style>
  <w:style w:type="character" w:customStyle="1" w:styleId="143">
    <w:name w:val="明显引用 Char1"/>
    <w:qFormat/>
    <w:uiPriority w:val="30"/>
    <w:rPr>
      <w:b/>
      <w:bCs/>
      <w:i/>
      <w:iCs/>
      <w:color w:val="4F81BD"/>
      <w:kern w:val="2"/>
      <w:sz w:val="21"/>
    </w:rPr>
  </w:style>
  <w:style w:type="character" w:customStyle="1" w:styleId="144">
    <w:name w:val="页眉 Char1"/>
    <w:semiHidden/>
    <w:qFormat/>
    <w:uiPriority w:val="99"/>
    <w:rPr>
      <w:rFonts w:ascii="Calibri" w:hAnsi="Calibri" w:eastAsia="宋体" w:cs="Times New Roman"/>
      <w:sz w:val="18"/>
      <w:szCs w:val="18"/>
    </w:rPr>
  </w:style>
  <w:style w:type="character" w:customStyle="1" w:styleId="145">
    <w:name w:val="不明显强调1"/>
    <w:qFormat/>
    <w:uiPriority w:val="0"/>
    <w:rPr>
      <w:i/>
      <w:iCs/>
      <w:color w:val="808080"/>
    </w:rPr>
  </w:style>
  <w:style w:type="character" w:customStyle="1" w:styleId="146">
    <w:name w:val="正文文本 3 字符"/>
    <w:link w:val="29"/>
    <w:qFormat/>
    <w:uiPriority w:val="0"/>
    <w:rPr>
      <w:rFonts w:ascii="宋体"/>
      <w:kern w:val="2"/>
      <w:sz w:val="24"/>
    </w:rPr>
  </w:style>
  <w:style w:type="character" w:customStyle="1" w:styleId="147">
    <w:name w:val="正文文本缩进 3 字符"/>
    <w:link w:val="48"/>
    <w:qFormat/>
    <w:uiPriority w:val="0"/>
    <w:rPr>
      <w:kern w:val="2"/>
      <w:sz w:val="16"/>
    </w:rPr>
  </w:style>
  <w:style w:type="character" w:customStyle="1" w:styleId="148">
    <w:name w:val="font21"/>
    <w:qFormat/>
    <w:uiPriority w:val="0"/>
    <w:rPr>
      <w:rFonts w:hint="eastAsia" w:ascii="宋体" w:hAnsi="宋体" w:eastAsia="宋体" w:cs="宋体"/>
      <w:color w:val="000000"/>
      <w:sz w:val="20"/>
      <w:szCs w:val="20"/>
      <w:u w:val="none"/>
    </w:rPr>
  </w:style>
  <w:style w:type="character" w:customStyle="1" w:styleId="149">
    <w:name w:val="批注框文本 字符"/>
    <w:link w:val="40"/>
    <w:qFormat/>
    <w:uiPriority w:val="0"/>
    <w:rPr>
      <w:kern w:val="2"/>
      <w:sz w:val="18"/>
      <w:szCs w:val="18"/>
    </w:rPr>
  </w:style>
  <w:style w:type="character" w:customStyle="1" w:styleId="150">
    <w:name w:val="标题 7 字符"/>
    <w:link w:val="19"/>
    <w:qFormat/>
    <w:uiPriority w:val="0"/>
    <w:rPr>
      <w:b/>
      <w:bCs/>
      <w:kern w:val="2"/>
      <w:sz w:val="24"/>
      <w:szCs w:val="24"/>
    </w:rPr>
  </w:style>
  <w:style w:type="character" w:customStyle="1" w:styleId="151">
    <w:name w:val="标题 1 字符"/>
    <w:qFormat/>
    <w:uiPriority w:val="0"/>
    <w:rPr>
      <w:b/>
      <w:bCs/>
      <w:kern w:val="44"/>
      <w:sz w:val="32"/>
      <w:szCs w:val="44"/>
    </w:rPr>
  </w:style>
  <w:style w:type="character" w:customStyle="1" w:styleId="152">
    <w:name w:val="文档结构图 Char1"/>
    <w:qFormat/>
    <w:uiPriority w:val="0"/>
    <w:rPr>
      <w:rFonts w:ascii="宋体" w:hAnsi="Calibri" w:eastAsia="宋体" w:cs="Times New Roman"/>
      <w:sz w:val="18"/>
      <w:szCs w:val="18"/>
    </w:rPr>
  </w:style>
  <w:style w:type="character" w:customStyle="1" w:styleId="153">
    <w:name w:val="标题 2 Char_0"/>
    <w:link w:val="154"/>
    <w:qFormat/>
    <w:uiPriority w:val="0"/>
    <w:rPr>
      <w:rFonts w:ascii="Cambria" w:hAnsi="Cambria"/>
      <w:b/>
      <w:bCs/>
      <w:sz w:val="32"/>
      <w:szCs w:val="32"/>
    </w:rPr>
  </w:style>
  <w:style w:type="paragraph" w:customStyle="1" w:styleId="154">
    <w:name w:val="标题 2_0"/>
    <w:basedOn w:val="79"/>
    <w:next w:val="79"/>
    <w:link w:val="153"/>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55">
    <w:name w:val="日期 Char2"/>
    <w:semiHidden/>
    <w:qFormat/>
    <w:uiPriority w:val="99"/>
    <w:rPr>
      <w:rFonts w:ascii="Calibri" w:hAnsi="Calibri" w:eastAsia="宋体" w:cs="Times New Roman"/>
    </w:rPr>
  </w:style>
  <w:style w:type="character" w:customStyle="1" w:styleId="156">
    <w:name w:val="批注框文本 Char2"/>
    <w:semiHidden/>
    <w:qFormat/>
    <w:uiPriority w:val="99"/>
    <w:rPr>
      <w:rFonts w:ascii="Calibri" w:hAnsi="Calibri" w:eastAsia="宋体" w:cs="Times New Roman"/>
      <w:sz w:val="18"/>
      <w:szCs w:val="18"/>
    </w:rPr>
  </w:style>
  <w:style w:type="character" w:customStyle="1" w:styleId="157">
    <w:name w:val="标题 4 字符"/>
    <w:link w:val="16"/>
    <w:qFormat/>
    <w:uiPriority w:val="0"/>
    <w:rPr>
      <w:rFonts w:ascii="Cambria" w:hAnsi="Cambria"/>
      <w:b/>
      <w:bCs/>
      <w:kern w:val="2"/>
      <w:sz w:val="28"/>
      <w:szCs w:val="28"/>
    </w:rPr>
  </w:style>
  <w:style w:type="character" w:customStyle="1" w:styleId="158">
    <w:name w:val="列出段落 Char"/>
    <w:link w:val="159"/>
    <w:qFormat/>
    <w:locked/>
    <w:uiPriority w:val="34"/>
    <w:rPr>
      <w:kern w:val="2"/>
      <w:sz w:val="21"/>
      <w:szCs w:val="24"/>
    </w:rPr>
  </w:style>
  <w:style w:type="paragraph" w:customStyle="1" w:styleId="159">
    <w:name w:val="List Paragraph1"/>
    <w:basedOn w:val="1"/>
    <w:link w:val="158"/>
    <w:qFormat/>
    <w:uiPriority w:val="34"/>
    <w:pPr>
      <w:ind w:firstLine="420" w:firstLineChars="200"/>
    </w:pPr>
  </w:style>
  <w:style w:type="paragraph" w:customStyle="1" w:styleId="160">
    <w:name w:val="样式 标题 3 + (中文) 黑体 小四 非加粗 段前: 7.8 磅 段后: 0 磅 行距: 固定值 20 磅"/>
    <w:basedOn w:val="15"/>
    <w:next w:val="1"/>
    <w:qFormat/>
    <w:uiPriority w:val="0"/>
    <w:pPr>
      <w:spacing w:before="0" w:after="0" w:line="400" w:lineRule="exact"/>
    </w:pPr>
    <w:rPr>
      <w:rFonts w:eastAsia="黑体" w:cs="宋体"/>
      <w:b w:val="0"/>
      <w:bCs w:val="0"/>
      <w:sz w:val="24"/>
      <w:szCs w:val="20"/>
    </w:rPr>
  </w:style>
  <w:style w:type="paragraph" w:customStyle="1" w:styleId="161">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2">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63">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64">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65">
    <w:name w:val="1方案格式1"/>
    <w:basedOn w:val="13"/>
    <w:qFormat/>
    <w:uiPriority w:val="0"/>
    <w:pPr>
      <w:numPr>
        <w:numId w:val="3"/>
      </w:numPr>
      <w:tabs>
        <w:tab w:val="left" w:pos="360"/>
      </w:tabs>
      <w:spacing w:beforeLines="50" w:afterLines="50" w:line="360" w:lineRule="auto"/>
      <w:ind w:left="0" w:firstLine="0"/>
    </w:pPr>
    <w:rPr>
      <w:rFonts w:eastAsia="微软雅黑"/>
      <w:bCs w:val="0"/>
      <w:sz w:val="48"/>
    </w:rPr>
  </w:style>
  <w:style w:type="paragraph" w:customStyle="1" w:styleId="166">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67">
    <w:name w:val="列出段落1"/>
    <w:basedOn w:val="1"/>
    <w:qFormat/>
    <w:uiPriority w:val="0"/>
    <w:pPr>
      <w:widowControl/>
      <w:ind w:left="720"/>
      <w:contextualSpacing/>
      <w:jc w:val="left"/>
    </w:pPr>
    <w:rPr>
      <w:rFonts w:ascii="Arial" w:hAnsi="Arial" w:eastAsia="黑体"/>
      <w:kern w:val="0"/>
      <w:sz w:val="24"/>
      <w:lang w:eastAsia="en-US"/>
    </w:rPr>
  </w:style>
  <w:style w:type="paragraph" w:customStyle="1" w:styleId="168">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9">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70">
    <w:name w:val="目录 5_0"/>
    <w:basedOn w:val="79"/>
    <w:next w:val="79"/>
    <w:qFormat/>
    <w:uiPriority w:val="39"/>
    <w:pPr>
      <w:ind w:left="1680" w:leftChars="800"/>
    </w:pPr>
    <w:rPr>
      <w:rFonts w:ascii="Calibri" w:hAnsi="Calibri"/>
    </w:rPr>
  </w:style>
  <w:style w:type="paragraph" w:customStyle="1" w:styleId="171">
    <w:name w:val="修订1"/>
    <w:qFormat/>
    <w:uiPriority w:val="0"/>
    <w:rPr>
      <w:rFonts w:ascii="Times New Roman" w:hAnsi="Times New Roman" w:eastAsia="宋体" w:cs="Times New Roman"/>
      <w:kern w:val="2"/>
      <w:sz w:val="21"/>
      <w:szCs w:val="24"/>
      <w:lang w:val="en-US" w:eastAsia="zh-CN" w:bidi="ar-SA"/>
    </w:rPr>
  </w:style>
  <w:style w:type="paragraph" w:customStyle="1" w:styleId="172">
    <w:name w:val="标题 11"/>
    <w:basedOn w:val="3"/>
    <w:next w:val="3"/>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73">
    <w:name w:val="正文 + 行距: 固定值 20 磅"/>
    <w:basedOn w:val="1"/>
    <w:qFormat/>
    <w:uiPriority w:val="0"/>
    <w:pPr>
      <w:spacing w:line="400" w:lineRule="exact"/>
      <w:ind w:firstLine="716" w:firstLineChars="341"/>
    </w:pPr>
    <w:rPr>
      <w:rFonts w:ascii="Calibri" w:hAnsi="Calibri"/>
      <w:szCs w:val="22"/>
    </w:rPr>
  </w:style>
  <w:style w:type="paragraph" w:customStyle="1" w:styleId="174">
    <w:name w:val="TOC 标题1"/>
    <w:basedOn w:val="13"/>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75">
    <w:name w:val="表格文字"/>
    <w:basedOn w:val="1"/>
    <w:link w:val="203"/>
    <w:qFormat/>
    <w:uiPriority w:val="0"/>
    <w:pPr>
      <w:adjustRightInd w:val="0"/>
      <w:spacing w:line="420" w:lineRule="atLeast"/>
      <w:jc w:val="left"/>
      <w:textAlignment w:val="baseline"/>
    </w:pPr>
    <w:rPr>
      <w:rFonts w:ascii="Calibri" w:hAnsi="Calibri"/>
      <w:kern w:val="0"/>
      <w:szCs w:val="22"/>
    </w:rPr>
  </w:style>
  <w:style w:type="paragraph" w:customStyle="1" w:styleId="176">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77">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8">
    <w:name w:val="表格"/>
    <w:basedOn w:val="1"/>
    <w:qFormat/>
    <w:uiPriority w:val="0"/>
    <w:pPr>
      <w:jc w:val="center"/>
      <w:textAlignment w:val="center"/>
    </w:pPr>
    <w:rPr>
      <w:rFonts w:ascii="华文细黑" w:hAnsi="华文细黑"/>
      <w:kern w:val="0"/>
      <w:szCs w:val="22"/>
    </w:rPr>
  </w:style>
  <w:style w:type="paragraph" w:customStyle="1" w:styleId="179">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0">
    <w:name w:val="列出段落2"/>
    <w:basedOn w:val="1"/>
    <w:qFormat/>
    <w:uiPriority w:val="34"/>
    <w:pPr>
      <w:ind w:firstLine="420" w:firstLineChars="200"/>
    </w:pPr>
  </w:style>
  <w:style w:type="paragraph" w:customStyle="1" w:styleId="181">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82">
    <w:name w:val="Char Char Char Char Char Char Char"/>
    <w:basedOn w:val="1"/>
    <w:qFormat/>
    <w:uiPriority w:val="0"/>
    <w:pPr>
      <w:adjustRightInd w:val="0"/>
      <w:spacing w:line="360" w:lineRule="auto"/>
    </w:pPr>
    <w:rPr>
      <w:kern w:val="0"/>
      <w:sz w:val="24"/>
      <w:szCs w:val="20"/>
    </w:rPr>
  </w:style>
  <w:style w:type="paragraph" w:customStyle="1" w:styleId="183">
    <w:name w:val="2方案格式2"/>
    <w:basedOn w:val="165"/>
    <w:qFormat/>
    <w:uiPriority w:val="0"/>
    <w:pPr>
      <w:numPr>
        <w:ilvl w:val="1"/>
      </w:numPr>
      <w:spacing w:before="50" w:after="50" w:line="240" w:lineRule="auto"/>
      <w:outlineLvl w:val="1"/>
    </w:pPr>
    <w:rPr>
      <w:sz w:val="44"/>
    </w:rPr>
  </w:style>
  <w:style w:type="paragraph" w:customStyle="1" w:styleId="184">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85">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6">
    <w:name w:val="目录 4_0"/>
    <w:basedOn w:val="79"/>
    <w:next w:val="79"/>
    <w:qFormat/>
    <w:uiPriority w:val="39"/>
    <w:pPr>
      <w:ind w:left="1260" w:leftChars="600"/>
    </w:pPr>
    <w:rPr>
      <w:rFonts w:ascii="Calibri" w:hAnsi="Calibri"/>
    </w:rPr>
  </w:style>
  <w:style w:type="paragraph" w:customStyle="1" w:styleId="187">
    <w:name w:val="目录 3_0"/>
    <w:basedOn w:val="79"/>
    <w:next w:val="79"/>
    <w:qFormat/>
    <w:uiPriority w:val="39"/>
    <w:pPr>
      <w:ind w:left="840" w:leftChars="400"/>
    </w:pPr>
    <w:rPr>
      <w:rFonts w:ascii="Calibri" w:hAnsi="Calibri"/>
    </w:rPr>
  </w:style>
  <w:style w:type="paragraph" w:customStyle="1" w:styleId="188">
    <w:name w:val="样式 标题 1 + 黑体 三号 非加粗 居中 段前: 6 磅 段后: 6 磅 行距: 固定值 20 磅"/>
    <w:basedOn w:val="13"/>
    <w:qFormat/>
    <w:uiPriority w:val="0"/>
    <w:pPr>
      <w:numPr>
        <w:numId w:val="0"/>
      </w:numPr>
      <w:spacing w:before="120" w:after="120" w:line="400" w:lineRule="exact"/>
    </w:pPr>
    <w:rPr>
      <w:rFonts w:ascii="黑体" w:hAnsi="黑体" w:eastAsia="黑体"/>
      <w:b w:val="0"/>
      <w:bCs w:val="0"/>
      <w:szCs w:val="20"/>
    </w:rPr>
  </w:style>
  <w:style w:type="paragraph" w:customStyle="1" w:styleId="189">
    <w:name w:val="1"/>
    <w:basedOn w:val="1"/>
    <w:next w:val="1"/>
    <w:qFormat/>
    <w:uiPriority w:val="0"/>
    <w:rPr>
      <w:rFonts w:ascii="Calibri" w:hAnsi="Calibri"/>
      <w:szCs w:val="22"/>
    </w:rPr>
  </w:style>
  <w:style w:type="paragraph" w:customStyle="1" w:styleId="190">
    <w:name w:val="Blockquote_0"/>
    <w:basedOn w:val="79"/>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91">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92">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93">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94">
    <w:name w:val="p0"/>
    <w:basedOn w:val="1"/>
    <w:qFormat/>
    <w:uiPriority w:val="0"/>
    <w:pPr>
      <w:widowControl/>
    </w:pPr>
    <w:rPr>
      <w:b/>
      <w:bCs/>
      <w:kern w:val="0"/>
      <w:sz w:val="24"/>
    </w:rPr>
  </w:style>
  <w:style w:type="paragraph" w:customStyle="1" w:styleId="195">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6">
    <w:name w:val="3方案格式3"/>
    <w:basedOn w:val="183"/>
    <w:qFormat/>
    <w:uiPriority w:val="0"/>
    <w:pPr>
      <w:numPr>
        <w:ilvl w:val="2"/>
      </w:numPr>
      <w:outlineLvl w:val="2"/>
    </w:pPr>
    <w:rPr>
      <w:sz w:val="32"/>
    </w:rPr>
  </w:style>
  <w:style w:type="paragraph" w:customStyle="1" w:styleId="197">
    <w:name w:val="样式 标题 2 + Times New Roman 四号 非加粗 段前: 5 磅 段后: 0 磅 行距: 固定值 20..."/>
    <w:basedOn w:val="1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8">
    <w:name w:val="标题2"/>
    <w:basedOn w:val="14"/>
    <w:next w:val="30"/>
    <w:qFormat/>
    <w:uiPriority w:val="0"/>
    <w:pPr>
      <w:spacing w:before="156" w:after="156" w:line="360" w:lineRule="auto"/>
    </w:pPr>
    <w:rPr>
      <w:bCs w:val="0"/>
      <w:sz w:val="24"/>
    </w:rPr>
  </w:style>
  <w:style w:type="paragraph" w:customStyle="1" w:styleId="19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00">
    <w:name w:val="正文2"/>
    <w:qFormat/>
    <w:uiPriority w:val="0"/>
    <w:rPr>
      <w:rFonts w:ascii="Times New Roman" w:hAnsi="Times New Roman" w:eastAsia="微软雅黑" w:cs="Times New Roman"/>
      <w:sz w:val="24"/>
      <w:szCs w:val="24"/>
      <w:lang w:val="en-US" w:eastAsia="zh-CN" w:bidi="ar-SA"/>
    </w:rPr>
  </w:style>
  <w:style w:type="paragraph" w:customStyle="1" w:styleId="201">
    <w:name w:val="列出段落3"/>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02">
    <w:name w:val="纯文本2"/>
    <w:basedOn w:val="1"/>
    <w:qFormat/>
    <w:uiPriority w:val="0"/>
    <w:pPr>
      <w:jc w:val="left"/>
    </w:pPr>
    <w:rPr>
      <w:rFonts w:hint="eastAsia" w:ascii="宋体" w:hAnsi="宋体" w:cs="Courier New"/>
      <w:kern w:val="1"/>
      <w:sz w:val="24"/>
      <w:szCs w:val="20"/>
      <w:lang w:bidi="hi-IN"/>
    </w:rPr>
  </w:style>
  <w:style w:type="character" w:customStyle="1" w:styleId="203">
    <w:name w:val="表格文字 字符"/>
    <w:link w:val="175"/>
    <w:qFormat/>
    <w:uiPriority w:val="0"/>
    <w:rPr>
      <w:rFonts w:ascii="Calibri" w:hAnsi="Calibri" w:eastAsia="宋体" w:cs="Times New Roman"/>
      <w:sz w:val="21"/>
      <w:szCs w:val="22"/>
    </w:rPr>
  </w:style>
  <w:style w:type="paragraph" w:customStyle="1" w:styleId="204">
    <w:name w:val="trs_editor"/>
    <w:basedOn w:val="1"/>
    <w:qFormat/>
    <w:uiPriority w:val="0"/>
    <w:pPr>
      <w:widowControl/>
      <w:spacing w:before="100" w:beforeAutospacing="1" w:after="100" w:afterAutospacing="1"/>
      <w:jc w:val="left"/>
    </w:pPr>
    <w:rPr>
      <w:rFonts w:ascii="宋体" w:hAnsi="宋体" w:cs="宋体"/>
      <w:kern w:val="0"/>
      <w:sz w:val="24"/>
    </w:rPr>
  </w:style>
  <w:style w:type="character" w:customStyle="1" w:styleId="205">
    <w:name w:val="未处理的提及1"/>
    <w:basedOn w:val="60"/>
    <w:semiHidden/>
    <w:unhideWhenUsed/>
    <w:qFormat/>
    <w:uiPriority w:val="99"/>
    <w:rPr>
      <w:color w:val="605E5C"/>
      <w:shd w:val="clear" w:color="auto" w:fill="E1DFDD"/>
    </w:rPr>
  </w:style>
  <w:style w:type="paragraph" w:customStyle="1" w:styleId="206">
    <w:name w:val="_Style 3"/>
    <w:basedOn w:val="1"/>
    <w:qFormat/>
    <w:uiPriority w:val="99"/>
    <w:pPr>
      <w:ind w:firstLine="420" w:firstLineChars="200"/>
    </w:pPr>
    <w:rPr>
      <w:szCs w:val="22"/>
    </w:rPr>
  </w:style>
  <w:style w:type="table" w:customStyle="1" w:styleId="207">
    <w:name w:val="网格型1"/>
    <w:basedOn w:val="58"/>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8">
    <w:name w:val="批注文字 字符1"/>
    <w:qFormat/>
    <w:uiPriority w:val="99"/>
    <w:rPr>
      <w:sz w:val="24"/>
      <w:szCs w:val="22"/>
    </w:rPr>
  </w:style>
  <w:style w:type="character" w:customStyle="1" w:styleId="209">
    <w:name w:val="f141"/>
    <w:qFormat/>
    <w:uiPriority w:val="0"/>
    <w:rPr>
      <w:sz w:val="21"/>
      <w:szCs w:val="21"/>
    </w:rPr>
  </w:style>
  <w:style w:type="character" w:customStyle="1" w:styleId="210">
    <w:name w:val="p141"/>
    <w:qFormat/>
    <w:uiPriority w:val="0"/>
    <w:rPr>
      <w:sz w:val="21"/>
      <w:szCs w:val="21"/>
    </w:rPr>
  </w:style>
  <w:style w:type="character" w:customStyle="1" w:styleId="211">
    <w:name w:val="s10pv000000"/>
    <w:basedOn w:val="60"/>
    <w:qFormat/>
    <w:uiPriority w:val="0"/>
  </w:style>
  <w:style w:type="paragraph" w:customStyle="1" w:styleId="212">
    <w:name w:val="样式 标题 4 + 段前: 5 磅 段后: 5 磅 行距: 单倍行距"/>
    <w:basedOn w:val="16"/>
    <w:qFormat/>
    <w:uiPriority w:val="0"/>
    <w:pPr>
      <w:numPr>
        <w:ilvl w:val="0"/>
        <w:numId w:val="0"/>
      </w:numPr>
      <w:tabs>
        <w:tab w:val="left" w:pos="1680"/>
      </w:tabs>
      <w:adjustRightInd w:val="0"/>
      <w:spacing w:before="100" w:after="100" w:line="240" w:lineRule="auto"/>
      <w:ind w:left="1680" w:hanging="420"/>
      <w:jc w:val="left"/>
      <w:textAlignment w:val="baseline"/>
    </w:pPr>
    <w:rPr>
      <w:rFonts w:ascii="Arial" w:hAnsi="Arial" w:eastAsia="黑体"/>
      <w:bCs w:val="0"/>
      <w:kern w:val="0"/>
      <w:szCs w:val="20"/>
    </w:rPr>
  </w:style>
  <w:style w:type="paragraph" w:customStyle="1" w:styleId="213">
    <w:name w:val="基准标题"/>
    <w:basedOn w:val="30"/>
    <w:next w:val="30"/>
    <w:qFormat/>
    <w:uiPriority w:val="0"/>
    <w:pPr>
      <w:keepNext/>
      <w:keepLines/>
      <w:widowControl/>
      <w:spacing w:line="240" w:lineRule="atLeast"/>
      <w:jc w:val="left"/>
    </w:pPr>
    <w:rPr>
      <w:rFonts w:ascii="Garamond" w:hAnsi="Garamond" w:eastAsia="宋体"/>
      <w:b w:val="0"/>
      <w:bCs w:val="0"/>
      <w:kern w:val="20"/>
      <w:sz w:val="22"/>
      <w:szCs w:val="20"/>
      <w:lang w:bidi="he-IL"/>
    </w:rPr>
  </w:style>
  <w:style w:type="paragraph" w:customStyle="1" w:styleId="214">
    <w:name w:val="font6"/>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15">
    <w:name w:val="样式4"/>
    <w:basedOn w:val="1"/>
    <w:qFormat/>
    <w:uiPriority w:val="0"/>
    <w:pPr>
      <w:tabs>
        <w:tab w:val="left" w:pos="2328"/>
      </w:tabs>
      <w:ind w:left="2328" w:hanging="708"/>
    </w:pPr>
  </w:style>
  <w:style w:type="paragraph" w:customStyle="1" w:styleId="216">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7">
    <w:name w:val="3 Char"/>
    <w:basedOn w:val="1"/>
    <w:qFormat/>
    <w:uiPriority w:val="0"/>
    <w:pPr>
      <w:widowControl/>
      <w:spacing w:line="400" w:lineRule="exact"/>
      <w:jc w:val="center"/>
    </w:pPr>
    <w:rPr>
      <w:rFonts w:ascii="Verdana" w:hAnsi="Verdana"/>
      <w:kern w:val="0"/>
      <w:szCs w:val="20"/>
      <w:lang w:eastAsia="en-US"/>
    </w:rPr>
  </w:style>
  <w:style w:type="paragraph" w:customStyle="1" w:styleId="218">
    <w:name w:val="样式 标题 2 + 宋体 五号 非加粗 黑色"/>
    <w:basedOn w:val="14"/>
    <w:qFormat/>
    <w:uiPriority w:val="0"/>
    <w:pPr>
      <w:numPr>
        <w:ilvl w:val="0"/>
        <w:numId w:val="0"/>
      </w:numPr>
      <w:tabs>
        <w:tab w:val="left" w:pos="840"/>
      </w:tabs>
      <w:adjustRightInd w:val="0"/>
      <w:spacing w:line="416" w:lineRule="atLeast"/>
      <w:ind w:left="840" w:hanging="420"/>
      <w:jc w:val="left"/>
      <w:textAlignment w:val="baseline"/>
    </w:pPr>
    <w:rPr>
      <w:rFonts w:ascii="宋体" w:hAnsi="宋体"/>
      <w:b w:val="0"/>
      <w:bCs w:val="0"/>
      <w:color w:val="000000"/>
      <w:kern w:val="0"/>
      <w:sz w:val="21"/>
      <w:szCs w:val="20"/>
    </w:rPr>
  </w:style>
  <w:style w:type="paragraph" w:customStyle="1" w:styleId="219">
    <w:name w:val="xl29"/>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20">
    <w:name w:val="图"/>
    <w:basedOn w:val="1"/>
    <w:qFormat/>
    <w:uiPriority w:val="0"/>
    <w:pPr>
      <w:keepNext/>
      <w:adjustRightInd w:val="0"/>
      <w:spacing w:before="60" w:after="60" w:line="300" w:lineRule="auto"/>
      <w:jc w:val="center"/>
      <w:textAlignment w:val="center"/>
    </w:pPr>
    <w:rPr>
      <w:snapToGrid w:val="0"/>
      <w:spacing w:val="20"/>
      <w:kern w:val="0"/>
      <w:sz w:val="24"/>
      <w:szCs w:val="20"/>
    </w:rPr>
  </w:style>
  <w:style w:type="paragraph" w:customStyle="1" w:styleId="221">
    <w:name w:val="设计方案"/>
    <w:basedOn w:val="1"/>
    <w:qFormat/>
    <w:uiPriority w:val="0"/>
    <w:pPr>
      <w:widowControl/>
      <w:tabs>
        <w:tab w:val="left" w:pos="425"/>
      </w:tabs>
      <w:spacing w:after="160" w:line="240" w:lineRule="exact"/>
      <w:ind w:left="425" w:hanging="425"/>
      <w:jc w:val="left"/>
    </w:pPr>
    <w:rPr>
      <w:rFonts w:ascii="Verdana" w:hAnsi="Verdana"/>
      <w:kern w:val="0"/>
      <w:szCs w:val="20"/>
      <w:lang w:eastAsia="en-US"/>
    </w:rPr>
  </w:style>
  <w:style w:type="paragraph" w:customStyle="1" w:styleId="22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23">
    <w:name w:val="样式1"/>
    <w:basedOn w:val="1"/>
    <w:qFormat/>
    <w:uiPriority w:val="0"/>
    <w:pPr>
      <w:tabs>
        <w:tab w:val="left" w:pos="425"/>
        <w:tab w:val="left" w:pos="709"/>
      </w:tabs>
      <w:adjustRightInd w:val="0"/>
      <w:ind w:left="425" w:hanging="425"/>
      <w:textAlignment w:val="baseline"/>
    </w:pPr>
    <w:rPr>
      <w:rFonts w:ascii="宋体" w:hAnsi="宋体"/>
      <w:kern w:val="0"/>
      <w:szCs w:val="20"/>
    </w:rPr>
  </w:style>
  <w:style w:type="paragraph" w:customStyle="1" w:styleId="224">
    <w:name w:val="head"/>
    <w:basedOn w:val="1"/>
    <w:qFormat/>
    <w:uiPriority w:val="0"/>
    <w:pPr>
      <w:widowControl/>
      <w:spacing w:before="100" w:beforeAutospacing="1" w:after="100" w:afterAutospacing="1"/>
      <w:jc w:val="center"/>
    </w:pPr>
    <w:rPr>
      <w:rFonts w:hint="eastAsia" w:ascii="黑体" w:hAnsi="宋体" w:eastAsia="黑体"/>
      <w:b/>
      <w:bCs/>
      <w:kern w:val="0"/>
      <w:sz w:val="28"/>
      <w:szCs w:val="28"/>
    </w:rPr>
  </w:style>
  <w:style w:type="paragraph" w:customStyle="1" w:styleId="225">
    <w:name w:val="默认段落字体 Para Char Char Char Char"/>
    <w:basedOn w:val="1"/>
    <w:qFormat/>
    <w:uiPriority w:val="0"/>
    <w:rPr>
      <w:szCs w:val="20"/>
    </w:rPr>
  </w:style>
  <w:style w:type="paragraph" w:customStyle="1" w:styleId="226">
    <w:name w:val="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27">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228">
    <w:name w:val="样式 标题 3h3H3sect1.2.3 + 五号 段前: 6 磅 段后: 6 磅 行距: 单倍行距"/>
    <w:basedOn w:val="15"/>
    <w:qFormat/>
    <w:uiPriority w:val="0"/>
    <w:pPr>
      <w:numPr>
        <w:ilvl w:val="0"/>
        <w:numId w:val="0"/>
      </w:numPr>
      <w:tabs>
        <w:tab w:val="left" w:pos="1260"/>
      </w:tabs>
      <w:adjustRightInd w:val="0"/>
      <w:spacing w:before="120" w:after="120" w:line="240" w:lineRule="auto"/>
      <w:ind w:left="1260" w:hanging="420"/>
      <w:jc w:val="left"/>
      <w:textAlignment w:val="baseline"/>
    </w:pPr>
    <w:rPr>
      <w:bCs w:val="0"/>
      <w:kern w:val="0"/>
      <w:sz w:val="21"/>
      <w:szCs w:val="20"/>
    </w:rPr>
  </w:style>
  <w:style w:type="character" w:customStyle="1" w:styleId="229">
    <w:name w:val="纯文本 Char1"/>
    <w:basedOn w:val="60"/>
    <w:qFormat/>
    <w:uiPriority w:val="0"/>
    <w:rPr>
      <w:rFonts w:ascii="宋体" w:hAnsi="Courier New" w:eastAsia="宋体" w:cs="Courier New"/>
      <w:szCs w:val="21"/>
    </w:rPr>
  </w:style>
  <w:style w:type="character" w:customStyle="1" w:styleId="230">
    <w:name w:val="HTML 预设格式 字符"/>
    <w:basedOn w:val="60"/>
    <w:link w:val="51"/>
    <w:qFormat/>
    <w:uiPriority w:val="99"/>
    <w:rPr>
      <w:rFonts w:ascii="宋体" w:hAnsi="宋体"/>
      <w:sz w:val="24"/>
      <w:szCs w:val="24"/>
    </w:rPr>
  </w:style>
  <w:style w:type="paragraph" w:customStyle="1" w:styleId="231">
    <w:name w:val="Char1 Char Char Char"/>
    <w:basedOn w:val="1"/>
    <w:qFormat/>
    <w:uiPriority w:val="0"/>
    <w:rPr>
      <w:szCs w:val="20"/>
    </w:rPr>
  </w:style>
  <w:style w:type="paragraph" w:customStyle="1" w:styleId="232">
    <w:name w:val="Char1"/>
    <w:basedOn w:val="1"/>
    <w:qFormat/>
    <w:uiPriority w:val="0"/>
    <w:pPr>
      <w:widowControl/>
      <w:spacing w:after="160" w:line="240" w:lineRule="exact"/>
      <w:jc w:val="left"/>
    </w:pPr>
    <w:rPr>
      <w:sz w:val="24"/>
    </w:rPr>
  </w:style>
  <w:style w:type="paragraph" w:customStyle="1" w:styleId="233">
    <w:name w:val="默认段落字体 Para Char"/>
    <w:basedOn w:val="1"/>
    <w:qFormat/>
    <w:uiPriority w:val="0"/>
  </w:style>
  <w:style w:type="paragraph" w:customStyle="1" w:styleId="234">
    <w:name w:val="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235">
    <w:name w:val="普通(网站)1"/>
    <w:basedOn w:val="1"/>
    <w:qFormat/>
    <w:uiPriority w:val="0"/>
    <w:pPr>
      <w:widowControl/>
      <w:spacing w:before="100" w:beforeAutospacing="1" w:after="100" w:afterAutospacing="1"/>
      <w:jc w:val="left"/>
    </w:pPr>
    <w:rPr>
      <w:rFonts w:ascii="宋体" w:hAnsi="宋体"/>
      <w:kern w:val="0"/>
      <w:sz w:val="24"/>
    </w:rPr>
  </w:style>
  <w:style w:type="paragraph" w:customStyle="1" w:styleId="236">
    <w:name w:val="Char Char2 Char"/>
    <w:basedOn w:val="1"/>
    <w:qFormat/>
    <w:uiPriority w:val="0"/>
    <w:rPr>
      <w:rFonts w:ascii="宋体" w:hAnsi="宋体"/>
      <w:b/>
      <w:sz w:val="28"/>
      <w:szCs w:val="28"/>
    </w:rPr>
  </w:style>
  <w:style w:type="character" w:customStyle="1" w:styleId="237">
    <w:name w:val="正文缩进 字符"/>
    <w:link w:val="25"/>
    <w:qFormat/>
    <w:uiPriority w:val="0"/>
    <w:rPr>
      <w:b/>
      <w:kern w:val="2"/>
      <w:sz w:val="24"/>
    </w:rPr>
  </w:style>
  <w:style w:type="paragraph" w:customStyle="1" w:styleId="238">
    <w:name w:val="Char Char Char"/>
    <w:basedOn w:val="1"/>
    <w:qFormat/>
    <w:uiPriority w:val="0"/>
    <w:rPr>
      <w:rFonts w:ascii="宋体" w:hAnsi="宋体"/>
      <w:b/>
      <w:sz w:val="28"/>
      <w:szCs w:val="28"/>
    </w:rPr>
  </w:style>
  <w:style w:type="paragraph" w:customStyle="1" w:styleId="239">
    <w:name w:val="Char2"/>
    <w:basedOn w:val="1"/>
    <w:qFormat/>
    <w:uiPriority w:val="0"/>
    <w:pPr>
      <w:widowControl/>
      <w:spacing w:after="160" w:line="240" w:lineRule="exact"/>
      <w:jc w:val="left"/>
    </w:pPr>
    <w:rPr>
      <w:szCs w:val="20"/>
    </w:rPr>
  </w:style>
  <w:style w:type="paragraph" w:customStyle="1" w:styleId="240">
    <w:name w:val="a"/>
    <w:basedOn w:val="1"/>
    <w:qFormat/>
    <w:uiPriority w:val="0"/>
    <w:pPr>
      <w:widowControl/>
      <w:spacing w:before="100" w:beforeAutospacing="1" w:after="100" w:afterAutospacing="1"/>
      <w:jc w:val="left"/>
    </w:pPr>
    <w:rPr>
      <w:rFonts w:ascii="宋体" w:hAnsi="宋体" w:cs="宋体"/>
      <w:kern w:val="0"/>
      <w:sz w:val="24"/>
    </w:rPr>
  </w:style>
  <w:style w:type="character" w:customStyle="1" w:styleId="241">
    <w:name w:val="description5"/>
    <w:basedOn w:val="60"/>
    <w:qFormat/>
    <w:uiPriority w:val="0"/>
  </w:style>
  <w:style w:type="character" w:styleId="242">
    <w:name w:val="Placeholder Text"/>
    <w:semiHidden/>
    <w:qFormat/>
    <w:uiPriority w:val="99"/>
    <w:rPr>
      <w:color w:val="808080"/>
    </w:rPr>
  </w:style>
  <w:style w:type="paragraph" w:customStyle="1" w:styleId="243">
    <w:name w:val="Table Paragraph"/>
    <w:basedOn w:val="1"/>
    <w:qFormat/>
    <w:uiPriority w:val="1"/>
    <w:pPr>
      <w:autoSpaceDE w:val="0"/>
      <w:autoSpaceDN w:val="0"/>
      <w:adjustRightInd w:val="0"/>
      <w:jc w:val="left"/>
    </w:pPr>
    <w:rPr>
      <w:kern w:val="0"/>
      <w:sz w:val="24"/>
    </w:rPr>
  </w:style>
  <w:style w:type="character" w:customStyle="1" w:styleId="244">
    <w:name w:val="Char Char7"/>
    <w:qFormat/>
    <w:locked/>
    <w:uiPriority w:val="0"/>
    <w:rPr>
      <w:rFonts w:ascii="Tahoma" w:hAnsi="Tahoma" w:eastAsia="微软雅黑"/>
      <w:b/>
      <w:bCs/>
      <w:sz w:val="32"/>
      <w:szCs w:val="32"/>
      <w:lang w:val="en-US" w:eastAsia="zh-CN" w:bidi="ar-SA"/>
    </w:rPr>
  </w:style>
  <w:style w:type="character" w:customStyle="1" w:styleId="245">
    <w:name w:val="font01"/>
    <w:qFormat/>
    <w:uiPriority w:val="0"/>
    <w:rPr>
      <w:rFonts w:hint="eastAsia" w:ascii="宋体" w:hAnsi="宋体" w:eastAsia="宋体" w:cs="宋体"/>
      <w:color w:val="000000"/>
      <w:sz w:val="20"/>
      <w:szCs w:val="20"/>
      <w:u w:val="none"/>
    </w:rPr>
  </w:style>
  <w:style w:type="character" w:customStyle="1" w:styleId="246">
    <w:name w:val="font81"/>
    <w:qFormat/>
    <w:uiPriority w:val="0"/>
    <w:rPr>
      <w:rFonts w:hint="eastAsia" w:ascii="宋体" w:hAnsi="宋体" w:eastAsia="宋体" w:cs="宋体"/>
      <w:color w:val="000000"/>
      <w:sz w:val="22"/>
      <w:szCs w:val="22"/>
      <w:u w:val="none"/>
    </w:rPr>
  </w:style>
  <w:style w:type="character" w:customStyle="1" w:styleId="247">
    <w:name w:val="font71"/>
    <w:qFormat/>
    <w:uiPriority w:val="0"/>
    <w:rPr>
      <w:rFonts w:hint="eastAsia" w:ascii="宋体" w:hAnsi="宋体" w:eastAsia="宋体" w:cs="宋体"/>
      <w:color w:val="000000"/>
      <w:sz w:val="22"/>
      <w:szCs w:val="22"/>
      <w:u w:val="none"/>
    </w:rPr>
  </w:style>
  <w:style w:type="character" w:customStyle="1" w:styleId="248">
    <w:name w:val="font51"/>
    <w:qFormat/>
    <w:uiPriority w:val="0"/>
    <w:rPr>
      <w:rFonts w:hint="default" w:ascii="Calibri" w:hAnsi="Calibri" w:cs="Calibri"/>
      <w:color w:val="000000"/>
      <w:sz w:val="22"/>
      <w:szCs w:val="22"/>
      <w:u w:val="none"/>
    </w:rPr>
  </w:style>
  <w:style w:type="character" w:customStyle="1" w:styleId="249">
    <w:name w:val="font61"/>
    <w:qFormat/>
    <w:uiPriority w:val="0"/>
    <w:rPr>
      <w:rFonts w:hint="default" w:ascii="Calibri" w:hAnsi="Calibri" w:cs="Calibri"/>
      <w:color w:val="000000"/>
      <w:sz w:val="22"/>
      <w:szCs w:val="22"/>
      <w:u w:val="none"/>
    </w:rPr>
  </w:style>
  <w:style w:type="character" w:customStyle="1" w:styleId="250">
    <w:name w:val="font41"/>
    <w:qFormat/>
    <w:uiPriority w:val="0"/>
    <w:rPr>
      <w:rFonts w:hint="eastAsia" w:ascii="宋体" w:hAnsi="宋体" w:eastAsia="宋体" w:cs="宋体"/>
      <w:color w:val="000000"/>
      <w:sz w:val="22"/>
      <w:szCs w:val="22"/>
      <w:u w:val="none"/>
    </w:rPr>
  </w:style>
  <w:style w:type="character" w:customStyle="1" w:styleId="251">
    <w:name w:val="未处理的提及2"/>
    <w:basedOn w:val="60"/>
    <w:semiHidden/>
    <w:unhideWhenUsed/>
    <w:qFormat/>
    <w:uiPriority w:val="99"/>
    <w:rPr>
      <w:color w:val="605E5C"/>
      <w:shd w:val="clear" w:color="auto" w:fill="E1DFDD"/>
    </w:rPr>
  </w:style>
  <w:style w:type="character" w:customStyle="1" w:styleId="252">
    <w:name w:val="未处理的提及3"/>
    <w:basedOn w:val="60"/>
    <w:semiHidden/>
    <w:unhideWhenUsed/>
    <w:qFormat/>
    <w:uiPriority w:val="99"/>
    <w:rPr>
      <w:color w:val="605E5C"/>
      <w:shd w:val="clear" w:color="auto" w:fill="E1DFDD"/>
    </w:rPr>
  </w:style>
  <w:style w:type="paragraph" w:customStyle="1" w:styleId="253">
    <w:name w:val="_Style 234"/>
    <w:basedOn w:val="1"/>
    <w:next w:val="74"/>
    <w:qFormat/>
    <w:uiPriority w:val="34"/>
    <w:pPr>
      <w:spacing w:line="400" w:lineRule="exact"/>
      <w:ind w:left="420" w:firstLine="420" w:firstLineChars="200"/>
    </w:pPr>
    <w:rPr>
      <w:rFonts w:ascii="Calibri" w:hAnsi="Calibri"/>
    </w:rPr>
  </w:style>
  <w:style w:type="character" w:customStyle="1" w:styleId="254">
    <w:name w:val="列表段落 字符"/>
    <w:link w:val="74"/>
    <w:qFormat/>
    <w:locked/>
    <w:uiPriority w:val="99"/>
    <w:rPr>
      <w:kern w:val="2"/>
      <w:sz w:val="21"/>
      <w:szCs w:val="24"/>
    </w:rPr>
  </w:style>
  <w:style w:type="character" w:customStyle="1" w:styleId="255">
    <w:name w:val="彩色列表 - 强调文字颜色 1字符"/>
    <w:qFormat/>
    <w:uiPriority w:val="34"/>
    <w:rPr>
      <w:rFonts w:ascii="Calibri" w:hAnsi="Calibri"/>
      <w:kern w:val="2"/>
      <w:sz w:val="21"/>
      <w:szCs w:val="24"/>
    </w:rPr>
  </w:style>
  <w:style w:type="character" w:customStyle="1" w:styleId="256">
    <w:name w:val="批注主题 字符1"/>
    <w:basedOn w:val="208"/>
    <w:semiHidden/>
    <w:qFormat/>
    <w:uiPriority w:val="99"/>
    <w:rPr>
      <w:rFonts w:ascii="Calibri" w:hAnsi="Calibri" w:eastAsia="宋体" w:cs="Times New Roman"/>
      <w:b/>
      <w:bCs/>
      <w:sz w:val="24"/>
      <w:szCs w:val="24"/>
    </w:rPr>
  </w:style>
  <w:style w:type="character" w:customStyle="1" w:styleId="257">
    <w:name w:val="正文文本缩进 2 字符1"/>
    <w:basedOn w:val="60"/>
    <w:semiHidden/>
    <w:qFormat/>
    <w:uiPriority w:val="99"/>
    <w:rPr>
      <w:rFonts w:ascii="Calibri" w:hAnsi="Calibri" w:eastAsia="宋体" w:cs="Times New Roman"/>
      <w:szCs w:val="24"/>
    </w:rPr>
  </w:style>
  <w:style w:type="character" w:customStyle="1" w:styleId="258">
    <w:name w:val="标题 字符1"/>
    <w:basedOn w:val="60"/>
    <w:qFormat/>
    <w:uiPriority w:val="10"/>
    <w:rPr>
      <w:rFonts w:asciiTheme="majorHAnsi" w:hAnsiTheme="majorHAnsi" w:eastAsiaTheme="majorEastAsia" w:cstheme="majorBidi"/>
      <w:b/>
      <w:bCs/>
      <w:sz w:val="32"/>
      <w:szCs w:val="32"/>
    </w:rPr>
  </w:style>
  <w:style w:type="character" w:customStyle="1" w:styleId="259">
    <w:name w:val="正文文本缩进 字符1"/>
    <w:basedOn w:val="60"/>
    <w:semiHidden/>
    <w:qFormat/>
    <w:uiPriority w:val="99"/>
    <w:rPr>
      <w:rFonts w:ascii="Calibri" w:hAnsi="Calibri" w:eastAsia="宋体" w:cs="Times New Roman"/>
      <w:szCs w:val="24"/>
    </w:rPr>
  </w:style>
  <w:style w:type="character" w:customStyle="1" w:styleId="260">
    <w:name w:val="副标题 字符1"/>
    <w:basedOn w:val="60"/>
    <w:qFormat/>
    <w:uiPriority w:val="11"/>
    <w:rPr>
      <w:b/>
      <w:bCs/>
      <w:kern w:val="28"/>
      <w:sz w:val="32"/>
      <w:szCs w:val="32"/>
    </w:rPr>
  </w:style>
  <w:style w:type="character" w:customStyle="1" w:styleId="261">
    <w:name w:val="日期 字符1"/>
    <w:basedOn w:val="60"/>
    <w:semiHidden/>
    <w:qFormat/>
    <w:uiPriority w:val="99"/>
    <w:rPr>
      <w:rFonts w:ascii="Calibri" w:hAnsi="Calibri" w:eastAsia="宋体" w:cs="Times New Roman"/>
      <w:szCs w:val="24"/>
    </w:rPr>
  </w:style>
  <w:style w:type="paragraph" w:customStyle="1" w:styleId="262">
    <w:name w:val="修订2"/>
    <w:unhideWhenUsed/>
    <w:qFormat/>
    <w:uiPriority w:val="99"/>
    <w:rPr>
      <w:rFonts w:ascii="Calibri" w:hAnsi="Calibri" w:eastAsia="宋体" w:cs="Times New Roman"/>
      <w:kern w:val="2"/>
      <w:sz w:val="21"/>
      <w:szCs w:val="24"/>
      <w:lang w:val="en-US" w:eastAsia="zh-CN" w:bidi="ar-SA"/>
    </w:rPr>
  </w:style>
  <w:style w:type="character" w:customStyle="1" w:styleId="263">
    <w:name w:val="正文文本 字符1"/>
    <w:basedOn w:val="60"/>
    <w:semiHidden/>
    <w:qFormat/>
    <w:uiPriority w:val="99"/>
    <w:rPr>
      <w:rFonts w:ascii="Calibri" w:hAnsi="Calibri" w:eastAsia="宋体" w:cs="Times New Roman"/>
      <w:szCs w:val="24"/>
    </w:rPr>
  </w:style>
  <w:style w:type="character" w:customStyle="1" w:styleId="264">
    <w:name w:val="批注框文本 字符1"/>
    <w:basedOn w:val="60"/>
    <w:semiHidden/>
    <w:qFormat/>
    <w:uiPriority w:val="99"/>
    <w:rPr>
      <w:rFonts w:ascii="Calibri" w:hAnsi="Calibri" w:eastAsia="宋体" w:cs="Times New Roman"/>
      <w:sz w:val="18"/>
      <w:szCs w:val="18"/>
    </w:rPr>
  </w:style>
  <w:style w:type="paragraph" w:customStyle="1" w:styleId="265">
    <w:name w:val="小四 段落 宋体 Char Char Char"/>
    <w:basedOn w:val="24"/>
    <w:qFormat/>
    <w:uiPriority w:val="0"/>
    <w:pPr>
      <w:numPr>
        <w:ilvl w:val="0"/>
        <w:numId w:val="0"/>
      </w:numPr>
      <w:spacing w:line="360" w:lineRule="auto"/>
      <w:ind w:right="-33" w:firstLine="480" w:firstLineChars="200"/>
      <w:jc w:val="left"/>
    </w:pPr>
    <w:rPr>
      <w:rFonts w:ascii="Times New Roman" w:hAnsi="Times New Roman"/>
      <w:sz w:val="24"/>
      <w:szCs w:val="20"/>
    </w:rPr>
  </w:style>
  <w:style w:type="character" w:customStyle="1" w:styleId="266">
    <w:name w:val="纯文本 字符1"/>
    <w:basedOn w:val="60"/>
    <w:semiHidden/>
    <w:qFormat/>
    <w:uiPriority w:val="99"/>
    <w:rPr>
      <w:rFonts w:hAnsi="Courier New" w:cs="Courier New" w:asciiTheme="minorEastAsia"/>
      <w:szCs w:val="24"/>
    </w:rPr>
  </w:style>
  <w:style w:type="character" w:customStyle="1" w:styleId="267">
    <w:name w:val="文档结构图 字符1"/>
    <w:basedOn w:val="60"/>
    <w:semiHidden/>
    <w:qFormat/>
    <w:uiPriority w:val="99"/>
    <w:rPr>
      <w:rFonts w:ascii="Microsoft YaHei UI" w:hAnsi="Calibri" w:eastAsia="Microsoft YaHei UI" w:cs="Times New Roman"/>
      <w:sz w:val="18"/>
      <w:szCs w:val="18"/>
    </w:rPr>
  </w:style>
  <w:style w:type="character" w:customStyle="1" w:styleId="268">
    <w:name w:val="正文文本 3 字符1"/>
    <w:basedOn w:val="60"/>
    <w:semiHidden/>
    <w:qFormat/>
    <w:uiPriority w:val="99"/>
    <w:rPr>
      <w:rFonts w:ascii="Calibri" w:hAnsi="Calibri" w:eastAsia="宋体" w:cs="Times New Roman"/>
      <w:sz w:val="16"/>
      <w:szCs w:val="16"/>
    </w:rPr>
  </w:style>
  <w:style w:type="paragraph" w:customStyle="1" w:styleId="269">
    <w:name w:val="_Style 106"/>
    <w:basedOn w:val="1"/>
    <w:next w:val="74"/>
    <w:qFormat/>
    <w:uiPriority w:val="34"/>
    <w:pPr>
      <w:spacing w:line="400" w:lineRule="exact"/>
      <w:ind w:left="420" w:firstLine="420" w:firstLineChars="200"/>
    </w:pPr>
    <w:rPr>
      <w:rFonts w:ascii="Calibri" w:hAnsi="Calibri"/>
    </w:rPr>
  </w:style>
  <w:style w:type="character" w:customStyle="1" w:styleId="270">
    <w:name w:val="正文文本缩进 3 字符1"/>
    <w:basedOn w:val="60"/>
    <w:semiHidden/>
    <w:qFormat/>
    <w:uiPriority w:val="99"/>
    <w:rPr>
      <w:rFonts w:ascii="Calibri" w:hAnsi="Calibri" w:eastAsia="宋体" w:cs="Times New Roman"/>
      <w:sz w:val="16"/>
      <w:szCs w:val="16"/>
    </w:rPr>
  </w:style>
  <w:style w:type="character" w:customStyle="1" w:styleId="271">
    <w:name w:val="未处理的提及4"/>
    <w:basedOn w:val="60"/>
    <w:semiHidden/>
    <w:unhideWhenUsed/>
    <w:qFormat/>
    <w:uiPriority w:val="99"/>
    <w:rPr>
      <w:color w:val="605E5C"/>
      <w:shd w:val="clear" w:color="auto" w:fill="E1DFDD"/>
    </w:rPr>
  </w:style>
  <w:style w:type="character" w:customStyle="1" w:styleId="272">
    <w:name w:val="未处理的提及5"/>
    <w:basedOn w:val="60"/>
    <w:semiHidden/>
    <w:unhideWhenUsed/>
    <w:qFormat/>
    <w:uiPriority w:val="99"/>
    <w:rPr>
      <w:color w:val="605E5C"/>
      <w:shd w:val="clear" w:color="auto" w:fill="E1DFDD"/>
    </w:rPr>
  </w:style>
  <w:style w:type="character" w:customStyle="1" w:styleId="273">
    <w:name w:val="未处理的提及6"/>
    <w:basedOn w:val="60"/>
    <w:semiHidden/>
    <w:unhideWhenUsed/>
    <w:qFormat/>
    <w:uiPriority w:val="99"/>
    <w:rPr>
      <w:color w:val="605E5C"/>
      <w:shd w:val="clear" w:color="auto" w:fill="E1DFDD"/>
    </w:rPr>
  </w:style>
  <w:style w:type="character" w:customStyle="1" w:styleId="274">
    <w:name w:val="font101"/>
    <w:qFormat/>
    <w:uiPriority w:val="0"/>
    <w:rPr>
      <w:rFonts w:ascii="PingFangTC-light" w:hAnsi="PingFangTC-light" w:eastAsia="PingFangTC-light" w:cs="PingFangTC-light"/>
      <w:color w:val="FF0000"/>
      <w:sz w:val="22"/>
      <w:szCs w:val="22"/>
      <w:u w:val="none"/>
    </w:rPr>
  </w:style>
  <w:style w:type="character" w:customStyle="1" w:styleId="275">
    <w:name w:val="font112"/>
    <w:qFormat/>
    <w:uiPriority w:val="0"/>
    <w:rPr>
      <w:rFonts w:ascii="Calibri" w:hAnsi="Calibri" w:cs="Calibri"/>
      <w:color w:val="FF0000"/>
      <w:sz w:val="21"/>
      <w:szCs w:val="21"/>
      <w:u w:val="none"/>
    </w:rPr>
  </w:style>
  <w:style w:type="character" w:customStyle="1" w:styleId="276">
    <w:name w:val="font121"/>
    <w:qFormat/>
    <w:uiPriority w:val="0"/>
    <w:rPr>
      <w:rFonts w:hint="eastAsia" w:ascii="宋体" w:hAnsi="宋体" w:eastAsia="宋体" w:cs="宋体"/>
      <w:color w:val="000000"/>
      <w:sz w:val="20"/>
      <w:szCs w:val="20"/>
      <w:u w:val="none"/>
    </w:rPr>
  </w:style>
  <w:style w:type="character" w:customStyle="1" w:styleId="277">
    <w:name w:val="纯文本 Char"/>
    <w:qFormat/>
    <w:uiPriority w:val="0"/>
    <w:rPr>
      <w:rFonts w:ascii="宋体" w:hAnsi="Courier New" w:eastAsia="宋体" w:cs="Courier New"/>
      <w:szCs w:val="21"/>
    </w:rPr>
  </w:style>
  <w:style w:type="character" w:customStyle="1" w:styleId="278">
    <w:name w:val="NormalCharacter"/>
    <w:qFormat/>
    <w:uiPriority w:val="0"/>
    <w:rPr>
      <w:rFonts w:ascii="Times New Roman" w:hAnsi="Times New Roman" w:eastAsia="宋体" w:cs="Times New Roman"/>
      <w:kern w:val="2"/>
      <w:sz w:val="21"/>
      <w:szCs w:val="22"/>
      <w:lang w:val="en-US" w:eastAsia="zh-CN" w:bidi="ar-SA"/>
    </w:rPr>
  </w:style>
  <w:style w:type="paragraph" w:customStyle="1" w:styleId="27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280">
    <w:name w:val="列表段落1"/>
    <w:basedOn w:val="1"/>
    <w:qFormat/>
    <w:uiPriority w:val="99"/>
    <w:pPr>
      <w:ind w:firstLine="420" w:firstLineChars="200"/>
    </w:pPr>
    <w:rPr>
      <w:szCs w:val="20"/>
    </w:rPr>
  </w:style>
  <w:style w:type="character" w:customStyle="1" w:styleId="281">
    <w:name w:val="fontstyle31"/>
    <w:qFormat/>
    <w:uiPriority w:val="0"/>
    <w:rPr>
      <w:rFonts w:hint="default" w:ascii="TimesNewRomanPS-BoldMT" w:hAnsi="TimesNewRomanPS-BoldMT"/>
      <w:b/>
      <w:bCs/>
      <w:color w:val="000000"/>
      <w:sz w:val="22"/>
      <w:szCs w:val="22"/>
    </w:rPr>
  </w:style>
  <w:style w:type="paragraph" w:customStyle="1" w:styleId="282">
    <w:name w:val="正文 New"/>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83">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284">
    <w:name w:val="表格非标题文字"/>
    <w:qFormat/>
    <w:uiPriority w:val="0"/>
    <w:pPr>
      <w:snapToGrid w:val="0"/>
      <w:spacing w:before="80" w:after="40"/>
    </w:pPr>
    <w:rPr>
      <w:rFonts w:ascii="Arial" w:hAnsi="Arial" w:eastAsia="宋体" w:cs="Arial"/>
      <w:kern w:val="2"/>
      <w:sz w:val="18"/>
      <w:szCs w:val="21"/>
      <w:lang w:val="en-US" w:eastAsia="zh-CN" w:bidi="ar-SA"/>
    </w:rPr>
  </w:style>
  <w:style w:type="paragraph" w:customStyle="1" w:styleId="285">
    <w:name w:val="招标"/>
    <w:basedOn w:val="1"/>
    <w:qFormat/>
    <w:uiPriority w:val="0"/>
    <w:pPr>
      <w:spacing w:line="400" w:lineRule="exact"/>
      <w:ind w:firstLine="420" w:firstLineChars="200"/>
      <w:jc w:val="left"/>
    </w:pPr>
    <w:rPr>
      <w:rFonts w:ascii="宋体" w:hAnsi="宋体"/>
    </w:rPr>
  </w:style>
  <w:style w:type="paragraph" w:customStyle="1" w:styleId="286">
    <w:name w:val="修订3"/>
    <w:hidden/>
    <w:unhideWhenUsed/>
    <w:qFormat/>
    <w:uiPriority w:val="99"/>
    <w:rPr>
      <w:rFonts w:ascii="Times New Roman" w:hAnsi="Times New Roman" w:eastAsia="宋体" w:cs="Times New Roman"/>
      <w:kern w:val="2"/>
      <w:sz w:val="21"/>
      <w:szCs w:val="24"/>
      <w:lang w:val="en-US" w:eastAsia="zh-CN" w:bidi="ar-SA"/>
    </w:rPr>
  </w:style>
  <w:style w:type="paragraph" w:customStyle="1" w:styleId="287">
    <w:name w:val="二级目录"/>
    <w:next w:val="1"/>
    <w:qFormat/>
    <w:uiPriority w:val="99"/>
    <w:pPr>
      <w:numPr>
        <w:ilvl w:val="0"/>
        <w:numId w:val="4"/>
      </w:numPr>
      <w:spacing w:after="160" w:line="259" w:lineRule="auto"/>
      <w:outlineLvl w:val="1"/>
    </w:pPr>
    <w:rPr>
      <w:rFonts w:ascii="Calibri" w:hAnsi="Calibri" w:eastAsia="宋体" w:cs="Times New Roman"/>
      <w:b/>
      <w:bCs/>
      <w:kern w:val="2"/>
      <w:sz w:val="28"/>
      <w:szCs w:val="28"/>
      <w:lang w:val="en-US" w:eastAsia="zh-CN" w:bidi="ar-SA"/>
    </w:rPr>
  </w:style>
  <w:style w:type="paragraph" w:customStyle="1" w:styleId="288">
    <w:name w:val="修订4"/>
    <w:hidden/>
    <w:unhideWhenUsed/>
    <w:qFormat/>
    <w:uiPriority w:val="99"/>
    <w:rPr>
      <w:rFonts w:ascii="Times New Roman" w:hAnsi="Times New Roman" w:eastAsia="宋体" w:cs="Times New Roman"/>
      <w:kern w:val="2"/>
      <w:sz w:val="21"/>
      <w:szCs w:val="24"/>
      <w:lang w:val="en-US" w:eastAsia="zh-CN" w:bidi="ar-SA"/>
    </w:rPr>
  </w:style>
  <w:style w:type="paragraph" w:customStyle="1" w:styleId="289">
    <w:name w:val="修订5"/>
    <w:hidden/>
    <w:unhideWhenUsed/>
    <w:qFormat/>
    <w:uiPriority w:val="99"/>
    <w:rPr>
      <w:rFonts w:ascii="Times New Roman" w:hAnsi="Times New Roman" w:eastAsia="宋体" w:cs="Times New Roman"/>
      <w:kern w:val="2"/>
      <w:sz w:val="21"/>
      <w:szCs w:val="24"/>
      <w:lang w:val="en-US" w:eastAsia="zh-CN" w:bidi="ar-SA"/>
    </w:rPr>
  </w:style>
  <w:style w:type="paragraph" w:customStyle="1" w:styleId="290">
    <w:name w:val="修订6"/>
    <w:hidden/>
    <w:unhideWhenUsed/>
    <w:qFormat/>
    <w:uiPriority w:val="99"/>
    <w:rPr>
      <w:rFonts w:ascii="Times New Roman" w:hAnsi="Times New Roman" w:eastAsia="宋体" w:cs="Times New Roman"/>
      <w:kern w:val="2"/>
      <w:sz w:val="21"/>
      <w:szCs w:val="24"/>
      <w:lang w:val="en-US" w:eastAsia="zh-CN" w:bidi="ar-SA"/>
    </w:rPr>
  </w:style>
  <w:style w:type="paragraph" w:customStyle="1" w:styleId="291">
    <w:name w:val="修订7"/>
    <w:hidden/>
    <w:unhideWhenUsed/>
    <w:qFormat/>
    <w:uiPriority w:val="99"/>
    <w:rPr>
      <w:rFonts w:ascii="Times New Roman" w:hAnsi="Times New Roman" w:eastAsia="宋体" w:cs="Times New Roman"/>
      <w:kern w:val="2"/>
      <w:sz w:val="21"/>
      <w:szCs w:val="24"/>
      <w:lang w:val="en-US" w:eastAsia="zh-CN" w:bidi="ar-SA"/>
    </w:rPr>
  </w:style>
  <w:style w:type="paragraph" w:customStyle="1" w:styleId="292">
    <w:name w:val="索引 41"/>
    <w:basedOn w:val="1"/>
    <w:next w:val="1"/>
    <w:qFormat/>
    <w:uiPriority w:val="2"/>
    <w:pPr>
      <w:ind w:left="1260"/>
    </w:pPr>
    <w:rPr>
      <w:rFonts w:ascii="Calibri" w:hAnsi="Calibri" w:eastAsia="Calibri" w:cs="宋体"/>
      <w:sz w:val="20"/>
      <w:lang w:val="zh-CN"/>
    </w:rPr>
  </w:style>
  <w:style w:type="paragraph" w:customStyle="1" w:styleId="293">
    <w:name w:val="正文缩进1"/>
    <w:basedOn w:val="1"/>
    <w:qFormat/>
    <w:uiPriority w:val="0"/>
    <w:pPr>
      <w:ind w:firstLine="420"/>
    </w:pPr>
    <w:rPr>
      <w:sz w:val="20"/>
    </w:rPr>
  </w:style>
  <w:style w:type="paragraph" w:customStyle="1" w:styleId="294">
    <w:name w:val="索引 11"/>
    <w:basedOn w:val="1"/>
    <w:next w:val="1"/>
    <w:semiHidden/>
    <w:qFormat/>
    <w:uiPriority w:val="0"/>
    <w:pPr>
      <w:spacing w:line="240" w:lineRule="atLeast"/>
    </w:pPr>
    <w:rPr>
      <w:b/>
      <w:bCs/>
    </w:rPr>
  </w:style>
  <w:style w:type="paragraph" w:customStyle="1" w:styleId="295">
    <w:name w:val="纯文本11"/>
    <w:basedOn w:val="1"/>
    <w:qFormat/>
    <w:uiPriority w:val="0"/>
    <w:rPr>
      <w:rFonts w:ascii="宋体" w:hAnsi="Courier New"/>
      <w:sz w:val="20"/>
    </w:rPr>
  </w:style>
  <w:style w:type="character" w:customStyle="1" w:styleId="296">
    <w:name w:val="标题 1 字符1"/>
    <w:link w:val="13"/>
    <w:qFormat/>
    <w:uiPriority w:val="0"/>
    <w:rPr>
      <w:b/>
      <w:bCs/>
      <w:kern w:val="44"/>
      <w:sz w:val="32"/>
      <w:szCs w:val="44"/>
    </w:rPr>
  </w:style>
  <w:style w:type="paragraph" w:customStyle="1" w:styleId="297">
    <w:name w:val="p19"/>
    <w:basedOn w:val="1"/>
    <w:qFormat/>
    <w:uiPriority w:val="0"/>
    <w:pPr>
      <w:widowControl/>
    </w:pPr>
    <w:rPr>
      <w:rFonts w:ascii="宋体" w:hAnsi="宋体" w:cs="宋体"/>
      <w:b/>
      <w:color w:val="000000"/>
      <w:position w:val="-10"/>
      <w:sz w:val="28"/>
      <w:szCs w:val="28"/>
    </w:rPr>
  </w:style>
  <w:style w:type="paragraph" w:customStyle="1" w:styleId="298">
    <w:name w:val="纯文本1"/>
    <w:basedOn w:val="1"/>
    <w:qFormat/>
    <w:uiPriority w:val="0"/>
    <w:rPr>
      <w:rFonts w:ascii="宋体" w:hAnsi="Courier New"/>
      <w:sz w:val="20"/>
    </w:rPr>
  </w:style>
  <w:style w:type="table" w:customStyle="1" w:styleId="299">
    <w:name w:val="Table Normal"/>
    <w:qFormat/>
    <w:uiPriority w:val="0"/>
    <w:tblPr>
      <w:tblCellMar>
        <w:top w:w="0" w:type="dxa"/>
        <w:left w:w="0" w:type="dxa"/>
        <w:bottom w:w="0" w:type="dxa"/>
        <w:right w:w="0" w:type="dxa"/>
      </w:tblCellMar>
    </w:tblPr>
  </w:style>
  <w:style w:type="paragraph" w:customStyle="1" w:styleId="300">
    <w:name w:val="修订8"/>
    <w:hidden/>
    <w:unhideWhenUsed/>
    <w:qFormat/>
    <w:uiPriority w:val="99"/>
    <w:rPr>
      <w:rFonts w:ascii="Times New Roman" w:hAnsi="Times New Roman" w:eastAsia="宋体" w:cs="Times New Roman"/>
      <w:kern w:val="2"/>
      <w:sz w:val="21"/>
      <w:szCs w:val="24"/>
      <w:lang w:val="en-US" w:eastAsia="zh-CN" w:bidi="ar-SA"/>
    </w:rPr>
  </w:style>
  <w:style w:type="paragraph" w:customStyle="1" w:styleId="301">
    <w:name w:val="(符号)标书正文"/>
    <w:basedOn w:val="1"/>
    <w:qFormat/>
    <w:uiPriority w:val="0"/>
    <w:pPr>
      <w:spacing w:before="100" w:beforeAutospacing="1" w:after="100" w:afterAutospacing="1" w:line="460" w:lineRule="exact"/>
      <w:ind w:left="420"/>
    </w:pPr>
    <w:rPr>
      <w:rFonts w:ascii="宋体" w:hAnsi="宋体"/>
      <w:color w:val="000000"/>
      <w:szCs w:val="22"/>
    </w:rPr>
  </w:style>
  <w:style w:type="paragraph" w:customStyle="1" w:styleId="302">
    <w:name w:val="修订9"/>
    <w:hidden/>
    <w:unhideWhenUsed/>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0A5FB8E-056E-4C44-B095-E7A633E2569E}">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55</Pages>
  <Words>68</Words>
  <Characters>114</Characters>
  <Lines>276</Lines>
  <Paragraphs>77</Paragraphs>
  <TotalTime>18</TotalTime>
  <ScaleCrop>false</ScaleCrop>
  <LinksUpToDate>false</LinksUpToDate>
  <CharactersWithSpaces>117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2026-03-11T19:13:00Z</dcterms:created>
  <dc:creator>Lenovo User</dc:creator>
  <cp:lastModifiedBy>Maxxie D</cp:lastModifiedBy>
  <cp:lastPrinted>2026-10-15T00:47:00Z</cp:lastPrinted>
  <dcterms:modified xsi:type="dcterms:W3CDTF">2026-10-20T09:52:15Z</dcterms:modified>
  <dc:title>公开招标文件</dc:title>
  <cp:revision>310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D529C429A32F428C84DF25F664D53B0B_13</vt:lpwstr>
  </property>
  <property fmtid="{D5CDD505-2E9C-101B-9397-08002B2CF9AE}" pid="4" name="KSOTemplateDocerSaveRecord">
    <vt:lpwstr>eyJoZGlkIjoiMWVjMzU3Yjc3NDAxOThhMGJkMTk1MTkyODk4ZDRmN2MiLCJ1c2VySWQiOiIzMTg2NTgxNTYifQ==</vt:lpwstr>
  </property>
</Properties>
</file>