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highlight w:val="none"/>
        </w:rPr>
      </w:pPr>
      <w:r/>
      <w:bookmarkStart w:id="1" w:name="_Toc20823272"/>
      <w:r/>
      <w:bookmarkStart w:id="2" w:name="_Toc16938516"/>
      <w:r/>
      <w:bookmarkStart w:id="3" w:name="_Toc513029200"/>
      <w:r/>
      <w:bookmarkStart w:id="4" w:name="_Toc479757206"/>
      <w:r/>
      <w:bookmarkStart w:id="5" w:name="_Toc523127445"/>
      <w:r>
        <w:rPr>
          <w:rFonts w:hint="eastAsia" w:ascii="Arial" w:hAnsi="Arial" w:eastAsia="黑体"/>
          <w:b/>
          <w:bCs/>
          <w:color w:val="000000"/>
          <w:sz w:val="84"/>
          <w:szCs w:val="24"/>
          <w:highlight w:val="none"/>
        </w:rPr>
      </w:r>
      <w:r/>
    </w:p>
    <w:p>
      <w:pPr>
        <w:pStyle w:val="955"/>
        <w:rPr>
          <w:rFonts w:hint="eastAsia"/>
          <w:highlight w:val="none"/>
        </w:rPr>
      </w:pPr>
      <w:r>
        <w:rPr>
          <w:rFonts w:hint="eastAsia"/>
          <w:highlight w:val="none"/>
        </w:rPr>
      </w:r>
      <w:r/>
    </w:p>
    <w:p>
      <w:pPr>
        <w:pStyle w:val="972"/>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5"/>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b/>
          <w:color w:val="000000"/>
          <w:sz w:val="32"/>
          <w:szCs w:val="32"/>
        </w:rPr>
        <w:t xml:space="preserve">公立医院运营指导中心</w:t>
      </w:r>
      <w:r>
        <w:rPr>
          <w:rFonts w:eastAsia="宋体" w:cs="Times New Roman"/>
          <w:b/>
          <w:color w:val="000000"/>
          <w:sz w:val="30"/>
          <w:szCs w:val="30"/>
          <w:highlight w:val="none"/>
          <w:u w:val="single"/>
          <w:lang w:val="en-US" w:eastAsia="zh-CN"/>
        </w:rPr>
      </w:r>
      <w:r/>
    </w:p>
    <w:p>
      <w:pPr>
        <w:pStyle w:val="875"/>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JSZC-320100-JZCG-G2026-0317</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left="0" w:right="0"/>
        <w:jc w:val="both"/>
        <w:keepLines w:val="0"/>
        <w:keepNext w:val="0"/>
        <w:spacing w:before="0" w:beforeAutospacing="0" w:after="0" w:afterAutospacing="0"/>
        <w:widowControl w:val="off"/>
        <w:rPr>
          <w:color w:val="000000"/>
          <w:highlight w:val="none"/>
        </w:rPr>
        <w:suppressLineNumbers w:val="0"/>
      </w:pPr>
      <w:r>
        <w:rPr>
          <w:color w:val="000000"/>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7"/>
        <w:rPr>
          <w:rFonts w:hint="eastAsia"/>
        </w:rPr>
      </w:pPr>
      <w:r>
        <w:rPr>
          <w:rFonts w:hint="eastAsia"/>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2"/>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5"/>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75"/>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5"/>
        <w:rPr>
          <w:rFonts w:hint="eastAsia"/>
          <w:highlight w:val="none"/>
        </w:rPr>
      </w:pPr>
      <w:r>
        <w:rPr>
          <w:rFonts w:hint="eastAsia"/>
          <w:highlight w:val="none"/>
        </w:r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contextualSpacing w:val="0"/>
        <w:ind w:left="0" w:right="0" w:firstLine="0"/>
        <w:jc w:val="left"/>
        <w:spacing w:before="0" w:after="0" w:line="960" w:lineRule="auto"/>
        <w:pBdr>
          <w:top w:val="none" w:color="000000" w:sz="4" w:space="0"/>
          <w:left w:val="none" w:color="000000" w:sz="4" w:space="0"/>
          <w:bottom w:val="none" w:color="000000" w:sz="4" w:space="0"/>
          <w:right w:val="none" w:color="000000" w:sz="4" w:space="0"/>
        </w:pBdr>
        <w:suppressLineNumbers w:val="0"/>
      </w:pPr>
      <w:r>
        <w:rPr>
          <w:rFonts w:ascii="FangSong" w:hAnsi="FangSong" w:eastAsia="FangSong" w:cs="FangSong"/>
          <w:b/>
          <w:color w:val="000000"/>
          <w:sz w:val="28"/>
        </w:rPr>
        <w:t xml:space="preserve"> </w:t>
      </w:r>
      <w:r/>
    </w:p>
    <w:p>
      <w:pPr>
        <w:numPr>
          <w:ilvl w:val="0"/>
          <w:numId w:val="7"/>
        </w:numPr>
        <w:contextualSpacing w:val="0"/>
        <w:jc w:val="left"/>
        <w:spacing w:before="0" w:after="0" w:line="960" w:lineRule="auto"/>
        <w:tabs>
          <w:tab w:val="left" w:pos="1440" w:leader="none"/>
        </w:tabs>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36"/>
        </w:rPr>
        <w:t xml:space="preserve">投标邀请…………………………………… 3</w:t>
      </w:r>
      <w:r/>
    </w:p>
    <w:p>
      <w:pPr>
        <w:numPr>
          <w:ilvl w:val="0"/>
          <w:numId w:val="7"/>
        </w:numPr>
        <w:contextualSpacing w:val="0"/>
        <w:jc w:val="left"/>
        <w:spacing w:before="0" w:after="0" w:line="960" w:lineRule="auto"/>
        <w:tabs>
          <w:tab w:val="left" w:pos="1440" w:leader="none"/>
        </w:tabs>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36"/>
        </w:rPr>
        <w:t xml:space="preserve">投标人须知………………………………… 5</w:t>
      </w:r>
      <w:r/>
    </w:p>
    <w:p>
      <w:pPr>
        <w:numPr>
          <w:ilvl w:val="0"/>
          <w:numId w:val="7"/>
        </w:numPr>
        <w:contextualSpacing w:val="0"/>
        <w:jc w:val="left"/>
        <w:spacing w:before="0" w:after="0" w:line="960" w:lineRule="auto"/>
        <w:tabs>
          <w:tab w:val="left" w:pos="1440" w:leader="none"/>
        </w:tabs>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36"/>
        </w:rPr>
        <w:t xml:space="preserve">合同文本……………………………………15</w:t>
      </w:r>
      <w:r/>
    </w:p>
    <w:p>
      <w:pPr>
        <w:numPr>
          <w:ilvl w:val="0"/>
          <w:numId w:val="7"/>
        </w:numPr>
        <w:contextualSpacing w:val="0"/>
        <w:jc w:val="left"/>
        <w:spacing w:before="0" w:after="0" w:line="960" w:lineRule="auto"/>
        <w:tabs>
          <w:tab w:val="left" w:pos="1440" w:leader="none"/>
        </w:tabs>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36"/>
        </w:rPr>
        <w:t xml:space="preserve">采购需求……………………………………18</w:t>
      </w:r>
      <w:r/>
    </w:p>
    <w:p>
      <w:pPr>
        <w:numPr>
          <w:ilvl w:val="0"/>
          <w:numId w:val="7"/>
        </w:numPr>
        <w:contextualSpacing w:val="0"/>
        <w:jc w:val="left"/>
        <w:spacing w:before="0" w:after="0" w:line="960" w:lineRule="auto"/>
        <w:tabs>
          <w:tab w:val="left" w:pos="1440" w:leader="none"/>
        </w:tabs>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36"/>
        </w:rPr>
        <w:t xml:space="preserve">评标方法与评标标准………………………40</w:t>
      </w:r>
      <w:r/>
    </w:p>
    <w:p>
      <w:pPr>
        <w:numPr>
          <w:ilvl w:val="0"/>
          <w:numId w:val="7"/>
        </w:numPr>
        <w:contextualSpacing w:val="0"/>
        <w:jc w:val="left"/>
        <w:spacing w:before="0" w:after="0" w:line="960" w:lineRule="auto"/>
        <w:tabs>
          <w:tab w:val="left" w:pos="1440" w:leader="none"/>
        </w:tabs>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color w:val="000000"/>
          <w:sz w:val="36"/>
        </w:rPr>
        <w:t xml:space="preserve">投标文件格式………………………………43</w:t>
      </w:r>
      <w:r/>
    </w:p>
    <w:p>
      <w:pPr>
        <w:pStyle w:val="95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14:ligatures w14:val="none"/>
        </w:rPr>
        <w:pBdr>
          <w:top w:val="none" w:color="000000" w:sz="4" w:space="0"/>
          <w:left w:val="none" w:color="000000" w:sz="4" w:space="0"/>
          <w:bottom w:val="none" w:color="000000" w:sz="4" w:space="0"/>
          <w:right w:val="none" w:color="000000" w:sz="4" w:space="0"/>
        </w:pBdr>
      </w:pPr>
      <w: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第一章投标邀请</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03"/>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1.项目编号：JSZC-320100-JZCG-G2026-0317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2.项目名称：公立医院运营指导中心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3.预算金额：710万元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4.最高限价：677万元</w:t>
      </w:r>
      <w:r/>
    </w:p>
    <w:p>
      <w:pPr>
        <w:pStyle w:val="875"/>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rPr>
        <w:t xml:space="preserve">本项目立足</w:t>
      </w:r>
      <w:r>
        <w:rPr>
          <w:rFonts w:hint="eastAsia" w:ascii="宋体" w:hAnsi="宋体"/>
          <w:color w:val="000000"/>
          <w:sz w:val="24"/>
          <w:szCs w:val="24"/>
          <w:lang w:val="en-US" w:eastAsia="zh-CN"/>
        </w:rPr>
        <w:t xml:space="preserve">南京</w:t>
      </w:r>
      <w:r>
        <w:rPr>
          <w:rFonts w:hint="eastAsia" w:ascii="宋体" w:hAnsi="宋体"/>
          <w:color w:val="000000"/>
          <w:sz w:val="24"/>
          <w:szCs w:val="24"/>
        </w:rPr>
        <w:t xml:space="preserve">市公立医院行业监管与</w:t>
      </w:r>
      <w:r>
        <w:rPr>
          <w:rFonts w:hint="eastAsia" w:ascii="宋体" w:hAnsi="宋体"/>
          <w:color w:val="000000"/>
          <w:sz w:val="24"/>
          <w:szCs w:val="24"/>
          <w:lang w:val="en-US" w:eastAsia="zh-CN"/>
        </w:rPr>
        <w:t xml:space="preserve">鼓楼医院</w:t>
      </w:r>
      <w:r>
        <w:rPr>
          <w:rFonts w:hint="eastAsia" w:ascii="宋体" w:hAnsi="宋体"/>
          <w:color w:val="000000"/>
          <w:sz w:val="24"/>
          <w:szCs w:val="24"/>
        </w:rPr>
        <w:t xml:space="preserve">院内精益运营双重核心需求，统筹建设市级公立医院智慧化运营管理平台，搭建形成“市级统筹、头部共建、全院穿透、全域考评”的一体化智慧运营管理体系，全面实现运营数据标准化、管理流程智能化、监管决策精准化、资源配置最优化、运营管控闭环化，全方位赋能全市公立医院高质量、智能化转型发展</w:t>
      </w:r>
      <w:r>
        <w:rPr>
          <w:rFonts w:hint="eastAsia" w:ascii="宋体" w:hAnsi="宋体"/>
          <w:color w:val="000000"/>
          <w:sz w:val="24"/>
          <w:szCs w:val="24"/>
          <w:lang w:eastAsia="zh-CN"/>
        </w:rPr>
        <w:t xml:space="preserve">。</w:t>
      </w:r>
      <w:r>
        <w:rPr>
          <w:rFonts w:hint="eastAsia" w:ascii="宋体" w:hAnsi="宋体" w:cs="宋体"/>
          <w:color w:val="000000"/>
          <w:sz w:val="24"/>
          <w:szCs w:val="24"/>
        </w:rPr>
        <w:t xml:space="preserve">（详细内容见本招标文件第四章）</w:t>
      </w:r>
      <w:r>
        <w:rPr>
          <w:rFonts w:ascii="宋体" w:hAnsi="宋体"/>
          <w:color w:val="000000"/>
          <w:sz w:val="24"/>
          <w:szCs w:val="24"/>
          <w:highlight w:val="none"/>
          <w:u w:val="single"/>
        </w:rPr>
      </w:r>
      <w:r/>
    </w:p>
    <w:p>
      <w:pPr>
        <w:pStyle w:val="875"/>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ascii="宋体" w:hAnsi="宋体"/>
          <w:color w:val="000000"/>
          <w:sz w:val="24"/>
          <w:szCs w:val="24"/>
        </w:rPr>
        <w:t xml:space="preserve">30</w:t>
      </w:r>
      <w:r>
        <w:rPr>
          <w:rFonts w:hint="eastAsia" w:ascii="宋体" w:hAnsi="宋体"/>
          <w:color w:val="000000"/>
          <w:sz w:val="24"/>
          <w:szCs w:val="24"/>
        </w:rPr>
        <w:t xml:space="preserve">天</w:t>
      </w:r>
      <w:r>
        <w:rPr>
          <w:rFonts w:hint="eastAsia" w:ascii="宋体" w:hAnsi="宋体" w:cs="宋体"/>
          <w:color w:val="000000"/>
          <w:sz w:val="24"/>
          <w:szCs w:val="24"/>
          <w:highlight w:val="none"/>
          <w:lang w:eastAsia="zh-CN"/>
        </w:rPr>
      </w:r>
      <w:r/>
    </w:p>
    <w:p>
      <w:pPr>
        <w:pStyle w:val="875"/>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28359003"/>
      <w:r/>
      <w:bookmarkStart w:id="14" w:name="_Toc28359080"/>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8985265"/>
      <w:r/>
      <w:bookmarkStart w:id="19" w:name="_Toc35393623"/>
      <w:r/>
      <w:bookmarkStart w:id="20" w:name="_Toc28359004"/>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5"/>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40" w:lineRule="auto"/>
        <w:widowControl w:val="off"/>
        <w:rPr>
          <w:rFonts w:ascii="宋体" w:hAnsi="宋体" w:cs="宋体"/>
          <w:color w:val="000000"/>
          <w:sz w:val="24"/>
          <w:szCs w:val="24"/>
          <w:highlight w:val="none"/>
        </w:rPr>
      </w:pPr>
      <w:r/>
      <w:bookmarkStart w:id="22" w:name="_Toc28359005"/>
      <w:r/>
      <w:bookmarkStart w:id="23" w:name="_Toc35393624"/>
      <w:r/>
      <w:bookmarkStart w:id="24" w:name="_Toc35393793"/>
      <w:r/>
      <w:bookmarkStart w:id="25" w:name="_Toc38985266"/>
      <w:r/>
      <w:bookmarkStart w:id="26" w:name="_Toc28359082"/>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5"/>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35393625"/>
      <w:r/>
      <w:bookmarkStart w:id="29" w:name="_Toc38985267"/>
      <w:r/>
      <w:bookmarkStart w:id="30" w:name="_Toc28359007"/>
      <w:r/>
      <w:bookmarkStart w:id="31" w:name="_Toc2835908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rPr>
        <w:t xml:space="preserve">9月</w:t>
      </w:r>
      <w:r>
        <w:rPr>
          <w:rFonts w:hint="eastAsia" w:ascii="宋体" w:hAnsi="宋体"/>
          <w:bCs/>
          <w:color w:val="000000"/>
          <w:sz w:val="24"/>
          <w:szCs w:val="24"/>
          <w:highlight w:val="none"/>
          <w:u w:val="none"/>
        </w:rPr>
        <w:t xml:space="preserve">30日</w:t>
      </w:r>
      <w:r>
        <w:rPr>
          <w:rFonts w:hint="eastAsia" w:ascii="宋体" w:hAnsi="宋体" w:eastAsia="宋体" w:cs="宋体"/>
          <w:color w:val="000000"/>
          <w:sz w:val="24"/>
          <w:szCs w:val="24"/>
          <w:highlight w:val="none"/>
          <w:u w:val="none"/>
          <w:lang w:val="en-US" w:eastAsia="zh-CN"/>
        </w:rPr>
        <w:t xml:space="preserve">9时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5"/>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40" w:lineRule="auto"/>
        <w:widowControl w:val="off"/>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5393796"/>
      <w:r/>
      <w:bookmarkStart w:id="37" w:name="_Toc35393627"/>
      <w:r/>
      <w:bookmarkStart w:id="38" w:name="_Toc38985269"/>
      <w:r/>
      <w:bookmarkStart w:id="39" w:name="_Toc28359085"/>
      <w:r>
        <w:rPr>
          <w:rFonts w:hint="eastAsia" w:ascii="宋体" w:hAnsi="宋体" w:eastAsia="宋体" w:cs="宋体"/>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5"/>
        <w:ind w:firstLine="480"/>
        <w:pageBreakBefore w:val="0"/>
        <w:spacing w:line="252" w:lineRule="auto"/>
        <w:widowControl w:val="off"/>
        <w:rPr>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w:t>
      </w:r>
      <w:r>
        <w:rPr>
          <w:rFonts w:hint="eastAsia" w:ascii="宋体" w:hAnsi="宋体" w:eastAsia="宋体" w:cs="宋体"/>
          <w:sz w:val="24"/>
          <w:szCs w:val="24"/>
          <w:highlight w:val="none"/>
          <w:lang w:eastAsia="zh-CN"/>
        </w:rPr>
        <w:t xml:space="preserve">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5"/>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5"/>
        <w:ind w:firstLine="480"/>
        <w:rPr>
          <w:rFonts w:ascii="宋体" w:hAnsi="宋体"/>
          <w:color w:val="000000"/>
          <w:sz w:val="24"/>
        </w:rPr>
      </w:pPr>
      <w:r>
        <w:rPr>
          <w:rFonts w:hint="eastAsia" w:ascii="宋体" w:hAnsi="宋体"/>
          <w:color w:val="000000"/>
          <w:sz w:val="24"/>
        </w:rPr>
        <w:t xml:space="preserve">采购人《质疑函》收件人：张老师，收件地址：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玄武区双龙巷5号4楼4</w:t>
      </w:r>
      <w:r>
        <w:rPr>
          <w:rFonts w:ascii="宋体" w:hAnsi="宋体"/>
          <w:color w:val="000000"/>
          <w:sz w:val="24"/>
          <w:szCs w:val="24"/>
        </w:rPr>
        <w:t xml:space="preserve">10</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color w:val="000000"/>
          <w:sz w:val="24"/>
        </w:rPr>
      </w:r>
      <w:r/>
    </w:p>
    <w:p>
      <w:pPr>
        <w:pStyle w:val="875"/>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8"/>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5"/>
        <w:ind w:firstLine="480"/>
        <w:rPr>
          <w:rFonts w:ascii="宋体" w:hAnsi="宋体"/>
          <w:sz w:val="24"/>
          <w:szCs w:val="24"/>
        </w:rPr>
      </w:pPr>
      <w:r/>
      <w:bookmarkStart w:id="40" w:name="_Toc28359009"/>
      <w:r/>
      <w:bookmarkStart w:id="41" w:name="_Toc28359086"/>
      <w:r>
        <w:rPr>
          <w:rFonts w:hint="eastAsia" w:ascii="宋体" w:hAnsi="宋体"/>
          <w:sz w:val="24"/>
          <w:szCs w:val="24"/>
        </w:rPr>
        <w:t xml:space="preserve">1.采购人</w:t>
      </w:r>
      <w:r>
        <w:rPr>
          <w:rFonts w:ascii="宋体" w:hAnsi="宋体"/>
          <w:sz w:val="24"/>
          <w:szCs w:val="24"/>
        </w:rPr>
      </w:r>
      <w:r/>
    </w:p>
    <w:p>
      <w:pPr>
        <w:pStyle w:val="875"/>
        <w:ind w:firstLine="480"/>
        <w:rPr>
          <w:rFonts w:ascii="宋体" w:hAnsi="宋体"/>
          <w:color w:val="000000"/>
          <w:sz w:val="24"/>
          <w:szCs w:val="24"/>
        </w:rPr>
      </w:pPr>
      <w:r>
        <w:rPr>
          <w:rFonts w:hint="eastAsia" w:ascii="宋体" w:hAnsi="宋体"/>
          <w:color w:val="000000"/>
          <w:sz w:val="24"/>
          <w:szCs w:val="24"/>
        </w:rPr>
        <w:t xml:space="preserve">名  称：南京鼓楼医院          </w:t>
      </w:r>
      <w:r>
        <w:rPr>
          <w:rFonts w:ascii="宋体" w:hAnsi="宋体"/>
          <w:color w:val="000000"/>
          <w:sz w:val="24"/>
          <w:szCs w:val="24"/>
        </w:rPr>
      </w:r>
      <w:r/>
    </w:p>
    <w:p>
      <w:pPr>
        <w:pStyle w:val="875"/>
        <w:ind w:firstLine="480"/>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鼓楼区中山路3</w:t>
      </w:r>
      <w:r>
        <w:rPr>
          <w:rFonts w:ascii="宋体" w:hAnsi="宋体"/>
          <w:color w:val="000000"/>
          <w:sz w:val="24"/>
          <w:szCs w:val="24"/>
        </w:rPr>
        <w:t xml:space="preserve">21号</w:t>
      </w:r>
      <w:r>
        <w:rPr>
          <w:rFonts w:hint="eastAsia" w:ascii="宋体" w:hAnsi="宋体"/>
          <w:color w:val="000000"/>
          <w:sz w:val="24"/>
          <w:szCs w:val="24"/>
        </w:rPr>
        <w:t xml:space="preserve">    </w:t>
      </w:r>
      <w:r>
        <w:rPr>
          <w:rFonts w:ascii="宋体" w:hAnsi="宋体"/>
          <w:color w:val="000000"/>
          <w:sz w:val="24"/>
          <w:szCs w:val="24"/>
        </w:rPr>
      </w:r>
      <w:r/>
    </w:p>
    <w:p>
      <w:pPr>
        <w:pStyle w:val="875"/>
        <w:ind w:firstLine="480"/>
        <w:rPr>
          <w:rFonts w:ascii="宋体" w:hAnsi="宋体"/>
          <w:color w:val="000000"/>
          <w:sz w:val="24"/>
          <w:szCs w:val="24"/>
        </w:rPr>
      </w:pPr>
      <w:r>
        <w:rPr>
          <w:rFonts w:hint="eastAsia" w:ascii="宋体" w:hAnsi="宋体"/>
          <w:color w:val="000000"/>
          <w:sz w:val="24"/>
          <w:szCs w:val="24"/>
        </w:rPr>
        <w:t xml:space="preserve">联系人：张老师 </w:t>
      </w:r>
      <w:r>
        <w:rPr>
          <w:rFonts w:ascii="宋体" w:hAnsi="宋体"/>
          <w:color w:val="000000"/>
          <w:sz w:val="24"/>
          <w:szCs w:val="24"/>
        </w:rPr>
      </w:r>
      <w:r/>
    </w:p>
    <w:p>
      <w:pPr>
        <w:pStyle w:val="875"/>
        <w:ind w:firstLine="480"/>
        <w:rPr>
          <w:rFonts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83105006</w:t>
      </w:r>
      <w:r>
        <w:rPr>
          <w:rFonts w:hint="eastAsia" w:ascii="宋体" w:hAnsi="宋体"/>
          <w:color w:val="000000"/>
          <w:sz w:val="24"/>
          <w:szCs w:val="24"/>
        </w:rPr>
        <w:t xml:space="preserve"> </w:t>
      </w:r>
      <w:r>
        <w:rPr>
          <w:rFonts w:ascii="宋体" w:hAnsi="宋体"/>
          <w:color w:val="000000"/>
          <w:sz w:val="24"/>
          <w:szCs w:val="24"/>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End w:id="40"/>
      <w:r/>
      <w:bookmarkEnd w:id="41"/>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联系人：王女士</w:t>
      </w:r>
      <w:r>
        <w:rPr>
          <w:rFonts w:hint="eastAsia" w:ascii="宋体" w:hAnsi="宋体" w:eastAsia="宋体" w:cs="Times New Roman"/>
          <w:color w:val="000000"/>
          <w:sz w:val="24"/>
          <w:szCs w:val="24"/>
          <w:highlight w:val="none"/>
          <w:u w:val="none"/>
          <w:lang w:val="en-US" w:eastAsia="zh-CN"/>
        </w:rPr>
      </w:r>
      <w:r/>
    </w:p>
    <w:p>
      <w:pPr>
        <w:pStyle w:val="875"/>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联系电话：025-68505944 </w:t>
      </w:r>
      <w:r>
        <w:rPr>
          <w:rFonts w:hint="eastAsia"/>
          <w:color w:val="000000"/>
          <w:highlight w:val="none"/>
          <w:u w:val="none"/>
        </w:rPr>
      </w:r>
      <w:r/>
    </w:p>
    <w:p>
      <w:pPr>
        <w:pStyle w:val="95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20823346"/>
      <w:r/>
      <w:bookmarkStart w:id="44" w:name="_Toc120614244"/>
      <w:r/>
      <w:bookmarkStart w:id="45" w:name="_Toc16938590"/>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5"/>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9"/>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w:t>
      </w:r>
      <w:r>
        <w:rPr>
          <w:rFonts w:hint="eastAsia" w:ascii="方正黑体_GBK" w:hAnsi="方正黑体_GBK" w:eastAsia="方正黑体_GBK" w:cs="方正黑体_GBK"/>
          <w:b w:val="0"/>
          <w:bCs w:val="0"/>
          <w:color w:val="000000"/>
          <w:sz w:val="30"/>
          <w:szCs w:val="30"/>
          <w:highlight w:val="none"/>
          <w:lang w:val="en-US" w:eastAsia="zh-CN"/>
        </w:rPr>
        <w:t xml:space="preserve">投标文件的递</w:t>
      </w:r>
      <w:r>
        <w:rPr>
          <w:rFonts w:hint="eastAsia" w:ascii="方正黑体_GBK" w:hAnsi="方正黑体_GBK" w:eastAsia="方正黑体_GBK" w:cs="方正黑体_GBK"/>
          <w:b w:val="0"/>
          <w:bCs w:val="0"/>
          <w:color w:val="000000"/>
          <w:sz w:val="30"/>
          <w:szCs w:val="30"/>
          <w:highlight w:val="none"/>
        </w:rPr>
        <w:t xml:space="preserve">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5"/>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5"/>
        <w:ind w:firstLine="492"/>
        <w:keepLines w:val="0"/>
        <w:keepNext w:val="0"/>
        <w:rPr>
          <w:rFonts w:hint="eastAsia" w:ascii="方正楷体_GBK" w:hAnsi="方正楷体_GBK" w:eastAsia="方正楷体_GBK" w:cs="方正楷体_GBK"/>
          <w:b/>
          <w:bCs/>
          <w:color w:val="000000"/>
          <w:sz w:val="28"/>
          <w:szCs w:val="28"/>
          <w:highlight w:val="none"/>
          <w:lang w:val="zh-CN"/>
        </w:rPr>
      </w:pPr>
      <w:r>
        <w:rPr>
          <w:rFonts w:hint="eastAsia" w:ascii="方正楷体_GBK" w:hAnsi="方正楷体_GBK" w:eastAsia="方正楷体_GBK" w:cs="方正楷体_GBK"/>
          <w:b/>
          <w:bCs/>
          <w:color w:val="000000"/>
          <w:sz w:val="28"/>
          <w:szCs w:val="28"/>
          <w:highlight w:val="none"/>
          <w:lang w:val="zh-CN" w:eastAsia="zh-CN"/>
        </w:rPr>
        <w:t xml:space="preserve">18.</w:t>
      </w:r>
      <w:r>
        <w:rPr>
          <w:rFonts w:hint="eastAsia" w:ascii="方正楷体_GBK" w:hAnsi="方正楷体_GBK" w:eastAsia="方正楷体_GBK" w:cs="方正楷体_GBK"/>
          <w:b/>
          <w:bCs/>
          <w:color w:val="000000"/>
          <w:sz w:val="28"/>
          <w:szCs w:val="28"/>
          <w:highlight w:val="none"/>
          <w:lang w:val="zh-CN"/>
        </w:rPr>
        <w:t xml:space="preserve">评标</w:t>
      </w:r>
      <w:r>
        <w:rPr>
          <w:rFonts w:hint="eastAsia" w:ascii="方正楷体_GBK" w:hAnsi="方正楷体_GBK" w:eastAsia="方正楷体_GBK" w:cs="方正楷体_GBK"/>
          <w:b/>
          <w:bCs/>
          <w:color w:val="000000"/>
          <w:sz w:val="28"/>
          <w:szCs w:val="28"/>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5"/>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5"/>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5"/>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5"/>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9"/>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5"/>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5"/>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9"/>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5"/>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5"/>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5"/>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5"/>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9"/>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5"/>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9"/>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5"/>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5"/>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5"/>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5"/>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5"/>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5"/>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5"/>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6938558"/>
      <w:r/>
      <w:bookmarkStart w:id="50" w:name="_Toc120614221"/>
      <w:r/>
      <w:bookmarkStart w:id="51" w:name="_Toc20823314"/>
      <w:r/>
      <w:bookmarkStart w:id="52" w:name="_Toc479757207"/>
      <w:r/>
      <w:bookmarkStart w:id="53" w:name="_Toc513029242"/>
      <w:r>
        <w:rPr>
          <w:highlight w:val="none"/>
        </w:rPr>
      </w:r>
      <w:r/>
    </w:p>
    <w:p>
      <w:pPr>
        <w:pStyle w:val="880"/>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数据交易标的包括数据产品、数据服务、数据工具。</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5"/>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5"/>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20823315"/>
      <w:r/>
      <w:bookmarkStart w:id="56"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5"/>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75"/>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5"/>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5"/>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5"/>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5"/>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5"/>
        <w:spacing w:line="240" w:lineRule="auto"/>
        <w:rPr>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w:t>
      </w:r>
      <w:r>
        <w:rPr>
          <w:rFonts w:ascii="宋体" w:hAnsi="宋体" w:eastAsia="宋体" w:cs="宋体"/>
          <w:sz w:val="24"/>
          <w:szCs w:val="24"/>
          <w:highlight w:val="none"/>
        </w:rPr>
        <w:t xml:space="preserve">顺序为准。</w:t>
      </w:r>
      <w:r>
        <w:rPr>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5"/>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w:t>
      </w:r>
      <w:r>
        <w:rPr>
          <w:rFonts w:hint="eastAsia" w:ascii="方正黑体_GBK" w:hAnsi="方正黑体_GBK" w:eastAsia="方正黑体_GBK" w:cs="方正黑体_GBK"/>
          <w:b w:val="0"/>
          <w:bCs/>
          <w:color w:val="000000"/>
          <w:sz w:val="24"/>
          <w:szCs w:val="24"/>
          <w:highlight w:val="none"/>
        </w:rPr>
        <w:t xml:space="preserve">款项支付</w:t>
      </w:r>
      <w:r>
        <w:rPr>
          <w:rFonts w:hint="eastAsia" w:ascii="方正黑体_GBK" w:hAnsi="方正黑体_GBK" w:eastAsia="方正黑体_GBK" w:cs="方正黑体_GBK"/>
          <w:b w:val="0"/>
          <w:bCs/>
          <w:color w:val="000000"/>
          <w:sz w:val="24"/>
          <w:szCs w:val="24"/>
          <w:highlight w:val="none"/>
        </w:rPr>
      </w:r>
      <w:r/>
    </w:p>
    <w:p>
      <w:pPr>
        <w:pStyle w:val="91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6"/>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6"/>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5"/>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64" w:lineRule="auto"/>
        <w:widowControl w:val="off"/>
        <w:rPr>
          <w:rFonts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ff"/>
          <w:sz w:val="24"/>
          <w:szCs w:val="24"/>
          <w:highlight w:val="none"/>
          <w:lang w:val="en-US" w:eastAsia="zh-CN"/>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0.01%</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0.01%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0.1</w:t>
      </w:r>
      <w:r>
        <w:rPr>
          <w:rFonts w:ascii="宋体" w:hAnsi="宋体" w:eastAsia="宋体" w:cs="宋体"/>
          <w:sz w:val="24"/>
          <w:szCs w:val="24"/>
          <w:highlight w:val="none"/>
          <w:u w:val="single"/>
        </w:rPr>
        <w:t xml:space="preserve">%</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0.1%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6"/>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5"/>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0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当前，</w:t>
      </w:r>
      <w:r>
        <w:rPr>
          <w:rFonts w:hint="eastAsia" w:ascii="宋体" w:hAnsi="宋体"/>
          <w:color w:val="000000"/>
          <w:sz w:val="24"/>
          <w:szCs w:val="24"/>
          <w:highlight w:val="none"/>
        </w:rPr>
        <w:t xml:space="preserve">全国医药卫生体制改革持续纵深推进，推动公立医院高质量发展，已成为新时代医疗卫生事业改革发展的核心任务与重要战略导向。伴随数字中国、智慧医疗建设战略全面落地实施，数字化、智能化转型升级，已然成为公立医院革新运营管理模式、提升内部治理效能、落地精益化管理体系的核心路径与关键支撑，是各级公立医院实现高质量发展的必然趋势。通过数字化技术重构公立医院运营管理体系、健全行业综合监管机制、深度释放医疗数据核心价值，能够有效破解公立医院发展瓶颈，全面提升区域医疗卫生服务综合治理能力，对推动医疗行业提质增效发展具有重要意义。</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现阶段，</w:t>
      </w:r>
      <w:r>
        <w:rPr>
          <w:rFonts w:hint="eastAsia" w:ascii="宋体" w:hAnsi="宋体"/>
          <w:color w:val="000000"/>
          <w:sz w:val="24"/>
          <w:szCs w:val="24"/>
          <w:highlight w:val="none"/>
          <w:lang w:val="en-US" w:eastAsia="zh-CN"/>
        </w:rPr>
        <w:t xml:space="preserve">南京</w:t>
      </w:r>
      <w:r>
        <w:rPr>
          <w:rFonts w:hint="eastAsia" w:ascii="宋体" w:hAnsi="宋体"/>
          <w:color w:val="000000"/>
          <w:sz w:val="24"/>
          <w:szCs w:val="24"/>
          <w:highlight w:val="none"/>
        </w:rPr>
        <w:t xml:space="preserve">市公立医院普遍沿用传统粗放式运营管理模式，行业数字化赋能深度不足、智慧化应用场景覆盖不全，传统运营管理与行业监管模式的短板逐步凸显，难以适配新时代医疗卫生行业科学化治理、精细化运营、规范化发展的全新要求，亟需搭建全域一体化智慧运营管理平台，筑牢区域公立医院精益运营发展根基，全面提升全市医疗行业综合治理水平。目前，</w:t>
      </w:r>
      <w:r>
        <w:rPr>
          <w:rFonts w:hint="eastAsia" w:ascii="宋体" w:hAnsi="宋体"/>
          <w:color w:val="000000"/>
          <w:sz w:val="24"/>
          <w:szCs w:val="24"/>
          <w:highlight w:val="none"/>
          <w:lang w:val="en-US" w:eastAsia="zh-CN"/>
        </w:rPr>
        <w:t xml:space="preserve">南京</w:t>
      </w:r>
      <w:r>
        <w:rPr>
          <w:rFonts w:hint="eastAsia" w:ascii="宋体" w:hAnsi="宋体"/>
          <w:color w:val="000000"/>
          <w:sz w:val="24"/>
          <w:szCs w:val="24"/>
          <w:highlight w:val="none"/>
        </w:rPr>
        <w:t xml:space="preserve">市医疗行业尚未建立系统化、穿透式的数字化监管体系，在公立医院全成本管控、精细化运营管理等重点领域，仍存在监管精度不足、数据统筹能力薄弱、数据分析决策支撑力欠缺、管理监管闭环不完善等突出问题。各公立医院运营数据分散割裂、数据标准不统一，无法实现全域数据归集整合、横向比对、动态监测与趋势研判。</w:t>
      </w:r>
      <w:r>
        <w:rPr>
          <w:rFonts w:ascii="宋体" w:hAnsi="宋体"/>
          <w:color w:val="000000"/>
          <w:sz w:val="24"/>
          <w:szCs w:val="24"/>
          <w:highlight w:val="none"/>
        </w:rPr>
      </w:r>
      <w:r/>
    </w:p>
    <w:p>
      <w:pPr>
        <w:pStyle w:val="87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同时，辖区公立医院数字化建设缺乏顶层统筹规划，碎片化建设问题突出，各业务系统相互独立、数据壁垒显著，数据孤岛现象较为普遍。</w:t>
      </w:r>
      <w:r>
        <w:rPr>
          <w:rFonts w:hint="eastAsia" w:ascii="宋体" w:hAnsi="宋体"/>
          <w:color w:val="000000"/>
          <w:sz w:val="24"/>
          <w:szCs w:val="24"/>
          <w:highlight w:val="none"/>
        </w:rPr>
        <w:t xml:space="preserve">医院日常运营管控、数据统计分析、合规风险核查等重点工作高度依赖人工操作与经验判断，不仅整体管理效能偏低，海量医疗数据资源难以有效盘活利用、数据资产价值无法充分释放，且缺失智能化数据分析、动态风险预警、运营短板研判等核心能力，无法精准识别运营薄弱环节、科学优化医疗资源配置。为切实破解全市医疗行业监管痛点、补齐公立医院运营管理短板，全面推进公立医院数字化转型与运营管理体系升级，夯实医疗行业高质量发展数据底座，特启动本次市级公立医院智慧化运营管理平台项目建设，通过构建标准化、数字化、智能化的智慧运营管理体系，打造</w:t>
      </w:r>
      <w:r>
        <w:rPr>
          <w:rFonts w:hint="eastAsia" w:ascii="宋体" w:hAnsi="宋体"/>
          <w:color w:val="000000"/>
          <w:sz w:val="24"/>
          <w:szCs w:val="24"/>
          <w:highlight w:val="none"/>
          <w:lang w:val="en-US" w:eastAsia="zh-CN"/>
        </w:rPr>
        <w:t xml:space="preserve">南京</w:t>
      </w:r>
      <w:r>
        <w:rPr>
          <w:rFonts w:hint="eastAsia" w:ascii="宋体" w:hAnsi="宋体"/>
          <w:color w:val="000000"/>
          <w:sz w:val="24"/>
          <w:szCs w:val="24"/>
          <w:highlight w:val="none"/>
        </w:rPr>
        <w:t xml:space="preserve">市公立医院高质量发展全新模式与行业样板。</w:t>
      </w:r>
      <w:r>
        <w:rPr>
          <w:rFonts w:hint="eastAsia"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（二）建设目标</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本项目立足全市公立医院行业监管与院内精益运营双重核心需求，统筹建设市级公立医院智慧化运营管理平台，搭建形成“市级统筹、头部共建、全院穿透、全域考评”的一体化智慧运营管理体系，全面实现运营数据标准化、管理流程智能化、监管决策精准化、资源配置最优化、运营管控闭环化，全方位赋能全市公立医院高质量、智能化转型发展。具体建设目标如下：</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构建全域统一的数据标准体系，实现医疗数据规范化治理。依托市级平台统筹能力，统一全市公立医院运营数据采集、归集、比对、应用标准，打通各医院业务系统数据壁垒，彻底破除数据孤岛问题，实现全市医疗运营数据全域归集、互联互通、共享复用。构建标准化、规范化的数据治理机制，保障数据真实、完整、实时、可用，为行业监管、医院运营、科学决策筑牢标准化数据底座。</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打造市级智慧运营监管模型，提升行业综合治理效能。面向市卫健委行业监管工作需求，搭建全覆盖、实时化、穿透式的智慧监管工具，融入AI智能分析、动态监测、趋势研判技术能力，构建全维度公立医院运营监管模型。实现全市公立医院运营数据“可算、可评、可管、可调”，精准把控行业运营整体态势，规范医疗机构经营管理行为，全面提升市级医疗行业精细化监管水平。</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落地医院精益运营管理体系，破解院内管理突出短板。聚焦公立医院日常运营痛点，依托平台智能化能力，针对性破解传统运营模式下效率偏低、成本核算粗放、DRG病组管理不规范、运营管控碎片化等突出问题。为各医疗机构提供专业化、精细化的运营管理工具支撑，覆盖成本管控、资源调度、流程优化、合规核查等核心场景，全面提升医院内部运营管理规范化、智能化水平。</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搭建智能分析预警能力，强化科学决策支撑水平。基于全域运营大数据，搭载AI智能分析、短板挖掘、风险预警核心模块，自动开展运营数据统计分析、问题溯源、趋势研判，精准识别医院运营薄弱环节、资源浪费风险、合规管理隐患。改变传统人工经验式管理模式，以数据驱动替代经验判断，为卫健部门行业决策、医院管理层运营决策提供精准、高效、科学的数据支撑。</w:t>
      </w:r>
      <w:r>
        <w:rPr>
          <w:rFonts w:ascii="宋体" w:hAnsi="宋体"/>
          <w:color w:val="000000"/>
          <w:sz w:val="24"/>
          <w:szCs w:val="24"/>
          <w:highlight w:val="none"/>
        </w:rPr>
      </w:r>
      <w:r/>
    </w:p>
    <w:p>
      <w:pPr>
        <w:pStyle w:val="875"/>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形成标杆引领的智慧运营模式，赋能行业高质量发展。依托“市级层面统筹+头部医院共建”建设模式，打造市级公立医院智慧运营管理标杆样板，建立可复制、可推广的智慧运营管理机制。通过标杆引领、全院联动、全域考评的闭环管理体系，带动全市公立医院整体完成数字化、智能化运营转型升级，全面夯实区域医疗高质量发展根基，助力全市医疗卫生事业提质增效、可持续发展。</w:t>
      </w:r>
      <w:r>
        <w:rPr>
          <w:rFonts w:hint="eastAsia"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）主要建设内容</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本项目紧扣全市公立医院高质量发展与智慧医疗数字化转</w:t>
      </w:r>
      <w:r>
        <w:rPr>
          <w:rFonts w:hint="eastAsia" w:ascii="宋体" w:hAnsi="宋体"/>
          <w:color w:val="000000"/>
          <w:sz w:val="24"/>
          <w:szCs w:val="24"/>
          <w:highlight w:val="none"/>
        </w:rPr>
        <w:t xml:space="preserve">型总体要求，立足卫健行业精准监管、医院精益运营双重核心需求，遵循标准化、集约化、智能化、安全化的建设思路，全方位搭建功能完备、架构先进、适配性强、可拓展性优的市级公立医院智慧化运营管理平台。项目整体采用“一个基础底座、两类服务终端、三个业务系统、数智决策和多维度支撑”的总体架构，重点建设基础管理、运营数据、运营业务、数智能力、管理门户、机构门户、数智决策等核心系统。各系统之间相互协同、深度联动，全面完成数据归集治理、业务流程优化、院内精益管控、智能场景赋能、行业闭环监管、安全合规保障等核心能力建设，彻底破解</w:t>
      </w:r>
      <w:r>
        <w:rPr>
          <w:rFonts w:hint="eastAsia" w:ascii="宋体" w:hAnsi="宋体"/>
          <w:color w:val="000000"/>
          <w:sz w:val="24"/>
          <w:szCs w:val="24"/>
          <w:highlight w:val="none"/>
          <w:lang w:val="en-US" w:eastAsia="zh-CN"/>
        </w:rPr>
        <w:t xml:space="preserve">南京</w:t>
      </w:r>
      <w:r>
        <w:rPr>
          <w:rFonts w:hint="eastAsia" w:ascii="宋体" w:hAnsi="宋体"/>
          <w:color w:val="000000"/>
          <w:sz w:val="24"/>
          <w:szCs w:val="24"/>
          <w:highlight w:val="none"/>
        </w:rPr>
        <w:t xml:space="preserve">市公立医院数字化建设碎片化、数据壁垒突出、监管精度不足、运营管控粗放、决策支撑薄弱等痛点问题，全面构建数据驱动、智能赋能、闭环管控的现代化医疗运营管理体系，切实提升全市医疗行业综合治理能力与公立医院运营发展质效。</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基础管理系统</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本系统为平台整体运行提供标准化制度支撑与基础管控能力，通过统一行业规范、指标体系、基础代码及后台管控功能，构建规范、安全、稳定的平台底层运行底座，保障全平台业务有序、合规、高效运转。</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全面整合各级医疗卫生行业监管制度与业务规范，建立覆盖项目全生命周期的标准化制度体系。系统梳理全市公立医院运营管理核心指标，搭建包含指标口径、计算算法、数据来源、更新周期等完整要素的全域统一指标库。统一规范机构、科室、耗材、病种、费用等各类基础代码体系，固化全市统一的数据统计与分析标准，从源头保障数据规范性、一致性与可比性。</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同时，搭建集统一用户管理、组织架构管理、权限分级管控、身份认证、参数配置、日志审计于一体的基础管控模块，实现全平台用户身份、操作权限的集中化、统一化管控。落实全流程操作留痕、运行状态可视可监要求，保障平台访问、业务操作、数据调用全程安全可控。同步完成系统运行环境调试、性能优化与适配调试工作，为平台长期稳定、安全、高效运行提供基础支撑。</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运营数据系统</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运营数据系统是本项目的核心数据支撑载体，聚焦医疗数据多源异构、海量动态的行业特性，构建集数据归集、存储治理、指标核算、数据服务、长效管控于一体的全域数据体系，彻底打破数据孤岛，实现全市医疗运营数据标准化、集约化、智能化管理。</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搭建具备全域数据治理、统一指标核算、标准化数据服务、一体化数据湖四大核心能力的市级医疗行业数据中台，配套建立流程化数据处理、规范化指标管理、集约化数据服务、集约化数据存储四大支撑体系。适配医疗数据海量多维、时序动态、类型复杂的特点，建设市级全域医疗数据湖，统一归集辖区内医疗机构诊疗业务、收费结算、财务成本、人员设备、资源配置等核心数据，全面兼容结构化、非结构化各类数据的接入与存储，彻底破除跨机构、跨系统数据壁垒。</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建立全链路标准化数据处理与质量管控体系，构建覆盖数据统一接入、格式转换、合规校验、多级审核、资产统筹的全流程作业管控机制，固化标准化处理规则，形成全维度、全流程的数据质量管控体系。搭建全域医疗运营指标智能核算模块，支持指标口径灵活配置、核算公式留存溯源、核算周期自定义、结果自动核验、多维数据查询等功能，统一全市各级医疗机构指标计算标准，依托数据湖分层数据资源，实现多维原始数据、标准化数据的精准调取与合规复用。</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配齐数据自助查询、多维统计分析、智能汇总、数据核验、批量导出等基础服务能力，统一对外输出标准化数据接口与数据服务能力。严格遵循市级医疗数据标准规范，统一汇聚整合辖区医疗机构各类核心业务数据，建成字段规范、边界清晰、权责明确的医疗卫生数据资源池，统一规范数据归集范围、归集标准与更新频次，实现数据常态化增量更新，保障全域数据的完整性、时效性与统一性。依托中台工具开展数据格式规整、缺失补全、异常标记、逻辑校验、编码映射、跨业务关联匹配等深度数据治理工作，全面提升数据质量。</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构建分层分类存储、分级权限管控、定时安全备份的全域数据长效管理机制，对基础档案、业务明细、统计指标、操作日志等各类数据实施精细化分类管控，针对数据湖各层级数据制定差异化存储策略、定期备份机制与数据保留周期，保障数据资产安全可控、长效可用。</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运营业务系统</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运营业务系统聚焦公立医院运营管理核心业务场景，以标准化组件、智能模型、通用服务为核心，沉淀可复用的业务能力，构建一体化、智能化、闭环化的医疗运营业务支撑体系，精准适配医保支付改革与医院精益运营管理需求。</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统一平台界面标准、规范核心业务逻辑，沉淀、复用、共享各类运营管理能力，打造标准化、智能化的医疗一体化业务中台。搭建DRG病组运营管理专属底座，集成病组拆解、差异归因、异常甄别、AI智能研判、横向对标分析等核心功能，深度适配DRG医保支付改革要求，实现病组运营全流程精细化管控，构建完整运营管理闭环，全面覆盖多维分析、异常识别、趋势预测、结构对比等全场景应用。</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建设全域统一的院科两级成本核算管控模块，实现收支明细分析、医疗项目成本测算、科室收益评估、全院全成本动态监测等功能，全方位支撑公立医院成本精细化、常态化管控。打造质效成本一体化三维绩效评价中台，支持评价模型灵活搭建、指标权重动态调整、对标基准自主维护，可自动生成考核分值与等级评定结果，具备绩效指标构建、考核方案制定、分值智能核算、运营效率分析、多层级对标评价等完整能力，全面适配行业绩效评价管理需求。</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数智能力系统</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数智能力系统是平台智能化建设的核心引擎，依托大模型与智能体技术，提供低代码AI应用搭建、智能问答、数据分析、报告生成、多智能体协同调度能力，实现卫健监管与医院运营场景的全方位智能化赋能。</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配备低代码智能体搭建工具，支持通过可视化拖拽、流程编排等轻量化操作方式，无需专业代码开发即可自主创建各类业务智能体，可快速适配卫健行业、公立医院各类通用及个性化业务场景。内置医疗卫健专属大模型及成熟智能体应用库，打造一站式“AI工具广场”，实现各类智能化场景能力的聚合、复用与按需调用，充分满足行业监管与院内运营的智能化升级需求。同时提供标准化API接口、专属密钥及SDK开发工具，支持与医院现有业务系统、区域医疗数据中心等平台快速对接、无缝集成。</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内置专业医疗卫健知识智能体，支持对卫健政策条文、诊疗规范、技术指南、行业管理规章等资料的精准检索与智能问答；可实现工作文书、政策文件、管理报告等长文本的智能拆分、语义聚合与深度解析，能够自动拆解复杂业务需求、整合多源数据，智能生成标准化、定制化分析报告。支持自然语言数据交互，用户可通过自然语言提出数据查询、统计分析需求，系统可自动转化为标准化SQL语句，无需技术人员介入即可完成自助查询、智能统计与深度数据分析。</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搭建大模型网关，实现多源大模型统一接入、智能调度与标准化接口输出，支撑跨场景智能体协同联动、异构系统高效集成，保障数据传输安全、接口调用稳定高效。配套完善的智能体门户管理体系，具备多智能体统筹编排、智能调度能力，可根据业务流转逻辑自动拆解、分配、调度工作任务，规范业务执行顺序，实现多智能体、多岗位、多环节自动化协同作业，大幅提升整体业务流转与处置效率。</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管理门户系统</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管理门户系统面向卫健行业监管需求，打造全域可视化、智能化、闭环化的行业监管总览门户，实现区域医疗运行态势全景监测、重点领域专项监管、指标对标研判、智能预警决策，全面提升行业科学化、精细化治理水平。</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门户支持全域医疗运行态势总览，集中汇总展示辖区医疗机构运营规模、诊疗总量、收支经营、资源利用等核心数据，直观呈现全市医疗行业整体运行态势。依托核心指标动态监测能力，可按时间周期、机构类型、业务板块分类查询监管数据，自动展示指标变化走势与绩效考核进度，为日常行业监管、公立医院绩效考评提供直观的数据支撑。针对药品耗材管理、DRG病组运营、财务收支、医疗成本管控等重点监管领域，设置专属专题研判板块，满足专项督查、重点管控、深度分析的工作需求。</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按指标维度、时间维度、机构维度开展全方位数据对标比对，精准梳理区域发展差异与运营短板，为行业评价、政策制定、资源调配、行业优化提供科学决策依据。依托平台AI智能化能力，自动采集、归集、分析监管数据，智能识别运营异常问题，对指标偏差、成本异常、绩效不达标等问题开展成因溯源分析，精准输出优化整改建议，建成智能化辅助决策体系。平台全面覆盖运营态势监测、专项监管核查、指标对标分析、成本精细化管控、绩效综合评价、病组运营分析等功能，实现行业监管全流程闭环管理。</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机构门户系统</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机构门户系统面向公立医院院内精益运营管理需求，提供院科两级全景态势展示、多维对标分析、成本管控、风险预警、闭环运营与AI智能辅助能力，助力医院实现常态化、精细化、智能化运营管理。</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系统支持院内运营态势全景总览，整合展示医院医疗体量、收支经营、运营效率、资源利用、全维度成本管控等核心数据，全面呈现院级、科室级整体运营态势，满足医院常态化监测、定期复盘、运营研判的管理需求。具备指标智能对标分析能力，可将院内核心运营指标与行业基准、市级均值、标杆机构水平进行多维横向、纵向比对，自动拆解指标构成、梳理运营差距、精准定位管理短板，为医院提质增效、优化运营模式提供数据支撑。</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支持全维度成本查询与精细化分析，覆盖科室成本、DRG病组成本、诊次成本、床日成本、医疗项目成本等全场景成本数据的统计查询、可视化展示与深度分析。聚焦DRG医保支付改革，搭建病组专项精细化分析体系，覆盖病组收支结余、病例结构分布、医疗费用构成、盈亏差异分析等核心维度，助力医院优化病组运营结构。</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内置运营智能风险预警机制，可自动识别医院收支波动、成本异常、效率偏低等各类运营问题，实现风险提前预警、精准提示。搭建标准化运营任务线上流转体系，对指标整改、成本优化、流程完善、绩效提升等各类工作实行统一归口管理，实现任务精准触达、进度全程追踪、未办事项动态提醒，打通运营管理落地闭环。构建风险预警、问题定位、任务派发、整改执行、效果核验、复盘优化的全流程可视化闭环管理体系，保障精益运营管理常态化落地。</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深度集成AI智能运营能力，依托医疗大模型适配医院多场景运营需求，实现常规统计工作自动化、复杂运营问题智能化分析，有效降低人工填报与统计工作量。支持智能问答交互，可针对指标释义、成本核算口径、行业政策规范、常见运营问题提供智能答疑解读，降低管理沟通成本。具备AI智能指标解析能力，可自动拆解指标波动成因、分析各影响因素权重，智能输出针对性整改优化建议，辅助管理人员溯源整改。支持院级、科室级、病组级多维度运营分析报告自动生成，整合核心数据、问题短板、成因分析及优化举措，为医院管理层精准决策提供高效支撑。</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数智决策系统</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数智决策系统基于医学人工智能中心底座，依托平台的全流程智能体构建、多源数据集成与协同调度能力，针对卫健与医院两大场景，分别打造区域统筹监管与院内精细运营的专属智能体矩阵，实现从数据接入、智能分析到决策输出的全链路赋能。</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卫健场景聚焦区域医疗统筹监管，基于多智能体协同编排、异构数据统一接入及RAG知识增强技术，搭建全维度区域监管智能体集群。如成本监管智能体可整合区域多医院成本数据，完成跨院成本对标、差异分析，精准定位成本影响因素。指标管理智能体覆盖公立医院绩效、高质量发展等核心考核指标，实现指标设定、监测、整改、复盘全流程管控，为区域医疗发展规划提供数据支撑。区域数据解读与智能咨询智能体可以深度解读各类医疗报表、精简汇总业务报告，解析成本、支付等核心模型指标，同时搭建AI问答引擎，实现医疗政策、业务流程、指标解读的即时答疑。</w:t>
      </w:r>
      <w:r>
        <w:rPr>
          <w:rFonts w:ascii="宋体" w:hAnsi="宋体"/>
          <w:color w:val="000000"/>
          <w:sz w:val="24"/>
          <w:szCs w:val="24"/>
          <w:highlight w:val="none"/>
        </w:rPr>
      </w:r>
      <w:r/>
    </w:p>
    <w:p>
      <w:pPr>
        <w:pStyle w:val="875"/>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医</w:t>
      </w:r>
      <w:r>
        <w:rPr>
          <w:rFonts w:hint="eastAsia" w:ascii="宋体" w:hAnsi="宋体"/>
          <w:color w:val="000000"/>
          <w:sz w:val="24"/>
          <w:szCs w:val="24"/>
          <w:highlight w:val="none"/>
        </w:rPr>
        <w:t xml:space="preserve">院场景聚焦院内精细化运营，构建院内全场景运营智能体体系。院内成本管控智能体实时监测本院各项成本数据，智能识别异常波动、研判成本趋势，剖析成本盈亏情况并输出优化方案，助力医院降本增效。院内指标考核智能体自动汇总各类考核指标数据，完成指标完成度评估与绩效复盘，支持特色指标自定义配置与多维度智能分析。院内数据解读与智能咨询智能体结合院内运营知识库，深度拆解、提炼各类业务文档核心信息，精准解析各类运营模型指标，同时为院内医护及行政人员提供政策、业务流程、指标咨询等智能问答服务，全面提升院内运营管理效率与精细化水平。</w:t>
      </w:r>
      <w:r>
        <w:rPr>
          <w:rFonts w:ascii="宋体" w:hAnsi="宋体"/>
          <w:color w:val="000000"/>
          <w:sz w:val="24"/>
          <w:szCs w:val="24"/>
          <w:highlight w:val="none"/>
        </w:rPr>
      </w:r>
      <w:r/>
    </w:p>
    <w:p>
      <w:pPr>
        <w:pStyle w:val="875"/>
        <w:ind w:firstLine="480"/>
        <w:spacing w:line="264" w:lineRule="auto"/>
        <w:rPr>
          <w:b w:val="0"/>
          <w:bCs/>
          <w:color w:val="000000"/>
          <w:highlight w:val="none"/>
        </w:rPr>
      </w:pPr>
      <w:r>
        <w:rPr>
          <w:rFonts w:hint="eastAsia" w:ascii="宋体" w:hAnsi="宋体" w:cs="宋体"/>
          <w:bCs/>
          <w:color w:val="000000"/>
          <w:sz w:val="24"/>
          <w:szCs w:val="24"/>
          <w:highlight w:val="none"/>
        </w:rPr>
        <w:t xml:space="preserve">除上述核心建设内容外，本项目需同步建设安全合规、组织与运行、接口管理三个配套保障系统，全面支撑平台安全规范、稳定高效、长效迭代运行。安全合规管理系统严格落实网络数据安全、等保及数据分级分类相关标准，搭建全维度安全防护与应急处置闭环体系，集成身份权限管控、审计追溯、数据加密脱敏、备份恢复等安全能力，配套标准化运维机制，保障平台合规可控、稳定运行。组织与运行管理系统搭建流程管控、任务督办、绩效考评、数据上报、培训管理等一体化模块，适配多层级、多角色使用场景，实现精细化、流程规范化管理，依托</w:t>
      </w:r>
      <w:r>
        <w:rPr>
          <w:rFonts w:hint="eastAsia" w:ascii="宋体" w:hAnsi="宋体" w:cs="宋体"/>
          <w:b w:val="0"/>
          <w:bCs/>
          <w:color w:val="000000"/>
          <w:sz w:val="24"/>
          <w:szCs w:val="24"/>
          <w:highlight w:val="none"/>
        </w:rPr>
        <w:t xml:space="preserve">常态化培训与技术支撑，保障平台常态化落地应用。接口管理系统依规完成各类业务系统、政务系统接口对接联调，统一数据口径、传输及校验标准，保障跨系统数据安全精准互通，并预留标准化扩展接口，适配平台后续功能迭代与业务拓展需求。</w:t>
      </w:r>
      <w:r>
        <w:rPr>
          <w:b w:val="0"/>
          <w:bCs/>
          <w:color w:val="000000"/>
          <w:highlight w:val="none"/>
        </w:rPr>
      </w:r>
      <w:r/>
    </w:p>
    <w:p>
      <w:pPr>
        <w:pStyle w:val="875"/>
        <w:ind w:firstLine="480"/>
        <w:keepLines w:val="0"/>
        <w:keepNext w:val="0"/>
        <w:pageBreakBefore w:val="0"/>
        <w:spacing w:line="264" w:lineRule="auto"/>
        <w:widowControl/>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四</w:t>
      </w:r>
      <w:r>
        <w:rPr>
          <w:rFonts w:hint="eastAsia" w:ascii="宋体" w:hAnsi="宋体" w:eastAsia="宋体" w:cs="Times New Roman"/>
          <w:b w:val="0"/>
          <w:bCs w:val="0"/>
          <w:color w:val="000000"/>
          <w:sz w:val="24"/>
          <w:szCs w:val="24"/>
          <w:highlight w:val="none"/>
          <w:lang w:eastAsia="zh-CN"/>
        </w:rPr>
        <w:t xml:space="preserve">）项目建设遵循标准</w:t>
      </w:r>
      <w:r>
        <w:rPr>
          <w:rFonts w:hint="eastAsia" w:ascii="宋体" w:hAnsi="宋体" w:eastAsia="宋体" w:cs="Times New Roman"/>
          <w:b w:val="0"/>
          <w:bCs w:val="0"/>
          <w:color w:val="000000"/>
          <w:sz w:val="24"/>
          <w:szCs w:val="24"/>
          <w:highlight w:val="none"/>
          <w:lang w:eastAsia="zh-CN"/>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建设严格遵循公立医院信息化建设及政务信息化管理相关规范，立足全市医疗行业数字化转型、智慧化监管及精益化运营实际需求，坚持科学规划、合规建设、务实落地、长效运维的总体思路，全过程恪守以下建设基本原则，保障项目建设质量、应用成效与长期可用性。</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yellow"/>
        </w:rPr>
      </w:pPr>
      <w:r>
        <w:rPr>
          <w:rFonts w:hint="eastAsia" w:ascii="宋体" w:hAnsi="宋体" w:cs="宋体"/>
          <w:bCs/>
          <w:color w:val="000000"/>
          <w:sz w:val="24"/>
          <w:szCs w:val="24"/>
          <w:highlight w:val="white"/>
        </w:rPr>
        <w:t xml:space="preserve">1.统筹规划，分步实施。</w:t>
      </w:r>
      <w:r>
        <w:rPr>
          <w:rFonts w:ascii="宋体" w:hAnsi="宋体" w:cs="宋体"/>
          <w:bCs/>
          <w:color w:val="000000"/>
          <w:sz w:val="24"/>
          <w:szCs w:val="24"/>
          <w:highlight w:val="whit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紧扣公立医院高质量发展与医疗治理现代化总体要求，严格按照政务信息化建设标准进行整体顶层设计与系统谋划。坚持整体布局、重点突破、急用先行、循序渐进的建设思路，科学把控项目建设节奏、建设重点与实施进度，分阶段、分批次推进功能落地与系统迭代，全面实现项目建设方向、实施节奏、建设风险、资金投入的全过程可控、规范有序。</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2.标准先行，规范统一。</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严格遵循国家、省、市医疗卫生、政务数据、信息化建设相关标准规范，统一全市公立医院运营管理指标体系、数据口径、编码规则、接口标准及业务流程。同步配套搭建平台专属标准规范体系，以标准化建设破除跨机构、跨系统信息壁垒，实现全域数据互联互通、精准归集、有效复用，确保平台数据权威、规范、真实、可用。</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3.需求导向，务实适用。</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以公立医院精益运营、卫健行业监管等核心需求为根本导向，聚焦行业管理痛点、医院运营难点、实际应用刚需，优先建设可落地、可量化、可考核的核心功能模块。系统功能设计贴合政务监管工作流程与医院运营管理习惯，杜绝形式化建设，确保平台建成后可快速部署、即建即用、实效适配，切实发挥数字化赋能管理提质增效的核心作用。</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4.协同衔接，集约高效。</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充分依托全市现有医疗信息化建设基础，兼容各类现有业务系统运行环境，做好新旧系统、跨部门、跨医疗机构业务的平稳对接与数据互通。坚持集约建设理念，杜绝重复建设、资源冗余投入，构建横向协同、纵向贯通的一体化信息化架构，有效整合现有资源、盘活存量数据，全面提升全市医疗信息化建设整体效能与资源利用率。</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5.安全可控，合规可靠。</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严格遵守网络安全、数据安全、个人信息保护等相关法律法规及行业管理规范，全面落实网络安全等级保护、数据分级分类管理等核心要求。构建全流程、全方位安全防护机制，实现操作行为、数据流转、业务运行全程合规可追溯，全方位保障系统运行安全、医疗数据安全与业务稳定可靠。</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6.适度扩展，持续优化。</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平台采用开放性、模块化、可拓展的总体技术架构，预留充足的功能拓展、指标迭代、系统对接及模型升级空间。可适配医疗卫生政策更新、行业监管要求调整、医院运营管理模式升级等动态变化，支持常态化开展功能优化、指标更新、算法迭代、场景拓展，保障平台具备长期适配性、先进性与可持续运营能力。</w:t>
      </w:r>
      <w:r>
        <w:rPr>
          <w:rFonts w:ascii="宋体" w:hAnsi="宋体" w:cs="宋体"/>
          <w:bCs/>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此外还须</w:t>
      </w: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9"/>
        <w:tblW w:w="503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3"/>
        <w:gridCol w:w="1380"/>
        <w:gridCol w:w="765"/>
        <w:gridCol w:w="727"/>
        <w:gridCol w:w="1068"/>
        <w:gridCol w:w="1079"/>
        <w:gridCol w:w="1467"/>
        <w:gridCol w:w="1093"/>
        <w:gridCol w:w="1691"/>
      </w:tblGrid>
      <w:tr>
        <w:trPr>
          <w:trHeight w:val="470"/>
        </w:trPr>
        <w:tc>
          <w:tcPr>
            <w:tcW w:w="28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70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8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4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549" w:type="dxa"/>
            <w:vAlign w:val="center"/>
            <w:textDirection w:val="lrTb"/>
            <w:noWrap w:val="false"/>
          </w:tcPr>
          <w:p>
            <w:pPr>
              <w:pStyle w:val="875"/>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74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55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8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数据交易类型（如有）</w:t>
            </w:r>
            <w:r>
              <w:rPr>
                <w:rFonts w:hint="eastAsia" w:ascii="宋体" w:hAnsi="宋体" w:eastAsia="宋体" w:cs="宋体"/>
                <w:bCs/>
                <w:color w:val="000000"/>
                <w:sz w:val="24"/>
                <w:szCs w:val="24"/>
                <w:highlight w:val="none"/>
                <w:lang w:eastAsia="zh-CN"/>
              </w:rPr>
            </w:r>
            <w:r/>
          </w:p>
        </w:tc>
      </w:tr>
      <w:tr>
        <w:trPr>
          <w:trHeight w:val="597"/>
        </w:trPr>
        <w:tc>
          <w:tcPr>
            <w:tcW w:w="28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702"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rPr>
              <w:t xml:space="preserve">公立医院运营指导中心</w:t>
            </w:r>
            <w:r>
              <w:rPr>
                <w:rFonts w:hint="eastAsia" w:ascii="宋体" w:hAnsi="宋体" w:eastAsia="宋体" w:cs="Times New Roman"/>
                <w:bCs/>
                <w:color w:val="000000"/>
                <w:sz w:val="24"/>
                <w:szCs w:val="24"/>
                <w:highlight w:val="none"/>
              </w:rPr>
            </w:r>
            <w:r/>
          </w:p>
        </w:tc>
        <w:tc>
          <w:tcPr>
            <w:tcW w:w="38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7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543"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w:t>
            </w:r>
            <w:r>
              <w:rPr>
                <w:rFonts w:ascii="宋体" w:hAnsi="宋体" w:eastAsia="宋体" w:cs="Times New Roman"/>
                <w:bCs/>
                <w:color w:val="000000"/>
                <w:sz w:val="24"/>
                <w:szCs w:val="24"/>
                <w:highlight w:val="none"/>
                <w:lang w:val="en-US" w:eastAsia="zh-CN" w:bidi="ar-SA"/>
              </w:rPr>
            </w:r>
            <w:r/>
          </w:p>
        </w:tc>
        <w:tc>
          <w:tcPr>
            <w:tcW w:w="54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74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55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860"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r>
    </w:tbl>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Times New Roman"/>
          <w:color w:val="0000ff"/>
          <w:sz w:val="24"/>
          <w:szCs w:val="24"/>
          <w:highlight w:val="none"/>
          <w:lang w:val="en-US" w:eastAsia="zh-CN"/>
        </w:rPr>
      </w:r>
      <w:r/>
    </w:p>
    <w:tbl>
      <w:tblPr>
        <w:tblW w:w="9838" w:type="dxa"/>
        <w:jc w:val="center"/>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0" w:type="dxa"/>
          <w:top w:w="80" w:type="dxa"/>
          <w:right w:w="100" w:type="dxa"/>
          <w:bottom w:w="80" w:type="dxa"/>
        </w:tblCellMar>
        <w:tblLook w:val="04A0" w:firstRow="1" w:lastRow="0" w:firstColumn="1" w:lastColumn="0" w:noHBand="0" w:noVBand="1"/>
      </w:tblPr>
      <w:tblGrid>
        <w:gridCol w:w="562"/>
        <w:gridCol w:w="1047"/>
        <w:gridCol w:w="1273"/>
        <w:gridCol w:w="1133"/>
        <w:gridCol w:w="5823"/>
      </w:tblGrid>
      <w:tr>
        <w:trPr>
          <w:trHeight w:val="20"/>
        </w:trPr>
        <w:tc>
          <w:tcPr>
            <w:tcMar>
              <w:left w:w="100" w:type="dxa"/>
              <w:top w:w="80" w:type="dxa"/>
              <w:right w:w="100" w:type="dxa"/>
              <w:bottom w:w="80" w:type="dxa"/>
            </w:tcMar>
            <w:tcW w:w="562" w:type="dxa"/>
            <w:vAlign w:val="center"/>
            <w:textDirection w:val="lrTb"/>
            <w:noWrap w:val="false"/>
          </w:tcPr>
          <w:p>
            <w:pPr>
              <w:pStyle w:val="875"/>
              <w:jc w:val="center"/>
              <w:spacing w:line="260" w:lineRule="exact"/>
              <w:rPr>
                <w:rFonts w:hint="eastAsia" w:ascii="宋体" w:hAnsi="宋体" w:eastAsia="宋体" w:cs="宋体"/>
                <w:b/>
                <w:spacing w:val="-10"/>
                <w:sz w:val="21"/>
                <w:szCs w:val="21"/>
              </w:rPr>
            </w:pPr>
            <w:r>
              <w:rPr>
                <w:rFonts w:hint="eastAsia" w:ascii="宋体" w:hAnsi="宋体" w:eastAsia="宋体" w:cs="宋体"/>
                <w:b/>
                <w:spacing w:val="-10"/>
                <w:sz w:val="21"/>
                <w:szCs w:val="21"/>
              </w:rPr>
              <w:t xml:space="preserve">序号</w:t>
            </w:r>
            <w:r>
              <w:rPr>
                <w:rFonts w:hint="eastAsia" w:ascii="宋体" w:hAnsi="宋体" w:eastAsia="宋体" w:cs="宋体"/>
                <w:b/>
                <w:spacing w:val="-10"/>
                <w:sz w:val="21"/>
                <w:szCs w:val="21"/>
              </w:rPr>
            </w:r>
            <w:r/>
          </w:p>
        </w:tc>
        <w:tc>
          <w:tcPr>
            <w:tcMar>
              <w:left w:w="100" w:type="dxa"/>
              <w:top w:w="80" w:type="dxa"/>
              <w:right w:w="100" w:type="dxa"/>
              <w:bottom w:w="80" w:type="dxa"/>
            </w:tcMar>
            <w:tcW w:w="1047"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b/>
                <w:spacing w:val="-10"/>
                <w:sz w:val="21"/>
                <w:szCs w:val="21"/>
              </w:rPr>
              <w:t xml:space="preserve">功能模块</w:t>
            </w: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b/>
                <w:spacing w:val="-10"/>
                <w:sz w:val="21"/>
                <w:szCs w:val="21"/>
              </w:rPr>
            </w:pPr>
            <w:r>
              <w:rPr>
                <w:rFonts w:hint="eastAsia" w:ascii="宋体" w:hAnsi="宋体" w:eastAsia="宋体" w:cs="宋体"/>
                <w:b/>
                <w:spacing w:val="-10"/>
                <w:sz w:val="21"/>
                <w:szCs w:val="21"/>
              </w:rPr>
              <w:t xml:space="preserve">功能子模块</w:t>
            </w:r>
            <w:r>
              <w:rPr>
                <w:rFonts w:hint="eastAsia" w:ascii="宋体" w:hAnsi="宋体" w:eastAsia="宋体" w:cs="宋体"/>
                <w:b/>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b/>
                <w:spacing w:val="-10"/>
                <w:sz w:val="21"/>
                <w:szCs w:val="21"/>
              </w:rPr>
              <w:t xml:space="preserve">功能</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b/>
                <w:spacing w:val="-10"/>
                <w:sz w:val="21"/>
                <w:szCs w:val="21"/>
              </w:rPr>
              <w:t xml:space="preserve">功能描述</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基础管理系统</w:t>
            </w: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基础管理首页</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系统概览</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支持基础管理系统主入口：基础管理系统首页，提供系统运行概览、快捷导航、待办事项、通知公告展示。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系统管理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子系统管理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支持子系统配置：设置子系统路由，支持子系统的增删改查。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菜单管理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系统菜单配置：系统菜单的增删改查，菜单层级结构、关联子系统、权限绑定、显示顺序、图标配置、API增删改查，功能列表增删改查。</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菜单权限配置：基于角色的菜单访问权限配置，支持查看/新增/编辑/删除/导出权限。</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组织架构管理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卫健委机构管理：卫健委基础信息增删改查维护，包括名称、编码，支持管辖医院机构管理层级维护。</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医院机构信息管理：医疗机构基础信息增删改查维护，包括名称、编码、等级、类型、地址、床位数等，支持导入导出。</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医院机构层级配置：多级机构层级关系配置，支持组织架构设置，支持增删改查，支持导入导出。</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4. 角色管理：系统角色增删改查，角色的菜单权限设置。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用户管理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用户管理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用户账号管理：用户账号全生命周期管理，绑定机构，支持通过人员信息批量设置，用户密码设置，包括注册、开通、停用。对已有账号进行密码重置，管理权限高于密码修改。授权用户密码修改，原密码与新密码的设置。用户信息修改：已有用户修改基础信息，包括电话，手机号，邮箱等基本信息进行修改</w:t>
            </w:r>
            <w:r>
              <w:rPr>
                <w:rFonts w:hint="eastAsia" w:ascii="宋体" w:hAnsi="宋体" w:eastAsia="宋体" w:cs="宋体"/>
                <w:spacing w:val="-10"/>
                <w:sz w:val="21"/>
                <w:szCs w:val="21"/>
                <w:lang w:eastAsia="zh-CN"/>
              </w:rPr>
              <w:t xml:space="preserve">。</w:t>
            </w:r>
            <w:r>
              <w:rPr>
                <w:rFonts w:hint="eastAsia" w:ascii="宋体" w:hAnsi="宋体" w:eastAsia="宋体" w:cs="宋体"/>
                <w:spacing w:val="-10"/>
                <w:sz w:val="21"/>
                <w:szCs w:val="21"/>
              </w:rPr>
              <w:t xml:space="preserve">用户解锁管理：用户账号的锁定/解锁控制。用户角色分配：用户账号的角色关联配置，支持多角色分配、角色优先级、有效期管理。用户权限控制：基于RBAC模型的细粒度用户账号权限控制，支持功能权限、数据权限。用户权限查询：针对已有用户账号可快速查看子系统权限、菜单权限、角色权限。菜单权限查询：针对已有菜单可快速查看已经配置了哪些子系统、角色、用户。用户授权日志：查询系统用户账号的授权日志，包括：历史授权记录。</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系统参数设置</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系统参数设置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支持系统全局参数配置，包括小数点位数，金额单位，默认查询年月。</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通知管理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通知管理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通知发布：通知公告内容增删改查、支持富文本、附件上传、发布范围选择。</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用户端通知接收展示，支持分类、已读/未读状态、收藏、搜索。</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通知发布、定时发布、撤回、归档、删除、查看统计等全生命周期管理。</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国标/行标管理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国家标准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国家医疗标准管理：国家医疗标准维护，包括编码、名称、发布日期、适用范围、状态。标准版本管理：标准版本控制，支持历史版本查看、版本对比。</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地方标准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支持地方医疗标准管理：地方标准维护，支持与国家标准关联对照。</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行业标准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行业标准管理：行业团体标准维护，标准引用关系管理。</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标准对照分析：国标/行标/地标差异对照分析，自动生成对照报告。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元数据管理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元数据资产</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元数据资产目录：元数据资产分类目录管理，支持层级定义、权限控制，国标/地方/行标标准匹配。元数据结构设计：元数据结构可视化设计，字段定义、数据类型、约束条件、关联关系，国标/地方/行标标准匹配。医疗术语标准化：医疗术语录入/审核/发布，同义词管理、术语与标准编码映射，国标/地方/行标标准匹配。</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元数据映射</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值域版本控制：元数据值域版本管理，增删改查、版本发布、历史回溯，国标/地方/行标标准匹配。</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元数据标准定义：命名规范、编码规范、格式规范、质量标准定义，国标/地方/行标标准匹配。</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元数据映射关系：不同系统间元数据映射配置，一对一/一对多/多对多，国标/地方/行标标准匹配。</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主数据管理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机构主数据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机构主数据标准：机构编码规则、分类标准、属性规范制定，匹配元数据资产</w:t>
            </w:r>
            <w:r>
              <w:rPr>
                <w:rFonts w:hint="eastAsia" w:ascii="宋体" w:hAnsi="宋体" w:eastAsia="宋体" w:cs="宋体"/>
                <w:spacing w:val="-10"/>
                <w:sz w:val="21"/>
                <w:szCs w:val="21"/>
                <w:lang w:eastAsia="zh-CN"/>
              </w:rPr>
              <w:t xml:space="preserve">。</w:t>
            </w:r>
            <w:r>
              <w:rPr>
                <w:rFonts w:hint="eastAsia" w:ascii="宋体" w:hAnsi="宋体" w:eastAsia="宋体" w:cs="宋体"/>
                <w:spacing w:val="-10"/>
                <w:sz w:val="21"/>
                <w:szCs w:val="21"/>
              </w:rPr>
              <w:t xml:space="preserve">科室编码映射：科室信息与标准编码映射，一码多源映射关系，匹配元数据资产。病区编码映射：病区信息与标准编码映射，一码多源映射关系，匹配元数据资产。机构主数据维护：机构主数据日常维护，新增/变更/合并/停用/质量检查，匹配元数据资产。</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人员主数据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人员主数据标准：人员编码规则、人员类别、医师、护士、药师、医技人员等规则、职称分类标准、执业资质标准等增删改查维护，匹配元数据资产。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人员主数据维护，批量导入、变更、校验、HR同步，匹配元数据资产。</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物资主数据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物资分类编码：医疗物资分类体系与编码规则，药品/耗材/设备分类，匹配元数据资产。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物资品规维护：物资品规信息维护，品名/规格/厂家/文号/医保编码关联，匹配元数据资产。</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病组主数据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病组编码映射：DRG/DIP编码与标准编码映射，版本切换、映射审核，匹配元数据资产。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病组主数据维护：病组目录更新、权重维护、属性管理，匹配元数据资产。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维护诊断编码规则，分类标准、属性规范制定，匹配元数据资产。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4. 维护手术/操作编码规则，分类标准、属性规范制定，匹配元数据资产。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5. 医院与医保诊断编码映射，一码多源映射，匹配元数据资产。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6. 医院与医保手术/操作编码映射，一码多源映射，匹配元数据资产。</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其他主数据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主数据类型管理：主数据分类类型定义，自定义类型、属性、关系。</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主数据编码映射：主数据与外部标准编码体系映射。</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主数据信息维护：各类主数据统一维护入口，生命周期/版本控制。</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指标定义</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支持指标定义，包括：指标名称/编码/类型/来源/周期，国标/地方/行标标准匹配。</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指标库建设</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支持指标体系设计：根据指标定义情况设计运营管理指标体系，层级结构、分类维度、逻辑关系。</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指标公式</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支持指标公式定义：定义指标的公式，支持指标公式增删改查。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指标定义日志</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支持在用指标定义变更全流程日志记录。</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指标标准值维护</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支持指标标准值结果维护，支持按周期/适用范围等维护结果，支持文件导入与导出。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数据总览</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数据总览</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支持对元数据总览、离线调度平台、数据开放平台、指标平台进行统一展示，提供全局数据资产可视化视图与运行状态监控。</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数据源管理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源配置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支持配置数据源（名称、类型、地址、连接池大小、状态），支持编辑、测试与重载，适配HIS、LIS、RIS、PACS、EMR等多类型数据源。</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数据资产</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外部数据库管理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支持外部数据库导入表、支持单独创建表。</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数据仓库</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支持配置数据仓库，包括增删改查，支持对数据仓库采用ODS-DWD-DWS-ADS四层分层架构，构建标准化数据仓库。</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数据湖</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数据湖接入</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支持多源数据接入：基于全域数据湖平台，构建统一数据中心架构，对HIS、LIS、RIS、PACS、EMR等核心业务系统数据进行全量汇聚、统一入湖、集中供给，形成支持实时/近实时数据接入的贴源数据层等。</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数据资产盘点</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支持全面梳理并接入医院核心业务系统数据，完成业务场景数据接入与资产盘点，明确数据来源、数据范围、数据权责与数据口径，形成全院统一的数据资产清单。</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数仓建设</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ODS层</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支持贴源数据层：存储从各业务系统采集的原始数据，完全保留数据原貌，不做任何清洗与加工，仅进行格式标准化处理，支持数据回溯与源系统问题排查，为后续数据清洗、整合提供原始数据源。</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DWD层</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明细数据层：基于ODS层原始数据，开展数据清洗、去重、去脏、补全、标准化等治理工作，消除数据冗余、异常与不一致问题，形成标准化的明细数据，按业务域进行分区管理，支撑后续多维度分析与主题库构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DWS层</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支持汇总数据层：基于DWD层明细数据，按照四大主题库进行数据整合、关联与汇总，生成主题级汇总数据，聚焦核心业务指标的初步汇总与计算，为ADS层指标开发提供基础数据支撑。</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ADS层</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支持应用数据层：基于DWS层汇总数据，结合各类应用场景需求，开展指标建模、数据加工与报表开发，生成可直接用于业务应用的高价值数据产品，服务于综合分析、门诊运行分析、住院运行分析等各类场景。</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主题库建设</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门诊主题库</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门诊数据整合：以门诊全流程服务为核心，覆盖挂号、分诊、就诊、检查、检验、处方、收费、取药、复诊等全链路数据，整合患者基本信息、挂号预约信息、门诊病历、检查检验报告、处方药品、门诊收费等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住院主题库</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支持住院数据整合：以住院全病程管理为核心，覆盖入院登记、病区床位分配、医嘱管理、检查检验、治疗护理、手术、出院结算、病案管理等全流程数据等。</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手术主题库</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手术数据整合：以围手术期全流程管理为核心，覆盖手术申请、术前评估、麻醉、术中操作、术后复苏、术后监护、并发症管理等全链条数据，整合手术基本信息、手术人员、麻醉信息、术中耗材使用、术后转归等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费用主题库</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★支持费用数据整合：以医疗费用全流程管控为核心，覆盖门诊收费、住院收费、药品耗材收费、医保结算、退费冲账等全流程数据，整合收费项目、收费标准、费用明细、医保报销、自费金额等数据。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数据采集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数据采集任务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任务调度：设置离线调度计划，支持开始和结束时间设置，计划运行时间设置，计划参数设置，支持数据集成（数据同步、SQL同步、HTTP同步、webservice同步）等。</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调度监控：</w:t>
            </w:r>
            <w:r>
              <w:rPr>
                <w:rFonts w:hint="eastAsia" w:ascii="宋体" w:hAnsi="宋体" w:eastAsia="宋体" w:cs="宋体"/>
                <w:spacing w:val="-10"/>
                <w:sz w:val="21"/>
                <w:szCs w:val="21"/>
                <w:lang w:val="en-US" w:eastAsia="zh-CN"/>
              </w:rPr>
              <w:t xml:space="preserve">支</w:t>
            </w:r>
            <w:r>
              <w:rPr>
                <w:rFonts w:hint="eastAsia" w:ascii="宋体" w:hAnsi="宋体" w:eastAsia="宋体" w:cs="宋体"/>
                <w:spacing w:val="-10"/>
                <w:sz w:val="21"/>
                <w:szCs w:val="21"/>
              </w:rPr>
              <w:t xml:space="preserve">持按实例ID、分类、编码、名称、状态及开始时间范围查询计划实例，并支持删除、中止运行操作。</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数据采集管理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医疗业务数据采集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支持全民健康信息平台数据接入：通过全民健康信息平台抽取数据。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数据治理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数据治理全流程</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highlight w:val="none"/>
              </w:rPr>
              <w:t xml:space="preserve">★数</w:t>
            </w:r>
            <w:r>
              <w:rPr>
                <w:rFonts w:hint="eastAsia" w:ascii="宋体" w:hAnsi="宋体" w:eastAsia="宋体" w:cs="宋体"/>
                <w:spacing w:val="-10"/>
                <w:sz w:val="21"/>
                <w:szCs w:val="21"/>
              </w:rPr>
              <w:t xml:space="preserve">据源管理：涵盖医院内全层级、全业务域的原始数据，包括临床业务系统、管理系统、运营系统等各类系统产生的结构化数据，确保数据采集的全面性、完整性。数据采集管理：采用实时采集、定时增量采集、全量采集等多种采集方式，适配不同业务系统的数据接入需求，确保数据采集的及时性、准确性，减少数据延迟与误差</w:t>
            </w:r>
            <w:r>
              <w:rPr>
                <w:rFonts w:hint="eastAsia" w:ascii="宋体" w:hAnsi="宋体" w:eastAsia="宋体" w:cs="宋体"/>
                <w:spacing w:val="-10"/>
                <w:sz w:val="21"/>
                <w:szCs w:val="21"/>
                <w:lang w:eastAsia="zh-CN"/>
              </w:rPr>
              <w:t xml:space="preserve">。</w:t>
            </w:r>
            <w:r>
              <w:rPr>
                <w:rFonts w:hint="eastAsia" w:ascii="宋体" w:hAnsi="宋体" w:eastAsia="宋体" w:cs="宋体"/>
                <w:spacing w:val="-10"/>
                <w:sz w:val="21"/>
                <w:szCs w:val="21"/>
              </w:rPr>
              <w:t xml:space="preserve">数据汇聚管理：以数据湖为统一存储底座，对采集后的全量数据进行集中汇聚和分层存储，构建医院统一的数据仓库，实现数据的精细化、分层化管理，提升数据存储与访问效率。数据开发管理：基于主题库与</w:t>
            </w:r>
            <w:r>
              <w:rPr>
                <w:rFonts w:hint="eastAsia" w:ascii="宋体" w:hAnsi="宋体" w:eastAsia="宋体" w:cs="宋体"/>
                <w:spacing w:val="-10"/>
                <w:sz w:val="21"/>
                <w:szCs w:val="21"/>
              </w:rPr>
              <w:t xml:space="preserve">分析区的标准化数据，结合各业务域实际需求，通过指标建模、数据加工、标签生成、报表开发等方式，将原始数据转化为可直接用于业务分析、决策支持的高价值数据产品。数据服务管理：通过API数据接口与服务集成平台，对治理和开发后的高价值数据资产进行标准化封装，提供统一的数据查询、数据调用、报表导出等服务，明确数据访问权限与使用规范，确保数据共享安全、高效、合规。数据应用管理：将数据服务应用于综合分析、门诊运行分析、住院运行分析、手术执行分析、病种费用分析等各类场景，支撑运营管理、质量安全监管、绩效考核、智能决策等工作。</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数据检查</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支持脏数据自动检测处理（非法字符/格式错误/逻辑矛盾），重复数据检测去重，自定义规则/合并策略，隐私敏感数据自动识别标记（患者信息/诊疗隐私/财务）等。</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数据脱敏</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支持患者隐私脱敏（姓名/身份证/手机/住址掩码替换加密），医护人员脱敏，按角色/场景差异化策略，数据去重清洗，精确/模糊去重/规则配置，缺失数据智能补全（默认/关联推断/人工补全）等。</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数据校验</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支持质量报告生成：生成质检报告，支持按报告ID、规则包编码和规则包名称查询数据质量检查报告，并支持删除操作。</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AI数智助理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质量智能巡检：AI数据质量自动巡检，异常模式发现/质量风险预测。</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敏感字段智能处理：AI敏感字段自动识别与智能脱敏，新类型自学习。</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智能去重补全：机器学习智能去重推荐与补全建议。</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4. 规则自学习推荐：校验规则自学习优化，自动发现推荐。</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5. 实体对齐融合：多源实体智能对齐融合（患者/医生/科室跨源匹配）。</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监管指标中心</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监管规则管理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监管规则逻辑设计：监管规则业务逻辑设计（条件/触发逻辑/优先级）。</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监管规则调整：监管规则动态调整（参数/启用停用）。</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监管规则发布：监管规则版本发布（灰度/全量/回滚）。</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指标计算</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指标手动计算：指标手动触发计算（单指标/批量/参数覆盖/监控），支持设置定时任务计算，支持按照计算ID存储计算结果。</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指标AI计算：指标AI智能计算（异常值处理/趋势预测/联动计算）。</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指标计算结果查询</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支持计算结果查询：根据计算ID查询明细结果，支持对指标计算结果查询展示（筛选/历史对比/趋势/下钻）。</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指标计算结果导出</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支持计算结果导出：指标计算结果批量导出（Excel/PDF/CSV格式）。</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指标计算结果启用</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支持计算结果启用：启用/停用监管指标的计算结果。</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AI监管指标助手</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指标语义推荐：NLP指标语义理解，自然语言查询/智能推荐/解释生成</w:t>
            </w:r>
            <w:r>
              <w:rPr>
                <w:rFonts w:hint="eastAsia" w:ascii="宋体" w:hAnsi="宋体" w:eastAsia="宋体" w:cs="宋体"/>
                <w:spacing w:val="-10"/>
                <w:sz w:val="21"/>
                <w:szCs w:val="21"/>
                <w:lang w:eastAsia="zh-CN"/>
              </w:rPr>
              <w:t xml:space="preserve">。</w:t>
            </w:r>
            <w:r>
              <w:rPr>
                <w:rFonts w:hint="eastAsia" w:ascii="宋体" w:hAnsi="宋体" w:eastAsia="宋体" w:cs="宋体"/>
                <w:spacing w:val="-10"/>
                <w:sz w:val="21"/>
                <w:szCs w:val="21"/>
              </w:rPr>
              <w:t xml:space="preserve">规则建模仿真：规则逻辑可视化建模与仿真验证，效果预判/冲突检测。指标效果模拟：指标执行效果模拟预测，不同参数配置结果预估。</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运营数据系统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指标开发</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指标开发</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综合分析指标：聚焦医院整体运营状况，涵盖医院运营综合评价、资源配置效率、医疗质量安全、经济运行效益等核心指标，包括医院总诊疗量、床位使用率、平均住院日、医疗总收入、收支结余、药占比、耗占比等。</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门诊运行指标：围绕门诊全流程运营，涵盖门诊量、就诊效率、医疗质量、费用控制等核心指标，包括分科门诊量、预约率、到诊率、候诊时长、门诊均次费用、处方合格率、检查检验异常率、门诊复诊率等。</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住院运行指标：聚焦住院全病程管理，涵盖住院效率、医疗质量、安全管控、费用管理等核心指标，包括出院人数、在院人数、床位周转次数、术前住院日、31天再住院率、院感发生率、住院次均费用、医保报销率等。</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4. 手术执行指标：围绕围手术期管理，涵盖手术效率、手术质量、安全管控、成本控制等核心指标等。</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5. 病种费用指标：聚焦病种诊疗费用管控，涵盖各病种诊疗成本、费用结构、医保支付等核心指标，包括各病种次均费用、病种成本、药费占比、耗材占比、医保拒付金额及比例等。</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运营业务系统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运营业务系统病组运营业务</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病组结构解析服务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结构解析引擎：病组结构解析计算引擎，病组构成/权重/CMI/费用结构分析计算。结构解析API：病组结构解析对外服务API，输入参数/输出结果/异步计算。</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归因分析服务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归因计算引擎：多因素归因分析引擎，识别影响病组运营的关键因素及贡献度。</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归因分析API：归因分析对外服务API，支持费用/成本/CMI/结构变化归因。</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异常识别服务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病组运营异常检测引擎，费用/成本/结余异常识别算法。</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异常识别API：异常识别对外服务API，异常病例筛查/预警阈值/结果输出。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多维对标服务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病组多维对标计算引擎，分位数/标杆/等级对标算法。</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对标分析API：对标分析对外服务API，对标维度配置/结果输出/趋势对比。</w:t>
            </w:r>
            <w:r>
              <w:rPr>
                <w:rFonts w:hint="eastAsia" w:ascii="宋体" w:hAnsi="宋体" w:eastAsia="宋体" w:cs="宋体"/>
                <w:spacing w:val="-10"/>
                <w:sz w:val="21"/>
                <w:szCs w:val="21"/>
              </w:rPr>
            </w:r>
            <w:r/>
          </w:p>
        </w:tc>
      </w:tr>
      <w:tr>
        <w:trPr>
          <w:trHeight w:val="9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运营业务系统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绩效评价业务</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评价体系配置服务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三维评价模型引擎，质量/效率/成本维度模型定义与计算。</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评价模型API：评价模型对外服务API，模型配置/指标权重/对标基准。</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运营业务系统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业务数据支撑</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业务缓存服务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支持缓存管理服务：业务数据缓存管理，热点数据/计算结果/缓存策略。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业务计算调度</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支持业务计算任务调度，并行计算/资源分配/优先级管理。</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业务日志追踪</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支持服务日志追踪：业务服务全链路日志追踪，调用链/性能/异常。</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4</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bookmarkStart w:id="59" w:name="OLE_LINK11"/>
            <w:r>
              <w:rPr>
                <w:rFonts w:hint="eastAsia" w:ascii="宋体" w:hAnsi="宋体" w:eastAsia="宋体" w:cs="宋体"/>
                <w:spacing w:val="-10"/>
                <w:sz w:val="21"/>
                <w:szCs w:val="21"/>
              </w:rPr>
              <w:t xml:space="preserve">数智能力系统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bookmarkEnd w:id="59"/>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数智能力系统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统一智能体工作台</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智能体展示检索</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支持智能体应用统一展示与检索，按业务分类(临床辅助/运营管理/患者服务/科研教学)/使用频率/角色权限多维展示与快捷检索。</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对话交互界面</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支持会话管理功能：对话历史记录保存/多轮会话管理/会话切换与导出。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状态概览</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支持运行状态概览：智能体任务数量/执行状态/待审核事项/异常告警实时展示。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上架申请</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上架申请入口：智能体上架发布至工作台应用目录。</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版本管理功能：智能体应用规范化发布与版本管理。</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数智能力系统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Workflow流程编排</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可视化编排画布</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可视化流程编排：拖拽方式组合智能体节点/技能节点/工具调用节点/条件判断节点/并行分支节点/人工审核节点/起止节点。流程嵌套引用与子流程复用，降低设计复杂度。</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节点参数配置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支持参数化配置：每个节点输入参数/输出映射/异常处理策略/超时时间/重试次数灵活配置。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流程模板管理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模板分类管理：成熟流程保存为模板，分类管理/版本控制/导入导出。</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模板跨场景复用，加速新业务场景流程构建。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流程调试仿真</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单步调试执行：流程发布前单步调试/断点执行/模拟数据注入。</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全流程仿真运行，验证逻辑正确性与执行效率。</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流程版本管理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版本发布回滚：流程版本发布/版本回滚/版本对比。</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历史版本追溯，变更可管控可回溯。</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数智能力系统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Agent运行和多智能体协同框架</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Agent运行容器</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独立运行实例：每个智能体独立运行容器，生命周期管理(创建/启动/暂停/恢复/终止/销毁)。状态资源监控：运行状态实时监控与资源使用情况可视化展示。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多智能体协同调度引擎</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任务依赖调度：基于任务依赖关系/优先级/资源约束自动拆解复杂任务分配至多智能体。</w:t>
            </w:r>
            <w:r>
              <w:rPr>
                <w:rFonts w:hint="eastAsia" w:ascii="宋体" w:hAnsi="宋体" w:eastAsia="宋体" w:cs="宋体"/>
                <w:spacing w:val="-10"/>
                <w:sz w:val="21"/>
                <w:szCs w:val="21"/>
              </w:rPr>
            </w:r>
            <w:r/>
          </w:p>
          <w:p>
            <w:pPr>
              <w:pStyle w:val="875"/>
              <w:jc w:val="left"/>
              <w:spacing w:line="260" w:lineRule="exact"/>
              <w:rPr>
                <w:rFonts w:ascii="宋体" w:hAnsi="宋体" w:eastAsia="宋体" w:cs="宋体"/>
                <w:spacing w:val="-10"/>
                <w:sz w:val="21"/>
                <w:szCs w:val="21"/>
                <w:lang w:val="en-US" w:eastAsia="zh-CN"/>
              </w:rPr>
            </w:pPr>
            <w:r>
              <w:rPr>
                <w:rFonts w:hint="eastAsia" w:ascii="宋体" w:hAnsi="宋体" w:eastAsia="宋体" w:cs="宋体"/>
                <w:spacing w:val="-10"/>
                <w:sz w:val="21"/>
                <w:szCs w:val="21"/>
              </w:rPr>
              <w:t xml:space="preserve">2. 智能体间协同：智能体间消息传递/数据共享/状态同步/结果汇总。</w:t>
            </w:r>
            <w:r>
              <w:rPr>
                <w:rFonts w:ascii="宋体" w:hAnsi="宋体" w:eastAsia="宋体" w:cs="宋体"/>
                <w:spacing w:val="-10"/>
                <w:sz w:val="21"/>
                <w:szCs w:val="21"/>
                <w:lang w:val="en-US" w:eastAsia="zh-CN"/>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运行监控治理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支持智能体自动扩缩容/熔断降级/流量控制。</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数智能力系统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Skills能力中心</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技能注册目录</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技能封装注册：文档解析/图像识别/语音识别/NLP/知识检索/数据分析/报告生成等封装为标准技能。</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统一注册至技能目录，查询AI能力资产清单。</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技能封装规范</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支持标准化封装：输入输出接口定义/参数约束/调用协议/版本标识/依赖声明。</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技能版本回滚</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支持技能版本回滚。</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技能效能评估</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调用统计分析：对技能调用次数/成功率/平均耗时/资源消耗统计分析。技能优化淘汰：技能优化和淘汰数据。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数智能力系统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Tool/API受控调用</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调用权限管控</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精细化授权：按智能体/按用户/按数据范围/按操作类型配置调用权限。越权防泄露：防止越权调用和数据泄露。</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调用审计追溯</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完整记录：每次调用发起方/时间/参数/结果/耗时完整记录。</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检索审计分析：调用记录全文检索与审计分析。</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流量管控</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限流配额：调用频率/并发数/数据量限流和配额管理。</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系统保护：防止异常调用对业务系统冲击，保障稳定。</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数智能力系统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上下文模板任务参数管理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上下文管理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上下文采集传递：执行过程中自动采集/存储/传递任务上下文(用户输入/中间结果/决策依据/状态/异常)。</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断点续传恢复：任务断点续传/状态恢复/事后审计。</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任务模板管理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模板固化：典型场景任务参数/流程配置/技能组合/审核规则固化为模板。参数化实例化：模板参数化配置和一键实例化。</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参数配置校验</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结构化定义：参数名称/数据类型/取值范围/默认值/必填标识结构化定义。</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任务创建时自动参数合法性校验。</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数据生命周期</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支持生命周期配置：上下文数据存储周期/访问权限/脱敏规则/清理策略。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5</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机构门户系统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业务待办</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业务事项待办</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支持业务待办管理：任务清单待办数量提醒标记、已办数量提醒标记，支持对上级下达的监管整改任务清单快捷进行处理，支持对完成整改的快速点击整改完成或整改反馈，支持便捷附件上传。</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机构门户系统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移动端查询</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移动端查询</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整改任务处理：便捷处理上级下发的整改任务，可拍照上传、文件上传、回复、申诉、办理完成。</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查询看板：根据权限控制，通过移动端支持查询指标，包括医院预算、财务、成本指标的排名、对比列表展示。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指标监控</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核心指标排名</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支持对核心指标排名查询，支持查询结果数据导出。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指标对比分析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支持本院与对标基准对比分析，支持查询结果数据导出。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指标改进跟踪</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支持整改任务跟踪：整改任务清单跟踪，支持整改任务清单查询，支持整改完成，整改反馈，支持附件上传。</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AI运营助手</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行动闭环看板</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支持风险预警到整改闭环看板（派发/跟踪/验证）。</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AI问答</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支持AI智能问答：大模型运营智能问答（指标/成本/政策查询）。</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AI指标解析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支持AI指标波动智能解析（因素拆解/关联分析/建议）。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6</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管理门户系统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管理门户系统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移动端查询</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微信小程序查询</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监管申诉办理：创建监管任务清单发送到机构用户，查看监管及申诉列表，查阅机构上报的申诉附件材料，支持批复、重启、关闭任务清单。</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移动便携查询：运营指标查询、收支查询、病种成本查询、考核指标对比查询。</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3. 指标超阈值风险预警推送。</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4. 文件预览导出：运营指标统计文件在线预览、文件导出。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管理门户系统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运营态势监测</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宏观运营地图</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支持区域医疗机构运营态势宏观地图，支持分布、着色、预警。</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人力资源地图</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支持区域医护资源分布（密度/职称/专科配置/薪酬），支持分布、着色、预警。</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核心指标监控</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支持区域核心指标集中监控（门急诊/出院/CMI/药耗）。</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指标趋势分析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支持区域指标时间趋势（同比/环比/季节性/预测）。</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医院运营画像</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支持单家医院综合画像（信息/特色/指标/风险）。</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机构排名对比</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支持区域内医院排名对比，支持查询和导出数据。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管理门户系统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专项监管</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药品使用监测</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支持药品采购与使用专项监测，支持查询和导出数据。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耗材使用监测</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支持医用耗材采购与使用专项监测，支持查询和导出数据。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集采政策执行监测</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支持集采执行监测：集采政策执行监测，支持查询和导出数据。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预算财务监管</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医院预算执行监测，支持查询和导出数据。</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医院财务风险监测，支持查询和导出数据。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管理门户系统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预警管理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预警规则配置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支持预警指标设置：预警指标定义配置，支持指标预警阶梯阈值，预警阶梯颜色。</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异常预警</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支持预警触发机制：预警自动触发（实时/定时/阈值），支持查询和导出数据。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预警分析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支持预警统计分析：预警事件统计，形成预警日志，支持查询和导出。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管理门户系统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督办闭环管理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监管基准设定</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支持监管指标基准值设定，支持监管指标基准值的添加、编辑、删除、查询、导出。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监管指标监测</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支持对监管指标周期性的与基准值对比分析，支持数据查询与导出。</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监管指标整改</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支持针对某个监管指标不合格的医院下达整改任务，支持整改任务定时自动生成整改清单下达至机构门户，支持手动取消任务。</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监管指标复盘</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支持监管指标整改反馈：根据机构门户对监管指标的整改结果，上传附件进行阅读，支持手工批复后继续下达任务清单。</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问题发现</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支持手动问题录入：手动录入运营问题，可直接生成整改任务清单并下达给目标医院账号，支持附件上传，支持取消任务。</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效果评估</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支持整改效果验证：整改指标前后对比分析。</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管理门户系统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AI监管助手</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监管态势解读</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核心指标解读：核心指标AI智能解读，包括变化说明/异常分析，生成word报告。</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机构画像生成：AI生成机构运营画像的多维度评价，生成word报告。AI排名对比分析解读，生成word报告。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专项监管分析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w:t>
            </w:r>
            <w:r>
              <w:rPr>
                <w:rFonts w:hint="eastAsia" w:ascii="宋体" w:hAnsi="宋体" w:eastAsia="宋体" w:cs="宋体"/>
                <w:spacing w:val="-10"/>
                <w:sz w:val="21"/>
                <w:szCs w:val="21"/>
              </w:rPr>
              <w:t xml:space="preserve">AI药耗智能监管分析，生成word报告。AI医疗收入智能监管分析，生成word报告。AI医疗成本智能监管分析，生成word报告。AI收支平衡智能监管分析，生成word报告。AI设备智能监管分析，生成word报告。病组运营智能监管：AI病组智能监管分析，生成word报告。AI预算智能监管分析，生成word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预警智能管理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支持预警智能归因：AI监管指标智能归因分析，生成word报告。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督办智能辅助</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支持整改效果评估：AI分析监管指标整改前后情况，生成word报告。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监管智能问答</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政策问答：政策法规AI问答对话。指标数据问答：指标数据查询AI问答，包括实际值，基准值，同比环比，排名。</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7</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bookmarkStart w:id="60" w:name="OLE_LINK9"/>
            <w:r>
              <w:rPr>
                <w:rFonts w:hint="eastAsia" w:ascii="宋体" w:hAnsi="宋体" w:eastAsia="宋体" w:cs="宋体"/>
                <w:spacing w:val="-10"/>
                <w:sz w:val="21"/>
                <w:szCs w:val="21"/>
              </w:rPr>
              <w:t xml:space="preserve">数智决策系统</w:t>
            </w:r>
            <w:bookmarkEnd w:id="60"/>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成本监管智能分析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跨院成本对标查询</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支持整合区域内多医院科室、医疗服务项目、诊次、床日及DRG成本数据，支持通过Text2SQL（文本转结构化查询语言）快速生成跨院对比查询语句，自动完成数据清洗、聚合与差异分析等。</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成本阈值与异常预警</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支持实时查询诊次、床日成本数据，动态跟踪指标波动偏离阈值情况，自动定位科室、病种交叉影响下的成本异常，生成标准化分析报告，实现“事前预警、事中干预”。</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DRG成本结构优化指导</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可调取跨医院DRG组成本明细数据，关联政策知识库、运营数据系统，智能分析成本构成差异，推荐更优DRG成本构成，推动区域DRG精细化管理。</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指标管理智能分析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区域考核指标全流程管控</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针对公立三级医院绩效考核、高质量发展考核等核心指标，支持长文本解析能力处理多医院指标申报材料、考核报告，完成“设定-监测-核查-整改-复盘”全流程数据提取与趋势研判，自动生成提升建议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特色指标统筹分析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支持区域特色指标自定义配置，依托长文本解析批量处理多医院专项报告，提炼共性问题与优化路径，为区域医疗发展规划提供数据支撑。</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区域数据解读与智能咨询智能分析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制式报表深度研判</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支持基于知识增强能力关联区域医疗政策、行业标准，深度解读跨医院成本报表、考核报表，挖掘数据背后趋势与风险，输出可视化研判报告。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多报告内容精简提炼</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支持借助RAG知识库快速匹配核心业务逻辑，凝练多医院上报的业务报告、复盘报告关键信息，生成精简汇总版。</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成本、费用、支付模型指标解析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▲支持通过RAG调取成本、费用、支付模型专业知识库，详细释义指标定义、计算逻辑、考核标准，辅助工作人员快速理解模型并应用于监管。</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区域数据解读与智能咨询智能体</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支持依托RAG知识增强的AI问答引擎，即时解答区域医疗政策、指标解读、流程查询等业务疑问，实现知识快速检索与精准答疑。</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人力资源智能分析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人力资源智能分析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需支持跨医院人力资源配置数据对比、评估分析，形成区域人才结构分析报告，输出区域人力资源优化配置建议。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设备资源智能分析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设备资源智能分析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需支持跨医院设备资源配置对比、设备使用效率评估，形成区域设备资源分析报告，输出区域设备配置优化建议。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药品集采智能分析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药品集采智能分析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支持跨医院药品集采数据对比、采购成本分析，形成区域药品采购分析报告，输出区域集中采购优化建议。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成本管控智能分析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院内成本动态监测与分析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▲支持通过Text2SQL实时查询科室、项目、DRG等成本数据，智能识别异常波动，定位人力、药耗等驱动因素，预测成本趋势并提供控费模拟方案。</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诊次与床日成本精细化管理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支持利用Text2SQL调取诊次、床日成本时序数据，关联服务量变化规律，预测高峰时段成本，优化排班与资源配置，支撑床位周转效率提升。</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床日成本分析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支持通过Text2SQL提取高成本DRG组明细数据，深度剖析成本构成并预测盈亏，结合医保支付标准推荐优化方案，提升DRG盈利水平。</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院内指标考核智能分析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院内考核指标智能管理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★支持自动汇总公立三级医院、高质量发展等考核指标数据，通过报告自动生成能力输出完成度评估报告与改进建议，辅助科室绩效复盘。</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特色指标自定义分析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支持院内特色指标灵活配置，自动采集科室上报数据并完成多维度分析，通过报告生成功能输出结构化结果，为管理决策提供支撑。</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数智决策系统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院内数据解读与智能咨询智能分析</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制式报表数据深度分析</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支持依托RAG关联院内运营知识库，深度解读成本、财务、考核等制式报表，识别异常与优化机会，输出针对性改进建议。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多报告精简整合</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支持通过RAG知识匹配快速提炼科室业务报告、病历汇总、设备运维等文档核心信息，生成结构化精简报告，方便管理人员快速掌握关键情况。</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成本、费用、支付模型指标释义</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★支持基于RAG调取院内成本、费用、支付模型知识库，详细解析指标含义、计算方式、考核要求，帮助工作人员准确理解与应用模型。</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院内业务智能问答</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支持借助RAG知识增强的AI问答引擎，为医护、行政人员提供政策、业务流程、指标疑问等即时咨询服务，提升办公效率。</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8</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bookmarkStart w:id="61" w:name="OLE_LINK16"/>
            <w:r>
              <w:rPr>
                <w:rFonts w:hint="eastAsia" w:ascii="宋体" w:hAnsi="宋体" w:eastAsia="宋体" w:cs="宋体"/>
                <w:spacing w:val="-10"/>
                <w:sz w:val="21"/>
                <w:szCs w:val="21"/>
              </w:rPr>
              <w:t xml:space="preserve">安全合规系统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bookmarkEnd w:id="61"/>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安全合规系统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数据安全管理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数据分级分类-分级标准制定</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支持分级标准制定：数据分级分类标准（敏感级别/分类维度/标记规范）。</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数据分级分类-分类标签管理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★支持分类标签管理：数据分类标签定义/分配/查询。</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数据访问控制-访问行为记录</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支持数据访问行为记录（时间/访问者/数据/操作）。</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安全合规系统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传输安全管理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传输加密-通道加密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★支持数据传输通道加密（TLS/SSL）。</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传输加密-端到端加密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支持敏感数据端到端加密，算法/密钥管理。</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9</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bookmarkStart w:id="62" w:name="OLE_LINK18"/>
            <w:r>
              <w:rPr>
                <w:rFonts w:hint="eastAsia" w:ascii="宋体" w:hAnsi="宋体" w:eastAsia="宋体" w:cs="宋体"/>
                <w:spacing w:val="-10"/>
                <w:sz w:val="21"/>
                <w:szCs w:val="21"/>
              </w:rPr>
              <w:t xml:space="preserve">组织与运行系统</w:t>
            </w:r>
            <w:bookmarkEnd w:id="62"/>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组织与运行系统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委员会管理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委员会成员管理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支持委员会成员全生命周期（信息/职务/任期）信息维护，支持增删改查。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委员会会议管理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支持委员会会议全流程（计划/议程/纪要/决议跟踪）信息维护，支持增删改查。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组织与运行系统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PMO管理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PMO团队管理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支持PMO团队（组建/分工/考核）信息维护，支持增删改查。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组织与运行系统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接口人管理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接口人信息管理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支持各机构接口人统一管理（信息/职责/联系方式）信息维护，支持增删改查。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组织与运行系统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交付物管理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交付物目录</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支持交付物分类目录（定义/权限）信息维护，支持增删改查。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交付物上传</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支持交付物上传，支持更新，删除。</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交付物归档</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支持交付物归档，归档后不可删除，支持查询。</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交付物浏览</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支持交付物预览：交付物在线支持Word/PDF预览。</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交付物下载</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支持交付物下载到本地。</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组织与运行系统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运行闭环管理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AI月度简报</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支持AI自动生成月度简报word报告。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AI季度简报</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支持AI自动生成季度简报word报告。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AI年度报告</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支持AI年度简报：AI自动生成年度简报word报告。</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组织与运行系统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培训管理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培训课程</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 培训课程维护：培训课程及课程附件上传或在线课程链接上传。</w:t>
            </w:r>
            <w:r>
              <w:rPr>
                <w:rFonts w:hint="eastAsia" w:ascii="宋体" w:hAnsi="宋体" w:eastAsia="宋体" w:cs="宋体"/>
                <w:spacing w:val="-10"/>
                <w:sz w:val="21"/>
                <w:szCs w:val="21"/>
              </w:rPr>
            </w:r>
            <w:r/>
          </w:p>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2. 培训课程查询：查询已经上传的培训课程资料，支持资料下载。</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10</w:t>
            </w: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bookmarkStart w:id="63" w:name="OLE_LINK20"/>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bookmarkEnd w:id="63"/>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接口设计规范</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接口标准制定</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支持接口设计标准（数据格式/协议/安全/错误码）。</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接口文档管理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支持接口技术文档（说明/字段/示例/变更）。</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接口版本管理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支持接口版本管理（发布/兼容/废弃）。</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接口开发配置</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接口开发</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支持数据接口开发（抽取/转换/校验/传输）。</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接口配置</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支持接口参数配置（连接/调度/超时/重试）。</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接口调试</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支持接口联调测试（连通/准确性/压力）。</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接口部署</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支持接口部署（环境/依赖/灰度/全量）。</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接口运行监控</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状态监控</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支持接口状态监控（在线/响应/成功率）。</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流量监控</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支持接口流量监控（调用量/并发/峰值）。</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异常告警</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支持接口异常告警（超时/失败/流量异常）。</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日志记录</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支持接口日志记录：接口调用日志（参数/结果/耗时/异常）。</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br w:type="textWrapping" w:clear="all"/>
            </w:r>
            <w:r>
              <w:rPr>
                <w:rFonts w:hint="eastAsia" w:ascii="宋体" w:hAnsi="宋体" w:eastAsia="宋体" w:cs="宋体"/>
                <w:spacing w:val="-10"/>
                <w:sz w:val="21"/>
                <w:szCs w:val="21"/>
              </w:rPr>
              <w:t xml:space="preserve">接口数据质量</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接口完整性校验</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传输完整性校验（记录数/字段完整性）。传输准确性校验（格式/范围/逻辑）。传输及时性监控（时效/延迟/补传）。 接口质量报告（评分/问题/建议）。</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身份认证对接</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统一认证对接</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支持统一身份认证对接（身份核验/单点登录）。</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权限匹配</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ascii="宋体" w:hAnsi="宋体" w:eastAsia="宋体" w:cs="宋体"/>
                <w:spacing w:val="-10"/>
                <w:sz w:val="21"/>
                <w:szCs w:val="21"/>
                <w:lang w:val="en-US" w:eastAsia="zh-CN"/>
              </w:rPr>
            </w:pPr>
            <w:r>
              <w:rPr>
                <w:rFonts w:hint="eastAsia" w:ascii="宋体" w:hAnsi="宋体" w:eastAsia="宋体" w:cs="宋体"/>
                <w:spacing w:val="-10"/>
                <w:sz w:val="21"/>
                <w:szCs w:val="21"/>
              </w:rPr>
              <w:t xml:space="preserve">支持权限匹配对接（获取/同步/变更通知）。</w:t>
            </w:r>
            <w:r>
              <w:rPr>
                <w:rFonts w:ascii="宋体" w:hAnsi="宋体" w:eastAsia="宋体" w:cs="宋体"/>
                <w:spacing w:val="-10"/>
                <w:sz w:val="21"/>
                <w:szCs w:val="21"/>
                <w:lang w:val="en-US" w:eastAsia="zh-CN"/>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登录管理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支持登录管理对接：登录管理（状态维护/登出/会话）。</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扩展接口能力</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接口扩展框架</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支持接口扩展框架（快速开发/配置/上线）。</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指标调整接口</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支持预留指标调整接口（新增/口径变更）。</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功能扩展接口</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支持预留功能扩展接口（新模块对接）。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范围拓展接口</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支持预留范围拓展接口（新增机构接入）。</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接口安全管理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接口访问控制</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支持接口访问控制（IP白名单/频率/时段）。</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接口传输加密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支持接口传输加密（国密/证书管理）。</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接口审计追溯</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支持接口审计（调用方/时间/内容/结果）。</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restart"/>
            <w:textDirection w:val="lrTb"/>
            <w:noWrap w:val="false"/>
          </w:tcPr>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接口管理系统</w:t>
            </w:r>
            <w:r>
              <w:rPr>
                <w:rFonts w:hint="eastAsia" w:ascii="宋体" w:hAnsi="宋体" w:eastAsia="宋体" w:cs="宋体"/>
                <w:spacing w:val="-10"/>
                <w:sz w:val="21"/>
                <w:szCs w:val="21"/>
              </w:rPr>
            </w:r>
            <w:r/>
          </w:p>
          <w:p>
            <w:pPr>
              <w:pStyle w:val="875"/>
              <w:jc w:val="center"/>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接口运维管理</w:t>
            </w: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接口巡检</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支持接口巡检（连通/质量/性能）。</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故障处理</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支持接口故障处理（发现/切换/修复/复盘）。</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性能优化</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支持接口性能优化（批量/压缩/并发）。</w:t>
            </w:r>
            <w:r>
              <w:rPr>
                <w:rFonts w:hint="eastAsia" w:ascii="宋体" w:hAnsi="宋体" w:eastAsia="宋体" w:cs="宋体"/>
                <w:spacing w:val="-10"/>
                <w:sz w:val="21"/>
                <w:szCs w:val="21"/>
              </w:rPr>
            </w:r>
            <w:r/>
          </w:p>
        </w:tc>
      </w:tr>
      <w:tr>
        <w:trPr>
          <w:trHeight w:val="20"/>
        </w:trPr>
        <w:tc>
          <w:tcPr>
            <w:tcMar>
              <w:left w:w="100" w:type="dxa"/>
              <w:top w:w="80" w:type="dxa"/>
              <w:right w:w="100" w:type="dxa"/>
              <w:bottom w:w="80" w:type="dxa"/>
            </w:tcMar>
            <w:tcW w:w="562"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047"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273" w:type="dxa"/>
            <w:vAlign w:val="center"/>
            <w:vMerge w:val="continue"/>
            <w:textDirection w:val="lrTb"/>
            <w:noWrap w:val="false"/>
          </w:tcPr>
          <w:p>
            <w:pPr>
              <w:pStyle w:val="875"/>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r>
            <w:r/>
          </w:p>
        </w:tc>
        <w:tc>
          <w:tcPr>
            <w:tcMar>
              <w:left w:w="100" w:type="dxa"/>
              <w:top w:w="80" w:type="dxa"/>
              <w:right w:w="100" w:type="dxa"/>
              <w:bottom w:w="80" w:type="dxa"/>
            </w:tcMar>
            <w:tcW w:w="1133" w:type="dxa"/>
            <w:vAlign w:val="center"/>
            <w:textDirection w:val="lrTb"/>
            <w:noWrap w:val="false"/>
          </w:tcPr>
          <w:p>
            <w:pPr>
              <w:pStyle w:val="875"/>
              <w:jc w:val="left"/>
              <w:spacing w:line="260" w:lineRule="exact"/>
              <w:rPr>
                <w:rFonts w:hint="eastAsia" w:ascii="宋体" w:hAnsi="宋体" w:eastAsia="宋体" w:cs="宋体"/>
                <w:spacing w:val="-10"/>
                <w:sz w:val="21"/>
                <w:szCs w:val="21"/>
              </w:rPr>
            </w:pPr>
            <w:r>
              <w:rPr>
                <w:rFonts w:hint="eastAsia" w:ascii="宋体" w:hAnsi="宋体" w:eastAsia="宋体" w:cs="宋体"/>
                <w:spacing w:val="-10"/>
                <w:sz w:val="21"/>
                <w:szCs w:val="21"/>
              </w:rPr>
              <w:t xml:space="preserve">接口停用下线</w:t>
            </w:r>
            <w:r>
              <w:rPr>
                <w:rFonts w:hint="eastAsia" w:ascii="宋体" w:hAnsi="宋体" w:eastAsia="宋体" w:cs="宋体"/>
                <w:spacing w:val="-10"/>
                <w:sz w:val="21"/>
                <w:szCs w:val="21"/>
              </w:rPr>
            </w:r>
            <w:r/>
          </w:p>
        </w:tc>
        <w:tc>
          <w:tcPr>
            <w:tcMar>
              <w:left w:w="100" w:type="dxa"/>
              <w:top w:w="80" w:type="dxa"/>
              <w:right w:w="100" w:type="dxa"/>
              <w:bottom w:w="80" w:type="dxa"/>
            </w:tcMar>
            <w:tcW w:w="5823" w:type="dxa"/>
            <w:vAlign w:val="center"/>
            <w:textDirection w:val="lrTb"/>
            <w:noWrap w:val="false"/>
          </w:tcPr>
          <w:p>
            <w:pPr>
              <w:pStyle w:val="875"/>
              <w:jc w:val="left"/>
              <w:spacing w:line="260" w:lineRule="exact"/>
              <w:rPr>
                <w:rFonts w:ascii="宋体" w:hAnsi="宋体" w:eastAsia="宋体" w:cs="宋体"/>
                <w:spacing w:val="-10"/>
                <w:sz w:val="21"/>
                <w:szCs w:val="21"/>
                <w:lang w:val="en-US" w:eastAsia="zh-CN"/>
              </w:rPr>
            </w:pPr>
            <w:r>
              <w:rPr>
                <w:rFonts w:hint="eastAsia" w:ascii="宋体" w:hAnsi="宋体" w:eastAsia="宋体" w:cs="宋体"/>
                <w:spacing w:val="-10"/>
                <w:sz w:val="21"/>
                <w:szCs w:val="21"/>
              </w:rPr>
              <w:t xml:space="preserve">支持接口停用下线（通知/迁移/确认）。</w:t>
            </w:r>
            <w:r>
              <w:rPr>
                <w:rFonts w:ascii="宋体" w:hAnsi="宋体" w:eastAsia="宋体" w:cs="宋体"/>
                <w:spacing w:val="-10"/>
                <w:sz w:val="21"/>
                <w:szCs w:val="21"/>
                <w:lang w:val="en-US" w:eastAsia="zh-CN"/>
              </w:rPr>
            </w:r>
            <w:r/>
          </w:p>
        </w:tc>
      </w:tr>
    </w:tbl>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（1）总体要求</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cs="宋体"/>
          <w:bCs/>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（2）验收要求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立即进行补充。</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②软件安装、调试达到技术规范书规定的指标后，可进行验收测试。验收规范（包括计划、项目、指标、方式和测试仪器等）应由</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w:t>
      </w:r>
      <w:r>
        <w:rPr>
          <w:rFonts w:hint="eastAsia" w:ascii="宋体" w:hAnsi="宋体" w:cs="宋体"/>
          <w:bCs/>
          <w:color w:val="000000"/>
          <w:sz w:val="24"/>
          <w:szCs w:val="24"/>
          <w:highlight w:val="none"/>
        </w:rPr>
        <w:t xml:space="preserve">供应商</w:t>
      </w:r>
      <w:r>
        <w:rPr>
          <w:rFonts w:hint="eastAsia" w:ascii="宋体" w:hAnsi="宋体" w:eastAsia="宋体" w:cs="Times New Roman"/>
          <w:bCs w:val="0"/>
          <w:color w:val="000000"/>
          <w:sz w:val="24"/>
          <w:szCs w:val="24"/>
          <w:highlight w:val="none"/>
          <w:lang w:val="en-US" w:eastAsia="zh-CN"/>
        </w:rPr>
        <w:t xml:space="preserve">进行修复，终验顺延一个月，在全部达到要求时，双方签署最终验收文件；</w:t>
      </w:r>
      <w:r>
        <w:rPr>
          <w:rFonts w:hint="eastAsia" w:ascii="宋体" w:hAnsi="宋体" w:cs="宋体"/>
          <w:bCs/>
          <w:color w:val="000000"/>
          <w:sz w:val="24"/>
          <w:szCs w:val="24"/>
          <w:highlight w:val="none"/>
        </w:rPr>
        <w:t xml:space="preserve">供应商</w:t>
      </w:r>
      <w:r>
        <w:rPr>
          <w:rFonts w:hint="eastAsia" w:ascii="宋体" w:hAnsi="宋体" w:eastAsia="宋体" w:cs="Times New Roman"/>
          <w:bCs w:val="0"/>
          <w:color w:val="000000"/>
          <w:sz w:val="24"/>
          <w:szCs w:val="24"/>
          <w:highlight w:val="none"/>
          <w:lang w:val="en-US" w:eastAsia="zh-CN"/>
        </w:rPr>
        <w:t xml:space="preserve">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）运维要求</w:t>
      </w:r>
      <w:r>
        <w:rPr>
          <w:rFonts w:ascii="宋体" w:hAnsi="宋体" w:cs="宋体"/>
          <w:bCs/>
          <w:color w:val="000000"/>
          <w:sz w:val="24"/>
          <w:szCs w:val="24"/>
          <w:highlight w:val="none"/>
        </w:rPr>
      </w:r>
      <w:r/>
    </w:p>
    <w:p>
      <w:pPr>
        <w:pStyle w:val="875"/>
        <w:ind w:firstLine="480"/>
        <w:spacing w:line="264"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①运维期：供应商应确保本次采购所有项目的安全稳定运行，提供3年运维服务（自验收报告签字确认日起，开始进入</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期，相关费用包含在本次报价中）。</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期内，本合同项目所有技术和服务发生任何非人为故障，由供应商负责系统恢复。</w:t>
      </w:r>
      <w:r>
        <w:rPr>
          <w:rFonts w:hint="eastAsia" w:ascii="宋体" w:hAnsi="宋体" w:eastAsia="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②运维期内，对采购人提出的合理服务要求，供应商必须即时进行电话、邮件及远程网络支持，并在2小时内到场服务，小型故障4小时内恢复，严重故障24小时内恢复，并及时</w:t>
      </w:r>
      <w:r>
        <w:rPr>
          <w:rFonts w:hint="eastAsia" w:ascii="宋体" w:hAnsi="宋体" w:cs="宋体"/>
          <w:bCs/>
          <w:color w:val="000000"/>
          <w:sz w:val="24"/>
          <w:szCs w:val="24"/>
          <w:highlight w:val="none"/>
        </w:rPr>
        <w:t xml:space="preserve">提供</w:t>
      </w:r>
      <w:r>
        <w:rPr>
          <w:rFonts w:hint="eastAsia" w:ascii="宋体" w:hAnsi="宋体" w:cs="宋体"/>
          <w:bCs/>
          <w:color w:val="000000"/>
          <w:sz w:val="24"/>
          <w:szCs w:val="24"/>
          <w:highlight w:val="none"/>
        </w:rPr>
        <w:t xml:space="preserve">有效解决方案。如不到场，采购人有权自行处理，相关费用由供应商负责。</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③供应商须提供定期回访服务，对采购人提出的合理优化建议应提供升级服务。</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④所有的服务方式均为供应商上门保修，即由供应商派员到系统使用现场进行故障恢复，由此产生的一切费用均由供应商承担。</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⑤本采购项目出保后每年的维护费不超过合同总金额的5%。</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⑥质保期内供应商提供的系统软件升级，保证采购人使用最新版本软件。质保期满后软件版本内终身升级。</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）人员要求</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①项目经理：1人。 </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②技术负责人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1人。  </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③开发实施人员：不少于</w:t>
      </w:r>
      <w:r>
        <w:rPr>
          <w:rFonts w:ascii="宋体" w:hAnsi="宋体" w:cs="宋体"/>
          <w:bCs/>
          <w:color w:val="000000"/>
          <w:sz w:val="24"/>
          <w:szCs w:val="24"/>
          <w:highlight w:val="none"/>
        </w:rPr>
        <w:t xml:space="preserve">8</w:t>
      </w:r>
      <w:r>
        <w:rPr>
          <w:rFonts w:hint="eastAsia" w:ascii="宋体" w:hAnsi="宋体" w:cs="宋体"/>
          <w:bCs/>
          <w:color w:val="000000"/>
          <w:sz w:val="24"/>
          <w:szCs w:val="24"/>
          <w:highlight w:val="none"/>
        </w:rPr>
        <w:t xml:space="preserve">人，具有信息化工作经验，项目开发期间须</w:t>
      </w:r>
      <w:r>
        <w:rPr>
          <w:rFonts w:ascii="宋体" w:hAnsi="宋体" w:cs="宋体"/>
          <w:bCs/>
          <w:color w:val="000000"/>
          <w:sz w:val="24"/>
          <w:szCs w:val="24"/>
          <w:highlight w:val="none"/>
        </w:rPr>
        <w:t xml:space="preserve">5</w:t>
      </w:r>
      <w:r>
        <w:rPr>
          <w:rFonts w:hint="eastAsia" w:ascii="宋体" w:hAnsi="宋体" w:cs="宋体"/>
          <w:bCs/>
          <w:color w:val="000000"/>
          <w:sz w:val="24"/>
          <w:szCs w:val="24"/>
          <w:highlight w:val="none"/>
        </w:rPr>
        <w:t xml:space="preserve">人驻场服务。 </w:t>
      </w:r>
      <w:r>
        <w:rPr>
          <w:rFonts w:ascii="宋体" w:hAnsi="宋体" w:cs="宋体"/>
          <w:bCs/>
          <w:color w:val="000000"/>
          <w:sz w:val="24"/>
          <w:szCs w:val="24"/>
          <w:highlight w:val="none"/>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④项目组所有人员必须为供应商正式工作人员，不得兼任其他项目工作，未经采购人同意，人员不得更换。 </w:t>
      </w:r>
      <w:r>
        <w:rPr>
          <w:rFonts w:ascii="宋体" w:hAnsi="宋体" w:cs="宋体"/>
          <w:bCs/>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（5）知识产权及保密要求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保证所提供的软件没有侵害任何第三方的知识产权。如有第三方指控</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提供给采购人的软件侵犯了该方的知识产权或其他权利，</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w:t>
      </w: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（6）建设成果要求</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（7）信创适配要求</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5"/>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（8）网络安全等级保护测评要求</w:t>
      </w:r>
      <w:r>
        <w:rPr>
          <w:rFonts w:hint="eastAsia" w:ascii="宋体" w:hAnsi="宋体" w:eastAsia="宋体" w:cs="Times New Roman"/>
          <w:color w:val="000000"/>
          <w:sz w:val="24"/>
          <w:szCs w:val="24"/>
          <w:highlight w:val="none"/>
          <w:lang w:val="en-US" w:eastAsia="zh-CN"/>
        </w:rPr>
      </w:r>
      <w:r/>
    </w:p>
    <w:p>
      <w:pPr>
        <w:pStyle w:val="875"/>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供应商</w:t>
      </w:r>
      <w:r>
        <w:rPr>
          <w:rFonts w:hint="eastAsia" w:ascii="宋体" w:hAnsi="宋体" w:eastAsia="宋体" w:cs="Times New Roman"/>
          <w:color w:val="000000"/>
          <w:sz w:val="24"/>
          <w:szCs w:val="24"/>
          <w:highlight w:val="none"/>
          <w:lang w:val="en-US" w:eastAsia="zh-CN"/>
        </w:rPr>
        <w:t xml:space="preserve">配合采购人，做好系统通过等保测评相关准备工作。</w:t>
      </w:r>
      <w:r>
        <w:rPr>
          <w:rFonts w:ascii="宋体" w:hAnsi="宋体" w:eastAsia="宋体" w:cs="Times New Roman"/>
          <w:color w:val="000000"/>
          <w:sz w:val="24"/>
          <w:szCs w:val="24"/>
          <w:highlight w:val="none"/>
          <w:lang w:val="en-US" w:eastAsia="zh-CN"/>
        </w:rPr>
      </w:r>
      <w:r/>
    </w:p>
    <w:p>
      <w:pPr>
        <w:pStyle w:val="875"/>
        <w:ind w:firstLine="480"/>
        <w:jc w:val="left"/>
        <w:spacing w:line="264" w:lineRule="auto"/>
        <w:rPr>
          <w:rFonts w:ascii="宋体" w:hAnsi="宋体" w:cs="宋体"/>
          <w:bCs/>
          <w:color w:val="000000"/>
          <w:sz w:val="24"/>
          <w:szCs w:val="24"/>
          <w:highlight w:val="none"/>
        </w:rPr>
        <w:outlineLvl w:val="2"/>
      </w:pPr>
      <w:r>
        <w:rPr>
          <w:rFonts w:hint="eastAsia" w:ascii="宋体" w:hAnsi="宋体" w:eastAsia="宋体" w:cs="Times New Roman"/>
          <w:color w:val="000000"/>
          <w:sz w:val="24"/>
          <w:szCs w:val="24"/>
          <w:highlight w:val="none"/>
          <w:lang w:val="en-US" w:eastAsia="zh-CN"/>
        </w:rPr>
        <w:t xml:space="preserve">（9）系统对接要求</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①供应商提供的系统能够根据采购人实际需求与医院各院区所有信息系统、集成平台做对接及集成（对接人：宋工 ；联系电话：025-83106666转</w:t>
      </w:r>
      <w:r>
        <w:rPr>
          <w:rFonts w:ascii="宋体" w:hAnsi="宋体" w:cs="宋体"/>
          <w:bCs/>
          <w:color w:val="000000"/>
          <w:sz w:val="24"/>
          <w:szCs w:val="24"/>
          <w:highlight w:val="none"/>
        </w:rPr>
        <w:t xml:space="preserve">60617</w:t>
      </w:r>
      <w:r>
        <w:rPr>
          <w:rFonts w:hint="eastAsia" w:ascii="宋体" w:hAnsi="宋体" w:cs="宋体"/>
          <w:bCs/>
          <w:color w:val="000000"/>
          <w:sz w:val="24"/>
          <w:szCs w:val="24"/>
          <w:highlight w:val="none"/>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bCs/>
          <w:color w:val="000000"/>
          <w:sz w:val="24"/>
          <w:szCs w:val="24"/>
          <w:highlight w:val="none"/>
        </w:rPr>
      </w:r>
      <w:r/>
    </w:p>
    <w:p>
      <w:pPr>
        <w:pStyle w:val="875"/>
        <w:ind w:firstLine="480"/>
        <w:spacing w:line="264" w:lineRule="auto"/>
        <w:rPr>
          <w:rStyle w:val="952"/>
        </w:rPr>
        <w:outlineLvl w:val="2"/>
      </w:pPr>
      <w:r>
        <w:rPr>
          <w:rFonts w:hint="eastAsia" w:ascii="宋体" w:hAnsi="宋体" w:cs="宋体"/>
          <w:bCs/>
          <w:color w:val="000000"/>
          <w:sz w:val="24"/>
          <w:szCs w:val="24"/>
        </w:rPr>
        <w:t xml:space="preserve">②本项目运维期内，因国家最新政策调整所造成的系统调整，供应商应根据采购人要求进行系统调整，价格包含在本次报价中。</w:t>
      </w:r>
      <w:r>
        <w:rPr>
          <w:rStyle w:val="952"/>
        </w:rPr>
      </w:r>
      <w:r/>
    </w:p>
    <w:p>
      <w:pPr>
        <w:pStyle w:val="875"/>
        <w:ind w:firstLine="480"/>
        <w:spacing w:line="264" w:lineRule="auto"/>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）系统培训要求</w:t>
      </w:r>
      <w:r>
        <w:rPr>
          <w:rFonts w:ascii="宋体" w:hAnsi="宋体" w:cs="宋体"/>
          <w:bCs/>
          <w:color w:val="000000"/>
          <w:sz w:val="24"/>
          <w:szCs w:val="24"/>
          <w:highlight w:val="none"/>
        </w:rPr>
      </w:r>
      <w:r/>
    </w:p>
    <w:p>
      <w:pPr>
        <w:pStyle w:val="875"/>
        <w:ind w:firstLine="480"/>
        <w:spacing w:line="264" w:lineRule="auto"/>
        <w:rPr>
          <w:rFonts w:hint="eastAsia" w:ascii="宋体" w:hAnsi="宋体" w:eastAsia="宋体" w:cs="宋体"/>
          <w:bCs/>
          <w:color w:val="0000ff"/>
          <w:sz w:val="24"/>
          <w:szCs w:val="24"/>
          <w:highlight w:val="none"/>
          <w:lang w:val="en-US" w:eastAsia="zh-CN"/>
        </w:rPr>
      </w:pPr>
      <w:r>
        <w:rPr>
          <w:rFonts w:hint="eastAsia" w:ascii="宋体" w:hAnsi="宋体" w:cs="宋体"/>
          <w:color w:val="000000"/>
          <w:sz w:val="24"/>
          <w:szCs w:val="24"/>
          <w:highlight w:val="none"/>
        </w:rPr>
        <w:t xml:space="preserve">供应商应负责对</w:t>
      </w:r>
      <w:r>
        <w:rPr>
          <w:rFonts w:hint="eastAsia" w:ascii="宋体" w:hAnsi="宋体" w:cs="宋体"/>
          <w:sz w:val="24"/>
          <w:szCs w:val="24"/>
        </w:rPr>
        <w:t xml:space="preserve">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w:t>
      </w:r>
      <w:r>
        <w:rPr>
          <w:rFonts w:hint="eastAsia" w:ascii="宋体" w:hAnsi="宋体" w:cs="宋体"/>
          <w:sz w:val="24"/>
          <w:szCs w:val="24"/>
        </w:rPr>
        <w:t xml:space="preserve">接受培训的人员能</w:t>
      </w:r>
      <w:r>
        <w:rPr>
          <w:rFonts w:hint="eastAsia" w:ascii="宋体" w:hAnsi="宋体" w:cs="宋体"/>
          <w:sz w:val="24"/>
          <w:szCs w:val="24"/>
        </w:rPr>
        <w:t xml:space="preserve">接收培训老师能</w:t>
      </w:r>
      <w:r>
        <w:rPr>
          <w:rFonts w:hint="eastAsia" w:ascii="宋体" w:hAnsi="宋体" w:cs="宋体"/>
          <w:sz w:val="24"/>
          <w:szCs w:val="24"/>
        </w:rPr>
        <w:t xml:space="preserve">全面了解各系统运行模式，熟知业务流程，能判断一般故障；全面掌握系统安装、设置和使用。三年内每年上门培训不低于</w:t>
      </w:r>
      <w:r>
        <w:rPr>
          <w:rFonts w:hint="eastAsia" w:ascii="宋体" w:hAnsi="宋体" w:cs="宋体"/>
          <w:sz w:val="24"/>
          <w:szCs w:val="24"/>
          <w:lang w:val="en-US" w:eastAsia="zh-CN"/>
        </w:rPr>
        <w:t xml:space="preserve">两</w:t>
      </w:r>
      <w:r>
        <w:rPr>
          <w:rFonts w:hint="eastAsia" w:ascii="宋体" w:hAnsi="宋体" w:cs="宋体"/>
          <w:sz w:val="24"/>
          <w:szCs w:val="24"/>
        </w:rPr>
        <w:t xml:space="preserve">次，提供软件终身升级服务，费用包含在投标报价中。</w:t>
      </w:r>
      <w:r>
        <w:rPr>
          <w:rFonts w:hint="eastAsia" w:ascii="宋体" w:hAnsi="宋体" w:eastAsia="宋体" w:cs="宋体"/>
          <w:bCs/>
          <w:color w:val="0000ff"/>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cs="宋体"/>
          <w:bCs/>
          <w:sz w:val="24"/>
          <w:szCs w:val="24"/>
        </w:rPr>
      </w:pPr>
      <w:r>
        <w:rPr>
          <w:rFonts w:ascii="宋体" w:hAnsi="宋体" w:eastAsia="宋体" w:cs="宋体"/>
          <w:color w:val="000000"/>
          <w:sz w:val="24"/>
          <w:szCs w:val="24"/>
          <w:highlight w:val="none"/>
        </w:rPr>
        <w:t xml:space="preserve">（1）交付时间：</w:t>
      </w:r>
      <w:r>
        <w:rPr>
          <w:rFonts w:hint="eastAsia" w:ascii="宋体" w:hAnsi="宋体" w:cs="宋体"/>
          <w:bCs/>
          <w:sz w:val="24"/>
          <w:szCs w:val="24"/>
        </w:rPr>
        <w:t xml:space="preserve">合同签订后</w:t>
      </w:r>
      <w:r>
        <w:rPr>
          <w:rFonts w:ascii="宋体" w:hAnsi="宋体" w:cs="宋体"/>
          <w:bCs/>
          <w:sz w:val="24"/>
          <w:szCs w:val="24"/>
        </w:rPr>
        <w:t xml:space="preserve">30</w:t>
      </w:r>
      <w:r>
        <w:rPr>
          <w:rFonts w:hint="eastAsia" w:ascii="宋体" w:hAnsi="宋体" w:cs="宋体"/>
          <w:bCs/>
          <w:sz w:val="24"/>
          <w:szCs w:val="24"/>
        </w:rPr>
        <w:t xml:space="preserve">天内完成系统开发及整体交付验收工作。</w:t>
      </w:r>
      <w:r>
        <w:rPr>
          <w:rFonts w:hint="eastAsia" w:ascii="宋体" w:hAnsi="宋体" w:cs="宋体"/>
          <w:bCs/>
          <w:sz w:val="24"/>
          <w:szCs w:val="24"/>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rPr>
          <w:rFonts w:hint="eastAsia"/>
          <w:highlight w:val="none"/>
        </w:rPr>
      </w:pPr>
      <w:r>
        <w:rPr>
          <w:rFonts w:hint="eastAsia"/>
          <w:highlight w:val="none"/>
        </w:rPr>
      </w:r>
      <w:r/>
    </w:p>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bookmarkStart w:id="64"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5"/>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采用综合评分法，评标结果按评审后得分由高到低</w:t>
      </w:r>
      <w:r>
        <w:rPr>
          <w:rFonts w:hint="eastAsia" w:ascii="宋体" w:hAnsi="宋体" w:eastAsia="宋体" w:cs="宋体"/>
          <w:color w:val="000000"/>
          <w:sz w:val="24"/>
          <w:szCs w:val="24"/>
          <w:highlight w:val="none"/>
        </w:rPr>
        <w:t xml:space="preserve">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黑体" w:hAnsi="黑体" w:eastAsia="黑体" w:cs="黑体"/>
          <w:b w:val="0"/>
          <w:bCs w:val="0"/>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highlight w:val="none"/>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highlight w:val="none"/>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5"/>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top"/>
            <w:textDirection w:val="lrTb"/>
            <w:noWrap w:val="false"/>
          </w:tcPr>
          <w:p>
            <w:pPr>
              <w:pStyle w:val="875"/>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top"/>
            <w:textDirection w:val="lrTb"/>
            <w:noWrap w:val="false"/>
          </w:tcPr>
          <w:p>
            <w:pPr>
              <w:pStyle w:val="875"/>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top"/>
            <w:textDirection w:val="lrTb"/>
            <w:noWrap w:val="false"/>
          </w:tcPr>
          <w:p>
            <w:pPr>
              <w:pStyle w:val="875"/>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top"/>
            <w:textDirection w:val="lrTb"/>
            <w:noWrap w:val="false"/>
          </w:tcPr>
          <w:p>
            <w:pPr>
              <w:pStyle w:val="875"/>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875"/>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875"/>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875"/>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875"/>
              <w:jc w:val="left"/>
              <w:spacing w:line="24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Times New Roman" w:hAnsi="Times New Roman" w:eastAsia="宋体" w:cs="Times New Roman"/>
                <w:color w:val="000000"/>
              </w:rPr>
            </w:r>
            <w:r/>
          </w:p>
          <w:p>
            <w:pPr>
              <w:pStyle w:val="875"/>
              <w:jc w:val="left"/>
              <w:rPr>
                <w:color w:val="000000"/>
              </w:rPr>
            </w:pPr>
            <w:r>
              <w:rPr>
                <w:rFonts w:hint="eastAsia" w:ascii="Times New Roman" w:hAnsi="Times New Roman" w:eastAsia="宋体" w:cs="Times New Roman"/>
                <w:color w:val="000000"/>
                <w:sz w:val="21"/>
                <w:szCs w:val="21"/>
                <w:highlight w:val="none"/>
                <w:lang w:val="en-US" w:eastAsia="zh-CN" w:bidi="ar-SA"/>
              </w:rPr>
              <w:t xml:space="preserve">因落实政府采购政策进行价格调整的，以调整后的价格计算评标基准价和投标报价。</w:t>
            </w:r>
            <w:r>
              <w:rPr>
                <w:color w:val="000000"/>
              </w:rPr>
            </w:r>
            <w:r/>
          </w:p>
        </w:tc>
        <w:tc>
          <w:tcPr>
            <w:tcW w:w="647" w:type="dxa"/>
            <w:vAlign w:val="center"/>
            <w:textDirection w:val="lrTb"/>
            <w:noWrap w:val="false"/>
          </w:tcPr>
          <w:p>
            <w:pPr>
              <w:pStyle w:val="875"/>
              <w:jc w:val="center"/>
              <w:spacing w:before="68" w:line="264" w:lineRule="auto"/>
              <w:rPr>
                <w:rFonts w:ascii="宋体" w:hAnsi="宋体" w:cs="宋体"/>
                <w:color w:val="000000"/>
              </w:rPr>
            </w:pPr>
            <w:r>
              <w:rPr>
                <w:rFonts w:ascii="宋体" w:hAnsi="宋体" w:cs="宋体"/>
                <w:color w:val="000000"/>
              </w:rPr>
              <w:t xml:space="preserve">15</w:t>
            </w:r>
            <w:r>
              <w:rPr>
                <w:rFonts w:ascii="宋体" w:hAnsi="宋体" w:cs="宋体"/>
                <w:color w:val="000000"/>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color w:val="000000"/>
              </w:rPr>
              <w:t xml:space="preserve">价格分</w:t>
            </w:r>
            <w:r>
              <w:rPr>
                <w:rFonts w:ascii="宋体" w:hAnsi="宋体" w:cs="宋体"/>
                <w:color w:val="000000"/>
              </w:rPr>
            </w:r>
            <w:r/>
          </w:p>
        </w:tc>
      </w:tr>
      <w:tr>
        <w:trPr>
          <w:trHeight w:val="460"/>
        </w:trPr>
        <w:tc>
          <w:tcPr>
            <w:gridSpan w:val="5"/>
            <w:tcW w:w="9575" w:type="dxa"/>
            <w:vAlign w:val="top"/>
            <w:textDirection w:val="lrTb"/>
            <w:noWrap w:val="false"/>
          </w:tcPr>
          <w:p>
            <w:pPr>
              <w:pStyle w:val="875"/>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875"/>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875"/>
              <w:jc w:val="left"/>
              <w:spacing w:before="68" w:line="264" w:lineRule="auto"/>
              <w:rPr>
                <w:rFonts w:ascii="宋体" w:hAnsi="宋体" w:cs="宋体"/>
                <w:color w:val="000000"/>
                <w:spacing w:val="-2"/>
              </w:rPr>
            </w:pPr>
            <w:r>
              <w:rPr>
                <w:rFonts w:hint="eastAsia"/>
                <w:color w:val="000000"/>
              </w:rPr>
              <w:t xml:space="preserve">产品技术参数</w:t>
            </w:r>
            <w:r>
              <w:rPr>
                <w:rFonts w:ascii="宋体" w:hAnsi="宋体" w:cs="宋体"/>
                <w:color w:val="000000"/>
                <w:spacing w:val="-2"/>
              </w:rPr>
            </w:r>
            <w:r/>
          </w:p>
        </w:tc>
        <w:tc>
          <w:tcPr>
            <w:tcW w:w="6330" w:type="dxa"/>
            <w:vAlign w:val="center"/>
            <w:textDirection w:val="lrTb"/>
            <w:noWrap w:val="false"/>
          </w:tcPr>
          <w:p>
            <w:pPr>
              <w:pStyle w:val="875"/>
              <w:jc w:val="left"/>
              <w:spacing w:line="24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产品技术参数全部满足招标要求的得满分，打★指标为必须满足项，如有负偏离将作为无效投标，打▲指标为重要指标，有1项负偏离扣</w:t>
            </w:r>
            <w:r>
              <w:rPr>
                <w:rFonts w:hint="eastAsia"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rPr>
              <w:t xml:space="preserve">.5分，其余指标有1项负偏离扣0.05分。</w:t>
            </w:r>
            <w:r>
              <w:rPr>
                <w:rFonts w:hint="eastAsia" w:ascii="Times New Roman" w:hAnsi="Times New Roman" w:eastAsia="宋体" w:cs="Times New Roman"/>
                <w:color w:val="000000"/>
              </w:rPr>
            </w:r>
            <w:r/>
          </w:p>
        </w:tc>
        <w:tc>
          <w:tcPr>
            <w:tcW w:w="647" w:type="dxa"/>
            <w:vAlign w:val="center"/>
            <w:textDirection w:val="lrTb"/>
            <w:noWrap w:val="false"/>
          </w:tcPr>
          <w:p>
            <w:pPr>
              <w:pStyle w:val="875"/>
              <w:jc w:val="center"/>
              <w:spacing w:before="68" w:line="264" w:lineRule="auto"/>
              <w:rPr>
                <w:rFonts w:hint="eastAsia" w:ascii="宋体" w:hAnsi="宋体" w:eastAsia="宋体" w:cs="宋体"/>
                <w:color w:val="000000"/>
                <w:lang w:val="en-US" w:eastAsia="zh-CN"/>
              </w:rPr>
            </w:pPr>
            <w:r>
              <w:rPr>
                <w:rFonts w:hint="eastAsia" w:ascii="宋体" w:hAnsi="宋体" w:cs="宋体"/>
                <w:color w:val="000000"/>
              </w:rPr>
              <w:t xml:space="preserve">2</w:t>
            </w:r>
            <w:r>
              <w:rPr>
                <w:rFonts w:hint="eastAsia" w:ascii="宋体" w:hAnsi="宋体" w:cs="宋体"/>
                <w:color w:val="000000"/>
                <w:lang w:val="en-US" w:eastAsia="zh-CN"/>
              </w:rPr>
              <w:t xml:space="preserve">6</w:t>
            </w:r>
            <w:r>
              <w:rPr>
                <w:rFonts w:hint="eastAsia" w:ascii="宋体" w:hAnsi="宋体" w:eastAsia="宋体" w:cs="宋体"/>
                <w:color w:val="000000"/>
                <w:lang w:val="en-US" w:eastAsia="zh-CN"/>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15"/>
        </w:trPr>
        <w:tc>
          <w:tcPr>
            <w:tcW w:w="519" w:type="dxa"/>
            <w:vAlign w:val="center"/>
            <w:textDirection w:val="lrTb"/>
            <w:noWrap w:val="false"/>
          </w:tcPr>
          <w:p>
            <w:pPr>
              <w:pStyle w:val="875"/>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875"/>
              <w:spacing w:line="264" w:lineRule="auto"/>
              <w:rPr>
                <w:color w:val="000000"/>
              </w:rPr>
            </w:pPr>
            <w:r>
              <w:rPr>
                <w:rFonts w:hint="eastAsia"/>
                <w:color w:val="000000"/>
              </w:rPr>
              <w:t xml:space="preserve">需求理解</w:t>
            </w:r>
            <w:r>
              <w:rPr>
                <w:color w:val="000000"/>
              </w:rPr>
            </w:r>
            <w:r/>
          </w:p>
        </w:tc>
        <w:tc>
          <w:tcPr>
            <w:tcW w:w="6330" w:type="dxa"/>
            <w:vAlign w:val="center"/>
            <w:textDirection w:val="lrTb"/>
            <w:noWrap w:val="false"/>
          </w:tcPr>
          <w:p>
            <w:pPr>
              <w:pStyle w:val="875"/>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根据本项目采购需求及相关要求编制方案，内容包含：1.业务需求分析；2.建设目标分析；3.建设依据、必要性分析。以上每项内容逐</w:t>
            </w:r>
            <w:r>
              <w:rPr>
                <w:rFonts w:hint="eastAsia" w:ascii="Times New Roman" w:hAnsi="Times New Roman" w:eastAsia="宋体" w:cs="Times New Roman"/>
                <w:color w:val="000000"/>
                <w:lang w:val="en-US" w:eastAsia="zh-CN"/>
              </w:rPr>
              <w:t xml:space="preserve">条阐述。</w:t>
            </w:r>
            <w:r>
              <w:rPr>
                <w:rFonts w:hint="eastAsia" w:ascii="Times New Roman" w:hAnsi="Times New Roman" w:eastAsia="宋体" w:cs="Times New Roman"/>
                <w:color w:val="000000"/>
                <w:lang w:val="en-US" w:eastAsia="zh-CN"/>
              </w:rPr>
            </w:r>
            <w:r/>
          </w:p>
          <w:p>
            <w:pPr>
              <w:pStyle w:val="875"/>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方案内容完整深刻，且专门针对本项目，契合采购需求视为符合；方案内容属于通用类，非专门针对本项目，部分契合采购需求视为部分符合；方案内容非专门针对本项目，脱离采购需求视为不符合。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rPr>
            </w:r>
            <w:r/>
          </w:p>
          <w:p>
            <w:pPr>
              <w:pStyle w:val="875"/>
              <w:rPr>
                <w:rFonts w:hint="eastAsia" w:ascii="Times New Roman" w:hAnsi="Times New Roman" w:eastAsia="宋体" w:cs="Times New Roman"/>
                <w:color w:val="000000"/>
                <w:spacing w:val="0"/>
              </w:rPr>
            </w:pPr>
            <w:r>
              <w:rPr>
                <w:rFonts w:hint="eastAsia" w:ascii="Times New Roman" w:hAnsi="Times New Roman" w:eastAsia="宋体" w:cs="Times New Roman"/>
                <w:color w:val="000000"/>
              </w:rPr>
              <w:t xml:space="preserve">上述每项内容符合得1分；部分符合得0.5分；不符合或不提供不得分。</w:t>
            </w:r>
            <w:r>
              <w:rPr>
                <w:rFonts w:hint="eastAsia" w:ascii="Times New Roman" w:hAnsi="Times New Roman" w:eastAsia="宋体" w:cs="Times New Roman"/>
                <w:color w:val="000000"/>
                <w:spacing w:val="0"/>
              </w:rPr>
            </w:r>
            <w:r/>
          </w:p>
        </w:tc>
        <w:tc>
          <w:tcPr>
            <w:tcW w:w="647" w:type="dxa"/>
            <w:vAlign w:val="center"/>
            <w:textDirection w:val="lrTb"/>
            <w:noWrap w:val="false"/>
          </w:tcPr>
          <w:p>
            <w:pPr>
              <w:pStyle w:val="875"/>
              <w:jc w:val="center"/>
              <w:spacing w:before="68" w:line="264" w:lineRule="auto"/>
              <w:rPr>
                <w:rFonts w:ascii="宋体" w:hAnsi="宋体" w:cs="宋体"/>
                <w:color w:val="000000"/>
              </w:rPr>
            </w:pPr>
            <w:r>
              <w:rPr>
                <w:rFonts w:ascii="宋体" w:hAnsi="宋体" w:cs="宋体"/>
                <w:color w:val="000000"/>
              </w:rPr>
              <w:t xml:space="preserve">3</w:t>
            </w:r>
            <w:r>
              <w:rPr>
                <w:rFonts w:ascii="宋体" w:hAnsi="宋体" w:cs="宋体"/>
                <w:color w:val="000000"/>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875"/>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W w:w="1179" w:type="dxa"/>
            <w:vAlign w:val="center"/>
            <w:textDirection w:val="lrTb"/>
            <w:noWrap w:val="false"/>
          </w:tcPr>
          <w:p>
            <w:pPr>
              <w:pStyle w:val="875"/>
              <w:spacing w:line="264" w:lineRule="auto"/>
              <w:rPr>
                <w:color w:val="000000"/>
              </w:rPr>
            </w:pPr>
            <w:r>
              <w:rPr>
                <w:rFonts w:hint="eastAsia"/>
                <w:color w:val="000000"/>
              </w:rPr>
              <w:t xml:space="preserve">总体技术方案</w:t>
            </w:r>
            <w:r>
              <w:rPr>
                <w:color w:val="000000"/>
              </w:rPr>
            </w:r>
            <w:r/>
          </w:p>
        </w:tc>
        <w:tc>
          <w:tcPr>
            <w:tcW w:w="6330" w:type="dxa"/>
            <w:vAlign w:val="center"/>
            <w:textDirection w:val="lrTb"/>
            <w:noWrap w:val="false"/>
          </w:tcPr>
          <w:p>
            <w:pPr>
              <w:pStyle w:val="875"/>
              <w:jc w:val="left"/>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根据本项目采购需求及相关要求编制方案，内容包括：1.总体架构和性能设计；2.用户界面和应用功能设计；3.系统部署和安全防护设计。以上每项内容逐条阐述。 </w:t>
            </w:r>
            <w:r>
              <w:rPr>
                <w:rFonts w:hint="eastAsia" w:ascii="Times New Roman" w:hAnsi="Times New Roman" w:eastAsia="宋体" w:cs="Times New Roman"/>
                <w:color w:val="000000"/>
              </w:rPr>
            </w:r>
            <w:r/>
          </w:p>
          <w:p>
            <w:pPr>
              <w:pStyle w:val="875"/>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方案内容制定清晰完整，提供架构图层次分明，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rPr>
            </w:r>
            <w:r/>
          </w:p>
          <w:p>
            <w:pPr>
              <w:pStyle w:val="875"/>
              <w:rPr>
                <w:rFonts w:hint="eastAsia" w:ascii="Times New Roman" w:hAnsi="Times New Roman" w:eastAsia="宋体" w:cs="Times New Roman"/>
                <w:color w:val="000000"/>
                <w:lang w:val="zh-CN"/>
              </w:rPr>
            </w:pPr>
            <w:r>
              <w:rPr>
                <w:rFonts w:hint="eastAsia" w:ascii="Times New Roman" w:hAnsi="Times New Roman" w:eastAsia="宋体" w:cs="Times New Roman"/>
                <w:color w:val="000000"/>
              </w:rPr>
              <w:t xml:space="preserve">上述每项内容符合得1分；部分符合得0.5分；不符合或不提供不得分。</w:t>
            </w:r>
            <w:r>
              <w:rPr>
                <w:rFonts w:hint="eastAsia" w:ascii="Times New Roman" w:hAnsi="Times New Roman" w:eastAsia="宋体" w:cs="Times New Roman"/>
                <w:color w:val="000000"/>
                <w:lang w:val="zh-CN"/>
              </w:rPr>
            </w:r>
            <w:r/>
          </w:p>
        </w:tc>
        <w:tc>
          <w:tcPr>
            <w:tcW w:w="647" w:type="dxa"/>
            <w:vAlign w:val="center"/>
            <w:textDirection w:val="lrTb"/>
            <w:noWrap w:val="false"/>
          </w:tcPr>
          <w:p>
            <w:pPr>
              <w:pStyle w:val="875"/>
              <w:jc w:val="center"/>
              <w:spacing w:before="68" w:line="264" w:lineRule="auto"/>
              <w:rPr>
                <w:rFonts w:ascii="宋体" w:hAnsi="宋体" w:cs="宋体"/>
              </w:rPr>
            </w:pPr>
            <w:r>
              <w:rPr>
                <w:rFonts w:hint="eastAsia" w:ascii="宋体" w:hAnsi="宋体" w:cs="宋体"/>
              </w:rPr>
              <w:t xml:space="preserve">3</w:t>
            </w:r>
            <w:r>
              <w:rPr>
                <w:rFonts w:ascii="宋体" w:hAnsi="宋体" w:cs="宋体"/>
              </w:rPr>
            </w:r>
            <w:r/>
          </w:p>
        </w:tc>
        <w:tc>
          <w:tcPr>
            <w:tcW w:w="900" w:type="dxa"/>
            <w:vAlign w:val="center"/>
            <w:textDirection w:val="lrTb"/>
            <w:noWrap w:val="false"/>
          </w:tcPr>
          <w:p>
            <w:pPr>
              <w:pStyle w:val="875"/>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519" w:type="dxa"/>
            <w:vAlign w:val="center"/>
            <w:textDirection w:val="lrTb"/>
            <w:noWrap w:val="false"/>
          </w:tcPr>
          <w:p>
            <w:pPr>
              <w:pStyle w:val="875"/>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W w:w="1179" w:type="dxa"/>
            <w:vAlign w:val="center"/>
            <w:textDirection w:val="lrTb"/>
            <w:noWrap w:val="false"/>
          </w:tcPr>
          <w:p>
            <w:pPr>
              <w:pStyle w:val="875"/>
              <w:rPr>
                <w:color w:val="000000"/>
              </w:rPr>
            </w:pPr>
            <w:r>
              <w:rPr>
                <w:rFonts w:hint="eastAsia"/>
                <w:color w:val="000000"/>
              </w:rPr>
              <w:t xml:space="preserve">实施方案</w:t>
            </w:r>
            <w:r>
              <w:rPr>
                <w:color w:val="000000"/>
              </w:rPr>
            </w:r>
            <w:r/>
          </w:p>
        </w:tc>
        <w:tc>
          <w:tcPr>
            <w:tcW w:w="6330" w:type="dxa"/>
            <w:vAlign w:val="center"/>
            <w:textDirection w:val="lrTb"/>
            <w:noWrap w:val="false"/>
          </w:tcPr>
          <w:p>
            <w:pPr>
              <w:pStyle w:val="875"/>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根据本项目采购需求及相关要求编制方案，内容包含：1.基础管理系统设计方案；2.运营数据系统设计方案；3.运营业务系统设计方案；4.数智能力系统设计方案；5.管理门户系统设计方案；6.机构门户系统设计方案；7.数智决策系统设计方案。以上每项内容逐条阐述。</w:t>
            </w:r>
            <w:r>
              <w:rPr>
                <w:rFonts w:hint="eastAsia" w:ascii="Times New Roman" w:hAnsi="Times New Roman" w:eastAsia="宋体" w:cs="Times New Roman"/>
                <w:color w:val="000000"/>
              </w:rPr>
            </w:r>
            <w:r/>
          </w:p>
          <w:p>
            <w:pPr>
              <w:pStyle w:val="875"/>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方案内容制定规范完整，各环节衔接顺畅并贴合项目实际，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rPr>
            </w:r>
            <w:r/>
          </w:p>
          <w:p>
            <w:pPr>
              <w:pStyle w:val="875"/>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上述每项内容符合得1分；部分符合得0.5分；不符合或不提供不得分。</w:t>
            </w:r>
            <w:r>
              <w:rPr>
                <w:rFonts w:hint="eastAsia" w:ascii="Times New Roman" w:hAnsi="Times New Roman" w:eastAsia="宋体" w:cs="Times New Roman"/>
                <w:color w:val="000000"/>
              </w:rPr>
            </w:r>
            <w:r/>
          </w:p>
        </w:tc>
        <w:tc>
          <w:tcPr>
            <w:tcW w:w="647" w:type="dxa"/>
            <w:vAlign w:val="center"/>
            <w:textDirection w:val="lrTb"/>
            <w:noWrap w:val="false"/>
          </w:tcPr>
          <w:p>
            <w:pPr>
              <w:pStyle w:val="875"/>
              <w:jc w:val="center"/>
              <w:spacing w:before="68" w:line="264" w:lineRule="auto"/>
              <w:rPr>
                <w:rFonts w:ascii="宋体" w:hAnsi="宋体" w:cs="宋体"/>
              </w:rPr>
            </w:pPr>
            <w:r>
              <w:rPr>
                <w:rFonts w:ascii="宋体" w:hAnsi="宋体" w:cs="宋体"/>
              </w:rPr>
              <w:t xml:space="preserve">7</w:t>
            </w:r>
            <w:r>
              <w:rPr>
                <w:rFonts w:ascii="宋体" w:hAnsi="宋体" w:cs="宋体"/>
              </w:rPr>
            </w:r>
            <w:r/>
          </w:p>
        </w:tc>
        <w:tc>
          <w:tcPr>
            <w:tcW w:w="900" w:type="dxa"/>
            <w:vAlign w:val="center"/>
            <w:textDirection w:val="lrTb"/>
            <w:noWrap w:val="false"/>
          </w:tcPr>
          <w:p>
            <w:pPr>
              <w:pStyle w:val="875"/>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519" w:type="dxa"/>
            <w:vAlign w:val="center"/>
            <w:textDirection w:val="lrTb"/>
            <w:noWrap w:val="false"/>
          </w:tcPr>
          <w:p>
            <w:pPr>
              <w:pStyle w:val="875"/>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rPr>
                <w:rFonts w:ascii="宋体" w:hAnsi="宋体" w:cs="宋体"/>
                <w:spacing w:val="-2"/>
              </w:rPr>
            </w:r>
            <w:r/>
          </w:p>
        </w:tc>
        <w:tc>
          <w:tcPr>
            <w:tcW w:w="1179" w:type="dxa"/>
            <w:vAlign w:val="center"/>
            <w:textDirection w:val="lrTb"/>
            <w:noWrap w:val="false"/>
          </w:tcPr>
          <w:p>
            <w:pPr>
              <w:pStyle w:val="875"/>
              <w:rPr>
                <w:color w:val="000000"/>
              </w:rPr>
            </w:pPr>
            <w:r>
              <w:rPr>
                <w:rFonts w:hint="eastAsia"/>
                <w:color w:val="000000"/>
              </w:rPr>
              <w:t xml:space="preserve">系统演示</w:t>
            </w:r>
            <w:r>
              <w:rPr>
                <w:color w:val="000000"/>
              </w:rPr>
            </w:r>
            <w:r/>
          </w:p>
        </w:tc>
        <w:tc>
          <w:tcPr>
            <w:tcW w:w="6330" w:type="dxa"/>
            <w:vAlign w:val="center"/>
            <w:textDirection w:val="lrTb"/>
            <w:noWrap w:val="false"/>
          </w:tcPr>
          <w:p>
            <w:pPr>
              <w:pStyle w:val="875"/>
              <w:jc w:val="left"/>
              <w:spacing w:line="264" w:lineRule="auto"/>
              <w:rPr>
                <w:color w:val="000000"/>
              </w:rPr>
            </w:pPr>
            <w:r>
              <w:rPr>
                <w:rFonts w:hint="eastAsia" w:ascii="Times New Roman" w:hAnsi="Times New Roman" w:eastAsia="宋体" w:cs="Times New Roman"/>
                <w:color w:val="000000"/>
              </w:rPr>
              <w:t xml:space="preserve">评委根据供应商提供的演示视频（总演示时间不超过15分钟）综合评分。</w:t>
            </w:r>
            <w:r>
              <w:rPr>
                <w:rFonts w:hint="eastAsia"/>
                <w:color w:val="000000"/>
              </w:rPr>
              <w:t xml:space="preserve">演示视频包括以下内容： </w:t>
            </w:r>
            <w:r>
              <w:rPr>
                <w:color w:val="000000"/>
              </w:rPr>
            </w:r>
            <w:r/>
          </w:p>
          <w:p>
            <w:pPr>
              <w:pStyle w:val="875"/>
              <w:numPr>
                <w:ilvl w:val="0"/>
                <w:numId w:val="0"/>
              </w:numPr>
              <w:spacing w:line="264" w:lineRule="auto"/>
              <w:rPr>
                <w:color w:val="000000"/>
              </w:rPr>
            </w:pPr>
            <w:r>
              <w:rPr>
                <w:rFonts w:hint="eastAsia"/>
                <w:color w:val="000000"/>
              </w:rPr>
              <w:t xml:space="preserve">1.基础管理系统：演示内容包括但不限于标准规范管理、统一指标库管理、统一基础代码体系、基础权限管理等。</w:t>
            </w:r>
            <w:r>
              <w:rPr>
                <w:color w:val="000000"/>
              </w:rPr>
            </w:r>
            <w:r/>
          </w:p>
          <w:p>
            <w:pPr>
              <w:pStyle w:val="875"/>
              <w:numPr>
                <w:ilvl w:val="0"/>
                <w:numId w:val="0"/>
              </w:numPr>
              <w:spacing w:line="264" w:lineRule="auto"/>
              <w:rPr>
                <w:color w:val="000000"/>
              </w:rPr>
            </w:pPr>
            <w:r>
              <w:rPr>
                <w:rFonts w:ascii="Times New Roman" w:hAnsi="Times New Roman"/>
                <w:color w:val="000000"/>
                <w:sz w:val="21"/>
                <w:szCs w:val="21"/>
                <w:lang w:val="en-US" w:eastAsia="zh-CN" w:bidi="ar-SA"/>
              </w:rPr>
              <w:t xml:space="preserve">2</w:t>
            </w:r>
            <w:r>
              <w:rPr>
                <w:rFonts w:hint="eastAsia"/>
                <w:color w:val="000000"/>
              </w:rPr>
              <w:t xml:space="preserve">.运营数据系统：演示内容包括但不限于全链路数据作业管理、指标智能核算、全域数据汇聚整合、数据标准化治理、数据服务与安全管控等。</w:t>
            </w:r>
            <w:r>
              <w:rPr>
                <w:color w:val="000000"/>
              </w:rPr>
            </w:r>
            <w:r/>
          </w:p>
          <w:p>
            <w:pPr>
              <w:pStyle w:val="875"/>
              <w:numPr>
                <w:ilvl w:val="0"/>
                <w:numId w:val="0"/>
              </w:numPr>
              <w:spacing w:line="264" w:lineRule="auto"/>
              <w:rPr>
                <w:color w:val="000000"/>
              </w:rPr>
            </w:pPr>
            <w:r>
              <w:rPr>
                <w:rFonts w:ascii="Times New Roman" w:hAnsi="Times New Roman"/>
                <w:color w:val="000000"/>
                <w:sz w:val="21"/>
                <w:szCs w:val="21"/>
                <w:lang w:val="en-US" w:eastAsia="zh-CN" w:bidi="ar-SA"/>
              </w:rPr>
              <w:t xml:space="preserve">3.</w:t>
            </w:r>
            <w:r>
              <w:rPr>
                <w:rFonts w:hint="eastAsia"/>
                <w:color w:val="000000"/>
              </w:rPr>
              <w:t xml:space="preserve">运营业务系统：演示内容包括但不限于DRG病组运营管理、三维绩效评价管理、医疗效率分析等。</w:t>
            </w:r>
            <w:r>
              <w:rPr>
                <w:color w:val="000000"/>
              </w:rPr>
            </w:r>
            <w:r/>
          </w:p>
          <w:p>
            <w:pPr>
              <w:pStyle w:val="875"/>
              <w:numPr>
                <w:ilvl w:val="0"/>
                <w:numId w:val="0"/>
              </w:numPr>
              <w:spacing w:line="264" w:lineRule="auto"/>
              <w:rPr>
                <w:color w:val="000000"/>
              </w:rPr>
            </w:pPr>
            <w:r>
              <w:rPr>
                <w:rFonts w:ascii="Times New Roman" w:hAnsi="Times New Roman"/>
                <w:color w:val="000000"/>
                <w:sz w:val="21"/>
                <w:szCs w:val="21"/>
                <w:lang w:val="en-US" w:eastAsia="zh-CN" w:bidi="ar-SA"/>
              </w:rPr>
              <w:t xml:space="preserve">4.</w:t>
            </w:r>
            <w:r>
              <w:rPr>
                <w:rFonts w:hint="eastAsia"/>
                <w:color w:val="000000"/>
              </w:rPr>
              <w:t xml:space="preserve">数智能力系统：演示内容包括但不限于Workflow流程编排、Agent任务协同、Skills能力中心、Tool/API受控调用、上下文管理等。</w:t>
            </w:r>
            <w:r>
              <w:rPr>
                <w:color w:val="000000"/>
              </w:rPr>
            </w:r>
            <w:r/>
          </w:p>
          <w:p>
            <w:pPr>
              <w:pStyle w:val="875"/>
              <w:numPr>
                <w:ilvl w:val="0"/>
                <w:numId w:val="0"/>
              </w:numPr>
              <w:spacing w:line="264" w:lineRule="auto"/>
              <w:rPr>
                <w:color w:val="000000"/>
              </w:rPr>
            </w:pPr>
            <w:r>
              <w:rPr>
                <w:rFonts w:ascii="Times New Roman" w:hAnsi="Times New Roman"/>
                <w:color w:val="000000"/>
                <w:sz w:val="21"/>
                <w:szCs w:val="21"/>
                <w:lang w:val="en-US" w:eastAsia="zh-CN" w:bidi="ar-SA"/>
              </w:rPr>
              <w:t xml:space="preserve">5.</w:t>
            </w:r>
            <w:r>
              <w:rPr>
                <w:rFonts w:hint="eastAsia"/>
                <w:color w:val="000000"/>
              </w:rPr>
              <w:t xml:space="preserve">管理门户系统：演示内容包括但不限于监管指标助手，从设定-监测-核查-整改-复盘全流程解析等。</w:t>
            </w:r>
            <w:r>
              <w:rPr>
                <w:color w:val="000000"/>
              </w:rPr>
            </w:r>
            <w:r/>
          </w:p>
          <w:p>
            <w:pPr>
              <w:pStyle w:val="875"/>
              <w:numPr>
                <w:ilvl w:val="0"/>
                <w:numId w:val="0"/>
              </w:numPr>
              <w:spacing w:line="264" w:lineRule="auto"/>
              <w:rPr>
                <w:color w:val="000000"/>
              </w:rPr>
            </w:pPr>
            <w:r>
              <w:rPr>
                <w:rFonts w:ascii="Times New Roman" w:hAnsi="Times New Roman"/>
                <w:color w:val="000000"/>
                <w:sz w:val="21"/>
                <w:szCs w:val="21"/>
                <w:lang w:val="en-US" w:eastAsia="zh-CN" w:bidi="ar-SA"/>
              </w:rPr>
              <w:t xml:space="preserve">6.</w:t>
            </w:r>
            <w:r>
              <w:rPr>
                <w:rFonts w:hint="eastAsia"/>
                <w:color w:val="000000"/>
              </w:rPr>
              <w:t xml:space="preserve">机构门户系统：演示内容包括但不限于医院运营总览看板、成本管控异常自动预警、运营分析等。</w:t>
            </w:r>
            <w:r>
              <w:rPr>
                <w:color w:val="000000"/>
              </w:rPr>
            </w:r>
            <w:r/>
          </w:p>
          <w:p>
            <w:pPr>
              <w:pStyle w:val="875"/>
              <w:numPr>
                <w:ilvl w:val="0"/>
                <w:numId w:val="0"/>
              </w:numPr>
              <w:spacing w:line="240" w:lineRule="auto"/>
              <w:rPr>
                <w:rFonts w:hint="eastAsia" w:ascii="Times New Roman" w:hAnsi="Times New Roman" w:eastAsia="宋体" w:cs="Times New Roman"/>
                <w:color w:val="000000"/>
              </w:rPr>
            </w:pPr>
            <w:r>
              <w:rPr>
                <w:rFonts w:hint="eastAsia"/>
                <w:color w:val="000000"/>
              </w:rPr>
              <w:t xml:space="preserve">7.数智决策系统：不少于一个智能体搭建与使用，需展示智能体搭建过程，搭建后的智能体使用操作演示，智能体可按要求描述产出有效成果等。</w:t>
            </w:r>
            <w:r>
              <w:rPr>
                <w:rFonts w:hint="eastAsia" w:ascii="Times New Roman" w:hAnsi="Times New Roman" w:eastAsia="宋体" w:cs="Times New Roman"/>
                <w:color w:val="000000"/>
              </w:rPr>
            </w:r>
            <w:r/>
          </w:p>
          <w:p>
            <w:pPr>
              <w:pStyle w:val="875"/>
              <w:jc w:val="left"/>
              <w:spacing w:line="24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采用类似真实系统演示，每小项功能完整准确演示得2分，最多得14分；</w:t>
            </w:r>
            <w:r>
              <w:rPr>
                <w:rFonts w:hint="eastAsia" w:ascii="Times New Roman" w:hAnsi="Times New Roman" w:eastAsia="宋体" w:cs="Times New Roman"/>
                <w:color w:val="000000"/>
              </w:rPr>
            </w:r>
            <w:r/>
          </w:p>
          <w:p>
            <w:pPr>
              <w:pStyle w:val="875"/>
              <w:jc w:val="left"/>
              <w:spacing w:line="24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采用系统原型（DEMO）演示，每小项功能完整准确演示得1分，最多得7分；</w:t>
            </w:r>
            <w:r>
              <w:rPr>
                <w:rFonts w:hint="eastAsia" w:ascii="Times New Roman" w:hAnsi="Times New Roman" w:eastAsia="宋体" w:cs="Times New Roman"/>
                <w:color w:val="000000"/>
              </w:rPr>
            </w:r>
            <w:r/>
          </w:p>
          <w:p>
            <w:pPr>
              <w:pStyle w:val="875"/>
              <w:jc w:val="left"/>
              <w:spacing w:line="24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采用PPT等方式演示，每小项功能完整准确演示得0.5分，最多得3.5分。 </w:t>
            </w:r>
            <w:r>
              <w:rPr>
                <w:rFonts w:hint="eastAsia" w:ascii="Times New Roman" w:hAnsi="Times New Roman" w:eastAsia="宋体" w:cs="Times New Roman"/>
                <w:color w:val="000000"/>
              </w:rPr>
            </w:r>
            <w:r/>
          </w:p>
          <w:p>
            <w:pPr>
              <w:pStyle w:val="875"/>
              <w:jc w:val="left"/>
              <w:spacing w:line="24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（未提供视频文件或因供应商自身原因视频文件无法打开或视频画面不清晰无法辨认的不得分。）</w:t>
            </w:r>
            <w:r>
              <w:rPr>
                <w:rFonts w:hint="eastAsia" w:ascii="Times New Roman" w:hAnsi="Times New Roman" w:eastAsia="宋体" w:cs="Times New Roman"/>
                <w:color w:val="000000"/>
              </w:rPr>
            </w:r>
            <w:r/>
          </w:p>
        </w:tc>
        <w:tc>
          <w:tcPr>
            <w:tcW w:w="647" w:type="dxa"/>
            <w:vAlign w:val="center"/>
            <w:textDirection w:val="lrTb"/>
            <w:noWrap w:val="false"/>
          </w:tcPr>
          <w:p>
            <w:pPr>
              <w:pStyle w:val="875"/>
              <w:jc w:val="center"/>
              <w:spacing w:before="68" w:line="264" w:lineRule="auto"/>
              <w:rPr>
                <w:rFonts w:ascii="宋体" w:hAnsi="宋体" w:cs="宋体"/>
              </w:rPr>
            </w:pPr>
            <w:r>
              <w:rPr>
                <w:rFonts w:ascii="宋体" w:hAnsi="宋体" w:cs="宋体"/>
              </w:rPr>
              <w:t xml:space="preserve">14</w:t>
            </w:r>
            <w:r>
              <w:rPr>
                <w:rFonts w:ascii="宋体" w:hAnsi="宋体" w:cs="宋体"/>
              </w:rPr>
            </w:r>
            <w:r/>
          </w:p>
        </w:tc>
        <w:tc>
          <w:tcPr>
            <w:tcW w:w="900" w:type="dxa"/>
            <w:vAlign w:val="center"/>
            <w:textDirection w:val="lrTb"/>
            <w:noWrap w:val="false"/>
          </w:tcPr>
          <w:p>
            <w:pPr>
              <w:pStyle w:val="875"/>
              <w:jc w:val="center"/>
              <w:spacing w:before="68" w:line="264" w:lineRule="auto"/>
              <w:rPr>
                <w:rFonts w:hint="eastAsia" w:ascii="宋体" w:hAnsi="宋体" w:eastAsia="宋体" w:cs="宋体"/>
                <w:spacing w:val="-4"/>
                <w:lang w:val="en-US" w:eastAsia="zh-CN"/>
              </w:rPr>
            </w:pPr>
            <w:r>
              <w:rPr>
                <w:rFonts w:hint="eastAsia" w:ascii="宋体" w:hAnsi="宋体" w:cs="宋体"/>
                <w:spacing w:val="-4"/>
                <w:lang w:val="en-US" w:eastAsia="zh-CN"/>
              </w:rPr>
              <w:t xml:space="preserve">客观分</w:t>
            </w:r>
            <w:r>
              <w:rPr>
                <w:rFonts w:hint="eastAsia" w:ascii="宋体" w:hAnsi="宋体" w:eastAsia="宋体" w:cs="宋体"/>
                <w:spacing w:val="-4"/>
                <w:lang w:val="en-US" w:eastAsia="zh-CN"/>
              </w:rPr>
            </w:r>
            <w:r/>
          </w:p>
        </w:tc>
      </w:tr>
      <w:tr>
        <w:trPr>
          <w:trHeight w:val="472"/>
        </w:trPr>
        <w:tc>
          <w:tcPr>
            <w:gridSpan w:val="5"/>
            <w:tcW w:w="9575" w:type="dxa"/>
            <w:vAlign w:val="center"/>
            <w:textDirection w:val="lrTb"/>
            <w:noWrap w:val="false"/>
          </w:tcPr>
          <w:p>
            <w:pPr>
              <w:pStyle w:val="875"/>
              <w:spacing w:before="68" w:line="264" w:lineRule="auto"/>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195"/>
        </w:trPr>
        <w:tc>
          <w:tcPr>
            <w:tcW w:w="519" w:type="dxa"/>
            <w:vAlign w:val="center"/>
            <w:textDirection w:val="lrTb"/>
            <w:noWrap w:val="false"/>
          </w:tcPr>
          <w:p>
            <w:pPr>
              <w:pStyle w:val="875"/>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75"/>
              <w:spacing w:line="264" w:lineRule="auto"/>
              <w:rPr>
                <w:color w:val="000000"/>
              </w:rPr>
            </w:pPr>
            <w:r>
              <w:rPr>
                <w:rFonts w:hint="eastAsia"/>
                <w:color w:val="000000"/>
              </w:rPr>
              <w:t xml:space="preserve">运维服务方案</w:t>
            </w:r>
            <w:r>
              <w:rPr>
                <w:color w:val="000000"/>
              </w:rPr>
            </w:r>
            <w:r/>
          </w:p>
        </w:tc>
        <w:tc>
          <w:tcPr>
            <w:tcW w:w="6330" w:type="dxa"/>
            <w:vAlign w:val="center"/>
            <w:textDirection w:val="lrTb"/>
            <w:noWrap w:val="false"/>
          </w:tcPr>
          <w:p>
            <w:pPr>
              <w:pStyle w:val="875"/>
              <w:jc w:val="left"/>
              <w:spacing w:line="240"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根据本项目采购需求及相关要求编制方案，内容包括：1.技术支持；2.保障措施。以上每项内容逐条阐述。 </w:t>
            </w:r>
            <w:r>
              <w:rPr>
                <w:rFonts w:hint="eastAsia" w:ascii="Times New Roman" w:hAnsi="Times New Roman" w:eastAsia="宋体" w:cs="Times New Roman"/>
                <w:color w:val="000000"/>
              </w:rPr>
            </w:r>
            <w:r/>
          </w:p>
          <w:p>
            <w:pPr>
              <w:pStyle w:val="875"/>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方案内容提供专业技术支持，精准解决技术难题，保障项目顺利推进，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rPr>
            </w:r>
            <w:r/>
          </w:p>
          <w:p>
            <w:pPr>
              <w:pStyle w:val="875"/>
              <w:rPr>
                <w:rFonts w:hint="eastAsia" w:ascii="Times New Roman" w:hAnsi="Times New Roman" w:eastAsia="宋体" w:cs="Times New Roman"/>
                <w:color w:val="000000"/>
                <w:sz w:val="21"/>
                <w:lang w:val="zh-CN"/>
              </w:rPr>
            </w:pPr>
            <w:r>
              <w:rPr>
                <w:rFonts w:hint="eastAsia" w:ascii="Times New Roman" w:hAnsi="Times New Roman" w:eastAsia="宋体" w:cs="Times New Roman"/>
                <w:color w:val="000000"/>
              </w:rPr>
              <w:t xml:space="preserve">上述每项内容符合得2分；部分符合得1分；不符合或不提供不得分。</w:t>
            </w:r>
            <w:r>
              <w:rPr>
                <w:rFonts w:hint="eastAsia" w:ascii="Times New Roman" w:hAnsi="Times New Roman" w:eastAsia="宋体" w:cs="Times New Roman"/>
                <w:color w:val="000000"/>
                <w:sz w:val="21"/>
                <w:lang w:val="zh-CN"/>
              </w:rPr>
            </w:r>
            <w:r/>
          </w:p>
        </w:tc>
        <w:tc>
          <w:tcPr>
            <w:tcW w:w="647"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875"/>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75"/>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3.2</w:t>
            </w:r>
            <w:r>
              <w:rPr>
                <w:rFonts w:ascii="宋体" w:hAnsi="宋体" w:cs="宋体"/>
                <w:color w:val="000000"/>
                <w:spacing w:val="-2"/>
                <w:highlight w:val="none"/>
              </w:rPr>
            </w:r>
            <w:r/>
          </w:p>
        </w:tc>
        <w:tc>
          <w:tcPr>
            <w:tcW w:w="1179" w:type="dxa"/>
            <w:vAlign w:val="center"/>
            <w:textDirection w:val="lrTb"/>
            <w:noWrap w:val="false"/>
          </w:tcPr>
          <w:p>
            <w:pPr>
              <w:pStyle w:val="875"/>
              <w:jc w:val="left"/>
              <w:spacing w:line="264" w:lineRule="auto"/>
              <w:widowControl/>
              <w:rPr>
                <w:color w:val="000000"/>
                <w:highlight w:val="none"/>
              </w:rPr>
            </w:pPr>
            <w:r>
              <w:rPr>
                <w:rFonts w:hint="eastAsia"/>
                <w:color w:val="000000"/>
                <w:highlight w:val="none"/>
              </w:rPr>
              <w:t xml:space="preserve">培训方案</w:t>
            </w:r>
            <w:r>
              <w:rPr>
                <w:color w:val="000000"/>
                <w:highlight w:val="none"/>
              </w:rPr>
            </w:r>
            <w:r/>
          </w:p>
        </w:tc>
        <w:tc>
          <w:tcPr>
            <w:tcW w:w="6330" w:type="dxa"/>
            <w:vAlign w:val="center"/>
            <w:textDirection w:val="lrTb"/>
            <w:noWrap w:val="false"/>
          </w:tcPr>
          <w:p>
            <w:pPr>
              <w:pStyle w:val="875"/>
              <w:jc w:val="left"/>
              <w:spacing w:line="24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根据本项目采购需求</w:t>
            </w:r>
            <w:r>
              <w:rPr>
                <w:rFonts w:ascii="Times New Roman" w:hAnsi="Times New Roman" w:eastAsia="宋体" w:cs="Times New Roman"/>
                <w:color w:val="000000"/>
              </w:rPr>
              <w:t xml:space="preserve">及相关要求</w:t>
            </w:r>
            <w:r>
              <w:rPr>
                <w:rFonts w:ascii="Times New Roman" w:hAnsi="Times New Roman" w:eastAsia="宋体" w:cs="Times New Roman"/>
                <w:color w:val="000000"/>
                <w:highlight w:val="none"/>
              </w:rPr>
              <w:t xml:space="preserve">编制方案，内容</w:t>
            </w:r>
            <w:r>
              <w:rPr>
                <w:rFonts w:ascii="Times New Roman" w:hAnsi="Times New Roman" w:eastAsia="宋体" w:cs="Times New Roman"/>
                <w:color w:val="000000"/>
                <w:highlight w:val="none"/>
              </w:rPr>
              <w:t xml:space="preserve">包括</w:t>
            </w:r>
            <w:r>
              <w:rPr>
                <w:rFonts w:ascii="Times New Roman" w:hAnsi="Times New Roman" w:eastAsia="宋体" w:cs="Times New Roman"/>
                <w:color w:val="000000"/>
                <w:highlight w:val="none"/>
              </w:rPr>
              <w:t xml:space="preserve">：1.培训内容；2.培训安排。以上每项内容逐条阐述。</w:t>
            </w: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875"/>
              <w:jc w:val="left"/>
              <w:spacing w:line="240" w:lineRule="auto"/>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内容清晰详细、培训计划细化到不同角色、分层清晰、培训内容系统深入，覆盖面广，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highlight w:val="none"/>
              </w:rPr>
            </w:r>
            <w:r/>
          </w:p>
          <w:p>
            <w:pPr>
              <w:pStyle w:val="875"/>
              <w:jc w:val="left"/>
              <w:spacing w:line="240" w:lineRule="auto"/>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上述每项内容符合得</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分；部分符合得</w:t>
            </w:r>
            <w:r>
              <w:rPr>
                <w:rFonts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分；不符合或不提供不得分</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tc>
        <w:tc>
          <w:tcPr>
            <w:tcW w:w="647" w:type="dxa"/>
            <w:vAlign w:val="center"/>
            <w:textDirection w:val="lrTb"/>
            <w:noWrap w:val="false"/>
          </w:tcPr>
          <w:p>
            <w:pPr>
              <w:pStyle w:val="875"/>
              <w:jc w:val="center"/>
              <w:spacing w:before="68" w:line="264"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900" w:type="dxa"/>
            <w:vAlign w:val="center"/>
            <w:textDirection w:val="lrTb"/>
            <w:noWrap w:val="false"/>
          </w:tcPr>
          <w:p>
            <w:pPr>
              <w:pStyle w:val="875"/>
              <w:jc w:val="center"/>
              <w:spacing w:before="68" w:line="264" w:lineRule="auto"/>
              <w:rPr>
                <w:rFonts w:ascii="宋体" w:hAnsi="宋体" w:cs="宋体"/>
                <w:color w:val="000000"/>
                <w:spacing w:val="-6"/>
                <w:highlight w:val="none"/>
              </w:rPr>
            </w:pPr>
            <w:r>
              <w:rPr>
                <w:rFonts w:ascii="宋体" w:hAnsi="宋体" w:cs="宋体"/>
                <w:color w:val="000000"/>
                <w:spacing w:val="-6"/>
                <w:highlight w:val="none"/>
              </w:rPr>
              <w:t xml:space="preserve">主观分</w:t>
            </w:r>
            <w:r>
              <w:rPr>
                <w:rFonts w:ascii="宋体" w:hAnsi="宋体" w:cs="宋体"/>
                <w:color w:val="000000"/>
                <w:spacing w:val="-6"/>
                <w:highlight w:val="none"/>
              </w:rPr>
            </w:r>
            <w:r/>
          </w:p>
        </w:tc>
      </w:tr>
      <w:tr>
        <w:trPr>
          <w:trHeight w:val="455"/>
        </w:trPr>
        <w:tc>
          <w:tcPr>
            <w:gridSpan w:val="5"/>
            <w:tcW w:w="9575" w:type="dxa"/>
            <w:vAlign w:val="center"/>
            <w:textDirection w:val="lrTb"/>
            <w:noWrap w:val="false"/>
          </w:tcPr>
          <w:p>
            <w:pPr>
              <w:pStyle w:val="875"/>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50"/>
        </w:trPr>
        <w:tc>
          <w:tcPr>
            <w:tcW w:w="519" w:type="dxa"/>
            <w:vAlign w:val="center"/>
            <w:textDirection w:val="lrTb"/>
            <w:noWrap w:val="false"/>
          </w:tcPr>
          <w:p>
            <w:pPr>
              <w:pStyle w:val="875"/>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875"/>
              <w:spacing w:before="69" w:line="264" w:lineRule="auto"/>
              <w:rPr>
                <w:rFonts w:ascii="宋体" w:hAnsi="宋体" w:cs="宋体"/>
                <w:color w:val="000000"/>
                <w:spacing w:val="-2"/>
              </w:rPr>
            </w:pPr>
            <w:r>
              <w:rPr>
                <w:rFonts w:hint="eastAsia"/>
                <w:color w:val="000000"/>
              </w:rPr>
              <w:t xml:space="preserve">投标人业绩</w:t>
            </w:r>
            <w:r>
              <w:rPr>
                <w:rFonts w:ascii="宋体" w:hAnsi="宋体" w:cs="宋体"/>
                <w:color w:val="000000"/>
                <w:spacing w:val="-2"/>
              </w:rPr>
            </w:r>
            <w:r/>
          </w:p>
        </w:tc>
        <w:tc>
          <w:tcPr>
            <w:tcW w:w="6330" w:type="dxa"/>
            <w:vAlign w:val="center"/>
            <w:textDirection w:val="lrTb"/>
            <w:noWrap w:val="false"/>
          </w:tcPr>
          <w:p>
            <w:pPr>
              <w:pStyle w:val="875"/>
              <w:spacing w:line="264" w:lineRule="auto"/>
              <w:rPr>
                <w:rFonts w:eastAsia="方正仿宋_GBK"/>
                <w:color w:val="000000"/>
                <w:lang w:bidi="zh-CN"/>
              </w:rPr>
            </w:pPr>
            <w:r>
              <w:rPr>
                <w:rFonts w:ascii="Times New Roman" w:hAnsi="Times New Roman" w:eastAsia="宋体" w:cs="Times New Roman"/>
                <w:color w:val="000000"/>
              </w:rPr>
              <w:t xml:space="preserve">投标人</w:t>
            </w:r>
            <w:r>
              <w:rPr>
                <w:rFonts w:ascii="Times New Roman" w:hAnsi="Times New Roman" w:eastAsia="宋体" w:cs="Times New Roman"/>
                <w:color w:val="000000"/>
              </w:rPr>
              <w:t xml:space="preserve">提供</w:t>
            </w:r>
            <w:r>
              <w:rPr>
                <w:rFonts w:ascii="Times New Roman" w:hAnsi="Times New Roman" w:eastAsia="宋体" w:cs="Times New Roman"/>
                <w:color w:val="000000"/>
              </w:rPr>
              <w:t xml:space="preserve">2023年1月1日（含）以来类似项目业绩</w:t>
            </w:r>
            <w:r>
              <w:rPr>
                <w:rFonts w:ascii="Times New Roman" w:hAnsi="Times New Roman" w:eastAsia="宋体" w:cs="Times New Roman"/>
                <w:color w:val="000000"/>
              </w:rPr>
              <w:t xml:space="preserve">（至少包含数据采集类或审核系统类或成本核算系统类）</w:t>
            </w:r>
            <w:r>
              <w:rPr>
                <w:rFonts w:ascii="Times New Roman" w:hAnsi="Times New Roman" w:eastAsia="宋体" w:cs="Times New Roman"/>
                <w:color w:val="000000"/>
              </w:rPr>
              <w:t xml:space="preserve">，每提供</w:t>
            </w:r>
            <w:r>
              <w:rPr>
                <w:rFonts w:ascii="Times New Roman" w:hAnsi="Times New Roman" w:eastAsia="宋体" w:cs="Times New Roman"/>
                <w:color w:val="000000"/>
              </w:rPr>
              <w:t xml:space="preserve">1</w:t>
            </w:r>
            <w:r>
              <w:rPr>
                <w:rFonts w:ascii="Times New Roman" w:hAnsi="Times New Roman" w:eastAsia="宋体" w:cs="Times New Roman"/>
                <w:color w:val="000000"/>
              </w:rPr>
              <w:t xml:space="preserve">个得2分</w:t>
            </w:r>
            <w:r>
              <w:rPr>
                <w:rFonts w:ascii="Times New Roman" w:hAnsi="Times New Roman" w:eastAsia="宋体" w:cs="Times New Roman"/>
                <w:color w:val="000000"/>
              </w:rPr>
              <w:t xml:space="preserve">，</w:t>
            </w:r>
            <w:r>
              <w:rPr>
                <w:rFonts w:ascii="Times New Roman" w:hAnsi="Times New Roman" w:eastAsia="宋体" w:cs="Times New Roman"/>
                <w:color w:val="000000"/>
              </w:rPr>
              <w:t xml:space="preserve">最多</w:t>
            </w:r>
            <w:r>
              <w:rPr>
                <w:rFonts w:ascii="Times New Roman" w:hAnsi="Times New Roman" w:eastAsia="宋体" w:cs="Times New Roman"/>
                <w:color w:val="000000"/>
              </w:rPr>
              <w:t xml:space="preserve">得6分</w:t>
            </w:r>
            <w:r>
              <w:rPr>
                <w:rFonts w:ascii="Times New Roman" w:hAnsi="Times New Roman" w:eastAsia="宋体" w:cs="Times New Roman"/>
                <w:color w:val="000000"/>
              </w:rPr>
              <w:t xml:space="preserve">。（</w:t>
            </w:r>
            <w:r>
              <w:rPr>
                <w:rFonts w:ascii="Times New Roman" w:hAnsi="Times New Roman" w:eastAsia="宋体" w:cs="Times New Roman"/>
                <w:color w:val="000000"/>
              </w:rPr>
              <w:t xml:space="preserve">时间以合同签订时间为准，</w:t>
            </w:r>
            <w:r>
              <w:rPr>
                <w:rFonts w:ascii="Times New Roman" w:hAnsi="Times New Roman" w:eastAsia="宋体" w:cs="Times New Roman"/>
                <w:color w:val="000000"/>
              </w:rPr>
              <w:t xml:space="preserve">提供有效合同，合同</w:t>
            </w:r>
            <w:r>
              <w:rPr>
                <w:rFonts w:ascii="Times New Roman" w:hAnsi="Times New Roman" w:eastAsia="宋体" w:cs="Times New Roman"/>
                <w:color w:val="000000"/>
              </w:rPr>
              <w:t xml:space="preserve">页</w:t>
            </w:r>
            <w:r>
              <w:rPr>
                <w:rFonts w:ascii="Times New Roman" w:hAnsi="Times New Roman" w:eastAsia="宋体" w:cs="Times New Roman"/>
                <w:color w:val="000000"/>
              </w:rPr>
              <w:t xml:space="preserve">须清晰可见相应内容）</w:t>
            </w:r>
            <w:r>
              <w:rPr>
                <w:rFonts w:eastAsia="方正仿宋_GBK"/>
                <w:color w:val="000000"/>
                <w:lang w:bidi="zh-CN"/>
              </w:rPr>
            </w:r>
            <w:r/>
          </w:p>
        </w:tc>
        <w:tc>
          <w:tcPr>
            <w:tcW w:w="647" w:type="dxa"/>
            <w:vAlign w:val="center"/>
            <w:textDirection w:val="lrTb"/>
            <w:noWrap w:val="false"/>
          </w:tcPr>
          <w:p>
            <w:pPr>
              <w:pStyle w:val="875"/>
              <w:jc w:val="center"/>
              <w:spacing w:line="264" w:lineRule="auto"/>
              <w:rPr>
                <w:color w:val="000000"/>
              </w:rPr>
            </w:pPr>
            <w:r>
              <w:rPr>
                <w:rFonts w:ascii="宋体" w:hAnsi="宋体" w:cs="宋体"/>
                <w:color w:val="000000"/>
              </w:rPr>
              <w:t xml:space="preserve">6</w:t>
            </w:r>
            <w:r>
              <w:rPr>
                <w:color w:val="000000"/>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269"/>
        </w:trPr>
        <w:tc>
          <w:tcPr>
            <w:gridSpan w:val="5"/>
            <w:tcW w:w="9575" w:type="dxa"/>
            <w:vAlign w:val="top"/>
            <w:textDirection w:val="lrTb"/>
            <w:noWrap w:val="false"/>
          </w:tcPr>
          <w:p>
            <w:pPr>
              <w:pStyle w:val="875"/>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875"/>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5"/>
              <w:spacing w:line="264" w:lineRule="auto"/>
              <w:rPr>
                <w:color w:val="000000"/>
              </w:rPr>
            </w:pPr>
            <w:r>
              <w:rPr>
                <w:rFonts w:hint="eastAsia"/>
                <w:color w:val="000000"/>
              </w:rPr>
              <w:t xml:space="preserve">履约能力1</w:t>
            </w:r>
            <w:r>
              <w:rPr>
                <w:color w:val="000000"/>
              </w:rPr>
            </w:r>
            <w:r/>
          </w:p>
        </w:tc>
        <w:tc>
          <w:tcPr>
            <w:tcW w:w="6330" w:type="dxa"/>
            <w:vAlign w:val="center"/>
            <w:textDirection w:val="lrTb"/>
            <w:noWrap w:val="false"/>
          </w:tcPr>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投标人拟投入本项目的项目经理具备工信部和人社部颁发的信息系统项目管理师证书或数据库系统工程师证书，得</w:t>
            </w:r>
            <w:r>
              <w:rPr>
                <w:rFonts w:ascii="Times New Roman" w:hAnsi="Times New Roman" w:eastAsia="宋体" w:cs="Times New Roman"/>
                <w:color w:val="000000"/>
              </w:rPr>
              <w:t xml:space="preserve">2</w:t>
            </w:r>
            <w:r>
              <w:rPr>
                <w:rFonts w:ascii="Times New Roman" w:hAnsi="Times New Roman" w:eastAsia="宋体" w:cs="Times New Roman"/>
                <w:color w:val="000000"/>
              </w:rPr>
              <w:t xml:space="preserve">分。</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lang w:val="zh-CN"/>
              </w:rPr>
              <w:t xml:space="preserve">（提供</w:t>
            </w:r>
            <w:r>
              <w:rPr>
                <w:rFonts w:ascii="Times New Roman" w:hAnsi="Times New Roman" w:eastAsia="宋体" w:cs="Times New Roman"/>
                <w:color w:val="000000"/>
                <w:lang w:val="zh-CN"/>
              </w:rPr>
              <w:t xml:space="preserve">人员</w:t>
            </w:r>
            <w:r>
              <w:rPr>
                <w:rFonts w:ascii="Times New Roman" w:hAnsi="Times New Roman" w:eastAsia="宋体" w:cs="Times New Roman"/>
                <w:color w:val="000000"/>
                <w:lang w:val="zh-CN"/>
              </w:rPr>
              <w:t xml:space="preserve">证书</w:t>
            </w:r>
            <w:r>
              <w:rPr>
                <w:rFonts w:ascii="Times New Roman" w:hAnsi="Times New Roman" w:eastAsia="宋体" w:cs="Times New Roman"/>
                <w:color w:val="000000"/>
              </w:rPr>
              <w:t xml:space="preserve">及投标人为其缴纳的2026年1月以来任意一个月的社保证明材料，缺一不可）</w:t>
            </w:r>
            <w:r>
              <w:rPr>
                <w:rFonts w:ascii="Times New Roman" w:hAnsi="Times New Roman" w:eastAsia="宋体" w:cs="Times New Roman"/>
                <w:color w:val="000000"/>
              </w:rPr>
            </w:r>
            <w:r/>
          </w:p>
        </w:tc>
        <w:tc>
          <w:tcPr>
            <w:tcW w:w="647" w:type="dxa"/>
            <w:vAlign w:val="center"/>
            <w:textDirection w:val="lrTb"/>
            <w:noWrap w:val="false"/>
          </w:tcPr>
          <w:p>
            <w:pPr>
              <w:pStyle w:val="875"/>
              <w:jc w:val="center"/>
              <w:spacing w:before="68" w:line="264" w:lineRule="auto"/>
              <w:rPr>
                <w:rFonts w:ascii="宋体" w:hAnsi="宋体" w:cs="宋体"/>
                <w:color w:val="000000"/>
              </w:rPr>
            </w:pPr>
            <w:r>
              <w:rPr>
                <w:rFonts w:ascii="宋体" w:hAnsi="宋体" w:cs="宋体"/>
                <w:color w:val="000000"/>
              </w:rPr>
              <w:t xml:space="preserve">2</w:t>
            </w:r>
            <w:r>
              <w:rPr>
                <w:rFonts w:ascii="宋体" w:hAnsi="宋体" w:cs="宋体"/>
                <w:color w:val="000000"/>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75"/>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5"/>
              <w:spacing w:line="264" w:lineRule="auto"/>
              <w:rPr>
                <w:color w:val="000000"/>
              </w:rPr>
            </w:pPr>
            <w:r>
              <w:rPr>
                <w:rFonts w:hint="eastAsia"/>
                <w:color w:val="000000"/>
              </w:rPr>
              <w:t xml:space="preserve">履约能力2</w:t>
            </w:r>
            <w:r>
              <w:rPr>
                <w:color w:val="000000"/>
              </w:rPr>
            </w:r>
            <w:r/>
          </w:p>
        </w:tc>
        <w:tc>
          <w:tcPr>
            <w:tcW w:w="6330" w:type="dxa"/>
            <w:vAlign w:val="center"/>
            <w:textDirection w:val="lrTb"/>
            <w:noWrap w:val="false"/>
          </w:tcPr>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投标人拟投入本项目的技术负责人具有工信部和人社部颁发的系统架构设计师证书，得</w:t>
            </w:r>
            <w:r>
              <w:rPr>
                <w:rFonts w:ascii="Times New Roman" w:hAnsi="Times New Roman" w:eastAsia="宋体" w:cs="Times New Roman"/>
                <w:color w:val="000000"/>
              </w:rPr>
              <w:t xml:space="preserve">2</w:t>
            </w:r>
            <w:r>
              <w:rPr>
                <w:rFonts w:ascii="Times New Roman" w:hAnsi="Times New Roman" w:eastAsia="宋体" w:cs="Times New Roman"/>
                <w:color w:val="000000"/>
              </w:rPr>
              <w:t xml:space="preserve">分。</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lang w:val="zh-CN"/>
              </w:rPr>
            </w:pPr>
            <w:r>
              <w:rPr>
                <w:rFonts w:ascii="Times New Roman" w:hAnsi="Times New Roman" w:eastAsia="宋体" w:cs="Times New Roman"/>
                <w:color w:val="000000"/>
                <w:lang w:val="zh-CN"/>
              </w:rPr>
              <w:t xml:space="preserve">（提供</w:t>
            </w:r>
            <w:r>
              <w:rPr>
                <w:rFonts w:ascii="Times New Roman" w:hAnsi="Times New Roman" w:eastAsia="宋体" w:cs="Times New Roman"/>
                <w:color w:val="000000"/>
                <w:lang w:val="zh-CN"/>
              </w:rPr>
              <w:t xml:space="preserve">人员</w:t>
            </w:r>
            <w:r>
              <w:rPr>
                <w:rFonts w:ascii="Times New Roman" w:hAnsi="Times New Roman" w:eastAsia="宋体" w:cs="Times New Roman"/>
                <w:color w:val="000000"/>
                <w:lang w:val="zh-CN"/>
              </w:rPr>
              <w:t xml:space="preserve">证书</w:t>
            </w:r>
            <w:r>
              <w:rPr>
                <w:rFonts w:ascii="Times New Roman" w:hAnsi="Times New Roman" w:eastAsia="宋体" w:cs="Times New Roman"/>
                <w:color w:val="000000"/>
              </w:rPr>
              <w:t xml:space="preserve">及投标人为其缴纳的2026年1月以来任意一个月的社保证明材料，缺一不可）</w:t>
            </w:r>
            <w:r>
              <w:rPr>
                <w:rFonts w:ascii="Times New Roman" w:hAnsi="Times New Roman" w:eastAsia="宋体" w:cs="Times New Roman"/>
                <w:color w:val="000000"/>
                <w:lang w:val="zh-CN"/>
              </w:rPr>
            </w:r>
            <w:r/>
          </w:p>
        </w:tc>
        <w:tc>
          <w:tcPr>
            <w:tcW w:w="647" w:type="dxa"/>
            <w:vAlign w:val="center"/>
            <w:textDirection w:val="lrTb"/>
            <w:noWrap w:val="false"/>
          </w:tcPr>
          <w:p>
            <w:pPr>
              <w:pStyle w:val="875"/>
              <w:jc w:val="center"/>
              <w:spacing w:before="68" w:line="264" w:lineRule="auto"/>
              <w:rPr>
                <w:rFonts w:ascii="宋体" w:hAnsi="宋体" w:cs="宋体"/>
                <w:color w:val="000000"/>
              </w:rPr>
            </w:pPr>
            <w:r>
              <w:rPr>
                <w:rFonts w:ascii="宋体" w:hAnsi="宋体" w:cs="宋体"/>
                <w:color w:val="000000"/>
              </w:rPr>
              <w:t xml:space="preserve">2</w:t>
            </w:r>
            <w:r>
              <w:rPr>
                <w:rFonts w:ascii="宋体" w:hAnsi="宋体" w:cs="宋体"/>
                <w:color w:val="000000"/>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75"/>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.3</w:t>
            </w:r>
            <w:r>
              <w:rPr>
                <w:rFonts w:ascii="宋体" w:hAnsi="宋体" w:cs="宋体"/>
                <w:color w:val="000000"/>
                <w:spacing w:val="-2"/>
              </w:rPr>
            </w:r>
            <w:r/>
          </w:p>
        </w:tc>
        <w:tc>
          <w:tcPr>
            <w:tcW w:w="1179" w:type="dxa"/>
            <w:vAlign w:val="center"/>
            <w:textDirection w:val="lrTb"/>
            <w:noWrap w:val="false"/>
          </w:tcPr>
          <w:p>
            <w:pPr>
              <w:pStyle w:val="875"/>
              <w:spacing w:line="264" w:lineRule="auto"/>
              <w:rPr>
                <w:rFonts w:ascii="宋体" w:hAnsi="宋体" w:cs="宋体"/>
                <w:color w:val="000000"/>
              </w:rPr>
            </w:pPr>
            <w:r>
              <w:rPr>
                <w:rFonts w:hint="eastAsia" w:ascii="宋体" w:hAnsi="宋体" w:cs="宋体"/>
                <w:color w:val="000000"/>
              </w:rPr>
              <w:t xml:space="preserve">履约能力3</w:t>
            </w:r>
            <w:r>
              <w:rPr>
                <w:rFonts w:ascii="宋体" w:hAnsi="宋体" w:cs="宋体"/>
                <w:color w:val="000000"/>
              </w:rPr>
            </w:r>
            <w:r/>
          </w:p>
        </w:tc>
        <w:tc>
          <w:tcPr>
            <w:tcW w:w="6330" w:type="dxa"/>
            <w:vAlign w:val="center"/>
            <w:textDirection w:val="lrTb"/>
            <w:noWrap w:val="false"/>
          </w:tcPr>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投标人拟投入本项目的项目实施团队（不含项目经理和技术负责人）：</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（1）具有工信部和人社部颁发的系统规划与管理师</w:t>
            </w:r>
            <w:r>
              <w:rPr>
                <w:rFonts w:ascii="Times New Roman" w:hAnsi="Times New Roman" w:eastAsia="宋体" w:cs="Times New Roman"/>
                <w:color w:val="000000"/>
                <w:lang w:val="en-US" w:eastAsia="zh-CN"/>
              </w:rPr>
              <w:t xml:space="preserve">或</w:t>
            </w:r>
            <w:r>
              <w:rPr>
                <w:rFonts w:ascii="Times New Roman" w:hAnsi="Times New Roman" w:eastAsia="宋体" w:cs="Times New Roman"/>
                <w:color w:val="000000"/>
              </w:rPr>
              <w:t xml:space="preserve">信息系统项目管理师证书，每提供一个证书得</w:t>
            </w:r>
            <w:r>
              <w:rPr>
                <w:rFonts w:ascii="Times New Roman" w:hAnsi="Times New Roman" w:eastAsia="宋体" w:cs="Times New Roman"/>
                <w:color w:val="000000"/>
              </w:rPr>
              <w:t xml:space="preserve">2</w:t>
            </w:r>
            <w:r>
              <w:rPr>
                <w:rFonts w:ascii="Times New Roman" w:hAnsi="Times New Roman" w:eastAsia="宋体" w:cs="Times New Roman"/>
                <w:color w:val="000000"/>
              </w:rPr>
              <w:t xml:space="preserve">分；</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（2）具有工信部和人社部颁发的系统集成项目管理工程师证书，得</w:t>
            </w:r>
            <w:r>
              <w:rPr>
                <w:rFonts w:ascii="Times New Roman" w:hAnsi="Times New Roman" w:eastAsia="宋体" w:cs="Times New Roman"/>
                <w:color w:val="000000"/>
              </w:rPr>
              <w:t xml:space="preserve">1</w:t>
            </w:r>
            <w:r>
              <w:rPr>
                <w:rFonts w:ascii="Times New Roman" w:hAnsi="Times New Roman" w:eastAsia="宋体" w:cs="Times New Roman"/>
                <w:color w:val="000000"/>
              </w:rPr>
              <w:t xml:space="preserve">分；</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w:t>
            </w:r>
            <w:r>
              <w:rPr>
                <w:rFonts w:ascii="Times New Roman" w:hAnsi="Times New Roman" w:eastAsia="宋体" w:cs="Times New Roman"/>
                <w:color w:val="000000"/>
              </w:rPr>
              <w:t xml:space="preserve">3</w:t>
            </w:r>
            <w:r>
              <w:rPr>
                <w:rFonts w:ascii="Times New Roman" w:hAnsi="Times New Roman" w:eastAsia="宋体" w:cs="Times New Roman"/>
                <w:color w:val="000000"/>
              </w:rPr>
              <w:t xml:space="preserve">）具有中国网络安全审查技术与认证中心颁发的信息安全保障人员认证证书得</w:t>
            </w:r>
            <w:r>
              <w:rPr>
                <w:rFonts w:ascii="Times New Roman" w:hAnsi="Times New Roman" w:eastAsia="宋体" w:cs="Times New Roman"/>
                <w:color w:val="000000"/>
              </w:rPr>
              <w:t xml:space="preserve">1</w:t>
            </w:r>
            <w:r>
              <w:rPr>
                <w:rFonts w:ascii="Times New Roman" w:hAnsi="Times New Roman" w:eastAsia="宋体" w:cs="Times New Roman"/>
                <w:color w:val="000000"/>
              </w:rPr>
              <w:t xml:space="preserve">分；</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（4）具有</w:t>
            </w:r>
            <w:r>
              <w:rPr>
                <w:rFonts w:ascii="Times New Roman" w:hAnsi="Times New Roman" w:eastAsia="宋体" w:cs="Times New Roman"/>
                <w:color w:val="000000"/>
              </w:rPr>
              <w:t xml:space="preserve">工业和信息化部教育与考试中心</w:t>
            </w:r>
            <w:r>
              <w:rPr>
                <w:rFonts w:ascii="Times New Roman" w:hAnsi="Times New Roman" w:eastAsia="宋体" w:cs="Times New Roman"/>
                <w:color w:val="000000"/>
              </w:rPr>
              <w:t xml:space="preserve">颁发的生成式人工智能应用工程师（高级）证书，得</w:t>
            </w:r>
            <w:r>
              <w:rPr>
                <w:rFonts w:ascii="Times New Roman" w:hAnsi="Times New Roman" w:eastAsia="宋体" w:cs="Times New Roman"/>
                <w:color w:val="000000"/>
              </w:rPr>
              <w:t xml:space="preserve">2</w:t>
            </w:r>
            <w:r>
              <w:rPr>
                <w:rFonts w:ascii="Times New Roman" w:hAnsi="Times New Roman" w:eastAsia="宋体" w:cs="Times New Roman"/>
                <w:color w:val="000000"/>
              </w:rPr>
              <w:t xml:space="preserve">分；</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（5）具有人社部与国家统计局颁发的统计专业技术资格中级及以上证书，得</w:t>
            </w:r>
            <w:r>
              <w:rPr>
                <w:rFonts w:ascii="Times New Roman" w:hAnsi="Times New Roman" w:eastAsia="宋体" w:cs="Times New Roman"/>
                <w:color w:val="000000"/>
              </w:rPr>
              <w:t xml:space="preserve">1</w:t>
            </w:r>
            <w:r>
              <w:rPr>
                <w:rFonts w:ascii="Times New Roman" w:hAnsi="Times New Roman" w:eastAsia="宋体" w:cs="Times New Roman"/>
                <w:color w:val="000000"/>
              </w:rPr>
              <w:t xml:space="preserve">分</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本项最多得</w:t>
            </w:r>
            <w:r>
              <w:rPr>
                <w:rFonts w:ascii="Times New Roman" w:hAnsi="Times New Roman" w:eastAsia="宋体" w:cs="Times New Roman"/>
                <w:color w:val="000000"/>
                <w:lang w:val="en-US" w:eastAsia="zh-CN"/>
              </w:rPr>
              <w:t xml:space="preserve">6</w:t>
            </w:r>
            <w:r>
              <w:rPr>
                <w:rFonts w:ascii="Times New Roman" w:hAnsi="Times New Roman" w:eastAsia="宋体" w:cs="Times New Roman"/>
                <w:color w:val="000000"/>
              </w:rPr>
              <w:t xml:space="preserve">分。</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（一人多证及一证多人不重复得分。提供上述人员证书及投标人为其缴纳的2026年1月以来任意一个月的社保证明材料，缺一不可）</w:t>
            </w:r>
            <w:r>
              <w:rPr>
                <w:rFonts w:ascii="Times New Roman" w:hAnsi="Times New Roman" w:eastAsia="宋体" w:cs="Times New Roman"/>
                <w:color w:val="000000"/>
              </w:rPr>
            </w:r>
            <w:r/>
          </w:p>
        </w:tc>
        <w:tc>
          <w:tcPr>
            <w:tcW w:w="647" w:type="dxa"/>
            <w:vAlign w:val="center"/>
            <w:textDirection w:val="lrTb"/>
            <w:noWrap w:val="false"/>
          </w:tcPr>
          <w:p>
            <w:pPr>
              <w:pStyle w:val="875"/>
              <w:jc w:val="center"/>
              <w:spacing w:before="68" w:line="264" w:lineRule="auto"/>
              <w:rPr>
                <w:rFonts w:hint="eastAsia" w:eastAsia="宋体"/>
                <w:color w:val="000000"/>
                <w:lang w:val="en-US" w:eastAsia="zh-CN"/>
              </w:rPr>
            </w:pPr>
            <w:r>
              <w:rPr>
                <w:rFonts w:hint="eastAsia" w:ascii="宋体" w:hAnsi="宋体" w:eastAsia="宋体" w:cs="宋体"/>
                <w:color w:val="000000"/>
                <w:lang w:val="en-US" w:eastAsia="zh-CN"/>
              </w:rPr>
              <w:t xml:space="preserve">6</w:t>
            </w:r>
            <w:r>
              <w:rPr>
                <w:rFonts w:hint="eastAsia" w:eastAsia="宋体"/>
                <w:color w:val="000000"/>
                <w:lang w:val="en-US" w:eastAsia="zh-CN"/>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75"/>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4</w:t>
            </w:r>
            <w:r>
              <w:rPr>
                <w:rFonts w:ascii="宋体" w:hAnsi="宋体" w:cs="宋体"/>
                <w:color w:val="000000"/>
                <w:spacing w:val="-2"/>
              </w:rPr>
            </w:r>
            <w:r/>
          </w:p>
        </w:tc>
        <w:tc>
          <w:tcPr>
            <w:tcW w:w="1179" w:type="dxa"/>
            <w:vAlign w:val="center"/>
            <w:textDirection w:val="lrTb"/>
            <w:noWrap w:val="false"/>
          </w:tcPr>
          <w:p>
            <w:pPr>
              <w:pStyle w:val="875"/>
              <w:spacing w:line="264" w:lineRule="auto"/>
              <w:rPr>
                <w:color w:val="000000"/>
              </w:rPr>
            </w:pPr>
            <w:r>
              <w:rPr>
                <w:rFonts w:hint="eastAsia"/>
                <w:color w:val="000000"/>
              </w:rPr>
              <w:t xml:space="preserve">履约能力</w:t>
            </w:r>
            <w:r>
              <w:rPr>
                <w:color w:val="000000"/>
              </w:rPr>
              <w:t xml:space="preserve">4</w:t>
            </w:r>
            <w:r>
              <w:rPr>
                <w:color w:val="000000"/>
              </w:rPr>
            </w:r>
            <w:r/>
          </w:p>
        </w:tc>
        <w:tc>
          <w:tcPr>
            <w:tcW w:w="6330" w:type="dxa"/>
            <w:vAlign w:val="center"/>
            <w:textDirection w:val="lrTb"/>
            <w:noWrap w:val="false"/>
          </w:tcPr>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投标人具有本项目相关的软件著作</w:t>
            </w:r>
            <w:r>
              <w:rPr>
                <w:rFonts w:ascii="Times New Roman" w:hAnsi="Times New Roman" w:eastAsia="宋体" w:cs="Times New Roman"/>
                <w:color w:val="000000"/>
                <w:highlight w:val="none"/>
              </w:rPr>
              <w:t xml:space="preserve">权证书，包括</w:t>
            </w:r>
            <w:r>
              <w:rPr>
                <w:rFonts w:ascii="Times New Roman" w:hAnsi="Times New Roman" w:eastAsia="宋体" w:cs="Times New Roman"/>
                <w:color w:val="000000"/>
                <w:highlight w:val="none"/>
              </w:rPr>
              <w:t xml:space="preserve">全成本核算</w:t>
            </w:r>
            <w:r>
              <w:rPr>
                <w:rFonts w:ascii="Times New Roman" w:hAnsi="Times New Roman" w:eastAsia="宋体" w:cs="Times New Roman"/>
                <w:color w:val="000000"/>
                <w:highlight w:val="none"/>
              </w:rPr>
              <w:t xml:space="preserve">类</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成本大数据测算类</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AI智能辅助决策类</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医疗资源监管类</w:t>
            </w:r>
            <w:r>
              <w:rPr>
                <w:rFonts w:ascii="Times New Roman" w:hAnsi="Times New Roman" w:eastAsia="宋体" w:cs="Times New Roman"/>
                <w:color w:val="000000"/>
                <w:highlight w:val="none"/>
              </w:rPr>
              <w:t xml:space="preserve">等，每有1类证书，得</w:t>
            </w: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t xml:space="preserve">分，最多得</w:t>
            </w:r>
            <w:r>
              <w:rPr>
                <w:rFonts w:ascii="Times New Roman" w:hAnsi="Times New Roman" w:eastAsia="宋体" w:cs="Times New Roman"/>
                <w:color w:val="000000"/>
                <w:highlight w:val="none"/>
              </w:rPr>
              <w:t xml:space="preserve">8</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rPr>
              <w:t xml:space="preserve">。 </w:t>
            </w:r>
            <w:r>
              <w:rPr>
                <w:rFonts w:ascii="Times New Roman" w:hAnsi="Times New Roman" w:eastAsia="宋体" w:cs="Times New Roman"/>
                <w:color w:val="000000"/>
              </w:rPr>
            </w:r>
            <w:r/>
          </w:p>
          <w:p>
            <w:pPr>
              <w:pStyle w:val="875"/>
              <w:spacing w:line="264" w:lineRule="auto"/>
              <w:rPr>
                <w:rFonts w:ascii="Times New Roman" w:hAnsi="Times New Roman" w:eastAsia="宋体" w:cs="Times New Roman"/>
                <w:color w:val="000000"/>
              </w:rPr>
            </w:pPr>
            <w:r>
              <w:rPr>
                <w:rFonts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同类软著不重复得分，</w:t>
            </w:r>
            <w:r>
              <w:rPr>
                <w:rFonts w:ascii="Times New Roman" w:hAnsi="Times New Roman" w:eastAsia="宋体" w:cs="Times New Roman"/>
                <w:color w:val="000000"/>
              </w:rPr>
              <w:t xml:space="preserve">所提供证书</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软件名称</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与评分细则规定不同时，应提供符合上述要求的内容（功能）说明及关键信息，否则不予认可。）</w:t>
            </w:r>
            <w:r>
              <w:rPr>
                <w:rFonts w:ascii="Times New Roman" w:hAnsi="Times New Roman" w:eastAsia="宋体" w:cs="Times New Roman"/>
                <w:color w:val="000000"/>
              </w:rPr>
            </w:r>
            <w:r/>
          </w:p>
        </w:tc>
        <w:tc>
          <w:tcPr>
            <w:tcW w:w="647" w:type="dxa"/>
            <w:vAlign w:val="center"/>
            <w:textDirection w:val="lrTb"/>
            <w:noWrap w:val="false"/>
          </w:tcPr>
          <w:p>
            <w:pPr>
              <w:pStyle w:val="875"/>
              <w:jc w:val="center"/>
              <w:spacing w:before="68" w:line="264" w:lineRule="auto"/>
              <w:rPr>
                <w:rFonts w:ascii="宋体" w:hAnsi="宋体" w:cs="宋体"/>
                <w:color w:val="000000"/>
              </w:rPr>
            </w:pPr>
            <w:r>
              <w:rPr>
                <w:rFonts w:ascii="宋体" w:hAnsi="宋体" w:cs="宋体"/>
                <w:color w:val="000000"/>
              </w:rPr>
              <w:t xml:space="preserve">8</w:t>
            </w:r>
            <w:r>
              <w:rPr>
                <w:rFonts w:ascii="宋体" w:hAnsi="宋体" w:cs="宋体"/>
                <w:color w:val="000000"/>
              </w:rPr>
            </w:r>
            <w:r/>
          </w:p>
        </w:tc>
        <w:tc>
          <w:tcPr>
            <w:tcW w:w="900" w:type="dxa"/>
            <w:vAlign w:val="center"/>
            <w:textDirection w:val="lrTb"/>
            <w:noWrap w:val="false"/>
          </w:tcPr>
          <w:p>
            <w:pPr>
              <w:pStyle w:val="875"/>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464"/>
        </w:trPr>
        <w:tc>
          <w:tcPr>
            <w:tcW w:w="519" w:type="dxa"/>
            <w:vAlign w:val="center"/>
            <w:textDirection w:val="lrTb"/>
            <w:noWrap w:val="false"/>
          </w:tcPr>
          <w:p>
            <w:pPr>
              <w:pStyle w:val="875"/>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75"/>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875"/>
              <w:jc w:val="center"/>
              <w:spacing w:line="264" w:lineRule="auto"/>
            </w:pPr>
            <w:r>
              <w:rPr>
                <w:rFonts w:ascii="宋体" w:hAnsi="宋体" w:cs="宋体"/>
                <w:spacing w:val="-11"/>
              </w:rPr>
              <w:t xml:space="preserve">100分</w:t>
            </w:r>
            <w:r/>
          </w:p>
        </w:tc>
      </w:tr>
    </w:tbl>
    <w:p>
      <w:pPr>
        <w:pStyle w:val="955"/>
        <w:ind w:left="0" w:firstLine="0"/>
        <w:rPr>
          <w:rFonts w:hint="eastAsia"/>
          <w:highlight w:val="none"/>
        </w:rPr>
      </w:pPr>
      <w:r>
        <w:rPr>
          <w:rFonts w:hint="eastAsia"/>
          <w:highlight w:val="none"/>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64"/>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5"/>
        <w:jc w:val="center"/>
        <w:rPr>
          <w:rFonts w:hint="eastAsia" w:ascii="宋体" w:hAnsi="宋体"/>
          <w:b/>
          <w:sz w:val="72"/>
          <w:highlight w:val="none"/>
        </w:rPr>
      </w:pPr>
      <w:r/>
      <w:bookmarkStart w:id="65" w:name="_Hlt26955039"/>
      <w:r/>
      <w:bookmarkEnd w:id="65"/>
      <w:r/>
      <w:bookmarkStart w:id="66" w:name="_Hlt26671244"/>
      <w:r/>
      <w:bookmarkEnd w:id="66"/>
      <w:r/>
      <w:bookmarkStart w:id="67" w:name="_Toc26554094"/>
      <w:r/>
      <w:bookmarkStart w:id="68" w:name="_Toc49090576"/>
      <w:r/>
      <w:bookmarkStart w:id="69" w:name="_Toc120614282"/>
      <w:r>
        <w:rPr>
          <w:rFonts w:hint="eastAsia" w:ascii="宋体" w:hAnsi="宋体"/>
          <w:b/>
          <w:sz w:val="72"/>
          <w:highlight w:val="none"/>
        </w:rPr>
      </w:r>
      <w:r/>
    </w:p>
    <w:p>
      <w:pPr>
        <w:pStyle w:val="875"/>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75"/>
        <w:jc w:val="center"/>
        <w:rPr>
          <w:rFonts w:hint="eastAsia" w:ascii="宋体" w:hAnsi="宋体"/>
          <w:b/>
          <w:sz w:val="72"/>
          <w:highlight w:val="none"/>
        </w:rPr>
      </w:pPr>
      <w:r>
        <w:rPr>
          <w:rFonts w:hint="eastAsia" w:ascii="宋体" w:hAnsi="宋体"/>
          <w:b/>
          <w:sz w:val="72"/>
          <w:highlight w:val="none"/>
        </w:rPr>
      </w:r>
      <w:r/>
    </w:p>
    <w:p>
      <w:pPr>
        <w:pStyle w:val="875"/>
        <w:jc w:val="center"/>
        <w:rPr>
          <w:rFonts w:hint="eastAsia" w:ascii="宋体" w:hAnsi="宋体"/>
          <w:b/>
          <w:sz w:val="72"/>
          <w:highlight w:val="none"/>
        </w:rPr>
      </w:pPr>
      <w:r>
        <w:rPr>
          <w:rFonts w:hint="eastAsia" w:ascii="宋体" w:hAnsi="宋体"/>
          <w:b/>
          <w:sz w:val="72"/>
          <w:highlight w:val="none"/>
        </w:rPr>
      </w:r>
      <w:r/>
    </w:p>
    <w:p>
      <w:pPr>
        <w:pStyle w:val="875"/>
        <w:jc w:val="center"/>
        <w:rPr>
          <w:rFonts w:hint="eastAsia" w:ascii="宋体" w:hAnsi="宋体"/>
          <w:b/>
          <w:sz w:val="36"/>
          <w:highlight w:val="none"/>
        </w:rPr>
      </w:pPr>
      <w:r>
        <w:rPr>
          <w:rFonts w:hint="eastAsia" w:ascii="宋体" w:hAnsi="宋体"/>
          <w:b/>
          <w:sz w:val="36"/>
          <w:highlight w:val="none"/>
        </w:rPr>
      </w:r>
      <w:r/>
    </w:p>
    <w:p>
      <w:pPr>
        <w:pStyle w:val="875"/>
        <w:jc w:val="center"/>
        <w:rPr>
          <w:rFonts w:hint="eastAsia" w:ascii="宋体" w:hAnsi="宋体"/>
          <w:b/>
          <w:sz w:val="36"/>
          <w:highlight w:val="none"/>
        </w:rPr>
      </w:pPr>
      <w:r>
        <w:rPr>
          <w:rFonts w:hint="eastAsia" w:ascii="宋体" w:hAnsi="宋体"/>
          <w:b/>
          <w:sz w:val="36"/>
          <w:highlight w:val="none"/>
        </w:rPr>
      </w:r>
      <w:r/>
    </w:p>
    <w:p>
      <w:pPr>
        <w:pStyle w:val="875"/>
        <w:jc w:val="center"/>
        <w:rPr>
          <w:rFonts w:hint="eastAsia" w:ascii="宋体" w:hAnsi="宋体"/>
          <w:b/>
          <w:sz w:val="36"/>
          <w:highlight w:val="none"/>
        </w:rPr>
      </w:pPr>
      <w:r>
        <w:rPr>
          <w:rFonts w:hint="eastAsia" w:ascii="宋体" w:hAnsi="宋体"/>
          <w:b/>
          <w:sz w:val="36"/>
          <w:highlight w:val="none"/>
        </w:rPr>
      </w:r>
      <w:r/>
    </w:p>
    <w:p>
      <w:pPr>
        <w:pStyle w:val="875"/>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75"/>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5"/>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5"/>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5"/>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5"/>
        <w:spacing w:line="440" w:lineRule="exact"/>
        <w:rPr>
          <w:rFonts w:ascii="宋体" w:hAnsi="宋体"/>
          <w:highlight w:val="none"/>
        </w:rPr>
      </w:pPr>
      <w:r>
        <w:rPr>
          <w:rFonts w:ascii="宋体" w:hAnsi="宋体"/>
          <w:highlight w:val="none"/>
        </w:rPr>
      </w:r>
      <w:r/>
    </w:p>
    <w:p>
      <w:pPr>
        <w:pStyle w:val="875"/>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5"/>
        <w:ind w:firstLine="480"/>
        <w:spacing w:line="440" w:lineRule="exact"/>
        <w:rPr>
          <w:rFonts w:ascii="宋体" w:hAnsi="宋体"/>
          <w:sz w:val="24"/>
          <w:highlight w:val="none"/>
        </w:rPr>
      </w:pPr>
      <w:r>
        <w:rPr>
          <w:rFonts w:ascii="宋体" w:hAnsi="宋体"/>
          <w:sz w:val="24"/>
          <w:highlight w:val="none"/>
        </w:rPr>
      </w:r>
      <w:r/>
    </w:p>
    <w:p>
      <w:pPr>
        <w:pStyle w:val="875"/>
        <w:ind w:firstLine="480"/>
        <w:spacing w:line="440" w:lineRule="exact"/>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961"/>
        <w:rPr>
          <w:rFonts w:ascii="宋体" w:hAnsi="宋体"/>
          <w:sz w:val="24"/>
          <w:highlight w:val="none"/>
        </w:rPr>
      </w:pPr>
      <w:r>
        <w:rPr>
          <w:rFonts w:ascii="宋体" w:hAnsi="宋体"/>
          <w:sz w:val="24"/>
          <w:highlight w:val="none"/>
        </w:rPr>
      </w:r>
      <w:r/>
    </w:p>
    <w:p>
      <w:pPr>
        <w:pStyle w:val="875"/>
        <w:ind w:firstLine="480"/>
        <w:spacing w:line="440" w:lineRule="exact"/>
        <w:rPr>
          <w:rFonts w:ascii="宋体" w:hAnsi="宋体"/>
          <w:sz w:val="24"/>
          <w:highlight w:val="none"/>
        </w:rPr>
      </w:pPr>
      <w:r>
        <w:rPr>
          <w:rFonts w:ascii="宋体" w:hAnsi="宋体"/>
          <w:sz w:val="24"/>
          <w:highlight w:val="none"/>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bookmarkEnd w:id="67"/>
      <w:r/>
      <w:bookmarkEnd w:id="68"/>
      <w:r/>
      <w:bookmarkEnd w:id="69"/>
      <w:r/>
      <w:bookmarkStart w:id="70"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5"/>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5"/>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5"/>
        <w:ind w:firstLine="492"/>
        <w:spacing w:line="460" w:lineRule="exact"/>
        <w:rPr>
          <w:color w:val="000000"/>
          <w:sz w:val="24"/>
          <w:szCs w:val="24"/>
          <w:highlight w:val="none"/>
        </w:rPr>
      </w:pPr>
      <w:r>
        <w:rPr>
          <w:color w:val="000000"/>
          <w:sz w:val="24"/>
          <w:szCs w:val="24"/>
          <w:highlight w:val="none"/>
        </w:rPr>
      </w:r>
      <w:r/>
    </w:p>
    <w:p>
      <w:pPr>
        <w:pStyle w:val="998"/>
        <w:rPr>
          <w:color w:val="000000"/>
          <w:sz w:val="24"/>
          <w:szCs w:val="24"/>
          <w:highlight w:val="none"/>
        </w:rPr>
      </w:pPr>
      <w:r>
        <w:rPr>
          <w:color w:val="000000"/>
          <w:sz w:val="24"/>
          <w:szCs w:val="24"/>
          <w:highlight w:val="none"/>
        </w:rPr>
      </w:r>
      <w:r/>
    </w:p>
    <w:p>
      <w:pPr>
        <w:pStyle w:val="875"/>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5"/>
        <w:rPr>
          <w:sz w:val="24"/>
          <w:szCs w:val="24"/>
          <w:highlight w:val="none"/>
        </w:rPr>
      </w:pPr>
      <w:r>
        <w:rPr>
          <w:sz w:val="24"/>
          <w:szCs w:val="24"/>
          <w:highlight w:val="none"/>
        </w:rPr>
      </w:r>
      <w:r/>
    </w:p>
    <w:p>
      <w:pPr>
        <w:pStyle w:val="875"/>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5"/>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70"/>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70"/>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70"/>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70"/>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7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7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7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70"/>
        <w:ind w:firstLine="480"/>
        <w:spacing w:line="480" w:lineRule="exact"/>
        <w:tabs>
          <w:tab w:val="left" w:pos="360" w:leader="none"/>
        </w:tabs>
        <w:rPr>
          <w:rFonts w:hint="eastAsia" w:ascii="Times New Roman" w:hAnsi="Times New Roman" w:eastAsia="宋体" w:cs="Times New Roman"/>
          <w:i w:val="0"/>
          <w:sz w:val="24"/>
          <w:szCs w:val="24"/>
          <w:highlight w:val="none"/>
          <w:u w:val="none"/>
          <w:lang w:eastAsia="zh-CN"/>
        </w:rPr>
      </w:pPr>
      <w:r>
        <w:rPr>
          <w:rFonts w:hint="eastAsia" w:ascii="Times New Roman" w:hAnsi="Times New Roman" w:eastAsia="宋体" w:cs="Times New Roman"/>
          <w:i w:val="0"/>
          <w:sz w:val="24"/>
          <w:szCs w:val="24"/>
          <w:highlight w:val="none"/>
          <w:u w:val="none"/>
        </w:rPr>
        <w:t xml:space="preserve">代理人联系方式（手机号码）：_______________</w:t>
      </w:r>
      <w:r>
        <w:rPr>
          <w:rFonts w:hint="eastAsia" w:ascii="Times New Roman" w:hAnsi="Times New Roman" w:eastAsia="宋体" w:cs="Times New Roman"/>
          <w:i w:val="0"/>
          <w:sz w:val="24"/>
          <w:szCs w:val="24"/>
          <w:highlight w:val="none"/>
          <w:u w:val="none"/>
          <w:lang w:eastAsia="zh-CN"/>
        </w:rPr>
      </w:r>
      <w:r/>
    </w:p>
    <w:p>
      <w:pPr>
        <w:pStyle w:val="97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70"/>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4"/>
        <w:ind w:firstLine="0"/>
        <w:rPr>
          <w:rFonts w:hint="eastAsia"/>
          <w:highlight w:val="none"/>
        </w:rPr>
      </w:pPr>
      <w:r>
        <w:rPr>
          <w:rFonts w:hint="eastAsia"/>
          <w:highlight w:val="none"/>
        </w:rPr>
      </w:r>
      <w:r/>
    </w:p>
    <w:p>
      <w:pPr>
        <w:pStyle w:val="97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7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7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7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7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7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70"/>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5"/>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72"/>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7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7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7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7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7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7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7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5"/>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7"/>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72"/>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7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72"/>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7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7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7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7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5"/>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7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72"/>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5"/>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5"/>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5"/>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72"/>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5"/>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5"/>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5"/>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87"/>
        <w:rPr>
          <w:rFonts w:hint="eastAsia"/>
          <w:highlight w:val="none"/>
        </w:rPr>
      </w:pPr>
      <w:r>
        <w:rPr>
          <w:rFonts w:hint="eastAsia"/>
          <w:highlight w:val="none"/>
        </w:rPr>
      </w:r>
      <w:r/>
    </w:p>
    <w:p>
      <w:pPr>
        <w:pStyle w:val="875"/>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7"/>
        <w:rPr>
          <w:rFonts w:hint="eastAsia"/>
          <w:highlight w:val="none"/>
          <w:lang w:val="en-US" w:eastAsia="zh-CN"/>
        </w:rPr>
      </w:pPr>
      <w:r>
        <w:rPr>
          <w:rFonts w:hint="eastAsia"/>
          <w:highlight w:val="none"/>
          <w:lang w:val="en-US" w:eastAsia="zh-CN"/>
        </w:rPr>
      </w:r>
      <w:r/>
    </w:p>
    <w:p>
      <w:pPr>
        <w:pStyle w:val="875"/>
        <w:rPr>
          <w:rFonts w:hint="eastAsia"/>
          <w:highlight w:val="none"/>
          <w:lang w:val="en-US" w:eastAsia="zh-CN"/>
        </w:rPr>
      </w:pPr>
      <w:r>
        <w:rPr>
          <w:rFonts w:hint="eastAsia"/>
          <w:highlight w:val="none"/>
          <w:lang w:val="en-US" w:eastAsia="zh-CN"/>
        </w:rPr>
      </w:r>
      <w:r/>
    </w:p>
    <w:p>
      <w:pPr>
        <w:pStyle w:val="887"/>
        <w:rPr>
          <w:rFonts w:hint="eastAsia"/>
          <w:highlight w:val="none"/>
          <w:lang w:val="en-US" w:eastAsia="zh-CN"/>
        </w:rPr>
      </w:pPr>
      <w:r>
        <w:rPr>
          <w:rFonts w:hint="eastAsia"/>
          <w:highlight w:val="none"/>
          <w:lang w:val="en-US" w:eastAsia="zh-CN"/>
        </w:rPr>
      </w:r>
      <w:r/>
    </w:p>
    <w:p>
      <w:pPr>
        <w:pStyle w:val="95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71"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71"/>
      <w:r>
        <w:rPr>
          <w:rFonts w:hint="eastAsia" w:ascii="宋体" w:hAnsi="宋体" w:eastAsia="宋体" w:cs="Times New Roman"/>
          <w:sz w:val="24"/>
          <w:szCs w:val="24"/>
          <w:highlight w:val="none"/>
          <w:lang w:val="en-US" w:eastAsia="zh-CN"/>
        </w:rPr>
      </w:r>
      <w:r/>
    </w:p>
    <w:tbl>
      <w:tblPr>
        <w:tblW w:w="10462" w:type="dxa"/>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1240"/>
        <w:gridCol w:w="970"/>
        <w:gridCol w:w="1790"/>
        <w:gridCol w:w="1470"/>
        <w:gridCol w:w="830"/>
        <w:gridCol w:w="820"/>
        <w:gridCol w:w="826"/>
        <w:gridCol w:w="1434"/>
      </w:tblGrid>
      <w:tr>
        <w:trPr>
          <w:cantSplit/>
          <w:trHeight w:val="544"/>
        </w:trPr>
        <w:tc>
          <w:tcPr>
            <w:tcW w:w="1082" w:type="dxa"/>
            <w:vAlign w:val="center"/>
            <w:vMerge w:val="restart"/>
            <w:textDirection w:val="lrTb"/>
            <w:noWrap w:val="false"/>
          </w:tcPr>
          <w:p>
            <w:pPr>
              <w:pStyle w:val="875"/>
              <w:ind w:right="180" w:firstLine="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5"/>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5"/>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5"/>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1082" w:type="dxa"/>
            <w:vAlign w:val="center"/>
            <w:vMerge w:val="continue"/>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1082"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82"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82"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82" w:type="dxa"/>
            <w:vAlign w:val="center"/>
            <w:textDirection w:val="lrTb"/>
            <w:noWrap w:val="false"/>
          </w:tcPr>
          <w:p>
            <w:pPr>
              <w:pStyle w:val="875"/>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5"/>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75"/>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40"/>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highlight w:val="none"/>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5"/>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70"/>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highlight w:val="none"/>
              </w:rPr>
            </w:pPr>
            <w:r>
              <w:rPr>
                <w:highlight w:val="none"/>
              </w:rPr>
            </w:r>
            <w:r/>
          </w:p>
          <w:p>
            <w:pPr>
              <w:pStyle w:val="887"/>
              <w:rPr>
                <w:rFonts w:hint="eastAsia"/>
                <w:highlight w:val="none"/>
              </w:rPr>
            </w:pPr>
            <w:r>
              <w:rPr>
                <w:rFonts w:hint="eastAsia"/>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0"/>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40"/>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40"/>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40"/>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5"/>
              <w:jc w:val="center"/>
              <w:rPr>
                <w:rFonts w:hint="eastAsia" w:ascii="宋体" w:hAnsi="宋体"/>
                <w:color w:val="000000"/>
                <w:sz w:val="24"/>
                <w:szCs w:val="24"/>
                <w:highlight w:val="none"/>
              </w:rPr>
            </w:pPr>
            <w:r/>
            <w:bookmarkStart w:id="72" w:name="_Hlt26609391"/>
            <w:r/>
            <w:bookmarkEnd w:id="72"/>
            <w:r/>
            <w:bookmarkStart w:id="73" w:name="_Hlt26580838"/>
            <w:r/>
            <w:bookmarkEnd w:id="73"/>
            <w:r/>
            <w:bookmarkStart w:id="74" w:name="_Hlt24879081"/>
            <w:r/>
            <w:bookmarkEnd w:id="74"/>
            <w:r/>
            <w:bookmarkStart w:id="75" w:name="_Hlt26955064"/>
            <w:r/>
            <w:bookmarkEnd w:id="75"/>
            <w:r/>
            <w:bookmarkStart w:id="76" w:name="_Hlt26671343"/>
            <w:r/>
            <w:bookmarkEnd w:id="76"/>
            <w:r/>
            <w:bookmarkStart w:id="77" w:name="_Hlt26782999"/>
            <w:r/>
            <w:bookmarkEnd w:id="77"/>
            <w:r/>
            <w:bookmarkStart w:id="78" w:name="_Hlt26671372"/>
            <w:r/>
            <w:bookmarkEnd w:id="78"/>
            <w:r/>
            <w:bookmarkStart w:id="79" w:name="_Hlt26955056"/>
            <w:r/>
            <w:bookmarkEnd w:id="7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highlight w:val="none"/>
              </w:rPr>
            </w:pPr>
            <w:r>
              <w:rPr>
                <w:highlight w:val="none"/>
              </w:rPr>
            </w:r>
            <w:r/>
          </w:p>
          <w:p>
            <w:pPr>
              <w:pStyle w:val="887"/>
              <w:rPr>
                <w:rFonts w:hint="eastAsia"/>
                <w:highlight w:val="none"/>
              </w:rPr>
            </w:pPr>
            <w:r>
              <w:rPr>
                <w:rFonts w:hint="eastAsia"/>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5"/>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5"/>
        <w:rPr>
          <w:color w:val="000000"/>
          <w:highlight w:val="none"/>
        </w:rPr>
      </w:pPr>
      <w:r>
        <w:rPr>
          <w:color w:val="000000"/>
          <w:highlight w:val="none"/>
        </w:rPr>
      </w:r>
      <w:r/>
    </w:p>
    <w:p>
      <w:pPr>
        <w:pStyle w:val="87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87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5"/>
        <w:rPr>
          <w:rFonts w:hint="eastAsia"/>
          <w:color w:val="000000"/>
          <w:highlight w:val="none"/>
        </w:rPr>
      </w:pPr>
      <w:r>
        <w:rPr>
          <w:rFonts w:hint="eastAsia"/>
          <w:color w:val="000000"/>
          <w:highlight w:val="none"/>
        </w:rPr>
      </w:r>
      <w:r/>
    </w:p>
    <w:p>
      <w:pPr>
        <w:pStyle w:val="87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5"/>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5"/>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5"/>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keepLines w:val="0"/>
        <w:keepNext w:val="0"/>
        <w:pageBreakBefore w:val="0"/>
        <w:spacing w:line="360" w:lineRule="auto"/>
        <w:rPr>
          <w:rFonts w:hint="eastAsia"/>
          <w:highlight w:val="none"/>
          <w:lang w:eastAsia="zh-CN"/>
        </w:rPr>
      </w:pPr>
      <w:r>
        <w:rPr>
          <w:rFonts w:hint="eastAsia"/>
          <w:highlight w:val="none"/>
          <w:lang w:eastAsia="zh-CN"/>
        </w:rPr>
      </w:r>
      <w:r/>
    </w:p>
    <w:p>
      <w:pPr>
        <w:pStyle w:val="87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5"/>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5"/>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5"/>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5"/>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5"/>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5"/>
        <w:ind w:firstLine="480"/>
        <w:spacing w:line="480" w:lineRule="exact"/>
        <w:rPr>
          <w:rFonts w:ascii="宋体" w:hAnsi="宋体"/>
          <w:sz w:val="24"/>
          <w:highlight w:val="none"/>
        </w:rPr>
      </w:pPr>
      <w:r>
        <w:rPr>
          <w:rFonts w:ascii="宋体" w:hAnsi="宋体"/>
          <w:sz w:val="24"/>
          <w:highlight w:val="none"/>
        </w:rPr>
      </w:r>
      <w:r/>
    </w:p>
    <w:p>
      <w:pPr>
        <w:pStyle w:val="87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5"/>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5"/>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5"/>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5"/>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5"/>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5"/>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5"/>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87"/>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5"/>
        <w:rPr>
          <w:rFonts w:hint="eastAsia"/>
          <w:highlight w:val="none"/>
        </w:rPr>
      </w:pPr>
      <w:r>
        <w:rPr>
          <w:rFonts w:hint="eastAsia"/>
          <w:highlight w:val="none"/>
        </w:rPr>
      </w:r>
      <w:r/>
    </w:p>
    <w:p>
      <w:pPr>
        <w:pStyle w:val="955"/>
        <w:rPr>
          <w:rFonts w:hint="eastAsia"/>
          <w:highlight w:val="none"/>
        </w:rPr>
      </w:pPr>
      <w:r>
        <w:rPr>
          <w:rFonts w:hint="eastAsia"/>
          <w:highlight w:val="none"/>
        </w:rPr>
      </w:r>
      <w:r/>
    </w:p>
    <w:p>
      <w:pPr>
        <w:pStyle w:val="875"/>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50"/>
          <w:rFonts w:hint="eastAsia"/>
          <w:i w:val="0"/>
          <w:highlight w:val="none"/>
          <w:u w:val="single"/>
          <w:shd w:val="clear" w:color="auto" w:fill="ffffff"/>
        </w:rPr>
        <w:t xml:space="preserve">（产品名称1）</w:t>
      </w:r>
      <w:r>
        <w:rPr>
          <w:rStyle w:val="950"/>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50"/>
          <w:rFonts w:hint="eastAsia"/>
          <w:i w:val="0"/>
          <w:highlight w:val="none"/>
          <w:u w:val="single"/>
          <w:shd w:val="clear" w:color="auto" w:fill="ffffff"/>
        </w:rPr>
        <w:t xml:space="preserve">（厂名）</w:t>
      </w:r>
      <w:r>
        <w:rPr>
          <w:rStyle w:val="950"/>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Style w:val="950"/>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Style w:val="950"/>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Style w:val="950"/>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40"/>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50"/>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50"/>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40"/>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40"/>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40"/>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40"/>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4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4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40"/>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4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4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5"/>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5"/>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5"/>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bl>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5"/>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5"/>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5"/>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5"/>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5"/>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rPr>
          <w:rFonts w:hint="eastAsia" w:ascii="宋体" w:hAnsi="宋体"/>
          <w:sz w:val="24"/>
          <w:szCs w:val="24"/>
          <w:highlight w:val="none"/>
        </w:rPr>
      </w:pPr>
      <w:r>
        <w:rPr>
          <w:rFonts w:hint="eastAsia" w:ascii="宋体" w:hAnsi="宋体"/>
          <w:sz w:val="24"/>
          <w:szCs w:val="24"/>
          <w:highlight w:val="none"/>
        </w:rPr>
      </w:r>
      <w:r/>
    </w:p>
    <w:p>
      <w:pPr>
        <w:pStyle w:val="875"/>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5"/>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5"/>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bCs/>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bCs/>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FangSong">
    <w:panose1 w:val="02010609060101010101"/>
  </w:font>
  <w:font w:name="SimHei">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３５</w:t>
    </w:r>
    <w:r>
      <w:rPr>
        <w:rFonts w:ascii="宋体" w:hAnsi="宋体"/>
      </w:rPr>
      <w:fldChar w:fldCharType="end"/>
    </w:r>
    <w:r>
      <w:rPr>
        <w:rStyle w:val="948"/>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upperLetter"/>
      <w:pStyle w:val="96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4">
    <w:multiLevelType w:val="hybridMultilevel"/>
    <w:lvl w:ilvl="0">
      <w:start w:val="3"/>
      <w:numFmt w:val="decimal"/>
      <w:isLgl w:val="false"/>
      <w:suff w:val="space"/>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rFonts w:ascii="Times New Roman" w:hAnsi="Times New Roman"/>
      <w:sz w:val="21"/>
      <w:szCs w:val="21"/>
      <w:lang w:val="en-US" w:eastAsia="zh-CN" w:bidi="ar-SA"/>
    </w:rPr>
  </w:style>
  <w:style w:type="paragraph" w:styleId="876">
    <w:name w:val="标题 1"/>
    <w:basedOn w:val="875"/>
    <w:next w:val="875"/>
    <w:link w:val="892"/>
    <w:qFormat/>
    <w:pPr>
      <w:jc w:val="center"/>
      <w:keepNext/>
      <w:outlineLvl w:val="0"/>
    </w:pPr>
    <w:rPr>
      <w:rFonts w:ascii="楷体_GB2312" w:eastAsia="楷体_GB2312"/>
      <w:sz w:val="28"/>
      <w:szCs w:val="28"/>
    </w:rPr>
  </w:style>
  <w:style w:type="paragraph" w:styleId="877">
    <w:name w:val="标题 2"/>
    <w:basedOn w:val="875"/>
    <w:next w:val="894"/>
    <w:link w:val="893"/>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4"/>
    <w:link w:val="896"/>
    <w:qFormat/>
    <w:pPr>
      <w:keepLines/>
      <w:keepNext/>
      <w:spacing w:before="260" w:after="260" w:line="416" w:lineRule="auto"/>
      <w:outlineLvl w:val="2"/>
    </w:pPr>
    <w:rPr>
      <w:b/>
      <w:bCs/>
      <w:sz w:val="32"/>
      <w:szCs w:val="32"/>
    </w:rPr>
  </w:style>
  <w:style w:type="paragraph" w:styleId="879">
    <w:name w:val="标题 4"/>
    <w:basedOn w:val="875"/>
    <w:next w:val="894"/>
    <w:link w:val="897"/>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4"/>
    <w:link w:val="898"/>
    <w:qFormat/>
    <w:pPr>
      <w:keepNext/>
      <w:outlineLvl w:val="4"/>
    </w:pPr>
    <w:rPr>
      <w:rFonts w:ascii="宋体"/>
      <w:color w:val="000000"/>
      <w:sz w:val="28"/>
      <w:szCs w:val="28"/>
    </w:rPr>
  </w:style>
  <w:style w:type="paragraph" w:styleId="881">
    <w:name w:val="标题 6"/>
    <w:basedOn w:val="875"/>
    <w:next w:val="875"/>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900"/>
    <w:qFormat/>
    <w:pPr>
      <w:numPr>
        <w:ilvl w:val="6"/>
        <w:numId w:val="1"/>
      </w:numPr>
      <w:keepLines/>
      <w:keepNext/>
      <w:spacing w:before="240" w:after="64" w:line="320" w:lineRule="auto"/>
      <w:outlineLvl w:val="6"/>
    </w:pPr>
    <w:rPr>
      <w:b/>
      <w:bCs/>
      <w:sz w:val="24"/>
      <w:szCs w:val="24"/>
    </w:rPr>
  </w:style>
  <w:style w:type="paragraph" w:styleId="883">
    <w:name w:val="标题 8"/>
    <w:basedOn w:val="875"/>
    <w:next w:val="875"/>
    <w:link w:val="901"/>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902"/>
    <w:qFormat/>
    <w:pPr>
      <w:numPr>
        <w:ilvl w:val="8"/>
        <w:numId w:val="1"/>
      </w:numPr>
      <w:keepLines/>
      <w:keepNext/>
      <w:spacing w:before="240" w:after="64" w:line="320" w:lineRule="auto"/>
      <w:outlineLvl w:val="8"/>
    </w:pPr>
    <w:rPr>
      <w:rFonts w:ascii="Arial" w:hAnsi="Arial" w:eastAsia="黑体"/>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正文首行缩进 2"/>
    <w:basedOn w:val="888"/>
    <w:next w:val="875"/>
    <w:link w:val="891"/>
    <w:pPr>
      <w:ind w:firstLine="420"/>
      <w:spacing w:line="360" w:lineRule="auto"/>
    </w:pPr>
    <w:rPr>
      <w:rFonts w:ascii="宋体" w:hAnsi="宋体" w:eastAsia="宋体"/>
      <w:sz w:val="21"/>
      <w:szCs w:val="20"/>
    </w:rPr>
  </w:style>
  <w:style w:type="paragraph" w:styleId="888">
    <w:name w:val="正文文本缩进"/>
    <w:basedOn w:val="875"/>
    <w:next w:val="890"/>
    <w:link w:val="889"/>
    <w:pPr>
      <w:ind w:firstLine="645"/>
    </w:pPr>
    <w:rPr>
      <w:rFonts w:ascii="楷体_GB2312" w:eastAsia="楷体_GB2312"/>
      <w:sz w:val="32"/>
      <w:szCs w:val="32"/>
    </w:rPr>
  </w:style>
  <w:style w:type="character" w:styleId="889">
    <w:name w:val="正文文本缩进 Char"/>
    <w:next w:val="889"/>
    <w:link w:val="888"/>
    <w:rPr>
      <w:rFonts w:ascii="楷体_GB2312" w:hAnsi="Times New Roman" w:eastAsia="楷体_GB2312" w:cs="Times New Roman"/>
      <w:sz w:val="32"/>
      <w:szCs w:val="32"/>
    </w:rPr>
  </w:style>
  <w:style w:type="paragraph" w:styleId="890">
    <w:name w:val="寄信人地址"/>
    <w:basedOn w:val="875"/>
    <w:next w:val="890"/>
    <w:link w:val="875"/>
    <w:qFormat/>
    <w:rPr>
      <w:rFonts w:ascii="Arial" w:hAnsi="Arial" w:eastAsia="宋体" w:cs="宋体"/>
    </w:rPr>
  </w:style>
  <w:style w:type="character" w:styleId="891">
    <w:name w:val="正文首行缩进 2 Char"/>
    <w:next w:val="891"/>
    <w:link w:val="887"/>
    <w:rPr>
      <w:rFonts w:ascii="宋体" w:hAnsi="宋体" w:eastAsia="宋体" w:cs="Times New Roman"/>
      <w:sz w:val="32"/>
      <w:szCs w:val="20"/>
    </w:rPr>
  </w:style>
  <w:style w:type="character" w:styleId="892">
    <w:name w:val="标题 1 Char"/>
    <w:next w:val="892"/>
    <w:link w:val="876"/>
    <w:rPr>
      <w:rFonts w:ascii="楷体_GB2312" w:hAnsi="Times New Roman" w:eastAsia="楷体_GB2312" w:cs="Times New Roman"/>
      <w:sz w:val="28"/>
      <w:szCs w:val="28"/>
    </w:rPr>
  </w:style>
  <w:style w:type="character" w:styleId="893">
    <w:name w:val="标题 2 Char"/>
    <w:next w:val="893"/>
    <w:link w:val="877"/>
    <w:rPr>
      <w:rFonts w:ascii="Arial" w:hAnsi="Arial" w:eastAsia="幼圆" w:cs="Arial"/>
      <w:b/>
      <w:bCs/>
      <w:sz w:val="44"/>
      <w:szCs w:val="44"/>
    </w:rPr>
  </w:style>
  <w:style w:type="paragraph" w:styleId="894">
    <w:name w:val="正文缩进"/>
    <w:basedOn w:val="875"/>
    <w:next w:val="894"/>
    <w:link w:val="895"/>
    <w:pPr>
      <w:ind w:firstLine="420"/>
    </w:pPr>
  </w:style>
  <w:style w:type="character" w:styleId="895">
    <w:name w:val="正文缩进 Char"/>
    <w:next w:val="895"/>
    <w:link w:val="894"/>
    <w:rPr>
      <w:rFonts w:ascii="Times New Roman" w:hAnsi="Times New Roman" w:eastAsia="宋体" w:cs="Times New Roman"/>
      <w:szCs w:val="21"/>
    </w:rPr>
  </w:style>
  <w:style w:type="character" w:styleId="896">
    <w:name w:val="标题 3 Char"/>
    <w:next w:val="896"/>
    <w:link w:val="878"/>
    <w:rPr>
      <w:rFonts w:ascii="Times New Roman" w:hAnsi="Times New Roman" w:eastAsia="宋体" w:cs="Times New Roman"/>
      <w:b/>
      <w:bCs/>
      <w:sz w:val="32"/>
      <w:szCs w:val="32"/>
    </w:rPr>
  </w:style>
  <w:style w:type="character" w:styleId="897">
    <w:name w:val="标题 4 Char"/>
    <w:next w:val="897"/>
    <w:link w:val="879"/>
    <w:rPr>
      <w:rFonts w:ascii="Arial" w:hAnsi="Arial" w:eastAsia="黑体" w:cs="Arial"/>
      <w:b/>
      <w:bCs/>
      <w:sz w:val="28"/>
      <w:szCs w:val="28"/>
    </w:rPr>
  </w:style>
  <w:style w:type="character" w:styleId="898">
    <w:name w:val="标题 5 Char"/>
    <w:next w:val="898"/>
    <w:link w:val="880"/>
    <w:rPr>
      <w:rFonts w:ascii="宋体" w:hAnsi="Times New Roman" w:eastAsia="宋体" w:cs="Times New Roman"/>
      <w:color w:val="000000"/>
      <w:sz w:val="28"/>
      <w:szCs w:val="28"/>
    </w:rPr>
  </w:style>
  <w:style w:type="character" w:styleId="899">
    <w:name w:val="标题 6 Char"/>
    <w:next w:val="899"/>
    <w:link w:val="881"/>
    <w:rPr>
      <w:rFonts w:ascii="Arial" w:hAnsi="Arial" w:eastAsia="黑体" w:cs="Times New Roman"/>
      <w:b/>
      <w:bCs/>
      <w:sz w:val="24"/>
      <w:szCs w:val="24"/>
    </w:rPr>
  </w:style>
  <w:style w:type="character" w:styleId="900">
    <w:name w:val="标题 7 Char"/>
    <w:next w:val="900"/>
    <w:link w:val="882"/>
    <w:rPr>
      <w:rFonts w:ascii="Times New Roman" w:hAnsi="Times New Roman" w:eastAsia="宋体" w:cs="Times New Roman"/>
      <w:b/>
      <w:bCs/>
      <w:sz w:val="24"/>
      <w:szCs w:val="24"/>
    </w:rPr>
  </w:style>
  <w:style w:type="character" w:styleId="901">
    <w:name w:val="标题 8 Char"/>
    <w:next w:val="901"/>
    <w:link w:val="883"/>
    <w:rPr>
      <w:rFonts w:ascii="Arial" w:hAnsi="Arial" w:eastAsia="黑体" w:cs="Times New Roman"/>
      <w:sz w:val="24"/>
      <w:szCs w:val="24"/>
    </w:rPr>
  </w:style>
  <w:style w:type="character" w:styleId="902">
    <w:name w:val="标题 9 Char"/>
    <w:next w:val="902"/>
    <w:link w:val="884"/>
    <w:rPr>
      <w:rFonts w:ascii="Arial" w:hAnsi="Arial" w:eastAsia="黑体" w:cs="Times New Roman"/>
      <w:szCs w:val="21"/>
    </w:rPr>
  </w:style>
  <w:style w:type="paragraph" w:styleId="903">
    <w:name w:val="列表 3"/>
    <w:basedOn w:val="875"/>
    <w:next w:val="903"/>
    <w:link w:val="875"/>
    <w:pPr>
      <w:ind w:left="100" w:hanging="200"/>
    </w:pPr>
  </w:style>
  <w:style w:type="paragraph" w:styleId="904">
    <w:name w:val="目录 7"/>
    <w:basedOn w:val="875"/>
    <w:next w:val="875"/>
    <w:link w:val="875"/>
    <w:semiHidden/>
    <w:pPr>
      <w:ind w:left="1260"/>
      <w:jc w:val="left"/>
    </w:pPr>
  </w:style>
  <w:style w:type="paragraph" w:styleId="905">
    <w:name w:val="文档结构图"/>
    <w:basedOn w:val="875"/>
    <w:next w:val="905"/>
    <w:link w:val="906"/>
    <w:semiHidden/>
    <w:pPr>
      <w:shd w:val="clear" w:color="auto" w:fill="000080"/>
    </w:p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5"/>
    <w:next w:val="907"/>
    <w:link w:val="908"/>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5"/>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5"/>
    <w:next w:val="911"/>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列表 2"/>
    <w:basedOn w:val="875"/>
    <w:next w:val="913"/>
    <w:link w:val="875"/>
    <w:pPr>
      <w:ind w:left="100" w:hanging="200"/>
    </w:pPr>
  </w:style>
  <w:style w:type="paragraph" w:styleId="914">
    <w:name w:val="目录 5"/>
    <w:basedOn w:val="875"/>
    <w:next w:val="875"/>
    <w:link w:val="875"/>
    <w:semiHidden/>
    <w:pPr>
      <w:ind w:left="840"/>
      <w:jc w:val="left"/>
    </w:pPr>
  </w:style>
  <w:style w:type="paragraph" w:styleId="915">
    <w:name w:val="目录 3"/>
    <w:basedOn w:val="875"/>
    <w:next w:val="875"/>
    <w:link w:val="875"/>
    <w:semiHidden/>
    <w:pPr>
      <w:ind w:left="420"/>
      <w:jc w:val="left"/>
    </w:pPr>
    <w:rPr>
      <w:i/>
      <w:iCs/>
      <w:szCs w:val="24"/>
    </w:rPr>
  </w:style>
  <w:style w:type="paragraph" w:styleId="916">
    <w:name w:val="纯文本"/>
    <w:basedOn w:val="875"/>
    <w:next w:val="916"/>
    <w:link w:val="917"/>
    <w:rPr>
      <w:rFonts w:ascii="宋体" w:hAnsi="Courier New" w:cs="Courier New"/>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style>
  <w:style w:type="paragraph" w:styleId="919">
    <w:name w:val="日期"/>
    <w:basedOn w:val="875"/>
    <w:next w:val="875"/>
    <w:link w:val="920"/>
    <w:rPr>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5"/>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5"/>
    <w:next w:val="875"/>
    <w:link w:val="875"/>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5"/>
    <w:next w:val="875"/>
    <w:link w:val="875"/>
    <w:semiHidden/>
    <w:pPr>
      <w:ind w:left="630"/>
      <w:jc w:val="left"/>
    </w:pPr>
  </w:style>
  <w:style w:type="paragraph" w:styleId="931">
    <w:name w:val="列表"/>
    <w:basedOn w:val="875"/>
    <w:next w:val="931"/>
    <w:link w:val="875"/>
    <w:pPr>
      <w:ind w:left="200" w:hanging="200"/>
    </w:pPr>
  </w:style>
  <w:style w:type="paragraph" w:styleId="932">
    <w:name w:val="目录 6"/>
    <w:basedOn w:val="875"/>
    <w:next w:val="875"/>
    <w:link w:val="875"/>
    <w:semiHidden/>
    <w:pPr>
      <w:ind w:left="1050"/>
      <w:jc w:val="left"/>
    </w:pPr>
  </w:style>
  <w:style w:type="paragraph" w:styleId="933">
    <w:name w:val="正文文本缩进 3"/>
    <w:basedOn w:val="875"/>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5"/>
    <w:next w:val="875"/>
    <w:link w:val="875"/>
    <w:semiHidden/>
    <w:pPr>
      <w:ind w:left="840" w:hanging="420"/>
    </w:pPr>
  </w:style>
  <w:style w:type="paragraph" w:styleId="936">
    <w:name w:val="目录 2"/>
    <w:basedOn w:val="875"/>
    <w:next w:val="875"/>
    <w:link w:val="875"/>
    <w:semiHidden/>
    <w:pPr>
      <w:ind w:left="210"/>
      <w:jc w:val="left"/>
    </w:pPr>
    <w:rPr>
      <w:smallCaps/>
      <w:szCs w:val="24"/>
    </w:rPr>
  </w:style>
  <w:style w:type="paragraph" w:styleId="937">
    <w:name w:val="目录 9"/>
    <w:basedOn w:val="875"/>
    <w:next w:val="875"/>
    <w:link w:val="875"/>
    <w:semiHidden/>
    <w:pPr>
      <w:ind w:left="1680"/>
      <w:jc w:val="left"/>
    </w:pPr>
  </w:style>
  <w:style w:type="paragraph" w:styleId="938">
    <w:name w:val="正文文本 2"/>
    <w:basedOn w:val="875"/>
    <w:next w:val="938"/>
    <w:link w:val="939"/>
    <w:pPr>
      <w:jc w:val="center"/>
      <w:widowControl/>
    </w:pPr>
    <w:rPr>
      <w:rFonts w:ascii="楷体_GB2312" w:eastAsia="楷体_GB2312"/>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5"/>
    <w:next w:val="940"/>
    <w:link w:val="875"/>
    <w:uiPriority w:val="99"/>
    <w:pPr>
      <w:jc w:val="left"/>
      <w:spacing w:before="100" w:beforeAutospacing="1" w:after="100" w:afterAutospacing="1"/>
      <w:widowControl/>
    </w:pPr>
    <w:rPr>
      <w:rFonts w:ascii="宋体" w:hAnsi="宋体" w:cs="宋体"/>
      <w:sz w:val="24"/>
      <w:szCs w:val="24"/>
    </w:rPr>
  </w:style>
  <w:style w:type="paragraph" w:styleId="941">
    <w:name w:val="索引 1"/>
    <w:basedOn w:val="875"/>
    <w:next w:val="875"/>
    <w:link w:val="875"/>
    <w:semiHidden/>
    <w:pPr>
      <w:spacing w:line="240" w:lineRule="atLeast"/>
    </w:pPr>
    <w:rPr>
      <w:b/>
      <w:bCs/>
    </w:rPr>
  </w:style>
  <w:style w:type="paragraph" w:styleId="942">
    <w:name w:val="批注主题"/>
    <w:basedOn w:val="907"/>
    <w:next w:val="907"/>
    <w:link w:val="943"/>
    <w:semiHidden/>
    <w:rPr>
      <w:b/>
      <w:bCs/>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5"/>
    <w:next w:val="944"/>
    <w:link w:val="945"/>
    <w:pPr>
      <w:ind w:firstLine="200"/>
      <w:spacing w:line="360" w:lineRule="auto"/>
    </w:pPr>
    <w:rPr>
      <w:rFonts w:ascii="仿宋_GB2312" w:eastAsia="仿宋_GB2312"/>
      <w:sz w:val="30"/>
      <w:szCs w:val="30"/>
    </w:rPr>
  </w:style>
  <w:style w:type="character" w:styleId="945">
    <w:name w:val="正文首行缩进 Char"/>
    <w:next w:val="945"/>
    <w:link w:val="944"/>
    <w:rPr>
      <w:rFonts w:ascii="仿宋_GB2312" w:hAnsi="Times New Roman" w:eastAsia="仿宋_GB2312" w:cs="Times New Roman"/>
      <w:sz w:val="30"/>
      <w:szCs w:val="3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paragraph" w:styleId="953">
    <w:name w:val="正文首行缩进 2111"/>
    <w:basedOn w:val="888"/>
    <w:next w:val="875"/>
    <w:link w:val="875"/>
    <w:qFormat/>
    <w:pPr>
      <w:ind w:firstLine="420"/>
      <w:spacing w:line="360" w:lineRule="auto"/>
    </w:pPr>
    <w:rPr>
      <w:rFonts w:ascii="宋体" w:hAnsi="宋体" w:eastAsia="宋体"/>
      <w:sz w:val="21"/>
      <w:szCs w:val="20"/>
    </w:rPr>
  </w:style>
  <w:style w:type="paragraph" w:styleId="954">
    <w:name w:val="正文1"/>
    <w:basedOn w:val="875"/>
    <w:next w:val="954"/>
    <w:link w:val="875"/>
    <w:qFormat/>
    <w:pPr>
      <w:ind w:left="350" w:firstLine="0"/>
    </w:pPr>
    <w:rPr>
      <w:rFonts w:cs="Times New Roman"/>
      <w:sz w:val="20"/>
      <w:szCs w:val="24"/>
    </w:rPr>
  </w:style>
  <w:style w:type="paragraph" w:styleId="955">
    <w:name w:val="索引 41"/>
    <w:basedOn w:val="875"/>
    <w:next w:val="875"/>
    <w:link w:val="875"/>
    <w:semiHidden/>
    <w:qFormat/>
    <w:pPr>
      <w:ind w:left="1260"/>
    </w:pPr>
    <w:rPr>
      <w:rFonts w:ascii="Calibri" w:hAnsi="Calibri" w:eastAsia="Calibri" w:cs="宋体"/>
      <w:sz w:val="20"/>
      <w:lang w:val="zh-CN"/>
    </w:rPr>
  </w:style>
  <w:style w:type="paragraph" w:styleId="956">
    <w:name w:val="正文首行缩进 21"/>
    <w:basedOn w:val="957"/>
    <w:next w:val="875"/>
    <w:link w:val="875"/>
    <w:qFormat/>
    <w:pPr>
      <w:ind w:firstLine="420"/>
      <w:spacing w:line="360" w:lineRule="auto"/>
    </w:pPr>
    <w:rPr>
      <w:rFonts w:ascii="宋体" w:hAnsi="宋体" w:eastAsia="宋体"/>
      <w:sz w:val="21"/>
      <w:szCs w:val="20"/>
    </w:rPr>
  </w:style>
  <w:style w:type="paragraph" w:styleId="957">
    <w:name w:val="正文文本缩进11"/>
    <w:basedOn w:val="875"/>
    <w:next w:val="958"/>
    <w:link w:val="875"/>
    <w:qFormat/>
    <w:pPr>
      <w:ind w:firstLine="645"/>
    </w:pPr>
    <w:rPr>
      <w:rFonts w:ascii="楷体_GB2312" w:eastAsia="楷体_GB2312"/>
      <w:sz w:val="32"/>
      <w:szCs w:val="32"/>
    </w:rPr>
  </w:style>
  <w:style w:type="paragraph" w:styleId="958">
    <w:name w:val="寄信人地址1"/>
    <w:basedOn w:val="875"/>
    <w:next w:val="958"/>
    <w:link w:val="875"/>
    <w:qFormat/>
    <w:rPr>
      <w:rFonts w:ascii="Arial" w:hAnsi="Arial" w:eastAsia="宋体" w:cs="宋体"/>
    </w:rPr>
  </w:style>
  <w:style w:type="paragraph" w:styleId="959">
    <w:name w:val="标题 41"/>
    <w:basedOn w:val="875"/>
    <w:next w:val="960"/>
    <w:link w:val="875"/>
    <w:qFormat/>
    <w:pPr>
      <w:keepLines/>
      <w:keepNext/>
      <w:spacing w:before="280" w:after="290" w:line="376" w:lineRule="auto"/>
      <w:outlineLvl w:val="3"/>
    </w:pPr>
    <w:rPr>
      <w:rFonts w:ascii="Arial" w:hAnsi="Arial" w:eastAsia="黑体" w:cs="Arial"/>
      <w:b/>
      <w:bCs/>
      <w:sz w:val="28"/>
      <w:szCs w:val="28"/>
    </w:rPr>
  </w:style>
  <w:style w:type="paragraph" w:styleId="960">
    <w:name w:val="正文缩进1"/>
    <w:basedOn w:val="875"/>
    <w:next w:val="960"/>
    <w:link w:val="875"/>
    <w:qFormat/>
    <w:pPr>
      <w:ind w:firstLine="420"/>
    </w:pPr>
  </w:style>
  <w:style w:type="paragraph" w:styleId="961">
    <w:name w:val="正文文本12"/>
    <w:basedOn w:val="875"/>
    <w:next w:val="961"/>
    <w:link w:val="875"/>
    <w:uiPriority w:val="1"/>
    <w:qFormat/>
    <w:pPr>
      <w:ind w:left="120"/>
    </w:pPr>
    <w:rPr>
      <w:rFonts w:ascii="宋体" w:hAnsi="宋体" w:eastAsia="宋体" w:cs="宋体"/>
      <w:sz w:val="21"/>
      <w:szCs w:val="21"/>
      <w:lang w:val="zh-CN" w:eastAsia="zh-CN" w:bidi="zh-CN"/>
    </w:rPr>
  </w:style>
  <w:style w:type="character" w:styleId="962">
    <w:name w:val="font5 Char"/>
    <w:next w:val="962"/>
    <w:link w:val="875"/>
    <w:rPr>
      <w:rFonts w:ascii="宋体" w:hAnsi="宋体" w:eastAsia="宋体"/>
      <w:sz w:val="28"/>
      <w:szCs w:val="28"/>
      <w:lang w:val="en-US" w:eastAsia="zh-CN" w:bidi="ar-SA"/>
    </w:rPr>
  </w:style>
  <w:style w:type="character" w:styleId="963">
    <w:name w:val="二级目录 Char"/>
    <w:next w:val="963"/>
    <w:link w:val="964"/>
    <w:rPr>
      <w:b/>
      <w:sz w:val="30"/>
      <w:szCs w:val="28"/>
    </w:rPr>
  </w:style>
  <w:style w:type="paragraph" w:styleId="964">
    <w:name w:val="二级目录"/>
    <w:next w:val="875"/>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75"/>
    <w:next w:val="966"/>
    <w:link w:val="965"/>
    <w:qFormat/>
    <w:pPr>
      <w:contextualSpacing/>
      <w:ind w:left="720"/>
      <w:jc w:val="left"/>
      <w:widowControl/>
    </w:pPr>
    <w:rPr>
      <w:rFonts w:ascii="Calibri" w:hAnsi="Calibri" w:eastAsia="宋体" w:cs="Times New Roman"/>
      <w:sz w:val="24"/>
      <w:szCs w:val="24"/>
      <w:lang w:eastAsia="en-US" w:bidi="en-US"/>
    </w:rPr>
  </w:style>
  <w:style w:type="paragraph" w:styleId="967">
    <w:name w:val="Body Text(ch)"/>
    <w:basedOn w:val="875"/>
    <w:next w:val="911"/>
    <w:link w:val="875"/>
    <w:pPr>
      <w:spacing w:after="120"/>
    </w:pPr>
    <w:rPr>
      <w:rFonts w:ascii="宋体" w:hAnsi="Arial"/>
      <w:bCs/>
      <w:iCs/>
      <w:szCs w:val="24"/>
    </w:rPr>
  </w:style>
  <w:style w:type="paragraph" w:styleId="968">
    <w:name w:val="xl27"/>
    <w:basedOn w:val="875"/>
    <w:next w:val="96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75"/>
    <w:next w:val="96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75"/>
    <w:next w:val="970"/>
    <w:link w:val="875"/>
    <w:pPr>
      <w:ind w:firstLine="200"/>
      <w:tabs>
        <w:tab w:val="left" w:pos="360" w:leader="none"/>
      </w:tabs>
    </w:pPr>
    <w:rPr>
      <w:sz w:val="28"/>
      <w:szCs w:val="30"/>
    </w:rPr>
  </w:style>
  <w:style w:type="paragraph" w:styleId="971">
    <w:name w:val=" Char"/>
    <w:basedOn w:val="905"/>
    <w:next w:val="971"/>
    <w:link w:val="875"/>
    <w:rPr>
      <w:rFonts w:ascii="Tahoma" w:hAnsi="Tahoma"/>
      <w:sz w:val="24"/>
      <w:szCs w:val="24"/>
    </w:rPr>
  </w:style>
  <w:style w:type="paragraph" w:styleId="972">
    <w:name w:val="普通正文"/>
    <w:basedOn w:val="875"/>
    <w:next w:val="972"/>
    <w:link w:val="875"/>
    <w:pPr>
      <w:ind w:firstLine="480"/>
      <w:jc w:val="left"/>
      <w:spacing w:before="120" w:after="120" w:line="360" w:lineRule="auto"/>
    </w:pPr>
    <w:rPr>
      <w:rFonts w:ascii="Arial" w:hAnsi="Arial"/>
      <w:sz w:val="24"/>
      <w:szCs w:val="24"/>
    </w:rPr>
  </w:style>
  <w:style w:type="paragraph" w:styleId="973">
    <w:name w:val="table_lines"/>
    <w:basedOn w:val="875"/>
    <w:next w:val="973"/>
    <w:link w:val="875"/>
    <w:pPr>
      <w:jc w:val="left"/>
      <w:widowControl/>
    </w:pPr>
    <w:rPr>
      <w:sz w:val="20"/>
      <w:szCs w:val="20"/>
      <w:lang w:val="de-DE" w:eastAsia="de-DE"/>
    </w:rPr>
  </w:style>
  <w:style w:type="paragraph" w:styleId="974">
    <w:name w:val="附录1"/>
    <w:next w:val="97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75"/>
    <w:next w:val="975"/>
    <w:link w:val="875"/>
    <w:pPr>
      <w:jc w:val="left"/>
      <w:spacing w:before="100" w:beforeAutospacing="1" w:after="100" w:afterAutospacing="1"/>
      <w:widowControl/>
    </w:pPr>
    <w:rPr>
      <w:rFonts w:hint="eastAsia" w:ascii="宋体" w:hAnsi="宋体"/>
      <w:sz w:val="18"/>
      <w:szCs w:val="18"/>
    </w:rPr>
  </w:style>
  <w:style w:type="paragraph" w:styleId="976">
    <w:name w:val=" Char Char Char Char"/>
    <w:basedOn w:val="905"/>
    <w:next w:val="976"/>
    <w:link w:val="875"/>
    <w:pPr>
      <w:spacing w:line="360" w:lineRule="auto"/>
    </w:pPr>
    <w:rPr>
      <w:rFonts w:ascii="Tahoma" w:hAnsi="Tahoma"/>
      <w:sz w:val="24"/>
      <w:szCs w:val="24"/>
    </w:rPr>
  </w:style>
  <w:style w:type="paragraph" w:styleId="977">
    <w:name w:val="列出段落"/>
    <w:basedOn w:val="875"/>
    <w:next w:val="977"/>
    <w:link w:val="875"/>
    <w:qFormat/>
    <w:pPr>
      <w:contextualSpacing/>
      <w:ind w:left="720"/>
      <w:jc w:val="left"/>
      <w:widowControl/>
    </w:pPr>
    <w:rPr>
      <w:rFonts w:ascii="Calibri" w:hAnsi="Calibri"/>
      <w:sz w:val="24"/>
      <w:szCs w:val="24"/>
      <w:lang w:eastAsia="en-US" w:bidi="en-US"/>
    </w:rPr>
  </w:style>
  <w:style w:type="paragraph" w:styleId="978">
    <w:name w:val="4"/>
    <w:basedOn w:val="875"/>
    <w:next w:val="933"/>
    <w:link w:val="875"/>
    <w:pPr>
      <w:ind w:firstLine="420"/>
      <w:spacing w:line="360" w:lineRule="auto"/>
    </w:pPr>
    <w:rPr>
      <w:color w:val="ff0000"/>
      <w:sz w:val="24"/>
      <w:szCs w:val="24"/>
    </w:rPr>
  </w:style>
  <w:style w:type="paragraph" w:styleId="979">
    <w:name w:val="普通 (Web)"/>
    <w:basedOn w:val="875"/>
    <w:next w:val="979"/>
    <w:link w:val="875"/>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75"/>
    <w:next w:val="980"/>
    <w:link w:val="875"/>
    <w:pPr>
      <w:spacing w:line="360" w:lineRule="auto"/>
    </w:pPr>
    <w:rPr>
      <w:sz w:val="24"/>
      <w:szCs w:val="20"/>
    </w:rPr>
  </w:style>
  <w:style w:type="paragraph" w:styleId="981">
    <w:name w:val="样式1"/>
    <w:basedOn w:val="875"/>
    <w:next w:val="981"/>
    <w:link w:val="875"/>
    <w:pPr>
      <w:numPr>
        <w:ilvl w:val="0"/>
        <w:numId w:val="3"/>
      </w:numPr>
      <w:tabs>
        <w:tab w:val="left" w:pos="709" w:leader="none"/>
      </w:tabs>
    </w:pPr>
    <w:rPr>
      <w:rFonts w:ascii="宋体" w:hAnsi="宋体"/>
    </w:rPr>
  </w:style>
  <w:style w:type="paragraph" w:styleId="982">
    <w:name w:val="font6"/>
    <w:basedOn w:val="875"/>
    <w:next w:val="982"/>
    <w:link w:val="875"/>
    <w:pPr>
      <w:jc w:val="left"/>
      <w:spacing w:before="100" w:beforeAutospacing="1" w:after="100" w:afterAutospacing="1"/>
      <w:widowControl/>
    </w:pPr>
    <w:rPr>
      <w:rFonts w:hint="eastAsia" w:ascii="宋体" w:hAnsi="宋体"/>
      <w:sz w:val="28"/>
      <w:szCs w:val="28"/>
      <w:u w:val="single"/>
    </w:rPr>
  </w:style>
  <w:style w:type="paragraph" w:styleId="983">
    <w:name w:val="xl25"/>
    <w:basedOn w:val="875"/>
    <w:next w:val="983"/>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75"/>
    <w:next w:val="875"/>
    <w:link w:val="87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75"/>
    <w:next w:val="875"/>
    <w:link w:val="875"/>
    <w:pPr>
      <w:ind w:firstLine="624"/>
      <w:spacing w:line="590" w:lineRule="atLeast"/>
    </w:pPr>
    <w:rPr>
      <w:rFonts w:ascii="方正黑体_GBK" w:eastAsia="方正黑体_GBK"/>
      <w:sz w:val="32"/>
      <w:szCs w:val="32"/>
    </w:rPr>
  </w:style>
  <w:style w:type="paragraph" w:styleId="986">
    <w:name w:val="xl24"/>
    <w:basedOn w:val="875"/>
    <w:next w:val="98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75"/>
    <w:next w:val="987"/>
    <w:link w:val="87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75"/>
    <w:next w:val="988"/>
    <w:link w:val="875"/>
    <w:pPr>
      <w:jc w:val="left"/>
      <w:spacing w:after="160" w:line="240" w:lineRule="exact"/>
      <w:widowControl/>
    </w:pPr>
    <w:rPr>
      <w:rFonts w:ascii="Verdana" w:hAnsi="Verdana"/>
      <w:sz w:val="20"/>
      <w:szCs w:val="20"/>
      <w:lang w:eastAsia="en-US"/>
    </w:rPr>
  </w:style>
  <w:style w:type="paragraph" w:styleId="989">
    <w:name w:val="xl28"/>
    <w:basedOn w:val="875"/>
    <w:next w:val="989"/>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75"/>
    <w:next w:val="990"/>
    <w:link w:val="875"/>
    <w:pPr>
      <w:jc w:val="left"/>
      <w:spacing w:after="160" w:line="240" w:lineRule="exact"/>
      <w:widowControl/>
    </w:pPr>
    <w:rPr>
      <w:rFonts w:ascii="Verdana" w:hAnsi="Verdana"/>
      <w:sz w:val="20"/>
      <w:szCs w:val="20"/>
      <w:lang w:eastAsia="en-US"/>
    </w:rPr>
  </w:style>
  <w:style w:type="paragraph" w:styleId="991">
    <w:name w:val="xl30"/>
    <w:basedOn w:val="875"/>
    <w:next w:val="991"/>
    <w:link w:val="875"/>
    <w:pPr>
      <w:jc w:val="center"/>
      <w:spacing w:before="100" w:beforeAutospacing="1" w:after="100" w:afterAutospacing="1"/>
      <w:widowControl/>
    </w:pPr>
    <w:rPr>
      <w:rFonts w:ascii="宋体" w:hAnsi="宋体"/>
      <w:b/>
      <w:bCs/>
      <w:sz w:val="36"/>
      <w:szCs w:val="36"/>
    </w:rPr>
  </w:style>
  <w:style w:type="paragraph" w:styleId="992">
    <w:name w:val="Char Char Char Char"/>
    <w:basedOn w:val="905"/>
    <w:next w:val="992"/>
    <w:link w:val="875"/>
    <w:pPr>
      <w:spacing w:line="360" w:lineRule="auto"/>
    </w:pPr>
    <w:rPr>
      <w:rFonts w:ascii="Tahoma" w:hAnsi="Tahoma"/>
      <w:sz w:val="24"/>
      <w:szCs w:val="24"/>
    </w:rPr>
  </w:style>
  <w:style w:type="paragraph" w:styleId="993">
    <w:name w:val="table_1stline"/>
    <w:basedOn w:val="875"/>
    <w:next w:val="993"/>
    <w:link w:val="875"/>
    <w:pPr>
      <w:jc w:val="left"/>
      <w:spacing w:before="120"/>
      <w:widowControl/>
    </w:pPr>
    <w:rPr>
      <w:bCs/>
      <w:sz w:val="20"/>
      <w:szCs w:val="20"/>
      <w:lang w:val="de-DE" w:eastAsia="de-DE"/>
    </w:rPr>
  </w:style>
  <w:style w:type="paragraph" w:styleId="994">
    <w:name w:val="font5"/>
    <w:basedOn w:val="875"/>
    <w:next w:val="994"/>
    <w:link w:val="875"/>
    <w:pPr>
      <w:jc w:val="left"/>
      <w:spacing w:before="100" w:beforeAutospacing="1" w:after="100" w:afterAutospacing="1"/>
      <w:widowControl/>
    </w:pPr>
    <w:rPr>
      <w:rFonts w:hint="eastAsia" w:ascii="宋体" w:hAnsi="宋体"/>
      <w:sz w:val="28"/>
      <w:szCs w:val="28"/>
    </w:rPr>
  </w:style>
  <w:style w:type="paragraph" w:styleId="995">
    <w:name w:val="标题1"/>
    <w:basedOn w:val="875"/>
    <w:next w:val="875"/>
    <w:link w:val="87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75"/>
    <w:uiPriority w:val="99"/>
    <w:semiHidden/>
    <w:rPr>
      <w:rFonts w:ascii="Times New Roman" w:hAnsi="Times New Roman"/>
      <w:sz w:val="21"/>
      <w:szCs w:val="21"/>
      <w:lang w:val="en-US" w:eastAsia="zh-CN" w:bidi="ar-SA"/>
    </w:rPr>
  </w:style>
  <w:style w:type="paragraph" w:styleId="997">
    <w:name w:val="无间隔"/>
    <w:next w:val="997"/>
    <w:link w:val="875"/>
    <w:uiPriority w:val="99"/>
    <w:qFormat/>
    <w:pPr>
      <w:jc w:val="both"/>
      <w:widowControl w:val="off"/>
    </w:pPr>
    <w:rPr>
      <w:rFonts w:ascii="Times New Roman" w:hAnsi="Times New Roman"/>
      <w:sz w:val="21"/>
      <w:szCs w:val="21"/>
      <w:lang w:val="en-US" w:eastAsia="zh-CN" w:bidi="ar-SA"/>
    </w:rPr>
  </w:style>
  <w:style w:type="paragraph" w:styleId="998">
    <w:name w:val="正文文本 211"/>
    <w:basedOn w:val="875"/>
    <w:next w:val="998"/>
    <w:link w:val="875"/>
    <w:uiPriority w:val="99"/>
    <w:qFormat/>
    <w:pPr>
      <w:jc w:val="center"/>
    </w:pPr>
    <w:rPr>
      <w:b/>
      <w:bCs/>
      <w:sz w:val="20"/>
      <w:szCs w:val="20"/>
    </w:rPr>
  </w:style>
  <w:style w:type="table" w:styleId="999">
    <w:name w:val="Table Normal"/>
    <w:next w:val="999"/>
    <w:link w:val="875"/>
    <w:qFormat/>
    <w:tblPr/>
  </w:style>
  <w:style w:type="paragraph" w:styleId="1000">
    <w:name w:val="正文文本1"/>
    <w:basedOn w:val="875"/>
    <w:next w:val="875"/>
    <w:link w:val="875"/>
    <w:semiHidden/>
    <w:qFormat/>
    <w:rPr>
      <w:rFonts w:ascii="Arial" w:hAnsi="Arial" w:eastAsia="Arial" w:cs="Arial"/>
      <w:sz w:val="21"/>
      <w:szCs w:val="21"/>
      <w:lang w:val="en-US" w:eastAsia="en-US" w:bidi="ar-SA"/>
    </w:rPr>
  </w:style>
  <w:style w:type="paragraph" w:styleId="1001">
    <w:name w:val="纯文本1"/>
    <w:basedOn w:val="875"/>
    <w:next w:val="1001"/>
    <w:link w:val="875"/>
    <w:qFormat/>
    <w:rPr>
      <w:rFonts w:ascii="宋体" w:hAnsi="Courier New" w:cs="Courier New"/>
    </w:rPr>
  </w:style>
  <w:style w:type="table" w:styleId="1002">
    <w:name w:val="网格型1"/>
    <w:basedOn w:val="1003"/>
    <w:next w:val="1002"/>
    <w:link w:val="875"/>
    <w:qFormat/>
    <w:pPr>
      <w:jc w:val="both"/>
      <w:widowControl w:val="off"/>
    </w:pPr>
    <w:tblPr/>
  </w:style>
  <w:style w:type="table" w:styleId="1003">
    <w:name w:val="普通表格1"/>
    <w:next w:val="1003"/>
    <w:link w:val="875"/>
    <w:uiPriority w:val="99"/>
    <w:unhideWhenUsed/>
    <w:qFormat/>
    <w:tblPr/>
  </w:style>
  <w:style w:type="character" w:styleId="1004">
    <w:name w:val="15"/>
    <w:basedOn w:val="885"/>
    <w:next w:val="1004"/>
    <w:link w:val="875"/>
    <w:rPr>
      <w:rFonts w:ascii="Times New Roman" w:hAnsi="Times New Roman" w:cs="Times New Roman"/>
    </w:rPr>
  </w:style>
  <w:style w:type="paragraph" w:styleId="1005">
    <w:name w:val="正文首行缩进 211"/>
    <w:basedOn w:val="957"/>
    <w:next w:val="875"/>
    <w:link w:val="875"/>
    <w:qFormat/>
    <w:pPr>
      <w:ind w:left="0" w:firstLine="420"/>
      <w:spacing w:after="0" w:line="360" w:lineRule="auto"/>
    </w:pPr>
    <w:rPr>
      <w:rFonts w:ascii="宋体" w:hAnsi="宋体" w:eastAsia="宋体" w:cs="Times New Roman"/>
      <w:szCs w:val="20"/>
    </w:rPr>
  </w:style>
  <w:style w:type="paragraph" w:styleId="1006">
    <w:name w:val="Table Paragraph"/>
    <w:basedOn w:val="875"/>
    <w:next w:val="1006"/>
    <w:link w:val="875"/>
    <w:uiPriority w:val="1"/>
    <w:qFormat/>
    <w:pPr>
      <w:jc w:val="left"/>
    </w:pPr>
    <w:rPr>
      <w:rFonts w:ascii="宋体" w:hAnsi="宋体" w:eastAsia="宋体" w:cs="宋体"/>
      <w:sz w:val="22"/>
      <w:szCs w:val="22"/>
      <w:lang w:val="zh-CN" w:bidi="zh-CN"/>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王炜辰</cp:lastModifiedBy>
  <cp:revision>5</cp:revision>
  <dcterms:created xsi:type="dcterms:W3CDTF">2023-03-16T02:16:00Z</dcterms:created>
  <dcterms:modified xsi:type="dcterms:W3CDTF">2026-09-09T01:16:11Z</dcterms:modified>
</cp:coreProperties>
</file>