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rPr>
          <w:rFonts w:hAnsi="宋体" w:eastAsia="宋体" w:cs="宋体"/>
          <w:color w:val="auto"/>
          <w:highlight w:val="none"/>
        </w:rPr>
      </w:pPr>
      <w:r/>
      <w:bookmarkStart w:id="13" w:name="_GoBack"/>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72"/>
          <w:highlight w:val="none"/>
        </w:rPr>
      </w:pPr>
      <w:r>
        <w:rPr>
          <w:rFonts w:hint="eastAsia" w:ascii="宋体" w:hAnsi="宋体" w:eastAsia="宋体" w:cs="宋体"/>
          <w:color w:val="auto"/>
          <w:sz w:val="72"/>
          <w:highlight w:val="none"/>
        </w:rPr>
        <w:t xml:space="preserve">招标文件</w:t>
      </w:r>
      <w:r/>
    </w:p>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54"/>
        <w:rPr>
          <w:rFonts w:ascii="宋体" w:hAnsi="宋体" w:eastAsia="宋体" w:cs="宋体"/>
          <w:color w:val="auto"/>
          <w:highlight w:val="none"/>
        </w:rPr>
      </w:pPr>
      <w:r>
        <w:rPr>
          <w:rFonts w:ascii="宋体" w:hAnsi="宋体" w:eastAsia="宋体" w:cs="宋体"/>
          <w:color w:val="auto"/>
          <w:highlight w:val="none"/>
        </w:rPr>
      </w:r>
      <w:r/>
    </w:p>
    <w:p>
      <w:pPr>
        <w:pStyle w:val="954"/>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6"/>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36"/>
          <w:highlight w:val="none"/>
        </w:rPr>
      </w:pPr>
      <w:r>
        <w:rPr>
          <w:rFonts w:ascii="宋体" w:hAnsi="宋体" w:eastAsia="宋体" w:cs="宋体"/>
          <w:color w:val="auto"/>
          <w:sz w:val="36"/>
          <w:highlight w:val="none"/>
        </w:rPr>
      </w:r>
      <w:r/>
    </w:p>
    <w:p>
      <w:pPr>
        <w:pStyle w:val="954"/>
        <w:rPr>
          <w:rFonts w:ascii="宋体" w:hAnsi="宋体" w:eastAsia="宋体" w:cs="宋体"/>
          <w:color w:val="auto"/>
          <w:sz w:val="36"/>
          <w:highlight w:val="none"/>
        </w:rPr>
      </w:pPr>
      <w:r>
        <w:rPr>
          <w:rFonts w:ascii="宋体" w:hAnsi="宋体" w:eastAsia="宋体" w:cs="宋体"/>
          <w:color w:val="auto"/>
          <w:sz w:val="36"/>
          <w:highlight w:val="none"/>
        </w:rPr>
      </w:r>
      <w:r/>
    </w:p>
    <w:p>
      <w:pPr>
        <w:pStyle w:val="954"/>
        <w:rPr>
          <w:rFonts w:ascii="宋体" w:hAnsi="宋体" w:eastAsia="宋体" w:cs="宋体"/>
          <w:color w:val="auto"/>
          <w:sz w:val="36"/>
          <w:highlight w:val="none"/>
        </w:rPr>
      </w:pPr>
      <w:r>
        <w:rPr>
          <w:rFonts w:ascii="宋体" w:hAnsi="宋体" w:eastAsia="宋体" w:cs="宋体"/>
          <w:color w:val="auto"/>
          <w:sz w:val="36"/>
          <w:highlight w:val="none"/>
        </w:rPr>
      </w:r>
      <w:r/>
    </w:p>
    <w:p>
      <w:pPr>
        <w:ind w:firstLine="160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标    号：</w:t>
      </w:r>
      <w:r>
        <w:rPr>
          <w:rFonts w:hint="eastAsia" w:ascii="宋体" w:hAnsi="宋体" w:eastAsia="宋体" w:cs="宋体"/>
          <w:bCs/>
          <w:color w:val="auto"/>
          <w:sz w:val="32"/>
          <w:highlight w:val="none"/>
          <w:lang w:eastAsia="zh-CN"/>
        </w:rPr>
        <w:t xml:space="preserve">JSZC-320591-SZZJ-G2026-0033</w:t>
      </w:r>
      <w:r/>
    </w:p>
    <w:p>
      <w:pPr>
        <w:ind w:firstLine="1600"/>
        <w:jc w:val="left"/>
        <w:spacing w:line="360" w:lineRule="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西安交通大学苏州附属中学</w:t>
      </w:r>
      <w:r/>
    </w:p>
    <w:p>
      <w:pPr>
        <w:ind w:left="3199" w:hanging="1600"/>
        <w:spacing w:line="360" w:lineRule="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采购内容：</w:t>
      </w:r>
      <w:r>
        <w:rPr>
          <w:rFonts w:hint="eastAsia" w:ascii="宋体" w:hAnsi="宋体" w:eastAsia="宋体" w:cs="宋体"/>
          <w:bCs/>
          <w:color w:val="auto"/>
          <w:sz w:val="32"/>
          <w:highlight w:val="none"/>
          <w:lang w:eastAsia="zh-CN"/>
        </w:rPr>
        <w:t xml:space="preserve">高品质科技特色高中项目资产购置</w:t>
      </w:r>
      <w:r/>
    </w:p>
    <w:p>
      <w:pPr>
        <w:ind w:firstLine="160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采购项目类别：</w:t>
      </w:r>
      <w:r>
        <w:rPr>
          <w:rFonts w:hint="eastAsia" w:ascii="宋体" w:hAnsi="宋体" w:eastAsia="宋体" w:cs="宋体"/>
          <w:bCs/>
          <w:color w:val="auto"/>
          <w:sz w:val="32"/>
          <w:highlight w:val="none"/>
          <w:lang w:val="en-US" w:eastAsia="zh-CN"/>
        </w:rPr>
        <w:t xml:space="preserve">货物</w:t>
      </w:r>
      <w:r>
        <w:rPr>
          <w:rFonts w:hint="eastAsia" w:ascii="宋体" w:hAnsi="宋体" w:eastAsia="宋体" w:cs="宋体"/>
          <w:bCs/>
          <w:color w:val="auto"/>
          <w:sz w:val="32"/>
          <w:highlight w:val="none"/>
        </w:rPr>
        <w:t xml:space="preserve">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54"/>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二○二</w:t>
      </w:r>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年</w:t>
      </w:r>
      <w:r>
        <w:rPr>
          <w:rFonts w:hint="eastAsia" w:ascii="宋体" w:hAnsi="宋体" w:eastAsia="宋体" w:cs="宋体"/>
          <w:color w:val="auto"/>
          <w:sz w:val="32"/>
          <w:highlight w:val="none"/>
          <w:lang w:val="en-US" w:eastAsia="zh-CN"/>
        </w:rPr>
        <w:t xml:space="preserve">十</w:t>
      </w:r>
      <w:r>
        <w:rPr>
          <w:rFonts w:hint="eastAsia" w:ascii="宋体" w:hAnsi="宋体" w:eastAsia="宋体" w:cs="宋体"/>
          <w:color w:val="auto"/>
          <w:sz w:val="32"/>
          <w:highlight w:val="none"/>
        </w:rPr>
        <w:t xml:space="preserve">月</w:t>
      </w:r>
      <w:r/>
    </w:p>
    <w:p>
      <w:pPr>
        <w:pStyle w:val="946"/>
        <w:ind w:firstLine="0"/>
        <w:jc w:val="center"/>
        <w:spacing w:line="360" w:lineRule="auto"/>
        <w:rPr>
          <w:rFonts w:ascii="宋体" w:hAnsi="宋体" w:eastAsia="宋体" w:cs="宋体"/>
          <w:color w:val="auto"/>
          <w:sz w:val="52"/>
          <w:highlight w:val="none"/>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eastAsia="宋体" w:cs="宋体"/>
          <w:color w:val="auto"/>
          <w:sz w:val="52"/>
          <w:highlight w:val="none"/>
        </w:rPr>
      </w:r>
      <w:r/>
    </w:p>
    <w:p>
      <w:pPr>
        <w:pStyle w:val="946"/>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46"/>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46"/>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68"/>
        <w:spacing w:line="360" w:lineRule="auto"/>
        <w:rPr>
          <w:rFonts w:cs="宋体"/>
          <w:color w:val="auto"/>
          <w:sz w:val="21"/>
          <w:szCs w:val="24"/>
          <w:highlight w:val="none"/>
        </w:rPr>
      </w:pPr>
      <w:r>
        <w:rPr>
          <w:rFonts w:hint="eastAsia" w:cs="宋体"/>
          <w:bCs/>
          <w:color w:val="auto"/>
          <w:sz w:val="30"/>
          <w:highlight w:val="none"/>
        </w:rPr>
        <w:fldChar w:fldCharType="begin"/>
      </w:r>
      <w:r>
        <w:rPr>
          <w:rFonts w:hint="eastAsia" w:cs="宋体"/>
          <w:bCs/>
          <w:color w:val="auto"/>
          <w:sz w:val="30"/>
          <w:highlight w:val="none"/>
        </w:rPr>
        <w:instrText xml:space="preserve"> TOC \o "1-1"</w:instrText>
      </w:r>
      <w:r>
        <w:rPr>
          <w:rFonts w:hint="eastAsia" w:cs="宋体"/>
          <w:bCs/>
          <w:color w:val="auto"/>
          <w:sz w:val="30"/>
          <w:highlight w:val="none"/>
        </w:rPr>
        <w:fldChar w:fldCharType="separate"/>
      </w:r>
      <w:r>
        <w:rPr>
          <w:rFonts w:hint="eastAsia" w:cs="宋体"/>
          <w:color w:val="auto"/>
          <w:highlight w:val="none"/>
        </w:rPr>
        <w:t xml:space="preserve">第一章</w:t>
      </w:r>
      <w:r>
        <w:rPr>
          <w:rFonts w:hint="eastAsia" w:cs="宋体"/>
          <w:color w:val="auto"/>
          <w:szCs w:val="24"/>
          <w:highlight w:val="none"/>
        </w:rPr>
        <w:t xml:space="preserve">招标公告</w:t>
      </w:r>
      <w:r>
        <w:rPr>
          <w:rFonts w:hint="eastAsia" w:cs="宋体"/>
          <w:color w:val="auto"/>
          <w:highlight w:val="none"/>
        </w:rPr>
        <w:tab/>
      </w:r>
      <w:r/>
    </w:p>
    <w:p>
      <w:pPr>
        <w:pStyle w:val="968"/>
        <w:spacing w:line="360" w:lineRule="auto"/>
        <w:rPr>
          <w:rFonts w:cs="宋体"/>
          <w:color w:val="auto"/>
          <w:sz w:val="21"/>
          <w:szCs w:val="24"/>
          <w:highlight w:val="none"/>
        </w:rPr>
      </w:pPr>
      <w:r>
        <w:rPr>
          <w:rFonts w:hint="eastAsia" w:cs="宋体"/>
          <w:color w:val="auto"/>
          <w:highlight w:val="none"/>
        </w:rPr>
        <w:t xml:space="preserve">第二章投标人须知</w:t>
      </w:r>
      <w:r>
        <w:rPr>
          <w:rFonts w:hint="eastAsia" w:cs="宋体"/>
          <w:color w:val="auto"/>
          <w:highlight w:val="none"/>
        </w:rPr>
        <w:tab/>
      </w:r>
      <w:r/>
    </w:p>
    <w:p>
      <w:pPr>
        <w:pStyle w:val="968"/>
        <w:spacing w:line="360" w:lineRule="auto"/>
        <w:rPr>
          <w:rFonts w:cs="宋体"/>
          <w:color w:val="auto"/>
          <w:sz w:val="21"/>
          <w:szCs w:val="24"/>
          <w:highlight w:val="none"/>
        </w:rPr>
      </w:pPr>
      <w:r>
        <w:rPr>
          <w:rFonts w:hint="eastAsia" w:cs="宋体"/>
          <w:color w:val="auto"/>
          <w:highlight w:val="none"/>
        </w:rPr>
        <w:t xml:space="preserve">第三章投标文件格式</w:t>
      </w:r>
      <w:r>
        <w:rPr>
          <w:rFonts w:hint="eastAsia" w:cs="宋体"/>
          <w:color w:val="auto"/>
          <w:highlight w:val="none"/>
        </w:rPr>
        <w:tab/>
      </w:r>
      <w:r/>
    </w:p>
    <w:p>
      <w:pPr>
        <w:pStyle w:val="968"/>
        <w:spacing w:line="360" w:lineRule="auto"/>
        <w:rPr>
          <w:rFonts w:cs="宋体"/>
          <w:color w:val="auto"/>
          <w:sz w:val="21"/>
          <w:szCs w:val="24"/>
          <w:highlight w:val="none"/>
        </w:rPr>
      </w:pPr>
      <w:r>
        <w:rPr>
          <w:rFonts w:hint="eastAsia" w:cs="宋体"/>
          <w:color w:val="auto"/>
          <w:highlight w:val="none"/>
        </w:rPr>
        <w:t xml:space="preserve">第四章招标书</w:t>
      </w:r>
      <w:r>
        <w:rPr>
          <w:rFonts w:hint="eastAsia" w:cs="宋体"/>
          <w:color w:val="auto"/>
          <w:highlight w:val="none"/>
        </w:rPr>
        <w:tab/>
      </w:r>
      <w:r/>
    </w:p>
    <w:p>
      <w:pPr>
        <w:pStyle w:val="968"/>
        <w:spacing w:line="360" w:lineRule="auto"/>
        <w:rPr>
          <w:rFonts w:cs="宋体"/>
          <w:color w:val="auto"/>
          <w:sz w:val="21"/>
          <w:szCs w:val="24"/>
          <w:highlight w:val="none"/>
        </w:rPr>
      </w:pPr>
      <w:r>
        <w:rPr>
          <w:rFonts w:hint="eastAsia" w:cs="宋体"/>
          <w:color w:val="auto"/>
          <w:highlight w:val="none"/>
        </w:rPr>
        <w:t xml:space="preserve">第五章</w:t>
      </w:r>
      <w:r>
        <w:rPr>
          <w:rFonts w:hint="eastAsia" w:cs="宋体"/>
          <w:bCs/>
          <w:color w:val="auto"/>
          <w:szCs w:val="24"/>
          <w:highlight w:val="none"/>
        </w:rPr>
        <w:t xml:space="preserve">合同主要条款</w:t>
      </w:r>
      <w:r>
        <w:rPr>
          <w:rFonts w:hint="eastAsia" w:cs="宋体"/>
          <w:color w:val="auto"/>
          <w:highlight w:val="none"/>
        </w:rPr>
        <w:tab/>
      </w:r>
      <w:r/>
    </w:p>
    <w:p>
      <w:pPr>
        <w:pStyle w:val="968"/>
        <w:spacing w:line="360" w:lineRule="auto"/>
        <w:rPr>
          <w:rFonts w:cs="宋体"/>
          <w:color w:val="auto"/>
          <w:sz w:val="21"/>
          <w:szCs w:val="24"/>
          <w:highlight w:val="none"/>
        </w:rPr>
      </w:pPr>
      <w:r>
        <w:rPr>
          <w:rFonts w:hint="eastAsia" w:cs="宋体"/>
          <w:color w:val="auto"/>
          <w:highlight w:val="none"/>
        </w:rPr>
        <w:t xml:space="preserve">第六章评分标准</w:t>
      </w:r>
      <w:r>
        <w:rPr>
          <w:rFonts w:hint="eastAsia" w:cs="宋体"/>
          <w:color w:val="auto"/>
          <w:highlight w:val="none"/>
        </w:rPr>
        <w:tab/>
      </w:r>
      <w:r/>
    </w:p>
    <w:p>
      <w:pPr>
        <w:pStyle w:val="946"/>
        <w:ind w:firstLine="0"/>
        <w:jc w:val="center"/>
        <w:spacing w:line="360" w:lineRule="auto"/>
        <w:rPr>
          <w:rFonts w:ascii="宋体" w:hAnsi="宋体" w:eastAsia="宋体" w:cs="宋体"/>
          <w:color w:val="auto"/>
          <w:sz w:val="30"/>
          <w:highlight w:val="none"/>
        </w:rPr>
      </w:pPr>
      <w:r>
        <w:rPr>
          <w:rFonts w:hint="eastAsia" w:ascii="宋体" w:hAnsi="宋体" w:eastAsia="宋体" w:cs="宋体"/>
          <w:bCs/>
          <w:color w:val="auto"/>
          <w:sz w:val="30"/>
          <w:highlight w:val="none"/>
        </w:rPr>
        <w:fldChar w:fldCharType="end"/>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32"/>
          <w:highlight w:val="none"/>
        </w:rPr>
        <w:br w:type="page" w:clear="all"/>
      </w:r>
      <w:r>
        <w:rPr>
          <w:rFonts w:hint="eastAsia" w:ascii="宋体" w:hAnsi="宋体" w:eastAsia="宋体" w:cs="宋体"/>
          <w:color w:val="auto"/>
          <w:sz w:val="24"/>
          <w:szCs w:val="24"/>
          <w:highlight w:val="none"/>
        </w:rPr>
        <w:t xml:space="preserve">第一章 招标公告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西安交通大学苏州附属中学</w:t>
      </w:r>
      <w:r>
        <w:rPr>
          <w:rFonts w:hint="eastAsia" w:ascii="宋体" w:hAnsi="宋体" w:eastAsia="宋体" w:cs="宋体"/>
          <w:color w:val="auto"/>
          <w:sz w:val="24"/>
          <w:szCs w:val="24"/>
          <w:highlight w:val="none"/>
        </w:rPr>
        <w:t xml:space="preserve">的委托，苏州正杰招投标咨询服务有限公司就其所需的</w:t>
      </w:r>
      <w:r>
        <w:rPr>
          <w:rFonts w:hint="eastAsia" w:ascii="宋体" w:hAnsi="宋体" w:eastAsia="宋体" w:cs="宋体"/>
          <w:color w:val="auto"/>
          <w:sz w:val="24"/>
          <w:szCs w:val="24"/>
          <w:highlight w:val="none"/>
          <w:lang w:eastAsia="zh-CN"/>
        </w:rPr>
        <w:t xml:space="preserve">高品质科技特色高中项目资产购置</w:t>
      </w:r>
      <w:r>
        <w:rPr>
          <w:rFonts w:hint="eastAsia" w:ascii="宋体" w:hAnsi="宋体" w:eastAsia="宋体" w:cs="宋体"/>
          <w:color w:val="auto"/>
          <w:sz w:val="24"/>
          <w:szCs w:val="24"/>
          <w:highlight w:val="none"/>
        </w:rPr>
        <w:t xml:space="preserve">项目的采购</w:t>
      </w:r>
      <w:r>
        <w:rPr>
          <w:rFonts w:hint="eastAsia" w:ascii="宋体" w:hAnsi="宋体" w:eastAsia="宋体" w:cs="宋体"/>
          <w:color w:val="auto"/>
          <w:sz w:val="24"/>
          <w:szCs w:val="24"/>
          <w:highlight w:val="none"/>
        </w:rPr>
        <w:t xml:space="preserve">进行公开招标，欢迎有资格的供应商前来参加投标。</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JSZC-320591-SZZJ-G2026-0033</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高品质科技特色高中项目资产购置</w:t>
      </w:r>
      <w:r/>
    </w:p>
    <w:p>
      <w:pPr>
        <w:ind w:firstLine="48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预算金额：人民币88.20万元。</w:t>
      </w:r>
      <w:r/>
    </w:p>
    <w:p>
      <w:pPr>
        <w:ind w:firstLine="48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最高限价：人民币88.20万元。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高品质科技特色高中项目资产购置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采购一批虚拟现实教学设备、无线AP等</w:t>
      </w:r>
      <w:r>
        <w:rPr>
          <w:rFonts w:hint="eastAsia" w:ascii="宋体" w:hAnsi="宋体" w:eastAsia="宋体" w:cs="宋体"/>
          <w:color w:val="auto"/>
          <w:sz w:val="24"/>
          <w:szCs w:val="32"/>
          <w:highlight w:val="none"/>
        </w:rPr>
        <w:t xml:space="preserve">，具体详见招标文件第四章。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日内供货并安装调试完毕。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w:t>
      </w:r>
      <w:r>
        <w:rPr>
          <w:rFonts w:hint="eastAsia" w:ascii="宋体" w:hAnsi="宋体" w:eastAsia="宋体" w:cs="宋体"/>
          <w:color w:val="auto"/>
          <w:sz w:val="24"/>
          <w:szCs w:val="24"/>
          <w:highlight w:val="none"/>
          <w:lang w:val="en-US" w:eastAsia="zh-CN"/>
        </w:rPr>
        <w:t xml:space="preserve">目</w:t>
      </w:r>
      <w:r>
        <w:rPr>
          <w:rFonts w:hint="eastAsia" w:ascii="宋体" w:hAnsi="宋体" w:eastAsia="宋体" w:cs="宋体"/>
          <w:color w:val="auto"/>
          <w:sz w:val="24"/>
          <w:szCs w:val="24"/>
          <w:highlight w:val="none"/>
        </w:rPr>
        <w:t xml:space="preserve">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落实政府采购政策需满足的资格要求：根据《政府采购促进中小企业发展管理办法》的相关规定，本项目专门面向中小企业，所属行业为</w:t>
      </w:r>
      <w:r>
        <w:rPr>
          <w:rFonts w:hint="eastAsia" w:ascii="宋体" w:hAnsi="宋体" w:eastAsia="宋体" w:cs="宋体"/>
          <w:b/>
          <w:bCs/>
          <w:color w:val="auto"/>
          <w:sz w:val="24"/>
          <w:szCs w:val="24"/>
          <w:highlight w:val="none"/>
          <w:lang w:val="en-US" w:eastAsia="zh-CN"/>
        </w:rPr>
        <w:t xml:space="preserve">工</w:t>
      </w:r>
      <w:r>
        <w:rPr>
          <w:rFonts w:hint="eastAsia" w:ascii="宋体" w:hAnsi="宋体" w:eastAsia="宋体" w:cs="宋体"/>
          <w:b/>
          <w:bCs/>
          <w:color w:val="auto"/>
          <w:sz w:val="24"/>
          <w:szCs w:val="24"/>
          <w:highlight w:val="none"/>
        </w:rPr>
        <w:t xml:space="preserve">业，供应商所提供货物的制造商应为中小微企业、监狱企业、残疾人福利性单位。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2、地点：“苏采云”系统自行下载采购文件。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（1）CA证书办理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（2）参与采购活动</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46"/>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（3）电子投标准备：</w:t>
      </w:r>
      <w:r/>
    </w:p>
    <w:p>
      <w:pPr>
        <w:pStyle w:val="946"/>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46"/>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ascii="宋体" w:hAnsi="宋体" w:eastAsia="宋体" w:cs="宋体"/>
          <w:b/>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年11</w:t>
      </w:r>
      <w:r>
        <w:rPr>
          <w:rFonts w:hint="eastAsia" w:ascii="宋体" w:hAnsi="宋体" w:eastAsia="宋体" w:cs="宋体"/>
          <w:color w:val="auto"/>
          <w:sz w:val="24"/>
          <w:szCs w:val="24"/>
          <w:highlight w:val="none"/>
        </w:rPr>
        <w:t xml:space="preserve">月6</w:t>
      </w:r>
      <w:r>
        <w:rPr>
          <w:rFonts w:hint="eastAsia" w:ascii="宋体" w:hAnsi="宋体" w:eastAsia="宋体" w:cs="宋体"/>
          <w:color w:val="auto"/>
          <w:sz w:val="24"/>
          <w:szCs w:val="24"/>
          <w:highlight w:val="none"/>
        </w:rPr>
        <w:t xml:space="preserve">日1</w:t>
      </w:r>
      <w:r>
        <w:rPr>
          <w:rFonts w:hint="eastAsia" w:ascii="宋体" w:hAnsi="宋体" w:eastAsia="宋体" w:cs="宋体"/>
          <w:color w:val="auto"/>
          <w:sz w:val="24"/>
          <w:szCs w:val="24"/>
          <w:highlight w:val="none"/>
        </w:rPr>
        <w:t xml:space="preserve">4点</w:t>
      </w:r>
      <w:r>
        <w:rPr>
          <w:rFonts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分（北京时间）</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、地点：</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系统（网址：</w:t>
      </w:r>
      <w:r>
        <w:rPr>
          <w:rFonts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、方式：投标文件网上递交</w:t>
      </w:r>
      <w:bookmarkStart w:id="0" w:name="_Hlk90650305"/>
      <w:r/>
      <w:bookmarkEnd w:id="0"/>
      <w:r/>
      <w:bookmarkStart w:id="1" w:name="_Hlk90650417"/>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w:t>
      </w:r>
      <w:r>
        <w:rPr>
          <w:rFonts w:ascii="宋体" w:hAnsi="宋体" w:eastAsia="宋体" w:cs="宋体"/>
          <w:b/>
          <w:bCs/>
          <w:color w:val="auto"/>
          <w:sz w:val="24"/>
          <w:szCs w:val="24"/>
          <w:highlight w:val="none"/>
        </w:rPr>
        <w:t xml:space="preserve"> CA</w:t>
      </w:r>
      <w:r>
        <w:rPr>
          <w:rFonts w:hint="eastAsia" w:ascii="宋体" w:hAnsi="宋体" w:eastAsia="宋体" w:cs="宋体"/>
          <w:b/>
          <w:bCs/>
          <w:color w:val="auto"/>
          <w:sz w:val="24"/>
          <w:szCs w:val="24"/>
          <w:highlight w:val="none"/>
        </w:rPr>
        <w:t xml:space="preserve">证书解密电子投标（响应）文件，如在</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苏采云</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系统规定的时间内未能成功解密的视为放弃参与本项目，投标无效。</w:t>
      </w:r>
      <w:r>
        <w:rPr>
          <w:rFonts w:ascii="宋体" w:hAnsi="宋体" w:eastAsia="宋体" w:cs="宋体"/>
          <w:b/>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rPr>
          <w:rFonts w:ascii="宋体" w:hAnsi="宋体" w:eastAsia="宋体" w:cs="宋体"/>
          <w:color w:val="auto"/>
          <w:sz w:val="24"/>
          <w:szCs w:val="24"/>
          <w:highlight w:val="none"/>
        </w:rPr>
        <w:t xml:space="preserve">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2"/>
        </w:num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3、如不同供应商使用同一台电脑制作的电子响应文件的，双方“文件制作机器码”一致的，则其响应文件将被认定为无效响应。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5、苏州工业园区财政审计局政府采购监督电话：0512-66681110。</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西安交通大学苏州附属中学</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Times New Roman"/>
          <w:color w:val="auto"/>
          <w:sz w:val="24"/>
          <w:szCs w:val="24"/>
          <w:highlight w:val="none"/>
          <w:lang w:eastAsia="zh-CN"/>
        </w:rPr>
        <w:t xml:space="preserve">苏州工业园区方洲路598号、普惠路570号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w:t>
      </w:r>
      <w:r>
        <w:rPr>
          <w:rFonts w:hint="eastAsia" w:ascii="宋体" w:hAnsi="宋体" w:eastAsia="宋体" w:cs="Times New Roman"/>
          <w:color w:val="auto"/>
          <w:sz w:val="24"/>
          <w:szCs w:val="24"/>
          <w:highlight w:val="none"/>
          <w:lang w:val="en-US" w:eastAsia="zh-CN"/>
        </w:rPr>
        <w:t xml:space="preserve">0512-65936299。</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3、项目联系方式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项目联系人：金建平。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电话：0512-65936299。</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项目联系人：沈鹰、陈晓梦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周昀烨、徐杰</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电话：0512-62826523。</w:t>
      </w:r>
      <w:r/>
    </w:p>
    <w:p>
      <w:pPr>
        <w:jc w:val="center"/>
        <w:spacing w:before="120" w:line="200" w:lineRule="exact"/>
        <w:rPr>
          <w:rFonts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numPr>
          <w:ilvl w:val="0"/>
          <w:numId w:val="3"/>
        </w:numPr>
        <w:ind w:left="0" w:firstLine="567"/>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总则</w:t>
      </w:r>
      <w:r/>
    </w:p>
    <w:p>
      <w:pPr>
        <w:numPr>
          <w:ilvl w:val="1"/>
          <w:numId w:val="4"/>
        </w:numPr>
        <w:ind w:left="0" w:firstLine="487"/>
        <w:spacing w:line="360" w:lineRule="auto"/>
        <w:tabs>
          <w:tab w:val="left" w:pos="851"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投标人资格要求</w:t>
      </w:r>
      <w:r/>
    </w:p>
    <w:p>
      <w:pPr>
        <w:numPr>
          <w:ilvl w:val="2"/>
          <w:numId w:val="4"/>
        </w:numPr>
        <w:ind w:left="0"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详见第一章招标公告中“二、申请人的资格要求”。</w:t>
      </w:r>
      <w:r/>
    </w:p>
    <w:p>
      <w:pPr>
        <w:numPr>
          <w:ilvl w:val="2"/>
          <w:numId w:val="4"/>
        </w:numPr>
        <w:ind w:left="0" w:firstLine="484"/>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4"/>
        </w:numPr>
        <w:ind w:left="0"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联合体投标：第一章</w:t>
      </w:r>
      <w:r>
        <w:rPr>
          <w:rFonts w:hint="eastAsia" w:ascii="宋体" w:hAnsi="宋体" w:eastAsia="宋体" w:cs="宋体"/>
          <w:color w:val="auto"/>
          <w:sz w:val="24"/>
          <w:szCs w:val="24"/>
          <w:highlight w:val="none"/>
        </w:rPr>
        <w:t xml:space="preserve">招标公告</w:t>
      </w:r>
      <w:r>
        <w:rPr>
          <w:rFonts w:hint="eastAsia" w:ascii="宋体" w:hAnsi="宋体" w:eastAsia="宋体" w:cs="宋体"/>
          <w:bCs/>
          <w:color w:val="auto"/>
          <w:sz w:val="24"/>
          <w:szCs w:val="24"/>
          <w:highlight w:val="none"/>
        </w:rPr>
        <w:t xml:space="preserve">规定接受联合体投标的，联合体除应符合上述资格要求外，还应遵守以下规定：</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联合体各方应当向采购人提交联合体协议书，载明联合体各方承担的工作和义务，否则投标无效。</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本项目接受联合体投标，但一个联合体最多接受两个单位进行联合投标。</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联合体中有同类资质的供应商按照联合体分工承担相同工作的，应当按照资质等级较低的供应商确定资质等级。</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联合体各方不得再单独参加或者与其他供应商另外组成联合体参加同一合同项下的政府采购活动，否则各相关投标均无效。</w:t>
      </w:r>
      <w:r/>
    </w:p>
    <w:p>
      <w:pPr>
        <w:numPr>
          <w:ilvl w:val="0"/>
          <w:numId w:val="5"/>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联合体各方应当共同与采购人签订采购合同，就采购合同约定的事项对采购人承担连带责任。</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本项目不允许分包</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投标费用</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保密</w:t>
      </w:r>
      <w:r/>
    </w:p>
    <w:p>
      <w:pPr>
        <w:ind w:firstLine="484"/>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语言文字</w:t>
      </w:r>
      <w:r/>
    </w:p>
    <w:p>
      <w:pPr>
        <w:ind w:firstLine="484"/>
        <w:spacing w:line="360" w:lineRule="auto"/>
        <w:tabs>
          <w:tab w:val="left" w:pos="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87"/>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计量单位</w:t>
      </w:r>
      <w:r/>
    </w:p>
    <w:p>
      <w:pPr>
        <w:ind w:firstLine="484"/>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numPr>
          <w:ilvl w:val="0"/>
          <w:numId w:val="0"/>
        </w:numPr>
        <w:spacing w:line="360" w:lineRule="auto"/>
        <w:tabs>
          <w:tab w:val="left" w:pos="851" w:leader="none"/>
        </w:tabs>
        <w:rPr>
          <w:rFonts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知识产权</w:t>
      </w:r>
      <w:r/>
    </w:p>
    <w:p>
      <w:pPr>
        <w:ind w:firstLine="484"/>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本项目涉及采购货物，则应满足以下要求</w:t>
      </w:r>
      <w:r>
        <w:rPr>
          <w:rFonts w:ascii="宋体" w:hAnsi="宋体" w:eastAsia="宋体" w:cs="宋体"/>
          <w:b/>
          <w:bCs/>
          <w:color w:val="auto"/>
          <w:sz w:val="24"/>
          <w:szCs w:val="24"/>
          <w:highlight w:val="none"/>
        </w:rPr>
        <w:t xml:space="preserve">，否则投标无效</w:t>
      </w:r>
      <w:r>
        <w:rPr>
          <w:rFonts w:hint="eastAsia" w:ascii="宋体" w:hAnsi="宋体" w:eastAsia="宋体" w:cs="宋体"/>
          <w:b/>
          <w:bCs/>
          <w:color w:val="auto"/>
          <w:sz w:val="24"/>
          <w:szCs w:val="24"/>
          <w:highlight w:val="none"/>
        </w:rPr>
        <w:t xml:space="preserve">：</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（1）必须是全新、未使用过的原装合格正品（包括零部件），如安装或配置了软件的，须为正版软件。</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0"/>
        <w:spacing w:line="360" w:lineRule="auto"/>
        <w:tabs>
          <w:tab w:val="left" w:pos="540" w:leader="none"/>
          <w:tab w:val="left" w:pos="851"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（5）投标人、制造商及其所提供的货物未能满足前述要求而导致采购人遭受任何损失的，投标人应承担全部责任。</w:t>
      </w:r>
      <w:r/>
    </w:p>
    <w:p>
      <w:pPr>
        <w:numPr>
          <w:ilvl w:val="0"/>
          <w:numId w:val="3"/>
        </w:numPr>
        <w:ind w:left="0" w:firstLine="567"/>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招标文件的说明</w:t>
      </w:r>
      <w:r/>
    </w:p>
    <w:p>
      <w:pPr>
        <w:numPr>
          <w:ilvl w:val="1"/>
          <w:numId w:val="3"/>
        </w:numPr>
        <w:ind w:left="209" w:firstLine="484"/>
        <w:spacing w:line="360" w:lineRule="auto"/>
        <w:tabs>
          <w:tab w:val="left" w:pos="0" w:leader="none"/>
          <w:tab w:val="left" w:pos="6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招标文件的获取见第一章招标公告</w:t>
      </w:r>
      <w:r/>
    </w:p>
    <w:p>
      <w:pPr>
        <w:numPr>
          <w:ilvl w:val="1"/>
          <w:numId w:val="3"/>
        </w:numPr>
        <w:ind w:left="209" w:firstLine="484"/>
        <w:spacing w:line="360" w:lineRule="auto"/>
        <w:tabs>
          <w:tab w:val="left" w:pos="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，可通过招标公告中的联系方式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numPr>
          <w:ilvl w:val="1"/>
          <w:numId w:val="3"/>
        </w:numPr>
        <w:ind w:left="209" w:firstLine="484"/>
        <w:spacing w:line="360" w:lineRule="auto"/>
        <w:tabs>
          <w:tab w:val="left" w:pos="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招标文件的澄清或修改</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firstLine="484"/>
        <w:spacing w:line="360" w:lineRule="auto"/>
        <w:tabs>
          <w:tab w:val="left" w:pos="0" w:leader="none"/>
        </w:tabs>
        <w:rPr>
          <w:color w:val="auto"/>
          <w:highlight w:val="none"/>
        </w:rPr>
      </w:pPr>
      <w:r>
        <w:rPr>
          <w:rFonts w:ascii="宋体" w:hAnsi="宋体" w:eastAsia="宋体" w:cs="宋体"/>
          <w:color w:val="auto"/>
          <w:sz w:val="24"/>
          <w:szCs w:val="24"/>
          <w:highlight w:val="none"/>
        </w:rPr>
        <w:t xml:space="preserve">2.4 </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3.1保证金：无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hAnsi="宋体" w:eastAsia="宋体" w:cs="宋体"/>
          <w:color w:val="auto"/>
          <w:sz w:val="24"/>
          <w:szCs w:val="24"/>
          <w:highlight w:val="none"/>
        </w:rPr>
        <w:t xml:space="preserve">公开分项报价表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w:t>
      </w:r>
      <w:r>
        <w:rPr>
          <w:rFonts w:hint="eastAsia" w:ascii="宋体" w:hAnsi="宋体" w:eastAsia="宋体"/>
          <w:color w:val="auto"/>
          <w:sz w:val="24"/>
          <w:szCs w:val="24"/>
          <w:highlight w:val="none"/>
        </w:rPr>
        <w:t xml:space="preserve">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3.2.5.5</w:t>
      </w:r>
      <w:r>
        <w:rPr>
          <w:rFonts w:hint="eastAsia" w:ascii="宋体" w:hAnsi="宋体" w:eastAsia="宋体" w:cs="宋体"/>
          <w:color w:val="auto"/>
          <w:sz w:val="24"/>
          <w:szCs w:val="24"/>
          <w:highlight w:val="none"/>
        </w:rPr>
        <w:t xml:space="preserve">投标货物和服务数量、品牌、规格、制造商明细表（不得出现价格，格式见第三章）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3.2.5.6</w:t>
      </w:r>
      <w:r>
        <w:rPr>
          <w:rFonts w:hint="eastAsia" w:ascii="宋体" w:hAnsi="宋体" w:eastAsia="宋体" w:cs="宋体"/>
          <w:color w:val="auto"/>
          <w:sz w:val="24"/>
          <w:szCs w:val="24"/>
          <w:highlight w:val="none"/>
        </w:rPr>
        <w:t xml:space="preserve">技术参数响应及偏离表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商务条款响应及偏离表（格式见第三章</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对属于《节能产品政府采购品目清单》政府强制采购产品的，须提供该产品有效期内的认证等相关证明材料（若有）。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3.2.6综合评审响应文件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3.2.6.2</w:t>
      </w:r>
      <w:r>
        <w:rPr>
          <w:rFonts w:hint="eastAsia" w:ascii="宋体" w:hAnsi="宋体" w:eastAsia="宋体" w:cs="宋体"/>
          <w:color w:val="auto"/>
          <w:sz w:val="24"/>
          <w:szCs w:val="24"/>
          <w:highlight w:val="none"/>
        </w:rPr>
        <w:t xml:space="preserve">《关于符合本国产品标准的声明函》</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以上3.2.5.1-3.2.5.</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3.3.5一项投标内容只允许一个报价，任何有选择性投标报价的，其投标无效。</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rPr>
          <w:rFonts w:hint="eastAsia" w:ascii="宋体" w:hAnsi="宋体" w:eastAsia="宋体" w:cs="宋体"/>
          <w:b/>
          <w:bCs/>
          <w:color w:val="auto"/>
          <w:sz w:val="24"/>
          <w:szCs w:val="24"/>
          <w:highlight w:val="none"/>
        </w:rPr>
        <w:t xml:space="preserve">。</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3.4电子投标（响应）文件的编制与提交</w:t>
      </w:r>
      <w:r/>
    </w:p>
    <w:p>
      <w:pPr>
        <w:pStyle w:val="1028"/>
        <w:numPr>
          <w:ilvl w:val="0"/>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pStyle w:val="1028"/>
        <w:numPr>
          <w:ilvl w:val="0"/>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pStyle w:val="1028"/>
        <w:numPr>
          <w:ilvl w:val="0"/>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pStyle w:val="1028"/>
        <w:numPr>
          <w:ilvl w:val="1"/>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pStyle w:val="1028"/>
        <w:numPr>
          <w:ilvl w:val="1"/>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pStyle w:val="1028"/>
        <w:numPr>
          <w:ilvl w:val="1"/>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pStyle w:val="1028"/>
        <w:numPr>
          <w:ilvl w:val="1"/>
          <w:numId w:val="6"/>
        </w:numPr>
        <w:spacing w:line="360" w:lineRule="auto"/>
        <w:tabs>
          <w:tab w:val="left" w:pos="142" w:leader="none"/>
          <w:tab w:val="left" w:pos="600" w:leader="none"/>
        </w:tabs>
        <w:rPr>
          <w:rFonts w:cs="宋体"/>
          <w:vanish/>
          <w:color w:val="auto"/>
          <w:highlight w:val="none"/>
        </w:rPr>
      </w:pPr>
      <w:r>
        <w:rPr>
          <w:rFonts w:cs="宋体"/>
          <w:vanish/>
          <w:color w:val="auto"/>
          <w:highlight w:val="none"/>
        </w:rPr>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3.4.1投标（响应）文件编制要求：本项目为网上招投标项目，请供应商插入CA 证书登</w:t>
      </w:r>
      <w:r>
        <w:rPr>
          <w:rFonts w:hint="eastAsia" w:ascii="宋体" w:hAnsi="宋体" w:eastAsia="宋体" w:cs="宋体"/>
          <w:color w:val="auto"/>
          <w:sz w:val="24"/>
          <w:szCs w:val="24"/>
          <w:highlight w:val="none"/>
          <w:lang w:eastAsia="zh-CN"/>
        </w:rPr>
        <w:t xml:space="preserve">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3.4.3投标（响应）文件未按照招标文件要求加盖CA电子公章的，响应无效。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3.5响应文件的开启（解密）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bookmarkStart w:id="2" w:name="_Hlk154589874"/>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bookmarkEnd w:id="2"/>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color w:val="auto"/>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28"/>
        <w:ind w:firstLine="480"/>
        <w:spacing w:line="360" w:lineRule="auto"/>
        <w:rPr>
          <w:rFonts w:hint="eastAsia"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4开标和评标</w:t>
      </w:r>
      <w:r/>
    </w:p>
    <w:p>
      <w:pPr>
        <w:pStyle w:val="102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4.1开标</w:t>
      </w:r>
      <w:r/>
    </w:p>
    <w:p>
      <w:pPr>
        <w:pStyle w:val="1017"/>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 w:val="left" w:pos="74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4"/>
        <w:spacing w:line="360" w:lineRule="auto"/>
        <w:tabs>
          <w:tab w:val="left" w:pos="5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w:t>
      </w:r>
      <w:r>
        <w:rPr>
          <w:rFonts w:hint="eastAsia" w:ascii="宋体" w:hAnsi="宋体" w:eastAsia="宋体" w:cs="宋体"/>
          <w:bCs/>
          <w:color w:val="auto"/>
          <w:sz w:val="24"/>
          <w:szCs w:val="24"/>
          <w:highlight w:val="none"/>
        </w:rPr>
        <w:t xml:space="preserve">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4.4.2.2本项目采用综合评分法，即指投标文件满足招标文件全部实质性要求，且按照评审因素的量化指标评审得分最高的投标人为中标候选人的评标方法。评标办法和标准见第六章。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4"/>
        <w:spacing w:line="360" w:lineRule="auto"/>
        <w:tabs>
          <w:tab w:val="left" w:pos="5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4"/>
        <w:spacing w:line="360" w:lineRule="auto"/>
        <w:tabs>
          <w:tab w:val="left" w:pos="54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投标(响应)报价低于采购项目最高限价45%的，即投标(响应)报价＜采购项目最高限价×45%</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4.4.2.5启动异常低价投标审查后，</w:t>
      </w:r>
      <w:bookmarkStart w:id="3" w:name="OLE_LINK1"/>
      <w:r/>
      <w:bookmarkStart w:id="4" w:name="OLE_LINK2"/>
      <w:r>
        <w:rPr>
          <w:rFonts w:hint="eastAsia" w:ascii="宋体" w:hAnsi="宋体" w:eastAsia="宋体" w:cs="宋体"/>
          <w:b w:val="0"/>
          <w:bCs w:val="0"/>
          <w:color w:val="auto"/>
          <w:sz w:val="24"/>
          <w:szCs w:val="24"/>
          <w:highlight w:val="none"/>
          <w:lang w:val="en-US" w:eastAsia="zh-CN"/>
        </w:rPr>
        <w:t xml:space="preserve">评标委员会</w:t>
      </w:r>
      <w:bookmarkEnd w:id="3"/>
      <w:r/>
      <w:bookmarkEnd w:id="4"/>
      <w:r>
        <w:rPr>
          <w:rFonts w:hint="eastAsia" w:ascii="宋体" w:hAnsi="宋体" w:eastAsia="宋体" w:cs="宋体"/>
          <w:b w:val="0"/>
          <w:bCs w:val="0"/>
          <w:color w:val="auto"/>
          <w:sz w:val="24"/>
          <w:szCs w:val="24"/>
          <w:highlight w:val="none"/>
          <w:lang w:val="en-US" w:eastAsia="zh-CN"/>
        </w:rPr>
        <w:t xml:space="preserve">应当要求相关供应商在评标现场合理的时间内对投标价格作出解释，提供项目具体成本测算等与报价合理性相关的书面说明及相关证明材料</w:t>
      </w:r>
      <w:bookmarkStart w:id="5" w:name="OLE_LINK9"/>
      <w:r/>
      <w:bookmarkStart w:id="6" w:name="OLE_LINK10"/>
      <w:r>
        <w:rPr>
          <w:rFonts w:hint="eastAsia" w:ascii="宋体" w:hAnsi="宋体" w:eastAsia="宋体" w:cs="宋体"/>
          <w:b w:val="0"/>
          <w:bCs w:val="0"/>
          <w:color w:val="auto"/>
          <w:sz w:val="24"/>
          <w:szCs w:val="24"/>
          <w:highlight w:val="none"/>
          <w:lang w:val="en-US" w:eastAsia="zh-CN"/>
        </w:rPr>
        <w:t xml:space="preserve">，</w:t>
      </w:r>
      <w:bookmarkEnd w:id="5"/>
      <w:r/>
      <w:bookmarkEnd w:id="6"/>
      <w:r>
        <w:rPr>
          <w:rFonts w:hint="eastAsia" w:ascii="宋体" w:hAnsi="宋体" w:eastAsia="宋体" w:cs="宋体"/>
          <w:b w:val="0"/>
          <w:bCs w:val="0"/>
          <w:color w:val="auto"/>
          <w:sz w:val="24"/>
          <w:szCs w:val="24"/>
          <w:highlight w:val="none"/>
          <w:lang w:val="en-US" w:eastAsia="zh-CN"/>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5.2废标后，采购人应当将废标理由通知所有投标人。</w:t>
      </w:r>
      <w:r/>
    </w:p>
    <w:p>
      <w:pPr>
        <w:ind w:left="567"/>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w:t>
      </w:r>
      <w:r/>
    </w:p>
    <w:p>
      <w:pPr>
        <w:pStyle w:val="1028"/>
        <w:ind w:firstLine="480"/>
        <w:spacing w:line="360" w:lineRule="auto"/>
        <w:rPr>
          <w:rFonts w:cs="宋体"/>
          <w:color w:val="auto"/>
          <w:highlight w:val="none"/>
        </w:rPr>
      </w:pPr>
      <w:r>
        <w:rPr>
          <w:rFonts w:hint="eastAsia" w:cs="宋体"/>
          <w:color w:val="auto"/>
          <w:highlight w:val="none"/>
        </w:rPr>
        <w:t xml:space="preserve">6.1本项目评标方法采用综合评分法，</w:t>
      </w:r>
      <w:r>
        <w:rPr>
          <w:rFonts w:hint="eastAsia"/>
          <w:color w:val="auto"/>
          <w:highlight w:val="none"/>
        </w:rPr>
        <w:t xml:space="preserve">即指投标文件满足招标文件全部实质性要求，且按照评审因素的量化指标评审得分最高的投标人为中标候选人的评标方法</w:t>
      </w:r>
      <w:r>
        <w:rPr>
          <w:rFonts w:hint="eastAsia" w:cs="宋体"/>
          <w:color w:val="auto"/>
          <w:highlight w:val="none"/>
        </w:rPr>
        <w:t xml:space="preserve">。</w:t>
      </w:r>
      <w:r/>
    </w:p>
    <w:p>
      <w:pPr>
        <w:pStyle w:val="1028"/>
        <w:ind w:firstLine="480"/>
        <w:spacing w:line="360" w:lineRule="auto"/>
        <w:rPr>
          <w:rFonts w:cs="宋体"/>
          <w:color w:val="auto"/>
          <w:highlight w:val="none"/>
        </w:rPr>
      </w:pPr>
      <w:r>
        <w:rPr>
          <w:rFonts w:hint="eastAsia" w:cs="宋体"/>
          <w:color w:val="auto"/>
          <w:highlight w:val="none"/>
        </w:rPr>
        <w:t xml:space="preserve">6.2评标结果按评审后得分由高到低顺序排列。得分相同的，按投标报价由低到高顺序排列。得分且投标报价相同的，则由评标委员会组织抽签确定中标候选人顺序。</w:t>
      </w:r>
      <w:r/>
    </w:p>
    <w:p>
      <w:pPr>
        <w:pStyle w:val="1028"/>
        <w:ind w:firstLine="480"/>
        <w:spacing w:line="360" w:lineRule="auto"/>
        <w:rPr>
          <w:rFonts w:cs="宋体"/>
          <w:b/>
          <w:bCs/>
          <w:color w:val="auto"/>
          <w:highlight w:val="none"/>
        </w:rPr>
      </w:pPr>
      <w:r>
        <w:rPr>
          <w:rFonts w:hint="eastAsia" w:cs="宋体"/>
          <w:color w:val="auto"/>
          <w:highlight w:val="none"/>
        </w:rPr>
        <w:t xml:space="preserve">6.3评标委员会在确定的中标候选人名单中按顺序确定中标单位，中标候选人并列的，按照招标文件规定的方式确定中标单位</w:t>
      </w:r>
      <w:r>
        <w:rPr>
          <w:rFonts w:hint="eastAsia" w:cs="宋体"/>
          <w:b/>
          <w:bCs/>
          <w:color w:val="auto"/>
          <w:highlight w:val="none"/>
        </w:rPr>
        <w:t xml:space="preserve">。</w:t>
      </w:r>
      <w:r/>
    </w:p>
    <w:p>
      <w:pPr>
        <w:pStyle w:val="1028"/>
        <w:ind w:firstLine="480"/>
        <w:spacing w:line="360" w:lineRule="auto"/>
        <w:rPr>
          <w:rFonts w:cs="宋体"/>
          <w:color w:val="auto"/>
          <w:highlight w:val="none"/>
        </w:rPr>
      </w:pPr>
      <w:r>
        <w:rPr>
          <w:rFonts w:hint="eastAsia" w:cs="宋体"/>
          <w:color w:val="auto"/>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99"/>
      <w:r/>
      <w:bookmarkStart w:id="8" w:name="_Hlk132389804"/>
      <w:r/>
      <w:bookmarkStart w:id="9" w:name="_Hlk132385577"/>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pStyle w:val="1028"/>
        <w:ind w:firstLine="480"/>
        <w:spacing w:line="360" w:lineRule="auto"/>
        <w:rPr>
          <w:rFonts w:cs="宋体"/>
          <w:color w:val="auto"/>
          <w:highlight w:val="none"/>
        </w:rPr>
      </w:pPr>
      <w:r>
        <w:rPr>
          <w:rFonts w:hint="eastAsia" w:cs="宋体"/>
          <w:color w:val="auto"/>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28"/>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w:t>
      </w:r>
      <w:r>
        <w:rPr>
          <w:rFonts w:hint="eastAsia" w:ascii="宋体" w:hAnsi="宋体" w:eastAsia="宋体" w:cs="宋体"/>
          <w:b/>
          <w:bCs/>
          <w:color w:val="auto"/>
          <w:sz w:val="24"/>
          <w:szCs w:val="24"/>
          <w:highlight w:val="none"/>
        </w:rPr>
        <w:t xml:space="preserve">由中标单位承担。因本项目代理服务费是去年财政预算申报时已经包含在采购预算内。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11.2本项目代理服务费（人民币）：</w:t>
      </w:r>
      <w:r>
        <w:rPr>
          <w:rFonts w:hint="eastAsia" w:ascii="宋体" w:hAnsi="宋体" w:eastAsia="宋体" w:cs="宋体"/>
          <w:bCs/>
          <w:color w:val="auto"/>
          <w:sz w:val="24"/>
          <w:szCs w:val="24"/>
          <w:highlight w:val="none"/>
          <w:lang w:val="en-US" w:eastAsia="zh-CN"/>
        </w:rPr>
        <w:t xml:space="preserve">13230.00元。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11.3代理服务费由中标人在领取中标通知书时一次性付清并含在其投标报价中。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11.4中标人如果未按上述规定缴纳中标服务费，采购代理机构将保留诉讼的权利。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未尽事宜按《中华人民共和国政府采购法》及其他有关法律法规文件的规定执行。</w:t>
      </w:r>
      <w:r/>
    </w:p>
    <w:p>
      <w:pPr>
        <w:pStyle w:val="946"/>
        <w:ind w:firstLine="502"/>
        <w:jc w:val="both"/>
        <w:spacing w:line="360" w:lineRule="auto"/>
        <w:rPr>
          <w:rFonts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46"/>
        <w:ind w:firstLine="482"/>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1、投标响应函</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1、我们愿意按照招标文件的一切要求，提供完成该项目的全部内容，我们的投标报价合同金额包括完成所有采购内容以及本项目所需的劳务支出、保险、配套费用、税费及服务相关等所发生的全部费用以及供应商投标响应单位利润、税金、意外险和政策性文件规定及合同包含的所有风险、责任等各项应有费用。除非因特殊原因并经买卖双方协商同意，乙方不得再要求追加任何费用。</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7、我们承诺本项投标文件在开标后的全过程中保持有效。我们同意中标后若不履行投标文件的内容要求和各项承诺及义务的即被视为违约，我们愿承担由此造成的一切后果。</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8、与本次招标有关的通讯地址：</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46"/>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46"/>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46"/>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spacing w:line="360" w:lineRule="auto"/>
        <w:rPr>
          <w:rFonts w:ascii="宋体" w:hAnsi="宋体" w:eastAsia="宋体" w:cs="宋体"/>
          <w:bCs/>
          <w:color w:val="auto"/>
          <w:szCs w:val="21"/>
          <w:highlight w:val="none"/>
        </w:rPr>
      </w:pPr>
      <w:r>
        <w:rPr>
          <w:rFonts w:ascii="宋体" w:hAnsi="宋体" w:eastAsia="宋体" w:cs="宋体"/>
          <w:bCs/>
          <w:color w:val="auto"/>
          <w:szCs w:val="21"/>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46"/>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（单位名称）</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号（采购编号）采购项目的开标、评标和合同签订过程中所签署的一切文件和处理与这有关的一切事务，我公司均予以承认。</w:t>
      </w:r>
      <w:r/>
    </w:p>
    <w:p>
      <w:pPr>
        <w:pStyle w:val="946"/>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46"/>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1018"/>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46"/>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46"/>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46"/>
        <w:ind w:firstLine="482"/>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46"/>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81"/>
        <w:ind w:firstLine="480"/>
        <w:jc w:val="both"/>
        <w:spacing w:line="360" w:lineRule="atLeast"/>
        <w:rPr>
          <w:rFonts w:hint="default" w:cs="宋体"/>
          <w:color w:val="auto"/>
          <w:highlight w:val="none"/>
        </w:rPr>
      </w:pPr>
      <w:r>
        <w:rPr>
          <w:rFonts w:hint="default" w:cs="宋体"/>
          <w:color w:val="auto"/>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18"/>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1018"/>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1018"/>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1018"/>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18"/>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18"/>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32"/>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32"/>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32"/>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32"/>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rPr>
          <w:color w:val="auto"/>
          <w:highlight w:val="none"/>
        </w:rPr>
      </w:pPr>
      <w:r>
        <w:rPr>
          <w:color w:val="auto"/>
          <w:highlight w:val="none"/>
        </w:rPr>
      </w:r>
      <w:r/>
    </w:p>
    <w:p>
      <w:pPr>
        <w:pStyle w:val="946"/>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9"/>
        <w:jc w:val="center"/>
        <w:spacing w:line="360" w:lineRule="auto"/>
        <w:rPr>
          <w:rFonts w:hAnsi="宋体" w:eastAsia="宋体" w:cs="宋体"/>
          <w:b/>
          <w:color w:val="auto"/>
          <w:sz w:val="24"/>
          <w:highlight w:val="none"/>
        </w:rPr>
      </w:pPr>
      <w:r>
        <w:rPr>
          <w:rFonts w:hint="eastAsia" w:hAnsi="宋体" w:eastAsia="宋体" w:cs="宋体"/>
          <w:b/>
          <w:color w:val="auto"/>
          <w:sz w:val="24"/>
          <w:highlight w:val="none"/>
        </w:rPr>
        <w:t xml:space="preserve">开标一览表</w:t>
      </w:r>
      <w:r/>
    </w:p>
    <w:tbl>
      <w:tblPr>
        <w:tblStyle w:val="945"/>
        <w:tblW w:w="9447"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582"/>
        <w:gridCol w:w="2684"/>
        <w:gridCol w:w="1833"/>
      </w:tblGrid>
      <w:tr>
        <w:trPr>
          <w:trHeight w:val="427"/>
        </w:trPr>
        <w:tc>
          <w:tcPr>
            <w:tcW w:w="1348" w:type="dxa"/>
            <w:vAlign w:val="center"/>
            <w:textDirection w:val="lrTb"/>
            <w:noWrap w:val="false"/>
          </w:tcPr>
          <w:p>
            <w:pPr>
              <w:pStyle w:val="959"/>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582" w:type="dxa"/>
            <w:vAlign w:val="center"/>
            <w:textDirection w:val="lrTb"/>
            <w:noWrap w:val="false"/>
          </w:tcPr>
          <w:p>
            <w:pPr>
              <w:pStyle w:val="959"/>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684" w:type="dxa"/>
            <w:vAlign w:val="center"/>
            <w:textDirection w:val="lrTb"/>
            <w:noWrap w:val="false"/>
          </w:tcPr>
          <w:p>
            <w:pPr>
              <w:pStyle w:val="959"/>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33" w:type="dxa"/>
            <w:vAlign w:val="center"/>
            <w:textDirection w:val="lrTb"/>
            <w:noWrap w:val="false"/>
          </w:tcPr>
          <w:p>
            <w:pPr>
              <w:pStyle w:val="959"/>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tc>
          <w:tcPr>
            <w:tcW w:w="13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3582"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684" w:type="dxa"/>
            <w:vAlign w:val="center"/>
            <w:textDirection w:val="lrTb"/>
            <w:noWrap w:val="false"/>
          </w:tcPr>
          <w:p>
            <w:pPr>
              <w:pStyle w:val="959"/>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33" w:type="dxa"/>
            <w:vAlign w:val="center"/>
            <w:textDirection w:val="lrTb"/>
            <w:noWrap w:val="false"/>
          </w:tcPr>
          <w:p>
            <w:pPr>
              <w:pStyle w:val="959"/>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59"/>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    </w:t>
      </w:r>
      <w:r/>
    </w:p>
    <w:p>
      <w:pPr>
        <w:pStyle w:val="1018"/>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18"/>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18"/>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w:t>
      </w:r>
      <w:r>
        <w:rPr>
          <w:rFonts w:hint="eastAsia" w:hAnsi="宋体" w:eastAsia="宋体" w:cs="宋体"/>
          <w:color w:val="auto"/>
          <w:szCs w:val="24"/>
          <w:highlight w:val="none"/>
        </w:rPr>
        <w:t xml:space="preserve">公开分项报价表</w:t>
      </w:r>
      <w:bookmarkEnd w:id="10"/>
      <w:r/>
      <w:r/>
    </w:p>
    <w:tbl>
      <w:tblPr>
        <w:tblStyle w:val="94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5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0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0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29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生产厂家</w:t>
            </w:r>
            <w:r/>
          </w:p>
        </w:tc>
        <w:tc>
          <w:tcPr>
            <w:tcW w:w="76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72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31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23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总价（元）</w:t>
            </w:r>
            <w:r/>
          </w:p>
        </w:tc>
        <w:tc>
          <w:tcPr>
            <w:tcW w:w="96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p>
        </w:tc>
      </w:tr>
      <w:tr>
        <w:trPr>
          <w:jc w:val="center"/>
          <w:trHeight w:val="567"/>
        </w:trPr>
        <w:tc>
          <w:tcPr>
            <w:tcW w:w="95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086"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086"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086"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086"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086"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4"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90"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65"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2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19"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1"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63" w:type="dxa"/>
            <w:vAlign w:val="center"/>
            <w:textDirection w:val="lrTb"/>
            <w:noWrap w:val="false"/>
          </w:tcPr>
          <w:p>
            <w:pPr>
              <w:pStyle w:val="95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gridSpan w:val="9"/>
            <w:tcW w:w="9638" w:type="dxa"/>
            <w:vAlign w:val="center"/>
            <w:textDirection w:val="lrTb"/>
            <w:noWrap w:val="false"/>
          </w:tcPr>
          <w:p>
            <w:pPr>
              <w:pStyle w:val="959"/>
              <w:jc w:val="both"/>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pacing w:val="20"/>
                <w:sz w:val="24"/>
                <w:szCs w:val="24"/>
                <w:highlight w:val="none"/>
              </w:rPr>
              <w:t xml:space="preserve">合计金额（人民币）</w:t>
            </w:r>
            <w:r>
              <w:rPr>
                <w:rFonts w:hint="eastAsia" w:hAnsi="宋体" w:eastAsia="宋体" w:cs="宋体"/>
                <w:color w:val="auto"/>
                <w:spacing w:val="20"/>
                <w:sz w:val="24"/>
                <w:szCs w:val="24"/>
                <w:highlight w:val="none"/>
                <w:lang w:eastAsia="zh-CN"/>
              </w:rPr>
              <w:t xml:space="preserve">：</w:t>
            </w:r>
            <w:r/>
          </w:p>
        </w:tc>
      </w:tr>
      <w:tr>
        <w:trPr>
          <w:jc w:val="center"/>
          <w:trHeight w:val="567"/>
        </w:trPr>
        <w:tc>
          <w:tcPr>
            <w:gridSpan w:val="9"/>
            <w:tcW w:w="9638" w:type="dxa"/>
            <w:vAlign w:val="center"/>
            <w:textDirection w:val="lrTb"/>
            <w:noWrap w:val="false"/>
          </w:tcPr>
          <w:p>
            <w:pPr>
              <w:pStyle w:val="959"/>
              <w:jc w:val="both"/>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 xml:space="preserve">%</w:t>
            </w:r>
            <w:r/>
          </w:p>
        </w:tc>
      </w:tr>
    </w:tbl>
    <w:p>
      <w:pPr>
        <w:pStyle w:val="946"/>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46"/>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1、报价表包含投标人各项成本核算和投入的成本明细，合计金额应与开标一览表投标总价一致；否则，以开标一览表为准。</w:t>
      </w:r>
      <w:r/>
    </w:p>
    <w:p>
      <w:pPr>
        <w:pStyle w:val="946"/>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2、各投标人应根据此表格式按项目分别填写报价详细清单，如表格内容不够，可自行添加。</w:t>
      </w:r>
      <w:r/>
    </w:p>
    <w:p>
      <w:pPr>
        <w:pStyle w:val="946"/>
        <w:ind w:left="0" w:right="420" w:firstLine="482"/>
        <w:spacing w:line="360" w:lineRule="auto"/>
        <w:shd w:val="clear" w:color="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1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1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101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101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46"/>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技术参数响应及偏离表</w:t>
      </w:r>
      <w:r/>
    </w:p>
    <w:tbl>
      <w:tblPr>
        <w:tblStyle w:val="94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9"/>
        <w:gridCol w:w="2268"/>
        <w:gridCol w:w="2268"/>
        <w:gridCol w:w="2318"/>
      </w:tblGrid>
      <w:tr>
        <w:trPr>
          <w:jc w:val="center"/>
          <w:trHeight w:val="567"/>
        </w:trPr>
        <w:tc>
          <w:tcPr>
            <w:tcW w:w="1232"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59"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投标产品技术参数</w:t>
            </w:r>
            <w:r/>
          </w:p>
        </w:tc>
        <w:tc>
          <w:tcPr>
            <w:tcW w:w="231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59"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59"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59"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59"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c>
          <w:tcPr>
            <w:tcW w:w="1559"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18" w:type="dxa"/>
            <w:vAlign w:val="center"/>
            <w:textDirection w:val="lrTb"/>
            <w:noWrap/>
          </w:tcPr>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5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w:t>
      </w:r>
      <w:r>
        <w:rPr>
          <w:rFonts w:hint="eastAsia" w:ascii="宋体" w:hAnsi="宋体" w:eastAsia="宋体" w:cs="宋体"/>
          <w:b/>
          <w:bCs w:val="0"/>
          <w:color w:val="auto"/>
          <w:sz w:val="24"/>
          <w:szCs w:val="24"/>
          <w:highlight w:val="none"/>
          <w:lang w:eastAsia="zh-CN"/>
        </w:rPr>
        <w:t xml:space="preserve">投标产品</w:t>
      </w:r>
      <w:r>
        <w:rPr>
          <w:rFonts w:hint="eastAsia" w:ascii="宋体" w:hAnsi="宋体" w:eastAsia="宋体" w:cs="宋体"/>
          <w:b/>
          <w:bCs w:val="0"/>
          <w:color w:val="auto"/>
          <w:sz w:val="24"/>
          <w:szCs w:val="24"/>
          <w:highlight w:val="none"/>
        </w:rPr>
        <w:t xml:space="preserve">对招标文件技术要求应作出的详细描述和说明。</w:t>
      </w:r>
      <w:r/>
    </w:p>
    <w:p>
      <w:pPr>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以上表格内容不够的请自行添加。</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ind w:left="0"/>
        <w:jc w:val="left"/>
        <w:rPr>
          <w:rFonts w:hint="eastAsia" w:ascii="宋体" w:hAnsi="宋体" w:eastAsia="宋体" w:cs="宋体"/>
          <w:b/>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商务条款响应及偏离表</w:t>
      </w:r>
      <w:r/>
    </w:p>
    <w:p>
      <w:pPr>
        <w:ind w:left="0"/>
        <w:jc w:val="center"/>
        <w:spacing w:before="100" w:beforeAutospacing="1" w:after="100" w:afterAutospacing="1"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商务条款响应及偏离表</w:t>
      </w:r>
      <w:r/>
    </w:p>
    <w:tbl>
      <w:tblPr>
        <w:tblStyle w:val="945"/>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7"/>
        <w:gridCol w:w="2250"/>
        <w:gridCol w:w="2412"/>
        <w:gridCol w:w="2089"/>
      </w:tblGrid>
      <w:tr>
        <w:trPr>
          <w:trHeight w:val="760"/>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以上表格内容不够的请自行添加。</w:t>
      </w:r>
      <w:r/>
    </w:p>
    <w:p>
      <w:pPr>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Cs/>
          <w:color w:val="auto"/>
          <w:sz w:val="24"/>
          <w:szCs w:val="24"/>
          <w:highlight w:val="none"/>
          <w:lang w:val="en-US" w:eastAsia="zh-CN"/>
        </w:rPr>
        <w:br w:type="page" w:clear="all"/>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rPr>
        <w:t xml:space="preserve">投标货物和服务数量、品牌、规格、制造商明细表</w:t>
      </w:r>
      <w:r/>
    </w:p>
    <w:tbl>
      <w:tblPr>
        <w:tblStyle w:val="945"/>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1.本表不得出现价格。</w:t>
      </w:r>
      <w:r/>
    </w:p>
    <w:p>
      <w:pPr>
        <w:ind w:firstLine="42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2.供应商应在“投标货物和服务数量、品牌、规格、制造商明细表”中必须列明所有投标产品的品牌、规格/型号、制造商和数量，且数量需满足采购需求，</w:t>
      </w:r>
      <w:r>
        <w:rPr>
          <w:rFonts w:hint="eastAsia" w:ascii="宋体" w:hAnsi="宋体" w:eastAsia="宋体" w:cs="宋体"/>
          <w:b/>
          <w:color w:val="auto"/>
          <w:sz w:val="24"/>
          <w:szCs w:val="24"/>
          <w:highlight w:val="none"/>
        </w:rPr>
        <w:t xml:space="preserve">否则投标无效。</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、中小企业声明函</w:t>
      </w:r>
      <w:r/>
    </w:p>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苏州正杰招投标咨询服务有限公司</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tabs>
          <w:tab w:val="center" w:pos="5258" w:leader="none"/>
        </w:tabs>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shd w:val="clear" w:color="auto"/>
        <w:rPr>
          <w:rFonts w:hint="eastAsia" w:ascii="方正魏碑_GBK" w:hAnsi="方正魏碑_GBK"/>
          <w:color w:val="auto"/>
          <w:szCs w:val="24"/>
          <w:highlight w:val="none"/>
        </w:rPr>
        <w:outlineLvl w:val="0"/>
      </w:pPr>
      <w:r>
        <w:rPr>
          <w:rFonts w:hint="eastAsia" w:ascii="宋体" w:hAnsi="宋体" w:eastAsia="宋体" w:cs="宋体"/>
          <w:b w:val="0"/>
          <w:bCs w:val="0"/>
          <w:color w:val="auto"/>
          <w:sz w:val="24"/>
          <w:szCs w:val="24"/>
          <w:highlight w:val="none"/>
          <w:lang w:val="en-US" w:eastAsia="zh-CN"/>
        </w:rPr>
        <w:t xml:space="preserve">10、关于符合本国产品标准的声明函（采购包号：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rPr>
          <w:rFonts w:ascii="方正魏碑_GBK" w:hAnsi="方正魏碑_GBK"/>
          <w:color w:val="auto"/>
          <w:highlight w:val="none"/>
        </w:rPr>
        <w:t xml:space="preserve"> </w:t>
      </w:r>
      <w:r/>
    </w:p>
    <w:p>
      <w:pPr>
        <w:pStyle w:val="981"/>
        <w:ind w:firstLine="42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firstLine="420"/>
        <w:spacing w:before="0" w:after="3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shd w:val="clear" w:color="auto" w:fill="ffffff"/>
        </w:rPr>
        <w:t xml:space="preserve">1.</w:t>
      </w:r>
      <w:r>
        <w:rPr>
          <w:rStyle w:val="1078"/>
          <w:rFonts w:hint="eastAsia" w:ascii="宋体" w:hAnsi="宋体" w:eastAsia="宋体" w:cs="宋体"/>
          <w:b w:val="0"/>
          <w:bCs w:val="0"/>
          <w:i w:val="0"/>
          <w:color w:val="auto"/>
          <w:highlight w:val="none"/>
          <w:u w:val="single"/>
          <w:shd w:val="clear" w:color="auto" w:fill="ffffff"/>
        </w:rPr>
        <w:t xml:space="preserve">（产品名称1）</w:t>
      </w:r>
      <w:r>
        <w:rPr>
          <w:rStyle w:val="1078"/>
          <w:rFonts w:hint="eastAsia" w:ascii="宋体" w:hAnsi="宋体" w:eastAsia="宋体" w:cs="宋体"/>
          <w:b w:val="0"/>
          <w:bCs w:val="0"/>
          <w:i w:val="0"/>
          <w:color w:val="auto"/>
          <w:highlight w:val="none"/>
          <w:shd w:val="clear" w:color="auto" w:fill="ffffff"/>
          <w:vertAlign w:val="superscript"/>
        </w:rPr>
        <w:t xml:space="preserve">1</w:t>
      </w:r>
      <w:r>
        <w:rPr>
          <w:rFonts w:hint="eastAsia" w:ascii="宋体" w:hAnsi="宋体" w:eastAsia="宋体" w:cs="宋体"/>
          <w:b w:val="0"/>
          <w:bCs w:val="0"/>
          <w:color w:val="auto"/>
          <w:highlight w:val="none"/>
          <w:shd w:val="clear" w:color="auto" w:fill="ffffff"/>
        </w:rPr>
        <w:t xml:space="preserve">，生产厂为</w:t>
      </w:r>
      <w:r>
        <w:rPr>
          <w:rStyle w:val="1078"/>
          <w:rFonts w:hint="eastAsia" w:ascii="宋体" w:hAnsi="宋体" w:eastAsia="宋体" w:cs="宋体"/>
          <w:b w:val="0"/>
          <w:bCs w:val="0"/>
          <w:i w:val="0"/>
          <w:color w:val="auto"/>
          <w:highlight w:val="none"/>
          <w:u w:val="single"/>
          <w:shd w:val="clear" w:color="auto" w:fill="ffffff"/>
        </w:rPr>
        <w:t xml:space="preserve">（厂名）</w:t>
      </w:r>
      <w:r>
        <w:rPr>
          <w:rStyle w:val="1078"/>
          <w:rFonts w:hint="eastAsia" w:ascii="宋体" w:hAnsi="宋体" w:eastAsia="宋体" w:cs="宋体"/>
          <w:b w:val="0"/>
          <w:bCs w:val="0"/>
          <w:i w:val="0"/>
          <w:color w:val="auto"/>
          <w:highlight w:val="none"/>
          <w:shd w:val="clear" w:color="auto" w:fill="ffffff"/>
          <w:vertAlign w:val="superscript"/>
        </w:rPr>
        <w:t xml:space="preserve">2</w:t>
      </w:r>
      <w:r>
        <w:rPr>
          <w:rFonts w:hint="eastAsia" w:ascii="宋体" w:hAnsi="宋体" w:eastAsia="宋体" w:cs="宋体"/>
          <w:b w:val="0"/>
          <w:bCs w:val="0"/>
          <w:color w:val="auto"/>
          <w:highlight w:val="none"/>
          <w:shd w:val="clear" w:color="auto" w:fill="ffffff"/>
        </w:rPr>
        <w:t xml:space="preserve">，厂址为</w:t>
      </w:r>
      <w:r>
        <w:rPr>
          <w:rStyle w:val="1078"/>
          <w:rFonts w:hint="eastAsia" w:ascii="宋体" w:hAnsi="宋体" w:eastAsia="宋体" w:cs="宋体"/>
          <w:b w:val="0"/>
          <w:bCs w:val="0"/>
          <w:i w:val="0"/>
          <w:color w:val="auto"/>
          <w:highlight w:val="none"/>
          <w:u w:val="single"/>
          <w:shd w:val="clear" w:color="auto" w:fill="ffffff"/>
        </w:rPr>
        <w:t xml:space="preserve">（生产厂址）</w:t>
      </w:r>
      <w:r>
        <w:rPr>
          <w:rFonts w:hint="eastAsia" w:ascii="宋体" w:hAnsi="宋体" w:eastAsia="宋体" w:cs="宋体"/>
          <w:b w:val="0"/>
          <w:bCs w:val="0"/>
          <w:color w:val="auto"/>
          <w:highlight w:val="none"/>
          <w:shd w:val="clear" w:color="auto" w:fill="ffffff"/>
        </w:rPr>
        <w:t xml:space="preserve">。</w:t>
      </w:r>
      <w:r>
        <w:rPr>
          <w:rFonts w:hint="eastAsia" w:ascii="宋体" w:hAnsi="宋体" w:eastAsia="宋体" w:cs="宋体"/>
          <w:b w:val="0"/>
          <w:bCs w:val="0"/>
          <w:color w:val="auto"/>
          <w:highlight w:val="none"/>
          <w:u w:val="single"/>
          <w:shd w:val="clear" w:color="auto" w:fill="ffffff"/>
        </w:rPr>
        <w:t xml:space="preserve"> </w:t>
      </w:r>
      <w:r>
        <w:rPr>
          <w:rStyle w:val="1078"/>
          <w:rFonts w:hint="eastAsia" w:ascii="宋体" w:hAnsi="宋体" w:eastAsia="宋体" w:cs="宋体"/>
          <w:b w:val="0"/>
          <w:bCs w:val="0"/>
          <w:i w:val="0"/>
          <w:color w:val="auto"/>
          <w:highlight w:val="none"/>
          <w:u w:val="single"/>
          <w:shd w:val="clear" w:color="auto" w:fill="ffffff"/>
        </w:rPr>
        <w:t xml:space="preserve">（产品名称1） </w:t>
      </w:r>
      <w:r>
        <w:rPr>
          <w:rFonts w:hint="eastAsia" w:ascii="宋体" w:hAnsi="宋体" w:eastAsia="宋体" w:cs="宋体"/>
          <w:b w:val="0"/>
          <w:bCs w:val="0"/>
          <w:color w:val="auto"/>
          <w:highlight w:val="none"/>
          <w:shd w:val="clear" w:color="auto" w:fill="ffffff"/>
        </w:rPr>
        <w:t xml:space="preserve">的中国境内生产的组件成本占比≥</w:t>
      </w:r>
      <w:r>
        <w:rPr>
          <w:rStyle w:val="1078"/>
          <w:rFonts w:hint="eastAsia" w:ascii="宋体" w:hAnsi="宋体" w:eastAsia="宋体" w:cs="宋体"/>
          <w:b w:val="0"/>
          <w:bCs w:val="0"/>
          <w:i w:val="0"/>
          <w:color w:val="auto"/>
          <w:highlight w:val="none"/>
          <w:u w:val="single"/>
          <w:shd w:val="clear" w:color="auto" w:fill="ffffff"/>
        </w:rPr>
        <w:t xml:space="preserve">（规定比例）</w:t>
      </w:r>
      <w:r>
        <w:rPr>
          <w:rStyle w:val="1078"/>
          <w:rFonts w:hint="eastAsia" w:ascii="宋体" w:hAnsi="宋体" w:eastAsia="宋体" w:cs="宋体"/>
          <w:b w:val="0"/>
          <w:bCs w:val="0"/>
          <w:i w:val="0"/>
          <w:color w:val="auto"/>
          <w:highlight w:val="none"/>
          <w:shd w:val="clear" w:color="auto" w:fill="ffffff"/>
          <w:vertAlign w:val="superscript"/>
        </w:rPr>
        <w:t xml:space="preserve">3</w:t>
      </w:r>
      <w:r>
        <w:rPr>
          <w:rFonts w:hint="eastAsia" w:ascii="宋体" w:hAnsi="宋体" w:eastAsia="宋体" w:cs="宋体"/>
          <w:b w:val="0"/>
          <w:bCs w:val="0"/>
          <w:color w:val="auto"/>
          <w:highlight w:val="none"/>
          <w:shd w:val="clear" w:color="auto" w:fill="ffffff"/>
        </w:rPr>
        <w:t xml:space="preserve">。</w:t>
      </w:r>
      <w:r>
        <w:rPr>
          <w:rStyle w:val="1078"/>
          <w:rFonts w:hint="eastAsia" w:ascii="宋体" w:hAnsi="宋体" w:eastAsia="宋体" w:cs="宋体"/>
          <w:b w:val="0"/>
          <w:bCs w:val="0"/>
          <w:i w:val="0"/>
          <w:color w:val="auto"/>
          <w:highlight w:val="none"/>
          <w:u w:val="single"/>
          <w:shd w:val="clear" w:color="auto" w:fill="ffffff"/>
        </w:rPr>
        <w:t xml:space="preserve">（产品名称1）</w:t>
      </w:r>
      <w:r>
        <w:rPr>
          <w:rFonts w:hint="eastAsia" w:ascii="宋体" w:hAnsi="宋体" w:eastAsia="宋体" w:cs="宋体"/>
          <w:b w:val="0"/>
          <w:bCs w:val="0"/>
          <w:color w:val="auto"/>
          <w:highlight w:val="none"/>
          <w:shd w:val="clear" w:color="auto" w:fill="ffffff"/>
        </w:rPr>
        <w:t xml:space="preserve">的</w:t>
      </w:r>
      <w:r>
        <w:rPr>
          <w:rStyle w:val="1078"/>
          <w:rFonts w:hint="eastAsia" w:ascii="宋体" w:hAnsi="宋体" w:eastAsia="宋体" w:cs="宋体"/>
          <w:b w:val="0"/>
          <w:bCs w:val="0"/>
          <w:i w:val="0"/>
          <w:color w:val="auto"/>
          <w:highlight w:val="none"/>
          <w:u w:val="single"/>
          <w:shd w:val="clear" w:color="auto" w:fill="ffffff"/>
        </w:rPr>
        <w:t xml:space="preserve">（关键组件）</w:t>
      </w:r>
      <w:r>
        <w:rPr>
          <w:rStyle w:val="1078"/>
          <w:rFonts w:hint="eastAsia" w:ascii="宋体" w:hAnsi="宋体" w:eastAsia="宋体" w:cs="宋体"/>
          <w:b w:val="0"/>
          <w:bCs w:val="0"/>
          <w:i w:val="0"/>
          <w:color w:val="auto"/>
          <w:highlight w:val="none"/>
          <w:shd w:val="clear" w:color="auto" w:fill="ffffff"/>
          <w:vertAlign w:val="superscript"/>
        </w:rPr>
        <w:t xml:space="preserve">4</w:t>
      </w:r>
      <w:r>
        <w:rPr>
          <w:rFonts w:hint="eastAsia" w:ascii="宋体" w:hAnsi="宋体" w:eastAsia="宋体" w:cs="宋体"/>
          <w:b w:val="0"/>
          <w:bCs w:val="0"/>
          <w:color w:val="auto"/>
          <w:highlight w:val="none"/>
          <w:shd w:val="clear" w:color="auto" w:fill="ffffff"/>
        </w:rPr>
        <w:t xml:space="preserve">在中国境内生产。</w:t>
      </w:r>
      <w:r>
        <w:rPr>
          <w:rStyle w:val="1078"/>
          <w:rFonts w:hint="eastAsia" w:ascii="宋体" w:hAnsi="宋体" w:eastAsia="宋体" w:cs="宋体"/>
          <w:b w:val="0"/>
          <w:bCs w:val="0"/>
          <w:i w:val="0"/>
          <w:color w:val="auto"/>
          <w:highlight w:val="none"/>
          <w:u w:val="single"/>
          <w:shd w:val="clear" w:color="auto" w:fill="ffffff"/>
        </w:rPr>
        <w:t xml:space="preserve">（产品名称1）</w:t>
      </w:r>
      <w:r>
        <w:rPr>
          <w:rFonts w:hint="eastAsia" w:ascii="宋体" w:hAnsi="宋体" w:eastAsia="宋体" w:cs="宋体"/>
          <w:b w:val="0"/>
          <w:bCs w:val="0"/>
          <w:color w:val="auto"/>
          <w:highlight w:val="none"/>
          <w:shd w:val="clear" w:color="auto" w:fill="ffffff"/>
        </w:rPr>
        <w:t xml:space="preserve">的</w:t>
      </w:r>
      <w:r>
        <w:rPr>
          <w:rStyle w:val="1078"/>
          <w:rFonts w:hint="eastAsia" w:ascii="宋体" w:hAnsi="宋体" w:eastAsia="宋体" w:cs="宋体"/>
          <w:b w:val="0"/>
          <w:bCs w:val="0"/>
          <w:i w:val="0"/>
          <w:color w:val="auto"/>
          <w:highlight w:val="none"/>
          <w:u w:val="single"/>
          <w:shd w:val="clear" w:color="auto" w:fill="ffffff"/>
        </w:rPr>
        <w:t xml:space="preserve">（关键工序）</w:t>
      </w:r>
      <w:r>
        <w:rPr>
          <w:rStyle w:val="1078"/>
          <w:rFonts w:hint="eastAsia" w:ascii="宋体" w:hAnsi="宋体" w:eastAsia="宋体" w:cs="宋体"/>
          <w:b w:val="0"/>
          <w:bCs w:val="0"/>
          <w:i w:val="0"/>
          <w:color w:val="auto"/>
          <w:highlight w:val="none"/>
          <w:shd w:val="clear" w:color="auto" w:fill="ffffff"/>
          <w:vertAlign w:val="superscript"/>
        </w:rPr>
        <w:t xml:space="preserve">5</w:t>
      </w:r>
      <w:r>
        <w:rPr>
          <w:rFonts w:hint="eastAsia" w:ascii="宋体" w:hAnsi="宋体" w:eastAsia="宋体" w:cs="宋体"/>
          <w:b w:val="0"/>
          <w:bCs w:val="0"/>
          <w:color w:val="auto"/>
          <w:highlight w:val="none"/>
          <w:shd w:val="clear" w:color="auto" w:fill="ffffff"/>
        </w:rPr>
        <w:t xml:space="preserve">在中国境内完成。</w:t>
      </w:r>
      <w:r/>
    </w:p>
    <w:p>
      <w:pPr>
        <w:pStyle w:val="981"/>
        <w:ind w:firstLine="420"/>
        <w:spacing w:before="0" w:after="3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17"/>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auto"/>
          <w:highlight w:val="none"/>
          <w:shd w:val="clear" w:color="auto" w:fill="ffffff"/>
        </w:rPr>
        <w:t xml:space="preserve">2.</w:t>
      </w:r>
      <w:r>
        <w:rPr>
          <w:rStyle w:val="1078"/>
          <w:rFonts w:hint="eastAsia" w:ascii="宋体" w:hAnsi="宋体" w:eastAsia="宋体" w:cs="宋体"/>
          <w:b w:val="0"/>
          <w:bCs w:val="0"/>
          <w:i w:val="0"/>
          <w:color w:val="auto"/>
          <w:highlight w:val="none"/>
          <w:u w:val="single"/>
          <w:shd w:val="clear" w:color="auto" w:fill="ffffff"/>
        </w:rPr>
        <w:t xml:space="preserve">（产品名称2）</w:t>
      </w:r>
      <w:r>
        <w:rPr>
          <w:rFonts w:hint="eastAsia" w:ascii="宋体" w:hAnsi="宋体" w:eastAsia="宋体" w:cs="宋体"/>
          <w:b w:val="0"/>
          <w:bCs w:val="0"/>
          <w:color w:val="auto"/>
          <w:highlight w:val="none"/>
          <w:shd w:val="clear" w:color="auto" w:fill="ffffff"/>
        </w:rPr>
        <w:t xml:space="preserve">，生产厂为</w:t>
      </w:r>
      <w:r>
        <w:rPr>
          <w:rStyle w:val="1078"/>
          <w:rFonts w:hint="eastAsia" w:ascii="宋体" w:hAnsi="宋体" w:eastAsia="宋体" w:cs="宋体"/>
          <w:b w:val="0"/>
          <w:bCs w:val="0"/>
          <w:i w:val="0"/>
          <w:color w:val="auto"/>
          <w:highlight w:val="none"/>
          <w:u w:val="single"/>
          <w:shd w:val="clear" w:color="auto" w:fill="ffffff"/>
        </w:rPr>
        <w:t xml:space="preserve">（厂名）</w:t>
      </w:r>
      <w:r>
        <w:rPr>
          <w:rFonts w:hint="eastAsia" w:ascii="宋体" w:hAnsi="宋体" w:eastAsia="宋体" w:cs="宋体"/>
          <w:b w:val="0"/>
          <w:bCs w:val="0"/>
          <w:color w:val="auto"/>
          <w:highlight w:val="none"/>
          <w:shd w:val="clear" w:color="auto" w:fill="ffffff"/>
        </w:rPr>
        <w:t xml:space="preserve">，厂址为</w:t>
      </w:r>
      <w:r>
        <w:rPr>
          <w:rStyle w:val="1078"/>
          <w:rFonts w:hint="eastAsia" w:ascii="宋体" w:hAnsi="宋体" w:eastAsia="宋体" w:cs="宋体"/>
          <w:b w:val="0"/>
          <w:bCs w:val="0"/>
          <w:i w:val="0"/>
          <w:color w:val="auto"/>
          <w:highlight w:val="none"/>
          <w:u w:val="single"/>
          <w:shd w:val="clear" w:color="auto" w:fill="ffffff"/>
        </w:rPr>
        <w:t xml:space="preserve">（生产厂址）</w:t>
      </w:r>
      <w:r>
        <w:rPr>
          <w:rFonts w:hint="eastAsia" w:ascii="宋体" w:hAnsi="宋体" w:eastAsia="宋体" w:cs="宋体"/>
          <w:b w:val="0"/>
          <w:bCs w:val="0"/>
          <w:color w:val="auto"/>
          <w:highlight w:val="none"/>
          <w:shd w:val="clear" w:color="auto" w:fill="ffffff"/>
        </w:rPr>
        <w:t xml:space="preserve">。</w:t>
      </w:r>
      <w:r>
        <w:rPr>
          <w:rStyle w:val="1078"/>
          <w:rFonts w:hint="eastAsia" w:ascii="宋体" w:hAnsi="宋体" w:eastAsia="宋体" w:cs="宋体"/>
          <w:b w:val="0"/>
          <w:bCs w:val="0"/>
          <w:i w:val="0"/>
          <w:color w:val="auto"/>
          <w:highlight w:val="none"/>
          <w:u w:val="single"/>
          <w:shd w:val="clear" w:color="auto" w:fill="ffffff"/>
        </w:rPr>
        <w:t xml:space="preserve">（产品名称2）</w:t>
      </w:r>
      <w:r>
        <w:rPr>
          <w:rFonts w:hint="eastAsia" w:ascii="宋体" w:hAnsi="宋体" w:eastAsia="宋体" w:cs="宋体"/>
          <w:b w:val="0"/>
          <w:bCs w:val="0"/>
          <w:color w:val="auto"/>
          <w:highlight w:val="none"/>
          <w:shd w:val="clear" w:color="auto" w:fill="ffffff"/>
        </w:rPr>
        <w:t xml:space="preserve">的中国境内生产的组件成本占比≥</w:t>
      </w:r>
      <w:r>
        <w:rPr>
          <w:rStyle w:val="1078"/>
          <w:rFonts w:hint="eastAsia" w:ascii="宋体" w:hAnsi="宋体" w:eastAsia="宋体" w:cs="宋体"/>
          <w:b w:val="0"/>
          <w:bCs w:val="0"/>
          <w:i w:val="0"/>
          <w:color w:val="auto"/>
          <w:highlight w:val="none"/>
          <w:u w:val="single"/>
          <w:shd w:val="clear" w:color="auto" w:fill="ffffff"/>
        </w:rPr>
        <w:t xml:space="preserve">（规定比例）</w:t>
      </w:r>
      <w:r>
        <w:rPr>
          <w:rFonts w:hint="eastAsia" w:ascii="宋体" w:hAnsi="宋体" w:eastAsia="宋体" w:cs="宋体"/>
          <w:b w:val="0"/>
          <w:bCs w:val="0"/>
          <w:color w:val="auto"/>
          <w:highlight w:val="none"/>
          <w:shd w:val="clear" w:color="auto" w:fill="ffffff"/>
        </w:rPr>
        <w:t xml:space="preserve">。</w:t>
      </w:r>
      <w:r>
        <w:rPr>
          <w:rStyle w:val="1078"/>
          <w:rFonts w:hint="eastAsia" w:ascii="宋体" w:hAnsi="宋体" w:eastAsia="宋体" w:cs="宋体"/>
          <w:b w:val="0"/>
          <w:bCs w:val="0"/>
          <w:i w:val="0"/>
          <w:color w:val="auto"/>
          <w:highlight w:val="none"/>
          <w:u w:val="single"/>
          <w:shd w:val="clear" w:color="auto" w:fill="ffffff"/>
        </w:rPr>
        <w:t xml:space="preserve">（产品名称2）</w:t>
      </w:r>
      <w:r>
        <w:rPr>
          <w:rFonts w:hint="eastAsia" w:ascii="宋体" w:hAnsi="宋体" w:eastAsia="宋体" w:cs="宋体"/>
          <w:b w:val="0"/>
          <w:bCs w:val="0"/>
          <w:color w:val="auto"/>
          <w:highlight w:val="none"/>
          <w:shd w:val="clear" w:color="auto" w:fill="ffffff"/>
        </w:rPr>
        <w:t xml:space="preserve">的</w:t>
      </w:r>
      <w:r>
        <w:rPr>
          <w:rStyle w:val="1078"/>
          <w:rFonts w:hint="eastAsia" w:ascii="宋体" w:hAnsi="宋体" w:eastAsia="宋体" w:cs="宋体"/>
          <w:b w:val="0"/>
          <w:bCs w:val="0"/>
          <w:i w:val="0"/>
          <w:color w:val="auto"/>
          <w:highlight w:val="none"/>
          <w:u w:val="single"/>
          <w:shd w:val="clear" w:color="auto" w:fill="ffffff"/>
        </w:rPr>
        <w:t xml:space="preserve">（关键组件）</w:t>
      </w:r>
      <w:r>
        <w:rPr>
          <w:rFonts w:hint="eastAsia" w:ascii="宋体" w:hAnsi="宋体" w:eastAsia="宋体" w:cs="宋体"/>
          <w:b w:val="0"/>
          <w:bCs w:val="0"/>
          <w:color w:val="auto"/>
          <w:highlight w:val="none"/>
          <w:shd w:val="clear" w:color="auto" w:fill="ffffff"/>
        </w:rPr>
        <w:t xml:space="preserve">在中国境内生产。</w:t>
      </w:r>
      <w:r>
        <w:rPr>
          <w:rStyle w:val="1078"/>
          <w:rFonts w:hint="eastAsia" w:ascii="宋体" w:hAnsi="宋体" w:eastAsia="宋体" w:cs="宋体"/>
          <w:b w:val="0"/>
          <w:bCs w:val="0"/>
          <w:i w:val="0"/>
          <w:color w:val="auto"/>
          <w:highlight w:val="none"/>
          <w:u w:val="single"/>
          <w:shd w:val="clear" w:color="auto" w:fill="ffffff"/>
        </w:rPr>
        <w:t xml:space="preserve">（产品名称1）</w:t>
      </w:r>
      <w:r>
        <w:rPr>
          <w:rFonts w:hint="eastAsia" w:ascii="宋体" w:hAnsi="宋体" w:eastAsia="宋体" w:cs="宋体"/>
          <w:b w:val="0"/>
          <w:bCs w:val="0"/>
          <w:color w:val="auto"/>
          <w:highlight w:val="none"/>
          <w:shd w:val="clear" w:color="auto" w:fill="ffffff"/>
        </w:rPr>
        <w:t xml:space="preserve">的</w:t>
      </w:r>
      <w:r>
        <w:rPr>
          <w:rStyle w:val="1078"/>
          <w:rFonts w:hint="eastAsia" w:ascii="宋体" w:hAnsi="宋体" w:eastAsia="宋体" w:cs="宋体"/>
          <w:b w:val="0"/>
          <w:bCs w:val="0"/>
          <w:i w:val="0"/>
          <w:color w:val="auto"/>
          <w:highlight w:val="none"/>
          <w:u w:val="single"/>
          <w:shd w:val="clear" w:color="auto" w:fill="ffffff"/>
        </w:rPr>
        <w:t xml:space="preserve">（关键工序）</w:t>
      </w:r>
      <w:r>
        <w:rPr>
          <w:rFonts w:hint="eastAsia" w:ascii="宋体" w:hAnsi="宋体" w:eastAsia="宋体" w:cs="宋体"/>
          <w:b w:val="0"/>
          <w:bCs w:val="0"/>
          <w:color w:val="auto"/>
          <w:highlight w:val="none"/>
          <w:shd w:val="clear" w:color="auto" w:fill="ffffff"/>
        </w:rPr>
        <w:t xml:space="preserve">在中国境内完成。</w:t>
      </w:r>
      <w:r/>
    </w:p>
    <w:p>
      <w:pPr>
        <w:pStyle w:val="981"/>
        <w:ind w:firstLine="420"/>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981"/>
        <w:ind w:firstLine="420"/>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981"/>
        <w:spacing w:before="30" w:after="3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81"/>
        <w:ind w:right="480" w:firstLine="5160"/>
        <w:spacing w:before="30" w:after="30" w:line="360" w:lineRule="auto"/>
        <w:rPr>
          <w:rFonts w:hint="eastAsia" w:ascii="宋体" w:hAnsi="宋体" w:eastAsia="宋体" w:cs="宋体"/>
          <w:color w:val="auto"/>
          <w:szCs w:val="24"/>
          <w:highlight w:val="none"/>
        </w:rPr>
      </w:pPr>
      <w:r>
        <w:rPr>
          <w:rFonts w:hint="eastAsia" w:ascii="宋体" w:hAnsi="宋体" w:eastAsia="宋体" w:cs="宋体"/>
          <w:color w:val="auto"/>
          <w:highlight w:val="none"/>
          <w:shd w:val="clear" w:color="auto" w:fill="ffffff"/>
        </w:rPr>
        <w:t xml:space="preserve">公司（单位）名称（盖章）：         </w:t>
      </w:r>
      <w:r/>
    </w:p>
    <w:p>
      <w:pPr>
        <w:pStyle w:val="981"/>
        <w:jc w:val="center"/>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 xml:space="preserve"> 日期：    年   月   日         </w:t>
      </w:r>
      <w:r/>
    </w:p>
    <w:p>
      <w:pPr>
        <w:pStyle w:val="981"/>
        <w:spacing w:before="30" w:after="3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81"/>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1.产品如有型号，请在“产品名称”栏一并填写。</w:t>
      </w:r>
      <w:r/>
    </w:p>
    <w:p>
      <w:pPr>
        <w:pStyle w:val="981"/>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2.生产厂名与厂址应与生产厂营业执照载明的相关信息保持一致。</w:t>
      </w:r>
      <w:r/>
    </w:p>
    <w:p>
      <w:pPr>
        <w:pStyle w:val="981"/>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3.该产品的中国境内生产的组件成本占比相关要求实施前，“规定比例”栏可不填，下同。</w:t>
      </w:r>
      <w:r/>
    </w:p>
    <w:p>
      <w:pPr>
        <w:pStyle w:val="981"/>
        <w:spacing w:before="30" w:after="3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shd w:val="clear" w:color="auto" w:fill="ffffff"/>
        </w:rPr>
        <w:t xml:space="preserve">4.该产品的关键组件要求实施前，“关键组件”栏可不填，下同。</w:t>
      </w:r>
      <w:r/>
    </w:p>
    <w:p>
      <w:pPr>
        <w:pStyle w:val="981"/>
        <w:spacing w:before="30" w:after="30" w:line="240" w:lineRule="auto"/>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 xml:space="preserve">5.该产品的关键工序要求实施前，“关键工序”栏可不填，下同。</w:t>
      </w:r>
      <w:r/>
    </w:p>
    <w:p>
      <w:pPr>
        <w:jc w:val="left"/>
        <w:spacing w:line="24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第四章 招标书</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西安交通大学苏州附属中学</w:t>
      </w:r>
      <w:r>
        <w:rPr>
          <w:rFonts w:hint="eastAsia" w:ascii="宋体" w:hAnsi="宋体" w:eastAsia="宋体" w:cs="宋体"/>
          <w:color w:val="auto"/>
          <w:sz w:val="24"/>
          <w:szCs w:val="24"/>
          <w:highlight w:val="none"/>
        </w:rPr>
        <w:t xml:space="preserve">的委托，苏州正杰招投标咨询服务有限公司就其所需的</w:t>
      </w:r>
      <w:r>
        <w:rPr>
          <w:rFonts w:hint="eastAsia" w:ascii="宋体" w:hAnsi="宋体" w:eastAsia="宋体" w:cs="宋体"/>
          <w:color w:val="auto"/>
          <w:sz w:val="24"/>
          <w:szCs w:val="24"/>
          <w:highlight w:val="none"/>
          <w:lang w:eastAsia="zh-CN"/>
        </w:rPr>
        <w:t xml:space="preserve">高品质科技特色高中项目资产购置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一、招标编号：</w:t>
      </w:r>
      <w:r>
        <w:rPr>
          <w:rFonts w:hint="eastAsia" w:ascii="宋体" w:hAnsi="宋体" w:eastAsia="宋体" w:cs="宋体"/>
          <w:color w:val="auto"/>
          <w:sz w:val="24"/>
          <w:szCs w:val="24"/>
          <w:highlight w:val="none"/>
          <w:lang w:eastAsia="zh-CN"/>
        </w:rPr>
        <w:t xml:space="preserve">JSZC-320591-SZZJ-G2026-0033</w:t>
      </w:r>
      <w:r>
        <w:rPr>
          <w:rFonts w:hint="eastAsia" w:ascii="宋体" w:hAnsi="宋体" w:eastAsia="宋体" w:cs="宋体"/>
          <w:color w:val="auto"/>
          <w:sz w:val="24"/>
          <w:szCs w:val="24"/>
          <w:highlight w:val="none"/>
        </w:rPr>
        <w:t xml:space="preserve">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（一）标的物清单及技术要求</w:t>
      </w:r>
      <w:r/>
    </w:p>
    <w:tbl>
      <w:tblPr>
        <w:tblStyle w:val="945"/>
        <w:tblW w:w="963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1"/>
        <w:gridCol w:w="1014"/>
        <w:gridCol w:w="6689"/>
        <w:gridCol w:w="584"/>
        <w:gridCol w:w="700"/>
      </w:tblGrid>
      <w:tr>
        <w:trPr>
          <w:trHeight w:val="498"/>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W w:w="66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功能参数</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r>
      <w:tr>
        <w:trPr>
          <w:trHeight w:val="2638"/>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教师手持终端</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1.尺寸：≥11英寸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2.分辨率：≥2560*1600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3.处理器：八核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4.存储：≥8+256GB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5.连接方式：Wi-Fi；蓝牙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6.USB接：Type-C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7.视频接口：USB Type-C</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41"/>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充电消毒柜</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1、整机支持</w:t>
            </w:r>
            <w:r>
              <w:rPr>
                <w:rFonts w:hint="eastAsia" w:ascii="宋体" w:hAnsi="宋体" w:eastAsia="宋体" w:cs="宋体"/>
                <w:i w:val="0"/>
                <w:iCs w:val="0"/>
                <w:color w:val="auto"/>
                <w:sz w:val="24"/>
                <w:szCs w:val="24"/>
                <w:highlight w:val="none"/>
                <w:u w:val="none"/>
                <w:lang w:val="en-US" w:eastAsia="zh-CN" w:bidi="ar"/>
              </w:rPr>
              <w:t xml:space="preserve">不少于20台VR设备同时充电，兼容主流VR一体机设备。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2、主体材质SPCC冷轧碳素钢与环保ABS工程塑料相结合;采用全封闭防盗结构；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3、整体外型三方整体大圆弧过度，外观颜色采用黑白相间的经典配置，美观大气，安全稳固；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4、高品质超静音脚轮（四轮万向，两轮带刹车）和左右人体工学把手。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5、智能互循环散热结构；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6、分仓式设计，强弱电分离；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7、USB接口供电模式，5V/0.5-2A之间智能输出，电源管理芯片式集成电路设计，自动检测平板允许输入电流，优先供应低电位设备。</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0"/>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无线AP</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1．速率：≥9000M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2．频段：三频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3．产品散热：主动散热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4．防火墙：支持防火墙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5．LAN输出口：千兆网口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6．IPv6：支持IPv6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7．WAN接入口：千兆网口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8．无线协议：Wi-Fi 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9．LAN口数量：≥3个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10．WPA-PSK/WPA2-PSK/WPA3加密</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570"/>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虚拟现实播控智能设备</w:t>
            </w:r>
            <w:r/>
          </w:p>
        </w:tc>
        <w:tc>
          <w:tcPr>
            <w:shd w:val="clear" w:color="auto" w:fill="auto"/>
            <w:tcW w:w="6689"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1.Cpu：5218 16核 32线程或</w:t>
            </w:r>
            <w:r>
              <w:rPr>
                <w:rFonts w:hint="eastAsia" w:ascii="宋体" w:hAnsi="宋体" w:eastAsia="宋体" w:cs="宋体"/>
                <w:i w:val="0"/>
                <w:iCs w:val="0"/>
                <w:color w:val="auto"/>
                <w:sz w:val="24"/>
                <w:szCs w:val="24"/>
                <w:highlight w:val="none"/>
                <w:u w:val="none"/>
                <w:lang w:val="en-US" w:eastAsia="zh-CN" w:bidi="ar"/>
              </w:rPr>
              <w:t xml:space="preserve">同性能产品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2.内存：</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32GB DDR4。</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3.硬盘：</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4TB。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4.磁盘阵列：支持raid0、raid1、raid10。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5.网络：双千兆网卡，10M/100M/1000Mbps自适应。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6.电源冗余：750W双电源冗余。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7.系统支持：龙蜥Anolis OS 8 及以上。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1.系统支持windows系统设备上流畅运行，如笔记本、台式机、触控大屏一体机等；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2.支持手机号验证码登录或账号密码登录或微信扫码登录。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3.本地内容支持离线状态下打开进行观看和学习；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4.支持进行元宇宙内容创作、保存：1）可以新建空白文件进行创作；2）也可以基于空间或内容中已有的素材和内容进行二次创作；3）支持创作后的保存功能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5.可开启本地空间播控，进入本地空间将自动控制本网段内所有的客户端软件；控制模式下，所有受控客户端不能随意进行内容和场景的切换，控制端切换课件时，成员会同步切换并进入该课件；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6.本地空间成员管理和全局设置：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(1)支持成员状态在线情况查看，包括成员名、其设备电量、是否连接或被控等，实时获知成员设备是否在正常状态；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(2)支持设置单个成员的移动权限、素材库权限；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(3)支持设置空间内呈现的人数上限；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(4)支持一键关闭空间内移动权限，所有人不可随意移动；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(5)支持屏蔽蓝光的护眼模式。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7.支持互联网多人空间功能，可看到网络上存在的空间列表，显示空间名称、创建者、开始时间等信息；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8.支持创建空间，便于学生们讨论，可以设置空间名称、空间密码、是否公开、场景选择、上限人数、开始时间、预计时长等；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9.设置密码的空间，只能通过输入正确的密码才可加入；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10.公开空间所有用户都可在互联网的空间列表中看到或查询到该空间，非公开空间不会对外显示在空间列表中，只有自己可见；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11.支持删除所创建的空间，不可删除他人创建的空间；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12.每个空间拥有一个系统随机生成且唯一的空间号，用户可以复制其空间号与其他用户分享，方便邀请同学或老师进入。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13.空间内支持系统消息通知，如支持实时广播成员加入/离开时的消息提醒；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14.互联网空间的成员管理和全局设置：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(1)支持在线成员状态查看，包括成员名、其设备电量、是否连接等，实时获知成员设备是否在正常状态；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(2)支持设置屏蔽蓝光的护眼模式；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(3)支持对单个成员设语音、移动、素材库权限；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(4)支持一键对全体成员设置全体静音、移动权限；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15.空间内成员可以向主控端申请麦克风权限，开启后可以进行实时交流。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16.空间中支持第一人称、第三人称视角切换；支持虚拟数字人形象在空间中走路/跑步/跳跃。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17.支持招手、微笑、鼓掌、点赞等表情互动；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18.支持虚拟画笔、虚拟激光笔，画笔可以进行三维板书和图画，虚拟激光笔可以进行指向和示意；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19.支持集合功能，使所有用户可以被一键集会到指定位置；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20.支持视角跟随功能，该模式下用户端会强制跟随控制端的视角。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21.多人空间、课件内容中都支持云端素材库调用，上万个云端素材任意下载；无需编程通过简单拖拽即可实现素材的自由创建和编辑；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22.素材包含三维模型、PPT文档、视频/全景视频、图片/全景图片多种类别，支持对创建的素材进行缩放、旋转、移动、复制、删除等操作；支持自有素材上传。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23.支持退出空间或课件时保存功能，可以保留空间中已创建的素材，再次加入空间或打开该课件时素材自动恢复。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24.支持自定义AI数字人素材，用户可以从素材库中拖出数字人以辅助教学、讲解或播报；支持对数字人进行移动/缩放/复制/拖动等操作；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25.支持自定义数字人播报：用户可以在场景中的不同位置分别放置虚拟数字人模型，支持通过直接录音或音频文件上传或通过文字转语音的方式，让数字人讲解播报特定内容。（提供功能截图）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26.支持AI数人智能问答：用户在场景中放置AI数字人，接入不低于8k token的文本处理的国内大语言模型。用户可以选择一种大语言模型，通过语音或文字的形式输入，数字人将同样以文字或语音的方式回应。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27.支持为添加的数字人素材进行换装，换装系统包含但不限于儿童（男/女）、青少年（男/女）、成年人（男/女）6种基础模型；支持选择不同的发型、着装的样式。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28.支持空间内聊天系统：在多人空间中，用户可以通过聊天系统，基于互联网或局域网进行聊天互动。支持文字输入、语音输入和表情发送。集成敏感词屏蔽系统，能够智能屏蔽敏感词。</w:t>
            </w:r>
            <w:r/>
          </w:p>
          <w:p>
            <w:pPr>
              <w:numPr>
                <w:ilvl w:val="0"/>
                <w:numId w:val="0"/>
              </w:num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VR知识拓展类英语课件支持离线状态下的语音识别和语音评测，每个单词会话根据综合分、流利度、完整度、准确度、韵律度五个维度评定，细化到每个单词的评测，识别后根据发音情况以不同颜色显示；VR理化生实验资源中具备有可以查看实验关键点高清特写视频的课件，让实验现象清晰可见、一目了然；场景及资源中支持添加素材且对素材添加热点互动，用户可以通过添加互动实现不同素材之间的链接，便于用户创建更加有互动性的内容，每个添加的互动将对应一个互动按钮。</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036"/>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智能高清云展台</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一.硬件参数</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★1.悬挂安装，在展示桌面正上方，距离展示桌面高度1.5米，操作无需跨区域走动;所有操作通过一体机触屏实现,不带任何物理按键;双800万像素俯拍摄像头, 分辨率≥3264x2448；拍摄幅面：A1、A3，不做放大操作，清晰看到对应幅面上五号字体。</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2.双无反光聚光型高亮LED补光灯，自带全指向消噪麦克风。</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二．软件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▲1.产品分微课宝和全屏两种录制模式，便于教师自己单独录制微课，或者在教室课堂上随时录制重点、难点、疑点等。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2.全屏模式：提供隐藏工具栏，可随时弹出工具栏丰富教学内容，此模式便于教师全屏教学内容讲解录制，例如教室里可直接投影与学生互动交流。</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★3.多种微课录制模式：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1）支持纸面手写讲解直接录制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2）支持实验流程操作直接录制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3）支持纸质文档如作业试卷等讲解直接录制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4）支持电子讲解如WORD讲解、几何画板讲解等直接录制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5）支持PPT课件直接录制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6）支持白板如教学资料采集直接录制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7）支持桌面操作如借鉴他人优秀微课片段等直接录制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上述几种录制模式可连贯切换，形成一体微课课件，暂停功能：录制过程可暂停，并可随时继续录制，保证录制结果的连续性；同屏双画面对比录制功能：如教师头像与白板对比、教学素材与教师头像对比、教师头像与微课宝录制模式对比、2块白板对比等9种不同的对比教学模式，每种模式可根据教学需要分上下二分屏或左右二分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4.录制参数设置：支持电脑扬声器音频录制和电脑摄像头录制,可选择是否录制鼠标轨迹，可选择设备MIC、电脑MIC或都不选择。</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5.背景音乐设置：软件自带3首背景音乐，便于教师微课录制时添加背景音乐，音乐可随时播放、暂停，并可导入其他背景音乐。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6.支持多个图片一键装订成册，并自带阅读器。支持转换成PDF文件，并自带PDF阅读器。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7.录制界面可以实现动态即时旋转和按照1%梯度缩放，可通过电脑控制聚焦手动或自动调节，带正负片切换，实现黑白/彩色之间的转换，实现色彩调节、对比度、亮度调节，带背光补偿。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8.支持多个图片一键装订成册，并自带阅读器。支持转换成PDF文件，并自带PDF阅读器。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9.白板标注讲解：可以自由划线标注，支持16位彩色标注，透明度可设，笔画粗细可设，多种图形、文字。</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▲10.功能按键集中：功能按键集中，人性化的设计使微课录制过程中切换鼠标动作不会在取景范围内出现，保证录制效果并便于用户操作。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11.取景范围移动：纸面讲解录制，纸张A3录制范围，在录制过程中，可以通过软件控制半张可视范围在整张纸面漫游，保障录制焦点清晰明确。</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12.录制过程光源环境锁定：在录制前调整好光源环境，录制过程自动锁定光源环境，不会因为白平衡、曝光等使录制画面产生色变或闪烁，影响录制效果。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13.自动锁定录制对象：在头像画面直接选取整个头像，在纸张讲解时直接选取全画面讲解内容，不用人工调整对象大小，录制过程流畅，录制结果没有对象大小调整过程，不用再编辑。</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小助手工具：微课录制过程中可以自由划线、闪线、几何图形、线条、字幕标注、重点圈定，支持32位彩色标注，透明度、笔画粗细、多种图形、文字都可个性设置。并且标注内容可跟随图片或视频同步缩放、移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15.字幕添加功能：支持在录制过程中添加、编辑字幕。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16.画框美化：系统提供多种画框模板，录制后视频带有自选画框，达到美化录制视频的效果。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▲17.双视频画面录制功能：将教学素材和教学环境，双视频同屏展示录制，如教师讲解头像及课件讲解同屏展示录制。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18.三路视频画面录制功能：如教学素材和白板内容同频展示，还可添加教师头像一并同步展示。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19白板对比教学设置：2块独立白板，可以分别调节背景色、分别控制放大缩小和白板标注，可随时切换讲解方便对比教学方式的微课录制。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20.微课快捷查看按钮：微课录制完成后可直接通过快捷按钮查看当前录制好的微课内容，避免了微课查找的繁琐过程。</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21.内置视频编辑：可对微课添加水印、片头，例如添加各学校的宣传信息，支持多视频合并，支持视频转码（mp4、flv）。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22.视频二维码快速学习：系统支持视频自动生成二维码，并可随机选择视频批量成文导出，便于移动端直接扫描识别学习。</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23.微课程：客户端建立微课程，使碎片化的学习资源体系化，课程即时同步云平台。</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24.微课管理功能：完全按windows文件管理形式，支持多级文件夹，支持复制、粘贴、拖拽、删除等,支持文件扩展属性编辑（作者、标题、关键字、分类、简介等），同时支持本地微课管理及服务器微课管理。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▲25云平台上传支持：微课录制后可直接一键上传到微课互动平台；上传时属性自动带入平台。</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15"/>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智能显示终端</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1.亮度</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8000流明</w:t>
            </w:r>
            <w:r>
              <w:rPr>
                <w:rFonts w:hint="eastAsia" w:ascii="宋体" w:hAnsi="宋体" w:eastAsia="宋体" w:cs="宋体"/>
                <w:i w:val="0"/>
                <w:iCs w:val="0"/>
                <w:strike w:val="0"/>
                <w:dstrike/>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2.显示技术：3LCD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3.分辨率：</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1920*1200；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4.对比度：20000：1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5.光源：激光光源，30000小时；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6.接口：HDMI*2、RJ45*1、RS232*1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7.镜头：投射比0.44：1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8.工作噪音：Eco模式下</w:t>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7dB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9.整机功耗：Normal模式下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280W，待机模式下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0.5W；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1.色彩校正除了能校正多台智能显示终端之间的色差，还能校正单台智能显示终端局部色差，支持无线Xbox One手柄调试，支持4路采集卡信号输入，同步采集。支持多卡并行和漏光处理，矢量绘图和遮罩功能。</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trHeight w:val="90"/>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定制，万能吊架可伸缩3m</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trHeight w:val="498"/>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体感交互雷达</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1.工作频率：24～24.25 GHz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2.核心功能：人体接近感应 + 手势识别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3.检测距离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4.接近感应：≤2 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5.手势识别：≤0.3 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6.手势种类：左挥手、右挥手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7.识别准确率：≥99%（典型条件下）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8.供电电压：3.0～3.6 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9.功耗：通常小于 30 mA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10.通信接口：UART、GPIO</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11.体感距离6*6米</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036"/>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智能操作终端</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strike/>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1.亮度：</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250cd/m2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2.响应时间：2ms-4ms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3.特性：三面微边框节能认证TUV爱眼认证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4.能效等级：二级能效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5.屏幕尺寸：</w:t>
            </w:r>
            <w:r>
              <w:rPr>
                <w:rFonts w:hint="eastAsia" w:ascii="宋体" w:hAnsi="宋体" w:eastAsia="宋体" w:cs="宋体"/>
                <w:i w:val="0"/>
                <w:iCs w:val="0"/>
                <w:color w:val="auto"/>
                <w:sz w:val="24"/>
                <w:szCs w:val="24"/>
                <w:highlight w:val="none"/>
                <w:u w:val="none"/>
                <w:lang w:val="en-US" w:eastAsia="zh-CN" w:bidi="ar"/>
              </w:rPr>
              <w:t xml:space="preserve">≥23.8英寸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6.类型：直面屏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7.对比度：1300:1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8.接口：VGA HDMI</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9.屏幕比例：16:9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核心部件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1.I5处理器或同性能产品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2.P4000-8G显卡或同性能产品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3.≥16G内存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4.≥512G固态硬盘</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0"/>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多模态数字人引擎</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一．硬件配置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1.中央处理器（CPU）：采用高性能、低功耗的八核应用处理器,搭载Android 12.0系统，主频高达2.4GHz或同性能产品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2.运行内存（RAM）：≥8G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3.系统内存（ROM）：≥128G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4.其他功能：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(1)简化设计：预留常用接口，超薄超小设计；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(2)高集成度：板载HDMI IN/V-By-One/LVDS 等多种输入输出接口。外置接口：支持有线、WiFi、4G 接入，支持多种PCI-E 3G/4G 模块，支持物联网卡或者普通数据卡。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(3)扩展接口丰富：5 个USB 接口(3 个插针，1个标准USB 2.0/1个标准 USB 3.0)，3个可扩展串口，多路GPIO 以及KEY接口，可以满足市场上各种外设的接入要求。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(4)管理方便：支持定时开关机。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数字人双手交叠自然置于腹前，站姿挺拔舒展，尽显自然体态，头部偶尔微微转动，眼部自然眨眼，举手投足间无机械感与僵硬感。开口说话时伴有嘴部动作，自然模拟真人说话时的唇部状态，具有唇部张合、嘴角微动等细节；眼部自然眨眼，眼睑轻合轻启的频率与幅度贴近真实生理状态；手臂配合表达做出轻抬手臂等自然肢体动画或手势，随话语节奏自然舒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2.支持文字与语音双模式对话，用户通过语音或文字的形式输入，数字人将同样以文字或语音的方式回应。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3.支持语音唤醒：支持在待机状态下直接通过语音唤醒数字人并开始对话。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4.支持连续对话：支持用语音的方式跟AI数字人进行连续多轮对话。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随时打断：在对话过程中，可以继续用唤醒词打断当前对话，如提问新的问题，数字人将针对新的提问进行回答。AI数字人需能够过滤环境音和无效的语音输入内容，仅针对跟当前对话相关的内容进行回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6.云端预置智能体（不同的人设）不少于10种，支持用户根据需要随时选用智能体。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★7.支持用户自定义创建/编辑智能体：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支持唤醒词配置，提供多个唤醒词选项；用户可以通过设置好的唤醒词，在数字人处于待命状态时通过语音唤醒数字人进入对话状态，或是在数字人回答的时候，通过说唤醒词打断并提问。不同的智能体可以设置不同的唤醒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B.支持智能体名称、智能体介绍自定义。支持文本输入、语音输入、手机扫码输入；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C.支持“豆包”、“DeepSeek”、“通义千问”、“文心一言”等多种主流大模型任选调用，具备大模型服务稳定接入能力；部分大模型具有“速度优先”和“智能优先”的不同性能模式；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D.支持多种对话语气风格自选配置，如温和耐心、轻松随意、简介专业等，且具备基于上下文的语气一致性保障机制，确保对话逻辑连贯；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E.具备“简短”、“适中”、“详细”的对话长度控制机制，可控制单次回答的内容量；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F.支持联网搜索的开启或关闭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G.支持自定义智能体提示词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①用户可依据自身需求，自主为智能体增添更多角色补充设定。用户可以从“职业/专业领域”、“性格”、“回答方式”等多个角度描述。支持用户直接编辑或通过手机扫码输入。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明确智能体的身份，比如设定为教师、客服、专家等各类角色；可定义智能体的主要作用，比如提供知识解答、进行情感陪伴等；可描述智能体所具备的特质，如洞察力强、善于倾听、专业知识储备丰富等；可规定智能体与用户交互时的行为规范与回应流程，例如收到问题后如何总结，回应用户时的表达顺序和方式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②也支持AI智能生成设定内容。AI会结合用户设定的“智能体名称”的内容生成匹配的提示词。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H.支持知识库设定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①预设提问功能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用户自主配置。支持逐条输入问题和答案，保存为知识库。当智能体接收到相关问题时，会按结合匹配的答案进行回答。支持一键启用或关闭该功能。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②知识库文档功能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用户自主配置。支持上传特定文档作为知识库，例如单位资料、产品资料或是专业领域的资料。当问到匹配的问题时，会优先从上传的文档中检索匹配的内容结合回答。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格式支持：包括TXT、MARKDOWN、PDF、HTML、XLSX、XLS、DOCX、CSV等。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③限制回答功能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支持一键开启或关闭，开启后智能体讲只回复知识库及预设提问中的内容，对于知识库以外的问题拒绝回答。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8.支持形象切换：预置多风格（如3D卡通/超写实等）、多形象（如不同服饰）的数字人可供选择，每种数字人形象都自然灵动，实时互动更沉浸。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9.支持数字人背景切换：预置多种场景供用户选择，同时支持具有空间感的纯黑色背景或透明背景展示数字人，用户可根据场景需求灵活切换背景，实现数字人展示效果的个性化。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10.支持景别切换：支持全景、中全景、中景等不同镜头的景别灵活转换，适配多样展示需求。</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0"/>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音视频克隆终端</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1.物理分辨率：最大分辨率 3840x2160@60Hz(HDMI,DP,USB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2.整机峰值亮度：</w:t>
            </w:r>
            <w:r>
              <w:rPr>
                <w:rFonts w:hint="eastAsia" w:ascii="宋体" w:hAnsi="宋体" w:eastAsia="宋体" w:cs="宋体"/>
                <w:i w:val="0"/>
                <w:iCs w:val="0"/>
                <w:color w:val="auto"/>
                <w:sz w:val="24"/>
                <w:szCs w:val="24"/>
                <w:highlight w:val="none"/>
                <w:u w:val="none"/>
                <w:lang w:val="en-US" w:eastAsia="zh-CN" w:bidi="ar"/>
              </w:rPr>
              <w:t xml:space="preserve">≥400cd/m²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3.动态对比度：50000000:1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4.可视角度(水平/垂直)(典型值) 178°/178°(CR&gt;10)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5.屏幕比例：16:9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6.显示颜色 10.7亿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7.刷新率：60HZ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8.支持用户自定义设定播报内容，让数字人在待机状态下，按一定的时间间隔自动播报特定的内容，例如迎宾或介绍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A.支持添加播报的文本内容，可直接编辑或扫码输入，系统将自动生成播报语音；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B.支持添加图片，为播报补充图片素材，用以播报展示。支持扫码上传、本地上传、素材库上传；支持通过图文关联，实现介绍特定内容时展示特定图片素材；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C.支持添加多个播报内容，每次生成的播报内容，都可作为一条可播放音频出现在播放列表中。支持用户根据需求自主设定播报列表的自动连播、播报循环方式、间隔时间、播报顺序等。</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021"/>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私有数据训练终端</w:t>
            </w:r>
            <w:r/>
          </w:p>
        </w:tc>
        <w:tc>
          <w:tcPr>
            <w:shd w:val="clear" w:color="auto" w:fill="auto"/>
            <w:tcW w:w="6689"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处理器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核心 / 线程：24 核 48 线程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基础频率：3.0GHz，最大睿频：4.0GHz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架构：Cascade Lake，LGA3647 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内存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内存容量：</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64GB RECC DDR4 3200MHz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内存类型：RECC 寄存器纠错内存（ECC）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内存插槽总数：</w:t>
            </w:r>
            <w:r>
              <w:rPr>
                <w:rFonts w:hint="eastAsia" w:ascii="宋体" w:hAnsi="宋体" w:eastAsia="宋体" w:cs="宋体"/>
                <w:i w:val="0"/>
                <w:iCs w:val="0"/>
                <w:color w:val="auto"/>
                <w:sz w:val="24"/>
                <w:szCs w:val="24"/>
                <w:highlight w:val="none"/>
                <w:u w:val="none"/>
                <w:lang w:val="en-US" w:eastAsia="zh-CN" w:bidi="ar"/>
              </w:rPr>
              <w:t xml:space="preserve">至少</w:t>
            </w:r>
            <w:r>
              <w:rPr>
                <w:rFonts w:hint="eastAsia" w:ascii="宋体" w:hAnsi="宋体" w:eastAsia="宋体" w:cs="宋体"/>
                <w:i w:val="0"/>
                <w:iCs w:val="0"/>
                <w:color w:val="auto"/>
                <w:sz w:val="24"/>
                <w:szCs w:val="24"/>
                <w:highlight w:val="none"/>
                <w:u w:val="none"/>
                <w:lang w:val="en-US" w:eastAsia="zh-CN" w:bidi="ar"/>
              </w:rPr>
              <w:t xml:space="preserve">24 个内存插槽，支持后期扩容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本地 SSD：</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480G SATA 2.5 英寸 SSD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本地 SAS 硬盘：2 块 1.2TB 2.5 英寸 10K SAS 硬盘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硬盘盘位：2.5 寸小盘位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阵列卡：R540-8I 阵列卡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RAID 支持：RAID0、RAID1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电源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电源规格：1100W 电源（此配置为单电源，可升级冗余双电源）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其他硬件特性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阵列卡 R540-8I：8 通道内部 SAS/SATA 阵列卡，支持 2.5 寸 SAS/SATA 设备，硬件 RAID，减轻 CPU 存储开销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 IPMI/BMC 远程管理：远程开机、关机、查看硬件状态、监控温度电压、远程控制台（SR650 标配 BMC 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功能参数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高性能算力：24 核 48 线程处理器，高并发处理能力，可承载多业务实例、多虚拟机并发运行；支持 ECC 寄存器内存，内存错误自动纠错，避免因内存故障导致业务宕机、数据损坏。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存储与数据保护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 SATA SSD 提供高速读写，适合系统盘、热点数据；10K SAS 硬盘提供稳定高 IO，适合业务数据存储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 R540-8I 硬件阵列卡，支持 RAID1 做数据镜像（两块 1.2T SAS 配置 RAID1，一块硬盘损坏，数据不丢失）；RAID0 提升读写性能（无冗余）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远程运维管理：BMC 带外管理，不依赖操作系统，远程监控服务器硬件健康、告警、远程重启、虚拟介质安装系统。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扩展能力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 内存：24 插槽，可扩展至 TB 级内存容量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 PCIe 扩展：2U 机箱提供多 PCIe 插槽，可后续增加网卡、HBA 卡、GPU 卡等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 硬盘：可增加更多 2.5 寸 SAS/SATA/SSD 硬盘扩展本地存储容量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企业级稳定性：支持长时间 7×24 小时不间断运行；1100W 大功率电源，满足高功耗配件扩容供电需求。</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应用场景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虚拟化平台（VMware / KVM）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 核 48 线程 + 64G 内存，可部署多台虚拟机，承载 OA、网站、测试服务器等中小型业务；ECC 内存保障虚拟化稳定运行。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中小型数据库服务器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MySQL、PostgreSQL 等业务数据库。SSD 承载数据库日志、热点数据；SAS RAID1 保障数据冗余，防止单盘故障丢失业务数据。适合中小规模业务系统。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应用中间件 / 业务服务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Java 应用、微服务、Web 服务、API 网关，高并发请求处理。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文件与业务存储服务器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企业内部业务文件、项目资料存储，RAID1 保障核心文件安全。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开发测试平台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开发环境、持续集成 CI/CD、代码编译、仿真测试环境，多实例并行开发。</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518"/>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高清录播主机</w:t>
            </w:r>
            <w:r/>
          </w:p>
        </w:tc>
        <w:tc>
          <w:tcPr>
            <w:shd w:val="clear" w:color="auto" w:fill="auto"/>
            <w:tcW w:w="6689"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1.主机架构：采用嵌入式架构，标准1U机架式设计，便于机柜安装。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2.高度集成：主机需集成录制、直播、导播、自动跟踪、音频编码、视频编码、音频处理、视频处理、存储、点播、互动、AI分析等多功能于一体。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▲3.硬件性能：主机配备高性能低功耗处理器，内置GPU与NPU协处理器，CPU核心数≥8，核心主频≥2.4GHz，AI算力≥6TOPS算力，保障课堂分析需求。</w:t>
            </w:r>
            <w:r/>
          </w:p>
          <w:p>
            <w:pPr>
              <w:numPr>
                <w:ilvl w:val="0"/>
                <w:numId w:val="1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视频接口：RJ45接口≥5，支持POE供电；HDMI输入≥2，HDMI输出≥2路。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5.音频接口：Line in接口≥2；Line out接口≥2；Mic接口≥6，Mic接口可实现向麦克风提供POE或幻象供电。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6.网络接口：RJ45接口≥1，支持100/1000M网络自适应及IPv4、IPv6双协议栈。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7.控制接口：RJ45接口≥2，支持RS232串行通信协议进行外接控制。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8.外设接口：USB2.0接口≥2，其中一个用于连接U盘等外设，另一个支持UVC/UAC协议，输出音视频供第三方视频会议等软件使用。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9.本地存储：主机内置存储≥2T，保障设备正常运行及录制视频文件的本地存储。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10.视频录制：兼容标准H.264/H.265视频编解码能力，支持4K@30fps、1080P@30fps、720P@30fps的视频录制规格可选，以及AAC音频编解码协议标准，内置音频处理功能。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11.AI边缘计算：主机内置AI课堂行为和AI课堂语音实时分析能力，无需额外设备，即可实现基于课堂上师生行为、PPT课件、语音和板书等多模态课堂数据的融合分析。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12.AI课堂行为分析：教师教情分析数据包括检测时间、教师课堂行为、教师位置坐标、教师活动轨迹等；学生学情分析数据包括检测时间、学生课堂行为、学生活跃度等维度。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13.AI课堂语音分析：分析数据包含语音转写、语速分析、课堂关键词、高频词、语气词分析等维度。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14.PPT课件分析：分析数据包含PPT课件图表数量、图文并茂页数、PPT课件授课时间分布等维度。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15.AI课堂分析报告：主机具备对多模态课堂数据进行实时统计分析的能力，从课程录制结束时刻起算，需在10分钟内完成数据整合与建模，并生成AI课堂分析报告。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AI智能板书内容拼接：针对拍摄多块分散布局的分离式黑板内容，云台远距离拉取全景拍摄导致板书字迹过小、辨识度不足的问题；支持框选自定义多个互不重叠的独立板书增强区域，通过AI图像配准与画面拼接算法，将分区域采集的多组板书特写画面自动融合拼接成一幅完整无割裂的整块板书大图，拼接后的完整画面同步叠加笔迹色彩增强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黑板边框AI智能去除：针对推拉组合式拼接黑板，可智能区分物理黑板边框、固定框架线条与真实手写粉笔笔迹；算法自动屏蔽边框线条，不会将边框误识别为板书内容做笔迹增强，仅对有效手写板书区域执行清晰度优化、色彩增强等处理，杜绝无效边框干扰板书成像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录播流媒体处理软件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1.录制模式：需支持电影模式和资源模式两种录制模式。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2.分段录制：需支持30分钟分段、60分钟分段两种分段录制方式，系统可在不结束录制的条件下根据分段时长自动将视频录制为多个分段文件；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3.录制存储：采用H.264/H.265的视频编码格式和MP4的视频封装格式；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4.录制关联：需支持在录制启动时自动关联开启直播和全自动跟踪模式；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5.视频管理：需支持查看已录制的视频文件，并可按录制时间进行排序和按关键字检索查看，也支持对视频文件进行在线播放、下载、删除和FTP上传；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6.导播模式：需支持全自动、半自动、手动三种导播模式，且支持在录制、直播和互动过程中任意切换导播模式；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7.导播预览：需支持对接入的所有画面进行导播预览，包括教师特写、教师全景、学生全景、学生特写、电脑画面等；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8.视频布局：需支持二分屏、三分屏、画中画等布局，也支持自定义布局方式，且支持对布局内的每个画面窗口进行拖动、叠加、缩放和指定视频源的操作，实现灵活调整；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9.台标字幕：需支持在导播预览界面添加Logo台标与字幕，可自主上传Logo图标、设置logo位置、编辑字幕内容、选择字幕字体颜色与是否滚动显示，且后台管理设置可预设字幕作为备选，方便灵活调整与切换；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10.片头片尾：需支持片头片尾设置，可上传JPG格式图片作为录制默认的片头片尾画面，并可自定义片头片尾显示时长，支持片头片尾显示视频信息；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11.音量控制：需支持在导播过程中进行音量控制，可调整相关输入输出的音量大小，且支持一键静音功能；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12.直播码流：需支持主码流和子码流高低双码流，且支持自定义清晰度、帧率和码流，主码流清晰度支持4K、1080P、720P；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13.直播推流：需支持不少于4路RTMP同步推流直播，并可自定义选择主码流或子码流进行推流直播；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14.智能降噪：需支持AI智能降噪处理，通过算法智能在录制过程中处理环境的噪音，如场室内空调与风扇声，保证录制后的音频质量；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15.智能混音：需支持自动识别人物声音与多媒体声音并动态调节其他音源的音量，避免音源间相互干扰，确保视频教师声音清晰可闻；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智能跟踪处理软件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1.跟踪逻辑：支持智能识别接入摄像机的使用定位，并联动摄像机选用对应的跟踪逻辑，如教师跟踪、学生跟踪等；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2.检测区域：支持对接入摄像机的AI跟踪检测区域设置，可基于实景拍摄画面框选跟踪区域，框选后只在区域中方能触发跟踪，所见所得方便操作；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3.跟踪切换：支持根据设定的跟踪策略形成跟踪指令，实现多路接入摄像机的全自动AI跟踪画面切换；且支持自定义跟踪切换逻辑的画面布局，包含但不限于双分屏、画中画与自定义布局等；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4.跟踪策略：支持对接入摄像机自定义设置AI跟踪目标更新周期时间，摄像机依据配置实现相应跟踪策略；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5.智能构图：支持设置摄像机拍摄画面的智能构图模式，包含但不限于五分像、七分像、全身像等；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6.全场景跟拍：要求支持基于计算机视觉CV技术的AI人工智能跟踪算法，实现教师识别、教师移动跟拍、教师轨迹识别以及学生上台识别、板书行为识别、单人与多人起立识别等教学焦点进行自动捕捉与切换；</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录播系统AI板书分析功能，实现教师在黑板上的板书内容实时识别并进行电子化处理，实现板书内容浮现在拍摄对象身前的效果并可实时环出至大屏进行观看;系统AI跟踪功能，要求单个镜头光学变焦拍摄摄像机支持在多人同时进入拍摄画面的情况下，持续锁定跟踪对象，不出现跟丢和误跟的情况。</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录播系统AI课堂分析功能，为保证数据安全，实现不连接互联网的情况下，依靠录播主机内置的AI分析能力即可完成AI课堂分析，并通过直接访问录播主机后台即可查看分析结果，分析结果数据大屏展示维度包含但不限于课程视频实录、教学行为分析、板书分析、语音转写、语言分析（高频词，语气词等）、语速分析、提问数据汇总分析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智能课堂行为分析软件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一.整体要求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1.兼容对接：要求实现录播主机内置的实时课堂行为分析，同时支持与视频资源管理平台无缝对接，将数据通过平台进行展示或主机内部展示两种模式，两种模式均支持下载分析报告；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多维分析：支持对课堂数据进行综合多维度的分析，包括“课堂师生行为时序”、“教学行为分析”、“理答分析”、“PPT分析”、“教师讲授分析”、“姿态与情感分析”、“课堂管理分析”、“学生学情分析”等多维度多类型分析数据板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3.实时分析：支持对师生出勤率、教学行为、教师活动轨迹、学生课堂动作表情分析等维度数据进行实时统计分析，并且能在课程录制结束三分钟内将数据整合建模生成分析报告；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4.教学环节识别：要求支持按照教学环节定义将课程视频切片，并且在视频播放进度条上有明显标签显示对应的教学环节；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5.编辑教学环节：要求支持用户可以对AI分析生成的教学环节结果自主纠偏，可以依据时间轴自主定义教学环节的时长以及更改教学环节的结论，并支持自主创建教学环节名称；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行为时序播放：支持在课程视频播放进度条显示PPT翻页的具体时间节点，同时将教师行为与学生行为的时序分布依次排列展开，点击时序图上的具体行为节点，视频将自动跳转到对应位置，方便老师快速回顾课堂教学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二.教师教情分析要求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教师行为分析：支持自动分析并统计老师授课过程中的教学行为，包括但不限于“教师板书”、“教师提问”、“教师追问”、“教师巡视”、“PPT演示”、“操作大屏”、“教师姿态”、“目光注视”、“教师发言”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2.PPT分析：要求支持教师授课PPT分析，分析每页PPT所用时长以及PPT内的图片与图表页数，并可识别PPT内留给学生课堂任务的数量，分析任务时间占比；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3.教师巡视：要求支持分析教师课堂管理能力，统计教师巡视次数与巡视时长，并提供热点图直观查看教师授课轨迹情况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4.目光注视：要求支持分析教师对学生学习的观察情况，统计分析教师注视学生区域的时间占比情况；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5.S-T分析：要求支持以图表的形式分析课堂过程中的师生行为，观察教师的课堂环节设计与师生互动情况；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三.学生学情分析要求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学生行为分析：要求支持自动分析并统计学生课堂过程中的学习行为，包括但不限于“多人站立”、“学生举手”、“学生低头”、“多人抬头”、“学生上台”、“学生应答”、“补充发言”、“课堂氛围”、“学生操作电脑”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2.学情观察统计：要求支持对学生区域进行预置位划分，统计学生举手次数以及应答次数，上台人数以及趴桌时长；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3.个体观察分析：要求支持对学生区域进行预置位划分，同时在未上传人脸信息的前提下也对每个学生进行编号标记，记录并呈现每个学生具体某个时间点的行为截图；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4.学情区域对比：要求支持针对学生抬头率、学生情绪以及互动情况，选择2个不同的预置位进行听课情况对比，以图表的形式呈现学生的听课情况和次数对比；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5.学生站立分析：支持以热点图的形式呈现学生站立、学生举手、补充发言的情况与分布，并支持统计站立人数与站立次数，针对学生站立行为支持具体到某个时间以及某位学生；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6.学生专注分析：要求支持统计在不同场景下学生的抬头率情况，如教师板书时、学生上台时、教师PPT授课时，并呈现不同环节的抬头率比例；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7.课堂氛围分析：支持学生课堂表情分析，并支持对各类表情进行实时检测，统计课堂过程中不同时间点学生开心或平静的表情峰值；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8.学生低头分析：要求支持整堂课学生的低头时长统计，并支持展示低头时间点的具体截图。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智能语音分析软件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1.教师提问情况分析：支持基于课堂语音识别能力进行教师课堂提问行为分析，从提问次数与高级认知提问比例两个核心维度进行数据统计，实现课堂提问情况的清晰回顾。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2.教师语速分析：支持通过语音识别能力进行教师课堂授课语速分析，呈现数据需包括整体语速的变化图以及平均语速结论；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3.课堂语音转写：要求基于语音语义识别完成课堂音频的文字转换，实现课堂教学过程语音全纪录，要求平台上可输出整节课的文字字幕。并支持由上课老师课后自主编辑转写文本实现纠偏；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4.课堂高频词分析：支持通过AI语音识别能力以及视觉分析能力，抓取授课过程中出现的高频词汇，并统计出现频次以及出现来源，包括但不限于PPT、板书、教师音频，精准判断课堂教学重点；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5.课堂语气词分析：支持通过进行课堂语音识别，判断老师教学过程中出现的常规语气词出现频次，如“呐”，“嘛”，等语气词，辅助老师调整教学过程中的不良习惯；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6.教师普通话分析：要求支持对教师授课音频进行自适应分段，并分析每个段落教师授课过程中的普通话水平、语速、音量以及关键词；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7.教师音量分析：要求支持分析本堂课教师平均的授课音量，以及根据时间推移呈现音量波动的变化图表；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8.理答类型分析：要求支持对教师课堂理答情况进行分析，支持统计教师提问次数、抽答次数、追问次数，并可以获取每个问题以时间轴的形式记录在什么时间提问；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9.教师追问分析：要求支持分析教师追问类型与次数，并标记具体在第几次提问时发起追问，对追问内容分析是否对学生有诱发思考的作用并统计次数；</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865"/>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高清全景摄像机</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1.传感器：要求采用CMOS类型图像传感器，尺寸≥1/2.5英寸；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2.像素：有效像素≥800万；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3.视频分辨率：最大可支持3840×2160并向下兼容；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4.变焦：要求支持自动和手动变焦，综合变焦倍数≥22倍；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5.云台转动：要求具备机械云台可进行转动跟踪。水平转动速度最大不少于90°/s，垂直转动速度最大不少70°/s；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6.快门速度：要求支持高速与慢速快门速度，最快不小于1/10000s，最慢不小于1/25s；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7.视场角大小：支持水平视场角≥70°，垂直视场角≥43°；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8.视频编码：要求支持H.265、H.264高清视频编码协议；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9.视频输出：要求具备数字视频输出口（RJ45）≥1，HDMI视频输出口≥1；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10.通讯接口：要求具备RS232/RS422≥1；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11.网络接入：RJ45网络接口≥1，并支持100M/1000M自适应以太网接入与RTSP协议网络视频输出；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12.音频接口：Line in输入口≥1；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13.音频编码：要求支持OPUS、G.711A、ACC等常用音频编码协议；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14.USB接口：要求具备USB Type-A≥1；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15.协议支持：要求支持VISCA/ONVIF协议满足多种场景控制要求；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16.背光补偿：要求具备背光补偿功能；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17.数字降噪：支持2D/3D数字降噪，信噪比≥55dB；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1.摄像机传输处理软件需采用B/S架构，支持通用浏览器直接访问进行管理；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2.需支持曝光模式设置功能，包括自动、手动；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3.需支持抗闪烁频率、动态范围、光圈、快门参数设置；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4.需支持设置自动/手动/一键锁定/室内/室外多场景白平衡设置，红、蓝增益可调以满足不同环境取景需要；；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5.需支持噪声抑制设置功能，支持2D、3D降噪；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6.需支持摄像机图像质量调节功能，包括亮度、对比度、色调、饱和度；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7.需支持图像水平、垂直翻转，适应摄像机不同的安装方式要求；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8.需支持摄像机控制功能，包括云台控制、预置位设置与调用、焦距调节等；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9.需支持自动/手动两种聚焦锁定模式；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10.支持设置预置位数量≥255，预置位设置精度≤0.1°；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11.需支持跟踪人物丢失寻回机制，在智能跟踪的场景下跟拍对象出画后重新回到拍摄画面将再次锁定跟踪；</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3"/>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高清特写摄像机</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1.传感器：要求采用CMOS类型图像传感器，尺寸≥1/2.5英寸；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2.像素：有效像素≥800万；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3.视频分辨率：最大可支持3840×2160并向下兼容；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4.变焦：要求支持自动和手动变焦，综合变焦倍数≥28倍；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5.云台转动：要求具备机械云台可进行转动跟踪。水平转动速度最大不少于90°/s，垂直转动速度最大不少70°/s；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6.快门速度：要求支持高速与慢速快门速度，最快不小于1/10000s，最慢不小于1/25s；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7.视场角大小：支持水平视场角≥50°，垂直视场角≥30°；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8.视频编码：要求支持H.265、H.264高清视频编码协议；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9.视频输出：要求具备数字视频输出口（RJ45）≥1，HDMI视频输出口≥1；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10.通讯接口：要求具备RS232/RS422≥1；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11.网络接入：RJ45网络接口≥1，并支持100M/1000M自适应以太网接入与RTSP协议网络视频输出；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12.音频接口：Line in输入口≥1；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13.音频编码：要求支持OPUS、G.711A、AAC等常用音频编码协议；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14.USB接口：要求具备USB Type-A≥1；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15.协议支持：要求支持VISCA/ONVIF协议满足多种场景控制要求；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16.背光补偿：要求具备背光补偿功能；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17.数字降噪：支持2D/3D数字降噪，信噪比≥55dB；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▲15.交叉识别：需支持对锁定跟拍对象进行人脸特征与肢体双重认证识别，在多人同时进入拍摄画面的情况下，持续锁定跟踪对象，不出现跟丢和误跟的情况。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16.AI抗干扰：支持在拍摄画面有显示设备或其他动态视频播放的情况下，自动启用AI抗干扰能力，保障画面始终锁定被跟踪对象，且跟踪效果不受影响；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1.摄像机传输处理软件需采用B/S架构，支持通用浏览器直接访问进行管理；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2.需支持曝光模式设置功能，包括自动、手动；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3.需支持抗闪烁频率、动态范围、光圈、快门参数设置；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4.需支持设置自动/手动/一键锁定/室内/室外多场景白平衡设置，红、蓝增益可调以满足不同环境取景需要；；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5.需支持噪声抑制设置功能，支持2D、3D降噪；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6.需支持摄像机图像质量调节功能，包括亮度、对比度、色调、饱和度；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7.需支持图像水平、垂直翻转，适应摄像机不同的安装方式要求；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8.需支持摄像机控制功能，包括云台控制、预置位设置与调用、焦距调节等；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9.需支持自动/手动两种聚焦锁定模式；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10.支持设置预置位数量≥255，预置位设置精度≤0.1°；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11.需支持跟踪人物丢失寻回机制，在智能跟踪的场景下跟拍对象出画后重新回到拍摄画面将再次锁定跟踪；</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23"/>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触控面板</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1.硬件设计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1）支持壁挂式上墙部署；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2）具备</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10.1英寸1280*800高清全视角显示屏幕；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3）存储性能：缓存容量不小于2G,存储容量不小于16G；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4）操作系统 ：Android 11及以上版本；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5）接口类型：USB≥1， 网络接口≥1，3.5mm耳麦接口≥1，串口RS232≥1；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2.整体设计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1）控制方式：支持通过网络连接进行录播主机的管理、控制；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2）电源管理：支持控制录播主机的关机、休眠、唤醒操作；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3）集成录课模式控制、互动模式控制、录像资源管理等控制应用；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3.录课模式控制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1）支持通过触控面板实时预览录制信号画面，进行导播操作；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2）支持录制开始/停止、录制暂停/恢复、直播开启/关闭、电脑画面锁定/解锁等功能操作；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3）支持常用键位设置，可设置各镜头快速切换、画面布局等相关录课操作常用键位；</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554"/>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拾音话筒</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1.指向性：超心型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2.频率响应：40Hz—16kHz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3.灵敏度≥-7dB±1dB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4.最大声压级≥110dB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5.信噪比≥62dB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6.动态范围≥78.5dB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7.使用电源：麦克风一线通供电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8.输出接口：RJ45，数字音频接口</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518"/>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电源管理器</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1.提供统一的、至少八路电源管理；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2.支持对录播系统控制功能，实现通过录制面板一键启动录播系统相关设备的电源；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3.支持时序电源控制功能，每路延迟一秒，可编程控制；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4.具备内置光电隔离模块，保障负载运行安全；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5.支持提供1路最大电流不低于10A的电源输出接口；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6.支持RS-485/RS-422/RS-232 等控制协议。</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导播控制台</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支持不少于5种特技效果。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支持不少于6布局选择；6路视频直播切换；6个预置位；6个视频预选功能。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支持云台控制功能：上下左右及变焦功能。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支持录制、暂停、停止功能。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支持全自动录播模式和手动录播模式。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支持通过USB线缆连接录播主机。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安装导播控制台软件，并设置录播地址。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 导播界面与导播控制台按键/状态同步对应。</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音箱</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1.HF线性标准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2.高音单元：1＂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3.低音单元：6.5＂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4.频率响应：60Hz-20KHz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5.阻抗： 6Ω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6.功率：60W(RMS)    120W(PEAK)</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7.灵敏度</w:t>
            </w:r>
            <w:r>
              <w:rPr>
                <w:rFonts w:hint="eastAsia" w:ascii="宋体" w:hAnsi="宋体" w:eastAsia="宋体" w:cs="宋体"/>
                <w:i w:val="0"/>
                <w:iCs w:val="0"/>
                <w:color w:val="auto"/>
                <w:sz w:val="24"/>
                <w:szCs w:val="24"/>
                <w:highlight w:val="none"/>
                <w:u w:val="none"/>
                <w:lang w:val="en-US" w:eastAsia="zh-CN" w:bidi="ar"/>
              </w:rPr>
              <w:t xml:space="preserve">：≥91dB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8.最大声压级：105dB</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445"/>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梯形组合桌</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台面板，饰面采用优质高密度E1级三聚氰胺颗粒板，梯形台面尺寸为≥780MM*550MM*250MM，厚度≥25mm，面粘三聚氰胺胶面，PVC胶边、耐磨、防、牢固耐用。台面形状是梯形。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托面板采用优质冷轧钢板一体冲压而成，材料壁厚：</w:t>
            </w:r>
            <w:r>
              <w:rPr>
                <w:rFonts w:hint="eastAsia" w:ascii="宋体" w:hAnsi="宋体" w:eastAsia="宋体" w:cs="宋体"/>
                <w:i w:val="0"/>
                <w:iCs w:val="0"/>
                <w:color w:val="auto"/>
                <w:sz w:val="24"/>
                <w:szCs w:val="24"/>
                <w:highlight w:val="none"/>
                <w:u w:val="none"/>
                <w:lang w:val="en-US" w:eastAsia="zh-CN" w:bidi="ar"/>
              </w:rPr>
              <w:t xml:space="preserve">≥3.0MM</w:t>
            </w:r>
            <w:r>
              <w:rPr>
                <w:rFonts w:hint="eastAsia" w:ascii="宋体" w:hAnsi="宋体" w:eastAsia="宋体" w:cs="宋体"/>
                <w:i w:val="0"/>
                <w:iCs w:val="0"/>
                <w:color w:val="auto"/>
                <w:sz w:val="24"/>
                <w:szCs w:val="24"/>
                <w:highlight w:val="none"/>
                <w:u w:val="none"/>
                <w:lang w:val="en-US" w:eastAsia="zh-CN" w:bidi="ar"/>
              </w:rPr>
              <w:t xml:space="preserve">采用防锈静电喷涂处理,实用牢固，承受力大。脚管前脚管采用圆管≥25*50*1.2mm圆形钢管，下脚管采用异形椭圆30-60*1.2mm蛋形钢管，采用防锈静电喷涂处理。横梁采用优质50圆管表面再经防锈静电喷涂处理，实用牢固，承受力大。书网采用优质14圆管 (厚度为≥0.8mm)经注塑塑料件与圆管组合成型表面采用防锈静电喷涂处理。外观设计采用人体工程理念及个性化需求，整件产品拼接好，接缝齐整，整体颜色基本相符，过渡自然;台架有拉杆拆叠装置，脚轮采用的PU万向脚轮带刹车，造型美观大方，有现代特色。</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trHeight w:val="445"/>
        </w:trPr>
        <w:tc>
          <w:tcPr>
            <w:shd w:val="clear" w:color="auto" w:fill="auto"/>
            <w:tcW w:w="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10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人体工学椅</w:t>
            </w:r>
            <w:r/>
          </w:p>
        </w:tc>
        <w:tc>
          <w:tcPr>
            <w:shd w:val="clear" w:color="auto" w:fill="auto"/>
            <w:tcW w:w="66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1、椅架：采用≥12mm实心钢筋，钢架完整焊接，结实耐用，不轻易变形，可承重150KG；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2、椅架颜色：电镀，另加沙黑、沙白喷涂两色可选，高温静电喷涂工艺                                                            3、胶壳：全新PP工程塑料，模具一体成型，靠背贴心手提，人性化设计，质地轻、抗裂性强、耐腐蚀、耐老化、无毒环保，可循环回收利用，胶壳颜色有黑、白、绿，黄4色可选；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4、座垫：座棉采用高密度纯棉，座包采用阻燃绦纶面料，不含胶水，色度牢，耐光性好，抗皱免烫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5、尺寸：≥椅子高度78cm,宽度50cm,座宽度45cm,座面距地高度43cm; ；                                                   6、脚塞：防滑塑料胶塞，保护地板不受伤害，移动时不会发出噪音；                                                                       7、功能：椅子可层叠，方便收纳与摆放；</w:t>
            </w:r>
            <w:r/>
          </w:p>
        </w:tc>
        <w:tc>
          <w:tcPr>
            <w:shd w:val="clear" w:color="auto" w:fill="auto"/>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bl>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1、核心产品为：序号5智能高清云展台、序号13高清录播主机。</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2、供应商应在“投标货物和服务数量、品牌、规格、制造商明细表”中必须列明所有投标产品的品牌、规格/型号、制造商和数量，且数量需满足采购需求，否则投标无效。</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的技术要求响应情况：产品优于技术要求的为正偏离，低于技术要求的为负偏离。正偏离和无偏离为响应，负偏离为不响应。内容无偏离的可以不填写，负偏离或正偏离的需在表中列出。</w:t>
      </w:r>
      <w:r/>
    </w:p>
    <w:p>
      <w:pPr>
        <w:ind w:firstLine="472"/>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考虑到数据、资源安全性的事宜，供应商应承诺所有软件和资源本地化部署到学校指定机房，并免费对接到学校数智大脑平台，投标文件中须提供承诺函，否则视为非实质性响应招标文件要求，投标无效（承诺函格式自拟）。</w:t>
      </w:r>
      <w:r/>
    </w:p>
    <w:p>
      <w:pPr>
        <w:ind w:firstLine="47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二、绿色采购</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numPr>
          <w:ilvl w:val="0"/>
          <w:numId w:val="11"/>
        </w:num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采购人本次采购产品均不属于《节能产品政府采购品目清单》范围内的强制采购节能产品。</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本次采购产品中“序号21梯形组合桌、序号22人体工学椅”属于《环境标志产品政府采购品目清单》范围内的产品，本次采购对范围内的产品实施优先采购，各投标人可提供由国家确定的认证机构出具的、处于有效期之内的环境标志产品认证证书。在得分相同且价格相同情况下，提供优先采购产品证书更多的投标人为本项目优先成交。</w:t>
      </w:r>
      <w:r/>
    </w:p>
    <w:p>
      <w:pPr>
        <w:ind w:firstLine="47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三、项目整体要求</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1、项目实施要求</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1.1需要安装的货物，中标单位必须派技术人员到现场安装，并检查安装质量，并制定供货计划。</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1.2中标单位应负责现场安装人员的安全管理并提供安装中全部所需的工具。</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1.3本次安装调试售后服务需要专业技术团队支撑协助进行，投标单位需要有充分的技术储备。</w:t>
      </w:r>
      <w:r/>
    </w:p>
    <w:p>
      <w:pPr>
        <w:numPr>
          <w:ilvl w:val="0"/>
          <w:numId w:val="0"/>
        </w:numPr>
        <w:ind w:firstLine="48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2、投标单位应成立专门的项目实施团队，团队成员至少2人，其中包含一名项目负责人，人员相关费用均包含在投标报价内。</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3、售后服务要求</w:t>
      </w:r>
      <w:r/>
    </w:p>
    <w:p>
      <w:pPr>
        <w:ind w:firstLine="47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3.1所有设备从验收合格之日起质保期为3年。</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3.2提供免费上门服务，在接到用户报修电话后，1小时内响应，2小时内到达现场，4小时内完成采购方提出的维修要求，如需更换设备或送修,在2个工作日内解决，设备送修期间，提供相同备用设备供采购人使用。</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4、培训要求</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在所有设备安装完成后，中标单位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ind w:firstLine="47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三、其他要求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招标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zh-CN"/>
        </w:rPr>
        <w:t xml:space="preserve">必须对所提供货物和服务等知识产权方面的一切产权关系负全部责任，由此而引起的法律纠纷以及费用由中标人全部承担。</w:t>
      </w:r>
      <w:r/>
    </w:p>
    <w:p>
      <w:pPr>
        <w:ind w:firstLine="47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、凡涉及招标文件的补充说明和修改，均以苏州市政府采购网上公示信息为准。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、验收要求：</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采购人将组织专业人员对供方提供的产品进行检验或抽检，对由此造成采购人的误工等损失，均由供方承担。</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（2）货物到达采购方指定地点，应提前通知采购方，由采购方会同专业人员根据有关清单进行验收。</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需提供质保书、保修证明等书面资料，项目整体按国家有关标准、规范要求进行验收，并需通过国家有关部门的验收，费用由中标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支付。</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（4）验收标准：按本招标文件、供应商的投标文件、承诺及国家相关标准为准。如双方对验收结果有分歧，则以权威质检机构的检验结果为准，检验费用由有过失的一方支付。</w:t>
      </w:r>
      <w:r/>
    </w:p>
    <w:p>
      <w:pPr>
        <w:rPr>
          <w:rFonts w:hAnsi="宋体" w:cs="宋体"/>
          <w:color w:val="auto"/>
          <w:szCs w:val="24"/>
          <w:highlight w:val="none"/>
        </w:rPr>
      </w:pPr>
      <w:r>
        <w:rPr>
          <w:rFonts w:hAnsi="宋体" w:cs="宋体"/>
          <w:color w:val="auto"/>
          <w:szCs w:val="24"/>
          <w:highlight w:val="none"/>
        </w:rPr>
      </w:r>
      <w:r/>
    </w:p>
    <w:p>
      <w:pPr>
        <w:numPr>
          <w:ilvl w:val="0"/>
          <w:numId w:val="12"/>
        </w:num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合同主要条款</w:t>
      </w:r>
      <w:bookmarkEnd w:id="12"/>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项目名称：                       项目编号：</w:t>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乙方（中标供应商）：</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spacing w:before="120" w:after="120"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left="0"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一、定义：以下术语有特定的含义：</w:t>
      </w:r>
      <w:r/>
    </w:p>
    <w:p>
      <w:p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合同价是指根据中标的投标文件和合同规定，乙方在正确地履行合同义务后甲方应支付给乙方的价款。</w:t>
      </w:r>
      <w:r/>
    </w:p>
    <w:p>
      <w:p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甲方是指合同中明确规定的实际购买货物和接受服务的单位。</w:t>
      </w:r>
      <w:r/>
    </w:p>
    <w:p>
      <w:p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乙方是指合同中规定的提供货物和提供服务的单位。</w:t>
      </w:r>
      <w:r/>
    </w:p>
    <w:p>
      <w:p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二、合同标的：</w:t>
      </w:r>
      <w:r/>
    </w:p>
    <w:tbl>
      <w:tblPr>
        <w:tblStyle w:val="9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W w:w="1529"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642"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13"/>
        </w:num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合同总价款：</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四、交货地点、时间、方式：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1.交货地点：乙方交货至甲方指定地点，所发生的运输等费用及货物的损坏造成的损失由乙方承担。</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2.交货时间：</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日内供货并安装调试结束。</w:t>
      </w:r>
      <w:r>
        <w:rPr>
          <w:rFonts w:hint="eastAsia" w:ascii="宋体" w:hAnsi="宋体" w:eastAsia="宋体" w:cs="宋体"/>
          <w:color w:val="auto"/>
          <w:sz w:val="24"/>
          <w:szCs w:val="24"/>
          <w:highlight w:val="none"/>
        </w:rPr>
        <w:t xml:space="preserve">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3.交货方式：乙方负责将货物安全完好运抵交货地点、安装调试并保证验收合格。</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五、付款方式：</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（1）在采购合同签订生效后，待全部货物到达甲方指定地点完成安装调试，经甲方最终验收合格，由甲方向乙方按合同总价支付95%的款，余款5％在验收合格满</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年，无质量问题且乙方不存在其他违约情形，由甲方向乙方一次性付清。</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（2）乙方提请甲方付款前，应提供以下资料：</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A、甲方签收的送货回单。</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B、合格销售发票。</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C、由甲乙双方签章的《苏州市政府采购合同履行验收报告》</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支付方式：</w:t>
      </w:r>
      <w:r>
        <w:rPr>
          <w:rFonts w:hint="eastAsia" w:ascii="宋体" w:hAnsi="宋体" w:eastAsia="宋体" w:cs="宋体"/>
          <w:color w:val="auto"/>
          <w:sz w:val="24"/>
          <w:szCs w:val="24"/>
          <w:highlight w:val="none"/>
        </w:rPr>
        <w:t xml:space="preserve">银行转账。</w:t>
      </w:r>
      <w:r>
        <w:rPr>
          <w:rFonts w:hint="eastAsia" w:ascii="宋体" w:hAnsi="宋体" w:eastAsia="宋体" w:cs="宋体"/>
          <w:color w:val="auto"/>
          <w:sz w:val="24"/>
          <w:szCs w:val="24"/>
          <w:highlight w:val="none"/>
        </w:rPr>
        <w:t xml:space="preserve">乙方账户信息如下：</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4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color w:val="auto"/>
          <w:spacing w:val="-10"/>
          <w:sz w:val="24"/>
          <w:szCs w:val="24"/>
          <w:highlight w:val="none"/>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六、验收 </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（1）根据《政府采购货物和服务招标投标管理办法》要求,投标设备由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及有关部门进行验收。验收包括：数量、外观、质量、性能；符合规定的性能，无瑕疵和缺陷，质量为合格产品。可以正常使用。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自行负责。</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将组织专业人员对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提供的产品进行检验或抽检，对由此造成</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的误工等损失，均由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承担。</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（2）货物到达</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指定地点，应提前通知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会同专业人员根据有关清单进行验收。</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需提供质保书、保修证明等书面资料，项目整体按国家有关标准、规范要求进行验收，并需通过国家有关部门的验收，费用由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支付。</w:t>
      </w:r>
      <w:r/>
    </w:p>
    <w:p>
      <w:pPr>
        <w:ind w:firstLine="47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（4）验收标准：按本招标文件、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的投标文件、承诺及国家相关标准为准。如双方对验收结果有分歧，则以权威质检机构的检验结果为准，检验费用由有过失的一方支付。</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val="0"/>
          <w:bCs/>
          <w:color w:val="auto"/>
          <w:sz w:val="24"/>
          <w:szCs w:val="24"/>
          <w:highlight w:val="none"/>
          <w:lang w:val="en-US" w:eastAsia="zh-CN"/>
        </w:rPr>
        <w:t xml:space="preserve">售后服务</w:t>
      </w:r>
      <w:r>
        <w:rPr>
          <w:rFonts w:hint="eastAsia" w:ascii="宋体" w:hAnsi="宋体" w:eastAsia="宋体" w:cs="宋体"/>
          <w:b/>
          <w:color w:val="auto"/>
          <w:sz w:val="24"/>
          <w:szCs w:val="24"/>
          <w:highlight w:val="none"/>
        </w:rPr>
        <w:t xml:space="preserve">：</w:t>
      </w:r>
      <w:r/>
    </w:p>
    <w:p>
      <w:pPr>
        <w:ind w:firstLine="47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（1）所有设备从验收合格之日起质保期为3年。</w:t>
      </w:r>
      <w:r/>
    </w:p>
    <w:p>
      <w:pPr>
        <w:ind w:firstLine="47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（2）提供免费上门服务，在接到用户报修电话后，1小时内响应，2小时内到达现场，4小时内完成甲方提出的维修要求，如需更换设备或送修,在2个工作日内解决，设备送修期间，提供相同备用设备供甲方使用。</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八、伴随服务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1.乙方应提供所交付货物的全套技术文件资料，包括产品目录、软件备份、图纸、操作手册、使用说明、维护手册和服务指南等。</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2.乙方还应提供下列服务：货物的现场安装、启动和试运行；提供货物组装和维修所需的工具；在质量保证期内对所交付货物提供运行监督、维修、保养等。</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3.上述伴随服务的费用应包含在合同价中，不单独进行支付。</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4.货物的包装、储运、安装按国家有关规定执行。</w:t>
      </w:r>
      <w:r/>
    </w:p>
    <w:p>
      <w:pPr>
        <w:pStyle w:val="1047"/>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九、</w:t>
      </w:r>
      <w:r>
        <w:rPr>
          <w:rFonts w:hint="eastAsia" w:ascii="宋体" w:hAnsi="宋体" w:eastAsia="宋体" w:cs="Times New Roman"/>
          <w:b/>
          <w:bCs/>
          <w:color w:val="auto"/>
          <w:sz w:val="24"/>
          <w:szCs w:val="24"/>
          <w:highlight w:val="none"/>
        </w:rPr>
        <w:t xml:space="preserve">履约保证金</w:t>
      </w:r>
      <w:r/>
    </w:p>
    <w:p>
      <w:pPr>
        <w:pStyle w:val="104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w:t>
      </w:r>
      <w:r>
        <w:rPr>
          <w:rFonts w:ascii="Wingdings 2" w:hAnsi="Wingdings 2" w:eastAsia="Wingdings 2" w:cs="Wingdings 2"/>
          <w:color w:val="auto"/>
          <w:sz w:val="24"/>
          <w:szCs w:val="24"/>
          <w:highlight w:val="none"/>
        </w:rPr>
        <w:t xml:space="preserve">R</w:t>
      </w:r>
      <w:r>
        <w:rPr>
          <w:rFonts w:hint="eastAsia" w:ascii="宋体" w:hAnsi="宋体" w:eastAsia="宋体" w:cs="Times New Roman"/>
          <w:color w:val="auto"/>
          <w:sz w:val="24"/>
          <w:szCs w:val="24"/>
          <w:highlight w:val="none"/>
        </w:rPr>
        <w:t xml:space="preserve">不要求提交履约保证金</w:t>
      </w:r>
      <w:r/>
    </w:p>
    <w:p>
      <w:pPr>
        <w:pStyle w:val="1047"/>
        <w:ind w:firstLine="480"/>
        <w:spacing w:line="360" w:lineRule="auto"/>
        <w:rPr>
          <w:rFonts w:hint="eastAsia" w:ascii="宋体" w:hAnsi="宋体" w:eastAsia="宋体" w:cs="Times New Roman"/>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s="Times New Roman"/>
          <w:color w:val="auto"/>
          <w:sz w:val="24"/>
          <w:szCs w:val="24"/>
          <w:highlight w:val="none"/>
        </w:rPr>
        <w:t xml:space="preserve">要求提交履约保证金，金额：合同金额的10%，要求如下：</w:t>
      </w:r>
      <w:r/>
    </w:p>
    <w:p>
      <w:pPr>
        <w:pStyle w:val="104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在签订合同前，成交单位应当以支票、汇票、本票或者金融机构、担保机构出具的保函等非现金形式提交。联合体成交的，其履约保证金以联合体各方或者联合体中牵头人的名义提交。履约保证金的数额不超过合同金额的10%。</w:t>
      </w:r>
      <w:r/>
    </w:p>
    <w:p>
      <w:pPr>
        <w:pStyle w:val="104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2、中标单位无故拖延或拒不提交履约保证金的，视为拒绝与采购人签订合同。</w:t>
      </w:r>
      <w:r/>
    </w:p>
    <w:p>
      <w:pPr>
        <w:pStyle w:val="104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3、履约保证金将在成交供应商合同履行完毕且验收合格后，采购人在五个工作日内退返成交供应商。</w:t>
      </w:r>
      <w:r/>
    </w:p>
    <w:p>
      <w:pPr>
        <w:pStyle w:val="104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4、履约保证金（无息）在服务期满且服务缺陷更正，并配合甲方和新中标单位办理移交手续后退还。如乙方对服务缺陷不予更正，甲方有权另请其他单位更正，所发生的费用在履约保证金中扣除。</w:t>
      </w:r>
      <w:r/>
    </w:p>
    <w:p>
      <w:pPr>
        <w:pStyle w:val="104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firstLine="522"/>
        <w:spacing w:line="360" w:lineRule="auto"/>
        <w:rPr>
          <w:rFonts w:hint="eastAsia" w:ascii="宋体" w:hAnsi="宋体" w:eastAsia="宋体" w:cs="宋体"/>
          <w:b/>
          <w:bCs/>
          <w:color w:val="auto"/>
          <w:sz w:val="24"/>
          <w:szCs w:val="24"/>
          <w:highlight w:val="none"/>
        </w:rPr>
      </w:pPr>
      <w:r>
        <w:rPr>
          <w:rFonts w:hint="eastAsia" w:eastAsia="宋体"/>
          <w:b/>
          <w:bCs/>
          <w:color w:val="auto"/>
          <w:highlight w:val="none"/>
          <w:lang w:val="en-US" w:eastAsia="zh-CN"/>
        </w:rPr>
        <w:t xml:space="preserve">十</w:t>
      </w:r>
      <w:r>
        <w:rPr>
          <w:rFonts w:hint="eastAsia" w:ascii="宋体" w:hAnsi="宋体" w:eastAsia="宋体" w:cs="宋体"/>
          <w:b/>
          <w:bCs/>
          <w:color w:val="auto"/>
          <w:sz w:val="24"/>
          <w:szCs w:val="24"/>
          <w:highlight w:val="none"/>
        </w:rPr>
        <w:t xml:space="preserve">、质量保证</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、索赔</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1.甲方有权根据当地国家技术监督局、进出口商品检验局或其他具有法定资格的质检机构出具的检验证书向乙方提出索赔。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2.如果乙方对缺陷负有责任而甲方提出索赔，乙方应按照甲方同意的下列一种或多种方式解决索赔事宜：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（2）根据货物低劣、损坏程度以及甲方所遭受损失的金额，经双方商定降低货物的价格。</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、履约延误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1.乙方应按照合同规定的时间、地点交货和提供服务；甲方应按照合同规定的时间、地点接收货物和接受服务。</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2.如果乙方无正当理由拖延交货，将受到以下制裁：加收误期赔偿费、终止合同；如果甲方无正当理由拖延接收货物和接受服务，应承担相应责任。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、误期赔偿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2.误期赔偿费可从应付货款中扣除。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3.收取误期赔偿费不影响甲方采取合同规定的其他补救措施的权利。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、不可抗力</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、争端的解决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 </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、违约终止合同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（1）如果乙方未能在合同规定的限期或甲方同意延长的限期内提供部分或全部货物和服务。</w:t>
      </w:r>
      <w:r/>
    </w:p>
    <w:p>
      <w:pPr>
        <w:ind w:left="0"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（2）如果乙方未能履行合同规定的其它任何义务。 </w:t>
      </w:r>
      <w:r/>
    </w:p>
    <w:p>
      <w:pPr>
        <w:ind w:left="0"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、合同转让和分包：</w:t>
      </w:r>
      <w:r>
        <w:rPr>
          <w:rFonts w:hint="eastAsia" w:ascii="宋体" w:hAnsi="宋体" w:eastAsia="宋体" w:cs="宋体"/>
          <w:color w:val="auto"/>
          <w:sz w:val="24"/>
          <w:szCs w:val="24"/>
          <w:highlight w:val="none"/>
        </w:rPr>
        <w:t xml:space="preserve">本项目不得转包、分包。</w:t>
      </w:r>
      <w:r/>
    </w:p>
    <w:p>
      <w:pPr>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、需要补充的合同条款：</w:t>
      </w:r>
      <w:r>
        <w:rPr>
          <w:rFonts w:hint="eastAsia" w:ascii="宋体" w:hAnsi="宋体" w:eastAsia="宋体" w:cs="宋体"/>
          <w:color w:val="auto"/>
          <w:sz w:val="24"/>
          <w:szCs w:val="24"/>
          <w:highlight w:val="none"/>
        </w:rPr>
        <w:t xml:space="preserve">（根据评标过程中或者商务谈判时商定的条款和条件在订立合同时标明）。</w:t>
      </w:r>
      <w:r/>
    </w:p>
    <w:p>
      <w:pPr>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、合同生效 </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2.本合同系指本文件及其附件中的所有部分，招标文件、中标的投标文件、中标通知书、中标人在招标过程中的澄清和承诺等为本合同不可缺少的组成部分。</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Times New Roman"/>
          <w:color w:val="auto"/>
          <w:sz w:val="24"/>
          <w:szCs w:val="24"/>
          <w:highlight w:val="none"/>
        </w:rPr>
        <w:t xml:space="preserve">本合同壹式肆份，甲乙双方各执壹份，招标代理机构贰份，具有同等法律效力</w:t>
      </w:r>
      <w:r>
        <w:rPr>
          <w:rFonts w:hint="eastAsia" w:ascii="宋体" w:hAnsi="宋体" w:eastAsia="宋体" w:cs="宋体"/>
          <w:color w:val="auto"/>
          <w:sz w:val="24"/>
          <w:szCs w:val="24"/>
          <w:highlight w:val="none"/>
        </w:rPr>
        <w:t xml:space="preserve">。</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本合同未尽事宜应按照《中华人民共和国民法典》、《中华人民共和国政府采购法》之规定解释。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名称(公章)：                          名称(公章)：</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法定代表人/负责人：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                          或授权代理人：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bCs/>
          <w:color w:val="auto"/>
          <w:sz w:val="24"/>
          <w:szCs w:val="24"/>
          <w:highlight w:val="none"/>
        </w:rPr>
        <w:br w:type="page" w:clear="all"/>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第六章 评分标准</w:t>
      </w:r>
      <w:r/>
    </w:p>
    <w:p>
      <w:pPr>
        <w:ind w:firstLine="4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提供的环境标志产品认证证书也相同，</w:t>
      </w:r>
      <w:r>
        <w:rPr>
          <w:rFonts w:hint="eastAsia" w:ascii="宋体" w:hAnsi="宋体" w:eastAsia="宋体" w:cs="宋体"/>
          <w:color w:val="auto"/>
          <w:sz w:val="24"/>
          <w:szCs w:val="24"/>
          <w:highlight w:val="none"/>
        </w:rPr>
        <w:t xml:space="preserve">则</w:t>
      </w:r>
      <w:r>
        <w:rPr>
          <w:rFonts w:hint="eastAsia" w:ascii="宋体" w:hAnsi="宋体" w:eastAsia="宋体" w:cs="宋体"/>
          <w:color w:val="auto"/>
          <w:sz w:val="24"/>
          <w:szCs w:val="24"/>
          <w:highlight w:val="none"/>
          <w:lang w:val="en-US" w:eastAsia="zh-CN"/>
        </w:rPr>
        <w:t xml:space="preserve">由评审小组</w:t>
      </w:r>
      <w:r>
        <w:rPr>
          <w:rFonts w:hint="eastAsia" w:ascii="宋体" w:hAnsi="宋体" w:eastAsia="宋体" w:cs="宋体"/>
          <w:color w:val="auto"/>
          <w:sz w:val="24"/>
          <w:szCs w:val="24"/>
          <w:highlight w:val="none"/>
        </w:rPr>
        <w:t xml:space="preserve">组织以抽签方式确定。</w:t>
      </w:r>
      <w:r/>
    </w:p>
    <w:p>
      <w:pPr>
        <w:ind w:firstLine="480"/>
        <w:spacing w:line="360" w:lineRule="auto"/>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％（权重），技术及其他分值占总分值的比重为</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％（权重）。</w:t>
      </w:r>
      <w:r/>
    </w:p>
    <w:p>
      <w:pPr>
        <w:numPr>
          <w:ilvl w:val="0"/>
          <w:numId w:val="14"/>
        </w:num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rPr>
        <w:t xml:space="preserve">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％×100</w:t>
      </w:r>
      <w:r/>
    </w:p>
    <w:p>
      <w:pPr>
        <w:pStyle w:val="1002"/>
        <w:numPr>
          <w:ilvl w:val="0"/>
          <w:numId w:val="14"/>
        </w:numPr>
        <w:ind w:left="-20" w:firstLine="482"/>
        <w:spacing w:line="360" w:lineRule="auto"/>
        <w:tabs>
          <w:tab w:val="left" w:pos="66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分）</w:t>
      </w:r>
      <w:r/>
    </w:p>
    <w:p>
      <w:pPr>
        <w:ind w:firstLine="42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、项目实施方案（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根据响应单位提供的项目实施方案（包括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项目进度</w:t>
      </w:r>
      <w:r>
        <w:rPr>
          <w:rFonts w:hint="eastAsia" w:ascii="宋体" w:hAnsi="宋体" w:eastAsia="宋体" w:cs="宋体"/>
          <w:bCs/>
          <w:color w:val="auto"/>
          <w:sz w:val="24"/>
          <w:szCs w:val="24"/>
          <w:highlight w:val="none"/>
          <w:lang w:val="en-US" w:eastAsia="zh-CN"/>
        </w:rPr>
        <w:t xml:space="preserve">计划</w:t>
      </w:r>
      <w:r>
        <w:rPr>
          <w:rFonts w:hint="eastAsia" w:ascii="宋体" w:hAnsi="宋体" w:eastAsia="宋体" w:cs="宋体"/>
          <w:bCs/>
          <w:color w:val="auto"/>
          <w:sz w:val="24"/>
          <w:szCs w:val="24"/>
          <w:highlight w:val="none"/>
        </w:rPr>
        <w:t xml:space="preserve">、设备供货计划，调试安装方案</w:t>
      </w:r>
      <w:r>
        <w:rPr>
          <w:rFonts w:hint="eastAsia" w:ascii="宋体" w:hAnsi="宋体" w:eastAsia="宋体" w:cs="宋体"/>
          <w:bCs/>
          <w:color w:val="auto"/>
          <w:sz w:val="24"/>
          <w:szCs w:val="24"/>
          <w:highlight w:val="none"/>
          <w:lang w:val="en-US" w:eastAsia="zh-CN"/>
        </w:rPr>
        <w:t xml:space="preserve">、成品保护措施、项目验收</w:t>
      </w:r>
      <w:r>
        <w:rPr>
          <w:rFonts w:hint="eastAsia" w:ascii="宋体" w:hAnsi="宋体" w:eastAsia="宋体" w:cs="宋体"/>
          <w:bCs/>
          <w:color w:val="auto"/>
          <w:sz w:val="24"/>
          <w:szCs w:val="24"/>
          <w:highlight w:val="none"/>
        </w:rPr>
        <w:t xml:space="preserve">管理</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未提供方案的不得分。</w:t>
      </w:r>
      <w:r/>
    </w:p>
    <w:p>
      <w:pPr>
        <w:ind w:firstLine="42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、项目售后服务方案（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根据响应单位提供的项目售后服务方案（包括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免费售后服务期内服务、免费售后服务期外服务、维护方案</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 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未提供方案的不得分。</w:t>
      </w:r>
      <w:r/>
    </w:p>
    <w:p>
      <w:pPr>
        <w:ind w:firstLine="42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、培训方案（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响应单位需根据本项目内容提供详细的培训方案，（包括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培训目标、培训计划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培训内容</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未提供方案的不得分。</w:t>
      </w:r>
      <w:r/>
    </w:p>
    <w:p>
      <w:pPr>
        <w:numPr>
          <w:ilvl w:val="0"/>
          <w:numId w:val="0"/>
        </w:num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4、应急方案</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响应单位需根据本项目内容提供详细的</w:t>
      </w:r>
      <w:r>
        <w:rPr>
          <w:rFonts w:hint="eastAsia" w:ascii="宋体" w:hAnsi="宋体" w:eastAsia="宋体" w:cs="宋体"/>
          <w:bCs/>
          <w:color w:val="auto"/>
          <w:sz w:val="24"/>
          <w:szCs w:val="24"/>
          <w:highlight w:val="none"/>
          <w:lang w:val="en-US" w:eastAsia="zh-CN"/>
        </w:rPr>
        <w:t xml:space="preserve">应急</w:t>
      </w:r>
      <w:r>
        <w:rPr>
          <w:rFonts w:hint="eastAsia" w:ascii="宋体" w:hAnsi="宋体" w:eastAsia="宋体" w:cs="宋体"/>
          <w:bCs/>
          <w:color w:val="auto"/>
          <w:sz w:val="24"/>
          <w:szCs w:val="24"/>
          <w:highlight w:val="none"/>
        </w:rPr>
        <w:t xml:space="preserve">方案，（包括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安全文明措施、应急保障方案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风险管理</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）进行评审：</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方案内容完整详细、逻辑清晰、架构合理、实用性强，得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方案内容较为完整详细、逻辑较清晰、架构较合理、实用性较强，得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2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方案内容简单不完整、逻辑不清晰、架构缺乏合理性、实用性，得1分；</w:t>
      </w:r>
      <w:r/>
    </w:p>
    <w:p>
      <w:pPr>
        <w:ind w:firstLine="42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未提供方案的不得分。</w:t>
      </w:r>
      <w:r/>
    </w:p>
    <w:p>
      <w:pPr>
        <w:ind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针对</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文件中列出的设备要求，提供投标产品性能指标对照表（格式自拟，供应商须并对照采购要求逐条列出，在投标文件中对应列出全部投标产品的性能项。投标产品全部满足或高于采购要求的得</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分。其中：标注</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功能若不满足招标文件要求，每项扣2分；</w:t>
      </w:r>
      <w:r>
        <w:rPr>
          <w:rFonts w:hint="eastAsia" w:ascii="宋体" w:hAnsi="宋体" w:eastAsia="宋体" w:cs="宋体"/>
          <w:bCs/>
          <w:color w:val="auto"/>
          <w:sz w:val="24"/>
          <w:szCs w:val="24"/>
          <w:highlight w:val="none"/>
        </w:rPr>
        <w:t xml:space="preserve">标注“</w:t>
      </w:r>
      <w:r>
        <w:rPr>
          <w:rFonts w:hint="eastAsia" w:ascii="宋体" w:hAnsi="宋体" w:eastAsia="宋体" w:cs="宋体"/>
          <w:color w:val="auto"/>
          <w:sz w:val="24"/>
          <w:szCs w:val="24"/>
          <w:highlight w:val="none"/>
          <w:lang w:bidi="ar"/>
        </w:rPr>
        <w:t xml:space="preserve">▲</w:t>
      </w:r>
      <w:r>
        <w:rPr>
          <w:rFonts w:hint="eastAsia" w:ascii="宋体" w:hAnsi="宋体" w:eastAsia="宋体" w:cs="宋体"/>
          <w:bCs/>
          <w:color w:val="auto"/>
          <w:sz w:val="24"/>
          <w:szCs w:val="24"/>
          <w:highlight w:val="none"/>
        </w:rPr>
        <w:t xml:space="preserve">”性能指标</w:t>
      </w:r>
      <w:r>
        <w:rPr>
          <w:rFonts w:hint="eastAsia" w:ascii="宋体" w:hAnsi="宋体" w:eastAsia="宋体" w:cs="宋体"/>
          <w:color w:val="auto"/>
          <w:sz w:val="24"/>
          <w:szCs w:val="24"/>
          <w:highlight w:val="none"/>
          <w:lang w:val="en-US" w:eastAsia="zh-CN" w:bidi="ar"/>
        </w:rPr>
        <w:t xml:space="preserve">若不满足招标文件要求，</w:t>
      </w:r>
      <w:r>
        <w:rPr>
          <w:rFonts w:hint="eastAsia" w:ascii="宋体" w:hAnsi="宋体" w:eastAsia="宋体" w:cs="宋体"/>
          <w:bCs/>
          <w:color w:val="auto"/>
          <w:sz w:val="24"/>
          <w:szCs w:val="24"/>
          <w:highlight w:val="none"/>
        </w:rPr>
        <w:t xml:space="preserve">每项扣1分；其他一般性能指标</w:t>
      </w:r>
      <w:r>
        <w:rPr>
          <w:rFonts w:hint="eastAsia" w:ascii="宋体" w:hAnsi="宋体" w:eastAsia="宋体" w:cs="宋体"/>
          <w:color w:val="auto"/>
          <w:sz w:val="24"/>
          <w:szCs w:val="24"/>
          <w:highlight w:val="none"/>
          <w:lang w:val="en-US" w:eastAsia="zh-CN" w:bidi="ar"/>
        </w:rPr>
        <w:t xml:space="preserve">若不满足招标文件要求，</w:t>
      </w:r>
      <w:r>
        <w:rPr>
          <w:rFonts w:hint="eastAsia" w:ascii="宋体" w:hAnsi="宋体" w:eastAsia="宋体" w:cs="宋体"/>
          <w:bCs/>
          <w:color w:val="auto"/>
          <w:sz w:val="24"/>
          <w:szCs w:val="24"/>
          <w:highlight w:val="none"/>
        </w:rPr>
        <w:t xml:space="preserve">每项扣0.5分。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产品要求中的“▲”项技术情况，投标单位必须提供具有检测检验资质的机构出具的检测（检验）报告复印件或投标产品生产制造商官网截图或投标产品生产制造商盖章确认的技术参数对照表作为证明材料，否则对应项不得分</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bCs/>
          <w:color w:val="auto"/>
          <w:sz w:val="24"/>
          <w:szCs w:val="24"/>
          <w:highlight w:val="none"/>
        </w:rPr>
        <w:t xml:space="preserve">产品要求中的“</w:t>
      </w:r>
      <w:r>
        <w:rPr>
          <w:rFonts w:hint="eastAsia" w:ascii="宋体" w:hAnsi="宋体" w:eastAsia="宋体" w:cs="宋体"/>
          <w:color w:val="auto"/>
          <w:sz w:val="24"/>
          <w:szCs w:val="24"/>
          <w:highlight w:val="none"/>
          <w:lang w:bidi="ar"/>
        </w:rPr>
        <w:t xml:space="preserve">★</w:t>
      </w:r>
      <w:r>
        <w:rPr>
          <w:rFonts w:hint="eastAsia" w:ascii="宋体" w:hAnsi="宋体" w:eastAsia="宋体" w:cs="宋体"/>
          <w:bCs/>
          <w:color w:val="auto"/>
          <w:sz w:val="24"/>
          <w:szCs w:val="24"/>
          <w:highlight w:val="none"/>
        </w:rPr>
        <w:t xml:space="preserve">”项技术情况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投标单位必须提供演示视频作为技术参数的证明材料，否则对应项不得分。</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bidi="ar"/>
        </w:rPr>
        <w:t xml:space="preserve">演示时间不超过10分钟，需在“苏采云”系统演示文件入口按系统要求上传演示文件。单个视频附件压缩包大小不得超过50M，整体附件压缩包不得超过300M，视频文件格式建议采用MP4、MKV、MOV、AVI格式。演示内容确保真实且作为项目履约验收的重要参考依据。因供应商上传文件本身损坏等自身原因导致演示资料无法正常读取的视为无效演示，本项不得分，由供应商自行承担责任。</w:t>
      </w:r>
      <w:r/>
    </w:p>
    <w:p>
      <w:pPr>
        <w:numPr>
          <w:ilvl w:val="0"/>
          <w:numId w:val="0"/>
        </w:num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投标人具有2023 年</w:t>
      </w:r>
      <w:r>
        <w:rPr>
          <w:rFonts w:hint="eastAsia" w:ascii="宋体" w:hAnsi="宋体" w:eastAsia="宋体" w:cs="宋体"/>
          <w:color w:val="auto"/>
          <w:sz w:val="24"/>
          <w:szCs w:val="24"/>
          <w:highlight w:val="none"/>
          <w:lang w:val="en-US" w:eastAsia="zh-CN" w:bidi="ar"/>
        </w:rPr>
        <w:t xml:space="preserve">1月1日</w:t>
      </w:r>
      <w:r>
        <w:rPr>
          <w:rFonts w:hint="eastAsia" w:ascii="宋体" w:hAnsi="宋体" w:eastAsia="宋体" w:cs="宋体"/>
          <w:color w:val="auto"/>
          <w:sz w:val="24"/>
          <w:szCs w:val="24"/>
          <w:highlight w:val="none"/>
          <w:lang w:bidi="ar"/>
        </w:rPr>
        <w:t xml:space="preserve">以来（以合同签订时间为准）的类似业绩，每提供1份得2分，最高得6分</w:t>
      </w:r>
      <w:r>
        <w:rPr>
          <w:rFonts w:hint="eastAsia" w:ascii="宋体" w:hAnsi="宋体" w:eastAsia="宋体" w:cs="宋体"/>
          <w:color w:val="auto"/>
          <w:sz w:val="24"/>
          <w:szCs w:val="24"/>
          <w:highlight w:val="none"/>
          <w:lang w:eastAsia="zh-CN" w:bidi="ar"/>
        </w:rPr>
        <w:t xml:space="preserve">。</w:t>
      </w:r>
      <w:r/>
    </w:p>
    <w:p>
      <w:pPr>
        <w:pStyle w:val="1002"/>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注：投标文件中须提供合同的扫描件。</w:t>
      </w:r>
      <w:r>
        <w:rPr>
          <w:rFonts w:hint="eastAsia" w:ascii="宋体" w:hAnsi="宋体" w:eastAsia="宋体" w:cs="宋体"/>
          <w:bCs/>
          <w:color w:val="auto"/>
          <w:sz w:val="24"/>
          <w:szCs w:val="24"/>
          <w:highlight w:val="none"/>
        </w:rPr>
        <w:t xml:space="preserve">否则对应项不得分</w:t>
      </w:r>
      <w:r>
        <w:rPr>
          <w:rFonts w:hint="eastAsia" w:ascii="宋体" w:hAnsi="宋体" w:eastAsia="宋体" w:cs="宋体"/>
          <w:color w:val="auto"/>
          <w:sz w:val="24"/>
          <w:szCs w:val="24"/>
          <w:highlight w:val="none"/>
        </w:rPr>
        <w:t xml:space="preserve">。</w:t>
      </w:r>
      <w:r/>
    </w:p>
    <w:p>
      <w:pPr>
        <w:pStyle w:val="1002"/>
        <w:ind w:firstLine="480"/>
        <w:rPr>
          <w:color w:val="auto"/>
          <w:highlight w:val="none"/>
        </w:rPr>
      </w:pPr>
      <w:r>
        <w:rPr>
          <w:rFonts w:hint="eastAsia"/>
          <w:color w:val="auto"/>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u w:val="none"/>
        </w:rPr>
        <w:t xml:space="preserve">工业。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6、实施本国产品标准及相关政策：</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firstLine="480"/>
        <w:spacing w:line="360" w:lineRule="auto"/>
        <w:rPr>
          <w:rStyle w:val="1057"/>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（全文完）</w:t>
      </w:r>
      <w:bookmarkEnd w:id="13"/>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魏碑_GBK">
    <w:panose1 w:val="020B0503020202020204"/>
  </w:font>
  <w:font w:name="Wingdings">
    <w:panose1 w:val="05000000000000000000"/>
  </w:font>
  <w:font w:name="仿宋">
    <w:panose1 w:val="02010609060101010101"/>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8"/>
      </w:rPr>
      <w:framePr w:wrap="around" w:vAnchor="text" w:hAnchor="margin" w:xAlign="right" w:y="1"/>
    </w:pPr>
    <w:r>
      <w:fldChar w:fldCharType="begin"/>
    </w:r>
    <w:r>
      <w:rPr>
        <w:rStyle w:val="988"/>
      </w:rPr>
      <w:instrText xml:space="preserve">PAGE  </w:instrText>
    </w:r>
    <w:r>
      <w:fldChar w:fldCharType="end"/>
    </w:r>
    <w:r/>
  </w:p>
  <w:p>
    <w:pPr>
      <w:pStyle w:val="96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5</w:t>
                    </w:r>
                    <w:r>
                      <w:fldChar w:fldCharType="end"/>
                    </w:r>
                    <w:r/>
                  </w:p>
                </w:txbxContent>
              </v:textbox>
            </v:shape>
          </w:pict>
        </mc:Fallback>
      </mc:AlternateContent>
    </w: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65"/>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5"/>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lear" w:pos="8306" w:leader="none"/>
        <w:tab w:val="left" w:pos="8787" w:leader="none"/>
      </w:tabs>
      <w:rPr>
        <w:rFonts w:hint="default" w:eastAsia="楷体_GB2312"/>
        <w:lang w:val="en-US" w:eastAsia="zh-CN"/>
      </w:rPr>
    </w:pPr>
    <w:r>
      <w:rPr>
        <w:rFonts w:hint="eastAsia"/>
      </w:rPr>
      <w:t xml:space="preserve">招标文件                                                                标号：</w:t>
    </w:r>
    <w:r>
      <w:rPr>
        <w:rFonts w:hint="eastAsia"/>
        <w:lang w:eastAsia="zh-CN"/>
      </w:rPr>
      <w:t xml:space="preserve">JSZC-320591-SZZJ-G2026-0033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486" w:hanging="567"/>
      </w:pPr>
    </w:lvl>
    <w:lvl w:ilvl="2">
      <w:start w:val="1"/>
      <w:numFmt w:val="decimal"/>
      <w:isLgl w:val="false"/>
      <w:suff w:val="tab"/>
      <w:lvlText w:val="%1.%2.%3"/>
      <w:lvlJc w:val="left"/>
      <w:pPr>
        <w:ind w:left="154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pStyle w:val="101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39"/>
      <w:isLgl w:val="false"/>
      <w:suff w:val="tab"/>
      <w:lvlText w:val="%1.%2.%3.%4.%5"/>
      <w:lvlJc w:val="left"/>
      <w:pPr>
        <w:ind w:left="1008" w:hanging="1008"/>
        <w:tabs>
          <w:tab w:val="left" w:pos="1008" w:leader="none"/>
        </w:tabs>
      </w:pPr>
    </w:lvl>
    <w:lvl w:ilvl="5">
      <w:start w:val="1"/>
      <w:numFmt w:val="decimal"/>
      <w:pStyle w:val="940"/>
      <w:isLgl w:val="false"/>
      <w:suff w:val="tab"/>
      <w:lvlText w:val="%1.%2.%3.%4.%5.%6"/>
      <w:lvlJc w:val="left"/>
      <w:pPr>
        <w:ind w:left="1152" w:hanging="1152"/>
        <w:tabs>
          <w:tab w:val="left" w:pos="1152" w:leader="none"/>
        </w:tabs>
      </w:pPr>
    </w:lvl>
    <w:lvl w:ilvl="6">
      <w:start w:val="1"/>
      <w:numFmt w:val="decimal"/>
      <w:pStyle w:val="941"/>
      <w:isLgl w:val="false"/>
      <w:suff w:val="tab"/>
      <w:lvlText w:val="%1.%2.%3.%4.%5.%6.%7"/>
      <w:lvlJc w:val="left"/>
      <w:pPr>
        <w:ind w:left="1296" w:hanging="1296"/>
        <w:tabs>
          <w:tab w:val="left" w:pos="1296" w:leader="none"/>
        </w:tabs>
      </w:pPr>
    </w:lvl>
    <w:lvl w:ilvl="7">
      <w:start w:val="1"/>
      <w:numFmt w:val="decimal"/>
      <w:pStyle w:val="942"/>
      <w:isLgl w:val="false"/>
      <w:suff w:val="tab"/>
      <w:lvlText w:val="%1.%2.%3.%4.%5.%6.%7.%8"/>
      <w:lvlJc w:val="left"/>
      <w:pPr>
        <w:ind w:left="1440" w:hanging="1440"/>
        <w:tabs>
          <w:tab w:val="left" w:pos="1440" w:leader="none"/>
        </w:tabs>
      </w:pPr>
    </w:lvl>
    <w:lvl w:ilvl="8">
      <w:start w:val="1"/>
      <w:numFmt w:val="decimal"/>
      <w:pStyle w:val="943"/>
      <w:isLgl w:val="false"/>
      <w:suff w:val="tab"/>
      <w:lvlText w:val="%1.%2.%3.%4.%5.%6.%7.%8.%9"/>
      <w:lvlJc w:val="left"/>
      <w:pPr>
        <w:ind w:left="1584" w:hanging="1584"/>
        <w:tabs>
          <w:tab w:val="left" w:pos="1584" w:leader="none"/>
        </w:tabs>
      </w:pPr>
    </w:lvl>
  </w:abstractNum>
  <w:num w:numId="1">
    <w:abstractNumId w:val="13"/>
  </w:num>
  <w:num w:numId="2">
    <w:abstractNumId w:val="6"/>
  </w:num>
  <w:num w:numId="3">
    <w:abstractNumId w:val="8"/>
  </w:num>
  <w:num w:numId="4">
    <w:abstractNumId w:val="9"/>
  </w:num>
  <w:num w:numId="5">
    <w:abstractNumId w:val="3"/>
  </w:num>
  <w:num w:numId="6">
    <w:abstractNumId w:val="12"/>
  </w:num>
  <w:num w:numId="7">
    <w:abstractNumId w:val="11"/>
  </w:num>
  <w:num w:numId="8">
    <w:abstractNumId w:val="4"/>
  </w:num>
  <w:num w:numId="9">
    <w:abstractNumId w:val="0"/>
  </w:num>
  <w:num w:numId="10">
    <w:abstractNumId w:val="2"/>
  </w:num>
  <w:num w:numId="11">
    <w:abstractNumId w:val="10"/>
  </w:num>
  <w:num w:numId="12">
    <w:abstractNumId w:val="5"/>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44"/>
    <w:link w:val="935"/>
    <w:uiPriority w:val="9"/>
    <w:rPr>
      <w:rFonts w:ascii="Arial" w:hAnsi="Arial" w:eastAsia="Arial" w:cs="Arial"/>
      <w:sz w:val="40"/>
      <w:szCs w:val="40"/>
    </w:rPr>
  </w:style>
  <w:style w:type="character" w:styleId="784">
    <w:name w:val="Heading 2 Char"/>
    <w:basedOn w:val="944"/>
    <w:link w:val="936"/>
    <w:uiPriority w:val="9"/>
    <w:rPr>
      <w:rFonts w:ascii="Arial" w:hAnsi="Arial" w:eastAsia="Arial" w:cs="Arial"/>
      <w:sz w:val="34"/>
    </w:rPr>
  </w:style>
  <w:style w:type="character" w:styleId="785">
    <w:name w:val="Heading 3 Char"/>
    <w:basedOn w:val="944"/>
    <w:link w:val="937"/>
    <w:uiPriority w:val="9"/>
    <w:rPr>
      <w:rFonts w:ascii="Arial" w:hAnsi="Arial" w:eastAsia="Arial" w:cs="Arial"/>
      <w:sz w:val="30"/>
      <w:szCs w:val="30"/>
    </w:rPr>
  </w:style>
  <w:style w:type="character" w:styleId="786">
    <w:name w:val="Heading 4 Char"/>
    <w:basedOn w:val="944"/>
    <w:link w:val="938"/>
    <w:uiPriority w:val="9"/>
    <w:rPr>
      <w:rFonts w:ascii="Arial" w:hAnsi="Arial" w:eastAsia="Arial" w:cs="Arial"/>
      <w:b/>
      <w:bCs/>
      <w:sz w:val="26"/>
      <w:szCs w:val="26"/>
    </w:rPr>
  </w:style>
  <w:style w:type="character" w:styleId="787">
    <w:name w:val="Heading 5 Char"/>
    <w:basedOn w:val="944"/>
    <w:link w:val="939"/>
    <w:uiPriority w:val="9"/>
    <w:rPr>
      <w:rFonts w:ascii="Arial" w:hAnsi="Arial" w:eastAsia="Arial" w:cs="Arial"/>
      <w:b/>
      <w:bCs/>
      <w:sz w:val="24"/>
      <w:szCs w:val="24"/>
    </w:rPr>
  </w:style>
  <w:style w:type="character" w:styleId="788">
    <w:name w:val="Heading 6 Char"/>
    <w:basedOn w:val="944"/>
    <w:link w:val="940"/>
    <w:uiPriority w:val="9"/>
    <w:rPr>
      <w:rFonts w:ascii="Arial" w:hAnsi="Arial" w:eastAsia="Arial" w:cs="Arial"/>
      <w:b/>
      <w:bCs/>
      <w:sz w:val="22"/>
      <w:szCs w:val="22"/>
    </w:rPr>
  </w:style>
  <w:style w:type="character" w:styleId="789">
    <w:name w:val="Heading 7 Char"/>
    <w:basedOn w:val="944"/>
    <w:link w:val="941"/>
    <w:uiPriority w:val="9"/>
    <w:rPr>
      <w:rFonts w:ascii="Arial" w:hAnsi="Arial" w:eastAsia="Arial" w:cs="Arial"/>
      <w:b/>
      <w:bCs/>
      <w:i/>
      <w:iCs/>
      <w:sz w:val="22"/>
      <w:szCs w:val="22"/>
    </w:rPr>
  </w:style>
  <w:style w:type="character" w:styleId="790">
    <w:name w:val="Heading 8 Char"/>
    <w:basedOn w:val="944"/>
    <w:link w:val="942"/>
    <w:uiPriority w:val="9"/>
    <w:rPr>
      <w:rFonts w:ascii="Arial" w:hAnsi="Arial" w:eastAsia="Arial" w:cs="Arial"/>
      <w:i/>
      <w:iCs/>
      <w:sz w:val="22"/>
      <w:szCs w:val="22"/>
    </w:rPr>
  </w:style>
  <w:style w:type="character" w:styleId="791">
    <w:name w:val="Heading 9 Char"/>
    <w:basedOn w:val="944"/>
    <w:link w:val="943"/>
    <w:uiPriority w:val="9"/>
    <w:rPr>
      <w:rFonts w:ascii="Arial" w:hAnsi="Arial" w:eastAsia="Arial" w:cs="Arial"/>
      <w:i/>
      <w:iCs/>
      <w:sz w:val="21"/>
      <w:szCs w:val="21"/>
    </w:rPr>
  </w:style>
  <w:style w:type="paragraph" w:styleId="792">
    <w:name w:val="No Spacing"/>
    <w:uiPriority w:val="1"/>
    <w:qFormat/>
    <w:pPr>
      <w:spacing w:before="0" w:after="0" w:line="240" w:lineRule="auto"/>
    </w:pPr>
  </w:style>
  <w:style w:type="character" w:styleId="793">
    <w:name w:val="Title Char"/>
    <w:basedOn w:val="944"/>
    <w:link w:val="983"/>
    <w:uiPriority w:val="10"/>
    <w:rPr>
      <w:sz w:val="48"/>
      <w:szCs w:val="48"/>
    </w:rPr>
  </w:style>
  <w:style w:type="paragraph" w:styleId="794">
    <w:name w:val="Subtitle"/>
    <w:basedOn w:val="934"/>
    <w:next w:val="934"/>
    <w:link w:val="795"/>
    <w:uiPriority w:val="11"/>
    <w:qFormat/>
    <w:pPr>
      <w:spacing w:before="200" w:after="200"/>
    </w:pPr>
    <w:rPr>
      <w:sz w:val="24"/>
      <w:szCs w:val="24"/>
    </w:rPr>
  </w:style>
  <w:style w:type="character" w:styleId="795">
    <w:name w:val="Subtitle Char"/>
    <w:basedOn w:val="944"/>
    <w:link w:val="794"/>
    <w:uiPriority w:val="11"/>
    <w:rPr>
      <w:sz w:val="24"/>
      <w:szCs w:val="24"/>
    </w:rPr>
  </w:style>
  <w:style w:type="paragraph" w:styleId="796">
    <w:name w:val="Quote"/>
    <w:basedOn w:val="934"/>
    <w:next w:val="934"/>
    <w:link w:val="797"/>
    <w:uiPriority w:val="29"/>
    <w:qFormat/>
    <w:pPr>
      <w:ind w:left="720" w:right="720"/>
    </w:pPr>
    <w:rPr>
      <w:i/>
    </w:rPr>
  </w:style>
  <w:style w:type="character" w:styleId="797">
    <w:name w:val="Quote Char"/>
    <w:link w:val="796"/>
    <w:uiPriority w:val="29"/>
    <w:rPr>
      <w:i/>
    </w:rPr>
  </w:style>
  <w:style w:type="paragraph" w:styleId="798">
    <w:name w:val="Intense Quote"/>
    <w:basedOn w:val="934"/>
    <w:next w:val="934"/>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4"/>
    <w:link w:val="967"/>
    <w:uiPriority w:val="99"/>
  </w:style>
  <w:style w:type="character" w:styleId="801">
    <w:name w:val="Footer Char"/>
    <w:basedOn w:val="944"/>
    <w:link w:val="965"/>
    <w:uiPriority w:val="99"/>
  </w:style>
  <w:style w:type="paragraph" w:styleId="802">
    <w:name w:val="Caption"/>
    <w:basedOn w:val="934"/>
    <w:next w:val="934"/>
    <w:uiPriority w:val="35"/>
    <w:semiHidden/>
    <w:unhideWhenUsed/>
    <w:qFormat/>
    <w:pPr>
      <w:spacing w:line="276" w:lineRule="auto"/>
    </w:pPr>
    <w:rPr>
      <w:b/>
      <w:bCs/>
      <w:color w:val="4f81bd" w:themeColor="accent1"/>
      <w:sz w:val="18"/>
      <w:szCs w:val="18"/>
    </w:rPr>
  </w:style>
  <w:style w:type="character" w:styleId="803">
    <w:name w:val="Caption Char"/>
    <w:basedOn w:val="802"/>
    <w:link w:val="965"/>
    <w:uiPriority w:val="99"/>
  </w:style>
  <w:style w:type="table" w:styleId="804">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0">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1">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2">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3">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4">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5">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2">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5">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6">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7">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8">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9">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0">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2">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3">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4">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5">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6">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7">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6">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7">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8">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9">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0">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1">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3">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4">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5">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6">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7">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8">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0">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4">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7">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1">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Footnote Text Char"/>
    <w:link w:val="972"/>
    <w:uiPriority w:val="99"/>
    <w:rPr>
      <w:sz w:val="18"/>
    </w:rPr>
  </w:style>
  <w:style w:type="paragraph" w:styleId="930">
    <w:name w:val="endnote text"/>
    <w:basedOn w:val="93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4"/>
    <w:uiPriority w:val="99"/>
    <w:semiHidden/>
    <w:unhideWhenUsed/>
    <w:rPr>
      <w:vertAlign w:val="superscript"/>
    </w:rPr>
  </w:style>
  <w:style w:type="paragraph" w:styleId="933">
    <w:name w:val="TOC Heading"/>
    <w:uiPriority w:val="39"/>
    <w:unhideWhenUsed/>
  </w:style>
  <w:style w:type="paragraph" w:styleId="93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35">
    <w:name w:val="Heading 1"/>
    <w:basedOn w:val="934"/>
    <w:next w:val="934"/>
    <w:link w:val="1066"/>
    <w:uiPriority w:val="0"/>
    <w:qFormat/>
    <w:pPr>
      <w:keepLines/>
      <w:keepNext/>
      <w:spacing w:before="340" w:after="330" w:line="578" w:lineRule="auto"/>
      <w:outlineLvl w:val="0"/>
    </w:pPr>
    <w:rPr>
      <w:b/>
      <w:sz w:val="44"/>
    </w:rPr>
  </w:style>
  <w:style w:type="paragraph" w:styleId="936">
    <w:name w:val="Heading 2"/>
    <w:basedOn w:val="934"/>
    <w:next w:val="934"/>
    <w:uiPriority w:val="0"/>
    <w:qFormat/>
    <w:pPr>
      <w:jc w:val="left"/>
      <w:keepLines/>
      <w:keepNext/>
      <w:outlineLvl w:val="1"/>
    </w:pPr>
    <w:rPr>
      <w:rFonts w:ascii="宋体" w:hAnsi="宋体"/>
      <w:b/>
    </w:rPr>
  </w:style>
  <w:style w:type="paragraph" w:styleId="937">
    <w:name w:val="Heading 3"/>
    <w:basedOn w:val="934"/>
    <w:next w:val="934"/>
    <w:uiPriority w:val="0"/>
    <w:qFormat/>
    <w:pPr>
      <w:jc w:val="left"/>
      <w:keepLines/>
      <w:keepNext/>
      <w:outlineLvl w:val="2"/>
    </w:pPr>
    <w:rPr>
      <w:b/>
    </w:rPr>
  </w:style>
  <w:style w:type="paragraph" w:styleId="938">
    <w:name w:val="Heading 4"/>
    <w:basedOn w:val="934"/>
    <w:next w:val="934"/>
    <w:uiPriority w:val="9"/>
    <w:qFormat/>
    <w:pPr>
      <w:keepLines/>
      <w:keepNext/>
      <w:spacing w:before="280" w:after="290" w:line="376" w:lineRule="auto"/>
      <w:outlineLvl w:val="3"/>
    </w:pPr>
    <w:rPr>
      <w:rFonts w:ascii="Cambria" w:hAnsi="Cambria"/>
      <w:bCs/>
      <w:szCs w:val="28"/>
    </w:rPr>
  </w:style>
  <w:style w:type="paragraph" w:styleId="939">
    <w:name w:val="Heading 5"/>
    <w:basedOn w:val="934"/>
    <w:next w:val="946"/>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40">
    <w:name w:val="Heading 6"/>
    <w:basedOn w:val="934"/>
    <w:next w:val="934"/>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41">
    <w:name w:val="Heading 7"/>
    <w:basedOn w:val="934"/>
    <w:next w:val="946"/>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42">
    <w:name w:val="Heading 8"/>
    <w:basedOn w:val="934"/>
    <w:next w:val="946"/>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43">
    <w:name w:val="Heading 9"/>
    <w:basedOn w:val="934"/>
    <w:next w:val="946"/>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Normal Indent"/>
    <w:basedOn w:val="934"/>
    <w:next w:val="934"/>
    <w:link w:val="1004"/>
    <w:uiPriority w:val="0"/>
    <w:qFormat/>
    <w:pPr>
      <w:ind w:firstLine="420"/>
      <w:jc w:val="left"/>
    </w:pPr>
    <w:rPr>
      <w:sz w:val="24"/>
    </w:rPr>
  </w:style>
  <w:style w:type="paragraph" w:styleId="947">
    <w:name w:val="toc 7"/>
    <w:basedOn w:val="934"/>
    <w:next w:val="934"/>
    <w:uiPriority w:val="0"/>
    <w:qFormat/>
    <w:pPr>
      <w:ind w:left="2520"/>
    </w:pPr>
  </w:style>
  <w:style w:type="paragraph" w:styleId="948">
    <w:name w:val="index 8"/>
    <w:basedOn w:val="934"/>
    <w:next w:val="934"/>
    <w:uiPriority w:val="0"/>
    <w:qFormat/>
    <w:pPr>
      <w:ind w:left="2940"/>
    </w:pPr>
  </w:style>
  <w:style w:type="paragraph" w:styleId="949">
    <w:name w:val="index 5"/>
    <w:basedOn w:val="934"/>
    <w:next w:val="934"/>
    <w:uiPriority w:val="0"/>
    <w:qFormat/>
    <w:pPr>
      <w:ind w:left="1680"/>
    </w:pPr>
  </w:style>
  <w:style w:type="paragraph" w:styleId="950">
    <w:name w:val="Document Map"/>
    <w:basedOn w:val="934"/>
    <w:uiPriority w:val="0"/>
    <w:qFormat/>
    <w:pPr>
      <w:shd w:val="clear" w:color="auto" w:fill="000080"/>
    </w:pPr>
  </w:style>
  <w:style w:type="paragraph" w:styleId="951">
    <w:name w:val="annotation text"/>
    <w:basedOn w:val="934"/>
    <w:link w:val="1056"/>
    <w:uiPriority w:val="0"/>
    <w:qFormat/>
    <w:pPr>
      <w:jc w:val="left"/>
    </w:pPr>
  </w:style>
  <w:style w:type="paragraph" w:styleId="952">
    <w:name w:val="index 6"/>
    <w:basedOn w:val="934"/>
    <w:next w:val="934"/>
    <w:uiPriority w:val="0"/>
    <w:qFormat/>
    <w:pPr>
      <w:ind w:left="2100"/>
    </w:pPr>
  </w:style>
  <w:style w:type="paragraph" w:styleId="953">
    <w:name w:val="Body Text"/>
    <w:basedOn w:val="934"/>
    <w:next w:val="934"/>
    <w:uiPriority w:val="0"/>
    <w:qFormat/>
    <w:pPr>
      <w:spacing w:line="400" w:lineRule="exact"/>
    </w:pPr>
    <w:rPr>
      <w:rFonts w:ascii="楷体_GB2312"/>
      <w:sz w:val="28"/>
    </w:rPr>
  </w:style>
  <w:style w:type="paragraph" w:styleId="954">
    <w:name w:val="Body Text Indent"/>
    <w:basedOn w:val="934"/>
    <w:next w:val="934"/>
    <w:uiPriority w:val="0"/>
    <w:qFormat/>
    <w:pPr>
      <w:ind w:left="570"/>
      <w:spacing w:line="520" w:lineRule="exact"/>
    </w:pPr>
    <w:rPr>
      <w:rFonts w:ascii="方正仿宋简体" w:hAnsi="创艺简仿宋" w:eastAsia="方正仿宋简体"/>
      <w:sz w:val="24"/>
    </w:rPr>
  </w:style>
  <w:style w:type="paragraph" w:styleId="955">
    <w:name w:val="List Continue"/>
    <w:basedOn w:val="934"/>
    <w:uiPriority w:val="99"/>
    <w:unhideWhenUsed/>
    <w:qFormat/>
    <w:pPr>
      <w:ind w:left="200"/>
      <w:spacing w:after="120"/>
    </w:pPr>
    <w:rPr>
      <w:rFonts w:ascii="宋体" w:hAnsi="宋体" w:cs="Symbol"/>
      <w:sz w:val="28"/>
    </w:rPr>
  </w:style>
  <w:style w:type="paragraph" w:styleId="956">
    <w:name w:val="index 4"/>
    <w:basedOn w:val="934"/>
    <w:next w:val="934"/>
    <w:uiPriority w:val="0"/>
    <w:qFormat/>
    <w:pPr>
      <w:ind w:left="1260"/>
    </w:pPr>
  </w:style>
  <w:style w:type="paragraph" w:styleId="957">
    <w:name w:val="toc 5"/>
    <w:basedOn w:val="934"/>
    <w:next w:val="934"/>
    <w:uiPriority w:val="0"/>
    <w:qFormat/>
    <w:pPr>
      <w:ind w:left="1680"/>
    </w:pPr>
  </w:style>
  <w:style w:type="paragraph" w:styleId="958">
    <w:name w:val="toc 3"/>
    <w:basedOn w:val="934"/>
    <w:next w:val="934"/>
    <w:uiPriority w:val="0"/>
    <w:qFormat/>
    <w:pPr>
      <w:ind w:left="840"/>
    </w:pPr>
  </w:style>
  <w:style w:type="paragraph" w:styleId="959">
    <w:name w:val="Plain Text"/>
    <w:basedOn w:val="934"/>
    <w:link w:val="1008"/>
    <w:uiPriority w:val="0"/>
    <w:qFormat/>
    <w:rPr>
      <w:rFonts w:ascii="宋体" w:hAnsi="Courier New"/>
    </w:rPr>
  </w:style>
  <w:style w:type="paragraph" w:styleId="960">
    <w:name w:val="toc 8"/>
    <w:basedOn w:val="934"/>
    <w:next w:val="934"/>
    <w:uiPriority w:val="0"/>
    <w:qFormat/>
    <w:pPr>
      <w:ind w:left="2940"/>
    </w:pPr>
  </w:style>
  <w:style w:type="paragraph" w:styleId="961">
    <w:name w:val="index 3"/>
    <w:basedOn w:val="934"/>
    <w:next w:val="934"/>
    <w:uiPriority w:val="0"/>
    <w:qFormat/>
    <w:pPr>
      <w:ind w:left="840"/>
    </w:pPr>
  </w:style>
  <w:style w:type="paragraph" w:styleId="962">
    <w:name w:val="Date"/>
    <w:basedOn w:val="934"/>
    <w:next w:val="934"/>
    <w:link w:val="1009"/>
    <w:uiPriority w:val="0"/>
    <w:qFormat/>
    <w:rPr>
      <w:rFonts w:ascii="宋体" w:hAnsi="宋体"/>
      <w:sz w:val="24"/>
    </w:rPr>
  </w:style>
  <w:style w:type="paragraph" w:styleId="963">
    <w:name w:val="Body Text Indent 2"/>
    <w:basedOn w:val="934"/>
    <w:uiPriority w:val="0"/>
    <w:qFormat/>
    <w:pPr>
      <w:ind w:firstLine="502"/>
      <w:spacing w:line="360" w:lineRule="auto"/>
      <w:tabs>
        <w:tab w:val="left" w:pos="0" w:leader="none"/>
      </w:tabs>
    </w:pPr>
    <w:rPr>
      <w:rFonts w:ascii="宋体" w:eastAsia="宋体"/>
      <w:b/>
      <w:bCs/>
      <w:sz w:val="24"/>
    </w:rPr>
  </w:style>
  <w:style w:type="paragraph" w:styleId="964">
    <w:name w:val="Balloon Text"/>
    <w:basedOn w:val="934"/>
    <w:uiPriority w:val="0"/>
    <w:qFormat/>
    <w:rPr>
      <w:sz w:val="18"/>
      <w:szCs w:val="18"/>
    </w:rPr>
  </w:style>
  <w:style w:type="paragraph" w:styleId="965">
    <w:name w:val="Footer"/>
    <w:basedOn w:val="934"/>
    <w:link w:val="1064"/>
    <w:uiPriority w:val="99"/>
    <w:qFormat/>
    <w:pPr>
      <w:jc w:val="left"/>
      <w:tabs>
        <w:tab w:val="center" w:pos="4153" w:leader="none"/>
        <w:tab w:val="right" w:pos="8306" w:leader="none"/>
      </w:tabs>
    </w:pPr>
    <w:rPr>
      <w:sz w:val="18"/>
    </w:rPr>
  </w:style>
  <w:style w:type="paragraph" w:styleId="966">
    <w:name w:val="envelope return"/>
    <w:basedOn w:val="934"/>
    <w:uiPriority w:val="0"/>
    <w:qFormat/>
    <w:rPr>
      <w:rFonts w:ascii="Arial" w:hAnsi="Arial"/>
    </w:rPr>
  </w:style>
  <w:style w:type="paragraph" w:styleId="967">
    <w:name w:val="Header"/>
    <w:basedOn w:val="934"/>
    <w:link w:val="1065"/>
    <w:uiPriority w:val="99"/>
    <w:qFormat/>
    <w:pPr>
      <w:jc w:val="center"/>
      <w:tabs>
        <w:tab w:val="center" w:pos="4153" w:leader="none"/>
        <w:tab w:val="right" w:pos="8306" w:leader="none"/>
      </w:tabs>
      <w:pBdr>
        <w:bottom w:val="single" w:color="auto" w:sz="6" w:space="1"/>
      </w:pBdr>
    </w:pPr>
    <w:rPr>
      <w:sz w:val="18"/>
    </w:rPr>
  </w:style>
  <w:style w:type="paragraph" w:styleId="968">
    <w:name w:val="toc 1"/>
    <w:basedOn w:val="934"/>
    <w:next w:val="934"/>
    <w:uiPriority w:val="0"/>
    <w:qFormat/>
    <w:pPr>
      <w:tabs>
        <w:tab w:val="right" w:pos="9026" w:leader="dot"/>
      </w:tabs>
    </w:pPr>
    <w:rPr>
      <w:rFonts w:ascii="宋体" w:hAnsi="宋体" w:eastAsia="宋体"/>
      <w:sz w:val="24"/>
    </w:rPr>
  </w:style>
  <w:style w:type="paragraph" w:styleId="969">
    <w:name w:val="toc 4"/>
    <w:basedOn w:val="934"/>
    <w:next w:val="934"/>
    <w:uiPriority w:val="0"/>
    <w:qFormat/>
    <w:pPr>
      <w:ind w:left="1260"/>
    </w:pPr>
  </w:style>
  <w:style w:type="paragraph" w:styleId="970">
    <w:name w:val="index heading"/>
    <w:basedOn w:val="934"/>
    <w:next w:val="971"/>
    <w:uiPriority w:val="0"/>
    <w:qFormat/>
  </w:style>
  <w:style w:type="paragraph" w:styleId="971">
    <w:name w:val="index 1"/>
    <w:basedOn w:val="934"/>
    <w:next w:val="934"/>
    <w:uiPriority w:val="0"/>
    <w:qFormat/>
  </w:style>
  <w:style w:type="paragraph" w:styleId="972">
    <w:name w:val="footnote text"/>
    <w:basedOn w:val="934"/>
    <w:uiPriority w:val="0"/>
    <w:qFormat/>
    <w:pPr>
      <w:jc w:val="left"/>
    </w:pPr>
    <w:rPr>
      <w:sz w:val="18"/>
    </w:rPr>
  </w:style>
  <w:style w:type="paragraph" w:styleId="973">
    <w:name w:val="toc 6"/>
    <w:basedOn w:val="934"/>
    <w:next w:val="934"/>
    <w:uiPriority w:val="0"/>
    <w:qFormat/>
    <w:pPr>
      <w:ind w:left="2100"/>
    </w:pPr>
  </w:style>
  <w:style w:type="paragraph" w:styleId="974">
    <w:name w:val="Body Text Indent 3"/>
    <w:basedOn w:val="934"/>
    <w:uiPriority w:val="0"/>
    <w:qFormat/>
    <w:pPr>
      <w:ind w:firstLine="617"/>
      <w:spacing w:line="360" w:lineRule="auto"/>
    </w:pPr>
    <w:rPr>
      <w:rFonts w:eastAsia="宋体"/>
      <w:sz w:val="24"/>
      <w:szCs w:val="24"/>
    </w:rPr>
  </w:style>
  <w:style w:type="paragraph" w:styleId="975">
    <w:name w:val="index 7"/>
    <w:basedOn w:val="934"/>
    <w:next w:val="934"/>
    <w:uiPriority w:val="0"/>
    <w:qFormat/>
    <w:pPr>
      <w:ind w:left="2520"/>
    </w:pPr>
  </w:style>
  <w:style w:type="paragraph" w:styleId="976">
    <w:name w:val="index 9"/>
    <w:basedOn w:val="934"/>
    <w:next w:val="934"/>
    <w:uiPriority w:val="0"/>
    <w:qFormat/>
    <w:pPr>
      <w:ind w:left="3360"/>
    </w:pPr>
  </w:style>
  <w:style w:type="paragraph" w:styleId="977">
    <w:name w:val="table of figures"/>
    <w:basedOn w:val="934"/>
    <w:next w:val="934"/>
    <w:uiPriority w:val="0"/>
    <w:qFormat/>
    <w:pPr>
      <w:ind w:left="420" w:hanging="420"/>
      <w:jc w:val="left"/>
    </w:pPr>
    <w:rPr>
      <w:smallCaps/>
      <w:sz w:val="24"/>
    </w:rPr>
  </w:style>
  <w:style w:type="paragraph" w:styleId="978">
    <w:name w:val="toc 2"/>
    <w:basedOn w:val="934"/>
    <w:next w:val="934"/>
    <w:uiPriority w:val="0"/>
    <w:qFormat/>
    <w:pPr>
      <w:ind w:left="420"/>
    </w:pPr>
  </w:style>
  <w:style w:type="paragraph" w:styleId="979">
    <w:name w:val="toc 9"/>
    <w:basedOn w:val="934"/>
    <w:next w:val="934"/>
    <w:uiPriority w:val="0"/>
    <w:qFormat/>
    <w:pPr>
      <w:ind w:left="3360"/>
    </w:pPr>
  </w:style>
  <w:style w:type="paragraph" w:styleId="980">
    <w:name w:val="HTML Preformatted"/>
    <w:basedOn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1">
    <w:name w:val="Normal (Web)"/>
    <w:basedOn w:val="934"/>
    <w:uiPriority w:val="99"/>
    <w:qFormat/>
    <w:pPr>
      <w:jc w:val="left"/>
      <w:spacing w:before="100" w:beforeAutospacing="1" w:after="100" w:afterAutospacing="1"/>
      <w:widowControl/>
    </w:pPr>
    <w:rPr>
      <w:rFonts w:hint="eastAsia" w:ascii="宋体" w:hAnsi="宋体" w:eastAsia="宋体"/>
      <w:sz w:val="24"/>
      <w:szCs w:val="24"/>
    </w:rPr>
  </w:style>
  <w:style w:type="paragraph" w:styleId="982">
    <w:name w:val="index 2"/>
    <w:basedOn w:val="934"/>
    <w:next w:val="934"/>
    <w:uiPriority w:val="0"/>
    <w:qFormat/>
    <w:pPr>
      <w:ind w:left="420"/>
    </w:pPr>
  </w:style>
  <w:style w:type="paragraph" w:styleId="983">
    <w:name w:val="Title"/>
    <w:basedOn w:val="934"/>
    <w:next w:val="934"/>
    <w:link w:val="1067"/>
    <w:uiPriority w:val="10"/>
    <w:qFormat/>
    <w:pPr>
      <w:jc w:val="center"/>
    </w:pPr>
    <w:rPr>
      <w:rFonts w:ascii="黑体" w:hAnsi="黑体" w:eastAsia="黑体"/>
      <w:sz w:val="28"/>
      <w:szCs w:val="24"/>
    </w:rPr>
  </w:style>
  <w:style w:type="paragraph" w:styleId="984">
    <w:name w:val="annotation subject"/>
    <w:basedOn w:val="951"/>
    <w:next w:val="951"/>
    <w:uiPriority w:val="0"/>
    <w:qFormat/>
    <w:rPr>
      <w:bCs/>
    </w:rPr>
  </w:style>
  <w:style w:type="paragraph" w:styleId="985">
    <w:name w:val="Body Text First Indent 2"/>
    <w:basedOn w:val="954"/>
    <w:uiPriority w:val="99"/>
    <w:semiHidden/>
    <w:unhideWhenUsed/>
    <w:qFormat/>
    <w:pPr>
      <w:ind w:firstLine="420"/>
    </w:pPr>
  </w:style>
  <w:style w:type="table" w:styleId="986">
    <w:name w:val="Table Grid"/>
    <w:basedOn w:val="94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7">
    <w:name w:val="Strong"/>
    <w:basedOn w:val="944"/>
    <w:uiPriority w:val="22"/>
    <w:qFormat/>
    <w:rPr>
      <w:b/>
      <w:bCs/>
    </w:rPr>
  </w:style>
  <w:style w:type="character" w:styleId="988">
    <w:name w:val="page number"/>
    <w:basedOn w:val="944"/>
    <w:uiPriority w:val="0"/>
    <w:qFormat/>
  </w:style>
  <w:style w:type="character" w:styleId="989">
    <w:name w:val="FollowedHyperlink"/>
    <w:basedOn w:val="944"/>
    <w:uiPriority w:val="99"/>
    <w:semiHidden/>
    <w:unhideWhenUsed/>
    <w:qFormat/>
    <w:rPr>
      <w:color w:val="333333"/>
      <w:u w:val="none"/>
    </w:rPr>
  </w:style>
  <w:style w:type="character" w:styleId="990">
    <w:name w:val="Emphasis"/>
    <w:basedOn w:val="944"/>
    <w:uiPriority w:val="20"/>
    <w:qFormat/>
  </w:style>
  <w:style w:type="character" w:styleId="991">
    <w:name w:val="HTML Definition"/>
    <w:basedOn w:val="944"/>
    <w:uiPriority w:val="99"/>
    <w:semiHidden/>
    <w:unhideWhenUsed/>
    <w:qFormat/>
  </w:style>
  <w:style w:type="character" w:styleId="992">
    <w:name w:val="HTML Typewriter"/>
    <w:basedOn w:val="944"/>
    <w:uiPriority w:val="99"/>
    <w:semiHidden/>
    <w:unhideWhenUsed/>
    <w:qFormat/>
    <w:rPr>
      <w:rFonts w:hint="default" w:ascii="monospace" w:hAnsi="monospace" w:eastAsia="monospace" w:cs="monospace"/>
      <w:sz w:val="20"/>
    </w:rPr>
  </w:style>
  <w:style w:type="character" w:styleId="993">
    <w:name w:val="HTML Acronym"/>
    <w:basedOn w:val="944"/>
    <w:uiPriority w:val="99"/>
    <w:semiHidden/>
    <w:unhideWhenUsed/>
    <w:qFormat/>
  </w:style>
  <w:style w:type="character" w:styleId="994">
    <w:name w:val="HTML Variable"/>
    <w:basedOn w:val="944"/>
    <w:uiPriority w:val="99"/>
    <w:semiHidden/>
    <w:unhideWhenUsed/>
    <w:qFormat/>
  </w:style>
  <w:style w:type="character" w:styleId="995">
    <w:name w:val="Hyperlink"/>
    <w:basedOn w:val="944"/>
    <w:uiPriority w:val="99"/>
    <w:unhideWhenUsed/>
    <w:qFormat/>
    <w:rPr>
      <w:color w:val="0000ff"/>
      <w:u w:val="none"/>
    </w:rPr>
  </w:style>
  <w:style w:type="character" w:styleId="996">
    <w:name w:val="HTML Code"/>
    <w:basedOn w:val="944"/>
    <w:uiPriority w:val="99"/>
    <w:semiHidden/>
    <w:unhideWhenUsed/>
    <w:qFormat/>
    <w:rPr>
      <w:rFonts w:hint="default" w:ascii="monospace" w:hAnsi="monospace" w:eastAsia="monospace" w:cs="monospace"/>
      <w:sz w:val="20"/>
    </w:rPr>
  </w:style>
  <w:style w:type="character" w:styleId="997">
    <w:name w:val="annotation reference"/>
    <w:uiPriority w:val="0"/>
    <w:qFormat/>
    <w:rPr>
      <w:sz w:val="21"/>
      <w:szCs w:val="21"/>
    </w:rPr>
  </w:style>
  <w:style w:type="character" w:styleId="998">
    <w:name w:val="HTML Cite"/>
    <w:basedOn w:val="944"/>
    <w:uiPriority w:val="99"/>
    <w:semiHidden/>
    <w:unhideWhenUsed/>
    <w:qFormat/>
  </w:style>
  <w:style w:type="character" w:styleId="999">
    <w:name w:val="footnote reference"/>
    <w:uiPriority w:val="0"/>
    <w:qFormat/>
    <w:rPr>
      <w:vertAlign w:val="superscript"/>
    </w:rPr>
  </w:style>
  <w:style w:type="character" w:styleId="1000">
    <w:name w:val="HTML Keyboard"/>
    <w:basedOn w:val="944"/>
    <w:uiPriority w:val="99"/>
    <w:semiHidden/>
    <w:unhideWhenUsed/>
    <w:qFormat/>
    <w:rPr>
      <w:rFonts w:ascii="monospace" w:hAnsi="monospace" w:eastAsia="monospace" w:cs="monospace"/>
      <w:sz w:val="20"/>
    </w:rPr>
  </w:style>
  <w:style w:type="character" w:styleId="1001">
    <w:name w:val="HTML Sample"/>
    <w:basedOn w:val="944"/>
    <w:uiPriority w:val="99"/>
    <w:semiHidden/>
    <w:unhideWhenUsed/>
    <w:qFormat/>
    <w:rPr>
      <w:rFonts w:hint="default" w:ascii="monospace" w:hAnsi="monospace" w:eastAsia="monospace" w:cs="monospace"/>
    </w:rPr>
  </w:style>
  <w:style w:type="paragraph" w:styleId="1002" w:customStyle="1">
    <w:name w:val="段"/>
    <w:next w:val="934"/>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1003" w:customStyle="1">
    <w:name w:val="正文1"/>
    <w:next w:val="934"/>
    <w:uiPriority w:val="0"/>
    <w:qFormat/>
    <w:pPr>
      <w:jc w:val="both"/>
      <w:spacing w:line="360" w:lineRule="atLeast"/>
      <w:widowControl w:val="off"/>
    </w:pPr>
    <w:rPr>
      <w:rFonts w:ascii="Times New Roman" w:hAnsi="Times New Roman" w:eastAsia="宋体" w:cs="Times New Roman"/>
      <w:lang w:val="en-US" w:eastAsia="zh-CN" w:bidi="ar-SA"/>
    </w:rPr>
  </w:style>
  <w:style w:type="character" w:styleId="1004" w:customStyle="1">
    <w:name w:val="正文缩进 Char"/>
    <w:link w:val="946"/>
    <w:uiPriority w:val="0"/>
    <w:qFormat/>
    <w:rPr>
      <w:rFonts w:eastAsia="楷体_GB2312"/>
      <w:sz w:val="24"/>
      <w:lang w:val="en-US" w:eastAsia="zh-CN" w:bidi="ar-SA"/>
    </w:rPr>
  </w:style>
  <w:style w:type="character" w:styleId="1005" w:customStyle="1">
    <w:name w:val="列出段落 Char"/>
    <w:link w:val="1006"/>
    <w:uiPriority w:val="0"/>
    <w:qFormat/>
    <w:rPr>
      <w:rFonts w:eastAsia="楷体_GB2312"/>
      <w:sz w:val="26"/>
      <w:lang w:val="zh-CN" w:eastAsia="zh-CN" w:bidi="ar-SA"/>
    </w:rPr>
  </w:style>
  <w:style w:type="paragraph" w:styleId="1006" w:customStyle="1">
    <w:name w:val="序号"/>
    <w:basedOn w:val="934"/>
    <w:next w:val="1007"/>
    <w:link w:val="1005"/>
    <w:uiPriority w:val="0"/>
    <w:qFormat/>
    <w:pPr>
      <w:ind w:firstLine="420"/>
    </w:pPr>
    <w:rPr>
      <w:lang w:val="zh-CN"/>
    </w:rPr>
  </w:style>
  <w:style w:type="paragraph" w:styleId="1007" w:customStyle="1">
    <w:name w:val="列表段落1"/>
    <w:basedOn w:val="934"/>
    <w:uiPriority w:val="34"/>
    <w:qFormat/>
    <w:pPr>
      <w:ind w:firstLine="420"/>
    </w:pPr>
  </w:style>
  <w:style w:type="character" w:styleId="1008" w:customStyle="1">
    <w:name w:val="纯文本 Char"/>
    <w:link w:val="959"/>
    <w:uiPriority w:val="0"/>
    <w:qFormat/>
    <w:rPr>
      <w:rFonts w:ascii="宋体" w:hAnsi="Courier New" w:eastAsia="楷体_GB2312"/>
      <w:sz w:val="26"/>
      <w:lang w:val="en-US" w:eastAsia="zh-CN" w:bidi="ar-SA"/>
    </w:rPr>
  </w:style>
  <w:style w:type="character" w:styleId="1009" w:customStyle="1">
    <w:name w:val="日期 Char"/>
    <w:link w:val="962"/>
    <w:uiPriority w:val="0"/>
    <w:qFormat/>
    <w:rPr>
      <w:rFonts w:ascii="宋体" w:hAnsi="宋体" w:eastAsia="楷体_GB2312"/>
      <w:sz w:val="24"/>
      <w:lang w:val="en-US" w:eastAsia="zh-CN" w:bidi="ar-SA"/>
    </w:rPr>
  </w:style>
  <w:style w:type="character" w:styleId="1010" w:customStyle="1">
    <w:name w:val="表格正文 字符"/>
    <w:link w:val="1011"/>
    <w:uiPriority w:val="0"/>
    <w:qFormat/>
    <w:rPr>
      <w:rFonts w:ascii="宋体" w:hAnsi="宋体" w:eastAsia="楷体_GB2312"/>
      <w:sz w:val="26"/>
      <w:szCs w:val="24"/>
      <w:lang w:val="en-US" w:eastAsia="zh-CN" w:bidi="ar-SA"/>
    </w:rPr>
  </w:style>
  <w:style w:type="paragraph" w:styleId="1011" w:customStyle="1">
    <w:name w:val="表格正文"/>
    <w:basedOn w:val="934"/>
    <w:next w:val="934"/>
    <w:link w:val="1010"/>
    <w:uiPriority w:val="0"/>
    <w:qFormat/>
    <w:rPr>
      <w:rFonts w:ascii="宋体" w:hAnsi="宋体"/>
      <w:szCs w:val="24"/>
    </w:rPr>
  </w:style>
  <w:style w:type="character" w:styleId="1012" w:customStyle="1">
    <w:name w:val="缩进正文 字符"/>
    <w:link w:val="1013"/>
    <w:uiPriority w:val="0"/>
    <w:qFormat/>
    <w:rPr>
      <w:rFonts w:ascii="Calibri" w:hAnsi="Calibri" w:eastAsia="楷体_GB2312"/>
      <w:sz w:val="26"/>
      <w:szCs w:val="24"/>
      <w:lang w:val="en-US" w:eastAsia="zh-CN" w:bidi="ar-SA"/>
    </w:rPr>
  </w:style>
  <w:style w:type="paragraph" w:styleId="1013" w:customStyle="1">
    <w:name w:val="缩进正文"/>
    <w:basedOn w:val="934"/>
    <w:link w:val="1012"/>
    <w:uiPriority w:val="0"/>
    <w:qFormat/>
    <w:pPr>
      <w:ind w:firstLine="200"/>
    </w:pPr>
    <w:rPr>
      <w:rFonts w:ascii="Calibri" w:hAnsi="Calibri"/>
      <w:szCs w:val="24"/>
    </w:rPr>
  </w:style>
  <w:style w:type="paragraph" w:styleId="1014" w:customStyle="1">
    <w:name w:val="Char Char Char"/>
    <w:basedOn w:val="934"/>
    <w:uiPriority w:val="0"/>
    <w:qFormat/>
    <w:pPr>
      <w:numPr>
        <w:ilvl w:val="0"/>
        <w:numId w:val="1"/>
      </w:numPr>
      <w:tabs>
        <w:tab w:val="clear" w:pos="432" w:leader="none"/>
        <w:tab w:val="left" w:pos="840" w:leader="none"/>
      </w:tabs>
    </w:pPr>
    <w:rPr>
      <w:rFonts w:eastAsia="宋体"/>
      <w:sz w:val="21"/>
      <w:szCs w:val="24"/>
    </w:rPr>
  </w:style>
  <w:style w:type="paragraph" w:styleId="1015" w:customStyle="1">
    <w:name w:val="Char Char Char1 Char Char Char Char"/>
    <w:basedOn w:val="934"/>
    <w:uiPriority w:val="0"/>
    <w:qFormat/>
    <w:pPr>
      <w:jc w:val="left"/>
      <w:spacing w:after="160" w:line="240" w:lineRule="exact"/>
      <w:widowControl/>
    </w:pPr>
    <w:rPr>
      <w:rFonts w:eastAsia="宋体"/>
      <w:sz w:val="24"/>
      <w:szCs w:val="24"/>
    </w:rPr>
  </w:style>
  <w:style w:type="paragraph" w:styleId="1016"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17" w:customStyle="1">
    <w:name w:val="首行缩进"/>
    <w:basedOn w:val="934"/>
    <w:uiPriority w:val="0"/>
    <w:qFormat/>
    <w:pPr>
      <w:ind w:firstLine="480"/>
    </w:pPr>
    <w:rPr>
      <w:lang w:val="zh-CN"/>
    </w:rPr>
  </w:style>
  <w:style w:type="paragraph" w:styleId="1018" w:customStyle="1">
    <w:name w:val="纯文本1"/>
    <w:basedOn w:val="934"/>
    <w:uiPriority w:val="0"/>
    <w:qFormat/>
    <w:rPr>
      <w:rFonts w:ascii="宋体" w:hAnsi="Courier New"/>
    </w:rPr>
  </w:style>
  <w:style w:type="paragraph" w:styleId="1019" w:customStyle="1">
    <w:name w:val="_Style 1"/>
    <w:basedOn w:val="934"/>
    <w:uiPriority w:val="34"/>
    <w:qFormat/>
    <w:pPr>
      <w:ind w:firstLine="420"/>
      <w:spacing w:line="312" w:lineRule="auto"/>
    </w:pPr>
  </w:style>
  <w:style w:type="paragraph" w:styleId="1020" w:customStyle="1">
    <w:name w:val="_Style 12"/>
    <w:basedOn w:val="950"/>
    <w:uiPriority w:val="0"/>
    <w:qFormat/>
    <w:pPr>
      <w:spacing w:line="360" w:lineRule="auto"/>
    </w:pPr>
  </w:style>
  <w:style w:type="paragraph" w:styleId="1021" w:customStyle="1">
    <w:name w:val="列出段落1"/>
    <w:basedOn w:val="934"/>
    <w:uiPriority w:val="0"/>
    <w:qFormat/>
    <w:pPr>
      <w:ind w:firstLine="420"/>
    </w:pPr>
    <w:rPr>
      <w:rFonts w:ascii="Calibri" w:hAnsi="Calibri"/>
      <w:szCs w:val="21"/>
    </w:rPr>
  </w:style>
  <w:style w:type="paragraph" w:styleId="1022" w:customStyle="1">
    <w:name w:val="缩进正文-"/>
    <w:basedOn w:val="934"/>
    <w:uiPriority w:val="0"/>
    <w:qFormat/>
    <w:pPr>
      <w:ind w:firstLine="200"/>
      <w:spacing w:before="100" w:beforeAutospacing="1" w:line="360" w:lineRule="auto"/>
    </w:pPr>
    <w:rPr>
      <w:rFonts w:ascii="宋体" w:hAnsi="宋体" w:eastAsia="宋体"/>
      <w:color w:val="000000"/>
      <w:sz w:val="24"/>
      <w:szCs w:val="21"/>
    </w:rPr>
  </w:style>
  <w:style w:type="paragraph" w:styleId="1023" w:customStyle="1">
    <w:name w:val="*正文"/>
    <w:basedOn w:val="934"/>
    <w:uiPriority w:val="0"/>
    <w:qFormat/>
    <w:pPr>
      <w:ind w:firstLine="200"/>
      <w:spacing w:line="360" w:lineRule="auto"/>
      <w:widowControl/>
    </w:pPr>
    <w:rPr>
      <w:rFonts w:ascii="仿宋_GB2312" w:hAnsi="Calibri" w:eastAsia="仿宋_GB2312"/>
      <w:sz w:val="24"/>
      <w:szCs w:val="28"/>
    </w:rPr>
  </w:style>
  <w:style w:type="paragraph" w:styleId="1024" w:customStyle="1">
    <w:name w:val="纯文本11"/>
    <w:basedOn w:val="934"/>
    <w:uiPriority w:val="99"/>
    <w:qFormat/>
    <w:rPr>
      <w:rFonts w:ascii="宋体" w:hAnsi="Courier New"/>
    </w:rPr>
  </w:style>
  <w:style w:type="paragraph" w:styleId="1025" w:customStyle="1">
    <w:name w:val="Char Char Char1 Char"/>
    <w:basedOn w:val="934"/>
    <w:uiPriority w:val="0"/>
    <w:semiHidden/>
    <w:qFormat/>
    <w:pPr>
      <w:ind w:firstLine="200"/>
      <w:spacing w:line="360" w:lineRule="auto"/>
    </w:pPr>
    <w:rPr>
      <w:rFonts w:ascii="宋体" w:hAnsi="宋体" w:cs="宋体"/>
      <w:sz w:val="24"/>
    </w:rPr>
  </w:style>
  <w:style w:type="paragraph" w:styleId="1026" w:customStyle="1">
    <w:name w:val="Char Char1 Char Char Char Char"/>
    <w:basedOn w:val="950"/>
    <w:uiPriority w:val="0"/>
    <w:qFormat/>
    <w:pPr>
      <w:spacing w:line="360" w:lineRule="auto"/>
    </w:pPr>
    <w:rPr>
      <w:rFonts w:ascii="Tahoma" w:hAnsi="Tahoma" w:eastAsia="宋体"/>
      <w:sz w:val="24"/>
      <w:szCs w:val="24"/>
    </w:rPr>
  </w:style>
  <w:style w:type="paragraph" w:styleId="1027" w:customStyle="1">
    <w:name w:val="p0"/>
    <w:basedOn w:val="934"/>
    <w:uiPriority w:val="0"/>
    <w:qFormat/>
    <w:rPr>
      <w:rFonts w:hint="eastAsia"/>
    </w:rPr>
  </w:style>
  <w:style w:type="paragraph" w:styleId="1028">
    <w:name w:val="List Paragraph"/>
    <w:basedOn w:val="934"/>
    <w:uiPriority w:val="34"/>
    <w:qFormat/>
    <w:pPr>
      <w:ind w:firstLine="420"/>
    </w:pPr>
    <w:rPr>
      <w:rFonts w:ascii="宋体" w:hAnsi="宋体" w:eastAsia="宋体"/>
      <w:sz w:val="24"/>
      <w:szCs w:val="24"/>
    </w:rPr>
  </w:style>
  <w:style w:type="paragraph" w:styleId="1029" w:customStyle="1">
    <w:name w:val="Char"/>
    <w:basedOn w:val="934"/>
    <w:uiPriority w:val="0"/>
    <w:qFormat/>
    <w:rPr>
      <w:rFonts w:ascii="Tahoma" w:hAnsi="Tahoma" w:eastAsia="宋体"/>
      <w:sz w:val="24"/>
    </w:rPr>
  </w:style>
  <w:style w:type="paragraph" w:styleId="1030" w:customStyle="1">
    <w:name w:val="列出段落2"/>
    <w:basedOn w:val="934"/>
    <w:uiPriority w:val="34"/>
    <w:qFormat/>
    <w:pPr>
      <w:ind w:firstLine="420"/>
    </w:pPr>
  </w:style>
  <w:style w:type="paragraph" w:styleId="1031" w:customStyle="1">
    <w:name w:val="纯文本12"/>
    <w:basedOn w:val="934"/>
    <w:uiPriority w:val="0"/>
    <w:qFormat/>
    <w:rPr>
      <w:rFonts w:ascii="宋体" w:hAnsi="Courier New"/>
    </w:rPr>
  </w:style>
  <w:style w:type="paragraph" w:styleId="1032" w:customStyle="1">
    <w:name w:val="纯文本2"/>
    <w:basedOn w:val="934"/>
    <w:uiPriority w:val="0"/>
    <w:qFormat/>
    <w:rPr>
      <w:rFonts w:ascii="宋体" w:hAnsi="Courier New"/>
    </w:rPr>
  </w:style>
  <w:style w:type="paragraph" w:styleId="1033" w:customStyle="1">
    <w:name w:val="Char1"/>
    <w:basedOn w:val="934"/>
    <w:uiPriority w:val="0"/>
    <w:qFormat/>
    <w:rPr>
      <w:rFonts w:ascii="Tahoma" w:hAnsi="Tahoma" w:eastAsia="宋体"/>
      <w:sz w:val="24"/>
    </w:rPr>
  </w:style>
  <w:style w:type="paragraph" w:styleId="1034" w:customStyle="1">
    <w:name w:val="表格内容"/>
    <w:basedOn w:val="934"/>
    <w:uiPriority w:val="0"/>
    <w:qFormat/>
    <w:pPr>
      <w:jc w:val="left"/>
      <w:spacing w:before="100" w:beforeAutospacing="1" w:after="100" w:afterAutospacing="1" w:line="360" w:lineRule="auto"/>
    </w:pPr>
    <w:rPr>
      <w:rFonts w:ascii="宋体" w:hAnsi="宋体" w:eastAsia="宋体"/>
      <w:bCs/>
      <w:sz w:val="21"/>
      <w:szCs w:val="21"/>
    </w:rPr>
  </w:style>
  <w:style w:type="paragraph" w:styleId="1035" w:customStyle="1">
    <w:name w:val="纯文本3"/>
    <w:basedOn w:val="934"/>
    <w:uiPriority w:val="0"/>
    <w:qFormat/>
    <w:rPr>
      <w:rFonts w:ascii="宋体" w:hAnsi="Courier New"/>
      <w:sz w:val="28"/>
    </w:rPr>
  </w:style>
  <w:style w:type="paragraph" w:styleId="1036" w:customStyle="1">
    <w:name w:val="font7"/>
    <w:basedOn w:val="934"/>
    <w:uiPriority w:val="0"/>
    <w:qFormat/>
    <w:pPr>
      <w:jc w:val="left"/>
      <w:spacing w:before="100" w:beforeAutospacing="1" w:after="100" w:afterAutospacing="1"/>
      <w:widowControl/>
    </w:pPr>
    <w:rPr>
      <w:rFonts w:eastAsia="宋体"/>
      <w:sz w:val="20"/>
    </w:rPr>
  </w:style>
  <w:style w:type="paragraph" w:styleId="1037" w:customStyle="1">
    <w:name w:val="纯文本4"/>
    <w:basedOn w:val="934"/>
    <w:uiPriority w:val="0"/>
    <w:qFormat/>
    <w:rPr>
      <w:rFonts w:ascii="宋体" w:hAnsi="Courier New"/>
    </w:rPr>
  </w:style>
  <w:style w:type="paragraph" w:styleId="1038" w:customStyle="1">
    <w:name w:val="纯文本5"/>
    <w:basedOn w:val="934"/>
    <w:uiPriority w:val="0"/>
    <w:qFormat/>
    <w:rPr>
      <w:rFonts w:ascii="宋体" w:hAnsi="Courier New"/>
      <w:sz w:val="28"/>
    </w:rPr>
  </w:style>
  <w:style w:type="paragraph" w:styleId="1039"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40" w:customStyle="1">
    <w:name w:val="font171"/>
    <w:basedOn w:val="944"/>
    <w:uiPriority w:val="0"/>
    <w:qFormat/>
    <w:rPr>
      <w:rFonts w:hint="eastAsia" w:ascii="宋体" w:hAnsi="宋体" w:eastAsia="宋体" w:cs="宋体"/>
      <w:b/>
      <w:bCs/>
      <w:color w:val="000000"/>
      <w:sz w:val="36"/>
      <w:szCs w:val="36"/>
      <w:u w:val="none"/>
    </w:rPr>
  </w:style>
  <w:style w:type="character" w:styleId="1041" w:customStyle="1">
    <w:name w:val="font41"/>
    <w:basedOn w:val="944"/>
    <w:uiPriority w:val="0"/>
    <w:qFormat/>
    <w:rPr>
      <w:rFonts w:hint="default" w:ascii="Times New Roman" w:hAnsi="Times New Roman" w:cs="Times New Roman"/>
      <w:b/>
      <w:bCs/>
      <w:color w:val="000000"/>
      <w:sz w:val="36"/>
      <w:szCs w:val="36"/>
      <w:u w:val="none"/>
    </w:rPr>
  </w:style>
  <w:style w:type="character" w:styleId="1042" w:customStyle="1">
    <w:name w:val="font101"/>
    <w:basedOn w:val="944"/>
    <w:uiPriority w:val="0"/>
    <w:qFormat/>
    <w:rPr>
      <w:rFonts w:hint="eastAsia" w:ascii="宋体" w:hAnsi="宋体" w:eastAsia="宋体" w:cs="宋体"/>
      <w:b/>
      <w:bCs/>
      <w:color w:val="000000"/>
      <w:sz w:val="24"/>
      <w:szCs w:val="24"/>
      <w:u w:val="none"/>
    </w:rPr>
  </w:style>
  <w:style w:type="character" w:styleId="1043" w:customStyle="1">
    <w:name w:val="font91"/>
    <w:basedOn w:val="944"/>
    <w:uiPriority w:val="0"/>
    <w:qFormat/>
    <w:rPr>
      <w:rFonts w:hint="default" w:ascii="Times New Roman" w:hAnsi="Times New Roman" w:cs="Times New Roman"/>
      <w:b/>
      <w:bCs/>
      <w:color w:val="000000"/>
      <w:sz w:val="24"/>
      <w:szCs w:val="24"/>
      <w:u w:val="none"/>
    </w:rPr>
  </w:style>
  <w:style w:type="character" w:styleId="1044" w:customStyle="1">
    <w:name w:val="font121"/>
    <w:basedOn w:val="944"/>
    <w:uiPriority w:val="0"/>
    <w:qFormat/>
    <w:rPr>
      <w:rFonts w:hint="eastAsia" w:ascii="宋体" w:hAnsi="宋体" w:eastAsia="宋体" w:cs="宋体"/>
      <w:color w:val="000000"/>
      <w:sz w:val="24"/>
      <w:szCs w:val="24"/>
      <w:u w:val="none"/>
    </w:rPr>
  </w:style>
  <w:style w:type="character" w:styleId="1045" w:customStyle="1">
    <w:name w:val="font61"/>
    <w:basedOn w:val="944"/>
    <w:uiPriority w:val="0"/>
    <w:qFormat/>
    <w:rPr>
      <w:rFonts w:hint="default" w:ascii="Times New Roman" w:hAnsi="Times New Roman" w:cs="Times New Roman"/>
      <w:color w:val="000000"/>
      <w:sz w:val="24"/>
      <w:szCs w:val="24"/>
      <w:u w:val="none"/>
    </w:rPr>
  </w:style>
  <w:style w:type="character" w:styleId="1046" w:customStyle="1">
    <w:name w:val="font151"/>
    <w:basedOn w:val="944"/>
    <w:uiPriority w:val="0"/>
    <w:qFormat/>
    <w:rPr>
      <w:rFonts w:ascii="宋体" w:hAnsi="宋体" w:eastAsia="宋体" w:cs="宋体"/>
      <w:color w:val="000000"/>
      <w:sz w:val="24"/>
      <w:szCs w:val="24"/>
      <w:u w:val="none"/>
    </w:rPr>
  </w:style>
  <w:style w:type="paragraph" w:styleId="1047"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48" w:customStyle="1">
    <w:name w:val="msolistparagraph"/>
    <w:basedOn w:val="934"/>
    <w:uiPriority w:val="0"/>
    <w:qFormat/>
    <w:pPr>
      <w:ind w:firstLine="420"/>
    </w:pPr>
    <w:rPr>
      <w:szCs w:val="21"/>
    </w:rPr>
  </w:style>
  <w:style w:type="paragraph" w:styleId="1049" w:customStyle="1">
    <w:name w:val="Table Paragraph"/>
    <w:basedOn w:val="934"/>
    <w:uiPriority w:val="1"/>
    <w:qFormat/>
    <w:rPr>
      <w:rFonts w:ascii="宋体" w:hAnsi="宋体" w:cs="宋体"/>
      <w:lang w:val="zh-CN" w:bidi="zh-CN"/>
    </w:rPr>
  </w:style>
  <w:style w:type="character" w:styleId="1050" w:customStyle="1">
    <w:name w:val="font21"/>
    <w:basedOn w:val="944"/>
    <w:uiPriority w:val="0"/>
    <w:qFormat/>
    <w:rPr>
      <w:rFonts w:hint="eastAsia" w:ascii="仿宋" w:hAnsi="仿宋" w:eastAsia="仿宋" w:cs="仿宋"/>
      <w:color w:val="000000"/>
      <w:sz w:val="22"/>
      <w:szCs w:val="22"/>
      <w:u w:val="none"/>
    </w:rPr>
  </w:style>
  <w:style w:type="character" w:styleId="1051" w:customStyle="1">
    <w:name w:val="font71"/>
    <w:basedOn w:val="944"/>
    <w:uiPriority w:val="0"/>
    <w:qFormat/>
    <w:rPr>
      <w:rFonts w:hint="eastAsia" w:ascii="宋体" w:hAnsi="宋体" w:eastAsia="宋体" w:cs="宋体"/>
      <w:color w:val="000000"/>
      <w:sz w:val="22"/>
      <w:szCs w:val="22"/>
      <w:u w:val="none"/>
    </w:rPr>
  </w:style>
  <w:style w:type="character" w:styleId="1052" w:customStyle="1">
    <w:name w:val="font01"/>
    <w:basedOn w:val="944"/>
    <w:uiPriority w:val="0"/>
    <w:qFormat/>
    <w:rPr>
      <w:rFonts w:hint="eastAsia" w:ascii="宋体" w:hAnsi="宋体" w:eastAsia="宋体" w:cs="宋体"/>
      <w:color w:val="000000"/>
      <w:sz w:val="22"/>
      <w:szCs w:val="22"/>
      <w:u w:val="none"/>
    </w:rPr>
  </w:style>
  <w:style w:type="character" w:styleId="1053" w:customStyle="1">
    <w:name w:val="font11"/>
    <w:basedOn w:val="944"/>
    <w:uiPriority w:val="0"/>
    <w:qFormat/>
    <w:rPr>
      <w:rFonts w:hint="eastAsia" w:ascii="宋体" w:hAnsi="宋体" w:eastAsia="宋体" w:cs="宋体"/>
      <w:color w:val="ff0000"/>
      <w:sz w:val="22"/>
      <w:szCs w:val="22"/>
      <w:u w:val="none"/>
    </w:rPr>
  </w:style>
  <w:style w:type="character" w:styleId="1054" w:customStyle="1">
    <w:name w:val="font31"/>
    <w:basedOn w:val="944"/>
    <w:uiPriority w:val="0"/>
    <w:qFormat/>
    <w:rPr>
      <w:rFonts w:hint="eastAsia" w:ascii="宋体" w:hAnsi="宋体" w:eastAsia="宋体" w:cs="宋体"/>
      <w:color w:val="ff0000"/>
      <w:sz w:val="22"/>
      <w:szCs w:val="22"/>
      <w:u w:val="none"/>
    </w:rPr>
  </w:style>
  <w:style w:type="paragraph" w:styleId="1055" w:customStyle="1">
    <w:name w:val="p2"/>
    <w:basedOn w:val="934"/>
    <w:uiPriority w:val="0"/>
    <w:qFormat/>
    <w:pPr>
      <w:spacing w:before="100" w:beforeAutospacing="1" w:after="100" w:afterAutospacing="1"/>
    </w:pPr>
    <w:rPr>
      <w:rFonts w:ascii="宋体" w:hAnsi="宋体"/>
      <w:sz w:val="24"/>
      <w:szCs w:val="24"/>
    </w:rPr>
  </w:style>
  <w:style w:type="character" w:styleId="1056" w:customStyle="1">
    <w:name w:val="批注文字 Char"/>
    <w:link w:val="951"/>
    <w:uiPriority w:val="0"/>
    <w:qFormat/>
    <w:rPr>
      <w:rFonts w:eastAsia="楷体_GB2312"/>
      <w:sz w:val="26"/>
    </w:rPr>
  </w:style>
  <w:style w:type="character" w:styleId="1057" w:customStyle="1">
    <w:name w:val="NormalCharacter"/>
    <w:link w:val="1058"/>
    <w:uiPriority w:val="0"/>
    <w:qFormat/>
    <w:rPr>
      <w:sz w:val="20"/>
      <w:szCs w:val="20"/>
    </w:rPr>
  </w:style>
  <w:style w:type="paragraph" w:styleId="1058" w:customStyle="1">
    <w:name w:val="UserStyle_4"/>
    <w:basedOn w:val="934"/>
    <w:link w:val="1057"/>
    <w:uiPriority w:val="99"/>
    <w:qFormat/>
    <w:rPr>
      <w:sz w:val="20"/>
    </w:rPr>
  </w:style>
  <w:style w:type="character" w:styleId="1059" w:customStyle="1">
    <w:name w:val="hover"/>
    <w:basedOn w:val="944"/>
    <w:uiPriority w:val="0"/>
    <w:qFormat/>
    <w:rPr>
      <w:color w:val="2590eb"/>
    </w:rPr>
  </w:style>
  <w:style w:type="character" w:styleId="1060" w:customStyle="1">
    <w:name w:val="hover1"/>
    <w:basedOn w:val="944"/>
    <w:uiPriority w:val="0"/>
    <w:qFormat/>
  </w:style>
  <w:style w:type="character" w:styleId="1061" w:customStyle="1">
    <w:name w:val="hover2"/>
    <w:basedOn w:val="944"/>
    <w:uiPriority w:val="0"/>
    <w:qFormat/>
    <w:rPr>
      <w:color w:val="2590eb"/>
    </w:rPr>
  </w:style>
  <w:style w:type="character" w:styleId="1062" w:customStyle="1">
    <w:name w:val="15"/>
    <w:basedOn w:val="944"/>
    <w:uiPriority w:val="0"/>
    <w:qFormat/>
  </w:style>
  <w:style w:type="paragraph" w:styleId="1063" w:customStyle="1">
    <w:name w:val="p"/>
    <w:basedOn w:val="934"/>
    <w:uiPriority w:val="0"/>
    <w:qFormat/>
    <w:pPr>
      <w:jc w:val="left"/>
      <w:spacing w:before="100" w:beforeAutospacing="1" w:after="100" w:afterAutospacing="1"/>
      <w:widowControl/>
    </w:pPr>
    <w:rPr>
      <w:rFonts w:ascii="宋体" w:hAnsi="宋体" w:eastAsia="宋体" w:cs="宋体"/>
      <w:sz w:val="24"/>
      <w:szCs w:val="24"/>
    </w:rPr>
  </w:style>
  <w:style w:type="character" w:styleId="1064" w:customStyle="1">
    <w:name w:val="页脚 Char"/>
    <w:basedOn w:val="944"/>
    <w:link w:val="965"/>
    <w:uiPriority w:val="99"/>
    <w:qFormat/>
    <w:rPr>
      <w:rFonts w:eastAsia="楷体_GB2312"/>
      <w:sz w:val="18"/>
    </w:rPr>
  </w:style>
  <w:style w:type="character" w:styleId="1065" w:customStyle="1">
    <w:name w:val="页眉 Char"/>
    <w:basedOn w:val="944"/>
    <w:link w:val="967"/>
    <w:uiPriority w:val="99"/>
    <w:qFormat/>
    <w:rPr>
      <w:rFonts w:eastAsia="楷体_GB2312"/>
      <w:sz w:val="18"/>
    </w:rPr>
  </w:style>
  <w:style w:type="character" w:styleId="1066" w:customStyle="1">
    <w:name w:val="标题 1 Char"/>
    <w:link w:val="935"/>
    <w:uiPriority w:val="0"/>
    <w:qFormat/>
    <w:rPr>
      <w:rFonts w:eastAsia="楷体_GB2312"/>
      <w:b/>
      <w:sz w:val="44"/>
    </w:rPr>
  </w:style>
  <w:style w:type="character" w:styleId="1067" w:customStyle="1">
    <w:name w:val="标题 Char"/>
    <w:basedOn w:val="944"/>
    <w:link w:val="983"/>
    <w:uiPriority w:val="10"/>
    <w:qFormat/>
    <w:rPr>
      <w:rFonts w:ascii="黑体" w:hAnsi="黑体" w:eastAsia="黑体"/>
      <w:sz w:val="28"/>
      <w:szCs w:val="24"/>
    </w:rPr>
  </w:style>
  <w:style w:type="paragraph" w:styleId="1068" w:customStyle="1">
    <w:name w:val="UserStyle_780"/>
    <w:basedOn w:val="934"/>
    <w:uiPriority w:val="0"/>
    <w:qFormat/>
    <w:rPr>
      <w:rFonts w:ascii="宋体" w:hAnsi="Courier New"/>
      <w:sz w:val="28"/>
      <w:szCs w:val="24"/>
    </w:rPr>
  </w:style>
  <w:style w:type="paragraph" w:styleId="1069" w:customStyle="1">
    <w:name w:val="修订1"/>
    <w:hidden/>
    <w:uiPriority w:val="99"/>
    <w:semiHidden/>
    <w:qFormat/>
    <w:rPr>
      <w:rFonts w:ascii="Times New Roman" w:hAnsi="Times New Roman" w:eastAsia="楷体_GB2312" w:cs="Times New Roman"/>
      <w:sz w:val="26"/>
      <w:lang w:val="en-US" w:eastAsia="zh-CN" w:bidi="ar-SA"/>
    </w:rPr>
  </w:style>
  <w:style w:type="paragraph" w:styleId="1070" w:customStyle="1">
    <w:name w:val="修订2"/>
    <w:hidden/>
    <w:uiPriority w:val="99"/>
    <w:unhideWhenUsed/>
    <w:qFormat/>
    <w:rPr>
      <w:rFonts w:ascii="Times New Roman" w:hAnsi="Times New Roman" w:eastAsia="楷体_GB2312" w:cs="Times New Roman"/>
      <w:sz w:val="26"/>
      <w:lang w:val="en-US" w:eastAsia="zh-CN" w:bidi="ar-SA"/>
    </w:rPr>
  </w:style>
  <w:style w:type="paragraph" w:styleId="1071" w:customStyle="1">
    <w:name w:val="修订3"/>
    <w:hidden/>
    <w:uiPriority w:val="99"/>
    <w:unhideWhenUsed/>
    <w:qFormat/>
    <w:rPr>
      <w:rFonts w:ascii="Times New Roman" w:hAnsi="Times New Roman" w:eastAsia="楷体_GB2312" w:cs="Times New Roman"/>
      <w:sz w:val="26"/>
      <w:lang w:val="en-US" w:eastAsia="zh-CN" w:bidi="ar-SA"/>
    </w:rPr>
  </w:style>
  <w:style w:type="paragraph" w:styleId="1072" w:customStyle="1">
    <w:name w:val="CL 正文1.25"/>
    <w:basedOn w:val="934"/>
    <w:uiPriority w:val="0"/>
    <w:qFormat/>
    <w:pPr>
      <w:ind w:firstLine="200"/>
      <w:spacing w:line="300" w:lineRule="auto"/>
    </w:pPr>
    <w:rPr>
      <w:rFonts w:ascii="Cambria" w:hAnsi="Cambria" w:cstheme="minorBidi"/>
      <w:sz w:val="24"/>
      <w:szCs w:val="21"/>
    </w:rPr>
  </w:style>
  <w:style w:type="character" w:styleId="1073" w:customStyle="1">
    <w:name w:val="first-child"/>
    <w:basedOn w:val="944"/>
    <w:uiPriority w:val="0"/>
    <w:qFormat/>
  </w:style>
  <w:style w:type="character" w:styleId="1074" w:customStyle="1">
    <w:name w:val="first-child1"/>
    <w:basedOn w:val="944"/>
    <w:uiPriority w:val="0"/>
    <w:qFormat/>
  </w:style>
  <w:style w:type="character" w:styleId="1075" w:customStyle="1">
    <w:name w:val="desc_jugsx"/>
    <w:basedOn w:val="944"/>
    <w:uiPriority w:val="0"/>
    <w:qFormat/>
    <w:rPr>
      <w:color w:val="333333"/>
    </w:rPr>
  </w:style>
  <w:style w:type="character" w:styleId="1076" w:customStyle="1">
    <w:name w:val="type_xj8di"/>
    <w:basedOn w:val="944"/>
    <w:uiPriority w:val="0"/>
    <w:qFormat/>
    <w:rPr>
      <w:color w:val="999999"/>
    </w:rPr>
  </w:style>
  <w:style w:type="paragraph" w:styleId="1077" w:customStyle="1">
    <w:name w:val="修订4"/>
    <w:hidden/>
    <w:uiPriority w:val="99"/>
    <w:unhideWhenUsed/>
    <w:qFormat/>
    <w:rPr>
      <w:rFonts w:ascii="Times New Roman" w:hAnsi="Times New Roman" w:eastAsia="楷体_GB2312" w:cs="Times New Roman"/>
      <w:sz w:val="26"/>
      <w:lang w:val="en-US" w:eastAsia="zh-CN" w:bidi="ar-SA"/>
    </w:rPr>
  </w:style>
  <w:style w:type="character" w:styleId="1078" w:customStyle="1">
    <w:name w:val="16"/>
    <w:basedOn w:val="944"/>
    <w:uiPriority w:val="0"/>
    <w:qFormat/>
    <w:rPr>
      <w:rFonts w:hint="default" w:ascii="Times New Roman" w:hAnsi="Times New Roman" w:cs="Times New Roman"/>
      <w:i/>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11</cp:revision>
  <dcterms:created xsi:type="dcterms:W3CDTF">2024-02-19T07:50:00Z</dcterms:created>
  <dcterms:modified xsi:type="dcterms:W3CDTF">2026-10-16T05:35:22Z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FEE14F21CFFC4975A0C821571A3C4CC6_13</vt:lpwstr>
  </property>
  <property fmtid="{D5CDD505-2E9C-101B-9397-08002B2CF9AE}" pid="4" name="KSOTemplateDocerSaveRecord">
    <vt:lpwstr>eyJoZGlkIjoiZTg1ZjBiYjczODk3ZDAxZTcxNzhmZTc1ZjVmOWU3NDAiLCJ1c2VySWQiOiI0MTgxMDg2MzUifQ==</vt:lpwstr>
  </property>
</Properties>
</file>