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eastAsia="宋体"/>
          <w:color w:val="000000"/>
          <w:highlight w:val="none"/>
          <w:lang w:eastAsia="zh-CN"/>
        </w:rPr>
      </w:pPr>
      <w:r>
        <w:rPr>
          <w:rFonts w:hint="eastAsia"/>
          <w:b/>
          <w:bCs/>
          <w:color w:val="000000"/>
          <w:sz w:val="72"/>
          <w:szCs w:val="72"/>
          <w:highlight w:val="none"/>
          <w:lang w:eastAsia="zh-CN"/>
        </w:rPr>
        <w:t xml:space="preserve">经开区电子警察更新项目</w:t>
      </w:r>
      <w:r>
        <w:rPr>
          <w:rFonts w:hint="eastAsia" w:eastAsia="宋体"/>
          <w:color w:val="000000"/>
          <w:highlight w:val="none"/>
          <w:lang w:eastAsia="zh-CN"/>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1048"/>
        <w:jc w:val="center"/>
        <w:rPr>
          <w:b/>
          <w:bCs/>
          <w:color w:val="000000"/>
          <w:sz w:val="60"/>
          <w:szCs w:val="60"/>
          <w:highlight w:val="none"/>
        </w:rPr>
      </w:pPr>
      <w:r>
        <w:rPr>
          <w:b/>
          <w:bCs/>
          <w:color w:val="000000"/>
          <w:sz w:val="60"/>
          <w:szCs w:val="60"/>
          <w:highlight w:val="none"/>
        </w:rPr>
      </w:r>
      <w:r/>
    </w:p>
    <w:p>
      <w:pPr>
        <w:pStyle w:val="1048"/>
        <w:jc w:val="center"/>
        <w:spacing w:line="360" w:lineRule="auto"/>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0"/>
        <w:rPr>
          <w:color w:val="000000"/>
          <w:sz w:val="60"/>
          <w:szCs w:val="60"/>
          <w:highlight w:val="none"/>
        </w:rPr>
      </w:pPr>
      <w:r>
        <w:rPr>
          <w:color w:val="000000"/>
          <w:sz w:val="60"/>
          <w:szCs w:val="60"/>
          <w:highlight w:val="none"/>
        </w:rPr>
      </w:r>
      <w:r/>
    </w:p>
    <w:p>
      <w:pPr>
        <w:pStyle w:val="1048"/>
        <w:ind w:firstLine="1687"/>
        <w:jc w:val="both"/>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经开区电子警察更新项目</w:t>
      </w:r>
      <w:r>
        <w:rPr>
          <w:rFonts w:hint="eastAsia" w:ascii="宋体" w:hAnsi="宋体" w:eastAsia="宋体" w:cs="宋体"/>
          <w:b/>
          <w:color w:val="000000"/>
          <w:sz w:val="28"/>
          <w:szCs w:val="28"/>
          <w:highlight w:val="none"/>
          <w:lang w:eastAsia="zh-CN"/>
        </w:rPr>
      </w:r>
      <w:r/>
    </w:p>
    <w:p>
      <w:pPr>
        <w:pStyle w:val="1048"/>
        <w:ind w:firstLine="1687"/>
        <w:spacing w:line="480" w:lineRule="auto"/>
        <w:tabs>
          <w:tab w:val="left" w:pos="5609" w:leader="none"/>
        </w:tabs>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u w:val="single"/>
          <w:lang w:eastAsia="zh-CN"/>
        </w:rPr>
        <w:t xml:space="preserve">JSZC-320412056-CZYJ-G2026-0014</w:t>
      </w:r>
      <w:r>
        <w:rPr>
          <w:rFonts w:ascii="宋体" w:hAnsi="宋体" w:cs="宋体"/>
          <w:b/>
          <w:color w:val="000000"/>
          <w:sz w:val="28"/>
          <w:szCs w:val="28"/>
          <w:highlight w:val="none"/>
          <w:u w:val="single"/>
        </w:rPr>
      </w:r>
      <w:r/>
    </w:p>
    <w:p>
      <w:pPr>
        <w:pStyle w:val="1048"/>
        <w:ind w:firstLine="1687"/>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常州市公安局常州经济开发区分局</w:t>
      </w:r>
      <w:r>
        <w:rPr>
          <w:rFonts w:hint="eastAsia" w:ascii="宋体" w:hAnsi="宋体" w:eastAsia="宋体" w:cs="宋体"/>
          <w:b/>
          <w:color w:val="000000"/>
          <w:sz w:val="28"/>
          <w:szCs w:val="28"/>
          <w:highlight w:val="none"/>
          <w:u w:val="single"/>
          <w:lang w:eastAsia="zh-CN"/>
        </w:rPr>
      </w:r>
      <w:r/>
    </w:p>
    <w:p>
      <w:pPr>
        <w:pStyle w:val="1048"/>
        <w:ind w:firstLine="1687"/>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48"/>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rFonts w:hint="eastAsia"/>
          <w:b/>
          <w:color w:val="000000"/>
          <w:sz w:val="32"/>
          <w:szCs w:val="32"/>
          <w:highlight w:val="none"/>
        </w:rPr>
        <w:t xml:space="preserve">目      录</w:t>
      </w:r>
      <w:bookmarkEnd w:id="0"/>
      <w:r>
        <w:rPr>
          <w:b/>
          <w:color w:val="000000"/>
          <w:sz w:val="36"/>
          <w:szCs w:val="36"/>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103"/>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103"/>
        <w:spacing w:line="480" w:lineRule="auto"/>
        <w:tabs>
          <w:tab w:val="left" w:pos="1050" w:leader="none"/>
          <w:tab w:val="right" w:pos="8937" w:leader="dot"/>
        </w:tabs>
        <w:rPr>
          <w:rStyle w:val="1127"/>
          <w:rFonts w:ascii="Times New Roman" w:hAnsi="Times New Roman"/>
          <w:color w:val="000000"/>
          <w:sz w:val="28"/>
          <w:szCs w:val="28"/>
          <w:highlight w:val="none"/>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"_Toc99301419"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第一章   投标邀请</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2</w:t>
      </w:r>
      <w:r>
        <w:rPr>
          <w:rStyle w:val="1127"/>
          <w:rFonts w:ascii="Times New Roman" w:hAnsi="Times New Roman"/>
          <w:color w:val="000000"/>
          <w:sz w:val="28"/>
          <w:szCs w:val="28"/>
          <w:highlight w:val="none"/>
        </w:rPr>
        <w:fldChar w:fldCharType="end"/>
      </w:r>
      <w:r>
        <w:rPr>
          <w:rStyle w:val="1127"/>
          <w:rFonts w:ascii="Times New Roman" w:hAnsi="Times New Roman"/>
          <w:color w:val="000000"/>
          <w:sz w:val="28"/>
          <w:szCs w:val="28"/>
          <w:highlight w:val="none"/>
        </w:rPr>
      </w:r>
      <w:r/>
    </w:p>
    <w:p>
      <w:pPr>
        <w:pStyle w:val="1103"/>
        <w:spacing w:line="480" w:lineRule="auto"/>
        <w:tabs>
          <w:tab w:val="left" w:pos="1050" w:leader="none"/>
          <w:tab w:val="right" w:pos="8937" w:leader="dot"/>
        </w:tabs>
        <w:rPr>
          <w:rStyle w:val="1127"/>
          <w:rFonts w:ascii="Times New Roman" w:hAnsi="Times New Roman"/>
          <w:color w:val="000000"/>
          <w:sz w:val="28"/>
          <w:szCs w:val="28"/>
          <w:highlight w:val="none"/>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"_Toc99301420"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第二章   投标人须知</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6</w:t>
      </w:r>
      <w:r>
        <w:rPr>
          <w:rStyle w:val="1127"/>
          <w:rFonts w:ascii="Times New Roman" w:hAnsi="Times New Roman"/>
          <w:color w:val="000000"/>
          <w:sz w:val="28"/>
          <w:szCs w:val="28"/>
          <w:highlight w:val="none"/>
        </w:rPr>
        <w:fldChar w:fldCharType="end"/>
      </w:r>
      <w:r>
        <w:rPr>
          <w:rStyle w:val="1127"/>
          <w:rFonts w:ascii="Times New Roman" w:hAnsi="Times New Roman"/>
          <w:color w:val="000000"/>
          <w:sz w:val="28"/>
          <w:szCs w:val="28"/>
          <w:highlight w:val="none"/>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"_Toc99301421"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第三章   资</w:t>
      </w:r>
      <w:bookmarkStart w:id="1" w:name="_Hlt100754117"/>
      <w:r>
        <w:rPr>
          <w:rStyle w:val="1127"/>
          <w:rFonts w:ascii="Times New Roman" w:hAnsi="Times New Roman"/>
          <w:color w:val="000000"/>
          <w:sz w:val="28"/>
          <w:szCs w:val="28"/>
          <w:highlight w:val="none"/>
        </w:rPr>
        <w:t xml:space="preserve">格</w:t>
      </w:r>
      <w:bookmarkEnd w:id="1"/>
      <w:r>
        <w:rPr>
          <w:rStyle w:val="1127"/>
          <w:rFonts w:ascii="Times New Roman" w:hAnsi="Times New Roman"/>
          <w:color w:val="000000"/>
          <w:sz w:val="28"/>
          <w:szCs w:val="28"/>
          <w:highlight w:val="none"/>
        </w:rPr>
        <w:t xml:space="preserve">审查</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1</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8</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"_Toc99301423"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第四章   评标程序、评标方法和评标标准</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lang w:val="en-US" w:eastAsia="zh-CN"/>
        </w:rPr>
        <w:t xml:space="preserve">1</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9</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"_Toc99301424"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第五章   采购</w:t>
      </w:r>
      <w:bookmarkStart w:id="2" w:name="_Hlt100754103"/>
      <w:r/>
      <w:bookmarkStart w:id="3" w:name="_Hlt100754102"/>
      <w:r>
        <w:rPr>
          <w:rStyle w:val="1127"/>
          <w:rFonts w:ascii="Times New Roman" w:hAnsi="Times New Roman"/>
          <w:color w:val="000000"/>
          <w:sz w:val="28"/>
          <w:szCs w:val="28"/>
          <w:highlight w:val="none"/>
        </w:rPr>
        <w:t xml:space="preserve">需</w:t>
      </w:r>
      <w:bookmarkEnd w:id="2"/>
      <w:r/>
      <w:bookmarkEnd w:id="3"/>
      <w:r>
        <w:rPr>
          <w:rStyle w:val="1127"/>
          <w:rFonts w:ascii="Times New Roman" w:hAnsi="Times New Roman"/>
          <w:color w:val="000000"/>
          <w:sz w:val="28"/>
          <w:szCs w:val="28"/>
          <w:highlight w:val="none"/>
        </w:rPr>
        <w:t xml:space="preserve">求</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2</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7</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"_Toc99301425"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第六章   拟签订的合同文本</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lang w:val="en-US" w:eastAsia="zh-CN"/>
        </w:rPr>
        <w:t xml:space="preserve">9</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3</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Fonts w:ascii="Times New Roman" w:hAnsi="Times New Roman" w:eastAsia="宋体"/>
          <w:b w:val="0"/>
          <w:color w:val="000000"/>
          <w:sz w:val="21"/>
          <w:szCs w:val="22"/>
          <w:highlight w:val="none"/>
          <w:lang w:val="en-US"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"_Toc99301426"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第七章   投标文件格式</w:t>
      </w:r>
      <w:r>
        <w:rPr>
          <w:rStyle w:val="1127"/>
          <w:rFonts w:ascii="Times New Roman" w:hAnsi="Times New Roman"/>
          <w:color w:val="000000"/>
          <w:sz w:val="28"/>
          <w:szCs w:val="28"/>
          <w:highlight w:val="none"/>
        </w:rPr>
        <w:tab/>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111</w:t>
      </w:r>
      <w:r>
        <w:rPr>
          <w:rFonts w:ascii="Times New Roman" w:hAnsi="Times New Roman" w:eastAsia="宋体"/>
          <w:b w:val="0"/>
          <w:color w:val="000000"/>
          <w:sz w:val="21"/>
          <w:szCs w:val="22"/>
          <w:highlight w:val="none"/>
          <w:lang w:val="en-US" w:eastAsia="zh-CN"/>
        </w:rPr>
      </w:r>
      <w:r/>
    </w:p>
    <w:p>
      <w:pPr>
        <w:pStyle w:val="1103"/>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48"/>
        <w:jc w:val="center"/>
        <w:spacing w:line="360" w:lineRule="auto"/>
        <w:rPr>
          <w:color w:val="000000"/>
          <w:sz w:val="32"/>
          <w:szCs w:val="32"/>
          <w:highlight w:val="none"/>
        </w:rPr>
        <w:outlineLvl w:val="0"/>
      </w:pPr>
      <w:r>
        <w:rPr>
          <w:color w:val="000000"/>
          <w:sz w:val="24"/>
          <w:highlight w:val="none"/>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5" w:name="_Toc28359079"/>
      <w:r/>
      <w:bookmarkStart w:id="6" w:name="_Toc35393790"/>
      <w:r/>
      <w:bookmarkStart w:id="7" w:name="_Toc35393621"/>
      <w:r/>
      <w:bookmarkStart w:id="8" w:name="_Toc28359002"/>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JSZC-320412056-CZYJ-G2026-0014</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经开区电子警察更新项目</w:t>
      </w:r>
      <w:r>
        <w:rPr>
          <w:rFonts w:hint="eastAsia" w:ascii="宋体" w:hAnsi="宋体" w:eastAsia="宋体" w:cs="宋体"/>
          <w:color w:val="000000"/>
          <w:szCs w:val="21"/>
          <w:highlight w:val="none"/>
          <w:lang w:eastAsia="zh-CN"/>
        </w:rPr>
      </w:r>
      <w:r/>
    </w:p>
    <w:p>
      <w:pPr>
        <w:pStyle w:val="1048"/>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1440万元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1440万元</w:t>
      </w:r>
      <w:r>
        <w:rPr>
          <w:rFonts w:hint="eastAsia" w:ascii="宋体" w:hAnsi="宋体" w:eastAsia="宋体" w:cs="宋体"/>
          <w:color w:val="000000"/>
          <w:sz w:val="21"/>
          <w:szCs w:val="21"/>
          <w:highlight w:val="none"/>
          <w:lang w:val="en-US" w:eastAsia="zh-CN"/>
        </w:rPr>
        <w:t xml:space="preserve">。</w:t>
      </w:r>
      <w:r>
        <w:rPr>
          <w:rFonts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经开区电子警察更新项目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72"/>
        <w:gridCol w:w="1717"/>
        <w:gridCol w:w="1007"/>
        <w:gridCol w:w="4316"/>
      </w:tblGrid>
      <w:tr>
        <w:trPr>
          <w:trHeight w:val="649"/>
        </w:trPr>
        <w:tc>
          <w:tcPr>
            <w:tcW w:w="379"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970"/>
        </w:trPr>
        <w:tc>
          <w:tcPr>
            <w:tcW w:w="379"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1572" w:type="dxa"/>
            <w:vAlign w:val="center"/>
            <w:textDirection w:val="lrTb"/>
            <w:noWrap w:val="false"/>
          </w:tcPr>
          <w:p>
            <w:pPr>
              <w:pStyle w:val="1048"/>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经开区电子警察更新项目</w:t>
            </w:r>
            <w:r>
              <w:rPr>
                <w:rFonts w:hint="eastAsia" w:ascii="宋体" w:hAnsi="宋体" w:eastAsia="宋体" w:cs="宋体"/>
                <w:bCs/>
                <w:color w:val="000000"/>
                <w:szCs w:val="21"/>
                <w:highlight w:val="none"/>
                <w:lang w:eastAsia="zh-CN"/>
              </w:rPr>
            </w:r>
            <w:r/>
          </w:p>
        </w:tc>
        <w:tc>
          <w:tcPr>
            <w:tcW w:w="1717" w:type="dxa"/>
            <w:vAlign w:val="center"/>
            <w:textDirection w:val="lrTb"/>
            <w:noWrap w:val="false"/>
          </w:tcPr>
          <w:p>
            <w:pPr>
              <w:pStyle w:val="1048"/>
              <w:jc w:val="center"/>
              <w:rPr>
                <w:rFonts w:ascii="宋体" w:hAnsi="宋体" w:eastAsia="宋体" w:cs="宋体"/>
                <w:bCs/>
                <w:color w:val="000000"/>
                <w:szCs w:val="21"/>
                <w:highlight w:val="none"/>
                <w:lang w:val="en-US" w:eastAsia="zh-CN"/>
              </w:rPr>
            </w:pPr>
            <w:r>
              <w:rPr>
                <w:rFonts w:ascii="宋体" w:hAnsi="宋体" w:eastAsia="宋体" w:cs="宋体"/>
                <w:b/>
                <w:bCs w:val="0"/>
                <w:color w:val="000000"/>
                <w:szCs w:val="21"/>
                <w:highlight w:val="none"/>
                <w:lang w:val="en-US" w:eastAsia="zh-CN"/>
              </w:rPr>
              <w:t xml:space="preserve">1440</w:t>
            </w:r>
            <w:r>
              <w:rPr>
                <w:rFonts w:ascii="宋体" w:hAnsi="宋体" w:eastAsia="宋体" w:cs="宋体"/>
                <w:bCs/>
                <w:color w:val="000000"/>
                <w:szCs w:val="21"/>
                <w:highlight w:val="none"/>
                <w:lang w:val="en-US" w:eastAsia="zh-CN"/>
              </w:rPr>
            </w:r>
            <w:r/>
          </w:p>
        </w:tc>
        <w:tc>
          <w:tcPr>
            <w:tcW w:w="1007" w:type="dxa"/>
            <w:vAlign w:val="center"/>
            <w:textDirection w:val="lrTb"/>
            <w:noWrap w:val="false"/>
          </w:tcPr>
          <w:p>
            <w:pPr>
              <w:pStyle w:val="1048"/>
              <w:jc w:val="center"/>
              <w:rPr>
                <w:rFonts w:ascii="宋体" w:hAnsi="宋体" w:cs="宋体"/>
                <w:bCs/>
                <w:color w:val="000000"/>
                <w:szCs w:val="21"/>
                <w:highlight w:val="none"/>
                <w:lang w:val="en-US"/>
              </w:rPr>
            </w:pPr>
            <w:r>
              <w:rPr>
                <w:rFonts w:hint="eastAsia" w:ascii="宋体" w:hAnsi="宋体" w:eastAsia="宋体" w:cs="宋体"/>
                <w:bCs/>
                <w:color w:val="000000"/>
                <w:sz w:val="21"/>
                <w:szCs w:val="21"/>
                <w:highlight w:val="none"/>
                <w:lang w:val="en-US" w:eastAsia="zh-CN"/>
              </w:rPr>
              <w:t xml:space="preserve">1项</w:t>
            </w:r>
            <w:r>
              <w:rPr>
                <w:rFonts w:ascii="宋体" w:hAnsi="宋体" w:cs="宋体"/>
                <w:bCs/>
                <w:color w:val="000000"/>
                <w:szCs w:val="21"/>
                <w:highlight w:val="none"/>
                <w:lang w:val="en-US"/>
              </w:rPr>
            </w:r>
            <w:r/>
          </w:p>
        </w:tc>
        <w:tc>
          <w:tcPr>
            <w:tcW w:w="4315" w:type="dxa"/>
            <w:vAlign w:val="center"/>
            <w:textDirection w:val="lrTb"/>
            <w:noWrap w:val="false"/>
          </w:tcPr>
          <w:p>
            <w:pPr>
              <w:pStyle w:val="1048"/>
              <w:jc w:val="left"/>
              <w:keepLines w:val="0"/>
              <w:keepNext w:val="0"/>
              <w:pageBreakBefore w:val="0"/>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本次项目主要包含更新前端电子警察108个路口、电子警察反向卡口4个路口、路口信号灯控制主机更换22个路口、后端信号灯控制平台升级、新建礼让行人10套、新建横林大道上林路电子警察、防控边界16个路口37个方向建设、朝阳路横林大道卡口迁移及更新1套、机房末端增加视频存储及图片存储各1台。具体详见采购需求。</w:t>
            </w:r>
            <w:r>
              <w:rPr>
                <w:rFonts w:hint="eastAsia" w:ascii="宋体" w:hAnsi="宋体" w:eastAsia="宋体" w:cs="宋体"/>
                <w:bCs/>
                <w:color w:val="000000"/>
                <w:szCs w:val="21"/>
                <w:highlight w:val="none"/>
                <w:lang w:eastAsia="zh-CN"/>
              </w:rPr>
            </w:r>
            <w:r/>
          </w:p>
        </w:tc>
      </w:tr>
    </w:tbl>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lang w:eastAsia="zh-CN"/>
        </w:rPr>
        <w:t xml:space="preserve">自合同签订之日起18个月内完成合同范围内所有设备的供货并安装调试完成。</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10" w:name="_Toc35393622"/>
      <w:r/>
      <w:bookmarkStart w:id="11" w:name="_Toc28359003"/>
      <w:r/>
      <w:bookmarkStart w:id="12" w:name="_Toc35393791"/>
      <w:r/>
      <w:bookmarkStart w:id="13" w:name="_Toc28359080"/>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w:t>
      </w:r>
      <w:r>
        <w:rPr>
          <w:rFonts w:hint="eastAsia" w:ascii="宋体" w:hAnsi="宋体" w:cs="宋体"/>
          <w:color w:val="000000"/>
          <w:szCs w:val="21"/>
          <w:highlight w:val="none"/>
        </w:rPr>
        <w:t xml:space="preserve">”网站（www.ccgp.gov.cn）列入失信被执行人、重大税收违法案件当事人名单、政府采购严重失信行为记录名单；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48"/>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3.1本项目是否接受分支机构参与投标：□是   ■否；</w:t>
      </w:r>
      <w:r>
        <w:rPr>
          <w:rFonts w:hint="eastAsia" w:ascii="宋体" w:hAnsi="宋体" w:cs="宋体"/>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104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4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1048"/>
        <w:ind w:firstLine="449"/>
        <w:jc w:val="left"/>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50"/>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792"/>
      <w:r/>
      <w:bookmarkStart w:id="17" w:name="_Toc35393623"/>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lang w:bidi="ar"/>
        </w:rPr>
        <w:t xml:space="preserve">至</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15</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2.地点：“苏采云”政府采购一体化平台</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1050"/>
        <w:jc w:val="left"/>
        <w:spacing w:before="0" w:line="360" w:lineRule="auto"/>
        <w:widowControl/>
        <w:rPr>
          <w:rFonts w:hint="eastAsia" w:ascii="宋体" w:hAnsi="宋体" w:eastAsia="宋体" w:cs="宋体"/>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bCs/>
          <w:color w:val="000000"/>
          <w:szCs w:val="21"/>
          <w:highlight w:val="none"/>
          <w:u w:val="single"/>
        </w:rPr>
      </w:pPr>
      <w:r/>
      <w:bookmarkStart w:id="22" w:name="_Toc35393794"/>
      <w:r/>
      <w:bookmarkStart w:id="23" w:name="_Toc28359007"/>
      <w:r/>
      <w:bookmarkStart w:id="24" w:name="_Toc28359084"/>
      <w:r/>
      <w:bookmarkStart w:id="25" w:name="_Toc35393625"/>
      <w:r>
        <w:rPr>
          <w:rFonts w:hint="eastAsia" w:ascii="宋体" w:hAnsi="宋体" w:cs="宋体"/>
          <w:color w:val="000000"/>
          <w:szCs w:val="21"/>
          <w:highlight w:val="none"/>
          <w:lang w:bidi="ar"/>
        </w:rPr>
        <w:t xml:space="preserve">投标截止时间、开标时间：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bidi="ar"/>
        </w:rPr>
        <w:t xml:space="preserve">30</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00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1050"/>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1050"/>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五、公告期限</w:t>
      </w:r>
      <w:bookmarkEnd w:id="22"/>
      <w:r/>
      <w:bookmarkEnd w:id="23"/>
      <w:r/>
      <w:bookmarkEnd w:id="24"/>
      <w:r/>
      <w:bookmarkEnd w:id="25"/>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26" w:name="_Toc35393626"/>
      <w:r/>
      <w:bookmarkStart w:id="27" w:name="_Toc35393795"/>
      <w:r>
        <w:rPr>
          <w:rFonts w:hint="eastAsia" w:ascii="宋体" w:hAnsi="宋体" w:eastAsia="宋体" w:cs="宋体"/>
          <w:color w:val="000000"/>
          <w:sz w:val="21"/>
          <w:szCs w:val="21"/>
          <w:highlight w:val="none"/>
        </w:rPr>
        <w:t xml:space="preserve">六、其他补充事宜</w:t>
      </w:r>
      <w:bookmarkEnd w:id="26"/>
      <w:r/>
      <w:bookmarkEnd w:id="27"/>
      <w:r>
        <w:rPr>
          <w:rFonts w:hint="eastAsia" w:ascii="宋体" w:hAnsi="宋体" w:eastAsia="宋体" w:cs="宋体"/>
          <w:color w:val="000000"/>
          <w:sz w:val="21"/>
          <w:szCs w:val="21"/>
          <w:highlight w:val="none"/>
        </w:rPr>
      </w:r>
      <w:r/>
    </w:p>
    <w:p>
      <w:pPr>
        <w:pStyle w:val="1048"/>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1.本项目需要落实的政府采购政策：</w:t>
      </w:r>
      <w:r>
        <w:rPr>
          <w:rFonts w:hint="eastAsia" w:ascii="宋体" w:hAnsi="宋体" w:cs="宋体"/>
          <w:color w:val="000000"/>
          <w:szCs w:val="21"/>
          <w:u w:val="single"/>
          <w:lang w:bidi="ar"/>
        </w:rPr>
        <w:t xml:space="preserve">/</w:t>
      </w:r>
      <w:r>
        <w:rPr>
          <w:rFonts w:hint="eastAsia" w:ascii="宋体" w:hAnsi="宋体" w:cs="宋体"/>
          <w:color w:val="000000"/>
          <w:szCs w:val="21"/>
          <w:lang w:bidi="ar"/>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1048"/>
        <w:ind w:firstLine="422"/>
        <w:spacing w:line="360" w:lineRule="auto"/>
        <w:rPr>
          <w:rFonts w:ascii="宋体" w:hAnsi="宋体" w:cs="宋体"/>
          <w:color w:val="000000"/>
          <w:szCs w:val="21"/>
        </w:rPr>
      </w:pPr>
      <w:r>
        <w:rPr>
          <w:rFonts w:hint="eastAsia" w:ascii="宋体" w:hAnsi="宋体" w:cs="宋体"/>
          <w:b/>
          <w:bCs/>
          <w:color w:val="000000"/>
          <w:szCs w:val="21"/>
        </w:rPr>
        <w:t xml:space="preserve">2.投标保证金：</w:t>
      </w:r>
      <w:r>
        <w:rPr>
          <w:rFonts w:hint="eastAsia" w:ascii="宋体" w:hAnsi="宋体" w:cs="宋体"/>
          <w:color w:val="000000"/>
          <w:szCs w:val="21"/>
        </w:rPr>
        <w:t xml:space="preserve">本项目不收取投标保证金。</w:t>
      </w:r>
      <w:r>
        <w:rPr>
          <w:rFonts w:ascii="宋体" w:hAnsi="宋体" w:cs="宋体"/>
          <w:color w:val="000000"/>
          <w:szCs w:val="21"/>
        </w:rPr>
      </w:r>
      <w:r/>
    </w:p>
    <w:p>
      <w:pPr>
        <w:pStyle w:val="1048"/>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lang w:bidi="ar"/>
        </w:rPr>
        <w:t xml:space="preserve">3.本项目采用不见面交易方式，请供应商认真学习常州市政府采购网发布的相关操作手册，办理CA认证证书、</w:t>
      </w:r>
      <w:r>
        <w:rPr>
          <w:rFonts w:hint="eastAsia" w:ascii="宋体" w:hAnsi="宋体" w:cs="宋体"/>
          <w:color w:val="000000"/>
          <w:szCs w:val="21"/>
          <w:highlight w:val="none"/>
          <w:lang w:bidi="ar"/>
        </w:rPr>
        <w:t xml:space="preserve">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3.3控件、客户端下载</w:t>
      </w:r>
      <w:r>
        <w:rPr>
          <w:rFonts w:hint="eastAsia" w:ascii="宋体" w:hAnsi="宋体" w:cs="宋体"/>
          <w:color w:val="000000"/>
          <w:szCs w:val="21"/>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获取电子招标文件</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3.5编制电子投标文件</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Cs w:val="21"/>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提交电子投标文件</w:t>
      </w:r>
      <w:r>
        <w:rPr>
          <w:rFonts w:hint="eastAsia" w:ascii="宋体" w:hAnsi="宋体" w:cs="宋体"/>
          <w:color w:val="000000"/>
          <w:szCs w:val="21"/>
          <w:highlight w:val="none"/>
          <w:lang w:val="zh-TW" w:bidi="ar"/>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48"/>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w:t>
      </w:r>
      <w:r>
        <w:rPr>
          <w:rFonts w:hint="eastAsia" w:ascii="宋体" w:hAnsi="宋体" w:cs="宋体"/>
          <w:color w:val="000000"/>
          <w:szCs w:val="21"/>
          <w:highlight w:val="none"/>
          <w:lang w:bidi="ar"/>
        </w:rPr>
        <w:t xml:space="preserve">CA认证证书</w:t>
      </w:r>
      <w:r>
        <w:rPr>
          <w:rFonts w:hint="eastAsia" w:ascii="宋体" w:hAnsi="宋体" w:cs="宋体"/>
          <w:color w:val="000000"/>
          <w:szCs w:val="21"/>
          <w:highlight w:val="none"/>
          <w:lang w:val="zh-TW" w:bidi="ar"/>
        </w:rPr>
        <w:t xml:space="preserve">登录</w:t>
      </w:r>
      <w:r>
        <w:rPr>
          <w:rFonts w:hint="eastAsia" w:ascii="宋体" w:hAnsi="宋体" w:cs="宋体"/>
          <w:color w:val="000000"/>
          <w:szCs w:val="21"/>
          <w:highlight w:val="none"/>
          <w:lang w:bidi="ar"/>
        </w:rPr>
        <w:t xml:space="preserve">“苏采云”政府采购一体化平台进行电子化不见面开标</w:t>
      </w:r>
      <w:r>
        <w:rPr>
          <w:rFonts w:hint="eastAsia" w:ascii="宋体" w:hAnsi="宋体" w:cs="宋体"/>
          <w:color w:val="000000"/>
          <w:szCs w:val="21"/>
          <w:highlight w:val="none"/>
          <w:lang w:val="zh-TW" w:bidi="ar"/>
        </w:rPr>
        <w:t xml:space="preserve">。</w:t>
      </w:r>
      <w:r>
        <w:rPr>
          <w:rFonts w:hint="eastAsia" w:ascii="宋体" w:hAnsi="宋体" w:cs="宋体"/>
          <w:color w:val="000000"/>
          <w:szCs w:val="21"/>
          <w:highlight w:val="none"/>
          <w:lang w:val="zh-TW" w:bidi="ar"/>
        </w:rPr>
      </w:r>
      <w:r/>
    </w:p>
    <w:p>
      <w:pPr>
        <w:pStyle w:val="1048"/>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48"/>
        <w:ind w:firstLine="420"/>
        <w:spacing w:line="360" w:lineRule="auto"/>
        <w:rPr>
          <w:rFonts w:hint="eastAsia" w:ascii="宋体" w:hAnsi="宋体" w:cs="宋体"/>
          <w:color w:val="000000"/>
          <w:szCs w:val="21"/>
          <w:highlight w:val="none"/>
          <w:lang w:eastAsia="zh-TW"/>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1048"/>
        <w:ind w:firstLine="422"/>
        <w:keepLines w:val="0"/>
        <w:keepNext w:val="0"/>
        <w:pageBreakBefore w:val="0"/>
        <w:spacing w:line="360" w:lineRule="auto"/>
        <w:rPr>
          <w:rFonts w:ascii="宋体" w:hAnsi="宋体" w:cs="宋体"/>
          <w:color w:val="000000"/>
          <w:szCs w:val="21"/>
        </w:rPr>
      </w:pPr>
      <w:r/>
      <w:bookmarkStart w:id="28" w:name="_Toc35393627"/>
      <w:r/>
      <w:bookmarkStart w:id="29" w:name="_Toc28359085"/>
      <w:r/>
      <w:bookmarkStart w:id="30" w:name="_Toc28359008"/>
      <w:r/>
      <w:bookmarkStart w:id="31" w:name="_Toc35393796"/>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投标人自行踏勘现场。</w:t>
      </w:r>
      <w:r>
        <w:rPr>
          <w:rFonts w:ascii="宋体" w:hAnsi="宋体" w:cs="宋体"/>
          <w:color w:val="000000"/>
          <w:szCs w:val="21"/>
        </w:rPr>
      </w:r>
      <w:r/>
    </w:p>
    <w:p>
      <w:pPr>
        <w:pStyle w:val="1048"/>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5.政府采购相关政策</w:t>
      </w:r>
      <w:r>
        <w:rPr>
          <w:rFonts w:hint="eastAsia" w:ascii="宋体" w:hAnsi="宋体" w:cs="宋体"/>
          <w:b/>
          <w:bCs/>
          <w:color w:val="000000"/>
          <w:szCs w:val="21"/>
        </w:rPr>
      </w:r>
      <w:r/>
    </w:p>
    <w:p>
      <w:pPr>
        <w:pStyle w:val="1048"/>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w:t>
      </w:r>
      <w:r>
        <w:rPr>
          <w:rFonts w:hint="eastAsia" w:ascii="宋体" w:hAnsi="宋体" w:eastAsia="宋体" w:cs="宋体"/>
          <w:color w:val="000000"/>
          <w:szCs w:val="21"/>
          <w:highlight w:val="none"/>
        </w:rPr>
        <w:t xml:space="preserve">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104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48"/>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48"/>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常州市公安局常州经济开发区分局</w:t>
      </w:r>
      <w:r>
        <w:rPr>
          <w:rFonts w:hint="eastAsia" w:ascii="宋体" w:hAnsi="宋体" w:eastAsia="宋体" w:cs="宋体"/>
          <w:color w:val="000000"/>
          <w:szCs w:val="21"/>
          <w:highlight w:val="none"/>
          <w:u w:val="single"/>
          <w:lang w:eastAsia="zh-CN"/>
        </w:rPr>
      </w:r>
      <w:r/>
    </w:p>
    <w:p>
      <w:pPr>
        <w:pStyle w:val="1048"/>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江苏省常州市东方东路97号</w:t>
      </w:r>
      <w:r>
        <w:rPr>
          <w:rFonts w:hint="eastAsia" w:ascii="宋体" w:hAnsi="宋体" w:eastAsia="宋体" w:cs="宋体"/>
          <w:color w:val="000000"/>
          <w:szCs w:val="21"/>
          <w:highlight w:val="none"/>
          <w:lang w:eastAsia="zh-CN"/>
        </w:rPr>
      </w:r>
      <w:r/>
    </w:p>
    <w:p>
      <w:pPr>
        <w:pStyle w:val="1048"/>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周警官，182 6117 8755</w:t>
      </w:r>
      <w:r>
        <w:rPr>
          <w:rFonts w:hint="eastAsia" w:ascii="宋体" w:hAnsi="宋体" w:eastAsia="宋体" w:cs="宋体"/>
          <w:color w:val="000000"/>
          <w:szCs w:val="21"/>
          <w:highlight w:val="none"/>
          <w:u w:val="single"/>
          <w:lang w:eastAsia="zh-CN"/>
        </w:rPr>
      </w:r>
      <w:r/>
    </w:p>
    <w:p>
      <w:pPr>
        <w:pStyle w:val="1048"/>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48"/>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48"/>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48"/>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48"/>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90"/>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90"/>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90"/>
        <w:ind w:firstLine="422"/>
        <w:spacing w:line="360" w:lineRule="auto"/>
        <w:rPr>
          <w:rFonts w:hAnsi="宋体" w:cs="宋体"/>
          <w:b/>
          <w:bCs/>
          <w:color w:val="000000"/>
          <w:szCs w:val="21"/>
          <w:highlight w:val="none"/>
          <w:u w:val="none"/>
        </w:rPr>
      </w:pPr>
      <w:r>
        <w:rPr>
          <w:rFonts w:hAnsi="宋体" w:cs="宋体"/>
          <w:b/>
          <w:bCs/>
          <w:color w:val="000000"/>
          <w:szCs w:val="21"/>
          <w:highlight w:val="none"/>
          <w:u w:val="none"/>
        </w:rPr>
      </w:r>
      <w:r/>
    </w:p>
    <w:p>
      <w:pPr>
        <w:pStyle w:val="1090"/>
        <w:ind w:firstLine="422"/>
        <w:spacing w:line="360" w:lineRule="auto"/>
        <w:rPr>
          <w:rFonts w:hAnsi="宋体" w:cs="宋体"/>
          <w:b/>
          <w:bCs/>
          <w:color w:val="000000"/>
          <w:szCs w:val="21"/>
          <w:highlight w:val="none"/>
          <w:u w:val="none"/>
        </w:rPr>
      </w:pPr>
      <w:r>
        <w:rPr>
          <w:rFonts w:hint="eastAsia" w:hAnsi="宋体" w:cs="宋体"/>
          <w:b/>
          <w:bCs/>
          <w:color w:val="000000"/>
          <w:szCs w:val="21"/>
          <w:highlight w:val="none"/>
          <w:u w:val="none"/>
        </w:rPr>
        <w:t xml:space="preserve">注：上述个人信息由于工作需要经机构/当事人同意对外公布。</w:t>
      </w:r>
      <w:r>
        <w:rPr>
          <w:rFonts w:hAnsi="宋体" w:cs="宋体"/>
          <w:b/>
          <w:bCs/>
          <w:color w:val="000000"/>
          <w:szCs w:val="21"/>
          <w:highlight w:val="none"/>
          <w:u w:val="none"/>
        </w:rPr>
      </w:r>
      <w:r/>
    </w:p>
    <w:p>
      <w:pPr>
        <w:pStyle w:val="1048"/>
        <w:ind w:firstLine="5880"/>
        <w:jc w:val="right"/>
        <w:spacing w:line="360" w:lineRule="auto"/>
        <w:rPr>
          <w:color w:val="000000"/>
          <w:sz w:val="24"/>
          <w:highlight w:val="none"/>
        </w:rPr>
      </w:pPr>
      <w:r>
        <w:rPr>
          <w:color w:val="000000"/>
          <w:sz w:val="24"/>
          <w:highlight w:val="none"/>
        </w:rPr>
      </w:r>
      <w:r/>
    </w:p>
    <w:p>
      <w:pPr>
        <w:pStyle w:val="1048"/>
        <w:jc w:val="center"/>
        <w:spacing w:line="360" w:lineRule="auto"/>
        <w:rPr>
          <w:b/>
          <w:color w:val="000000"/>
          <w:sz w:val="32"/>
          <w:szCs w:val="32"/>
        </w:rPr>
        <w:outlineLvl w:val="0"/>
      </w:pPr>
      <w:r>
        <w:rPr>
          <w:color w:val="000000"/>
          <w:sz w:val="24"/>
          <w:highlight w:val="none"/>
        </w:rPr>
        <w:br w:type="page" w:clear="all"/>
      </w:r>
      <w:bookmarkStart w:id="36" w:name="_Toc127161488"/>
      <w:r/>
      <w:bookmarkStart w:id="37" w:name="_Toc150774783"/>
      <w:r/>
      <w:bookmarkStart w:id="38" w:name="_Toc264969275"/>
      <w:r/>
      <w:bookmarkStart w:id="39" w:name="_Toc353873938"/>
      <w:r/>
      <w:bookmarkStart w:id="40" w:name="_Toc127151777"/>
      <w:r/>
      <w:bookmarkStart w:id="41" w:name="_Toc226965856"/>
      <w:r/>
      <w:bookmarkStart w:id="42" w:name="_Toc305158928"/>
      <w:r/>
      <w:bookmarkStart w:id="43" w:name="_Toc353825548"/>
      <w:r/>
      <w:bookmarkStart w:id="44" w:name="_Toc265228423"/>
      <w:r/>
      <w:bookmarkStart w:id="45" w:name="_Toc512937850"/>
      <w:r/>
      <w:bookmarkStart w:id="46" w:name="_Toc99301420"/>
      <w:r/>
      <w:bookmarkStart w:id="47" w:name="_Toc305158854"/>
      <w:r/>
      <w:bookmarkStart w:id="48" w:name="_Toc195842950"/>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1050"/>
        <w:spacing w:before="0" w:line="360" w:lineRule="auto"/>
        <w:tabs>
          <w:tab w:val="center" w:pos="4592" w:leader="none"/>
          <w:tab w:val="left" w:pos="7860" w:leader="none"/>
        </w:tabs>
        <w:rPr>
          <w:rFonts w:hint="eastAsia" w:ascii="宋体" w:hAnsi="宋体" w:eastAsia="宋体" w:cs="宋体"/>
          <w:color w:val="000000"/>
          <w:sz w:val="21"/>
          <w:szCs w:val="21"/>
        </w:rPr>
      </w:pPr>
      <w:r/>
      <w:bookmarkStart w:id="49" w:name="_Toc151193907"/>
      <w:r/>
      <w:bookmarkStart w:id="50" w:name="_Toc151193617"/>
      <w:r/>
      <w:bookmarkStart w:id="51" w:name="_Toc520356144"/>
      <w:r/>
      <w:bookmarkStart w:id="52" w:name="_Toc127151519"/>
      <w:r/>
      <w:bookmarkStart w:id="53" w:name="_Toc164229360"/>
      <w:r/>
      <w:bookmarkStart w:id="54" w:name="_Toc226337215"/>
      <w:r/>
      <w:bookmarkStart w:id="55" w:name="_Toc226965792"/>
      <w:r/>
      <w:bookmarkStart w:id="56" w:name="_Toc127151720"/>
      <w:r/>
      <w:bookmarkStart w:id="57" w:name="_Toc151193833"/>
      <w:r/>
      <w:bookmarkStart w:id="58" w:name="_Toc151193761"/>
      <w:r/>
      <w:bookmarkStart w:id="59" w:name="_Toc150774619"/>
      <w:r/>
      <w:bookmarkStart w:id="60" w:name="_Toc150509270"/>
      <w:r/>
      <w:bookmarkStart w:id="61" w:name="_Toc164608788"/>
      <w:r/>
      <w:bookmarkStart w:id="62" w:name="_Toc164608633"/>
      <w:r/>
      <w:bookmarkStart w:id="63" w:name="_Toc164229214"/>
      <w:r/>
      <w:bookmarkStart w:id="64" w:name="_Toc127161433"/>
      <w:r/>
      <w:bookmarkStart w:id="65" w:name="_Toc150480757"/>
      <w:r/>
      <w:bookmarkStart w:id="66" w:name="_Toc151193689"/>
      <w:r/>
      <w:bookmarkStart w:id="67" w:name="_Toc226965709"/>
      <w:r/>
      <w:bookmarkStart w:id="68" w:name="_Toc149720812"/>
      <w:r/>
      <w:bookmarkStart w:id="69" w:name="_Toc151190146"/>
      <w:r/>
      <w:bookmarkStart w:id="70" w:name="_Toc142311021"/>
      <w:r/>
      <w:bookmarkStart w:id="71" w:name="_Toc195842884"/>
      <w:r/>
      <w:bookmarkStart w:id="72" w:name="_Toc164351613"/>
      <w:r/>
      <w:bookmarkStart w:id="73" w:name="_Toc226309763"/>
      <w:r/>
      <w:bookmarkStart w:id="74" w:name="_Toc150774724"/>
      <w:r>
        <w:rPr>
          <w:rFonts w:ascii="Times New Roman" w:hAnsi="Times New Roman" w:eastAsia="宋体"/>
          <w:color w:val="000000"/>
          <w:sz w:val="28"/>
        </w:rPr>
        <w:t xml:space="preserve">投标人须知资料表</w:t>
      </w:r>
      <w:r>
        <w:rPr>
          <w:rFonts w:hint="eastAsia" w:ascii="宋体" w:hAnsi="宋体" w:eastAsia="宋体" w:cs="宋体"/>
          <w:color w:val="000000"/>
          <w:sz w:val="21"/>
          <w:szCs w:val="21"/>
        </w:rPr>
      </w:r>
      <w:r/>
    </w:p>
    <w:p>
      <w:pPr>
        <w:pStyle w:val="1048"/>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rPr>
          <w:rFonts w:hint="eastAsia" w:ascii="宋体" w:hAnsi="宋体" w:cs="宋体"/>
          <w:color w:val="000000"/>
          <w:szCs w:val="21"/>
        </w:rPr>
      </w:r>
      <w:r/>
    </w:p>
    <w:p>
      <w:pPr>
        <w:pStyle w:val="1048"/>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rPr>
          <w:rFonts w:hint="eastAsia" w:ascii="宋体" w:hAnsi="宋体" w:cs="宋体"/>
          <w:color w:val="000000"/>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540"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1003"/>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1090"/>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关于核心产品本项目</w:t>
            </w:r>
            <w:r>
              <w:rPr>
                <w:rFonts w:hint="eastAsia" w:hAnsi="宋体" w:cs="宋体"/>
                <w:color w:val="000000"/>
                <w:szCs w:val="21"/>
                <w:highlight w:val="none"/>
                <w:u w:val="single"/>
                <w:lang w:val="en-US" w:eastAsia="zh-CN"/>
              </w:rPr>
              <w:t xml:space="preserve">  </w:t>
            </w:r>
            <w:r>
              <w:rPr>
                <w:rFonts w:hAnsi="宋体" w:cs="宋体"/>
                <w:color w:val="000000"/>
                <w:szCs w:val="21"/>
                <w:highlight w:val="none"/>
              </w:rPr>
              <w:t xml:space="preserve">包不适用。</w:t>
            </w:r>
            <w:r>
              <w:rPr>
                <w:rFonts w:hAnsi="宋体" w:cs="宋体"/>
                <w:color w:val="000000"/>
                <w:szCs w:val="21"/>
                <w:highlight w:val="none"/>
              </w:rPr>
            </w:r>
            <w:r/>
          </w:p>
          <w:p>
            <w:pPr>
              <w:pStyle w:val="1090"/>
              <w:keepLines w:val="0"/>
              <w:keepNext w:val="0"/>
              <w:pageBreakBefore w:val="0"/>
              <w:spacing w:line="240" w:lineRule="auto"/>
              <w:widowControl w:val="off"/>
              <w:rPr>
                <w:rFonts w:hAnsi="宋体" w:cs="宋体"/>
                <w:color w:val="000000"/>
                <w:szCs w:val="21"/>
                <w:highlight w:val="none"/>
              </w:rPr>
            </w:pPr>
            <w:r>
              <w:rPr>
                <w:rFonts w:hint="eastAsia" w:hAnsi="宋体" w:cs="宋体"/>
                <w:color w:val="000000"/>
                <w:szCs w:val="21"/>
                <w:highlight w:val="none"/>
                <w:lang w:eastAsia="zh-CN"/>
              </w:rPr>
              <w:t xml:space="preserve">□</w:t>
            </w:r>
            <w:r>
              <w:rPr>
                <w:rFonts w:hAnsi="宋体" w:cs="宋体"/>
                <w:color w:val="000000"/>
                <w:szCs w:val="21"/>
                <w:highlight w:val="none"/>
              </w:rPr>
              <w:t xml:space="preserve">本项目</w:t>
            </w:r>
            <w:r>
              <w:rPr>
                <w:rFonts w:hint="eastAsia" w:hAnsi="宋体" w:cs="宋体"/>
                <w:color w:val="000000"/>
                <w:szCs w:val="21"/>
                <w:highlight w:val="none"/>
                <w:u w:val="single"/>
                <w:lang w:val="en-US" w:eastAsia="zh-CN"/>
              </w:rPr>
              <w:t xml:space="preserve"> / </w:t>
            </w:r>
            <w:r>
              <w:rPr>
                <w:rFonts w:hAnsi="宋体" w:cs="宋体"/>
                <w:color w:val="000000"/>
                <w:szCs w:val="21"/>
                <w:highlight w:val="none"/>
              </w:rPr>
              <w:t xml:space="preserve">包为单一产品采购项目。</w:t>
            </w:r>
            <w:r>
              <w:rPr>
                <w:rFonts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Ansi="宋体" w:cs="宋体"/>
                <w:color w:val="000000"/>
                <w:szCs w:val="21"/>
                <w:highlight w:val="none"/>
              </w:rPr>
              <w:t xml:space="preserve">■</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01</w:t>
            </w:r>
            <w:r>
              <w:rPr>
                <w:rFonts w:hint="eastAsia" w:ascii="宋体" w:hAnsi="宋体" w:cs="宋体"/>
                <w:color w:val="000000"/>
                <w:szCs w:val="21"/>
                <w:highlight w:val="none"/>
              </w:rPr>
              <w:t xml:space="preserve">包为非单一产品采购项目，核心产品为：</w:t>
            </w:r>
            <w:r>
              <w:rPr>
                <w:rFonts w:hint="eastAsia" w:ascii="宋体" w:hAnsi="宋体" w:cs="宋体"/>
                <w:b/>
                <w:bCs/>
                <w:color w:val="000000"/>
                <w:szCs w:val="21"/>
                <w:highlight w:val="none"/>
                <w:u w:val="single"/>
              </w:rPr>
              <w:t xml:space="preserve">900万环保高清电子警察抓拍单元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090"/>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1048"/>
              <w:ind w:firstLine="525"/>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48"/>
              <w:ind w:firstLine="525"/>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w:t>
            </w:r>
            <w:r>
              <w:rPr>
                <w:rFonts w:hint="eastAsia" w:ascii="宋体" w:hAnsi="宋体" w:cs="宋体"/>
                <w:b/>
                <w:bCs/>
                <w:color w:val="000000"/>
                <w:szCs w:val="21"/>
                <w:highlight w:val="none"/>
                <w:u w:val="single"/>
              </w:rPr>
              <w:t xml:space="preserve">工业</w:t>
            </w:r>
            <w:r>
              <w:rPr>
                <w:rFonts w:hint="eastAsia" w:ascii="宋体" w:hAnsi="宋体" w:cs="宋体"/>
                <w:b/>
                <w:bCs/>
                <w:color w:val="000000"/>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rPr>
            </w:r>
            <w:r/>
          </w:p>
        </w:tc>
      </w:tr>
    </w:tbl>
    <w:p>
      <w:pPr>
        <w:pStyle w:val="1048"/>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1507"/>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10</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16</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1295"/>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本次采购预算金额中包含代理服务费，由</w:t>
            </w:r>
            <w:r>
              <w:rPr>
                <w:rFonts w:hint="eastAsia" w:ascii="宋体" w:hAnsi="宋体" w:cs="宋体"/>
                <w:b/>
                <w:bCs/>
                <w:color w:val="000000"/>
                <w:szCs w:val="21"/>
                <w:highlight w:val="none"/>
                <w:u w:val="single"/>
                <w:lang w:val="en-US" w:eastAsia="zh-CN"/>
              </w:rPr>
              <w:t xml:space="preserve">中标人</w:t>
            </w:r>
            <w:r>
              <w:rPr>
                <w:rFonts w:hint="eastAsia" w:ascii="宋体" w:hAnsi="宋体" w:cs="宋体"/>
                <w:b/>
                <w:bCs/>
                <w:color w:val="000000"/>
                <w:szCs w:val="21"/>
                <w:highlight w:val="none"/>
                <w:u w:val="single"/>
              </w:rPr>
              <w:t xml:space="preserve">支付，</w:t>
            </w:r>
            <w:r>
              <w:rPr>
                <w:rFonts w:hint="eastAsia" w:ascii="宋体" w:hAnsi="宋体" w:cs="宋体"/>
                <w:b/>
                <w:bCs/>
                <w:color w:val="000000"/>
                <w:szCs w:val="21"/>
                <w:highlight w:val="none"/>
                <w:u w:val="single"/>
                <w:lang w:val="en-US" w:eastAsia="zh-CN"/>
              </w:rPr>
              <w:t xml:space="preserve">投标人投标</w:t>
            </w:r>
            <w:r>
              <w:rPr>
                <w:rFonts w:hint="eastAsia" w:ascii="宋体" w:hAnsi="宋体" w:cs="宋体"/>
                <w:b/>
                <w:bCs/>
                <w:color w:val="000000"/>
                <w:szCs w:val="21"/>
                <w:highlight w:val="none"/>
                <w:u w:val="single"/>
              </w:rPr>
              <w:t xml:space="preserve">报价应包含代理费。</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2</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以中标金额</w:t>
            </w:r>
            <w:r>
              <w:rPr>
                <w:rFonts w:hint="eastAsia" w:ascii="宋体" w:hAnsi="宋体" w:eastAsia="宋体" w:cs="宋体"/>
                <w:b/>
                <w:bCs/>
                <w:sz w:val="21"/>
                <w:szCs w:val="21"/>
                <w:highlight w:val="none"/>
                <w:u w:val="single"/>
              </w:rPr>
              <w:t xml:space="preserve">为基数</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收费比例按差额定率累进法计算</w:t>
            </w:r>
            <w:r>
              <w:rPr>
                <w:rFonts w:hint="eastAsia" w:ascii="宋体" w:hAnsi="宋体" w:eastAsia="宋体" w:cs="宋体"/>
                <w:b/>
                <w:bCs/>
                <w:sz w:val="21"/>
                <w:szCs w:val="21"/>
                <w:highlight w:val="none"/>
                <w:u w:val="single"/>
                <w:lang w:val="en-US" w:eastAsia="zh-CN"/>
              </w:rPr>
              <w:t xml:space="preserve">后收取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金额在100万元(含)以下的为</w:t>
            </w:r>
            <w:r>
              <w:rPr>
                <w:rFonts w:hint="eastAsia" w:ascii="宋体" w:hAnsi="宋体" w:eastAsia="宋体" w:cs="宋体"/>
                <w:b/>
                <w:bCs/>
                <w:sz w:val="21"/>
                <w:szCs w:val="21"/>
                <w:highlight w:val="none"/>
                <w:u w:val="single"/>
                <w:lang w:val="en-US" w:eastAsia="zh-CN"/>
              </w:rPr>
              <w:t xml:space="preserve">1.5</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金额在100万元（不含）至500万元（含）的为1.1%，</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万元（不含）至</w:t>
            </w:r>
            <w:r>
              <w:rPr>
                <w:rFonts w:hint="eastAsia" w:ascii="宋体" w:hAnsi="宋体" w:eastAsia="宋体" w:cs="宋体"/>
                <w:b/>
                <w:bCs/>
                <w:sz w:val="21"/>
                <w:szCs w:val="21"/>
                <w:highlight w:val="none"/>
                <w:u w:val="single"/>
                <w:lang w:val="en-US" w:eastAsia="zh-CN"/>
              </w:rPr>
              <w:t xml:space="preserve">10</w:t>
            </w:r>
            <w:r>
              <w:rPr>
                <w:rFonts w:hint="eastAsia" w:ascii="宋体" w:hAnsi="宋体" w:eastAsia="宋体" w:cs="宋体"/>
                <w:b/>
                <w:bCs/>
                <w:sz w:val="21"/>
                <w:szCs w:val="21"/>
                <w:highlight w:val="none"/>
                <w:u w:val="single"/>
              </w:rPr>
              <w:t xml:space="preserve">00万元（含）的为</w:t>
            </w:r>
            <w:r>
              <w:rPr>
                <w:rFonts w:hint="eastAsia" w:ascii="宋体" w:hAnsi="宋体" w:eastAsia="宋体" w:cs="宋体"/>
                <w:b/>
                <w:bCs/>
                <w:sz w:val="21"/>
                <w:szCs w:val="21"/>
                <w:highlight w:val="none"/>
                <w:u w:val="single"/>
                <w:lang w:val="en-US" w:eastAsia="zh-CN"/>
              </w:rPr>
              <w:t xml:space="preserve">0.8</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万元（不含）至</w:t>
            </w:r>
            <w:r>
              <w:rPr>
                <w:rFonts w:hint="eastAsia" w:ascii="宋体" w:hAnsi="宋体" w:eastAsia="宋体" w:cs="宋体"/>
                <w:b/>
                <w:bCs/>
                <w:sz w:val="21"/>
                <w:szCs w:val="21"/>
                <w:highlight w:val="none"/>
                <w:u w:val="single"/>
                <w:lang w:val="en-US" w:eastAsia="zh-CN"/>
              </w:rPr>
              <w:t xml:space="preserve">50</w:t>
            </w:r>
            <w:r>
              <w:rPr>
                <w:rFonts w:hint="eastAsia" w:ascii="宋体" w:hAnsi="宋体" w:eastAsia="宋体" w:cs="宋体"/>
                <w:b/>
                <w:bCs/>
                <w:sz w:val="21"/>
                <w:szCs w:val="21"/>
                <w:highlight w:val="none"/>
                <w:u w:val="single"/>
              </w:rPr>
              <w:t xml:space="preserve">00万元（含）的为</w:t>
            </w:r>
            <w:r>
              <w:rPr>
                <w:rFonts w:hint="eastAsia" w:ascii="宋体" w:hAnsi="宋体" w:eastAsia="宋体" w:cs="宋体"/>
                <w:b/>
                <w:bCs/>
                <w:sz w:val="21"/>
                <w:szCs w:val="21"/>
                <w:highlight w:val="none"/>
                <w:u w:val="single"/>
                <w:lang w:val="en-US" w:eastAsia="zh-CN"/>
              </w:rPr>
              <w:t xml:space="preserve">0.5</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3</w:t>
            </w:r>
            <w:r>
              <w:rPr>
                <w:rFonts w:hint="eastAsia" w:ascii="宋体" w:hAnsi="宋体" w:eastAsia="宋体" w:cs="宋体"/>
                <w:b/>
                <w:bCs/>
                <w:sz w:val="21"/>
                <w:szCs w:val="21"/>
                <w:highlight w:val="none"/>
                <w:u w:val="single"/>
                <w:lang w:eastAsia="zh-CN"/>
              </w:rPr>
              <w:t xml:space="preserve">）</w:t>
            </w:r>
            <w:r>
              <w:rPr>
                <w:rFonts w:hint="eastAsia" w:ascii="宋体" w:hAnsi="宋体" w:cs="宋体"/>
                <w:b/>
                <w:bCs/>
                <w:color w:val="000000"/>
                <w:szCs w:val="21"/>
                <w:highlight w:val="none"/>
                <w:u w:val="single"/>
              </w:rPr>
              <w:t xml:space="preserve">代理服务</w:t>
            </w:r>
            <w:r>
              <w:rPr>
                <w:rFonts w:hint="eastAsia" w:ascii="宋体" w:hAnsi="宋体" w:eastAsia="宋体" w:cs="宋体"/>
                <w:b/>
                <w:bCs/>
                <w:sz w:val="21"/>
                <w:szCs w:val="21"/>
                <w:highlight w:val="none"/>
                <w:u w:val="single"/>
              </w:rPr>
              <w:t xml:space="preserve">收费按上述计算方法不足人民币3000元的，按人民币3000元收取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1096"/>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中标</w:t>
            </w:r>
            <w:r>
              <w:rPr>
                <w:rFonts w:hint="eastAsia" w:ascii="宋体" w:hAnsi="宋体" w:cs="宋体"/>
                <w:b/>
                <w:bCs/>
                <w:color w:val="000000"/>
                <w:szCs w:val="21"/>
                <w:highlight w:val="none"/>
              </w:rPr>
              <w:t xml:space="preserve">人</w:t>
            </w:r>
            <w:r>
              <w:rPr>
                <w:rFonts w:hint="eastAsia" w:ascii="宋体" w:hAnsi="宋体" w:cs="宋体"/>
                <w:b/>
                <w:bCs/>
                <w:color w:val="000000"/>
                <w:szCs w:val="21"/>
                <w:highlight w:val="none"/>
              </w:rPr>
              <w:t xml:space="preserve">在签订合同前需递交与电子投标文件内容一致的纸质投标文件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正本1套、副本</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套</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在每一份纸质投标文件上要明确注明“正本” 或“副本”字样。</w:t>
            </w:r>
            <w:r>
              <w:rPr>
                <w:rFonts w:hint="eastAsia" w:ascii="宋体" w:hAnsi="宋体" w:cs="宋体"/>
                <w:b/>
                <w:bCs/>
                <w:color w:val="000000"/>
                <w:szCs w:val="21"/>
                <w:highlight w:val="non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内容</w:t>
            </w:r>
            <w:r>
              <w:rPr>
                <w:rFonts w:hint="eastAsia" w:ascii="宋体" w:hAnsi="宋体" w:cs="宋体"/>
                <w:b/>
                <w:bCs/>
                <w:color w:val="000000"/>
                <w:szCs w:val="21"/>
                <w:highlight w:val="none"/>
              </w:rPr>
              <w:t xml:space="preserve">需打印清晰，标注目录及页码</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，作为项目归档使用。</w:t>
            </w:r>
            <w:r>
              <w:rPr>
                <w:rFonts w:hint="eastAsia" w:ascii="宋体" w:hAnsi="宋体" w:cs="宋体"/>
                <w:b/>
                <w:bCs/>
                <w:color w:val="000000"/>
                <w:szCs w:val="21"/>
                <w:highlight w:val="none"/>
              </w:rPr>
            </w:r>
            <w:r/>
          </w:p>
        </w:tc>
      </w:tr>
    </w:tbl>
    <w:p>
      <w:pPr>
        <w:pStyle w:val="1048"/>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105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5" w:name="_Toc305158785"/>
      <w:r/>
      <w:bookmarkStart w:id="76" w:name="_Toc353873932"/>
      <w:r/>
      <w:bookmarkStart w:id="77" w:name="_Toc226965790"/>
      <w:r/>
      <w:bookmarkStart w:id="78" w:name="_Toc195842882"/>
      <w:r/>
      <w:bookmarkStart w:id="79" w:name="_Toc142311019"/>
      <w:r/>
      <w:bookmarkStart w:id="80" w:name="_Toc150774722"/>
      <w:r/>
      <w:bookmarkStart w:id="81" w:name="_Toc264969207"/>
      <w:r/>
      <w:bookmarkStart w:id="82" w:name="_Toc127151517"/>
      <w:r/>
      <w:bookmarkStart w:id="83" w:name="_Toc150480755"/>
      <w:r/>
      <w:bookmarkStart w:id="84" w:name="_Toc305158859"/>
      <w:r/>
      <w:bookmarkStart w:id="85" w:name="_Toc353825542"/>
      <w:r/>
      <w:bookmarkStart w:id="86" w:name="_Toc265228355"/>
      <w:r/>
      <w:bookmarkStart w:id="87" w:name="_Toc353873662"/>
      <w:r/>
      <w:bookmarkStart w:id="88" w:name="_Toc226337213"/>
      <w:r>
        <w:rPr>
          <w:rFonts w:ascii="Times New Roman" w:hAnsi="Times New Roman" w:eastAsia="宋体"/>
          <w:color w:val="000000"/>
          <w:sz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000000"/>
          <w:sz w:val="28"/>
          <w:highlight w:val="none"/>
        </w:rPr>
      </w:r>
      <w:r/>
    </w:p>
    <w:p>
      <w:pPr>
        <w:pStyle w:val="105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127151518"/>
      <w:r/>
      <w:bookmarkStart w:id="90" w:name="_Toc520356143"/>
      <w:r>
        <w:rPr>
          <w:rFonts w:ascii="Times New Roman" w:hAnsi="Times New Roman" w:eastAsia="宋体"/>
          <w:color w:val="000000"/>
          <w:sz w:val="28"/>
          <w:highlight w:val="none"/>
        </w:rPr>
        <w:tab/>
      </w:r>
      <w:bookmarkStart w:id="91" w:name="_Toc151193760"/>
      <w:r/>
      <w:bookmarkStart w:id="92" w:name="_Toc150774618"/>
      <w:r/>
      <w:bookmarkStart w:id="93" w:name="_Toc226965791"/>
      <w:r/>
      <w:bookmarkStart w:id="94" w:name="_Toc226309762"/>
      <w:r/>
      <w:bookmarkStart w:id="95" w:name="_Toc151193832"/>
      <w:r/>
      <w:bookmarkStart w:id="96" w:name="_Toc151193616"/>
      <w:r/>
      <w:bookmarkStart w:id="97" w:name="_Toc226965708"/>
      <w:r/>
      <w:bookmarkStart w:id="98" w:name="_Toc264969208"/>
      <w:r/>
      <w:bookmarkStart w:id="99" w:name="_Toc195842883"/>
      <w:r/>
      <w:bookmarkStart w:id="100" w:name="_Toc150509269"/>
      <w:r/>
      <w:bookmarkStart w:id="101" w:name="_Toc151193906"/>
      <w:r/>
      <w:bookmarkStart w:id="102" w:name="_Toc142311020"/>
      <w:r/>
      <w:bookmarkStart w:id="103" w:name="_Toc305158860"/>
      <w:r/>
      <w:bookmarkStart w:id="104" w:name="_Toc151190145"/>
      <w:r/>
      <w:bookmarkStart w:id="105" w:name="_Toc151193688"/>
      <w:r/>
      <w:bookmarkStart w:id="106" w:name="_Toc150774723"/>
      <w:r/>
      <w:bookmarkStart w:id="107" w:name="_Toc305158786"/>
      <w:r/>
      <w:bookmarkStart w:id="108" w:name="_Toc150480756"/>
      <w:r/>
      <w:bookmarkStart w:id="109" w:name="_Toc265228356"/>
      <w:r/>
      <w:bookmarkStart w:id="110" w:name="_Toc226337214"/>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111" w:name="_Toc264969209"/>
      <w:r/>
      <w:bookmarkStart w:id="112" w:name="_Toc305158861"/>
      <w:r/>
      <w:bookmarkStart w:id="113" w:name="_Toc305158787"/>
      <w:r/>
      <w:bookmarkStart w:id="114" w:name="_Toc265228357"/>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rPr>
        <w:outlineLvl w:val="1"/>
      </w:pPr>
      <w:r/>
      <w:bookmarkStart w:id="115" w:name="_Toc142311022"/>
      <w:r/>
      <w:bookmarkStart w:id="116" w:name="_Toc226337216"/>
      <w:r/>
      <w:bookmarkStart w:id="117" w:name="_Toc195842885"/>
      <w:r/>
      <w:bookmarkStart w:id="118" w:name="_Toc127151721"/>
      <w:r/>
      <w:bookmarkStart w:id="119" w:name="_Toc150774620"/>
      <w:r/>
      <w:bookmarkStart w:id="120" w:name="_Toc151190147"/>
      <w:r/>
      <w:bookmarkStart w:id="121" w:name="_Toc164351614"/>
      <w:r/>
      <w:bookmarkStart w:id="122" w:name="_Toc150774725"/>
      <w:r/>
      <w:bookmarkStart w:id="123" w:name="_Toc127151520"/>
      <w:r/>
      <w:bookmarkStart w:id="124" w:name="_Toc226965793"/>
      <w:r/>
      <w:bookmarkStart w:id="125" w:name="_Toc151193908"/>
      <w:r/>
      <w:bookmarkStart w:id="126" w:name="_Toc127161434"/>
      <w:r/>
      <w:bookmarkStart w:id="127" w:name="_Toc305158862"/>
      <w:r/>
      <w:bookmarkStart w:id="128" w:name="_Toc164229361"/>
      <w:r/>
      <w:bookmarkStart w:id="129" w:name="_Toc150509271"/>
      <w:r/>
      <w:bookmarkStart w:id="130" w:name="_Toc226309764"/>
      <w:r/>
      <w:bookmarkStart w:id="131" w:name="_Toc164608789"/>
      <w:r/>
      <w:bookmarkStart w:id="132" w:name="_Toc226965710"/>
      <w:r/>
      <w:bookmarkStart w:id="133" w:name="_Toc305158788"/>
      <w:r/>
      <w:bookmarkStart w:id="134" w:name="_Toc151193834"/>
      <w:r/>
      <w:bookmarkStart w:id="135" w:name="_Toc264969210"/>
      <w:r/>
      <w:bookmarkStart w:id="136" w:name="_Toc150480758"/>
      <w:r/>
      <w:bookmarkStart w:id="137" w:name="_Toc151193690"/>
      <w:r/>
      <w:bookmarkStart w:id="138" w:name="_Toc151193762"/>
      <w:r/>
      <w:bookmarkStart w:id="139" w:name="_Toc149720813"/>
      <w:r/>
      <w:bookmarkStart w:id="140" w:name="_Toc265228358"/>
      <w:r/>
      <w:bookmarkStart w:id="141" w:name="_Toc151193618"/>
      <w:r/>
      <w:bookmarkStart w:id="142" w:name="_Toc164608634"/>
      <w:r/>
      <w:bookmarkStart w:id="143" w:name="_Toc164229215"/>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2.2项目属性见《投标人须知资料表》。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2.3是否属于科研仪器设备采购见《投标人须知资料表》。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rPr>
      </w:pPr>
      <w:r>
        <w:rPr>
          <w:rFonts w:hint="eastAsia" w:ascii="宋体" w:hAnsi="宋体" w:cs="宋体"/>
          <w:color w:val="000000"/>
          <w:szCs w:val="21"/>
        </w:rPr>
        <w:t xml:space="preserve">2.4核心产品见《投标人须知资料表》。</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3.现场考察、开标前答疑会</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226309766"/>
      <w:r/>
      <w:bookmarkStart w:id="145" w:name="_Toc151193910"/>
      <w:r/>
      <w:bookmarkStart w:id="146" w:name="_Toc127151522"/>
      <w:r/>
      <w:bookmarkStart w:id="147" w:name="_Toc151193764"/>
      <w:r/>
      <w:bookmarkStart w:id="148" w:name="_Toc265228360"/>
      <w:r/>
      <w:bookmarkStart w:id="149" w:name="_Toc150774622"/>
      <w:r/>
      <w:bookmarkStart w:id="150" w:name="_Toc150509273"/>
      <w:r/>
      <w:bookmarkStart w:id="151" w:name="_Toc226965712"/>
      <w:r/>
      <w:bookmarkStart w:id="152" w:name="_Toc150774727"/>
      <w:r/>
      <w:bookmarkStart w:id="153" w:name="_Toc226965795"/>
      <w:r/>
      <w:bookmarkStart w:id="154" w:name="_Toc195842887"/>
      <w:r/>
      <w:bookmarkStart w:id="155" w:name="_Toc151193836"/>
      <w:r/>
      <w:bookmarkStart w:id="156" w:name="_Toc151193692"/>
      <w:r/>
      <w:bookmarkStart w:id="157" w:name="_Toc264969212"/>
      <w:r/>
      <w:bookmarkStart w:id="158" w:name="_Toc305158864"/>
      <w:r/>
      <w:bookmarkStart w:id="159" w:name="_Toc151190149"/>
      <w:r/>
      <w:bookmarkStart w:id="160" w:name="_Toc142311024"/>
      <w:r/>
      <w:bookmarkStart w:id="161" w:name="_Toc151193620"/>
      <w:r/>
      <w:bookmarkStart w:id="162" w:name="_Toc226337218"/>
      <w:r/>
      <w:bookmarkStart w:id="163" w:name="_Toc520356146"/>
      <w:r/>
      <w:bookmarkStart w:id="164" w:name="_Toc150480760"/>
      <w:r/>
      <w:bookmarkStart w:id="165" w:name="_Toc305158790"/>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4.样品</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rPr>
          <w:rFonts w:hint="eastAsia" w:ascii="宋体" w:hAnsi="宋体" w:cs="宋体"/>
          <w:color w:val="000000"/>
          <w:szCs w:val="21"/>
        </w:rPr>
      </w:r>
      <w:r/>
    </w:p>
    <w:p>
      <w:pPr>
        <w:pStyle w:val="1048"/>
        <w:spacing w:line="360" w:lineRule="auto"/>
        <w:tabs>
          <w:tab w:val="left" w:pos="360" w:leader="none"/>
        </w:tabs>
        <w:rPr>
          <w:rFonts w:hint="eastAsia"/>
          <w:color w:val="000000"/>
        </w:rPr>
        <w:outlineLvl w:val="1"/>
      </w:pPr>
      <w:r>
        <w:rPr>
          <w:rFonts w:hint="eastAsia" w:ascii="宋体" w:hAnsi="宋体" w:cs="宋体"/>
          <w:b/>
          <w:bCs/>
          <w:color w:val="000000"/>
          <w:szCs w:val="21"/>
        </w:rPr>
        <w:t xml:space="preserve">5.政府采购政策（包括但不限于下列具体政策要求）</w:t>
      </w:r>
      <w:r>
        <w:rPr>
          <w:rFonts w:hint="eastAsia"/>
          <w:color w:val="000000"/>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5.1进口产品</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5.2中小企业、监狱企业及残疾人福利性单位</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5.2.1中小企业定义：</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5.3政府采购节能产品、环境标志产品</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5.3.5依据《关于印发〈商品包装政府采购需求标准（试行）〉、〈快递包装政府采购需求标准（</w:t>
      </w:r>
      <w:r>
        <w:rPr>
          <w:rFonts w:hint="eastAsia" w:ascii="宋体" w:hAnsi="宋体" w:cs="宋体"/>
          <w:color w:val="000000"/>
          <w:szCs w:val="21"/>
          <w:highlight w:val="none"/>
        </w:rPr>
        <w:t xml:space="preserve">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5.4支持乡村产业振兴管理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5.5正版软件</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5.6政府采购创新产品政策</w:t>
      </w:r>
      <w:r>
        <w:rPr>
          <w:rFonts w:hint="eastAsia" w:ascii="宋体" w:hAnsi="宋体" w:eastAsia="宋体" w:cs="宋体"/>
          <w:color w:val="000000"/>
          <w:szCs w:val="21"/>
          <w:highlight w:val="none"/>
        </w:rPr>
      </w:r>
      <w:r/>
    </w:p>
    <w:p>
      <w:pPr>
        <w:pStyle w:val="1048"/>
        <w:ind w:firstLine="420"/>
        <w:spacing w:line="360" w:lineRule="auto"/>
        <w:rPr>
          <w:rFonts w:hint="eastAsia"/>
          <w:color w:val="000000"/>
          <w:sz w:val="24"/>
          <w:highlight w:val="none"/>
        </w:rPr>
      </w:pPr>
      <w:r>
        <w:rPr>
          <w:rFonts w:hint="eastAsia" w:ascii="宋体" w:hAnsi="宋体" w:eastAsia="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5.7绿色采购政策</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5.7.1绿色数据中心政策 </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依据《绿色数据中心政府采购需求标准（试行）》（财办库〔2023〕7 号）文件精神，采购</w:t>
      </w:r>
      <w:r>
        <w:rPr>
          <w:rFonts w:hint="eastAsia" w:ascii="宋体" w:hAnsi="宋体" w:eastAsia="宋体" w:cs="宋体"/>
          <w:color w:val="000000"/>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5.7.2推广应用绿色建材</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Cs w:val="21"/>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5.7.3优先使用低挥发性有机化合物产品</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Cs w:val="21"/>
          <w:highlight w:val="none"/>
        </w:rPr>
      </w:r>
      <w:r/>
    </w:p>
    <w:p>
      <w:pPr>
        <w:pStyle w:val="1048"/>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1048"/>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6.投标费用</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color w:val="000000"/>
          <w:sz w:val="28"/>
          <w:highlight w:val="none"/>
        </w:rPr>
      </w:pPr>
      <w:r>
        <w:rPr>
          <w:rFonts w:hint="eastAsia" w:ascii="宋体" w:hAnsi="宋体" w:cs="宋体"/>
          <w:color w:val="000000"/>
          <w:szCs w:val="21"/>
          <w:highlight w:val="none"/>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167" w:name="_Toc151193911"/>
      <w:r/>
      <w:bookmarkStart w:id="168" w:name="_Toc151190150"/>
      <w:r/>
      <w:bookmarkStart w:id="169" w:name="_Toc127151724"/>
      <w:r/>
      <w:bookmarkStart w:id="170" w:name="_Toc164351617"/>
      <w:r/>
      <w:bookmarkStart w:id="171" w:name="_Toc265228361"/>
      <w:r/>
      <w:bookmarkStart w:id="172" w:name="_Toc226965713"/>
      <w:r/>
      <w:bookmarkStart w:id="173" w:name="_Toc127161437"/>
      <w:r/>
      <w:bookmarkStart w:id="174" w:name="_Toc226309767"/>
      <w:r/>
      <w:bookmarkStart w:id="175" w:name="_Toc151193693"/>
      <w:r/>
      <w:bookmarkStart w:id="176" w:name="_Toc164229218"/>
      <w:r/>
      <w:bookmarkStart w:id="177" w:name="_Toc305158791"/>
      <w:r/>
      <w:bookmarkStart w:id="178" w:name="_Toc149720816"/>
      <w:r/>
      <w:bookmarkStart w:id="179" w:name="_Toc264969213"/>
      <w:r/>
      <w:bookmarkStart w:id="180" w:name="_Toc151193837"/>
      <w:r/>
      <w:bookmarkStart w:id="181" w:name="_Toc305158865"/>
      <w:r/>
      <w:bookmarkStart w:id="182" w:name="_Toc226337219"/>
      <w:r/>
      <w:bookmarkStart w:id="183" w:name="_Toc150774623"/>
      <w:r/>
      <w:bookmarkStart w:id="184" w:name="_Toc150509274"/>
      <w:r/>
      <w:bookmarkStart w:id="185" w:name="_Toc164608792"/>
      <w:r/>
      <w:bookmarkStart w:id="186" w:name="_Toc520356147"/>
      <w:r/>
      <w:bookmarkStart w:id="187" w:name="_Toc195842888"/>
      <w:r/>
      <w:bookmarkStart w:id="188" w:name="_Toc150480761"/>
      <w:r/>
      <w:bookmarkStart w:id="189" w:name="_Toc164229364"/>
      <w:r/>
      <w:bookmarkStart w:id="190" w:name="_Toc150774728"/>
      <w:r/>
      <w:bookmarkStart w:id="191" w:name="_Toc151193621"/>
      <w:r/>
      <w:bookmarkStart w:id="192" w:name="_Toc142311025"/>
      <w:r/>
      <w:bookmarkStart w:id="193" w:name="_Toc226965796"/>
      <w:r/>
      <w:bookmarkStart w:id="194" w:name="_Toc127151523"/>
      <w:r/>
      <w:bookmarkStart w:id="195" w:name="_Toc164608637"/>
      <w:r/>
      <w:bookmarkStart w:id="196" w:name="_Toc151193765"/>
      <w:r>
        <w:rPr>
          <w:rFonts w:hint="eastAsia" w:ascii="宋体" w:hAnsi="宋体" w:cs="宋体"/>
          <w:b/>
          <w:bCs/>
          <w:color w:val="000000"/>
          <w:szCs w:val="21"/>
          <w:highlight w:val="none"/>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highlight w:val="none"/>
        </w:rPr>
        <w:t xml:space="preserve">成</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7.1招标文件包括以下部分：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投标邀请</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资格审查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评标程序、评标方法和评标标准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采购需求</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拟签订的合同文本</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第七章 投标文件格式</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8.对招标文件的澄清或修改</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1561"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highlight w:val="none"/>
        </w:rPr>
      </w:r>
      <w:r/>
    </w:p>
    <w:p>
      <w:pPr>
        <w:pStyle w:val="1048"/>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cs="宋体"/>
          <w:color w:val="000000"/>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305158794"/>
      <w:r/>
      <w:bookmarkStart w:id="198" w:name="_Toc151193624"/>
      <w:r/>
      <w:bookmarkStart w:id="199" w:name="_Toc150774731"/>
      <w:r/>
      <w:bookmarkStart w:id="200" w:name="_Toc127151526"/>
      <w:r/>
      <w:bookmarkStart w:id="201" w:name="_Toc150480764"/>
      <w:r/>
      <w:bookmarkStart w:id="202" w:name="_Toc264969216"/>
      <w:r/>
      <w:bookmarkStart w:id="203" w:name="_Toc265228364"/>
      <w:r/>
      <w:bookmarkStart w:id="204" w:name="_Toc516367020"/>
      <w:r/>
      <w:bookmarkStart w:id="205" w:name="_Toc151193696"/>
      <w:r/>
      <w:bookmarkStart w:id="206" w:name="_Toc226337222"/>
      <w:r/>
      <w:bookmarkStart w:id="207" w:name="_Toc520356150"/>
      <w:r/>
      <w:bookmarkStart w:id="208" w:name="_Toc226965716"/>
      <w:r/>
      <w:bookmarkStart w:id="209" w:name="_Toc151190153"/>
      <w:r/>
      <w:bookmarkStart w:id="210" w:name="_Toc226309770"/>
      <w:r/>
      <w:bookmarkStart w:id="211" w:name="_Toc151193840"/>
      <w:r/>
      <w:bookmarkStart w:id="212" w:name="_Toc226965799"/>
      <w:r/>
      <w:bookmarkStart w:id="213" w:name="_Toc150774626"/>
      <w:r/>
      <w:bookmarkStart w:id="214" w:name="_Toc142311028"/>
      <w:r/>
      <w:bookmarkStart w:id="215" w:name="_Toc305158868"/>
      <w:r/>
      <w:bookmarkStart w:id="216" w:name="_Toc195842891"/>
      <w:r/>
      <w:bookmarkStart w:id="217" w:name="_Toc151193768"/>
      <w:r/>
      <w:bookmarkStart w:id="218" w:name="_Toc150509277"/>
      <w:r/>
      <w:bookmarkStart w:id="219" w:name="_Toc151193914"/>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20" w:name="_Toc151193915"/>
      <w:r/>
      <w:bookmarkStart w:id="221" w:name="_Toc265228365"/>
      <w:r/>
      <w:bookmarkStart w:id="222" w:name="_Toc151193697"/>
      <w:r/>
      <w:bookmarkStart w:id="223" w:name="_Toc151193769"/>
      <w:r/>
      <w:bookmarkStart w:id="224" w:name="_Toc150774627"/>
      <w:r/>
      <w:bookmarkStart w:id="225" w:name="_Toc127161441"/>
      <w:r/>
      <w:bookmarkStart w:id="226" w:name="_Toc142311029"/>
      <w:r/>
      <w:bookmarkStart w:id="227" w:name="_Toc150774732"/>
      <w:r/>
      <w:bookmarkStart w:id="228" w:name="_Toc164229222"/>
      <w:r/>
      <w:bookmarkStart w:id="229" w:name="_Toc127151728"/>
      <w:r/>
      <w:bookmarkStart w:id="230" w:name="_Toc151190154"/>
      <w:r/>
      <w:bookmarkStart w:id="231" w:name="_Toc226965800"/>
      <w:r/>
      <w:bookmarkStart w:id="232" w:name="_Toc520356151"/>
      <w:r/>
      <w:bookmarkStart w:id="233" w:name="_Toc164229368"/>
      <w:r/>
      <w:bookmarkStart w:id="234" w:name="_Toc164608796"/>
      <w:r/>
      <w:bookmarkStart w:id="235" w:name="_Toc264969217"/>
      <w:r/>
      <w:bookmarkStart w:id="236" w:name="_Toc151193625"/>
      <w:r/>
      <w:bookmarkStart w:id="237" w:name="_Toc150509278"/>
      <w:r/>
      <w:bookmarkStart w:id="238" w:name="_Toc151193841"/>
      <w:r/>
      <w:bookmarkStart w:id="239" w:name="_Toc516367021"/>
      <w:r/>
      <w:bookmarkStart w:id="240" w:name="_Toc226309771"/>
      <w:r/>
      <w:bookmarkStart w:id="241" w:name="_Toc164351621"/>
      <w:r/>
      <w:bookmarkStart w:id="242" w:name="_Toc305158795"/>
      <w:r/>
      <w:bookmarkStart w:id="243" w:name="_Toc305158869"/>
      <w:r/>
      <w:bookmarkStart w:id="244" w:name="_Toc164608641"/>
      <w:r/>
      <w:bookmarkStart w:id="245" w:name="_Toc149720820"/>
      <w:r/>
      <w:bookmarkStart w:id="246" w:name="_Toc127151527"/>
      <w:r/>
      <w:bookmarkStart w:id="247" w:name="_Toc226965717"/>
      <w:r/>
      <w:bookmarkStart w:id="248" w:name="_Toc150480765"/>
      <w:r/>
      <w:bookmarkStart w:id="249" w:name="_Toc226337223"/>
      <w:r/>
      <w:bookmarkStart w:id="250" w:name="_Toc195842892"/>
      <w:r>
        <w:rPr>
          <w:rFonts w:hint="eastAsia" w:ascii="宋体" w:hAnsi="宋体" w:cs="宋体"/>
          <w:b/>
          <w:bCs/>
          <w:color w:val="000000"/>
          <w:szCs w:val="21"/>
          <w:highlight w:val="none"/>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highlight w:val="none"/>
        </w:rPr>
        <w:t xml:space="preserve">及投标语言</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highlight w:val="none"/>
        </w:rPr>
        <w:t xml:space="preserve">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9.2除招标文件有特殊要求外，本项目投标所使用的计量单位，应采用中华人民共和国法定计量单位。</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51" w:name="_Toc149720821"/>
      <w:r/>
      <w:bookmarkStart w:id="252" w:name="_Toc151193916"/>
      <w:r/>
      <w:bookmarkStart w:id="253" w:name="_Toc127151528"/>
      <w:r/>
      <w:bookmarkStart w:id="254" w:name="_Toc305158870"/>
      <w:r/>
      <w:bookmarkStart w:id="255" w:name="_Toc127151729"/>
      <w:r/>
      <w:bookmarkStart w:id="256" w:name="_Toc164608797"/>
      <w:r/>
      <w:bookmarkStart w:id="257" w:name="_Toc164229369"/>
      <w:r/>
      <w:bookmarkStart w:id="258" w:name="_Toc305158796"/>
      <w:r/>
      <w:bookmarkStart w:id="259" w:name="_Toc150774733"/>
      <w:r/>
      <w:bookmarkStart w:id="260" w:name="_Toc151193698"/>
      <w:r/>
      <w:bookmarkStart w:id="261" w:name="_Toc151190155"/>
      <w:r/>
      <w:bookmarkStart w:id="262" w:name="_Toc150509279"/>
      <w:r/>
      <w:bookmarkStart w:id="263" w:name="_Toc264969218"/>
      <w:r/>
      <w:bookmarkStart w:id="264" w:name="_Ref467306195"/>
      <w:r/>
      <w:bookmarkStart w:id="265" w:name="_Toc516367022"/>
      <w:r/>
      <w:bookmarkStart w:id="266" w:name="_Toc151193842"/>
      <w:r/>
      <w:bookmarkStart w:id="267" w:name="_Ref467306676"/>
      <w:r/>
      <w:bookmarkStart w:id="268" w:name="_Toc164229223"/>
      <w:r/>
      <w:bookmarkStart w:id="269" w:name="_Toc226965801"/>
      <w:r/>
      <w:bookmarkStart w:id="270" w:name="_Toc150774628"/>
      <w:r/>
      <w:bookmarkStart w:id="271" w:name="_Toc151193770"/>
      <w:r/>
      <w:bookmarkStart w:id="272" w:name="_Toc226965718"/>
      <w:r/>
      <w:bookmarkStart w:id="273" w:name="_Toc151193626"/>
      <w:r/>
      <w:bookmarkStart w:id="274" w:name="_Toc142311030"/>
      <w:r/>
      <w:bookmarkStart w:id="275" w:name="_Toc150480766"/>
      <w:r/>
      <w:bookmarkStart w:id="276" w:name="_Toc164608642"/>
      <w:r/>
      <w:bookmarkStart w:id="277" w:name="_Toc226309772"/>
      <w:r/>
      <w:bookmarkStart w:id="278" w:name="_Toc265228366"/>
      <w:r/>
      <w:bookmarkStart w:id="279" w:name="_Toc195842893"/>
      <w:r/>
      <w:bookmarkStart w:id="280" w:name="_Toc520356152"/>
      <w:r/>
      <w:bookmarkStart w:id="281" w:name="_Toc164351622"/>
      <w:r/>
      <w:bookmarkStart w:id="282" w:name="_Toc127161442"/>
      <w:r/>
      <w:bookmarkStart w:id="283" w:name="_Toc226337224"/>
      <w:r>
        <w:rPr>
          <w:rFonts w:hint="eastAsia" w:ascii="宋体" w:hAnsi="宋体" w:cs="宋体"/>
          <w:b/>
          <w:bCs/>
          <w:color w:val="000000"/>
          <w:szCs w:val="21"/>
          <w:highlight w:val="none"/>
        </w:rPr>
        <w:t xml:space="preserve">10.投标文件</w:t>
      </w:r>
      <w:bookmarkEnd w:id="264"/>
      <w:r/>
      <w:bookmarkEnd w:id="265"/>
      <w:r/>
      <w:bookmarkEnd w:id="267"/>
      <w:r>
        <w:rPr>
          <w:rFonts w:hint="eastAsia" w:ascii="宋体" w:hAnsi="宋体" w:cs="宋体"/>
          <w:b/>
          <w:bCs/>
          <w:color w:val="000000"/>
          <w:szCs w:val="21"/>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bookmarkStart w:id="284" w:name="_Ref467052588"/>
      <w:r>
        <w:rPr>
          <w:rFonts w:hint="eastAsia" w:ascii="宋体" w:hAnsi="宋体" w:cs="宋体"/>
          <w:color w:val="000000"/>
          <w:szCs w:val="21"/>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10.2对于招标文件中标记了“实质性格式”文件的，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。未标记“实质性格式”的文件和招标文件未提供格式的内容，可由投标人自行编写。</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10.3第四章《评标程序、评标方法和评标标准》中涉及的证明文件。</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85" w:name="_Toc151193772"/>
      <w:r/>
      <w:bookmarkStart w:id="286" w:name="_Toc164608644"/>
      <w:r/>
      <w:bookmarkStart w:id="287" w:name="_Toc151190157"/>
      <w:r/>
      <w:bookmarkStart w:id="288" w:name="_Toc150774630"/>
      <w:r/>
      <w:bookmarkStart w:id="289" w:name="_Toc150774735"/>
      <w:r/>
      <w:bookmarkStart w:id="290" w:name="_Toc195842895"/>
      <w:r/>
      <w:bookmarkStart w:id="291" w:name="_Toc150480768"/>
      <w:r/>
      <w:bookmarkStart w:id="292" w:name="_Toc151193918"/>
      <w:r/>
      <w:bookmarkStart w:id="293" w:name="_Toc127151530"/>
      <w:r/>
      <w:bookmarkStart w:id="294" w:name="_Toc151193844"/>
      <w:r/>
      <w:bookmarkStart w:id="295" w:name="_Toc127161444"/>
      <w:r/>
      <w:bookmarkStart w:id="296" w:name="_Toc151193700"/>
      <w:r/>
      <w:bookmarkStart w:id="297" w:name="_Toc164229371"/>
      <w:r/>
      <w:bookmarkStart w:id="298" w:name="_Toc150509281"/>
      <w:r/>
      <w:bookmarkStart w:id="299" w:name="_Toc142311032"/>
      <w:r/>
      <w:bookmarkStart w:id="300" w:name="_Toc149720823"/>
      <w:r/>
      <w:bookmarkStart w:id="301" w:name="_Toc520356155"/>
      <w:r/>
      <w:bookmarkStart w:id="302" w:name="_Toc127151731"/>
      <w:r/>
      <w:bookmarkStart w:id="303" w:name="_Toc151193628"/>
      <w:r/>
      <w:bookmarkStart w:id="304" w:name="_Toc164608799"/>
      <w:r/>
      <w:bookmarkStart w:id="305" w:name="_Toc164229225"/>
      <w:r/>
      <w:bookmarkStart w:id="306" w:name="_Toc164351624"/>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11.2.2按照招标文件要求完成本项目的全部相关服务费用。 </w:t>
      </w:r>
      <w:r>
        <w:rPr>
          <w:rFonts w:hint="eastAsia" w:ascii="宋体" w:hAnsi="宋体" w:eastAsia="宋体" w:cs="宋体"/>
          <w:color w:val="000000"/>
          <w:szCs w:val="21"/>
          <w:highlight w:val="none"/>
        </w:rPr>
      </w:r>
      <w:r/>
    </w:p>
    <w:p>
      <w:pPr>
        <w:pStyle w:val="1048"/>
        <w:numPr>
          <w:ilvl w:val="0"/>
          <w:numId w:val="0"/>
        </w:num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11.2.3参加投标的供应商应自行承担所有与参加投标有关的费用（包含代理服务费用）。无论最终中标结果如何，采购代理机构在任何情况下均无义务和责任承担这些费用。</w:t>
      </w:r>
      <w:r>
        <w:rPr>
          <w:rFonts w:hint="eastAsia" w:ascii="宋体" w:hAnsi="宋体" w:eastAsia="宋体" w:cs="宋体"/>
          <w:color w:val="000000"/>
          <w:szCs w:val="21"/>
          <w:highlight w:val="none"/>
        </w:rPr>
      </w:r>
      <w:r/>
    </w:p>
    <w:p>
      <w:pPr>
        <w:pStyle w:val="1048"/>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11.2.</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1440万元，投标人的投标总价不得高于最高限价，否则作为无效投标处理。</w:t>
      </w:r>
      <w:r>
        <w:rPr>
          <w:rFonts w:hint="eastAsia" w:ascii="宋体" w:hAnsi="宋体" w:eastAsia="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07" w:name="_Toc265228369"/>
      <w:r/>
      <w:bookmarkStart w:id="308" w:name="_Toc151193845"/>
      <w:r/>
      <w:bookmarkStart w:id="309" w:name="_Toc226309775"/>
      <w:r/>
      <w:bookmarkStart w:id="310" w:name="_Toc164229372"/>
      <w:r/>
      <w:bookmarkStart w:id="311" w:name="_Toc151190158"/>
      <w:r/>
      <w:bookmarkStart w:id="312" w:name="_Toc164229226"/>
      <w:r/>
      <w:bookmarkStart w:id="313" w:name="_Toc164608645"/>
      <w:r/>
      <w:bookmarkStart w:id="314" w:name="_Toc149720824"/>
      <w:r/>
      <w:bookmarkStart w:id="315" w:name="_Toc195842896"/>
      <w:r/>
      <w:bookmarkStart w:id="316" w:name="_Toc150509282"/>
      <w:r/>
      <w:bookmarkStart w:id="317" w:name="_Toc151193629"/>
      <w:r/>
      <w:bookmarkStart w:id="318" w:name="_Toc127161445"/>
      <w:r/>
      <w:bookmarkStart w:id="319" w:name="_Ref467306513"/>
      <w:r/>
      <w:bookmarkStart w:id="320" w:name="_Toc151193919"/>
      <w:r/>
      <w:bookmarkStart w:id="321" w:name="_Toc150480769"/>
      <w:r/>
      <w:bookmarkStart w:id="322" w:name="_Toc305158799"/>
      <w:r/>
      <w:bookmarkStart w:id="323" w:name="_Toc226965804"/>
      <w:r/>
      <w:bookmarkStart w:id="324" w:name="_Toc520356156"/>
      <w:r/>
      <w:bookmarkStart w:id="325" w:name="_Toc150774631"/>
      <w:r/>
      <w:bookmarkStart w:id="326" w:name="_Toc305158873"/>
      <w:r/>
      <w:bookmarkStart w:id="327" w:name="_Toc127151531"/>
      <w:r/>
      <w:bookmarkStart w:id="328" w:name="_Toc226965721"/>
      <w:r/>
      <w:bookmarkStart w:id="329" w:name="_Toc142311033"/>
      <w:r/>
      <w:bookmarkStart w:id="330" w:name="_Toc164608800"/>
      <w:r/>
      <w:bookmarkStart w:id="331" w:name="_Toc151193701"/>
      <w:r/>
      <w:bookmarkStart w:id="332" w:name="_Toc164351625"/>
      <w:r/>
      <w:bookmarkStart w:id="333" w:name="_Toc151193773"/>
      <w:r/>
      <w:bookmarkStart w:id="334" w:name="_Toc226337227"/>
      <w:r/>
      <w:bookmarkStart w:id="335" w:name="_Toc150774736"/>
      <w:r/>
      <w:bookmarkStart w:id="336" w:name="_Toc127151732"/>
      <w:r/>
      <w:bookmarkStart w:id="337" w:name="_Toc264969221"/>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1048"/>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1048"/>
        <w:ind w:left="357"/>
        <w:spacing w:line="360" w:lineRule="auto"/>
        <w:tabs>
          <w:tab w:val="left" w:pos="360" w:leader="none"/>
        </w:tabs>
        <w:rPr>
          <w:rFonts w:hint="eastAsia" w:ascii="宋体" w:hAnsi="宋体" w:cs="宋体"/>
          <w:color w:val="000000"/>
          <w:highlight w:val="none"/>
        </w:rPr>
        <w:outlineLvl w:val="1"/>
      </w:pPr>
      <w:r>
        <w:rPr>
          <w:rFonts w:hint="eastAsia" w:ascii="宋体" w:hAnsi="宋体" w:cs="宋体"/>
          <w:color w:val="000000"/>
          <w:szCs w:val="21"/>
          <w:highlight w:val="none"/>
        </w:rPr>
        <w:t xml:space="preserve">12.2</w:t>
      </w:r>
      <w:r>
        <w:rPr>
          <w:rFonts w:hint="eastAsia" w:ascii="宋体" w:hAnsi="宋体" w:cs="宋体"/>
          <w:color w:val="000000"/>
          <w:highlight w:val="none"/>
        </w:rPr>
        <w:t xml:space="preserve">中标人须在合同签订之日起5日内向采购人提供金额为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w:t>
      </w:r>
      <w:r>
        <w:rPr>
          <w:rFonts w:hint="eastAsia" w:ascii="宋体" w:hAnsi="宋体" w:cs="宋体"/>
          <w:color w:val="000000"/>
          <w:highlight w:val="none"/>
        </w:rPr>
        <w:t xml:space="preserve">的履约保证金或保函。</w:t>
      </w:r>
      <w:r>
        <w:rPr>
          <w:rFonts w:hint="eastAsia" w:ascii="宋体" w:hAnsi="宋体" w:cs="宋体"/>
          <w:color w:val="000000"/>
          <w:highlight w:val="none"/>
        </w:rPr>
      </w:r>
      <w:r/>
    </w:p>
    <w:p>
      <w:pPr>
        <w:pStyle w:val="1048"/>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38" w:name="_Toc149720825"/>
      <w:r/>
      <w:bookmarkStart w:id="339" w:name="_Toc226337228"/>
      <w:r/>
      <w:bookmarkStart w:id="340" w:name="_Toc226965722"/>
      <w:r/>
      <w:bookmarkStart w:id="341" w:name="_Toc305158874"/>
      <w:r/>
      <w:bookmarkStart w:id="342" w:name="_Toc150774737"/>
      <w:r/>
      <w:bookmarkStart w:id="343" w:name="_Toc164351626"/>
      <w:r/>
      <w:bookmarkStart w:id="344" w:name="_Toc264969222"/>
      <w:r/>
      <w:bookmarkStart w:id="345" w:name="_Toc150480770"/>
      <w:r/>
      <w:bookmarkStart w:id="346" w:name="_Toc151193702"/>
      <w:r/>
      <w:bookmarkStart w:id="347" w:name="_Toc127161446"/>
      <w:r/>
      <w:bookmarkStart w:id="348" w:name="_Toc195842897"/>
      <w:r/>
      <w:bookmarkStart w:id="349" w:name="_Toc151193774"/>
      <w:r/>
      <w:bookmarkStart w:id="350" w:name="_Toc127151733"/>
      <w:r/>
      <w:bookmarkStart w:id="351" w:name="_Toc164229373"/>
      <w:r/>
      <w:bookmarkStart w:id="352" w:name="_Toc151193630"/>
      <w:r/>
      <w:bookmarkStart w:id="353" w:name="_Toc151193920"/>
      <w:r/>
      <w:bookmarkStart w:id="354" w:name="_Toc164229227"/>
      <w:r/>
      <w:bookmarkStart w:id="355" w:name="_Toc226309776"/>
      <w:r/>
      <w:bookmarkStart w:id="356" w:name="_Toc151193846"/>
      <w:r/>
      <w:bookmarkStart w:id="357" w:name="_Toc305158800"/>
      <w:r/>
      <w:bookmarkStart w:id="358" w:name="_Toc142311034"/>
      <w:r/>
      <w:bookmarkStart w:id="359" w:name="_Toc265228370"/>
      <w:r/>
      <w:bookmarkStart w:id="360" w:name="_Toc151190159"/>
      <w:r/>
      <w:bookmarkStart w:id="361" w:name="_Toc150509283"/>
      <w:r/>
      <w:bookmarkStart w:id="362" w:name="_Toc164608646"/>
      <w:r/>
      <w:bookmarkStart w:id="363" w:name="_Toc520356157"/>
      <w:r/>
      <w:bookmarkStart w:id="364" w:name="_Toc164608801"/>
      <w:r/>
      <w:bookmarkStart w:id="365" w:name="_Toc127151532"/>
      <w:r/>
      <w:bookmarkStart w:id="366" w:name="_Toc150774632"/>
      <w:r/>
      <w:bookmarkStart w:id="367" w:name="_Toc226965805"/>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68" w:name="_Toc150774633"/>
      <w:r/>
      <w:bookmarkStart w:id="369" w:name="_Toc305158801"/>
      <w:r/>
      <w:bookmarkStart w:id="370" w:name="_Toc151193631"/>
      <w:r/>
      <w:bookmarkStart w:id="371" w:name="_Toc149720826"/>
      <w:r/>
      <w:bookmarkStart w:id="372" w:name="_Toc151193703"/>
      <w:r/>
      <w:bookmarkStart w:id="373" w:name="_Toc164351627"/>
      <w:r/>
      <w:bookmarkStart w:id="374" w:name="_Toc164608802"/>
      <w:r/>
      <w:bookmarkStart w:id="375" w:name="_Toc164229228"/>
      <w:r/>
      <w:bookmarkStart w:id="376" w:name="_Toc265228371"/>
      <w:r/>
      <w:bookmarkStart w:id="377" w:name="_Toc127161447"/>
      <w:r/>
      <w:bookmarkStart w:id="378" w:name="_Toc226337229"/>
      <w:r/>
      <w:bookmarkStart w:id="379" w:name="_Toc142311035"/>
      <w:r/>
      <w:bookmarkStart w:id="380" w:name="_Toc226309777"/>
      <w:r/>
      <w:bookmarkStart w:id="381" w:name="_Toc151190160"/>
      <w:r/>
      <w:bookmarkStart w:id="382" w:name="_Toc151193775"/>
      <w:r/>
      <w:bookmarkStart w:id="383" w:name="_Toc226965723"/>
      <w:r/>
      <w:bookmarkStart w:id="384" w:name="_Toc264969223"/>
      <w:r/>
      <w:bookmarkStart w:id="385" w:name="_Toc226965806"/>
      <w:r/>
      <w:bookmarkStart w:id="386" w:name="_Toc305158875"/>
      <w:r/>
      <w:bookmarkStart w:id="387" w:name="_Toc150774738"/>
      <w:r/>
      <w:bookmarkStart w:id="388" w:name="_Toc164229374"/>
      <w:r/>
      <w:bookmarkStart w:id="389" w:name="_Toc127151533"/>
      <w:r/>
      <w:bookmarkStart w:id="390" w:name="_Toc164608647"/>
      <w:r/>
      <w:bookmarkStart w:id="391" w:name="_Toc195842898"/>
      <w:r/>
      <w:bookmarkStart w:id="392" w:name="_Toc151193921"/>
      <w:r/>
      <w:bookmarkStart w:id="393" w:name="_Toc150480771"/>
      <w:r/>
      <w:bookmarkStart w:id="394" w:name="_Toc520356158"/>
      <w:r/>
      <w:bookmarkStart w:id="395" w:name="_Toc127151734"/>
      <w:r/>
      <w:bookmarkStart w:id="396" w:name="_Toc150509284"/>
      <w:r/>
      <w:bookmarkStart w:id="397" w:name="_Toc151193847"/>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bookmarkStart w:id="398" w:name="_Toc226309778"/>
      <w:r/>
      <w:bookmarkStart w:id="399" w:name="_Toc305158876"/>
      <w:r/>
      <w:bookmarkStart w:id="400" w:name="_Toc151193704"/>
      <w:r/>
      <w:bookmarkStart w:id="401" w:name="_Toc226337230"/>
      <w:r/>
      <w:bookmarkStart w:id="402" w:name="_Toc305158802"/>
      <w:r/>
      <w:bookmarkStart w:id="403" w:name="_Toc195842899"/>
      <w:r/>
      <w:bookmarkStart w:id="404" w:name="_Toc151193632"/>
      <w:r/>
      <w:bookmarkStart w:id="405" w:name="_Toc142311036"/>
      <w:r/>
      <w:bookmarkStart w:id="406" w:name="_Toc265228372"/>
      <w:r/>
      <w:bookmarkStart w:id="407" w:name="_Toc150774739"/>
      <w:r/>
      <w:bookmarkStart w:id="408" w:name="_Toc151190161"/>
      <w:r/>
      <w:bookmarkStart w:id="409" w:name="_Toc151193776"/>
      <w:r/>
      <w:bookmarkStart w:id="410" w:name="_Toc264969224"/>
      <w:r/>
      <w:bookmarkStart w:id="411" w:name="_Toc150480772"/>
      <w:r/>
      <w:bookmarkStart w:id="412" w:name="_Toc150774634"/>
      <w:r/>
      <w:bookmarkStart w:id="413" w:name="_Toc226965807"/>
      <w:r/>
      <w:bookmarkStart w:id="414" w:name="_Toc127151534"/>
      <w:r/>
      <w:bookmarkStart w:id="415" w:name="_Toc150509285"/>
      <w:r/>
      <w:bookmarkStart w:id="416" w:name="_Toc520356159"/>
      <w:r/>
      <w:bookmarkStart w:id="417" w:name="_Toc226965724"/>
      <w:r/>
      <w:bookmarkStart w:id="418" w:name="_Toc151193922"/>
      <w:r/>
      <w:bookmarkStart w:id="419" w:name="_Toc151193848"/>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1048"/>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420" w:name="_Toc226309779"/>
      <w:r/>
      <w:bookmarkStart w:id="421" w:name="_Toc226965725"/>
      <w:r/>
      <w:bookmarkStart w:id="422" w:name="_Toc150774635"/>
      <w:r/>
      <w:bookmarkStart w:id="423" w:name="_Toc150509286"/>
      <w:r/>
      <w:bookmarkStart w:id="424" w:name="_Toc150774740"/>
      <w:r/>
      <w:bookmarkStart w:id="425" w:name="_Toc151193849"/>
      <w:r/>
      <w:bookmarkStart w:id="426" w:name="_Toc226965808"/>
      <w:r/>
      <w:bookmarkStart w:id="427" w:name="_Toc305158877"/>
      <w:r/>
      <w:bookmarkStart w:id="428" w:name="_Toc195842900"/>
      <w:r/>
      <w:bookmarkStart w:id="429" w:name="_Toc127151736"/>
      <w:r/>
      <w:bookmarkStart w:id="430" w:name="_Toc142311037"/>
      <w:r/>
      <w:bookmarkStart w:id="431" w:name="_Toc265228373"/>
      <w:r/>
      <w:bookmarkStart w:id="432" w:name="_Toc520356160"/>
      <w:r/>
      <w:bookmarkStart w:id="433" w:name="_Toc164608804"/>
      <w:r/>
      <w:bookmarkStart w:id="434" w:name="_Toc151193777"/>
      <w:r/>
      <w:bookmarkStart w:id="435" w:name="_Toc164608649"/>
      <w:r/>
      <w:bookmarkStart w:id="436" w:name="_Toc150480773"/>
      <w:r/>
      <w:bookmarkStart w:id="437" w:name="_Toc151193923"/>
      <w:r/>
      <w:bookmarkStart w:id="438" w:name="_Toc151193633"/>
      <w:r/>
      <w:bookmarkStart w:id="439" w:name="_Toc127151535"/>
      <w:r/>
      <w:bookmarkStart w:id="440" w:name="_Toc264969225"/>
      <w:r/>
      <w:bookmarkStart w:id="441" w:name="_Toc164229376"/>
      <w:r/>
      <w:bookmarkStart w:id="442" w:name="_Toc149720828"/>
      <w:r/>
      <w:bookmarkStart w:id="443" w:name="_Toc164229230"/>
      <w:r/>
      <w:bookmarkStart w:id="444" w:name="_Toc305158803"/>
      <w:r/>
      <w:bookmarkStart w:id="445" w:name="_Toc164351629"/>
      <w:r/>
      <w:bookmarkStart w:id="446" w:name="_Toc151190162"/>
      <w:r/>
      <w:bookmarkStart w:id="447" w:name="_Toc226337231"/>
      <w:r/>
      <w:bookmarkStart w:id="448" w:name="_Toc151193705"/>
      <w:r/>
      <w:bookmarkStart w:id="449" w:name="_Toc127161449"/>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1048"/>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1048"/>
        <w:spacing w:line="360" w:lineRule="auto"/>
        <w:tabs>
          <w:tab w:val="left" w:pos="360" w:leader="none"/>
        </w:tabs>
        <w:rPr>
          <w:b/>
          <w:bCs/>
          <w:color w:val="000000"/>
          <w:szCs w:val="21"/>
          <w:highlight w:val="none"/>
        </w:rPr>
        <w:outlineLvl w:val="1"/>
      </w:pPr>
      <w:r/>
      <w:bookmarkStart w:id="450" w:name="_Toc520356161"/>
      <w:r/>
      <w:bookmarkStart w:id="451" w:name="_Toc305158804"/>
      <w:r/>
      <w:bookmarkStart w:id="452" w:name="_Toc164608805"/>
      <w:r/>
      <w:bookmarkStart w:id="453" w:name="_Toc151193634"/>
      <w:r/>
      <w:bookmarkStart w:id="454" w:name="_Toc151193924"/>
      <w:r/>
      <w:bookmarkStart w:id="455" w:name="_Toc305158878"/>
      <w:r/>
      <w:bookmarkStart w:id="456" w:name="_Toc127151737"/>
      <w:r/>
      <w:bookmarkStart w:id="457" w:name="_Toc265228374"/>
      <w:r/>
      <w:bookmarkStart w:id="458" w:name="_Toc226965726"/>
      <w:r/>
      <w:bookmarkStart w:id="459" w:name="_Toc226965809"/>
      <w:r/>
      <w:bookmarkStart w:id="460" w:name="_Toc150480774"/>
      <w:r/>
      <w:bookmarkStart w:id="461" w:name="_Toc164229377"/>
      <w:r/>
      <w:bookmarkStart w:id="462" w:name="_Toc164351630"/>
      <w:r/>
      <w:bookmarkStart w:id="463" w:name="_Toc164229231"/>
      <w:r/>
      <w:bookmarkStart w:id="464" w:name="_Toc164608650"/>
      <w:r/>
      <w:bookmarkStart w:id="465" w:name="_Toc149720829"/>
      <w:r/>
      <w:bookmarkStart w:id="466" w:name="_Toc127151536"/>
      <w:r/>
      <w:bookmarkStart w:id="467" w:name="_Toc226337232"/>
      <w:r/>
      <w:bookmarkStart w:id="468" w:name="_Toc151193850"/>
      <w:r/>
      <w:bookmarkStart w:id="469" w:name="_Toc264969226"/>
      <w:r/>
      <w:bookmarkStart w:id="470" w:name="_Toc195842901"/>
      <w:r/>
      <w:bookmarkStart w:id="471" w:name="_Toc150509287"/>
      <w:r/>
      <w:bookmarkStart w:id="472" w:name="_Toc150774741"/>
      <w:r/>
      <w:bookmarkStart w:id="473" w:name="_Toc127161450"/>
      <w:r/>
      <w:bookmarkStart w:id="474" w:name="_Toc151190163"/>
      <w:r/>
      <w:bookmarkStart w:id="475" w:name="_Toc150774636"/>
      <w:r/>
      <w:bookmarkStart w:id="476" w:name="_Toc151193778"/>
      <w:r/>
      <w:bookmarkStart w:id="477" w:name="_Toc142311038"/>
      <w:r/>
      <w:bookmarkStart w:id="478" w:name="_Toc226309780"/>
      <w:r/>
      <w:bookmarkStart w:id="479" w:name="_Toc151193706"/>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1048"/>
        <w:ind w:firstLine="420"/>
        <w:spacing w:line="360" w:lineRule="auto"/>
        <w:tabs>
          <w:tab w:val="left" w:pos="360" w:leader="none"/>
        </w:tabs>
        <w:rPr>
          <w:rFonts w:hint="eastAsia" w:ascii="宋体" w:hAnsi="宋体" w:cs="宋体"/>
          <w:color w:val="000000"/>
          <w:szCs w:val="21"/>
          <w:highlight w:val="none"/>
        </w:rPr>
        <w:outlineLvl w:val="1"/>
      </w:pPr>
      <w:r/>
      <w:bookmarkStart w:id="480" w:name="_Toc151193779"/>
      <w:r/>
      <w:bookmarkStart w:id="481" w:name="_Toc151193925"/>
      <w:r/>
      <w:bookmarkStart w:id="482" w:name="_Toc150480775"/>
      <w:r/>
      <w:bookmarkStart w:id="483" w:name="_Toc149720830"/>
      <w:r/>
      <w:bookmarkStart w:id="484" w:name="_Toc164351631"/>
      <w:r/>
      <w:bookmarkStart w:id="485" w:name="_Toc150774742"/>
      <w:r/>
      <w:bookmarkStart w:id="486" w:name="_Toc127151738"/>
      <w:r/>
      <w:bookmarkStart w:id="487" w:name="_Toc127151537"/>
      <w:r/>
      <w:bookmarkStart w:id="488" w:name="_Toc226337233"/>
      <w:r/>
      <w:bookmarkStart w:id="489" w:name="_Toc264969227"/>
      <w:r/>
      <w:bookmarkStart w:id="490" w:name="_Toc226965810"/>
      <w:r/>
      <w:bookmarkStart w:id="491" w:name="_Toc226965727"/>
      <w:r/>
      <w:bookmarkStart w:id="492" w:name="_Toc265228375"/>
      <w:r/>
      <w:bookmarkStart w:id="493" w:name="_Toc150509288"/>
      <w:r/>
      <w:bookmarkStart w:id="494" w:name="_Toc164608806"/>
      <w:r/>
      <w:bookmarkStart w:id="495" w:name="_Toc151193635"/>
      <w:r/>
      <w:bookmarkStart w:id="496" w:name="_Toc151193707"/>
      <w:r/>
      <w:bookmarkStart w:id="497" w:name="_Toc151193851"/>
      <w:r/>
      <w:bookmarkStart w:id="498" w:name="_Toc150774637"/>
      <w:r/>
      <w:bookmarkStart w:id="499" w:name="_Toc142311039"/>
      <w:r/>
      <w:bookmarkStart w:id="500" w:name="_Toc164229232"/>
      <w:r/>
      <w:bookmarkStart w:id="501" w:name="_Toc164229378"/>
      <w:r/>
      <w:bookmarkStart w:id="502" w:name="_Toc226309781"/>
      <w:r/>
      <w:bookmarkStart w:id="503" w:name="_Toc164608651"/>
      <w:r/>
      <w:bookmarkStart w:id="504" w:name="_Toc305158879"/>
      <w:r/>
      <w:bookmarkStart w:id="505" w:name="_Toc127161451"/>
      <w:r/>
      <w:bookmarkStart w:id="506" w:name="_Toc151190164"/>
      <w:r/>
      <w:bookmarkStart w:id="507" w:name="_Toc520356162"/>
      <w:r/>
      <w:bookmarkStart w:id="508" w:name="_Toc195842902"/>
      <w:r/>
      <w:bookmarkStart w:id="509" w:name="_Toc305158805"/>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104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1050"/>
        <w:spacing w:before="0" w:line="360" w:lineRule="auto"/>
        <w:rPr>
          <w:rFonts w:ascii="Times New Roman" w:hAnsi="Times New Roman" w:eastAsia="宋体"/>
          <w:color w:val="000000"/>
          <w:sz w:val="28"/>
        </w:rPr>
      </w:pPr>
      <w:r/>
      <w:bookmarkStart w:id="510" w:name="_Toc226337234"/>
      <w:r/>
      <w:bookmarkStart w:id="511" w:name="_Toc226965811"/>
      <w:r/>
      <w:bookmarkStart w:id="512" w:name="_Toc150774743"/>
      <w:r/>
      <w:bookmarkStart w:id="513" w:name="_Toc264969228"/>
      <w:r/>
      <w:bookmarkStart w:id="514" w:name="_Toc150480776"/>
      <w:r/>
      <w:bookmarkStart w:id="515" w:name="_Toc151193780"/>
      <w:r/>
      <w:bookmarkStart w:id="516" w:name="_Toc226309782"/>
      <w:r/>
      <w:bookmarkStart w:id="517" w:name="_Toc305158806"/>
      <w:r/>
      <w:bookmarkStart w:id="518" w:name="_Toc142311040"/>
      <w:r/>
      <w:bookmarkStart w:id="519" w:name="_Toc305158880"/>
      <w:r/>
      <w:bookmarkStart w:id="520" w:name="_Toc151193708"/>
      <w:r/>
      <w:bookmarkStart w:id="521" w:name="_Toc265228376"/>
      <w:r/>
      <w:bookmarkStart w:id="522" w:name="_Toc151193636"/>
      <w:r/>
      <w:bookmarkStart w:id="523" w:name="_Toc520356163"/>
      <w:r/>
      <w:bookmarkStart w:id="524" w:name="_Toc150774638"/>
      <w:r/>
      <w:bookmarkStart w:id="525" w:name="_Toc226965728"/>
      <w:r/>
      <w:bookmarkStart w:id="526" w:name="_Toc151193852"/>
      <w:r/>
      <w:bookmarkStart w:id="527" w:name="_Toc195842903"/>
      <w:r/>
      <w:bookmarkStart w:id="528" w:name="_Toc151193926"/>
      <w:r/>
      <w:bookmarkStart w:id="529" w:name="_Toc127151538"/>
      <w:r/>
      <w:bookmarkStart w:id="530" w:name="_Toc151190165"/>
      <w:r/>
      <w:bookmarkStart w:id="531" w:name="_Toc150509289"/>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rPr>
      </w:r>
      <w:r/>
    </w:p>
    <w:p>
      <w:pPr>
        <w:pStyle w:val="1048"/>
        <w:spacing w:line="360" w:lineRule="auto"/>
        <w:rPr>
          <w:rFonts w:hint="eastAsia" w:ascii="宋体" w:hAnsi="宋体" w:cs="宋体"/>
          <w:b/>
          <w:bCs/>
          <w:color w:val="000000"/>
          <w:szCs w:val="21"/>
        </w:rPr>
      </w:pPr>
      <w:r/>
      <w:bookmarkStart w:id="532" w:name="_Toc520356169"/>
      <w:r>
        <w:rPr>
          <w:rFonts w:hint="eastAsia" w:ascii="宋体" w:hAnsi="宋体" w:cs="宋体"/>
          <w:b/>
          <w:bCs/>
          <w:color w:val="000000"/>
          <w:szCs w:val="21"/>
        </w:rPr>
        <w:t xml:space="preserve">18.开标</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18.2本项目开标采用不见面招</w:t>
      </w:r>
      <w:r>
        <w:rPr>
          <w:rFonts w:hint="eastAsia" w:ascii="宋体" w:hAnsi="宋体" w:cs="宋体"/>
          <w:color w:val="000000"/>
          <w:szCs w:val="21"/>
          <w:highlight w:val="none"/>
        </w:rPr>
        <w:t xml:space="preserve">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18.4投标人代表对开标过程和开标记录有疑义，以及认为</w:t>
      </w:r>
      <w:r>
        <w:rPr>
          <w:rFonts w:hint="eastAsia" w:ascii="宋体" w:hAnsi="宋体" w:cs="宋体"/>
          <w:color w:val="000000"/>
          <w:szCs w:val="21"/>
        </w:rPr>
        <w:t xml:space="preserve">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18.5投标人不足3家的，不予开标。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rPr>
        <w:t xml:space="preserve">18.8如果在采购活动过程中出现</w:t>
      </w:r>
      <w:r>
        <w:rPr>
          <w:rFonts w:hint="eastAsia" w:ascii="宋体" w:hAnsi="宋体" w:cs="宋体"/>
          <w:color w:val="000000"/>
          <w:szCs w:val="21"/>
          <w:highlight w:val="none"/>
        </w:rPr>
        <w:t xml:space="preserve">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1)平台系统发生故障而无法登录访问的；</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2)平台系统应用或数据库出现错误，不能进行正常操作的；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3)平台系统发现严重安全漏洞，有潜在泄密危险的；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4)病毒发作导致平台系统不能进行正常操作的；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5)其他无法保证本次采购活动的公平、公正和安全的情况。</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19.资格审查</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19.1见第三章《资格审查》。</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20.评标委员会</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21.评标程序、评标方法和评标标准</w:t>
      </w:r>
      <w:r>
        <w:rPr>
          <w:rFonts w:hint="eastAsia" w:ascii="宋体" w:hAnsi="宋体" w:cs="宋体"/>
          <w:b/>
          <w:bCs/>
          <w:color w:val="000000"/>
          <w:szCs w:val="21"/>
        </w:rPr>
      </w:r>
      <w:r/>
    </w:p>
    <w:p>
      <w:pPr>
        <w:pStyle w:val="1048"/>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rPr>
          <w:color w:val="000000"/>
          <w:sz w:val="24"/>
        </w:rPr>
      </w:r>
      <w:r/>
    </w:p>
    <w:p>
      <w:pPr>
        <w:pStyle w:val="1050"/>
        <w:spacing w:before="0" w:line="360" w:lineRule="auto"/>
        <w:rPr>
          <w:rFonts w:ascii="Times New Roman" w:hAnsi="Times New Roman" w:eastAsia="宋体"/>
          <w:color w:val="000000"/>
          <w:sz w:val="28"/>
        </w:rPr>
      </w:pPr>
      <w:r/>
      <w:bookmarkStart w:id="533" w:name="_Toc265228383"/>
      <w:r/>
      <w:bookmarkStart w:id="534" w:name="_Toc150509296"/>
      <w:r/>
      <w:bookmarkStart w:id="535" w:name="_Toc195842910"/>
      <w:r/>
      <w:bookmarkStart w:id="536" w:name="_Toc151193933"/>
      <w:r/>
      <w:bookmarkStart w:id="537" w:name="_Toc150774645"/>
      <w:r/>
      <w:bookmarkStart w:id="538" w:name="_Toc305158887"/>
      <w:r/>
      <w:bookmarkStart w:id="539" w:name="_Toc151193643"/>
      <w:r/>
      <w:bookmarkStart w:id="540" w:name="_Toc305158813"/>
      <w:r/>
      <w:bookmarkStart w:id="541" w:name="_Toc151193715"/>
      <w:r/>
      <w:bookmarkStart w:id="542" w:name="_Toc226965818"/>
      <w:r/>
      <w:bookmarkStart w:id="543" w:name="_Toc127151545"/>
      <w:r/>
      <w:bookmarkStart w:id="544" w:name="_Toc226309789"/>
      <w:r/>
      <w:bookmarkStart w:id="545" w:name="_Toc226337241"/>
      <w:r/>
      <w:bookmarkStart w:id="546" w:name="_Toc150774750"/>
      <w:r/>
      <w:bookmarkStart w:id="547" w:name="_Toc151190172"/>
      <w:r/>
      <w:bookmarkStart w:id="548" w:name="_Toc226965735"/>
      <w:r/>
      <w:bookmarkStart w:id="549" w:name="_Toc151193859"/>
      <w:r/>
      <w:bookmarkStart w:id="550" w:name="_Toc151193787"/>
      <w:r/>
      <w:bookmarkStart w:id="551" w:name="_Toc142311047"/>
      <w:r/>
      <w:bookmarkStart w:id="552" w:name="_Toc150480783"/>
      <w:r/>
      <w:bookmarkStart w:id="553" w:name="_Toc264969235"/>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226965737"/>
      <w:r/>
      <w:bookmarkStart w:id="555" w:name="_Toc151193789"/>
      <w:r/>
      <w:bookmarkStart w:id="556" w:name="_Toc226309791"/>
      <w:r/>
      <w:bookmarkStart w:id="557" w:name="_Toc127151748"/>
      <w:r/>
      <w:bookmarkStart w:id="558" w:name="_Toc305158889"/>
      <w:r/>
      <w:bookmarkStart w:id="559" w:name="_Toc195842912"/>
      <w:r/>
      <w:bookmarkStart w:id="560" w:name="_Toc150480785"/>
      <w:r/>
      <w:bookmarkStart w:id="561" w:name="_Toc164608661"/>
      <w:r/>
      <w:bookmarkStart w:id="562" w:name="_Toc151193717"/>
      <w:r/>
      <w:bookmarkStart w:id="563" w:name="_Toc151193935"/>
      <w:r/>
      <w:bookmarkStart w:id="564" w:name="_Toc142311049"/>
      <w:r/>
      <w:bookmarkStart w:id="565" w:name="_Toc151190174"/>
      <w:r/>
      <w:bookmarkStart w:id="566" w:name="_Toc226337243"/>
      <w:r/>
      <w:bookmarkStart w:id="567" w:name="_Toc150509298"/>
      <w:r/>
      <w:bookmarkStart w:id="568" w:name="_Toc164229388"/>
      <w:r/>
      <w:bookmarkStart w:id="569" w:name="_Toc149720840"/>
      <w:r/>
      <w:bookmarkStart w:id="570" w:name="_Toc150774647"/>
      <w:r/>
      <w:bookmarkStart w:id="571" w:name="_Toc164351641"/>
      <w:r/>
      <w:bookmarkStart w:id="572" w:name="_Toc226965820"/>
      <w:r/>
      <w:bookmarkStart w:id="573" w:name="_Toc151193645"/>
      <w:r/>
      <w:bookmarkStart w:id="574" w:name="_Toc151193861"/>
      <w:r/>
      <w:bookmarkStart w:id="575" w:name="_Toc264969237"/>
      <w:r/>
      <w:bookmarkStart w:id="576" w:name="_Toc164229242"/>
      <w:r/>
      <w:bookmarkStart w:id="577" w:name="_Toc127161461"/>
      <w:r/>
      <w:bookmarkStart w:id="578" w:name="_Toc127151547"/>
      <w:r/>
      <w:bookmarkStart w:id="579" w:name="_Toc164608816"/>
      <w:r/>
      <w:bookmarkStart w:id="580" w:name="_Toc305158815"/>
      <w:r/>
      <w:bookmarkStart w:id="581" w:name="_Toc265228385"/>
      <w:r/>
      <w:bookmarkStart w:id="582" w:name="_Toc150774752"/>
      <w:r>
        <w:rPr>
          <w:rFonts w:ascii="Times New Roman" w:hAnsi="Times New Roman" w:eastAsia="宋体"/>
          <w:color w:val="000000"/>
          <w:sz w:val="28"/>
        </w:rPr>
      </w:r>
      <w:r/>
    </w:p>
    <w:p>
      <w:pPr>
        <w:pStyle w:val="1048"/>
        <w:spacing w:line="360" w:lineRule="auto"/>
        <w:rPr>
          <w:rFonts w:hint="eastAsia" w:ascii="宋体" w:hAnsi="宋体" w:cs="宋体"/>
          <w:b/>
          <w:bCs/>
          <w:color w:val="000000"/>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rPr>
        <w:t xml:space="preserve">22.确定中标人</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23.中标公告与中标通知书</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常州市政府采购网、常州市阳峻项目管理有限公司网站</w:t>
      </w:r>
      <w:r>
        <w:rPr>
          <w:rFonts w:hint="eastAsia" w:ascii="宋体" w:hAnsi="宋体" w:cs="宋体"/>
          <w:color w:val="000000"/>
          <w:szCs w:val="21"/>
        </w:rPr>
        <w:t xml:space="preserve">公告中标结果，同时向中标人发出中标通知书，中标公告期限为1个工作日。</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24.废标</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24.1在招标采购中，出现下列情形之一的，应予废标：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24.1.2出现影响采购公正的违法、违规行为的；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24.1.3投标人的报价均超过了采购预算，采购人不能支付的；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24.1.4因重大变故，采购任务取消的。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rPr>
          <w:rFonts w:hint="eastAsia" w:ascii="宋体" w:hAnsi="宋体" w:cs="宋体"/>
          <w:color w:val="000000"/>
          <w:szCs w:val="21"/>
        </w:rPr>
      </w:r>
      <w:r/>
    </w:p>
    <w:p>
      <w:pPr>
        <w:pStyle w:val="1134"/>
        <w:ind w:firstLine="420"/>
        <w:rPr>
          <w:rFonts w:hint="eastAsia"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rPr>
          <w:rFonts w:hint="eastAsia" w:ascii="宋体" w:hAnsi="宋体" w:cs="宋体"/>
          <w:color w:val="000000"/>
          <w:szCs w:val="21"/>
          <w:lang w:val="en-US"/>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25.签订合同</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25.4政府采购合同不能转包。</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26.询问与质疑</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26.1询问</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26.2质疑</w:t>
      </w:r>
      <w:r>
        <w:rPr>
          <w:rFonts w:hint="eastAsia" w:ascii="宋体" w:hAnsi="宋体" w:cs="宋体"/>
          <w:color w:val="000000"/>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1048"/>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1048"/>
        <w:spacing w:line="360" w:lineRule="auto"/>
        <w:rPr>
          <w:rFonts w:hint="eastAsia" w:ascii="宋体" w:hAnsi="宋体" w:cs="宋体"/>
          <w:b/>
          <w:bCs/>
          <w:color w:val="000000"/>
          <w:szCs w:val="21"/>
          <w:highlight w:val="none"/>
        </w:rPr>
      </w:pPr>
      <w:r>
        <w:rPr>
          <w:rFonts w:hint="eastAsia" w:ascii="宋体" w:hAnsi="宋体" w:cs="宋体"/>
          <w:b/>
          <w:bCs/>
          <w:color w:val="000000"/>
          <w:szCs w:val="21"/>
        </w:rPr>
        <w:t xml:space="preserve">27.代理费</w:t>
      </w:r>
      <w:r>
        <w:rPr>
          <w:rFonts w:hint="eastAsia" w:ascii="宋体" w:hAnsi="宋体" w:cs="宋体"/>
          <w:b/>
          <w:bCs/>
          <w:color w:val="000000"/>
          <w:szCs w:val="21"/>
          <w:highlight w:val="none"/>
        </w:rPr>
      </w:r>
      <w:r/>
    </w:p>
    <w:p>
      <w:pPr>
        <w:pStyle w:val="1048"/>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1048"/>
        <w:spacing w:line="360" w:lineRule="auto"/>
        <w:rPr>
          <w:rFonts w:hint="eastAsia" w:ascii="宋体" w:hAnsi="宋体" w:cs="宋体"/>
          <w:b/>
          <w:bCs/>
          <w:color w:val="000000"/>
          <w:szCs w:val="21"/>
          <w:highlight w:val="none"/>
        </w:rPr>
      </w:pPr>
      <w:r/>
      <w:bookmarkStart w:id="583" w:name="_Toc226337250"/>
      <w:r/>
      <w:bookmarkStart w:id="584" w:name="_Toc265228392"/>
      <w:r/>
      <w:bookmarkStart w:id="585" w:name="_Toc353873934"/>
      <w:r/>
      <w:bookmarkStart w:id="586" w:name="_Toc353825544"/>
      <w:r/>
      <w:bookmarkStart w:id="587" w:name="_Toc226965827"/>
      <w:r/>
      <w:bookmarkStart w:id="588" w:name="_Toc305158822"/>
      <w:r/>
      <w:bookmarkStart w:id="589" w:name="_Toc150774759"/>
      <w:r/>
      <w:bookmarkStart w:id="590" w:name="_Toc264969244"/>
      <w:r/>
      <w:bookmarkStart w:id="591" w:name="_Toc127151554"/>
      <w:r/>
      <w:bookmarkStart w:id="592" w:name="_Toc353873664"/>
      <w:r/>
      <w:bookmarkStart w:id="593" w:name="_Toc150480792"/>
      <w:r/>
      <w:bookmarkStart w:id="594" w:name="_Toc142311056"/>
      <w:r/>
      <w:bookmarkStart w:id="595" w:name="_Toc305158896"/>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1048"/>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28.1 中标人在签订合同前需递交与电子投标文件内容一致的纸质投标文件：正本1套、副本2套，在每一份纸质投标文件上要明确注明“正本” 或“副本”字样。【内容需打印清晰，标注目录及页码】，作为项目归档使用。</w:t>
      </w:r>
      <w:r>
        <w:rPr>
          <w:rFonts w:hint="eastAsia" w:ascii="宋体" w:hAnsi="宋体" w:cs="宋体"/>
          <w:color w:val="000000"/>
          <w:szCs w:val="21"/>
          <w:highlight w:val="none"/>
        </w:rPr>
      </w:r>
      <w:r/>
    </w:p>
    <w:p>
      <w:pPr>
        <w:pStyle w:val="1048"/>
        <w:ind w:firstLine="422"/>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b/>
          <w:bCs/>
          <w:color w:val="000000"/>
          <w:szCs w:val="21"/>
          <w:highlight w:val="none"/>
        </w:rPr>
      </w:r>
      <w:r/>
    </w:p>
    <w:p>
      <w:pPr>
        <w:pStyle w:val="1048"/>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48"/>
        <w:ind w:firstLine="480"/>
        <w:jc w:val="center"/>
        <w:spacing w:line="360" w:lineRule="auto"/>
        <w:tabs>
          <w:tab w:val="left" w:pos="360" w:leader="none"/>
          <w:tab w:val="left" w:pos="1080" w:leader="none"/>
        </w:tabs>
        <w:rPr>
          <w:b/>
          <w:color w:val="000000"/>
          <w:sz w:val="36"/>
          <w:szCs w:val="36"/>
        </w:rPr>
      </w:pPr>
      <w:r>
        <w:rPr>
          <w:color w:val="000000"/>
          <w:sz w:val="24"/>
          <w:highlight w:val="none"/>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Pr>
          <w:b/>
          <w:color w:val="000000"/>
          <w:sz w:val="36"/>
          <w:szCs w:val="36"/>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Pr>
          <w:rFonts w:hint="eastAsia" w:ascii="宋体" w:hAnsi="宋体" w:cs="宋体"/>
          <w:b/>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rPr>
          <w:rFonts w:hint="eastAsia" w:ascii="宋体" w:hAnsi="宋体" w:cs="宋体"/>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rPr>
          <w:rFonts w:hint="eastAsia" w:ascii="宋体" w:hAnsi="宋体" w:cs="宋体"/>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rPr>
          <w:color w:val="000000"/>
          <w:sz w:val="24"/>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二、资格审查要求</w:t>
      </w:r>
      <w:r>
        <w:rPr>
          <w:rFonts w:hint="eastAsia" w:ascii="宋体" w:hAnsi="宋体" w:cs="宋体"/>
          <w:b/>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48"/>
              <w:jc w:val="center"/>
              <w:tabs>
                <w:tab w:val="left" w:pos="1080" w:leader="none"/>
              </w:tabs>
              <w:rPr>
                <w:rFonts w:hint="eastAsia"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55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6" w:type="dxa"/>
            <w:vAlign w:val="center"/>
            <w:textDirection w:val="lrTb"/>
            <w:noWrap w:val="false"/>
          </w:tcPr>
          <w:p>
            <w:pPr>
              <w:pStyle w:val="1048"/>
              <w:keepLines w:val="0"/>
              <w:keepNext w:val="0"/>
              <w:pageBreakBefore w:val="0"/>
              <w:widowControl w:val="off"/>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1048"/>
              <w:keepLines w:val="0"/>
              <w:keepNext w:val="0"/>
              <w:pageBreakBefore w:val="0"/>
              <w:widowControl w:val="off"/>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1048"/>
              <w:keepLines w:val="0"/>
              <w:keepNext w:val="0"/>
              <w:pageBreakBefore w:val="0"/>
              <w:widowControl w:val="off"/>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rPr>
                <w:rFonts w:hint="eastAsia" w:ascii="宋体" w:hAnsi="宋体" w:cs="宋体"/>
                <w:color w:val="000000"/>
                <w:szCs w:val="21"/>
              </w:rPr>
            </w:r>
            <w:r/>
          </w:p>
          <w:p>
            <w:pPr>
              <w:pStyle w:val="1048"/>
              <w:keepLines w:val="0"/>
              <w:keepNext w:val="0"/>
              <w:pageBreakBefore w:val="0"/>
              <w:widowControl w:val="off"/>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2</w:t>
            </w:r>
            <w:r>
              <w:rPr>
                <w:rFonts w:hint="eastAsia" w:ascii="宋体" w:hAnsi="宋体" w:cs="宋体"/>
                <w:color w:val="000000"/>
                <w:szCs w:val="21"/>
              </w:rPr>
            </w:r>
            <w:r/>
          </w:p>
        </w:tc>
        <w:tc>
          <w:tcPr>
            <w:tcW w:w="1982"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落实政府采购政策需满足的资格要求</w:t>
            </w:r>
            <w:r>
              <w:rPr>
                <w:rFonts w:hint="eastAsia" w:ascii="宋体" w:hAnsi="宋体" w:cs="宋体"/>
                <w:color w:val="000000"/>
                <w:szCs w:val="21"/>
              </w:rPr>
            </w:r>
            <w:r/>
          </w:p>
        </w:tc>
        <w:tc>
          <w:tcPr>
            <w:tcW w:w="4824"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具体要求见第一章《投标邀请》</w:t>
            </w:r>
            <w:r>
              <w:rPr>
                <w:rFonts w:hint="eastAsia" w:ascii="宋体" w:hAnsi="宋体" w:cs="宋体"/>
                <w:color w:val="000000"/>
                <w:szCs w:val="21"/>
              </w:rPr>
            </w:r>
            <w:r/>
          </w:p>
        </w:tc>
        <w:tc>
          <w:tcPr>
            <w:tcW w:w="1638"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rPr>
            </w:r>
            <w:r/>
          </w:p>
        </w:tc>
        <w:tc>
          <w:tcPr>
            <w:tcW w:w="1982"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rPr>
            </w:r>
            <w:r/>
          </w:p>
        </w:tc>
        <w:tc>
          <w:tcPr>
            <w:tcW w:w="4824"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rPr>
            </w:r>
            <w:r/>
          </w:p>
        </w:tc>
        <w:tc>
          <w:tcPr>
            <w:tcW w:w="1638"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6"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4" w:type="dxa"/>
            <w:vAlign w:val="center"/>
            <w:textDirection w:val="lrTb"/>
            <w:noWrap w:val="false"/>
          </w:tcPr>
          <w:p>
            <w:pPr>
              <w:pStyle w:val="1048"/>
              <w:jc w:val="center"/>
              <w:tabs>
                <w:tab w:val="left" w:pos="108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1048"/>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bl>
    <w:p>
      <w:pPr>
        <w:pStyle w:val="1048"/>
        <w:jc w:val="left"/>
        <w:widowControl/>
        <w:rPr>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600" w:name="_Toc127151779"/>
      <w:r/>
      <w:bookmarkStart w:id="601" w:name="_Toc127161490"/>
      <w:r/>
      <w:bookmarkStart w:id="602" w:name="_Toc353873940"/>
      <w:r/>
      <w:bookmarkStart w:id="603" w:name="_Toc353825550"/>
      <w:r/>
      <w:bookmarkStart w:id="604" w:name="_Toc226965858"/>
      <w:r>
        <w:rPr>
          <w:color w:val="000000"/>
          <w:sz w:val="24"/>
        </w:rPr>
        <w:br w:type="page" w:clear="all"/>
      </w:r>
      <w:r>
        <w:rPr>
          <w:color w:val="000000"/>
          <w:sz w:val="24"/>
        </w:rPr>
      </w:r>
      <w:r/>
    </w:p>
    <w:p>
      <w:pPr>
        <w:pStyle w:val="1048"/>
        <w:jc w:val="center"/>
        <w:spacing w:line="360" w:lineRule="auto"/>
        <w:rPr>
          <w:rFonts w:hint="eastAsia"/>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Pr>
          <w:rFonts w:hint="eastAsia"/>
          <w:b/>
          <w:color w:val="000000"/>
          <w:sz w:val="32"/>
          <w:szCs w:val="32"/>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一、评标程序</w:t>
      </w:r>
      <w:r>
        <w:rPr>
          <w:rFonts w:hint="eastAsia" w:ascii="宋体" w:hAnsi="宋体" w:cs="宋体"/>
          <w:b/>
          <w:color w:val="000000"/>
          <w:szCs w:val="21"/>
        </w:rPr>
      </w:r>
      <w:r/>
    </w:p>
    <w:p>
      <w:pPr>
        <w:pStyle w:val="1048"/>
        <w:spacing w:line="360" w:lineRule="auto"/>
        <w:tabs>
          <w:tab w:val="left" w:pos="360" w:leader="none"/>
        </w:tabs>
        <w:rPr>
          <w:rFonts w:hint="eastAsia" w:ascii="宋体" w:hAnsi="宋体" w:cs="宋体"/>
          <w:color w:val="000000"/>
          <w:szCs w:val="21"/>
        </w:rPr>
        <w:outlineLvl w:val="1"/>
      </w:pPr>
      <w:r/>
      <w:bookmarkStart w:id="607" w:name="_Toc164229382"/>
      <w:r/>
      <w:bookmarkStart w:id="608" w:name="_Toc150774746"/>
      <w:r/>
      <w:bookmarkStart w:id="609" w:name="_Toc195842906"/>
      <w:r/>
      <w:bookmarkStart w:id="610" w:name="_Toc149720834"/>
      <w:r/>
      <w:bookmarkStart w:id="611" w:name="_Toc150480779"/>
      <w:r/>
      <w:bookmarkStart w:id="612" w:name="_Toc305158809"/>
      <w:r/>
      <w:bookmarkStart w:id="613" w:name="_Toc151193855"/>
      <w:r/>
      <w:bookmarkStart w:id="614" w:name="_Toc150774641"/>
      <w:r/>
      <w:bookmarkStart w:id="615" w:name="_Toc226965731"/>
      <w:r/>
      <w:bookmarkStart w:id="616" w:name="_Toc226337237"/>
      <w:r/>
      <w:bookmarkStart w:id="617" w:name="_Toc127151742"/>
      <w:r/>
      <w:bookmarkStart w:id="618" w:name="_Toc164351635"/>
      <w:r/>
      <w:bookmarkStart w:id="619" w:name="_Toc151193929"/>
      <w:r/>
      <w:bookmarkStart w:id="620" w:name="_Toc265228379"/>
      <w:r/>
      <w:bookmarkStart w:id="621" w:name="_Toc127161455"/>
      <w:r/>
      <w:bookmarkStart w:id="622" w:name="_Toc151190168"/>
      <w:r/>
      <w:bookmarkStart w:id="623" w:name="_Toc127151541"/>
      <w:r/>
      <w:bookmarkStart w:id="624" w:name="_Toc164229236"/>
      <w:r/>
      <w:bookmarkStart w:id="625" w:name="_Toc305158883"/>
      <w:r/>
      <w:bookmarkStart w:id="626" w:name="_Toc226309785"/>
      <w:r/>
      <w:bookmarkStart w:id="627" w:name="_Toc151193639"/>
      <w:r/>
      <w:bookmarkStart w:id="628" w:name="_Toc142311043"/>
      <w:r/>
      <w:bookmarkStart w:id="629" w:name="_Toc264969231"/>
      <w:r/>
      <w:bookmarkStart w:id="630" w:name="_Toc151193711"/>
      <w:r/>
      <w:bookmarkStart w:id="631" w:name="_Toc150509292"/>
      <w:r/>
      <w:bookmarkStart w:id="632" w:name="_Toc164608655"/>
      <w:r/>
      <w:bookmarkStart w:id="633" w:name="_Toc151193783"/>
      <w:r/>
      <w:bookmarkStart w:id="634" w:name="_Toc164608810"/>
      <w:r/>
      <w:bookmarkStart w:id="635" w:name="_Toc226965814"/>
      <w:r/>
      <w:bookmarkStart w:id="636" w:name="_Toc353825551"/>
      <w:r/>
      <w:bookmarkStart w:id="637" w:name="_Toc353873941"/>
      <w:r/>
      <w:bookmarkStart w:id="638" w:name="_Toc127151555"/>
      <w:r/>
      <w:bookmarkStart w:id="639" w:name="_Toc226965828"/>
      <w:r/>
      <w:bookmarkStart w:id="640" w:name="_Toc353873665"/>
      <w:r/>
      <w:bookmarkStart w:id="641" w:name="_Toc305158823"/>
      <w:r/>
      <w:bookmarkStart w:id="642" w:name="_Toc265228393"/>
      <w:r/>
      <w:bookmarkStart w:id="643" w:name="_Toc305158897"/>
      <w:r/>
      <w:bookmarkStart w:id="644" w:name="_Toc150480793"/>
      <w:r/>
      <w:bookmarkStart w:id="645" w:name="_Toc150774760"/>
      <w:r/>
      <w:bookmarkStart w:id="646" w:name="_Toc142311057"/>
      <w:r/>
      <w:bookmarkStart w:id="647" w:name="_Toc264969245"/>
      <w:r/>
      <w:bookmarkStart w:id="648" w:name="_Toc353873935"/>
      <w:r/>
      <w:bookmarkStart w:id="649" w:name="_Toc353825545"/>
      <w:r/>
      <w:bookmarkStart w:id="650" w:name="_Toc195842920"/>
      <w:r/>
      <w:bookmarkStart w:id="651" w:name="_Toc226337251"/>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rPr>
      </w:r>
      <w:r/>
    </w:p>
    <w:p>
      <w:pPr>
        <w:pStyle w:val="1048"/>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rPr>
      </w:r>
      <w:r/>
    </w:p>
    <w:p>
      <w:pPr>
        <w:pStyle w:val="1048"/>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rPr>
      </w:pPr>
      <w:r>
        <w:rPr>
          <w:rFonts w:hint="eastAsia" w:ascii="宋体" w:hAnsi="宋体" w:cs="宋体"/>
          <w:b/>
          <w:color w:val="000000"/>
          <w:szCs w:val="21"/>
        </w:rPr>
        <w:t xml:space="preserve">符合性审查要求</w:t>
      </w:r>
      <w:r>
        <w:rPr>
          <w:rFonts w:hint="eastAsia" w:ascii="宋体" w:hAnsi="宋体" w:cs="宋体"/>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详见下文2.6条，异常低价审查程序；</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招标文件不接受进口产品投标的内容时，投标人所投产品非进口产品的；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1048"/>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1048"/>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1048"/>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2.4投标文件报价出现前后不一致的，按照下列规定修正：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2.4.1招标文件对于报价修正是否另有规定：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□有，具体规定为：______________</w:t>
      </w:r>
      <w:r>
        <w:rPr>
          <w:rFonts w:hint="eastAsia" w:ascii="宋体" w:hAnsi="宋体" w:cs="宋体"/>
          <w:color w:val="000000"/>
          <w:szCs w:val="21"/>
        </w:rPr>
      </w:r>
      <w:r/>
    </w:p>
    <w:p>
      <w:pPr>
        <w:pStyle w:val="1048"/>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2.5.7残疾人福利性单位按招标文件要求提供了《残疾人福利性单位声明函》（见附件）的，视</w:t>
      </w:r>
      <w:r>
        <w:rPr>
          <w:rFonts w:hint="eastAsia" w:ascii="宋体" w:hAnsi="宋体" w:cs="宋体"/>
          <w:color w:val="000000"/>
          <w:szCs w:val="21"/>
          <w:highlight w:val="none"/>
        </w:rPr>
        <w:t xml:space="preserve">同小微企业。</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w:t>
      </w:r>
      <w:r>
        <w:rPr>
          <w:rFonts w:hint="eastAsia" w:ascii="宋体" w:hAnsi="宋体" w:eastAsia="宋体" w:cs="宋体"/>
          <w:color w:val="000000"/>
          <w:szCs w:val="21"/>
          <w:highlight w:val="none"/>
        </w:rPr>
        <w:t xml:space="preserve">不重复享受小微企业价格扣减的优惠政策。</w:t>
      </w:r>
      <w:r>
        <w:rPr>
          <w:rFonts w:hint="eastAsia" w:ascii="宋体" w:hAnsi="宋体" w:eastAsia="宋体" w:cs="宋体"/>
          <w:color w:val="000000"/>
          <w:szCs w:val="21"/>
          <w:highlight w:val="none"/>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2.7政府采购中实施本国产品标准及相关政策</w:t>
      </w:r>
      <w:r>
        <w:rPr>
          <w:rFonts w:hint="eastAsia" w:ascii="宋体" w:hAnsi="宋体" w:eastAsia="宋体" w:cs="宋体"/>
          <w:b/>
          <w:bCs/>
          <w:color w:val="000000"/>
          <w:szCs w:val="21"/>
          <w:highlight w:val="none"/>
          <w:lang w:val="en-US" w:eastAsia="zh-CN"/>
        </w:rPr>
      </w:r>
      <w:r/>
    </w:p>
    <w:p>
      <w:pPr>
        <w:pStyle w:val="1113"/>
        <w:ind w:firstLine="420"/>
        <w:spacing w:before="0" w:beforeAutospacing="0" w:after="0"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2.7.1当采购项目中既有本国产品又有非本国产品参与竞争的，供应商为该采购项目提供的符合本国产品标准的产品成本之和占该供应商提供的全部产品成本之和的比例达到80%以上时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宋体"/>
          <w:b/>
          <w:bCs/>
          <w:color w:val="ff0000"/>
          <w:sz w:val="21"/>
          <w:szCs w:val="21"/>
          <w:highlight w:val="none"/>
          <w:lang w:val="en-US" w:eastAsia="zh-CN" w:bidi="ar-SA"/>
        </w:rPr>
        <w:t xml:space="preserve">（财政部会同有关行业主管部门，分产品确定在中国境内生产的组件成本占比应当达到的规定比例。在分产品的中国境内生产的组件</w:t>
      </w:r>
      <w:r>
        <w:rPr>
          <w:rFonts w:hint="eastAsia" w:ascii="宋体" w:hAnsi="宋体" w:eastAsia="宋体" w:cs="宋体"/>
          <w:b/>
          <w:bCs/>
          <w:color w:val="ff0000"/>
          <w:sz w:val="21"/>
          <w:szCs w:val="21"/>
          <w:highlight w:val="none"/>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宋体"/>
          <w:b/>
          <w:bCs/>
          <w:color w:val="000000"/>
          <w:sz w:val="21"/>
          <w:szCs w:val="21"/>
          <w:highlight w:val="none"/>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ff0000"/>
          <w:sz w:val="21"/>
          <w:szCs w:val="21"/>
          <w:highlight w:val="none"/>
          <w:lang w:val="en-US" w:eastAsia="zh-CN" w:bidi="ar-SA"/>
        </w:rPr>
        <w:t xml:space="preserve">（供应商需在“投标分项报价表”中填写比例数值）。</w:t>
      </w:r>
      <w:r>
        <w:rPr>
          <w:rFonts w:hint="eastAsia" w:ascii="宋体" w:hAnsi="宋体" w:eastAsia="宋体" w:cs="宋体"/>
          <w:b/>
          <w:bCs/>
          <w:color w:val="000000"/>
          <w:sz w:val="21"/>
          <w:szCs w:val="21"/>
          <w:highlight w:val="none"/>
          <w:lang w:val="en-US" w:eastAsia="zh-CN" w:bidi="ar-SA"/>
        </w:rPr>
      </w:r>
      <w:r/>
    </w:p>
    <w:p>
      <w:pPr>
        <w:pStyle w:val="1048"/>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2.7.2供应商需按照招标文件的要求提供《关于符合本国产品标准的声明函》（以下简称《声明函》），如不提供将不享受本国产品价格评审优惠。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1"/>
          <w:szCs w:val="21"/>
          <w:highlight w:val="none"/>
          <w:lang w:val="en-US" w:eastAsia="zh-CN" w:bidi="ar-SA"/>
        </w:rPr>
      </w:r>
      <w:r/>
    </w:p>
    <w:p>
      <w:pPr>
        <w:pStyle w:val="1048"/>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val="en-US" w:eastAsia="zh-CN" w:bidi="ar-SA"/>
        </w:rPr>
      </w:r>
      <w:r/>
    </w:p>
    <w:p>
      <w:pPr>
        <w:pStyle w:val="1048"/>
        <w:numPr>
          <w:ilvl w:val="0"/>
          <w:numId w:val="0"/>
        </w:numPr>
        <w:ind w:firstLine="422"/>
        <w:spacing w:line="360" w:lineRule="auto"/>
        <w:tabs>
          <w:tab w:val="left" w:pos="1080" w:leader="none"/>
          <w:tab w:val="left" w:pos="1589" w:leader="none"/>
          <w:tab w:val="left" w:pos="2014"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2.7.4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b/>
          <w:bCs/>
          <w:color w:val="000000"/>
          <w:sz w:val="21"/>
          <w:szCs w:val="21"/>
          <w:highlight w:val="none"/>
          <w:lang w:val="en-US" w:eastAsia="zh-CN"/>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3.投标文件的比较和评价</w:t>
      </w:r>
      <w:bookmarkEnd w:id="636"/>
      <w:r/>
      <w:bookmarkEnd w:id="637"/>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1048"/>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4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4.确定</w:t>
      </w:r>
      <w:bookmarkStart w:id="653" w:name="_Toc149720839"/>
      <w:r/>
      <w:bookmarkStart w:id="654" w:name="_Toc127161460"/>
      <w:r/>
      <w:bookmarkStart w:id="655" w:name="_Toc150480784"/>
      <w:r/>
      <w:bookmarkStart w:id="656" w:name="_Toc151193860"/>
      <w:r/>
      <w:bookmarkStart w:id="657" w:name="_Toc151193934"/>
      <w:r/>
      <w:bookmarkStart w:id="658" w:name="_Toc305158888"/>
      <w:r/>
      <w:bookmarkStart w:id="659" w:name="_Toc151193716"/>
      <w:r/>
      <w:bookmarkStart w:id="660" w:name="_Toc164229241"/>
      <w:r/>
      <w:bookmarkStart w:id="661" w:name="_Toc226965819"/>
      <w:r/>
      <w:bookmarkStart w:id="662" w:name="_Toc150774646"/>
      <w:r/>
      <w:bookmarkStart w:id="663" w:name="_Toc150509297"/>
      <w:r/>
      <w:bookmarkStart w:id="664" w:name="_Toc226309790"/>
      <w:r/>
      <w:bookmarkStart w:id="665" w:name="_Toc164608815"/>
      <w:r/>
      <w:bookmarkStart w:id="666" w:name="_Toc164229387"/>
      <w:r/>
      <w:bookmarkStart w:id="667" w:name="_Toc151193788"/>
      <w:r/>
      <w:bookmarkStart w:id="668" w:name="_Toc520356170"/>
      <w:r/>
      <w:bookmarkStart w:id="669" w:name="_Toc264969236"/>
      <w:r/>
      <w:bookmarkStart w:id="670" w:name="_Toc127151747"/>
      <w:r/>
      <w:bookmarkStart w:id="671" w:name="_Ref467307010"/>
      <w:r/>
      <w:bookmarkStart w:id="672" w:name="_Toc265228384"/>
      <w:r/>
      <w:bookmarkStart w:id="673" w:name="_Toc195842911"/>
      <w:r/>
      <w:bookmarkStart w:id="674" w:name="_Toc226965736"/>
      <w:r/>
      <w:bookmarkStart w:id="675" w:name="_Toc226337242"/>
      <w:r/>
      <w:bookmarkStart w:id="676" w:name="_Toc150774751"/>
      <w:r/>
      <w:bookmarkStart w:id="677" w:name="_Toc164608660"/>
      <w:r/>
      <w:bookmarkStart w:id="678" w:name="_Toc151190173"/>
      <w:r/>
      <w:bookmarkStart w:id="679" w:name="_Toc127151546"/>
      <w:r/>
      <w:bookmarkStart w:id="680" w:name="_Toc142311048"/>
      <w:r/>
      <w:bookmarkStart w:id="681" w:name="_Toc164351640"/>
      <w:r/>
      <w:bookmarkStart w:id="682" w:name="_Toc305158814"/>
      <w:r/>
      <w:bookmarkStart w:id="683" w:name="_Toc151193644"/>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rPr>
      </w:r>
      <w:r/>
    </w:p>
    <w:p>
      <w:pPr>
        <w:pStyle w:val="1048"/>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5.报告违法行为</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Cs w:val="21"/>
        </w:rPr>
      </w:r>
      <w:r/>
    </w:p>
    <w:p>
      <w:pPr>
        <w:pStyle w:val="1048"/>
        <w:jc w:val="center"/>
        <w:widowControl/>
        <w:rPr>
          <w:rFonts w:ascii="Times New Roman" w:hAnsi="Times New Roman" w:eastAsia="宋体"/>
          <w:color w:val="000000"/>
          <w:sz w:val="28"/>
          <w:szCs w:val="28"/>
        </w:rPr>
      </w:pPr>
      <w:r>
        <w:rPr>
          <w:b/>
          <w:color w:val="000000"/>
          <w:sz w:val="24"/>
        </w:rPr>
        <w:br w:type="page" w:clear="all"/>
      </w:r>
      <w:r>
        <w:rPr>
          <w:rFonts w:hint="eastAsia" w:ascii="Times New Roman" w:hAnsi="Times New Roman" w:eastAsia="宋体"/>
          <w:b/>
          <w:color w:val="000000"/>
          <w:sz w:val="28"/>
          <w:szCs w:val="28"/>
          <w:lang w:val="en-US" w:eastAsia="zh-CN" w:bidi="ar-SA"/>
        </w:rPr>
        <w:t xml:space="preserve">二、</w:t>
      </w:r>
      <w:r>
        <w:rPr>
          <w:rFonts w:ascii="Times New Roman" w:hAnsi="Times New Roman" w:eastAsia="宋体"/>
          <w:color w:val="000000"/>
          <w:sz w:val="28"/>
          <w:szCs w:val="28"/>
        </w:rPr>
        <w:t xml:space="preserve">评标标准</w:t>
      </w:r>
      <w:r>
        <w:rPr>
          <w:rFonts w:ascii="Times New Roman" w:hAnsi="Times New Roman" w:eastAsia="宋体"/>
          <w:color w:val="000000"/>
          <w:sz w:val="28"/>
          <w:szCs w:val="28"/>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16"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77"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368"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433" w:type="dxa"/>
            <w:vAlign w:val="center"/>
            <w:textDirection w:val="lrTb"/>
            <w:noWrap w:val="false"/>
          </w:tcPr>
          <w:p>
            <w:pPr>
              <w:pStyle w:val="1299"/>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0"/>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316"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价格分</w:t>
            </w:r>
            <w:r>
              <w:rPr>
                <w:rFonts w:hint="eastAsia" w:ascii="宋体" w:hAnsi="宋体" w:cs="宋体"/>
                <w:b/>
                <w:color w:val="000000"/>
                <w:szCs w:val="21"/>
                <w:highlight w:val="none"/>
              </w:rPr>
            </w:r>
            <w:r/>
          </w:p>
        </w:tc>
        <w:tc>
          <w:tcPr>
            <w:tcW w:w="777"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50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Cs w:val="21"/>
                <w:highlight w:val="none"/>
              </w:rPr>
            </w:r>
            <w:r/>
          </w:p>
          <w:p>
            <w:pPr>
              <w:pStyle w:val="1048"/>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投标报价得分＝（评标基准价/投标报价）×分值。</w:t>
            </w:r>
            <w:r>
              <w:rPr>
                <w:rFonts w:hint="eastAsia" w:ascii="宋体" w:hAnsi="宋体" w:cs="宋体"/>
                <w:color w:val="000000"/>
                <w:szCs w:val="21"/>
                <w:highlight w:val="none"/>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此处投标报价指经过报价修正，及因落实政府采购政策进行价格调整后的报价，详见第四章《评标方法和评标标准》2.4及2.5。</w:t>
            </w: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316"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48"/>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总体实施方案</w:t>
            </w:r>
            <w:r>
              <w:rPr>
                <w:rFonts w:hint="eastAsia" w:ascii="宋体" w:hAnsi="宋体" w:eastAsia="宋体" w:cs="宋体"/>
                <w:color w:val="000000"/>
                <w:szCs w:val="21"/>
                <w:highlight w:val="none"/>
                <w:lang w:val="zh-CN"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评标委员会根据投标人针对现场实际情况以及招标文件要求提供的</w:t>
            </w:r>
            <w:r>
              <w:rPr>
                <w:rFonts w:hint="eastAsia" w:ascii="宋体" w:hAnsi="宋体" w:eastAsia="宋体" w:cs="宋体"/>
                <w:color w:val="000000"/>
                <w:szCs w:val="21"/>
                <w:highlight w:val="none"/>
                <w:lang w:val="en-US" w:eastAsia="zh-CN"/>
              </w:rPr>
              <w:t xml:space="preserve">总体实施方案（包括但不限于方案需求、技术方案设计、施工安装、验收、实施计划及进度安排等）进行综合评审。</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（1）总体实施方案内容完整、进度计划安排合理的，得9分；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（2）总体实施方案内容较完整、进度计划安排较合理的，得6分；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（3）总体实施方案内容一般、进度计划安排一般的，得4分；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（4）总体实施方案内容、进度计划安排较差的，得1分；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（5）未提供不得分。</w:t>
            </w:r>
            <w:r>
              <w:rPr>
                <w:rFonts w:hint="eastAsia" w:ascii="宋体" w:hAnsi="宋体" w:eastAsia="宋体" w:cs="宋体"/>
                <w:color w:val="000000"/>
                <w:szCs w:val="21"/>
                <w:highlight w:val="none"/>
                <w:lang w:eastAsia="zh-CN"/>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2074"/>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2.2</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突发事件应急处理预案</w:t>
            </w:r>
            <w:r>
              <w:rPr>
                <w:rFonts w:hint="eastAsia" w:ascii="宋体" w:hAnsi="宋体" w:eastAsia="宋体" w:cs="宋体"/>
                <w:color w:val="000000"/>
                <w:szCs w:val="21"/>
                <w:highlight w:val="none"/>
                <w:lang w:val="en-US"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评标委员会根据投标人提供的应急预案（包括但不限于突发事件的响应速度、资源调度、处置措施、风险防范等）</w:t>
            </w:r>
            <w:r>
              <w:rPr>
                <w:rFonts w:hint="eastAsia" w:ascii="宋体" w:hAnsi="宋体" w:eastAsia="宋体" w:cs="宋体"/>
                <w:color w:val="000000"/>
                <w:szCs w:val="21"/>
                <w:highlight w:val="none"/>
              </w:rPr>
              <w:t xml:space="preserve">进行综合评审。</w:t>
            </w:r>
            <w:r>
              <w:rPr>
                <w:rFonts w:hint="eastAsia" w:ascii="宋体" w:hAnsi="宋体" w:eastAsia="宋体" w:cs="宋体"/>
                <w:color w:val="000000"/>
                <w:szCs w:val="21"/>
                <w:highlight w:val="none"/>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（1）突发事件应急处理预案全面、准确、可操作性强的，得8分；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（2）突发事件应急处理预案较全面、较准确、可操作性较强的，得5分；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（3）突发事件应急处理预案基本准确，可操作性一般的，得3分；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（4）突发事件应急处理预案全面性和准确性有欠缺，可操作性差的，得1分；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（5）未提供不得分。</w:t>
            </w:r>
            <w:r>
              <w:rPr>
                <w:rFonts w:hint="eastAsia" w:ascii="宋体" w:hAnsi="宋体" w:eastAsia="宋体" w:cs="宋体"/>
                <w:color w:val="000000"/>
                <w:sz w:val="21"/>
                <w:szCs w:val="21"/>
                <w:highlight w:val="none"/>
                <w:lang w:val="en-US" w:eastAsia="zh-CN" w:bidi="ar-SA"/>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售后服务方案</w:t>
            </w:r>
            <w:r>
              <w:rPr>
                <w:rFonts w:hint="eastAsia" w:ascii="宋体" w:hAnsi="宋体" w:eastAsia="宋体" w:cs="宋体"/>
                <w:color w:val="000000"/>
                <w:szCs w:val="21"/>
                <w:highlight w:val="none"/>
                <w:lang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评标委员会根据投标人提供的售后服务方案（包括</w:t>
            </w:r>
            <w:r>
              <w:rPr>
                <w:rFonts w:hint="eastAsia" w:ascii="宋体" w:hAnsi="宋体" w:eastAsia="宋体" w:cs="宋体"/>
                <w:color w:val="000000"/>
                <w:szCs w:val="21"/>
                <w:highlight w:val="none"/>
                <w:lang w:val="en-US" w:eastAsia="zh-CN"/>
              </w:rPr>
              <w:t xml:space="preserve">但不限于</w:t>
            </w:r>
            <w:r>
              <w:rPr>
                <w:rFonts w:hint="eastAsia" w:ascii="宋体" w:hAnsi="宋体" w:eastAsia="宋体" w:cs="宋体"/>
                <w:color w:val="000000"/>
                <w:szCs w:val="21"/>
                <w:highlight w:val="none"/>
              </w:rPr>
              <w:t xml:space="preserve">技术支持与设备维护服务内容、服务响应方式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故障分级、响应及时性、驻场人员分工、备品备件方案等）进行综合评审。</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售后服务方案完整</w:t>
            </w:r>
            <w:r>
              <w:rPr>
                <w:rFonts w:hint="eastAsia" w:ascii="宋体" w:hAnsi="宋体" w:eastAsia="宋体" w:cs="宋体"/>
                <w:color w:val="000000"/>
                <w:szCs w:val="21"/>
                <w:highlight w:val="none"/>
                <w:lang w:val="en-US" w:eastAsia="zh-CN"/>
              </w:rPr>
              <w:t xml:space="preserve">且</w:t>
            </w:r>
            <w:r>
              <w:rPr>
                <w:rFonts w:hint="eastAsia" w:ascii="宋体" w:hAnsi="宋体" w:eastAsia="宋体" w:cs="宋体"/>
                <w:color w:val="000000"/>
                <w:szCs w:val="21"/>
                <w:highlight w:val="none"/>
              </w:rPr>
              <w:t xml:space="preserve">合理，可行性高的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售后服务方案较为完整合理，可行性较高的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基本满足采购人售后要求的，得4分；</w:t>
            </w:r>
            <w:r>
              <w:rPr>
                <w:rFonts w:ascii="宋体" w:hAnsi="宋体" w:eastAsia="宋体" w:cs="宋体"/>
                <w:color w:val="000000"/>
                <w:szCs w:val="21"/>
                <w:highlight w:val="none"/>
                <w:lang w:val="en-US" w:eastAsia="zh-CN"/>
              </w:rPr>
            </w:r>
            <w:r/>
          </w:p>
          <w:p>
            <w:pPr>
              <w:pStyle w:val="1048"/>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不能满足采购人售后要求的，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16"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48"/>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06"/>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技术参数及性能</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48"/>
              <w:ind w:firstLine="0"/>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技术要求的符合性，即对提供货物的技术参数、配置、性能是否符合或优于招标文件要求进行评价。全部符合技术要求的得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48"/>
              <w:ind w:firstLine="0"/>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采购清单中</w:t>
            </w:r>
            <w:r>
              <w:rPr>
                <w:rFonts w:hint="eastAsia" w:ascii="宋体" w:hAnsi="宋体" w:eastAsia="宋体" w:cs="宋体"/>
                <w:color w:val="000000"/>
                <w:sz w:val="21"/>
                <w:szCs w:val="21"/>
                <w:highlight w:val="none"/>
                <w:lang w:val="en-US" w:eastAsia="zh-CN"/>
              </w:rPr>
              <w:t xml:space="preserve">标注</w:t>
            </w:r>
            <w:r>
              <w:rPr>
                <w:rFonts w:hint="eastAsia" w:ascii="宋体" w:hAnsi="宋体" w:eastAsia="宋体" w:cs="宋体"/>
                <w:color w:val="000000"/>
                <w:sz w:val="21"/>
                <w:szCs w:val="21"/>
                <w:highlight w:val="none"/>
              </w:rPr>
              <w:t xml:space="preserve">“▲”参数为重要参数，每有一项负偏离的，扣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扣完为止。</w:t>
            </w:r>
            <w:r>
              <w:rPr>
                <w:rFonts w:hint="eastAsia" w:ascii="宋体" w:hAnsi="宋体" w:eastAsia="宋体" w:cs="宋体"/>
                <w:color w:val="000000"/>
                <w:sz w:val="21"/>
                <w:szCs w:val="21"/>
                <w:highlight w:val="none"/>
              </w:rPr>
            </w:r>
            <w:r/>
          </w:p>
          <w:p>
            <w:pPr>
              <w:pStyle w:val="1048"/>
              <w:numPr>
                <w:ilvl w:val="0"/>
                <w:numId w:val="0"/>
              </w:numPr>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注：</w:t>
            </w:r>
            <w:r>
              <w:rPr>
                <w:rFonts w:hint="eastAsia" w:ascii="宋体" w:hAnsi="宋体" w:eastAsia="宋体" w:cs="宋体"/>
                <w:b/>
                <w:color w:val="000000"/>
                <w:sz w:val="21"/>
                <w:szCs w:val="21"/>
                <w:highlight w:val="none"/>
              </w:rPr>
              <w:t xml:space="preserve">其余参数以</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采购需求偏离表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为准，</w:t>
            </w:r>
            <w:r>
              <w:rPr>
                <w:rFonts w:hint="eastAsia" w:ascii="宋体" w:hAnsi="宋体" w:eastAsia="宋体" w:cs="宋体"/>
                <w:b/>
                <w:color w:val="000000"/>
                <w:sz w:val="21"/>
                <w:szCs w:val="21"/>
                <w:highlight w:val="none"/>
              </w:rPr>
              <w:t xml:space="preserve">签订合同前</w:t>
            </w:r>
            <w:r>
              <w:rPr>
                <w:rFonts w:hint="eastAsia" w:ascii="宋体" w:hAnsi="宋体" w:eastAsia="宋体" w:cs="宋体"/>
                <w:b/>
                <w:color w:val="000000"/>
                <w:sz w:val="21"/>
                <w:szCs w:val="21"/>
                <w:highlight w:val="none"/>
                <w:lang w:val="en-US" w:eastAsia="zh-CN"/>
              </w:rPr>
              <w:t xml:space="preserve">采购人</w:t>
            </w:r>
            <w:r>
              <w:rPr>
                <w:rFonts w:hint="eastAsia" w:ascii="宋体" w:hAnsi="宋体" w:eastAsia="宋体" w:cs="宋体"/>
                <w:b/>
                <w:color w:val="000000"/>
                <w:sz w:val="21"/>
                <w:szCs w:val="21"/>
                <w:highlight w:val="none"/>
              </w:rPr>
              <w:t xml:space="preserve">有权</w:t>
            </w:r>
            <w:r>
              <w:rPr>
                <w:rFonts w:hint="eastAsia" w:ascii="宋体" w:hAnsi="宋体" w:eastAsia="宋体" w:cs="宋体"/>
                <w:b/>
                <w:color w:val="000000"/>
                <w:sz w:val="21"/>
                <w:szCs w:val="21"/>
                <w:highlight w:val="none"/>
                <w:lang w:val="en-US" w:eastAsia="zh-CN"/>
              </w:rPr>
              <w:t xml:space="preserve">对</w:t>
            </w:r>
            <w:r>
              <w:rPr>
                <w:rFonts w:hint="eastAsia" w:ascii="宋体" w:hAnsi="宋体" w:eastAsia="宋体" w:cs="宋体"/>
                <w:b/>
                <w:color w:val="000000"/>
                <w:sz w:val="21"/>
                <w:szCs w:val="21"/>
                <w:highlight w:val="none"/>
                <w:lang w:val="en-US" w:eastAsia="zh-CN"/>
              </w:rPr>
              <w:t xml:space="preserve">中标人</w:t>
            </w:r>
            <w:r>
              <w:rPr>
                <w:rFonts w:hint="eastAsia" w:ascii="宋体" w:hAnsi="宋体" w:eastAsia="宋体" w:cs="宋体"/>
                <w:b/>
                <w:color w:val="000000"/>
                <w:sz w:val="21"/>
                <w:szCs w:val="21"/>
                <w:highlight w:val="none"/>
              </w:rPr>
              <w:t xml:space="preserve">进行技术参数响应核实，如不满足</w:t>
            </w:r>
            <w:r>
              <w:rPr>
                <w:rFonts w:hint="eastAsia" w:ascii="宋体" w:hAnsi="宋体" w:eastAsia="宋体" w:cs="宋体"/>
                <w:b/>
                <w:color w:val="000000"/>
                <w:sz w:val="21"/>
                <w:szCs w:val="21"/>
                <w:highlight w:val="none"/>
                <w:lang w:val="en-US" w:eastAsia="zh-CN"/>
              </w:rPr>
              <w:t xml:space="preserve">采购人</w:t>
            </w:r>
            <w:r>
              <w:rPr>
                <w:rFonts w:hint="eastAsia" w:ascii="宋体" w:hAnsi="宋体" w:eastAsia="宋体" w:cs="宋体"/>
                <w:b/>
                <w:color w:val="000000"/>
                <w:sz w:val="21"/>
                <w:szCs w:val="21"/>
                <w:highlight w:val="none"/>
              </w:rPr>
              <w:t xml:space="preserve">需求作虚假应标处理。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标注“▲”参数应按照要求提供相关证明材料原件扫描件并加盖投标人公章。</w:t>
            </w:r>
            <w:r>
              <w:rPr>
                <w:rFonts w:hint="eastAsia" w:ascii="宋体" w:hAnsi="宋体" w:eastAsia="宋体" w:cs="宋体"/>
                <w:b/>
                <w:bCs/>
                <w:color w:val="000000"/>
                <w:sz w:val="21"/>
                <w:szCs w:val="21"/>
                <w:highlight w:val="none"/>
                <w:lang w:val="en-US" w:eastAsia="zh-CN"/>
              </w:rPr>
              <w:t xml:space="preserve">未提供的或资料不全的或无效的，则视为“负偏离”。</w:t>
            </w:r>
            <w:r>
              <w:rPr>
                <w:rFonts w:hint="eastAsia" w:ascii="宋体" w:hAnsi="宋体" w:eastAsia="宋体" w:cs="宋体"/>
                <w:b/>
                <w:bCs/>
                <w:color w:val="000000"/>
                <w:sz w:val="21"/>
                <w:szCs w:val="21"/>
                <w:highlight w:val="none"/>
                <w:lang w:val="en-US" w:eastAsia="zh-CN"/>
              </w:rPr>
              <w:t xml:space="preserve">如有提供虚假技术参数的，一经发现按无效投标处理。</w:t>
            </w:r>
            <w:r>
              <w:rPr>
                <w:rFonts w:hint="eastAsia" w:ascii="宋体" w:hAnsi="宋体" w:eastAsia="宋体" w:cs="宋体"/>
                <w:b/>
                <w:bCs/>
                <w:color w:val="000000"/>
                <w:sz w:val="21"/>
                <w:szCs w:val="21"/>
                <w:highlight w:val="none"/>
                <w:lang w:val="en-US" w:eastAsia="zh-CN"/>
              </w:rPr>
            </w:r>
            <w:r/>
          </w:p>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trHeight w:val="1706"/>
        </w:trPr>
        <w:tc>
          <w:tcPr>
            <w:tcW w:w="704"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综合实力</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131"/>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（1）投标人具有有效的信息安全服务资质认证（CCRC）安全集成服务一级证书的，得1分；二级及以下的，得0.5分；</w:t>
            </w:r>
            <w:r>
              <w:rPr>
                <w:rFonts w:hint="eastAsia" w:ascii="宋体" w:hAnsi="宋体" w:eastAsia="宋体" w:cs="宋体"/>
                <w:color w:val="000000"/>
                <w:sz w:val="21"/>
                <w:szCs w:val="21"/>
                <w:highlight w:val="none"/>
                <w:lang w:val="en-US" w:eastAsia="zh-CN" w:bidi="ar-SA"/>
              </w:rPr>
            </w:r>
            <w:r/>
          </w:p>
          <w:p>
            <w:pPr>
              <w:pStyle w:val="1131"/>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（2）投标人具有有效的</w:t>
            </w:r>
            <w:r>
              <w:rPr>
                <w:rFonts w:hint="eastAsia" w:ascii="宋体" w:hAnsi="宋体" w:eastAsia="宋体" w:cs="宋体"/>
                <w:color w:val="000000"/>
                <w:sz w:val="21"/>
                <w:szCs w:val="21"/>
                <w:highlight w:val="none"/>
                <w:lang w:val="en-US" w:eastAsia="zh-CN"/>
              </w:rPr>
              <w:t xml:space="preserve">信息系统建设和服务能力评估（CS5）的，得1分；CS4及以下的，得0.5分。</w:t>
            </w:r>
            <w:r>
              <w:rPr>
                <w:rFonts w:hint="eastAsia" w:ascii="宋体" w:hAnsi="宋体" w:eastAsia="宋体" w:cs="宋体"/>
                <w:color w:val="000000"/>
                <w:sz w:val="21"/>
                <w:szCs w:val="21"/>
                <w:highlight w:val="none"/>
                <w:lang w:val="en-US" w:eastAsia="zh-CN" w:bidi="ar-SA"/>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中提供相应证书原件扫描件并加盖投标人公章，未提供的或资料不全的或无效的不得分。</w:t>
            </w:r>
            <w:r>
              <w:rPr>
                <w:rFonts w:hint="eastAsia" w:ascii="宋体" w:hAnsi="宋体" w:eastAsia="宋体" w:cs="宋体"/>
                <w:b/>
                <w:bCs/>
                <w:color w:val="000000"/>
                <w:sz w:val="21"/>
                <w:szCs w:val="21"/>
                <w:highlight w:val="none"/>
                <w:lang w:val="en-US" w:eastAsia="zh-CN"/>
              </w:rPr>
            </w:r>
            <w:r/>
          </w:p>
        </w:tc>
      </w:tr>
      <w:tr>
        <w:trPr>
          <w:trHeight w:val="622"/>
        </w:trPr>
        <w:tc>
          <w:tcPr>
            <w:tcW w:w="704"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项目组团队</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48"/>
              <w:ind w:firstLine="28"/>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（1）拟派项目负责人:</w:t>
            </w:r>
            <w:r>
              <w:rPr>
                <w:rFonts w:hint="eastAsia" w:ascii="宋体" w:hAnsi="宋体" w:eastAsia="宋体" w:cs="宋体"/>
                <w:b w:val="0"/>
                <w:bCs w:val="0"/>
                <w:color w:val="000000"/>
                <w:sz w:val="21"/>
                <w:szCs w:val="21"/>
                <w:highlight w:val="none"/>
                <w:lang w:val="en-US" w:eastAsia="zh-CN"/>
              </w:rPr>
              <w:t xml:space="preserve">具有有效的信息系统项目管理师（高级）、通信工程高级工程师证书的，有一项得1分，本项最高得2分；</w:t>
            </w:r>
            <w:r>
              <w:rPr>
                <w:rFonts w:hint="eastAsia" w:ascii="宋体" w:hAnsi="宋体" w:eastAsia="宋体" w:cs="宋体"/>
                <w:color w:val="000000"/>
                <w:sz w:val="21"/>
                <w:szCs w:val="21"/>
                <w:highlight w:val="none"/>
                <w:lang w:val="en-US" w:eastAsia="zh-CN"/>
              </w:rPr>
            </w:r>
            <w:r/>
          </w:p>
          <w:p>
            <w:pPr>
              <w:pStyle w:val="1130"/>
              <w:ind w:left="0" w:firstLine="0"/>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（2）拟派技术负责人：</w:t>
            </w:r>
            <w:r>
              <w:rPr>
                <w:rFonts w:hint="eastAsia" w:ascii="宋体" w:hAnsi="宋体" w:eastAsia="宋体" w:cs="宋体"/>
                <w:b w:val="0"/>
                <w:bCs w:val="0"/>
                <w:color w:val="000000"/>
                <w:sz w:val="21"/>
                <w:szCs w:val="21"/>
                <w:highlight w:val="none"/>
                <w:lang w:val="en-US" w:eastAsia="zh-CN" w:bidi="ar-SA"/>
              </w:rPr>
              <w:t xml:space="preserve">具有有效的</w:t>
            </w:r>
            <w:r>
              <w:rPr>
                <w:rFonts w:hint="eastAsia" w:ascii="宋体" w:hAnsi="宋体" w:eastAsia="宋体" w:cs="宋体"/>
                <w:b w:val="0"/>
                <w:bCs w:val="0"/>
                <w:color w:val="000000"/>
                <w:sz w:val="21"/>
                <w:szCs w:val="21"/>
                <w:highlight w:val="none"/>
                <w:lang w:val="en-US" w:eastAsia="zh-CN" w:bidi="ar-SA"/>
              </w:rPr>
            </w:r>
            <w:r>
              <w:rPr>
                <w:rFonts w:hint="eastAsia" w:ascii="宋体" w:hAnsi="宋体" w:eastAsia="宋体" w:cs="宋体"/>
                <w:b w:val="0"/>
                <w:bCs w:val="0"/>
                <w:color w:val="000000"/>
                <w:sz w:val="21"/>
                <w:szCs w:val="21"/>
                <w:highlight w:val="none"/>
                <w:lang w:val="en-US" w:eastAsia="zh-CN" w:bidi="ar-SA"/>
              </w:rPr>
              <w:t xml:space="preserve">高级安防系统工程师证书的，得1分。</w:t>
            </w:r>
            <w:r>
              <w:rPr>
                <w:rFonts w:hint="eastAsia" w:ascii="宋体" w:hAnsi="宋体" w:eastAsia="宋体" w:cs="宋体"/>
                <w:b/>
                <w:bCs/>
                <w:color w:val="000000"/>
                <w:sz w:val="21"/>
                <w:szCs w:val="21"/>
                <w:highlight w:val="none"/>
                <w:lang w:val="en-US" w:eastAsia="zh-CN"/>
              </w:rPr>
            </w:r>
            <w:r/>
          </w:p>
          <w:p>
            <w:pPr>
              <w:pStyle w:val="1131"/>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注:拟派项目负责人、技术负责人同一人不重复得分。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投标文件中提供相应人员证书原件扫描件及近三个月（自投标截止之日起往前推算）中任意一个月投标人为相关人员缴纳的社保证明材料并加盖投标人公章，未提供的或资料不全的或无效的不得分。</w:t>
            </w:r>
            <w:r>
              <w:rPr>
                <w:rFonts w:hint="eastAsia" w:ascii="宋体" w:hAnsi="宋体" w:eastAsia="宋体" w:cs="宋体"/>
                <w:b/>
                <w:bCs/>
                <w:color w:val="000000"/>
                <w:sz w:val="21"/>
                <w:szCs w:val="21"/>
                <w:highlight w:val="none"/>
                <w:lang w:val="en-US" w:eastAsia="zh-CN"/>
              </w:rPr>
            </w:r>
            <w:r/>
          </w:p>
        </w:tc>
      </w:tr>
      <w:tr>
        <w:trPr>
          <w:trHeight w:val="90"/>
        </w:trPr>
        <w:tc>
          <w:tcPr>
            <w:gridSpan w:val="2"/>
            <w:tcW w:w="2020"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r>
            <w:r/>
          </w:p>
        </w:tc>
        <w:tc>
          <w:tcPr>
            <w:gridSpan w:val="2"/>
            <w:tcW w:w="6801"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ind w:firstLine="422"/>
        <w:spacing w:line="400" w:lineRule="exact"/>
        <w:rPr>
          <w:rFonts w:hint="eastAsia" w:ascii="宋体" w:hAnsi="宋体" w:eastAsia="宋体" w:cs="宋体"/>
          <w:b/>
          <w:bCs w:val="0"/>
          <w:color w:val="000000"/>
          <w:szCs w:val="21"/>
          <w:highlight w:val="none"/>
          <w:lang w:eastAsia="zh-CN"/>
        </w:rPr>
      </w:pPr>
      <w:r/>
      <w:bookmarkStart w:id="684" w:name="_Toc140147451"/>
      <w:r/>
      <w:bookmarkStart w:id="685" w:name="_Toc140154483"/>
      <w:r/>
      <w:bookmarkStart w:id="686" w:name="_Toc99301424"/>
      <w:r/>
      <w:bookmarkStart w:id="687" w:name="_Toc140154567"/>
      <w:r>
        <w:rPr>
          <w:rFonts w:hint="eastAsia" w:ascii="宋体" w:hAnsi="宋体" w:eastAsia="宋体" w:cs="宋体"/>
          <w:b/>
          <w:bCs w:val="0"/>
          <w:color w:val="000000"/>
          <w:szCs w:val="21"/>
          <w:highlight w:val="none"/>
          <w:lang w:eastAsia="zh-CN"/>
        </w:rPr>
        <w:t xml:space="preserve">注意事项：</w:t>
      </w:r>
      <w:bookmarkEnd w:id="684"/>
      <w:r/>
      <w:bookmarkEnd w:id="685"/>
      <w:r/>
      <w:bookmarkEnd w:id="687"/>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1048"/>
        <w:jc w:val="center"/>
        <w:keepLines w:val="0"/>
        <w:keepNext w:val="0"/>
        <w:pageBreakBefore w:val="0"/>
        <w:spacing w:line="400" w:lineRule="exact"/>
        <w:widowControl w:val="off"/>
        <w:rPr>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第五章   采购需求</w:t>
      </w:r>
      <w:bookmarkEnd w:id="686"/>
      <w:r>
        <w:rPr>
          <w:color w:val="000000"/>
          <w:sz w:val="24"/>
          <w:highlight w:val="none"/>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rPr>
      </w:pPr>
      <w:r/>
      <w:bookmarkStart w:id="688" w:name="_Toc2242"/>
      <w:r/>
      <w:bookmarkStart w:id="689" w:name="_Toc3599"/>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rPr>
      </w:r>
      <w:r/>
    </w:p>
    <w:p>
      <w:pPr>
        <w:pStyle w:val="1048"/>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经开区电子警察更新项目</w:t>
      </w:r>
      <w:r>
        <w:rPr>
          <w:rFonts w:hint="eastAsia" w:ascii="宋体" w:hAnsi="宋体" w:eastAsia="宋体" w:cs="宋体"/>
          <w:bCs/>
          <w:color w:val="000000"/>
          <w:sz w:val="21"/>
          <w:szCs w:val="21"/>
          <w:highlight w:val="none"/>
          <w:lang w:eastAsia="zh-CN"/>
        </w:rPr>
      </w:r>
      <w:r/>
    </w:p>
    <w:p>
      <w:pPr>
        <w:pStyle w:val="1048"/>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2.采购预算：</w:t>
      </w:r>
      <w:r>
        <w:rPr>
          <w:rFonts w:hint="eastAsia" w:ascii="宋体" w:hAnsi="宋体" w:eastAsia="宋体" w:cs="宋体"/>
          <w:bCs/>
          <w:color w:val="000000"/>
          <w:sz w:val="21"/>
          <w:szCs w:val="21"/>
          <w:highlight w:val="none"/>
          <w:lang w:val="en-US" w:eastAsia="zh-CN"/>
        </w:rPr>
        <w:t xml:space="preserve">1440万元</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8"/>
        <w:ind w:firstLine="420"/>
        <w:keepLines w:val="0"/>
        <w:keepNext w:val="0"/>
        <w:pageBreakBefore w:val="0"/>
        <w:spacing w:line="400" w:lineRule="exact"/>
        <w:widowControl w:val="off"/>
        <w:rPr>
          <w:rFonts w:hint="eastAsia"/>
          <w:color w:val="000000"/>
          <w:highlight w:val="none"/>
        </w:rPr>
      </w:pPr>
      <w:r>
        <w:rPr>
          <w:rFonts w:hint="eastAsia" w:ascii="宋体" w:hAnsi="宋体" w:eastAsia="宋体" w:cs="宋体"/>
          <w:bCs/>
          <w:color w:val="000000"/>
          <w:sz w:val="21"/>
          <w:szCs w:val="21"/>
          <w:highlight w:val="none"/>
          <w:lang w:val="en-US" w:eastAsia="zh-CN"/>
        </w:rPr>
        <w:t xml:space="preserve">3.采购清单</w:t>
      </w:r>
      <w:r>
        <w:rPr>
          <w:rFonts w:hint="eastAsia"/>
          <w:color w:val="000000"/>
          <w:highlight w:val="none"/>
        </w:rPr>
      </w:r>
      <w:r/>
    </w:p>
    <w:tbl>
      <w:tblPr>
        <w:tblW w:w="48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92"/>
        <w:gridCol w:w="1695"/>
        <w:gridCol w:w="826"/>
        <w:gridCol w:w="4411"/>
      </w:tblGrid>
      <w:tr>
        <w:trPr>
          <w:trHeight w:val="736"/>
        </w:trPr>
        <w:tc>
          <w:tcPr>
            <w:tcW w:w="408"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72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46"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46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462"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411"/>
        </w:trPr>
        <w:tc>
          <w:tcPr>
            <w:tcW w:w="408"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72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经开区电子警察更新项目</w:t>
            </w:r>
            <w:r>
              <w:rPr>
                <w:rFonts w:hint="eastAsia" w:ascii="宋体" w:hAnsi="宋体" w:eastAsia="宋体" w:cs="宋体"/>
                <w:bCs/>
                <w:color w:val="000000"/>
                <w:szCs w:val="21"/>
                <w:highlight w:val="none"/>
                <w:lang w:eastAsia="zh-CN"/>
              </w:rPr>
            </w:r>
            <w:r/>
          </w:p>
        </w:tc>
        <w:tc>
          <w:tcPr>
            <w:tcW w:w="946" w:type="dxa"/>
            <w:vAlign w:val="center"/>
            <w:textDirection w:val="lrTb"/>
            <w:noWrap w:val="false"/>
          </w:tcPr>
          <w:p>
            <w:pPr>
              <w:pStyle w:val="1048"/>
              <w:jc w:val="center"/>
              <w:keepLines w:val="0"/>
              <w:keepNext w:val="0"/>
              <w:pageBreakBefore w:val="0"/>
              <w:spacing w:line="400" w:lineRule="exact"/>
              <w:widowControl w:val="off"/>
              <w:rPr>
                <w:rFonts w:ascii="宋体" w:hAnsi="宋体" w:eastAsia="宋体" w:cs="宋体"/>
                <w:b/>
                <w:bCs w:val="0"/>
                <w:color w:val="000000"/>
                <w:szCs w:val="21"/>
                <w:highlight w:val="none"/>
                <w:lang w:val="en-US" w:eastAsia="zh-CN"/>
              </w:rPr>
            </w:pPr>
            <w:r>
              <w:rPr>
                <w:rFonts w:ascii="宋体" w:hAnsi="宋体" w:eastAsia="宋体" w:cs="宋体"/>
                <w:b/>
                <w:bCs w:val="0"/>
                <w:color w:val="000000"/>
                <w:szCs w:val="21"/>
                <w:highlight w:val="none"/>
                <w:lang w:val="en-US" w:eastAsia="zh-CN"/>
              </w:rPr>
              <w:t xml:space="preserve">1440</w:t>
            </w:r>
            <w:r>
              <w:rPr>
                <w:rFonts w:ascii="宋体" w:hAnsi="宋体" w:eastAsia="宋体" w:cs="宋体"/>
                <w:b/>
                <w:bCs w:val="0"/>
                <w:color w:val="000000"/>
                <w:szCs w:val="21"/>
                <w:highlight w:val="none"/>
                <w:lang w:val="en-US" w:eastAsia="zh-CN"/>
              </w:rPr>
            </w:r>
            <w:r/>
          </w:p>
        </w:tc>
        <w:tc>
          <w:tcPr>
            <w:tcW w:w="461" w:type="dxa"/>
            <w:vAlign w:val="center"/>
            <w:textDirection w:val="lrTb"/>
            <w:noWrap w:val="false"/>
          </w:tcPr>
          <w:p>
            <w:pPr>
              <w:pStyle w:val="1048"/>
              <w:jc w:val="center"/>
              <w:keepLines w:val="0"/>
              <w:keepNext w:val="0"/>
              <w:pageBreakBefore w:val="0"/>
              <w:spacing w:line="400" w:lineRule="exact"/>
              <w:widowControl w:val="off"/>
              <w:rPr>
                <w:rFonts w:ascii="宋体" w:hAnsi="宋体" w:cs="宋体"/>
                <w:b/>
                <w:bCs w:val="0"/>
                <w:color w:val="000000"/>
                <w:szCs w:val="21"/>
                <w:highlight w:val="none"/>
                <w:lang w:val="en-US"/>
              </w:rPr>
            </w:pPr>
            <w:r>
              <w:rPr>
                <w:rFonts w:hint="eastAsia" w:ascii="宋体" w:hAnsi="宋体" w:eastAsia="宋体" w:cs="宋体"/>
                <w:b w:val="0"/>
                <w:bCs/>
                <w:color w:val="000000"/>
                <w:sz w:val="21"/>
                <w:szCs w:val="21"/>
                <w:highlight w:val="none"/>
                <w:lang w:val="en-US" w:eastAsia="zh-CN"/>
              </w:rPr>
              <w:t xml:space="preserve">1项</w:t>
            </w:r>
            <w:r>
              <w:rPr>
                <w:rFonts w:ascii="宋体" w:hAnsi="宋体" w:cs="宋体"/>
                <w:b/>
                <w:bCs w:val="0"/>
                <w:color w:val="000000"/>
                <w:szCs w:val="21"/>
                <w:highlight w:val="none"/>
                <w:lang w:val="en-US"/>
              </w:rPr>
            </w:r>
            <w:r/>
          </w:p>
        </w:tc>
        <w:tc>
          <w:tcPr>
            <w:tcW w:w="2462" w:type="dxa"/>
            <w:vAlign w:val="center"/>
            <w:textDirection w:val="lrTb"/>
            <w:noWrap w:val="false"/>
          </w:tcPr>
          <w:p>
            <w:pPr>
              <w:pStyle w:val="1048"/>
              <w:jc w:val="left"/>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本次项目主要包含更新前端电子警察108个路口、电子警察反向卡口4个路口、路口信号灯控制主机更换22个路口、后端信号灯控制平台升级、新建礼让行人10套、新建横林大道上林路电子警察、防控边界16个路口37个方向建设、朝阳路横林大道卡口迁移及更新1套、机房末端增加视频存储及图片存储各1台。</w:t>
            </w:r>
            <w:r>
              <w:rPr>
                <w:rFonts w:hint="eastAsia" w:ascii="宋体" w:hAnsi="宋体" w:eastAsia="宋体" w:cs="宋体"/>
                <w:bCs/>
                <w:color w:val="000000"/>
                <w:szCs w:val="21"/>
                <w:highlight w:val="none"/>
                <w:lang w:eastAsia="zh-CN"/>
              </w:rPr>
            </w:r>
            <w:r/>
          </w:p>
        </w:tc>
      </w:tr>
    </w:tbl>
    <w:p>
      <w:pPr>
        <w:pStyle w:val="1150"/>
        <w:numPr>
          <w:ilvl w:val="0"/>
          <w:numId w:val="0"/>
        </w:numPr>
        <w:contextualSpacing/>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商务要求</w:t>
      </w:r>
      <w:r>
        <w:rPr>
          <w:rFonts w:hint="eastAsia" w:ascii="宋体" w:hAnsi="宋体" w:eastAsia="宋体" w:cs="宋体"/>
          <w:b/>
          <w:color w:val="000000"/>
          <w:sz w:val="21"/>
          <w:szCs w:val="21"/>
          <w:highlight w:val="none"/>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1.交货日期及交货地点</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left="420" w:firstLine="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bidi="ar-SA"/>
        </w:rPr>
        <w:t xml:space="preserve">（2）交货地点：</w:t>
      </w:r>
      <w:r>
        <w:rPr>
          <w:rFonts w:hint="eastAsia" w:ascii="宋体" w:hAnsi="宋体" w:eastAsia="宋体" w:cs="宋体"/>
          <w:b/>
          <w:bCs w:val="0"/>
          <w:color w:val="000000"/>
          <w:sz w:val="21"/>
          <w:szCs w:val="21"/>
          <w:highlight w:val="none"/>
          <w:u w:val="single"/>
          <w:lang w:val="en-US" w:eastAsia="zh-CN" w:bidi="ar-SA"/>
        </w:rPr>
        <w:t xml:space="preserve">中标人负责将货物运到采购人指定地点并承担相关费用</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2.结算原则及付款条件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widowControl w:val="off"/>
        <w:rPr>
          <w:rFonts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2.1结算原则：</w:t>
      </w:r>
      <w:r>
        <w:rPr>
          <w:rFonts w:hint="eastAsia" w:ascii="宋体" w:hAnsi="宋体" w:eastAsia="宋体" w:cs="宋体"/>
          <w:b/>
          <w:bCs w:val="0"/>
          <w:color w:val="000000"/>
          <w:sz w:val="21"/>
          <w:szCs w:val="21"/>
          <w:highlight w:val="none"/>
          <w:u w:val="single"/>
          <w:lang w:val="en-US" w:eastAsia="zh-CN" w:bidi="ar-SA"/>
        </w:rPr>
        <w:t xml:space="preserve">全费用固定综合单价，按实结算</w:t>
      </w:r>
      <w:r>
        <w:rPr>
          <w:rFonts w:hint="eastAsia" w:ascii="宋体" w:hAnsi="宋体" w:eastAsia="宋体" w:cs="宋体"/>
          <w:b/>
          <w:bCs w:val="0"/>
          <w:color w:val="000000"/>
          <w:sz w:val="21"/>
          <w:szCs w:val="21"/>
          <w:highlight w:val="none"/>
          <w:u w:val="none"/>
          <w:lang w:val="en-US" w:eastAsia="zh-CN" w:bidi="ar-SA"/>
        </w:rPr>
        <w:t xml:space="preserve">。</w:t>
      </w:r>
      <w:r>
        <w:rPr>
          <w:rFonts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2.2付款条件：</w:t>
      </w:r>
      <w:r>
        <w:rPr>
          <w:rFonts w:hint="eastAsia" w:ascii="宋体" w:hAnsi="宋体" w:eastAsia="宋体" w:cs="宋体"/>
          <w:b/>
          <w:bCs w:val="0"/>
          <w:color w:val="000000"/>
          <w:sz w:val="21"/>
          <w:szCs w:val="21"/>
          <w:highlight w:val="none"/>
          <w:u w:val="single"/>
          <w:lang w:val="en-US" w:eastAsia="zh-CN" w:bidi="ar-SA"/>
        </w:rPr>
        <w:t xml:space="preserve">（1）合同签订后支付合同总金额的30%作为预付款；（2）乙方规定时间内交付货物，甲方在10个工作日内进行初步验收确认数量、规格等，支付至合同总金额的60%，如初步验收发现货物存在数量短缺，规格不符等问题，乙方需及时补换货，初验时间顺延；（3）货物交付且安装完成后(如需审计)则审计后，满足合同约定条件的，甲方在安装调试验收合格之日起60日付款至合同总金额（审定金额）的100%。</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2.3特别说明：</w:t>
      </w:r>
      <w:r>
        <w:rPr>
          <w:rFonts w:hint="eastAsia" w:ascii="宋体" w:hAnsi="宋体" w:eastAsia="宋体" w:cs="宋体"/>
          <w:b/>
          <w:bCs w:val="0"/>
          <w:color w:val="000000"/>
          <w:sz w:val="21"/>
          <w:szCs w:val="21"/>
          <w:highlight w:val="none"/>
          <w:u w:val="single"/>
          <w:lang w:val="en-US" w:eastAsia="zh-CN" w:bidi="ar-SA"/>
        </w:rPr>
        <w:t xml:space="preserve">（1）结算审计核减率5%以下的审计费用由采购人承担；核减率5%（含）以上的审计费用一律由中标人承担，并直接在审定价中扣除。中标人应无条件接受采购人内部审计部门的延伸审计。（2）付款前，中标人应提供符合采购人要求的合同全额的合法有效发票。否则，采购人有权顺延付款时间，且不承担任何违约或赔偿责任。</w:t>
      </w:r>
      <w:r>
        <w:rPr>
          <w:rFonts w:hint="eastAsia" w:ascii="宋体" w:hAnsi="宋体" w:eastAsia="宋体" w:cs="宋体"/>
          <w:b/>
          <w:bCs w:val="0"/>
          <w:color w:val="000000"/>
          <w:sz w:val="21"/>
          <w:szCs w:val="21"/>
          <w:highlight w:val="none"/>
          <w:u w:val="single"/>
          <w:lang w:val="en-US" w:eastAsia="zh-CN" w:bidi="ar-SA"/>
        </w:rPr>
      </w:r>
      <w:r/>
    </w:p>
    <w:p>
      <w:pPr>
        <w:pStyle w:val="1048"/>
        <w:ind w:firstLine="420"/>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eastAsia="zh-CN"/>
        </w:rPr>
        <w:t xml:space="preserve">质保期</w:t>
      </w:r>
      <w:r>
        <w:rPr>
          <w:rFonts w:ascii="宋体" w:hAnsi="宋体" w:eastAsia="宋体" w:cs="宋体"/>
          <w:bCs/>
          <w:color w:val="000000"/>
          <w:sz w:val="21"/>
          <w:szCs w:val="21"/>
          <w:highlight w:val="none"/>
        </w:rPr>
        <w:t xml:space="preserve">：</w:t>
      </w:r>
      <w:r>
        <w:rPr>
          <w:rFonts w:ascii="宋体" w:hAnsi="宋体" w:eastAsia="宋体" w:cs="宋体"/>
          <w:b/>
          <w:bCs w:val="0"/>
          <w:color w:val="000000"/>
          <w:sz w:val="21"/>
          <w:szCs w:val="21"/>
          <w:highlight w:val="none"/>
          <w:u w:val="single"/>
        </w:rPr>
        <w:t xml:space="preserve">自</w:t>
      </w:r>
      <w:r>
        <w:rPr>
          <w:rFonts w:hint="eastAsia" w:ascii="宋体" w:hAnsi="宋体" w:eastAsia="宋体" w:cs="宋体"/>
          <w:b/>
          <w:bCs w:val="0"/>
          <w:color w:val="000000"/>
          <w:sz w:val="21"/>
          <w:szCs w:val="21"/>
          <w:highlight w:val="none"/>
          <w:u w:val="single"/>
          <w:lang w:val="en-US" w:eastAsia="zh-CN"/>
        </w:rPr>
        <w:t xml:space="preserve">采购</w:t>
      </w:r>
      <w:r>
        <w:rPr>
          <w:rFonts w:ascii="宋体" w:hAnsi="宋体" w:eastAsia="宋体" w:cs="宋体"/>
          <w:b/>
          <w:bCs w:val="0"/>
          <w:color w:val="000000"/>
          <w:sz w:val="21"/>
          <w:szCs w:val="21"/>
          <w:highlight w:val="none"/>
          <w:u w:val="single"/>
        </w:rPr>
        <w:t xml:space="preserve">人验收合格之日起5年</w:t>
      </w:r>
      <w:r>
        <w:rPr>
          <w:rFonts w:hint="eastAsia" w:ascii="宋体" w:hAnsi="宋体" w:eastAsia="宋体" w:cs="宋体"/>
          <w:b/>
          <w:bCs w:val="0"/>
          <w:color w:val="000000"/>
          <w:sz w:val="21"/>
          <w:szCs w:val="21"/>
          <w:highlight w:val="none"/>
          <w:u w:val="single"/>
          <w:lang w:eastAsia="zh-CN"/>
        </w:rPr>
        <w:t xml:space="preserve">，</w:t>
      </w:r>
      <w:r>
        <w:rPr>
          <w:rFonts w:ascii="宋体" w:hAnsi="宋体" w:eastAsia="宋体" w:cs="宋体"/>
          <w:b/>
          <w:bCs w:val="0"/>
          <w:color w:val="000000"/>
          <w:sz w:val="21"/>
          <w:szCs w:val="21"/>
          <w:highlight w:val="none"/>
          <w:u w:val="single"/>
        </w:rPr>
        <w:t xml:space="preserve">质保期内免费升级、维护</w:t>
      </w:r>
      <w:r>
        <w:rPr>
          <w:rFonts w:ascii="宋体" w:hAnsi="宋体" w:eastAsia="宋体" w:cs="宋体"/>
          <w:bCs/>
          <w:color w:val="000000"/>
          <w:sz w:val="21"/>
          <w:szCs w:val="21"/>
          <w:highlight w:val="none"/>
        </w:rPr>
        <w:t xml:space="preserve">。</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lang w:val="en-US" w:eastAsia="zh-CN" w:bidi="ar-SA"/>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1"/>
          <w:szCs w:val="21"/>
          <w:highlight w:val="none"/>
          <w:lang w:val="en-US" w:eastAsia="zh-CN" w:bidi="ar-SA"/>
        </w:rPr>
        <w:t xml:space="preserve">三、采购清单及技术要求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（一）采购清单</w:t>
      </w:r>
      <w:r>
        <w:rPr>
          <w:rFonts w:hint="eastAsia" w:ascii="宋体" w:hAnsi="宋体" w:eastAsia="宋体" w:cs="宋体"/>
          <w:b/>
          <w:bCs w:val="0"/>
          <w:color w:val="000000"/>
          <w:sz w:val="21"/>
          <w:szCs w:val="21"/>
          <w:highlight w:val="none"/>
          <w:lang w:val="en-US" w:eastAsia="zh-CN" w:bidi="ar-SA"/>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286"/>
        <w:gridCol w:w="8494"/>
        <w:gridCol w:w="722"/>
        <w:gridCol w:w="742"/>
        <w:gridCol w:w="1214"/>
      </w:tblGrid>
      <w:tr>
        <w:trPr>
          <w:trHeight w:val="295"/>
        </w:trPr>
        <w:tc>
          <w:tcPr>
            <w:tcW w:w="521"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8494"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项目特征描述及技术参数</w:t>
            </w:r>
            <w:r>
              <w:rPr>
                <w:rFonts w:hint="eastAsia" w:ascii="宋体" w:hAnsi="宋体" w:eastAsia="宋体" w:cs="宋体"/>
                <w:b/>
                <w:bCs/>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214"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137"/>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r>
      <w:tr>
        <w:trPr>
          <w:trHeight w:val="229"/>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1、采用不低于1.1英寸GS-CMOS传感器；图像分辨率未叠加字符分辨率≥4096×2160，叠加字符信息抓图</w:t>
            </w:r>
            <w:r>
              <w:rPr>
                <w:rFonts w:hint="eastAsia" w:ascii="宋体" w:hAnsi="宋体" w:cs="宋体"/>
                <w:b w:val="0"/>
                <w:bCs w:val="0"/>
                <w:i w:val="0"/>
                <w:iCs w:val="0"/>
                <w:color w:val="000000"/>
                <w:sz w:val="18"/>
                <w:szCs w:val="18"/>
                <w:highlight w:val="none"/>
                <w:u w:val="none"/>
                <w:lang w:val="en-US" w:eastAsia="zh-CN" w:bidi="ar"/>
              </w:rPr>
              <w:t xml:space="preserve">分辨率</w:t>
            </w:r>
            <w:r>
              <w:rPr>
                <w:rFonts w:hint="eastAsia" w:ascii="宋体" w:hAnsi="宋体" w:eastAsia="宋体" w:cs="宋体"/>
                <w:b w:val="0"/>
                <w:bCs w:val="0"/>
                <w:i w:val="0"/>
                <w:iCs w:val="0"/>
                <w:color w:val="000000"/>
                <w:sz w:val="18"/>
                <w:szCs w:val="18"/>
                <w:highlight w:val="none"/>
                <w:u w:val="none"/>
                <w:lang w:val="en-US" w:eastAsia="zh-CN" w:bidi="ar"/>
              </w:rPr>
              <w:t xml:space="preserve">≥4096×4328。支持通过相机控制台进入图像调节工具，并对图像和视频设置逆光亮度补偿及顺光亮度补偿。支持场景划线示意，可以通过图像及文字形式辅助相机场景规则线的配置。支持礼让行人及行人闯红灯模式下的自动划线。</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2、快门</w:t>
            </w:r>
            <w:r>
              <w:rPr>
                <w:rFonts w:hint="eastAsia" w:ascii="宋体" w:hAnsi="宋体" w:eastAsia="宋体" w:cs="宋体"/>
                <w:i w:val="0"/>
                <w:iCs w:val="0"/>
                <w:color w:val="000000"/>
                <w:sz w:val="18"/>
                <w:szCs w:val="18"/>
                <w:highlight w:val="none"/>
                <w:u w:val="none"/>
                <w:lang w:val="en-US" w:eastAsia="zh-CN" w:bidi="ar"/>
              </w:rPr>
              <w:t xml:space="preserve">方式：支持单快门、全息双快门、三快门；电子快门：支持1/50s~1/100000s（可手动或自动调节）；曝光模式：支持全自动/自定义区间/自定义。光圈控制：支持手动光圈、固定光圈、P-IRIS自动光圈。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6、支持识别危化品车辆及其危险性识别号，可通过OSD将识别结果叠加在抓拍图片上，并可将数据上传至平台。支持占用公交车道违章抓拍，可设置抓拍车辆类型(包括无牌机动车、摩托车等)，且支持过滤出租车。支持按通过置信度及车型配置过滤主/副驾驶不系安全带行为抓拍，其中车型包括大货车、中货车、客车、中客车和公交车，置信度1~100可设置。支持主副驾人脸抠图，且副驾驶抠图支持多人，车窗小图可叠加在抓拍原图上。</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支持在抓拍的基础上，抓拍输出车牌局部照片、车窗局部照片、非机动车局部照片、主副驾驶人脸照片，场景全景照片；配合补光灯，可穿透被车窗遮光条遮挡的驾驶员头部画面，并同时对驾驶员人脸进行抠图。可分别对齐刘海遮挡眉毛、头发遮挡眼睛、斜刘海遮住一侧眼睛、戴普通眼镜、戴墨镜、戴彩色眼镜、戴帽子、戴头戴式耳机、戴口罩、侧向、半边脸的人脸进行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车辆子品牌识别并可在OSD上叠加显示相应的子品牌及年款，通过车头可识别≥7600种车辆子品牌，车尾≥3900种车辆子品牌支持识别并显示不低于51种车辆类型。设备支持设置图片3D降噪功能，包括图片空域3D降噪及图片时域3D降噪，降噪等级0~100可分别设置，可通过菜单启用或关闭。支持非机动车越停止线停车、非机动车进入机动车车道、非机动车不带头盔、三轮车载人、逆行、超速等违法行为识别，同时联动音柱进行即时喊话提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分别对9种以上车型(含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12、供电方式：AC100V~AC240V（50HZ/60HZ）；功耗：≤15W。工作温度：-40℃~+65℃；防护等级≥IP66；具有网络防雷和防浪涌功能。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2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▲1、采用不低于1.17英寸传感器；支持视频分辨率≥4480×3072，抓图</w:t>
            </w:r>
            <w:r>
              <w:rPr>
                <w:rFonts w:hint="eastAsia" w:ascii="宋体" w:hAnsi="宋体" w:cs="宋体"/>
                <w:b/>
                <w:bCs/>
                <w:i w:val="0"/>
                <w:iCs w:val="0"/>
                <w:color w:val="000000"/>
                <w:sz w:val="18"/>
                <w:szCs w:val="18"/>
                <w:highlight w:val="none"/>
                <w:u w:val="none"/>
                <w:lang w:val="en-US" w:eastAsia="zh-CN" w:bidi="ar"/>
              </w:rPr>
              <w:t xml:space="preserve">分辨率</w:t>
            </w:r>
            <w:r>
              <w:rPr>
                <w:rFonts w:hint="eastAsia" w:ascii="宋体" w:hAnsi="宋体" w:eastAsia="宋体" w:cs="宋体"/>
                <w:b/>
                <w:bCs/>
                <w:i w:val="0"/>
                <w:iCs w:val="0"/>
                <w:color w:val="000000"/>
                <w:sz w:val="18"/>
                <w:szCs w:val="18"/>
                <w:highlight w:val="none"/>
                <w:u w:val="none"/>
                <w:lang w:val="en-US" w:eastAsia="zh-CN" w:bidi="ar"/>
              </w:rPr>
              <w:t xml:space="preserve">≥4480×3072。【投标文件中提供国家认可的认证机构出具的带有CMA标志检测报告复印件并加盖投标人公章】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支持通过相机控制台进入图像调节工具，并对图像和视频设置逆光亮度补偿及顺光亮度补偿。支持场景划线示意，可以通过图像及文字形式辅助相机场景规则线的配置。支持礼让行人及行人闯红灯模式下的自动划线。【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7、支持场景划线示意，可以通过图像及文字形式辅助相机场景规则线的配置。支持礼让行人及行人闯红灯模式下的自动划线。相机违章合成图支持插入自定义静态图，包括逆行、超速、禁行、禁摩、占道类违法等图片。【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信号灯增强，包括单个信号灯增强以及信号灯区域增强。支持识别危化品车辆及其危险性识别号，可通过OSD将识别结果叠加在抓拍图片上，并可将数据上传至平台。支持占用公交车道违章抓拍，可设置抓拍车辆类型(包括无牌机动车、摩托车等)，且支持过滤出租车。【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、供电方式：AC100V~AC240V（50HZ）；功耗：≤32W。工作温度：-40℃~+65℃；防护等级≥IP66；具有网络防雷和防浪涌功能。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▲1、传感器类型：不低于1.1英寸背照式工艺传感器；抓图分辨率不低于5328×3040(不含OSD)；视频分辨率可设置为53</w:t>
            </w:r>
            <w:r>
              <w:rPr>
                <w:rFonts w:hint="eastAsia" w:ascii="宋体" w:hAnsi="宋体" w:eastAsia="宋体" w:cs="宋体"/>
                <w:b/>
                <w:bCs/>
                <w:i w:val="0"/>
                <w:iCs w:val="0"/>
                <w:color w:val="000000"/>
                <w:sz w:val="18"/>
                <w:szCs w:val="18"/>
                <w:highlight w:val="none"/>
                <w:u w:val="none"/>
                <w:lang w:val="en-US" w:eastAsia="zh-CN" w:bidi="ar"/>
              </w:rPr>
              <w:t xml:space="preserve">28×3040、4096×2160、UXGA(1600×1200)、1080P(1920×1080)、720P(1280×720)。支持≥5个车道机动车违法监测抓拍。支持35块感兴趣区域(ROI)增强编码设置功能，ROI区域压缩比0~100可设置。支持大场景五车道闯红灯抓拍，闯红灯抓拍第一/二张图车牌清晰可见，其中第一张图车辆在停止线前，第二张图车辆越过停止线，第三张图车辆较第二张有明显位移，第二张图车牌像素可达≥100。【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车长≤16米的大货车违法行为抓拍，支持不礼让横向行人、右转弯压线、右转不停再起步违法抓拍。具有倾斜护罩去除鬼影效果。支持暗光引擎功能，开启后可增加视频画面感光度。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3、快门方式：支持单快门、双快门、三快门；电子快门：支持1/25s～1/100000s（可手动或自动调节）；曝光模式：支持全自动/自定义区间/自定义。光圈控制：支持手动光圈、固定光圈、P-IRIS自动光圈。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视频和图片具备水印和校验功能；车辆捕获率：白天车辆捕获率≥95%、夜间车辆捕获率≥95%。号牌识别准确率：白天车辆号牌识别准确率≥95%，夜间车辆号牌识别准确率≥95%。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支持AI车牌增强功能，包括：蓝牌、黄牌、白牌、黑牌、绿牌、渐变绿、黄绿双拼牌，开启后可防止车牌过曝。设备支持搭配电警相机、杆下补盲鱼眼相机实现小车、大货车管控的闯红灯、违法变道等违法行为取证；支持输出卡口和电警的抓拍合成图，可配置输出八合一合成鱼眼图，同时鱼眼可辅助变道判断；合成图中车头车尾关联准确率≥99%。【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对信号灯不亮进行检测，检测到该异常后可进行报警。支持对信号灯整个灯组都亮度不足进行检测，检测到该异常后可进行报警。支持升级程序的版本号信息，支持在降版本升级时弹出降版本提示。支持特殊车牌固定字符匹配等级设置，包括模糊匹配、中等匹配、精准匹配和不启用。支持通过485接口连接补光灯，并在相机界面反馈补光灯型号信息、端口信息、版本信息。【投标文件中提供国家认可的认证机构出具的带有CMA标志检测报告复印件并加盖投标人公章】</w:t>
            </w:r>
            <w:r>
              <w:rPr>
                <w:rFonts w:hint="eastAsia"/>
                <w:highlight w:val="none"/>
                <w:lang w:val="en-US" w:eastAsia="zh-CN"/>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、供电方式：AC100V~AC240V（50HZ/60HZ）；功耗：≤32W。</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w:t>
            </w:r>
            <w:r>
              <w:rPr>
                <w:rFonts w:hint="eastAsia" w:ascii="宋体" w:hAnsi="宋体" w:eastAsia="宋体" w:cs="宋体"/>
                <w:b w:val="0"/>
                <w:bCs w:val="0"/>
                <w:i w:val="0"/>
                <w:iCs w:val="0"/>
                <w:color w:val="000000"/>
                <w:sz w:val="18"/>
                <w:szCs w:val="18"/>
                <w:highlight w:val="none"/>
                <w:u w:val="none"/>
                <w:lang w:val="en-US" w:eastAsia="zh-CN" w:bidi="ar"/>
              </w:rPr>
              <w:t xml:space="preserve">像回放时叠加智能帧及检测框信息。支持以不同的方式接入球机，并在不同方式下可预览图片和视频。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8、供电方式：DC12V；功耗：＜40W；工作温度：–30℃～+65℃。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63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老落地机柜换新</w:t>
            </w: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信号灯升级及更新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信号灯控制主机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17、工作环境温度：－30～70℃；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18、相对工作湿度：20-95%。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信号灯远程控制平台升级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9"/>
              </w:numPr>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产品架构兼容开放：系统通信协议全面采用国内信号控制相关行业标准，通信协议的标准化使得产品更加开放；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2、信号监控“身临其境”：信号监控功能，能让交管在指挥中心查看并控制信号机的运行。可以查看信号机状态，放行相位，以及是否有故障等；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3、参数配置“深入浅出”：根据实际使用情况调整参数配置流程，突出在日常工作中的常用功能。并更多采用图形化方式，让用户“所见即所得”，让信号参数配置成为简单的工作；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4、快速通道“平战结合”：使用“快速警卫路线”。在地图上轻松配置，并且采用信号步进的方式，将快速放行与当前信号放行方案结合在一起。最大程度减少对日常通勤的干扰；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5、绿波配置“轻松快捷”：系统汇集绿波配置的理论与实践，将原本复杂难懂的绿波配置变得简单直观。在极短的时间内即可配置出专业的绿波道路，使工作效率大大提高。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lang w:val="en-US" w:eastAsia="zh-CN" w:bidi="ar"/>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 xml:space="preserve">礼让行人</w:t>
            </w:r>
            <w:r>
              <w:rPr>
                <w:rFonts w:hint="eastAsia" w:ascii="宋体" w:hAnsi="宋体" w:eastAsia="宋体" w:cs="宋体"/>
                <w:b/>
                <w:bCs/>
                <w:i w:val="0"/>
                <w:iCs w:val="0"/>
                <w:color w:val="000000"/>
                <w:sz w:val="18"/>
                <w:szCs w:val="18"/>
                <w:highlight w:val="none"/>
                <w:u w:val="none"/>
              </w:rPr>
            </w:r>
            <w:r/>
          </w:p>
        </w:tc>
      </w:tr>
      <w:tr>
        <w:trPr>
          <w:trHeight w:val="47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1、900万环保高清电子警察抓拍单元由摄像机、高清镜头、室外防护罩、风扇、补光灯、电源适配器、安装万向节等组成。</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闯红灯捕获率试验：在天气晴朗无雾，号牌无遮挡，无污损的条件进行测试，白天测试时的环境光照度不低于200lx，晚上测试时辅助照明光照度不高于30lx。</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白天闯红灯捕获率≥99%;</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晚上闯红灯捕获率≥99%;</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▲5、车牌识别功能检查 ：支持对25×10 像素～1100×3000 像素的机动车车牌进行抓拍并识别号码； 支持抓拍并识别垂直倾斜角度≤45°、水平倾斜角度≤35°、俯仰角度≤40°的机动车车牌号码。【投标文件中提供国家认可的认证机构出具的带有CMA标志检测报告复印件并加盖投标人公章】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10、支持图片编码质量配置，车牌小图的图片质量(大/中/小)可配。</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11、支持车牌遮挡检查功能，在检测到车牌被遮挡的情况下可给出提示。</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12、支持对两轮/三轮车分类识别;可识别外卖箱(外卖品牌)的标识。</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LED频闪灯</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光源类型：16颗原装大功率LED</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发光角度12°</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补光距离16米～25米</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响应时间小于20us</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触发方式： 高电平有效（可选配开关量触发）</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触发信号：频率1~250HZ，占空比1%~39%</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外壳材质金属铝</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IP66</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工作温度：-40℃~70℃</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工作湿度：湿度5%~95%@40℃，无凝结</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电源：220V±10%</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功耗：35W MAX</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防护等级：IP66</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16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室外高清一体化双目球机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传感器类型：【全景】1/1.8＂ 逐行扫描 CMOS,【细节】1/2.8" 逐行扫描 CMOS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最低照度：【全景】彩色：0.0005 Lux @（F1.0，AGC ON），0 Lux with Light；</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【细节】彩色：0.005Lux @ (F1.6，AGC ON)；黑白：0.001Lux @(F1.6，AGC ON) ；0 Lux with IR</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光学变倍：32倍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焦距：【全景】4mm；【细节】5.5-176mm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视场角：【全景】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水平视场角：88.7°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垂直视场角：44.7°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对角视场角：107.5°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水平视场角：60.72°~2.2°（广角~望远）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垂直视场角：35.92°~1.3°（广角~望远）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对角视场角：68.42°~2.6° （广角~望远）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补光灯类型：【全景】：白光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补光灯距离：【全景】：白光30m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【细节】：红外100m，白光60m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红外波长范围：850 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水平范围：【细节】360°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垂直范围：-10°-90°(自动翻转)</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水平速度：水平键控速度：0.1°-240°/s,速度可设;水平预置点速度：240°/s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垂直速度：垂直键控速度：0.1°-200°/s,速度可设;垂直预置点速度：200°/s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主码流帧率分辨率：【全景】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视频压缩标准：主码流：H.264/H.265+/H.265/H.264+ 子码流：H.264/H.265/MJPEG 第三码流：H.264/H.265/MJPEG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宽动态：支持真宽动态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网络接口：RJ45网口,自适应10M/100M网络数据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SD卡扩展：内置Micro SD卡插槽，支持Micro SD/Micro SDHC/Micro SDXC卡（最大支持512GB）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内置麦克风：支持双mic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内置扬声器：支持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音频：1路音频输入，音频峰值：2-2.4 V[p-p]，输入阻抗：1 kΩ±10%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1路音频输出，线性电平，阻抗：600 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报警：2路报警输入，1路报警输出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电源输出：DC36V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电流及功耗：最大功耗：24W（其中除雾加热1.6W，补光灯7W）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尺寸：241.8 ×216.4 × 333.6 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重量：4 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工作温湿度：-30℃-65℃；湿度小于90% ,(无凝结)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除雾：加热玻璃除雾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防护：防暴雨级，符合GB/T 17626.5 认证标准</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球机安装支架及连接件</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依据杆件定制，球机吊装、壁装支架、连接件及其他安装附件</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7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补光灯控制线及敷设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RVV2×0.5mm；含穿引线、扫管、穿线、编号、塑料标签、接线、包头施工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道板内管沟开挖及管道线敷设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管顶至地面不得低于60CM；2*PE75mm管敷设施工要求；含开挖、PE管敷设、土方回填夯实、弃土清运、道板恢复。含2*PE75mm管材（壁厚不小于7MM）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借用旧管道查找清理疏通</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供电接入配套设备，包括电表、电路保护装置、插座等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电能消耗</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每个用电设备5年*365天*24小时持续工作、供电不间断</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四</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横林大道上林路电子警察</w:t>
            </w:r>
            <w:r>
              <w:rPr>
                <w:rFonts w:hint="eastAsia" w:ascii="宋体" w:hAnsi="宋体" w:eastAsia="宋体" w:cs="宋体"/>
                <w:b/>
                <w:bCs/>
                <w:i w:val="0"/>
                <w:iCs w:val="0"/>
                <w:color w:val="000000"/>
                <w:sz w:val="18"/>
                <w:szCs w:val="18"/>
                <w:highlight w:val="none"/>
                <w:u w:val="none"/>
                <w:lang w:val="en-US" w:eastAsia="zh-CN" w:bidi="ar"/>
              </w:rPr>
            </w:r>
            <w:r/>
          </w:p>
        </w:tc>
      </w:tr>
      <w:tr>
        <w:trPr>
          <w:trHeight w:val="1198"/>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1、采用16颗Cree高亮LED灯珠；光源：可见光范围（波长350-780nm）；色温：6500K±200K；</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2、中心光照度：&lt;40lx（20m光照度）；补光距离：16m-26m。</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3、光通量≥1800lm；日夜切换：支持，1~6级灵敏度可设置。</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4、支持远程显示补光灯故障、正常状态；支持低照度下6级光敏检测自动开启补光。</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5、功耗：&lt;40W；供电方式：AC100V-AC240V。</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6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像回放时叠加智能帧及检测框信息。支持以不同的方式接入球机，并在不同方式下可预览图片和视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9、供电方式：DC12V；功耗：＜40W；工作温度：–30℃～+65℃。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9"/>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五</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防控边界建设</w:t>
            </w:r>
            <w:r>
              <w:rPr>
                <w:rFonts w:hint="eastAsia" w:ascii="宋体" w:hAnsi="宋体" w:eastAsia="宋体" w:cs="宋体"/>
                <w:b/>
                <w:bCs/>
                <w:i w:val="0"/>
                <w:iCs w:val="0"/>
                <w:color w:val="000000"/>
                <w:sz w:val="18"/>
                <w:szCs w:val="18"/>
                <w:highlight w:val="none"/>
                <w:u w:val="none"/>
                <w:lang w:val="en-US" w:eastAsia="zh-CN" w:bidi="ar"/>
              </w:rPr>
            </w:r>
            <w:r/>
          </w:p>
        </w:tc>
      </w:tr>
      <w:tr>
        <w:trPr>
          <w:trHeight w:val="888"/>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4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L杆13M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13M；立柱口径对角：300-380mm，壁厚≥10mmmm；横臂口径对角300-110mm，壁厚≥6mm。底盘法兰￠650×25mm。整体热浸锌，喷塑。13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基础预埋件8-M30×2000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L13、L15、L17、T13+6、T15+6、T15+15杆件使用。，8-M30×2000mm（个）。含预埋件、预埋件紧固件、垫片、螺帽及预埋件安装费、预埋件运至施工现场费用。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27</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六</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朝阳路横林大道卡口迁移及更新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03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4"/>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1、内置≥1块4T硬盘，具有18个10M/100M/1000M自适应RJ45接口，其中P1～P16与G1处于同一网段、G2处于另一网段；2个1000M SFP光端接口，分别与G1、G2处于同一网段。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支持相同车牌号去重功能，多相机抓拍同一车牌号仅上传一条该车牌条记录到平台。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3"/>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原有杆件拆除、安装</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包含原有杆件上设备拆除、落地机柜拆除等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七</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分局存储</w:t>
            </w:r>
            <w:r>
              <w:rPr>
                <w:rFonts w:hint="eastAsia" w:ascii="宋体" w:hAnsi="宋体" w:eastAsia="宋体" w:cs="宋体"/>
                <w:b/>
                <w:bCs/>
                <w:i w:val="0"/>
                <w:iCs w:val="0"/>
                <w:color w:val="000000"/>
                <w:sz w:val="18"/>
                <w:szCs w:val="18"/>
                <w:highlight w:val="none"/>
                <w:u w:val="none"/>
                <w:lang w:val="en-US" w:eastAsia="zh-CN" w:bidi="ar"/>
              </w:rPr>
            </w:r>
            <w:r/>
          </w:p>
        </w:tc>
      </w:tr>
      <w:tr>
        <w:trPr>
          <w:trHeight w:val="75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视频存储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系统架构：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全对称架构，业务负载均衡，节点故障业务自迁移；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内置流媒体服务，支持视频流直存，无需额外流媒体存储转发服务器；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支持容器云平台，视图管理软件容器化，存储、转发服务按需部署。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处理器：配置≥2颗CPU处理器，每颗CPU核心数≥16核，每颗CPU主频≥2.4GHz；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内存：配置≥48G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硬盘：配置≥2块960GB SAS SSD 系统盘，≥36 块 16TB SATA 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网络接口：配置≥4*GE，≥2*10GE；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配置≥2个热插拔 2000W 交流电源模块,支持 1+1 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支持实况、录像回放、电视墙显示管理等；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H.264、H.265、MJPEG 等格式；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TCP，UDP，IPv4，HTTP，HTTPS，RTP，RTSP，RTCP，SIP，ARP，SSL，NTP，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SMTP 等网络协议；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支持实时/历史视频、图片等备份模式。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视图接入；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实况转发。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开放框架：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南向对接：接入插件化集成，支持 Onvif2.4 以及 Onvif Profile S、GB/T28181、1400、主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流摄像机厂家 SDK；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北向对接：SDK、Restful；</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质保：原厂5年质保（含硬盘不返还服务）。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对接要求：支持与分局视频存储平台无缝接入。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图片存储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全对称分布式架构部署，单集群内不需要独立的元数据服务器，随着存储节点数的增加，分布式存储性能和容量随着线性增长；支持创建单一文件系统和跨存储节点的单一全局命名空间功能。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内存：配置≥256G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硬盘：配置≥36块 20TB SATA 硬盘，≥1块3.2TB SSD NVMe 缓存加速盘，≥2块480GB SSD系统盘；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配置≥2个2000W热插拔交流电源模块，支持 1+1 冗余电源。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支持对用户、用户组、目录设置配额；配额限制资源类型支持空间配额、文件数配额。空间配额用于管理和监控存储空间的使用情况；文件数配额用于管理和监控文件数量的使用情况；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支持在线扩容，扩容过程中业务不中断；</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支持异常掉电数据不丢失功能；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EC 纠删码数据保护方式，不依赖于硬件 RAID 保护；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一套存储支持 NFS/SMB/S3 多种访问协议，无需配置独立的网关节点；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支持多种网络类型，包括 10GbE、25GbE 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支持业务负载均衡，支持业务在节点、硬盘、网口间的负载均衡；节点内磁盘间容量误差率不超 2%，节点间容量误差不超 0.2%；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支持以节点池为单位设定数据保护策略，可以设置不同的N+M配比，支持22+2的大比例配比，当节点故障时，支持自动调整配比；</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支持将小文件（＜1M）自适应聚合成不同大小的文件写入磁盘；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支持元数据检索功能；可针对文件名、文件大小、创建时间、所属用户、扩展属性等元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数据项查询，且不区分不同服务写入的文件，可通过管理界面或REST接口查询，无需独立的服务节点；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支持回收站功能，回收站内文件的保留时长和扫描周期可配置；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支持硬盘故障检测，提前感知硬盘故障风险；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1TB 数据修复时间小于 30 分钟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单节点可支持文件数不小于40亿。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监控管理：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支持集群资源管理、基本信息监控、性能监控、告警管理、用户管理、硬件管理、网络拓扑管理；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支持查看 CPU 利用率、内存利用率、带宽、IOPS 信息统计；支持监控集群、存储池、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节点、网口、客户端、硬盘、复制链路、数据流动、NFS 客户端、CIFS 客户端、并行客户端的性能指标，支持对监控对象的性能指标进行 TOPN 排序；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实时告警，支持 SNMP、邮件、syslog 等告警方式；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 5 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对接要求：支持与分局图片存储系统无缝接入。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bookmarkStart w:id="690" w:name="_Toc74264852"/>
      <w:r/>
      <w:bookmarkEnd w:id="690"/>
      <w:r/>
      <w:bookmarkStart w:id="691" w:name="_Toc3165"/>
      <w:r/>
      <w:bookmarkStart w:id="692" w:name="_Toc21483"/>
      <w:r/>
      <w:bookmarkStart w:id="693" w:name="_Toc76565704"/>
      <w:r/>
      <w:bookmarkStart w:id="694" w:name="_Toc73267385"/>
      <w:r/>
      <w:bookmarkEnd w:id="694"/>
      <w:r/>
      <w:bookmarkStart w:id="695" w:name="_Toc73298368"/>
      <w:r/>
      <w:bookmarkEnd w:id="695"/>
      <w:r/>
      <w:bookmarkStart w:id="696" w:name="_Toc73296968"/>
      <w:r/>
      <w:bookmarkEnd w:id="696"/>
      <w:r/>
      <w:bookmarkStart w:id="697" w:name="_Toc76409037"/>
      <w:r/>
      <w:bookmarkEnd w:id="697"/>
      <w:r/>
      <w:bookmarkStart w:id="698" w:name="_Toc74265148"/>
      <w:r/>
      <w:bookmarkEnd w:id="698"/>
      <w:r/>
      <w:bookmarkStart w:id="699" w:name="_Toc76565697"/>
      <w:r/>
      <w:bookmarkEnd w:id="699"/>
      <w:r/>
      <w:bookmarkStart w:id="700" w:name="_Toc73267643"/>
      <w:r/>
      <w:bookmarkEnd w:id="700"/>
      <w:r/>
      <w:bookmarkStart w:id="701" w:name="_Toc73267127"/>
      <w:r/>
      <w:bookmarkEnd w:id="701"/>
      <w:r/>
      <w:bookmarkStart w:id="702" w:name="_Toc74298837"/>
      <w:r/>
      <w:bookmarkEnd w:id="702"/>
      <w:r/>
      <w:bookmarkStart w:id="703" w:name="_Toc75993375"/>
      <w:r/>
      <w:bookmarkEnd w:id="703"/>
      <w:r/>
      <w:bookmarkStart w:id="704" w:name="_Toc75992786"/>
      <w:r/>
      <w:bookmarkEnd w:id="704"/>
      <w:r/>
      <w:bookmarkStart w:id="705" w:name="_Toc75332983"/>
      <w:r/>
      <w:bookmarkEnd w:id="705"/>
      <w:r/>
      <w:bookmarkStart w:id="706" w:name="_Toc75994271"/>
      <w:r/>
      <w:bookmarkEnd w:id="706"/>
      <w:r/>
      <w:bookmarkStart w:id="707" w:name="_Toc75333285"/>
      <w:r/>
      <w:bookmarkEnd w:id="707"/>
      <w:r/>
      <w:bookmarkStart w:id="708" w:name="_Toc76020626"/>
      <w:r/>
      <w:bookmarkEnd w:id="708"/>
      <w:r/>
      <w:bookmarkStart w:id="709" w:name="_Toc75639853"/>
      <w:r/>
      <w:bookmarkEnd w:id="709"/>
      <w:r>
        <w:rPr>
          <w:rFonts w:hint="eastAsia" w:ascii="宋体" w:hAnsi="宋体" w:eastAsia="宋体" w:cs="宋体"/>
          <w:b/>
          <w:bCs w:val="0"/>
          <w:color w:val="000000"/>
          <w:sz w:val="21"/>
          <w:szCs w:val="21"/>
          <w:highlight w:val="none"/>
          <w:lang w:val="en-US" w:eastAsia="zh-CN" w:bidi="ar-SA"/>
        </w:rPr>
        <w:t xml:space="preserve">（二）前端改造</w:t>
      </w:r>
      <w:bookmarkEnd w:id="691"/>
      <w:r>
        <w:rPr>
          <w:rFonts w:hint="eastAsia" w:ascii="宋体" w:hAnsi="宋体" w:eastAsia="宋体" w:cs="宋体"/>
          <w:b/>
          <w:bCs w:val="0"/>
          <w:color w:val="000000"/>
          <w:sz w:val="21"/>
          <w:szCs w:val="21"/>
          <w:highlight w:val="none"/>
          <w:lang w:val="en-US" w:eastAsia="zh-CN" w:bidi="ar-SA"/>
        </w:rPr>
        <w:t xml:space="preserve">点位</w:t>
      </w:r>
      <w:r>
        <w:rPr>
          <w:rFonts w:hint="eastAsia" w:ascii="宋体" w:hAnsi="宋体" w:eastAsia="宋体" w:cs="宋体"/>
          <w:b/>
          <w:bCs w:val="0"/>
          <w:color w:val="000000"/>
          <w:sz w:val="21"/>
          <w:szCs w:val="21"/>
          <w:highlight w:val="none"/>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303"/>
        <w:gridCol w:w="1024"/>
        <w:gridCol w:w="767"/>
        <w:gridCol w:w="769"/>
        <w:gridCol w:w="1103"/>
        <w:gridCol w:w="2853"/>
        <w:gridCol w:w="977"/>
      </w:tblGrid>
      <w:tr>
        <w:trPr>
          <w:trHeight w:val="600"/>
        </w:trPr>
        <w:tc>
          <w:tcPr>
            <w:tcW w:w="223"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707"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路口名称</w:t>
            </w:r>
            <w:r>
              <w:rPr>
                <w:rFonts w:hint="eastAsia" w:ascii="宋体" w:hAnsi="宋体" w:eastAsia="宋体" w:cs="宋体"/>
                <w:b/>
                <w:bCs/>
                <w:i w:val="0"/>
                <w:iCs w:val="0"/>
                <w:color w:val="000000"/>
                <w:sz w:val="21"/>
                <w:szCs w:val="21"/>
                <w:highlight w:val="none"/>
                <w:u w:val="none"/>
              </w:rPr>
            </w:r>
            <w:r/>
          </w:p>
        </w:tc>
        <w:tc>
          <w:tcPr>
            <w:tcW w:w="557"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隶属</w:t>
            </w:r>
            <w:r>
              <w:rPr>
                <w:rFonts w:hint="eastAsia" w:ascii="宋体" w:hAnsi="宋体" w:eastAsia="宋体" w:cs="宋体"/>
                <w:b/>
                <w:bCs/>
                <w:i w:val="0"/>
                <w:iCs w:val="0"/>
                <w:color w:val="000000"/>
                <w:sz w:val="21"/>
                <w:szCs w:val="21"/>
                <w:highlight w:val="none"/>
                <w:u w:val="none"/>
                <w:lang w:val="en-US" w:eastAsia="zh-CN" w:bidi="ar"/>
              </w:rPr>
            </w:r>
            <w:r/>
          </w:p>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区域</w:t>
            </w:r>
            <w:r>
              <w:rPr>
                <w:rFonts w:hint="eastAsia" w:ascii="宋体" w:hAnsi="宋体" w:eastAsia="宋体" w:cs="宋体"/>
                <w:b/>
                <w:bCs/>
                <w:i w:val="0"/>
                <w:iCs w:val="0"/>
                <w:color w:val="000000"/>
                <w:sz w:val="21"/>
                <w:szCs w:val="21"/>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方向</w:t>
            </w:r>
            <w:r>
              <w:rPr>
                <w:rFonts w:hint="eastAsia" w:ascii="宋体" w:hAnsi="宋体" w:eastAsia="宋体" w:cs="宋体"/>
                <w:b/>
                <w:bCs/>
                <w:i w:val="0"/>
                <w:iCs w:val="0"/>
                <w:color w:val="000000"/>
                <w:sz w:val="21"/>
                <w:szCs w:val="21"/>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车道</w:t>
            </w:r>
            <w:r>
              <w:rPr>
                <w:rFonts w:hint="eastAsia" w:ascii="宋体" w:hAnsi="宋体" w:eastAsia="宋体" w:cs="宋体"/>
                <w:b/>
                <w:bCs/>
                <w:i w:val="0"/>
                <w:iCs w:val="0"/>
                <w:color w:val="000000"/>
                <w:sz w:val="21"/>
                <w:szCs w:val="21"/>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rPr>
                <w:rFonts w:hint="eastAsia" w:ascii="宋体" w:hAnsi="宋体" w:eastAsia="宋体" w:cs="宋体"/>
                <w:b/>
                <w:bCs/>
                <w:i w:val="0"/>
                <w:iCs w:val="0"/>
                <w:color w:val="000000"/>
                <w:sz w:val="21"/>
                <w:szCs w:val="21"/>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延陵东路五一路南向北6-8车道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17-18车道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潞横北路东城路北向南3车道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漕上路五一路东向西4-6车道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漕上路剑横路东向西1-4车道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漕上路剑横路西向东1-4车道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劳动东路河苑路(今创路)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人民路常遥路东向西1-4车道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戚月线常芙东路(芙蓉街北路)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戚横线前杨工业园区路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广电东路剑湖街(宋剑路)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朝阳路环山南路西向南1-3车道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老东方大道剑横路北向南1车道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东南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大明路人民路北向南3-5车道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漕上路常青路北向南1-4车道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漕上路常青路北向南5-6车道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戚月线新董路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正向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横洛路公园路卡口南向北1-2车道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正向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横洛路公园路卡口北向南1-2车道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广电路华昌路（遥观工业大道）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广电路华昌路西向东2-3车道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16-17</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20-21</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22-23</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25-26</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反向卡口点位</w:t>
      </w:r>
      <w:r>
        <w:rPr>
          <w:rFonts w:ascii="宋体" w:hAnsi="宋体" w:eastAsia="宋体" w:cs="宋体"/>
          <w:b/>
          <w:bCs w:val="0"/>
          <w:color w:val="000000"/>
          <w:sz w:val="21"/>
          <w:szCs w:val="21"/>
          <w:highlight w:val="none"/>
          <w:lang w:val="en-US" w:eastAsia="zh-CN" w:bidi="ar-SA"/>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296"/>
        <w:gridCol w:w="765"/>
        <w:gridCol w:w="648"/>
        <w:gridCol w:w="768"/>
        <w:gridCol w:w="4750"/>
      </w:tblGrid>
      <w:tr>
        <w:trPr>
          <w:trHeight w:val="434"/>
        </w:trPr>
        <w:tc>
          <w:tcPr>
            <w:tcW w:w="63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296"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路口名称</w:t>
            </w:r>
            <w:r>
              <w:rPr>
                <w:rFonts w:hint="eastAsia" w:ascii="宋体" w:hAnsi="宋体" w:eastAsia="宋体" w:cs="宋体"/>
                <w:b/>
                <w:bCs/>
                <w:i w:val="0"/>
                <w:iCs w:val="0"/>
                <w:color w:val="000000"/>
                <w:sz w:val="21"/>
                <w:szCs w:val="21"/>
                <w:highlight w:val="none"/>
                <w:u w:val="none"/>
              </w:rPr>
            </w:r>
            <w:r/>
          </w:p>
        </w:tc>
        <w:tc>
          <w:tcPr>
            <w:tcW w:w="765"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方向</w:t>
            </w:r>
            <w:r>
              <w:rPr>
                <w:rFonts w:hint="eastAsia" w:ascii="宋体" w:hAnsi="宋体" w:eastAsia="宋体" w:cs="宋体"/>
                <w:b/>
                <w:bCs/>
                <w:i w:val="0"/>
                <w:iCs w:val="0"/>
                <w:color w:val="000000"/>
                <w:sz w:val="21"/>
                <w:szCs w:val="21"/>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车道</w:t>
            </w:r>
            <w:r>
              <w:rPr>
                <w:rFonts w:hint="eastAsia" w:ascii="宋体" w:hAnsi="宋体" w:eastAsia="宋体" w:cs="宋体"/>
                <w:b/>
                <w:bCs/>
                <w:i w:val="0"/>
                <w:iCs w:val="0"/>
                <w:color w:val="000000"/>
                <w:sz w:val="21"/>
                <w:szCs w:val="21"/>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rPr>
                <w:rFonts w:hint="eastAsia" w:ascii="宋体" w:hAnsi="宋体" w:eastAsia="宋体" w:cs="宋体"/>
                <w:b/>
                <w:bCs/>
                <w:i w:val="0"/>
                <w:iCs w:val="0"/>
                <w:color w:val="000000"/>
                <w:sz w:val="21"/>
                <w:szCs w:val="21"/>
                <w:highlight w:val="none"/>
                <w:u w:val="none"/>
              </w:rPr>
            </w:r>
            <w:r/>
          </w:p>
        </w:tc>
        <w:tc>
          <w:tcPr>
            <w:tcW w:w="4750"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r>
      <w:tr>
        <w:trPr>
          <w:trHeight w:val="360"/>
        </w:trPr>
        <w:tc>
          <w:tcPr>
            <w:tcW w:w="63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10-12</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龙锦路兴东路卡口南向北1-3车道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13-14</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龙锦路兴东路卡口南向北4车道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15-17</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龙锦路华丰路卡口东向西1-3车道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龙锦路华丰路卡口东向西4-5车道</w:t>
            </w:r>
            <w:r>
              <w:rPr>
                <w:rFonts w:hint="eastAsia" w:ascii="宋体" w:hAnsi="宋体" w:eastAsia="宋体" w:cs="宋体"/>
                <w:i w:val="0"/>
                <w:iCs w:val="0"/>
                <w:color w:val="000000"/>
                <w:sz w:val="18"/>
                <w:szCs w:val="18"/>
                <w:highlight w:val="none"/>
                <w:u w:val="none"/>
              </w:rPr>
            </w:r>
            <w:r/>
          </w:p>
        </w:tc>
      </w:tr>
      <w:tr>
        <w:trPr>
          <w:trHeight w:val="395"/>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23-24</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延陵东路五一路卡口北向南3-4车道</w:t>
            </w: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bookmarkEnd w:id="692"/>
      <w:r/>
      <w:bookmarkEnd w:id="693"/>
      <w:r>
        <w:rPr>
          <w:rFonts w:hint="eastAsia" w:ascii="宋体" w:hAnsi="宋体" w:eastAsia="宋体" w:cs="宋体"/>
          <w:b/>
          <w:bCs w:val="0"/>
          <w:color w:val="000000"/>
          <w:sz w:val="21"/>
          <w:szCs w:val="21"/>
          <w:highlight w:val="none"/>
          <w:lang w:val="en-US" w:eastAsia="zh-CN" w:bidi="ar-SA"/>
        </w:rPr>
        <w:t xml:space="preserve">（三）技术要求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1.投标要求</w:t>
      </w:r>
      <w:r>
        <w:rPr>
          <w:rFonts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1.1投标人须保证所提供设备是全新的、未使用过的原厂正品，并完全符合招标文件规定的质量、规格和性能的要求，同时必须明确所投设备的品牌、型号、规格和外形、尺寸、重量及一些必须说明的技术参数。</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1.2投标人的投标文件必须对招标文件中所列明的各条技术要求做出明确响应。投标文件中列明的设备及元器件品牌、生产地、制造厂商、质量保证等必须符合相关的标准和规范。</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1.3本项目涉及的设备由中标人负责测试、安装、调试等工作。</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1.4中标人应保证本项目设备涉及到的知识产权和软件、技术资料是合法取得，并享有完整的知识产权或合法使用权，不会因为招标人的使用而被责令停止使用、追偿或要求赔偿损失，如出现此情况，一切经济和法律责任均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2.报价要求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2.1本项目投标报价为</w:t>
      </w:r>
      <w:r>
        <w:rPr>
          <w:rFonts w:hint="eastAsia" w:ascii="宋体" w:hAnsi="宋体" w:eastAsia="宋体" w:cs="宋体"/>
          <w:b/>
          <w:bCs w:val="0"/>
          <w:color w:val="000000"/>
          <w:sz w:val="21"/>
          <w:szCs w:val="21"/>
          <w:highlight w:val="none"/>
          <w:u w:val="single"/>
          <w:lang w:val="en-US" w:eastAsia="zh-CN" w:bidi="ar-SA"/>
        </w:rPr>
        <w:t xml:space="preserve">固定总价</w:t>
      </w:r>
      <w:r>
        <w:rPr>
          <w:rFonts w:hint="eastAsia" w:ascii="宋体" w:hAnsi="宋体" w:eastAsia="宋体" w:cs="宋体"/>
          <w:b w:val="0"/>
          <w:bCs/>
          <w:color w:val="000000"/>
          <w:sz w:val="21"/>
          <w:szCs w:val="21"/>
          <w:highlight w:val="none"/>
          <w:lang w:val="en-US" w:eastAsia="zh-CN" w:bidi="ar-SA"/>
        </w:rPr>
        <w:t xml:space="preserve">，投标报价应包括招标文件所确定的招标范围相应货物和服务的供货、包装、运输、保险、辅助设备、安装调试、管理、</w:t>
      </w:r>
      <w:r>
        <w:rPr>
          <w:rFonts w:hint="eastAsia" w:ascii="宋体" w:hAnsi="宋体" w:eastAsia="宋体" w:cs="宋体"/>
          <w:b/>
          <w:bCs w:val="0"/>
          <w:color w:val="000000"/>
          <w:sz w:val="21"/>
          <w:szCs w:val="21"/>
          <w:highlight w:val="none"/>
          <w:lang w:val="en-US" w:eastAsia="zh-CN" w:bidi="ar-SA"/>
        </w:rPr>
        <w:t xml:space="preserve">5年维护（包括5年维保服务期内的一切维修、保养、更换零部件、人工等）</w:t>
      </w:r>
      <w:r>
        <w:rPr>
          <w:rFonts w:hint="eastAsia" w:ascii="宋体" w:hAnsi="宋体" w:eastAsia="宋体" w:cs="宋体"/>
          <w:b w:val="0"/>
          <w:bCs/>
          <w:color w:val="000000"/>
          <w:sz w:val="21"/>
          <w:szCs w:val="21"/>
          <w:highlight w:val="none"/>
          <w:lang w:val="en-US" w:eastAsia="zh-CN" w:bidi="ar-SA"/>
        </w:rPr>
        <w:t xml:space="preserve">、劳务、培训、验收、办公设备、设备、工具、耗材、运送工具及耗材、利润、风险、 税金及政策性文件规定等各项应有费用，以及为完成该项货物或者服务项目所涉及到的一切相关费用，采购人不再支付其他任何费用。</w:t>
      </w:r>
      <w:r>
        <w:rPr>
          <w:rFonts w:hint="eastAsia" w:ascii="宋体" w:hAnsi="宋体" w:eastAsia="宋体" w:cs="宋体"/>
          <w:b/>
          <w:bCs w:val="0"/>
          <w:color w:val="000000"/>
          <w:sz w:val="21"/>
          <w:szCs w:val="21"/>
          <w:highlight w:val="none"/>
          <w:lang w:val="en-US" w:eastAsia="zh-CN" w:bidi="ar-SA"/>
        </w:rPr>
        <w:t xml:space="preserve">安装、调试、验收过程中，如发现有漏项、缺件，中标人应无条件、无偿补齐，所发生的一切费用，视为已包含在投标人的报价之中，且并不因此而影响交付实际使用人的时间。</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2.2投标人在报价时，应充分考虑企业自身实力和承受风险的能力、材料涨价、通货膨胀、政府政策、天气变化影响等因素，结算时单价不予调整。</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2.3投标人报价时应充分考虑合同期限内及维保服务时所产生的一切费用，采购人不再额外支付任何费用。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2.4投标人根据采购人提供的采购清单，根据项目实际情况，结合自身实力测算费用。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2.5中标人项目组人员的伙食费、住宿费、交通费用等一切费用由中标人负责，费用包含在报价中。</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2.6由于中标人原因所产生的返工或整改的一切费用（含设备、材料、人工、搬运及保管费等），由中标人自行承担。若未按期整改，采购人有权立即解除合同，且一切损失均由中标人承担。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3.供货期要求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3.1供货期要求：</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3.2采购人有权根据实际使用需求，对货物清单中品种或数量进行调整，中标人应保证在整个执行过程中，将予以配合，保证按采购人要求及时提供所需货物。</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3.3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3.4中标人在交付设备的同时向采购人提供货物全套随机资料一套（不限于合格证书、使用维护说明书、验收报告书、原厂保修单等）。根据招采购人要求免费提供并安装设备操作及应用软件。</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4.验收要求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4.1整机包装完整，配件数量齐全。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4.2通电开机运行检查系统性能（功能应正常，符合技术参数指标）。 </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4.3出厂检验报告、合格证、保修卡等配备齐全。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4.5对于中标人提供的货物，送达后采购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采购人有权提出整改、返工等要求，中标人必须整改到位，不得以任何理由拒绝。中标人拒不整改的，采购人有权解除合同并不承担任何由此造成的一切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4.6对货物安装验收不合格时，中标人应予以免费调换，直至符合规定，采购人不承担因调退、换货而发生的任何费用和责任；如因产品质量问题给招标人带来的损失，中标人还应赔偿采购人直接损失费用。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4.7货物安装验收合格并通过公安交警部门的验收；监控设备的数据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4.8执法办案管理应用所产生的业务数据，支持按照严格的规范和标准接入市局数据中心，确保数据的集中存储和管理，为后续的数据挖掘、分析以及应用提供基础，支撑整个业务系统的高效运行和持续优化。</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5.安装要求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5.1严格执行设备安装规范、安全操作规程、防火安全规定。严格按照说明进行安装，做好各项质量检查记录。参加验收。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遵守国家或地方政府及有关部门对安装现场管理的规定，妥善保护好安装现场周围建筑物、设备管线不受损坏。做好安装现场保卫、消防和垃圾清理等工作，处理好由于设备安装带来的扰民问题及与周围居民的关系。</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5.3安装调试中未经采购人同意或有关部门批准，不得随便拆改原有的各种设备管线。</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5.4安装调试未完成之前，负责对现场的一切设施进行保护。</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5.5采购人有权对现场不称职或不合格的技术负责人、其他人员提出更换，中标人应无条件接受。</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5.6现场的材料及设备、工具由中标人自行保管。</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5.7中标人在安装调试过程中，采购人有权要求对中标人的安装进行适当调整安排，对采购人提出的安排，中标人应积极服从。如中标人拒服从采购人的调整安排，采购人有权对中标人进行相应的经济处罚。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5.8安装调试完成后，中标人应通知采购人验收，采购人自接到验收通知10日内组织验收，并办理验收、移交手续。如采购人在规定时间内未能组织验收，需及时通知中标人，另定验收日期，中标人在此期间应承担看管的相关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5.9中标人负责完成安装调试后移交采购人之前的维护及保管工作。</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5.10材料堆放及安装现场应服从采购人管理，做到材料堆放整齐、规范，安装现场保证安装完成场地清理干净。</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5.11在安装设备区域设置必要的危险警示牌、灯等，采取警示措施，避免发生伤亡事故，设备安装期间所发生伤亡等一切事故，均由中标人承担，所发生的一切费用均由中标人全部支付。</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5.12中标人应随时接受采购人对设备安装的监督和检查，对不符合规范的无条件组织整改。</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6.维保服务要求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6.1中标人应按照国家有关法律法规、“三包”规定以及投标文件中的“维保服务承诺”提供服务。</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6.2维保服务期内需服从采购人统一管理。</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6.3维保服务期内，中标人应免费提供维修服务（因使用操作不当等人为原因造成的损坏除外）。中标人接到故障电话在1小时内响应，2小</w:t>
      </w:r>
      <w:r>
        <w:rPr>
          <w:rFonts w:hint="eastAsia" w:ascii="宋体" w:hAnsi="宋体" w:eastAsia="宋体" w:cs="宋体"/>
          <w:b w:val="0"/>
          <w:bCs/>
          <w:color w:val="000000"/>
          <w:sz w:val="21"/>
          <w:szCs w:val="21"/>
          <w:highlight w:val="none"/>
          <w:lang w:val="en-US" w:eastAsia="zh-CN" w:bidi="ar-SA"/>
        </w:rPr>
        <w:t xml:space="preserve">时内给出解决问题的方案。如果招标人按照中标人的指导不能解决问题，中标人在8小时内派出维修人员到现场维修或更换零件；复杂故障或需使用进口配件，4至6周内解决。需到场维修或技术支持的，由厂家派员到设备使用现场维修，由此产生的一切费用均由中标人承担。技术人员应7*24小时全天候随时响应设备使用等相关问题咨询。产品质量保证期内，凡货物在开箱检验、安装调试、货物试运转过程中发现的货物质量问题，由中标人负责处理，实行包修、包换、包退，直至产品符合质量要求。中标人承担修理、调换、退货发生的一切费用和采购人的直接经济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6.4维保服务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6.5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6.6维保服务期结束，中标人对于设备维修只收取基本材料备件费，不收取工时费。</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6.7维保服务期结束，不能视为中标人对设备中存在的可能引起设备损坏的潜在缺陷所应负责任的解除。潜在缺陷指设备在制造过程中未被发现的隐患，中标人对纠正潜在缺陷应负责任，其时间应延续至服务期终止后三年。当发现这类潜在缺陷时（经双方确认），中标人应立即予以无偿修复或更换。</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6.8因中标人所提供的设备造成采购人设备损坏或其他损失，以及其他第三方损失的，一经核实，中标人必须赔偿招标人或第三方因此造成的所有损失。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6.9中标人终身免费更新升级设备安装及数据处理涉及软件。</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7.培训要求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7.1设备安装调试结束，中标人须在安装现场对采购人相关使用人员进行培训，主要培训内容为：设备的功能、基本结构、性能、主要部件的构造及处理，日常使用操作、保养与管理、常见故障的排除、紧急情况的处理等。</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7.2采购人认为可以培训的前一周提出需求，由中标人提供培训计划及资料进行培训，确保采购人培训后能熟练操作、了解构造原理、日常维护、排除一般故障。中标人保证对采购人各单位两名以上人员进行现场培训。培训时间地点由双方另行协商确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7.3中标人派出的培训指导人员，应在所在的技术领域具有五年以上的维修经验。培训指导人员的简历连同培训计划一并提交采购人，采购人认为培训指导人员不合适可要求更换，培训教程应按不同等级的受训人员分别制定，每一组应能对所有系统的特性、操作要求和维修有一个完整的了解，其中特别对软件系统进行专项培训。</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8.其他要求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8.1投标人必须响应本招标文件中规定的维保服务期。在此基础上，如其投标文件中承诺有延长维保服务期，则按其承诺的维保服务期执行。</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8.2中标人必须提供在合同履行过程中，若其出现多次失误或拖延工作现象，采购人有权随时终止合同。中标人负有责任的安装进度滞后或质量安全事故所造成的损失应由其承担，并接受采购人作出的相应处罚。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9.售后及维保服务期</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9.1双方必须遵守《常州市公安视频监控系统维护管理办法》，项目建设和管理单位为常州市公安局常州经济开发区分局，项目承建单位是维护管理、考核的责任主体，系统运行设备完好率每月必须达到95%以上，维修及时率达100%。</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9.2质保期限、维护管理期限、考核期限按合同期限执行：自项目通过竣工验收之日起计算</w:t>
      </w:r>
      <w:r>
        <w:rPr>
          <w:rFonts w:hint="eastAsia" w:ascii="宋体" w:hAnsi="宋体" w:eastAsia="宋体" w:cs="宋体"/>
          <w:b/>
          <w:bCs w:val="0"/>
          <w:color w:val="000000"/>
          <w:sz w:val="21"/>
          <w:szCs w:val="21"/>
          <w:highlight w:val="none"/>
          <w:u w:val="single"/>
          <w:lang w:val="en-US" w:eastAsia="zh-CN" w:bidi="ar-SA"/>
        </w:rPr>
        <w:t xml:space="preserve">五年</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9.3中标人在项目建设完成、竣工验收时，需提供运维具体部门、责任人及联系方式，如有变更，及时通知采购人。</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9.4中标人施工队伍必须满足项目质量、进度和文明施工等方面的要求，并提供所有施工人员的身份证原件（复印件留档），社保或保险缴纳证明，报采购人审核通过备案后方可进场施工。在实施过程中，施工队伍违反规定的，采购人可予以清退，所有违约责任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9.5在运行维护期内，如遇其他原因搬迁，中标人应免费承担不超过前端设备、链路等10%的搬迁服务。</w:t>
      </w:r>
      <w:r>
        <w:rPr>
          <w:rFonts w:hint="eastAsia" w:ascii="宋体" w:hAnsi="宋体" w:eastAsia="宋体" w:cs="宋体"/>
          <w:b w:val="0"/>
          <w:bCs/>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四、其他要求</w:t>
      </w: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按照《政府采购促进中小企业发展管理办法》（财库〔2020〕46号）的相关要求，采购人应当</w:t>
      </w:r>
      <w:r>
        <w:rPr>
          <w:rFonts w:hint="eastAsia" w:ascii="宋体" w:hAnsi="宋体" w:eastAsia="宋体" w:cs="宋体"/>
          <w:color w:val="000000"/>
          <w:sz w:val="21"/>
          <w:szCs w:val="21"/>
          <w:highlight w:val="none"/>
          <w:lang w:eastAsia="zh-CN"/>
        </w:rPr>
      </w:r>
      <w:r/>
    </w:p>
    <w:p>
      <w:pPr>
        <w:pStyle w:val="1150"/>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面向中小企业预留采购份额，本项目面向中小企业预留份额</w:t>
      </w:r>
      <w:r>
        <w:rPr>
          <w:rFonts w:hint="eastAsia" w:ascii="宋体" w:hAnsi="宋体" w:eastAsia="宋体" w:cs="宋体"/>
          <w:color w:val="000000"/>
          <w:sz w:val="21"/>
          <w:szCs w:val="21"/>
          <w:highlight w:val="none"/>
          <w:u w:val="single"/>
          <w:lang w:val="en-US" w:eastAsia="zh-CN"/>
        </w:rPr>
        <w:t xml:space="preserve"> 0</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50"/>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情况说明：</w:t>
      </w:r>
      <w:r>
        <w:rPr>
          <w:rFonts w:hint="eastAsia" w:ascii="宋体" w:hAnsi="宋体" w:eastAsia="宋体" w:cs="宋体"/>
          <w:color w:val="000000"/>
          <w:sz w:val="21"/>
          <w:szCs w:val="21"/>
          <w:highlight w:val="none"/>
          <w:lang w:eastAsia="zh-CN"/>
        </w:rPr>
        <w:t xml:space="preserve">预留采购份额无法确保充分供应、充分竞争，存在可能影响政府采购目标实现的情</w:t>
      </w:r>
      <w:r>
        <w:rPr>
          <w:rFonts w:hint="eastAsia" w:ascii="宋体" w:hAnsi="宋体" w:eastAsia="宋体" w:cs="宋体"/>
          <w:color w:val="000000"/>
          <w:sz w:val="21"/>
          <w:szCs w:val="21"/>
          <w:highlight w:val="none"/>
          <w:lang w:eastAsia="zh-CN"/>
        </w:rPr>
      </w:r>
      <w:r/>
    </w:p>
    <w:p>
      <w:pPr>
        <w:pStyle w:val="1150"/>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形。</w:t>
      </w:r>
      <w:r>
        <w:rPr>
          <w:rFonts w:hint="eastAsia" w:ascii="宋体" w:hAnsi="宋体" w:eastAsia="宋体" w:cs="宋体"/>
          <w:color w:val="000000"/>
          <w:sz w:val="21"/>
          <w:szCs w:val="21"/>
          <w:highlight w:val="none"/>
          <w:lang w:eastAsia="zh-CN"/>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48"/>
        <w:jc w:val="center"/>
        <w:widowControl/>
        <w:rPr>
          <w:b/>
          <w:color w:val="000000"/>
          <w:sz w:val="32"/>
          <w:szCs w:val="32"/>
          <w:highlight w:val="none"/>
        </w:rPr>
      </w:pPr>
      <w:r/>
      <w:bookmarkEnd w:id="688"/>
      <w:r/>
      <w:bookmarkEnd w:id="689"/>
      <w:r/>
      <w:bookmarkStart w:id="710" w:name="_Toc99301425"/>
      <w:r>
        <w:rPr>
          <w:b/>
          <w:color w:val="000000"/>
          <w:sz w:val="32"/>
          <w:szCs w:val="32"/>
          <w:highlight w:val="none"/>
        </w:rPr>
        <w:br w:type="page" w:clear="all"/>
      </w:r>
      <w:r>
        <w:rPr>
          <w:b/>
          <w:color w:val="000000"/>
          <w:sz w:val="32"/>
          <w:szCs w:val="32"/>
          <w:highlight w:val="none"/>
        </w:rPr>
        <w:t xml:space="preserve">第六章   拟签订的合同文本</w:t>
      </w:r>
      <w:bookmarkEnd w:id="710"/>
      <w:r>
        <w:rPr>
          <w:b/>
          <w:color w:val="000000"/>
          <w:sz w:val="32"/>
          <w:szCs w:val="32"/>
          <w:highlight w:val="none"/>
        </w:rPr>
      </w:r>
      <w:r/>
    </w:p>
    <w:p>
      <w:pPr>
        <w:pStyle w:val="1048"/>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bookmarkStart w:id="711" w:name="_Toc99301426"/>
      <w:r/>
      <w:bookmarkStart w:id="712" w:name="_Toc331685783"/>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rPr>
      </w:r>
      <w:r/>
    </w:p>
    <w:p>
      <w:pPr>
        <w:pStyle w:val="1323"/>
        <w:ind w:left="0" w:firstLine="48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依据《中华人民共和国民法典》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《中华人民共和国政府采购法》等有关的法律法规，以及</w:t>
      </w:r>
      <w:r>
        <w:rPr>
          <w:rFonts w:hint="eastAsia" w:ascii="宋体" w:hAnsi="宋体" w:eastAsia="宋体" w:cs="宋体"/>
          <w:i w:val="0"/>
          <w:iCs w:val="0"/>
          <w:color w:val="000000"/>
          <w:sz w:val="21"/>
          <w:szCs w:val="21"/>
          <w:highlight w:val="none"/>
          <w:u w:val="none"/>
          <w:lang w:eastAsia="zh-CN"/>
        </w:rPr>
        <w:t xml:space="preserve">本采购项目</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招标文件等</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乙方的《投标（响应）文件》及《中标（成交）通知书》，甲乙双方同意签订本合同。具体情况及要求如下：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项目信息</w:t>
      </w:r>
      <w:r>
        <w:rPr>
          <w:rFonts w:hint="eastAsia" w:ascii="宋体" w:hAnsi="宋体" w:eastAsia="宋体" w:cs="宋体"/>
          <w:b/>
          <w:color w:val="000000"/>
          <w:sz w:val="21"/>
          <w:szCs w:val="21"/>
          <w:highlight w:val="none"/>
        </w:rPr>
      </w:r>
      <w:r/>
    </w:p>
    <w:p>
      <w:pPr>
        <w:pStyle w:val="1323"/>
        <w:numPr>
          <w:ilvl w:val="0"/>
          <w:numId w:val="10"/>
        </w:numPr>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323"/>
        <w:numPr>
          <w:ilvl w:val="0"/>
          <w:numId w:val="0"/>
        </w:numPr>
        <w:ind w:left="0" w:firstLine="480"/>
        <w:keepLines w:val="0"/>
        <w:keepNext w:val="0"/>
        <w:pageBreakBefore w:val="0"/>
        <w:spacing w:before="0" w:after="0" w:line="400" w:lineRule="exact"/>
        <w:widowControl w:val="off"/>
        <w:tabs>
          <w:tab w:val="left" w:pos="999"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     采购项目编号：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r>
      <w:r/>
    </w:p>
    <w:p>
      <w:pPr>
        <w:pStyle w:val="1323"/>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（1）合同金额小写：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48"/>
        <w:ind w:left="0" w:firstLine="480"/>
        <w:keepLines w:val="0"/>
        <w:keepNext w:val="0"/>
        <w:pageBreakBefore w:val="0"/>
        <w:spacing w:before="0" w:line="40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048"/>
        <w:ind w:firstLine="1890"/>
        <w:keepLines w:val="0"/>
        <w:keepNext w:val="0"/>
        <w:pageBreakBefore w:val="0"/>
        <w:spacing w:before="0" w:line="40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税率：</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合同结算方式：</w:t>
      </w:r>
      <w:r>
        <w:rPr>
          <w:rFonts w:hint="eastAsia" w:ascii="宋体" w:hAnsi="宋体" w:eastAsia="宋体" w:cs="宋体"/>
          <w:b/>
          <w:bCs/>
          <w:color w:val="000000"/>
          <w:sz w:val="21"/>
          <w:szCs w:val="21"/>
          <w:highlight w:val="none"/>
          <w:u w:val="single"/>
          <w:lang w:val="en-US" w:eastAsia="zh-CN"/>
        </w:rPr>
        <w:t xml:space="preserve">全费用固定综合单价，即中标单价不变，最终按实际数量结算</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投标报价应包括招标文件所确定的招标范围相应货物和服务的供货、包装、运输、保险、辅助设备、安装调试、管理、</w:t>
      </w:r>
      <w:r>
        <w:rPr>
          <w:rFonts w:hint="eastAsia" w:ascii="宋体" w:hAnsi="宋体" w:eastAsia="宋体" w:cs="宋体"/>
          <w:b/>
          <w:bCs/>
          <w:color w:val="000000"/>
          <w:sz w:val="21"/>
          <w:szCs w:val="21"/>
          <w:highlight w:val="none"/>
          <w:lang w:val="en-US" w:eastAsia="zh-CN"/>
        </w:rPr>
        <w:t xml:space="preserve">5年维护（包括5年维保服务期内的一切维修、保养、更换零部件、人工等）</w:t>
      </w:r>
      <w:r>
        <w:rPr>
          <w:rFonts w:hint="eastAsia" w:ascii="宋体" w:hAnsi="宋体" w:eastAsia="宋体" w:cs="宋体"/>
          <w:b w:val="0"/>
          <w:bCs w:val="0"/>
          <w:color w:val="000000"/>
          <w:sz w:val="21"/>
          <w:szCs w:val="21"/>
          <w:highlight w:val="none"/>
          <w:lang w:val="en-US" w:eastAsia="zh-CN"/>
        </w:rPr>
        <w:t xml:space="preserve">、劳务、培训、验收、办公设备、设备、工具、耗材、运送工具及耗材、利润、风险、 税金及政策性文件规定等各项应有费用，以及为完成该项货物或者服务项目所涉 及到的一切相关费用，甲方不再支付其他任何费用。</w:t>
      </w:r>
      <w:r>
        <w:rPr>
          <w:rFonts w:hint="eastAsia" w:ascii="宋体" w:hAnsi="宋体" w:eastAsia="宋体" w:cs="宋体"/>
          <w:color w:val="000000"/>
          <w:sz w:val="21"/>
          <w:szCs w:val="21"/>
          <w:highlight w:val="none"/>
          <w:lang w:val="en-US" w:eastAsia="zh-CN"/>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）付款方式：</w:t>
      </w:r>
      <w:r>
        <w:rPr>
          <w:rFonts w:hint="eastAsia" w:ascii="宋体" w:hAnsi="宋体" w:eastAsia="宋体" w:cs="宋体"/>
          <w:b/>
          <w:bCs w:val="0"/>
          <w:color w:val="000000"/>
          <w:sz w:val="21"/>
          <w:szCs w:val="21"/>
          <w:highlight w:val="none"/>
          <w:u w:val="single"/>
          <w:lang w:val="en-US" w:eastAsia="zh-CN" w:bidi="ar-SA"/>
        </w:rPr>
        <w:t xml:space="preserve">①合同签订后支付合同总金额的30%作为预付款；②乙方规定时间内交付货物，甲方在10个工作日内进行初步验收确认数量、规格等，支付至合同总金额的60%，如初步验收发现货物存在数量短缺，规格不符等问题，乙方需及时补换货，初验时间顺延；③货物交付且安装完成后(如需审计)则审计后，满足合同约定条件的，甲方在安装调试验收合格之日起60日付款至合同总金额（审定金额）的100%。</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特别说明：</w:t>
      </w:r>
      <w:r>
        <w:rPr>
          <w:rFonts w:hint="eastAsia" w:ascii="宋体" w:hAnsi="宋体" w:eastAsia="宋体" w:cs="宋体"/>
          <w:b/>
          <w:bCs w:val="0"/>
          <w:color w:val="000000"/>
          <w:sz w:val="21"/>
          <w:szCs w:val="21"/>
          <w:highlight w:val="none"/>
          <w:u w:val="single"/>
          <w:lang w:val="en-US" w:eastAsia="zh-CN" w:bidi="ar-SA"/>
        </w:rPr>
        <w:t xml:space="preserve">①结算审计核减率5%以下的审计费用由甲方承担；核减率5%（含）以上的审计费用一律由乙方承担，并直接在审定价中扣除。乙方应无条件接受甲方内部审计部门的延伸审计。②付款前，乙方应提供符合甲方要求的合同全额的合法有效发票。否则，甲方有权顺延付款时间，且不承担任何违约或赔偿责任。</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3.合同履行</w:t>
      </w:r>
      <w:r>
        <w:rPr>
          <w:rFonts w:hint="eastAsia" w:ascii="宋体" w:hAnsi="宋体" w:eastAsia="宋体" w:cs="宋体"/>
          <w:b/>
          <w:color w:val="000000"/>
          <w:sz w:val="21"/>
          <w:szCs w:val="21"/>
          <w:highlight w:val="none"/>
          <w:lang w:val="en-US" w:eastAsia="zh-CN" w:bidi="ar-SA"/>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服务期限：</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r>
      <w:r/>
    </w:p>
    <w:p>
      <w:pPr>
        <w:pStyle w:val="1048"/>
        <w:ind w:firstLine="480"/>
        <w:keepLines w:val="0"/>
        <w:keepNext w:val="0"/>
        <w:pageBreakBefore w:val="0"/>
        <w:spacing w:before="0" w:line="400" w:lineRule="exact"/>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履约</w:t>
      </w:r>
      <w:r>
        <w:rPr>
          <w:rFonts w:hint="eastAsia" w:ascii="宋体" w:hAnsi="宋体" w:eastAsia="宋体" w:cs="宋体"/>
          <w:color w:val="000000"/>
          <w:sz w:val="21"/>
          <w:szCs w:val="21"/>
          <w:highlight w:val="none"/>
        </w:rPr>
        <w:t xml:space="preserve">地点</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u w:val="single"/>
          <w:lang w:val="en-US" w:eastAsia="zh-CN"/>
        </w:rPr>
        <w:t xml:space="preserve">甲方指定地点  </w:t>
      </w:r>
      <w:r>
        <w:rPr>
          <w:rFonts w:ascii="宋体" w:hAnsi="宋体" w:eastAsia="宋体" w:cs="宋体"/>
          <w:color w:val="000000"/>
          <w:sz w:val="21"/>
          <w:szCs w:val="21"/>
          <w:highlight w:val="none"/>
          <w:u w:val="single"/>
          <w:lang w:val="en-US" w:eastAsia="zh-CN"/>
        </w:rPr>
      </w:r>
      <w:r/>
    </w:p>
    <w:p>
      <w:pPr>
        <w:pStyle w:val="1048"/>
        <w:ind w:firstLine="480"/>
        <w:keepLines w:val="0"/>
        <w:keepNext w:val="0"/>
        <w:pageBreakBefore w:val="0"/>
        <w:spacing w:before="0" w:line="400" w:lineRule="exact"/>
        <w:rPr>
          <w:rFonts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（3）履约担保：</w:t>
      </w:r>
      <w:r>
        <w:rPr>
          <w:rFonts w:hint="eastAsia" w:ascii="宋体" w:hAnsi="宋体" w:eastAsia="宋体" w:cs="宋体"/>
          <w:color w:val="000000"/>
          <w:sz w:val="21"/>
          <w:szCs w:val="21"/>
          <w:highlight w:val="none"/>
          <w:u w:val="single"/>
          <w:lang w:val="en-US" w:eastAsia="zh-CN"/>
        </w:rPr>
        <w:t xml:space="preserve">否</w:t>
      </w:r>
      <w:r>
        <w:rPr>
          <w:rFonts w:ascii="宋体" w:hAnsi="宋体" w:eastAsia="宋体" w:cs="宋体"/>
          <w:color w:val="000000"/>
          <w:sz w:val="21"/>
          <w:szCs w:val="21"/>
          <w:highlight w:val="none"/>
          <w:lang w:val="en-US" w:eastAsia="zh-CN"/>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4.合同验收</w:t>
      </w:r>
      <w:r>
        <w:rPr>
          <w:rFonts w:hint="eastAsia" w:ascii="宋体" w:hAnsi="宋体" w:eastAsia="宋体" w:cs="宋体"/>
          <w:b/>
          <w:color w:val="000000"/>
          <w:sz w:val="21"/>
          <w:szCs w:val="21"/>
          <w:highlight w:val="none"/>
          <w:lang w:val="en-US" w:eastAsia="zh-CN" w:bidi="ar-SA"/>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乙方应当在合同签订后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天内将货物交付甲方正常使用，地点由甲方指定。招标文件有约定的，从其约定。</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货物的到货验收包括：生产厂家名称、品牌、型号、规格、数量、外观质量、配置及货物包装是否完好。</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（5）货物验收的标准：按行业通行标准、厂方出厂标准和乙方投标文件的承诺（并不低于国家相关标准）。</w:t>
      </w:r>
      <w:r>
        <w:rPr>
          <w:rFonts w:hint="eastAsia" w:ascii="宋体" w:hAnsi="宋体" w:eastAsia="宋体" w:cs="宋体"/>
          <w:color w:val="000000"/>
          <w:sz w:val="21"/>
          <w:szCs w:val="21"/>
          <w:highlight w:val="none"/>
          <w:lang w:val="en-US" w:eastAsia="zh-CN"/>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rPr>
        <w:t xml:space="preserve">组成合同的文件</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lang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（7）有关技术文件，图纸</w:t>
      </w:r>
      <w:r>
        <w:rPr>
          <w:rFonts w:hint="eastAsia" w:ascii="宋体" w:hAnsi="宋体" w:eastAsia="宋体" w:cs="宋体"/>
          <w:color w:val="000000"/>
          <w:sz w:val="21"/>
          <w:szCs w:val="21"/>
          <w:highlight w:val="none"/>
        </w:rPr>
      </w:r>
      <w:r/>
    </w:p>
    <w:p>
      <w:pPr>
        <w:pStyle w:val="1324"/>
        <w:ind w:firstLine="480"/>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lang w:eastAsia="zh-CN"/>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合同份数</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eastAsia="zh-CN"/>
        </w:rPr>
        <w:t xml:space="preserve">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份，代理机构持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份，均具有同等法律效力。</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合同订立时间：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合同订立地点：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8"/>
        <w:rPr>
          <w:rFonts w:hint="eastAsia"/>
          <w:color w:val="000000"/>
          <w:highlight w:val="none"/>
        </w:rPr>
      </w:pPr>
      <w:r>
        <w:rPr>
          <w:rFonts w:hint="eastAsia"/>
          <w:color w:val="000000"/>
          <w:highlight w:val="none"/>
        </w:rPr>
      </w:r>
      <w:r/>
    </w:p>
    <w:p>
      <w:pPr>
        <w:pStyle w:val="1048"/>
        <w:rPr>
          <w:rFonts w:hint="eastAsia"/>
          <w:color w:val="000000"/>
          <w:highlight w:val="none"/>
        </w:rPr>
      </w:pPr>
      <w:r>
        <w:rPr>
          <w:rFonts w:hint="eastAsia"/>
          <w:color w:val="000000"/>
          <w:highlight w:val="none"/>
        </w:rPr>
      </w:r>
      <w:r/>
    </w:p>
    <w:tbl>
      <w:tblPr>
        <w:tblW w:w="4925"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71"/>
        <w:gridCol w:w="3115"/>
        <w:gridCol w:w="1594"/>
        <w:gridCol w:w="2869"/>
      </w:tblGrid>
      <w:tr>
        <w:trPr>
          <w:trHeight w:val="490"/>
        </w:trPr>
        <w:tc>
          <w:tcPr>
            <w:gridSpan w:val="2"/>
            <w:tcW w:w="497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tc>
        <w:tc>
          <w:tcPr>
            <w:gridSpan w:val="2"/>
            <w:tcW w:w="473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r>
      <w:tr>
        <w:trPr>
          <w:trHeight w:val="672"/>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386"/>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bl>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见证方： </w:t>
      </w: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代理机构（章）： </w:t>
      </w: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经办人：                     电话：</w:t>
      </w:r>
      <w:r>
        <w:rPr>
          <w:rFonts w:hint="eastAsia" w:ascii="Times New Roman" w:hAnsi="Times New Roman" w:eastAsia="宋体" w:cs="Times New Roman"/>
          <w:b/>
          <w:color w:val="000000"/>
          <w:szCs w:val="21"/>
          <w:highlight w:val="none"/>
        </w:rPr>
      </w:r>
      <w:r/>
    </w:p>
    <w:p>
      <w:pPr>
        <w:pStyle w:val="1325"/>
        <w:jc w:val="center"/>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713" w:name="_Toc27624"/>
      <w:r>
        <w:rPr>
          <w:rFonts w:hint="eastAsia" w:ascii="宋体" w:hAnsi="宋体" w:eastAsia="宋体" w:cs="宋体"/>
          <w:b/>
          <w:bCs/>
          <w:color w:val="000000"/>
          <w:sz w:val="28"/>
          <w:szCs w:val="28"/>
          <w:highlight w:val="none"/>
        </w:rPr>
        <w:t xml:space="preserve">第二节 政府采购合同通用条款</w:t>
      </w:r>
      <w:bookmarkEnd w:id="713"/>
      <w:r>
        <w:rPr>
          <w:rFonts w:ascii="黑体" w:hAnsi="黑体" w:eastAsia="黑体"/>
          <w:color w:val="000000"/>
          <w:sz w:val="28"/>
          <w:szCs w:val="28"/>
          <w:highlight w:val="none"/>
        </w:rPr>
      </w:r>
      <w:r/>
    </w:p>
    <w:p>
      <w:pPr>
        <w:pStyle w:val="1048"/>
        <w:jc w:val="left"/>
        <w:pageBreakBefore w:val="0"/>
        <w:spacing w:before="0" w:line="360" w:lineRule="exact"/>
        <w:tabs>
          <w:tab w:val="left" w:pos="8820" w:leader="none"/>
          <w:tab w:val="left" w:pos="9345" w:leader="none"/>
          <w:tab w:val="left" w:pos="9765" w:leader="none"/>
        </w:tabs>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bCs/>
          <w:color w:val="000000"/>
          <w:sz w:val="21"/>
          <w:szCs w:val="21"/>
          <w:highlight w:val="none"/>
        </w:rPr>
        <w:t xml:space="preserve">定义</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1.1合同当事人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（1）采购人（以下称甲方）是指使用财政性资金，通过政府采购方式向供应商购买货物</w:t>
      </w:r>
      <w:r>
        <w:rPr>
          <w:rFonts w:hint="eastAsia" w:ascii="宋体" w:hAnsi="宋体" w:eastAsia="宋体" w:cs="宋体"/>
          <w:color w:val="000000"/>
          <w:sz w:val="21"/>
          <w:szCs w:val="21"/>
          <w:highlight w:val="none"/>
          <w:lang w:val="en-US" w:eastAsia="zh-CN"/>
        </w:rPr>
        <w:t xml:space="preserve">及其相关服务的</w:t>
      </w:r>
      <w:r>
        <w:rPr>
          <w:rFonts w:hint="eastAsia" w:ascii="宋体" w:hAnsi="宋体" w:eastAsia="宋体" w:cs="宋体"/>
          <w:color w:val="000000"/>
          <w:sz w:val="21"/>
          <w:szCs w:val="21"/>
          <w:highlight w:val="none"/>
        </w:rPr>
        <w:t xml:space="preserve">国家机关、事业单位、团体组织。</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（2）供应商（以下称</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方）是指参加政府采购活动并且中标（成交），向采购人提供</w:t>
      </w:r>
      <w:r>
        <w:rPr>
          <w:rFonts w:hint="eastAsia" w:ascii="宋体" w:hAnsi="宋体" w:eastAsia="宋体" w:cs="宋体"/>
          <w:color w:val="000000"/>
          <w:sz w:val="21"/>
          <w:szCs w:val="21"/>
          <w:highlight w:val="none"/>
          <w:lang w:val="en-US" w:eastAsia="zh-CN"/>
        </w:rPr>
        <w:t xml:space="preserve">合同约定的货物及其相关服务的法人、非法人组织或者自然人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（3）其他合同主体是指除采购人和供应商以外，</w:t>
      </w:r>
      <w:r>
        <w:rPr>
          <w:rFonts w:hint="eastAsia" w:ascii="宋体" w:hAnsi="宋体" w:eastAsia="宋体" w:cs="宋体"/>
          <w:bCs/>
          <w:color w:val="000000"/>
          <w:sz w:val="21"/>
          <w:szCs w:val="21"/>
          <w:highlight w:val="none"/>
        </w:rPr>
        <w:t xml:space="preserve">依法参与合同缔结或履行，享有权利、承担义务的合同当事人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1.2本合同下列术语应解释为：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（1）“合同”系指</w:t>
      </w:r>
      <w:r>
        <w:rPr>
          <w:rFonts w:hint="eastAsia" w:ascii="宋体" w:hAnsi="宋体" w:eastAsia="宋体" w:cs="宋体"/>
          <w:bCs/>
          <w:color w:val="000000"/>
          <w:sz w:val="21"/>
          <w:szCs w:val="21"/>
          <w:highlight w:val="none"/>
        </w:rPr>
        <w:t xml:space="preserve">合同当事人意思表示达成一致的任何协议，包括签署的</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有关技术文件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图纸</w:t>
      </w:r>
      <w:r>
        <w:rPr>
          <w:rFonts w:hint="eastAsia" w:ascii="宋体" w:hAnsi="宋体" w:eastAsia="宋体" w:cs="宋体"/>
          <w:color w:val="000000"/>
          <w:sz w:val="21"/>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t xml:space="preserve">”系指根据本合同规定乙方在全面履行合同义务后甲方应支付给乙方的价款。</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技术资料和材料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服务”系指根据合同规定，乙方应提供的</w:t>
      </w:r>
      <w:r>
        <w:rPr>
          <w:rFonts w:hint="eastAsia" w:ascii="宋体" w:hAnsi="宋体" w:eastAsia="宋体" w:cs="宋体"/>
          <w:color w:val="000000"/>
          <w:sz w:val="21"/>
          <w:szCs w:val="21"/>
          <w:highlight w:val="none"/>
          <w:lang w:val="en-US" w:eastAsia="zh-CN"/>
        </w:rPr>
        <w:t xml:space="preserve">与货物有关的</w:t>
      </w:r>
      <w:r>
        <w:rPr>
          <w:rFonts w:hint="eastAsia" w:ascii="宋体" w:hAnsi="宋体" w:eastAsia="宋体" w:cs="宋体"/>
          <w:color w:val="000000"/>
          <w:sz w:val="21"/>
          <w:szCs w:val="21"/>
          <w:highlight w:val="none"/>
        </w:rPr>
        <w:t xml:space="preserve">技术、管理和</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服务，包括但不限于：管理和质量保证、运输、保险、检验、现场准备、安装、集成、调试、培训、维修、</w:t>
      </w:r>
      <w:r>
        <w:rPr>
          <w:rFonts w:hint="eastAsia" w:ascii="宋体" w:hAnsi="宋体" w:eastAsia="宋体" w:cs="宋体"/>
          <w:color w:val="000000"/>
          <w:sz w:val="21"/>
          <w:szCs w:val="21"/>
          <w:highlight w:val="none"/>
          <w:lang w:eastAsia="zh-CN"/>
        </w:rPr>
        <w:t xml:space="preserve">废弃处置、</w:t>
      </w:r>
      <w:r>
        <w:rPr>
          <w:rFonts w:hint="eastAsia" w:ascii="宋体" w:hAnsi="宋体" w:eastAsia="宋体" w:cs="宋体"/>
          <w:color w:val="000000"/>
          <w:sz w:val="21"/>
          <w:szCs w:val="21"/>
          <w:highlight w:val="none"/>
        </w:rPr>
        <w:t xml:space="preserve">技术支持等以及合同中规定乙方应承担的</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）“分包”系指中标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供应商按采购文件、投标（响应）文件的规定，根据分包意向协议，将中标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项目中的部分履约内容，分给具有相应资质条件的供应商履行合同的行为。</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）“联合体”系指</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两个以上的自然人、法人或者</w:t>
      </w:r>
      <w:r>
        <w:rPr>
          <w:rFonts w:hint="eastAsia" w:ascii="宋体" w:hAnsi="宋体" w:eastAsia="宋体" w:cs="宋体"/>
          <w:color w:val="000000"/>
          <w:sz w:val="21"/>
          <w:szCs w:val="21"/>
          <w:highlight w:val="none"/>
          <w:lang w:val="en-US" w:eastAsia="zh-CN"/>
        </w:rPr>
        <w:t xml:space="preserve">非法人</w:t>
      </w:r>
      <w:r>
        <w:rPr>
          <w:rFonts w:hint="eastAsia" w:ascii="宋体" w:hAnsi="宋体" w:eastAsia="宋体" w:cs="宋体"/>
          <w:color w:val="000000"/>
          <w:sz w:val="21"/>
          <w:szCs w:val="21"/>
          <w:highlight w:val="none"/>
        </w:rPr>
        <w:t xml:space="preserve">组织组成，</w:t>
      </w:r>
      <w:r>
        <w:rPr>
          <w:rFonts w:hint="eastAsia" w:ascii="宋体" w:hAnsi="宋体" w:eastAsia="宋体" w:cs="宋体"/>
          <w:color w:val="000000"/>
          <w:sz w:val="21"/>
          <w:szCs w:val="21"/>
          <w:highlight w:val="none"/>
          <w:lang w:eastAsia="zh-CN"/>
        </w:rPr>
        <w:t xml:space="preserve">以一个供应商的身份共同参加政府采购的主体。</w:t>
      </w:r>
      <w:r>
        <w:rPr>
          <w:rFonts w:hint="eastAsia" w:ascii="宋体" w:hAnsi="宋体" w:eastAsia="宋体" w:cs="宋体"/>
          <w:color w:val="00000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承担连带责任。联合体具体要求见【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）其他术语解释，见【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中，甲方不再另行支付</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任何费用。</w:t>
      </w:r>
      <w:r>
        <w:rPr>
          <w:rFonts w:hint="eastAsia" w:ascii="宋体" w:hAnsi="宋体" w:eastAsia="宋体" w:cs="宋体"/>
          <w:b/>
          <w:bCs/>
          <w:i/>
          <w:iCs/>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履行合同的时间、地点和方式</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乙方应当在约定的时间、地点</w:t>
      </w:r>
      <w:r>
        <w:rPr>
          <w:rFonts w:hint="eastAsia" w:ascii="宋体" w:hAnsi="宋体" w:eastAsia="宋体" w:cs="宋体"/>
          <w:color w:val="000000"/>
          <w:sz w:val="21"/>
          <w:szCs w:val="21"/>
          <w:highlight w:val="none"/>
          <w:lang w:eastAsia="zh-CN"/>
        </w:rPr>
        <w:t xml:space="preserve">，按照约定</w:t>
      </w:r>
      <w:r>
        <w:rPr>
          <w:rFonts w:hint="eastAsia" w:ascii="宋体" w:hAnsi="宋体" w:eastAsia="宋体" w:cs="宋体"/>
          <w:color w:val="000000"/>
          <w:sz w:val="21"/>
          <w:szCs w:val="21"/>
          <w:highlight w:val="none"/>
        </w:rPr>
        <w:t xml:space="preserve">方式履行合同。</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甲方的权利和义务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签署合同后，甲方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.3 甲方有权要求乙方对缺陷部分予以修复，并按合同约定享有货物保修及其他合同约定的权利。</w:t>
      </w:r>
      <w:r>
        <w:rPr>
          <w:rFonts w:hint="eastAsia" w:ascii="宋体" w:hAnsi="宋体" w:eastAsia="宋体" w:cs="宋体"/>
          <w:color w:val="000000"/>
          <w:sz w:val="21"/>
          <w:szCs w:val="21"/>
          <w:highlight w:val="none"/>
        </w:rPr>
      </w:r>
      <w:r/>
    </w:p>
    <w:p>
      <w:pPr>
        <w:pStyle w:val="1048"/>
        <w:ind w:firstLine="48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 w:val="21"/>
          <w:szCs w:val="21"/>
          <w:highlight w:val="none"/>
          <w:lang w:eastAsia="zh-CN"/>
        </w:rPr>
        <w:t xml:space="preserve">未</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约定的期限内对乙方履约提出任何异议或者向乙方作出任何说明的，</w:t>
      </w:r>
      <w:r>
        <w:rPr>
          <w:rFonts w:hint="eastAsia" w:ascii="宋体" w:hAnsi="宋体" w:eastAsia="宋体" w:cs="宋体"/>
          <w:color w:val="000000"/>
          <w:sz w:val="21"/>
          <w:szCs w:val="21"/>
          <w:highlight w:val="none"/>
          <w:lang w:val="en-US" w:eastAsia="zh-CN"/>
        </w:rPr>
        <w:t xml:space="preserve">视为验收通过。</w:t>
      </w:r>
      <w:r>
        <w:rPr>
          <w:rFonts w:hint="eastAsia" w:ascii="宋体" w:hAnsi="宋体" w:eastAsia="宋体" w:cs="宋体"/>
          <w:color w:val="000000"/>
          <w:sz w:val="21"/>
          <w:szCs w:val="21"/>
          <w:highlight w:val="none"/>
          <w:lang w:val="en-US" w:eastAsia="zh-CN"/>
        </w:rPr>
      </w:r>
      <w:r/>
    </w:p>
    <w:p>
      <w:pPr>
        <w:pStyle w:val="1048"/>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甲方应当根据合同约定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时向乙方支付</w:t>
      </w:r>
      <w:r>
        <w:rPr>
          <w:rFonts w:hint="eastAsia" w:ascii="宋体" w:hAnsi="宋体" w:eastAsia="宋体" w:cs="宋体"/>
          <w:color w:val="000000"/>
          <w:sz w:val="21"/>
          <w:szCs w:val="21"/>
          <w:highlight w:val="none"/>
          <w:lang w:eastAsia="zh-CN"/>
        </w:rPr>
        <w:t xml:space="preserve">合同价款，不得以内部人员变更、履行内部付款流程等为由，拒绝或迟延支付。</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由甲方承担的其他义务和责任。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乙方的权利和义务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.1 签署合同后，乙方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.2 乙方应按照合同要求履约，充分合理安排，确保提供的货物</w:t>
      </w:r>
      <w:r>
        <w:rPr>
          <w:rFonts w:hint="eastAsia" w:ascii="宋体" w:hAnsi="宋体" w:eastAsia="宋体" w:cs="宋体"/>
          <w:color w:val="000000"/>
          <w:sz w:val="21"/>
          <w:szCs w:val="21"/>
          <w:highlight w:val="none"/>
          <w:lang w:eastAsia="zh-CN"/>
        </w:rPr>
        <w:t xml:space="preserve">及相关</w:t>
      </w:r>
      <w:r>
        <w:rPr>
          <w:rFonts w:hint="eastAsia" w:ascii="宋体" w:hAnsi="宋体" w:eastAsia="宋体" w:cs="宋体"/>
          <w:color w:val="000000"/>
          <w:sz w:val="21"/>
          <w:szCs w:val="21"/>
          <w:highlight w:val="none"/>
        </w:rPr>
        <w:t xml:space="preserve">服务符合合同</w:t>
      </w:r>
      <w:r>
        <w:rPr>
          <w:rFonts w:hint="eastAsia" w:ascii="宋体" w:hAnsi="宋体" w:eastAsia="宋体" w:cs="宋体"/>
          <w:color w:val="000000"/>
          <w:sz w:val="21"/>
          <w:szCs w:val="21"/>
          <w:highlight w:val="none"/>
          <w:lang w:eastAsia="zh-CN"/>
        </w:rPr>
        <w:t xml:space="preserve">有关</w:t>
      </w:r>
      <w:r>
        <w:rPr>
          <w:rFonts w:hint="eastAsia" w:ascii="宋体" w:hAnsi="宋体" w:eastAsia="宋体" w:cs="宋体"/>
          <w:color w:val="000000"/>
          <w:sz w:val="21"/>
          <w:szCs w:val="21"/>
          <w:highlight w:val="none"/>
        </w:rPr>
        <w:t xml:space="preserve">要求。接受项目行业管理部门及政府有关部门的指导，配合甲方的履约检查</w:t>
      </w:r>
      <w:r>
        <w:rPr>
          <w:rFonts w:hint="eastAsia" w:ascii="宋体" w:hAnsi="宋体" w:eastAsia="宋体" w:cs="宋体"/>
          <w:color w:val="000000"/>
          <w:sz w:val="21"/>
          <w:szCs w:val="21"/>
          <w:highlight w:val="none"/>
          <w:lang w:eastAsia="zh-CN"/>
        </w:rPr>
        <w:t xml:space="preserve">及验收</w:t>
      </w:r>
      <w:r>
        <w:rPr>
          <w:rFonts w:hint="eastAsia" w:ascii="宋体" w:hAnsi="宋体" w:eastAsia="宋体" w:cs="宋体"/>
          <w:color w:val="000000"/>
          <w:sz w:val="21"/>
          <w:szCs w:val="21"/>
          <w:highlight w:val="none"/>
        </w:rPr>
        <w:t xml:space="preserve">，并负责项目实施过程中的所有协调工作。</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.3乙方有权根据合同约定向甲方收取</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.4国家法律法规规定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由乙方承担的其他义务和责任。</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合同履</w:t>
      </w:r>
      <w:r>
        <w:rPr>
          <w:rFonts w:hint="eastAsia" w:ascii="宋体" w:hAnsi="宋体" w:eastAsia="宋体" w:cs="宋体"/>
          <w:b/>
          <w:bCs/>
          <w:color w:val="000000"/>
          <w:sz w:val="21"/>
          <w:szCs w:val="21"/>
          <w:highlight w:val="none"/>
          <w:lang w:val="en-US" w:eastAsia="zh-CN"/>
        </w:rPr>
        <w:t xml:space="preserve">行</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.1 甲乙双方应当按照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约定顺序履行合同义务；如果没有先后顺序的，应当同时履行。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货物包装、运输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保险</w:t>
      </w:r>
      <w:r>
        <w:rPr>
          <w:rFonts w:hint="eastAsia" w:ascii="宋体" w:hAnsi="宋体" w:eastAsia="宋体" w:cs="宋体"/>
          <w:b/>
          <w:bCs/>
          <w:color w:val="000000"/>
          <w:sz w:val="21"/>
          <w:szCs w:val="21"/>
          <w:highlight w:val="none"/>
          <w:lang w:eastAsia="zh-CN"/>
        </w:rPr>
        <w:t xml:space="preserve">和交付</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.1 本合同</w:t>
      </w:r>
      <w:r>
        <w:rPr>
          <w:rFonts w:hint="eastAsia" w:ascii="宋体" w:hAnsi="宋体" w:eastAsia="宋体" w:cs="宋体"/>
          <w:bCs/>
          <w:color w:val="000000"/>
          <w:sz w:val="21"/>
          <w:szCs w:val="21"/>
          <w:highlight w:val="none"/>
        </w:rPr>
        <w:t xml:space="preserve">涉及商品包装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快递包装的，</w:t>
      </w:r>
      <w:r>
        <w:rPr>
          <w:rFonts w:hint="eastAsia" w:ascii="宋体" w:hAnsi="宋体" w:eastAsia="宋体" w:cs="宋体"/>
          <w:color w:val="000000"/>
          <w:sz w:val="21"/>
          <w:szCs w:val="21"/>
          <w:highlight w:val="none"/>
        </w:rPr>
        <w:t xml:space="preserve">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包装应适应远距离运输、防潮、防震、防锈和防野蛮装卸等要求，确保货物安全无损地运抵</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约定的</w:t>
      </w:r>
      <w:r>
        <w:rPr>
          <w:rFonts w:hint="eastAsia" w:ascii="宋体" w:hAnsi="宋体" w:eastAsia="宋体" w:cs="宋体"/>
          <w:color w:val="000000"/>
          <w:sz w:val="21"/>
          <w:szCs w:val="21"/>
          <w:highlight w:val="none"/>
        </w:rPr>
        <w:t xml:space="preserve">指定现场。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.2 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乙方负责办理将货物运抵本合同规定的交货地点</w:t>
      </w:r>
      <w:r>
        <w:rPr>
          <w:rFonts w:hint="eastAsia" w:ascii="宋体" w:hAnsi="宋体" w:eastAsia="宋体" w:cs="宋体"/>
          <w:color w:val="000000"/>
          <w:sz w:val="21"/>
          <w:szCs w:val="21"/>
          <w:highlight w:val="none"/>
          <w:lang w:eastAsia="zh-CN"/>
        </w:rPr>
        <w:t xml:space="preserve">，并装卸、交付至甲方</w:t>
      </w:r>
      <w:r>
        <w:rPr>
          <w:rFonts w:hint="eastAsia" w:ascii="宋体" w:hAnsi="宋体" w:eastAsia="宋体" w:cs="宋体"/>
          <w:color w:val="000000"/>
          <w:sz w:val="21"/>
          <w:szCs w:val="21"/>
          <w:highlight w:val="none"/>
        </w:rPr>
        <w:t xml:space="preserve">的一切运输事项，相关费用应</w:t>
      </w:r>
      <w:r>
        <w:rPr>
          <w:rFonts w:hint="eastAsia" w:ascii="宋体" w:hAnsi="宋体" w:eastAsia="宋体" w:cs="宋体"/>
          <w:color w:val="000000"/>
          <w:sz w:val="21"/>
          <w:szCs w:val="21"/>
          <w:highlight w:val="none"/>
          <w:lang w:eastAsia="zh-CN"/>
        </w:rPr>
        <w:t xml:space="preserve">包含</w:t>
      </w:r>
      <w:r>
        <w:rPr>
          <w:rFonts w:hint="eastAsia" w:ascii="宋体" w:hAnsi="宋体" w:eastAsia="宋体" w:cs="宋体"/>
          <w:color w:val="000000"/>
          <w:sz w:val="21"/>
          <w:szCs w:val="21"/>
          <w:highlight w:val="none"/>
        </w:rPr>
        <w:t xml:space="preserve">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.3 货物保险要求按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en-US" w:eastAsia="zh-CN"/>
        </w:rPr>
        <w:t xml:space="preserve">除采购活动</w:t>
      </w:r>
      <w:r>
        <w:rPr>
          <w:rFonts w:hint="eastAsia" w:ascii="宋体" w:hAnsi="宋体" w:eastAsia="宋体" w:cs="宋体"/>
          <w:color w:val="000000"/>
          <w:sz w:val="21"/>
          <w:szCs w:val="21"/>
          <w:highlight w:val="none"/>
        </w:rPr>
        <w:t xml:space="preserve">对商品包装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w:t>
      </w:r>
      <w:r>
        <w:rPr>
          <w:rFonts w:hint="eastAsia" w:ascii="宋体" w:hAnsi="宋体" w:eastAsia="宋体" w:cs="宋体"/>
          <w:color w:val="000000"/>
          <w:sz w:val="21"/>
          <w:szCs w:val="21"/>
          <w:highlight w:val="none"/>
          <w:lang w:val="en-US" w:eastAsia="zh-CN"/>
        </w:rPr>
        <w:t xml:space="preserve">达成具体约定外</w:t>
      </w:r>
      <w:r>
        <w:rPr>
          <w:rFonts w:hint="eastAsia" w:ascii="宋体" w:hAnsi="宋体" w:eastAsia="宋体" w:cs="宋体"/>
          <w:color w:val="000000"/>
          <w:sz w:val="21"/>
          <w:szCs w:val="21"/>
          <w:highlight w:val="none"/>
        </w:rPr>
        <w:t xml:space="preserve">，乙方提供产品及相关快递服务</w:t>
      </w:r>
      <w:r>
        <w:rPr>
          <w:rFonts w:hint="eastAsia" w:ascii="宋体" w:hAnsi="宋体" w:eastAsia="宋体" w:cs="宋体"/>
          <w:color w:val="000000"/>
          <w:sz w:val="21"/>
          <w:szCs w:val="21"/>
          <w:highlight w:val="none"/>
          <w:lang w:val="en-US" w:eastAsia="zh-CN"/>
        </w:rPr>
        <w:t xml:space="preserve">涉及到</w:t>
      </w:r>
      <w:r>
        <w:rPr>
          <w:rFonts w:hint="eastAsia" w:ascii="宋体" w:hAnsi="宋体" w:eastAsia="宋体" w:cs="宋体"/>
          <w:color w:val="000000"/>
          <w:sz w:val="21"/>
          <w:szCs w:val="21"/>
          <w:highlight w:val="none"/>
        </w:rPr>
        <w:t xml:space="preserve">具体包装要求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应</w:t>
      </w:r>
      <w:r>
        <w:rPr>
          <w:rFonts w:hint="eastAsia" w:ascii="宋体" w:hAnsi="宋体" w:eastAsia="宋体" w:cs="宋体"/>
          <w:color w:val="000000"/>
          <w:sz w:val="21"/>
          <w:szCs w:val="21"/>
          <w:highlight w:val="none"/>
          <w:lang w:val="en-US" w:eastAsia="zh-CN"/>
        </w:rPr>
        <w:t xml:space="preserve">不低于</w:t>
      </w:r>
      <w:r>
        <w:rPr>
          <w:rFonts w:hint="eastAsia" w:ascii="宋体" w:hAnsi="宋体" w:eastAsia="宋体" w:cs="宋体"/>
          <w:color w:val="000000"/>
          <w:sz w:val="21"/>
          <w:szCs w:val="21"/>
          <w:highlight w:val="none"/>
        </w:rPr>
        <w:t xml:space="preserve">《商品包装政府采购需求标准（试行）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rPr>
        <w:t xml:space="preserve">，并作为履约验收的内容，必要时甲方可以要求乙方在履约验收环节出具检测报告。</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 </w:t>
      </w:r>
      <w:r>
        <w:rPr>
          <w:rFonts w:hint="eastAsia" w:ascii="宋体" w:hAnsi="宋体" w:eastAsia="宋体" w:cs="宋体"/>
          <w:color w:val="000000"/>
          <w:sz w:val="21"/>
          <w:szCs w:val="21"/>
          <w:highlight w:val="none"/>
        </w:rPr>
        <w:t xml:space="preserve">乙方在运输到达之前</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，并提示货物运输装卸的注意事项</w:t>
      </w:r>
      <w:r>
        <w:rPr>
          <w:rFonts w:hint="eastAsia" w:ascii="宋体" w:hAnsi="宋体" w:eastAsia="宋体" w:cs="宋体"/>
          <w:color w:val="000000"/>
          <w:sz w:val="21"/>
          <w:szCs w:val="21"/>
          <w:highlight w:val="none"/>
          <w:lang w:eastAsia="zh-CN"/>
        </w:rPr>
        <w:t xml:space="preserve">，甲方配合乙方做好货物的接收工作。</w:t>
      </w:r>
      <w:r>
        <w:rPr>
          <w:rFonts w:hint="eastAsia" w:ascii="宋体" w:hAnsi="宋体" w:eastAsia="宋体" w:cs="宋体"/>
          <w:color w:val="000000"/>
          <w:sz w:val="21"/>
          <w:szCs w:val="21"/>
          <w:highlight w:val="none"/>
        </w:rPr>
      </w:r>
      <w:r/>
    </w:p>
    <w:p>
      <w:pPr>
        <w:pStyle w:val="1324"/>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lang w:val="en-US" w:eastAsia="zh-CN"/>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8</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质量标准和保证</w:t>
      </w:r>
      <w:r>
        <w:rPr>
          <w:rFonts w:hint="eastAsia" w:ascii="宋体" w:hAnsi="宋体" w:eastAsia="宋体" w:cs="宋体"/>
          <w:b/>
          <w:color w:val="000000"/>
          <w:sz w:val="21"/>
          <w:szCs w:val="21"/>
          <w:highlight w:val="none"/>
        </w:rPr>
      </w:r>
      <w:r/>
    </w:p>
    <w:p>
      <w:pPr>
        <w:pStyle w:val="1326"/>
        <w:ind w:firstLine="48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.1 质量标准</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（1）本合同下</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w:t>
      </w:r>
      <w:r>
        <w:rPr>
          <w:rFonts w:hint="eastAsia" w:ascii="宋体" w:hAnsi="宋体" w:eastAsia="宋体" w:cs="宋体"/>
          <w:color w:val="000000"/>
          <w:sz w:val="21"/>
          <w:szCs w:val="21"/>
          <w:highlight w:val="none"/>
          <w:lang w:eastAsia="zh-CN"/>
        </w:rPr>
        <w:t xml:space="preserve">合同约</w:t>
      </w:r>
      <w:r>
        <w:rPr>
          <w:rFonts w:hint="eastAsia" w:ascii="宋体" w:hAnsi="宋体" w:eastAsia="宋体" w:cs="宋体"/>
          <w:color w:val="000000"/>
          <w:sz w:val="21"/>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6"/>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（2）采用中华人民共和国法定计量单位。</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的货物应符合国家有关安全、环保、卫生</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（4）乙方应向甲方提交所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文件应包装好随货物一同发运。</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.2 保证</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w:t>
      </w:r>
      <w:r>
        <w:rPr>
          <w:rFonts w:hint="eastAsia" w:ascii="宋体" w:hAnsi="宋体" w:eastAsia="宋体" w:cs="宋体"/>
          <w:color w:val="000000"/>
          <w:sz w:val="21"/>
          <w:szCs w:val="21"/>
          <w:highlight w:val="none"/>
          <w:lang w:eastAsia="zh-CN"/>
        </w:rPr>
        <w:t xml:space="preserve">提供的货物</w:t>
      </w:r>
      <w:r>
        <w:rPr>
          <w:rFonts w:hint="eastAsia" w:ascii="宋体" w:hAnsi="宋体" w:eastAsia="宋体" w:cs="宋体"/>
          <w:color w:val="000000"/>
          <w:sz w:val="21"/>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000000"/>
          <w:sz w:val="21"/>
          <w:szCs w:val="21"/>
          <w:highlight w:val="none"/>
          <w:lang w:eastAsia="zh-CN"/>
        </w:rPr>
        <w:t xml:space="preserve">备合同约定</w:t>
      </w:r>
      <w:r>
        <w:rPr>
          <w:rFonts w:hint="eastAsia" w:ascii="宋体" w:hAnsi="宋体" w:eastAsia="宋体" w:cs="宋体"/>
          <w:color w:val="000000"/>
          <w:sz w:val="21"/>
          <w:szCs w:val="21"/>
          <w:highlight w:val="none"/>
        </w:rPr>
        <w:t xml:space="preserve">的性能。</w:t>
      </w:r>
      <w:r>
        <w:rPr>
          <w:rFonts w:hint="eastAsia" w:ascii="宋体" w:hAnsi="宋体" w:eastAsia="宋体" w:cs="宋体"/>
          <w:color w:val="000000"/>
          <w:sz w:val="21"/>
          <w:szCs w:val="21"/>
          <w:highlight w:val="none"/>
          <w:lang w:eastAsia="zh-CN"/>
        </w:rPr>
        <w:t xml:space="preserve">存在</w:t>
      </w:r>
      <w:r>
        <w:rPr>
          <w:rFonts w:hint="eastAsia" w:ascii="宋体" w:hAnsi="宋体" w:eastAsia="宋体" w:cs="宋体"/>
          <w:color w:val="000000"/>
          <w:sz w:val="21"/>
          <w:szCs w:val="21"/>
          <w:highlight w:val="none"/>
        </w:rPr>
        <w:t xml:space="preserve">质量保证期的，货物最终交付验收</w:t>
      </w:r>
      <w:r>
        <w:rPr>
          <w:rFonts w:hint="eastAsia" w:ascii="宋体" w:hAnsi="宋体" w:eastAsia="宋体" w:cs="宋体"/>
          <w:color w:val="000000"/>
          <w:sz w:val="21"/>
          <w:szCs w:val="21"/>
          <w:highlight w:val="none"/>
          <w:lang w:eastAsia="zh-CN"/>
        </w:rPr>
        <w:t xml:space="preserve">合格</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规定或乙方</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承诺（两者以较长的为准）的质量保证期内，本保证保持有效。</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（2）在质量保证期内所发现的缺陷，甲方应尽快以书面形式通知乙方。</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（3）乙方收到通知后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规定的响应时间内以合理的速度免费维修或更换有缺陷的货物或部件。</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.1条规定以书面形式</w:t>
      </w:r>
      <w:r>
        <w:rPr>
          <w:rFonts w:hint="eastAsia" w:ascii="宋体" w:hAnsi="宋体" w:eastAsia="宋体" w:cs="宋体"/>
          <w:color w:val="000000"/>
          <w:sz w:val="21"/>
          <w:szCs w:val="21"/>
          <w:highlight w:val="none"/>
          <w:lang w:eastAsia="zh-CN"/>
        </w:rPr>
        <w:t xml:space="preserve">追究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的违约责任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对乙方行使的其他权利不受影响。</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.权利瑕疵担保</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.1 乙方保证对其出售的货物享有合法的权利。</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.2 乙方保证在交付的货物上不存在抵押权等担保物权。</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.3 如甲方使用</w:t>
      </w:r>
      <w:r>
        <w:rPr>
          <w:rFonts w:hint="eastAsia" w:ascii="宋体" w:hAnsi="宋体" w:eastAsia="宋体" w:cs="宋体"/>
          <w:color w:val="000000"/>
          <w:sz w:val="21"/>
          <w:szCs w:val="21"/>
          <w:highlight w:val="none"/>
          <w:lang w:val="en-US" w:eastAsia="zh-CN"/>
        </w:rPr>
        <w:t xml:space="preserve">上述</w:t>
      </w:r>
      <w:r>
        <w:rPr>
          <w:rFonts w:hint="eastAsia" w:ascii="宋体" w:hAnsi="宋体" w:eastAsia="宋体" w:cs="宋体"/>
          <w:color w:val="000000"/>
          <w:sz w:val="21"/>
          <w:szCs w:val="21"/>
          <w:highlight w:val="none"/>
        </w:rPr>
        <w:t xml:space="preserve">货物构成</w:t>
      </w:r>
      <w:r>
        <w:rPr>
          <w:rFonts w:hint="eastAsia" w:ascii="宋体" w:hAnsi="宋体" w:eastAsia="宋体" w:cs="宋体"/>
          <w:color w:val="000000"/>
          <w:sz w:val="21"/>
          <w:szCs w:val="21"/>
          <w:highlight w:val="none"/>
          <w:lang w:val="en-US" w:eastAsia="zh-CN"/>
        </w:rPr>
        <w:t xml:space="preserve">对第三人</w:t>
      </w:r>
      <w:r>
        <w:rPr>
          <w:rFonts w:hint="eastAsia" w:ascii="宋体" w:hAnsi="宋体" w:eastAsia="宋体" w:cs="宋体"/>
          <w:color w:val="000000"/>
          <w:sz w:val="21"/>
          <w:szCs w:val="21"/>
          <w:highlight w:val="none"/>
        </w:rPr>
        <w:t xml:space="preserve">侵权的，则由乙方承担全部责任。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0</w:t>
      </w:r>
      <w:r>
        <w:rPr>
          <w:rFonts w:hint="eastAsia" w:ascii="宋体" w:hAnsi="宋体" w:eastAsia="宋体" w:cs="宋体"/>
          <w:b/>
          <w:bCs/>
          <w:color w:val="000000"/>
          <w:sz w:val="21"/>
          <w:szCs w:val="21"/>
          <w:highlight w:val="none"/>
        </w:rPr>
        <w:t xml:space="preserve">.知识产权保护</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.1 乙方对其所销售的货物应当享有知识产权或经权利人合法授权，保证没有侵犯任何第三人的知识产权等权利。</w:t>
      </w:r>
      <w:bookmarkStart w:id="714" w:name="_Hlk163047038"/>
      <w:r>
        <w:rPr>
          <w:rFonts w:hint="eastAsia" w:ascii="宋体" w:hAnsi="宋体" w:eastAsia="宋体" w:cs="宋体"/>
          <w:color w:val="000000"/>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71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.保密义务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11.1 </w:t>
      </w:r>
      <w:r>
        <w:rPr>
          <w:rFonts w:hint="eastAsia" w:ascii="宋体" w:hAnsi="宋体" w:eastAsia="宋体" w:cs="宋体"/>
          <w:color w:val="000000"/>
          <w:sz w:val="21"/>
          <w:szCs w:val="21"/>
          <w:highlight w:val="none"/>
        </w:rPr>
        <w:t xml:space="preserve">甲、乙双方</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rPr>
        <w:t xml:space="preserve">采购和合同履行过程中所获悉的</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商业秘密或者其他应当保密的信息，均有保密义务</w:t>
      </w:r>
      <w:r>
        <w:rPr>
          <w:rFonts w:hint="eastAsia" w:ascii="宋体" w:hAnsi="宋体" w:eastAsia="宋体" w:cs="宋体"/>
          <w:color w:val="000000"/>
          <w:sz w:val="21"/>
          <w:szCs w:val="21"/>
          <w:highlight w:val="none"/>
          <w:lang w:eastAsia="zh-CN"/>
        </w:rPr>
        <w:t xml:space="preserve">且不受合同有效期所限，直至该信息成为公开信息</w:t>
      </w:r>
      <w:r>
        <w:rPr>
          <w:rFonts w:hint="eastAsia" w:ascii="宋体" w:hAnsi="宋体" w:eastAsia="宋体" w:cs="宋体"/>
          <w:color w:val="000000"/>
          <w:sz w:val="21"/>
          <w:szCs w:val="21"/>
          <w:highlight w:val="none"/>
        </w:rPr>
        <w:t xml:space="preserve">。泄露、不正当地使用</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w:t>
      </w:r>
      <w:r>
        <w:rPr>
          <w:rFonts w:hint="eastAsia" w:ascii="宋体" w:hAnsi="宋体" w:eastAsia="宋体" w:cs="宋体"/>
          <w:color w:val="000000"/>
          <w:sz w:val="21"/>
          <w:szCs w:val="21"/>
          <w:highlight w:val="none"/>
          <w:lang w:eastAsia="zh-CN"/>
        </w:rPr>
        <w:t xml:space="preserve">其他应当保密的</w:t>
      </w:r>
      <w:r>
        <w:rPr>
          <w:rFonts w:hint="eastAsia" w:ascii="宋体" w:hAnsi="宋体" w:eastAsia="宋体" w:cs="宋体"/>
          <w:color w:val="000000"/>
          <w:sz w:val="21"/>
          <w:szCs w:val="21"/>
          <w:highlight w:val="none"/>
        </w:rPr>
        <w:t xml:space="preserve">信息，应当承担</w:t>
      </w:r>
      <w:r>
        <w:rPr>
          <w:rFonts w:hint="eastAsia" w:ascii="宋体" w:hAnsi="宋体" w:eastAsia="宋体" w:cs="宋体"/>
          <w:color w:val="000000"/>
          <w:sz w:val="21"/>
          <w:szCs w:val="21"/>
          <w:highlight w:val="none"/>
          <w:lang w:eastAsia="zh-CN"/>
        </w:rPr>
        <w:t xml:space="preserve">相应</w:t>
      </w:r>
      <w:r>
        <w:rPr>
          <w:rFonts w:hint="eastAsia" w:ascii="宋体" w:hAnsi="宋体" w:eastAsia="宋体" w:cs="宋体"/>
          <w:color w:val="000000"/>
          <w:sz w:val="21"/>
          <w:szCs w:val="21"/>
          <w:highlight w:val="none"/>
        </w:rPr>
        <w:t xml:space="preserve">责任。其他应当保密的信息由双方在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中约定。</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.合同价款支付</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合同价款支付</w:t>
      </w:r>
      <w:r>
        <w:rPr>
          <w:rFonts w:hint="eastAsia" w:ascii="宋体" w:hAnsi="宋体" w:eastAsia="宋体" w:cs="宋体"/>
          <w:color w:val="000000"/>
          <w:sz w:val="21"/>
          <w:szCs w:val="21"/>
          <w:highlight w:val="none"/>
        </w:rPr>
        <w:t xml:space="preserve">按照国库集中支付</w:t>
      </w:r>
      <w:r>
        <w:rPr>
          <w:rFonts w:hint="eastAsia" w:ascii="宋体" w:hAnsi="宋体" w:eastAsia="宋体" w:cs="宋体"/>
          <w:color w:val="000000"/>
          <w:sz w:val="21"/>
          <w:szCs w:val="21"/>
          <w:highlight w:val="none"/>
          <w:lang w:eastAsia="zh-CN"/>
        </w:rPr>
        <w:t xml:space="preserve">制度及财政管理相关</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lang w:eastAsia="zh-CN"/>
        </w:rPr>
      </w:r>
      <w:r/>
    </w:p>
    <w:p>
      <w:pPr>
        <w:pStyle w:val="1325"/>
        <w:ind w:firstLine="480"/>
        <w:jc w:val="left"/>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eastAsia="宋体" w:cs="宋体"/>
          <w:b w:val="0"/>
          <w:bCs w:val="0"/>
          <w:color w:val="000000"/>
          <w:sz w:val="21"/>
          <w:szCs w:val="21"/>
          <w:highlight w:val="none"/>
        </w:rPr>
        <w:t xml:space="preserve">对于满足合同约定支付条件的，</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000000"/>
          <w:sz w:val="21"/>
          <w:szCs w:val="21"/>
          <w:highlight w:val="none"/>
        </w:rPr>
        <w:t xml:space="preserve">将资金支付到合同约定的</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付款的条件。具体合同价款支付时间在【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rPr>
        <w:t xml:space="preserve">】中</w:t>
      </w:r>
      <w:r>
        <w:rPr>
          <w:rFonts w:hint="eastAsia" w:ascii="宋体" w:hAnsi="宋体" w:eastAsia="宋体" w:cs="宋体"/>
          <w:b w:val="0"/>
          <w:bCs w:val="0"/>
          <w:color w:val="000000"/>
          <w:sz w:val="21"/>
          <w:szCs w:val="21"/>
          <w:highlight w:val="none"/>
          <w:lang w:eastAsia="zh-CN"/>
        </w:rPr>
        <w:t xml:space="preserve">约</w:t>
      </w:r>
      <w:r>
        <w:rPr>
          <w:rFonts w:hint="eastAsia" w:ascii="宋体" w:hAnsi="宋体" w:eastAsia="宋体" w:cs="宋体"/>
          <w:b w:val="0"/>
          <w:bCs w:val="0"/>
          <w:color w:val="000000"/>
          <w:sz w:val="21"/>
          <w:szCs w:val="21"/>
          <w:highlight w:val="none"/>
        </w:rPr>
        <w:t xml:space="preserve">定。</w:t>
      </w:r>
      <w:r>
        <w:rPr>
          <w:rFonts w:hint="eastAsia" w:ascii="宋体" w:hAnsi="宋体" w:eastAsia="宋体" w:cs="宋体"/>
          <w:color w:val="000000"/>
          <w:sz w:val="21"/>
          <w:szCs w:val="21"/>
          <w:highlight w:val="none"/>
          <w:lang w:eastAsia="zh-CN"/>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乙方应当以支票、汇票、本票或者金融机构、担保机构出具的保函等非现金形式提交。</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.2 如果乙方</w:t>
      </w:r>
      <w:r>
        <w:rPr>
          <w:rFonts w:hint="eastAsia" w:ascii="宋体" w:hAnsi="宋体" w:eastAsia="宋体" w:cs="宋体"/>
          <w:color w:val="000000"/>
          <w:sz w:val="21"/>
          <w:szCs w:val="21"/>
          <w:highlight w:val="none"/>
          <w:lang w:eastAsia="zh-CN"/>
        </w:rPr>
        <w:t xml:space="preserve">出现</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约定情形的</w:t>
      </w:r>
      <w:r>
        <w:rPr>
          <w:rFonts w:hint="eastAsia" w:ascii="宋体" w:hAnsi="宋体" w:eastAsia="宋体" w:cs="宋体"/>
          <w:color w:val="000000"/>
          <w:sz w:val="21"/>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1"/>
          <w:szCs w:val="21"/>
          <w:highlight w:val="none"/>
          <w:lang w:eastAsia="zh-CN"/>
        </w:rPr>
        <w:t xml:space="preserve">且</w:t>
      </w:r>
      <w:r>
        <w:rPr>
          <w:rFonts w:hint="eastAsia" w:ascii="宋体" w:hAnsi="宋体" w:eastAsia="宋体" w:cs="宋体"/>
          <w:color w:val="000000"/>
          <w:sz w:val="21"/>
          <w:szCs w:val="21"/>
          <w:highlight w:val="none"/>
        </w:rPr>
        <w:t xml:space="preserve">不影响甲方要求乙方承担合同约定的超过履约保证金的违约责任的权利。</w:t>
      </w:r>
      <w:r>
        <w:rPr>
          <w:rFonts w:hint="eastAsia" w:ascii="宋体" w:hAnsi="宋体" w:eastAsia="宋体" w:cs="宋体"/>
          <w:color w:val="000000"/>
          <w:sz w:val="21"/>
          <w:szCs w:val="21"/>
          <w:highlight w:val="none"/>
        </w:rPr>
      </w:r>
      <w:r/>
    </w:p>
    <w:p>
      <w:pPr>
        <w:pStyle w:val="1048"/>
        <w:ind w:firstLine="42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.3 甲方在项目通过验收后按照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规定支付。</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售后服务</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除项目不涉及或采购活动中明确约定无须承担外，乙方还应提供下列服务：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（1）货物的现场移动、安装、调试、启动监督及技术支持；</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（2）提供货物组装和维修所需的专用工具和辅助材料；</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的期限内对所有的货物实施运行监督、维修，但前提条件是该服务并不能免除乙方在质量保证期内所承担的义务；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（4）在制造商</w:t>
      </w:r>
      <w:r>
        <w:rPr>
          <w:rFonts w:hint="eastAsia" w:ascii="宋体" w:hAnsi="宋体" w:eastAsia="宋体" w:cs="宋体"/>
          <w:color w:val="000000"/>
          <w:sz w:val="21"/>
          <w:szCs w:val="21"/>
          <w:highlight w:val="none"/>
          <w:lang w:eastAsia="zh-CN"/>
        </w:rPr>
        <w:t xml:space="preserve">所在地</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eastAsia="zh-CN"/>
        </w:rPr>
        <w:t xml:space="preserve">指定</w:t>
      </w:r>
      <w:r>
        <w:rPr>
          <w:rFonts w:hint="eastAsia" w:ascii="宋体" w:hAnsi="宋体" w:eastAsia="宋体" w:cs="宋体"/>
          <w:color w:val="000000"/>
          <w:sz w:val="21"/>
          <w:szCs w:val="21"/>
          <w:highlight w:val="none"/>
        </w:rPr>
        <w:t xml:space="preserve">现场就货物的安装、启动、运营、维护</w:t>
      </w:r>
      <w:r>
        <w:rPr>
          <w:rFonts w:hint="eastAsia" w:ascii="宋体" w:hAnsi="宋体" w:eastAsia="宋体" w:cs="宋体"/>
          <w:color w:val="000000"/>
          <w:sz w:val="21"/>
          <w:szCs w:val="21"/>
          <w:highlight w:val="none"/>
          <w:lang w:eastAsia="zh-CN"/>
        </w:rPr>
        <w:t xml:space="preserve">、废弃处置等</w:t>
      </w:r>
      <w:r>
        <w:rPr>
          <w:rFonts w:hint="eastAsia" w:ascii="宋体" w:hAnsi="宋体" w:eastAsia="宋体" w:cs="宋体"/>
          <w:color w:val="000000"/>
          <w:sz w:val="21"/>
          <w:szCs w:val="21"/>
          <w:highlight w:val="none"/>
        </w:rPr>
        <w:t xml:space="preserve">对甲方操作人员进行培训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4"/>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（5）依照法律、行政法规的规定或者按照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规定由乙方提供的其他服务。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乙方提供的</w:t>
      </w:r>
      <w:r>
        <w:rPr>
          <w:rFonts w:hint="eastAsia" w:ascii="宋体" w:hAnsi="宋体" w:eastAsia="宋体" w:cs="宋体"/>
          <w:color w:val="000000"/>
          <w:sz w:val="21"/>
          <w:szCs w:val="21"/>
          <w:highlight w:val="none"/>
          <w:lang w:eastAsia="zh-CN"/>
        </w:rPr>
        <w:t xml:space="preserve">售后</w:t>
      </w:r>
      <w:r>
        <w:rPr>
          <w:rFonts w:hint="eastAsia" w:ascii="宋体" w:hAnsi="宋体" w:eastAsia="宋体" w:cs="宋体"/>
          <w:color w:val="000000"/>
          <w:sz w:val="21"/>
          <w:szCs w:val="21"/>
          <w:highlight w:val="none"/>
        </w:rPr>
        <w:t xml:space="preserve">服务的费用</w:t>
      </w:r>
      <w:r>
        <w:rPr>
          <w:rFonts w:hint="eastAsia" w:ascii="宋体" w:hAnsi="宋体" w:eastAsia="宋体" w:cs="宋体"/>
          <w:color w:val="000000"/>
          <w:sz w:val="21"/>
          <w:szCs w:val="21"/>
          <w:highlight w:val="none"/>
          <w:lang w:val="en-US" w:eastAsia="zh-CN"/>
        </w:rPr>
        <w:t xml:space="preserve">已</w:t>
      </w:r>
      <w:r>
        <w:rPr>
          <w:rFonts w:hint="eastAsia" w:ascii="宋体" w:hAnsi="宋体" w:eastAsia="宋体" w:cs="宋体"/>
          <w:color w:val="000000"/>
          <w:sz w:val="21"/>
          <w:szCs w:val="21"/>
          <w:highlight w:val="none"/>
        </w:rPr>
        <w:t xml:space="preserve">包含在合同价款中，甲方不再另行支付。</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.1质量瑕疵的</w:t>
      </w:r>
      <w:r>
        <w:rPr>
          <w:rFonts w:hint="eastAsia" w:ascii="宋体" w:hAnsi="宋体" w:eastAsia="宋体" w:cs="宋体"/>
          <w:bCs/>
          <w:color w:val="000000"/>
          <w:sz w:val="21"/>
          <w:szCs w:val="21"/>
          <w:highlight w:val="none"/>
          <w:lang w:eastAsia="zh-CN"/>
        </w:rPr>
        <w:t xml:space="preserve">违约责任</w:t>
      </w:r>
      <w:r>
        <w:rPr>
          <w:rFonts w:hint="eastAsia" w:ascii="宋体" w:hAnsi="宋体" w:eastAsia="宋体" w:cs="宋体"/>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的产品不符合</w:t>
      </w:r>
      <w:r>
        <w:rPr>
          <w:rFonts w:hint="eastAsia" w:ascii="宋体" w:hAnsi="宋体" w:eastAsia="宋体" w:cs="宋体"/>
          <w:color w:val="000000"/>
          <w:sz w:val="21"/>
          <w:szCs w:val="21"/>
          <w:highlight w:val="none"/>
          <w:lang w:eastAsia="zh-CN"/>
        </w:rPr>
        <w:t xml:space="preserve">合同约定的</w:t>
      </w:r>
      <w:r>
        <w:rPr>
          <w:rFonts w:hint="eastAsia" w:ascii="宋体" w:hAnsi="宋体" w:eastAsia="宋体" w:cs="宋体"/>
          <w:color w:val="000000"/>
          <w:sz w:val="21"/>
          <w:szCs w:val="21"/>
          <w:highlight w:val="none"/>
        </w:rPr>
        <w:t xml:space="preserve">质量标准或存在产品质量缺陷，</w:t>
      </w:r>
      <w:r>
        <w:rPr>
          <w:rFonts w:hint="eastAsia" w:ascii="宋体" w:hAnsi="宋体" w:eastAsia="宋体" w:cs="宋体"/>
          <w:color w:val="000000"/>
          <w:sz w:val="21"/>
          <w:szCs w:val="21"/>
          <w:highlight w:val="none"/>
          <w:lang w:eastAsia="zh-CN"/>
        </w:rPr>
        <w:t xml:space="preserve">甲方有权要求乙方根据</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要求</w:t>
      </w:r>
      <w:r>
        <w:rPr>
          <w:rFonts w:hint="eastAsia" w:ascii="宋体" w:hAnsi="宋体" w:eastAsia="宋体" w:cs="宋体"/>
          <w:color w:val="000000"/>
          <w:sz w:val="21"/>
          <w:szCs w:val="21"/>
          <w:highlight w:val="none"/>
          <w:lang w:eastAsia="zh-CN"/>
        </w:rPr>
        <w:t xml:space="preserve">及时修理、重作、更换，并承担由此给甲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.2 迟延交货的违约责任</w:t>
      </w:r>
      <w:r>
        <w:rPr>
          <w:rFonts w:hint="eastAsia" w:ascii="宋体" w:hAnsi="宋体" w:eastAsia="宋体" w:cs="宋体"/>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（1）乙方应按照本合同规定的时间、地点交货和提供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服务。在履行合同过程中，如果乙方遇到可能</w:t>
      </w:r>
      <w:r>
        <w:rPr>
          <w:rFonts w:hint="eastAsia" w:ascii="宋体" w:hAnsi="宋体" w:eastAsia="宋体" w:cs="宋体"/>
          <w:color w:val="000000"/>
          <w:sz w:val="21"/>
          <w:szCs w:val="21"/>
          <w:highlight w:val="none"/>
          <w:lang w:eastAsia="zh-CN"/>
        </w:rPr>
        <w:t xml:space="preserve">影响</w:t>
      </w:r>
      <w:r>
        <w:rPr>
          <w:rFonts w:hint="eastAsia" w:ascii="宋体" w:hAnsi="宋体" w:eastAsia="宋体" w:cs="宋体"/>
          <w:color w:val="000000"/>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1"/>
          <w:szCs w:val="21"/>
          <w:highlight w:val="none"/>
          <w:lang w:eastAsia="zh-CN"/>
        </w:rPr>
        <w:t xml:space="preserve">长</w:t>
      </w:r>
      <w:r>
        <w:rPr>
          <w:rFonts w:hint="eastAsia" w:ascii="宋体" w:hAnsi="宋体" w:eastAsia="宋体" w:cs="宋体"/>
          <w:color w:val="000000"/>
          <w:sz w:val="21"/>
          <w:szCs w:val="21"/>
          <w:highlight w:val="none"/>
        </w:rPr>
        <w:t xml:space="preserve">交货时间或延期提供服务。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（2）如果乙方没有按照合同规定的时间交货和提供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服务，甲方有权从货款中扣除误期赔偿费而不影响合同项下的其他补救方法，赔偿费按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规定执行。如果涉及公共利益，且赔偿金额无法弥补公共利益损失，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可要求继续履行或者</w:t>
      </w:r>
      <w:r>
        <w:rPr>
          <w:rFonts w:hint="eastAsia" w:ascii="宋体" w:hAnsi="宋体" w:eastAsia="宋体" w:cs="宋体"/>
          <w:color w:val="000000"/>
          <w:sz w:val="21"/>
          <w:szCs w:val="21"/>
          <w:highlight w:val="none"/>
          <w:lang w:eastAsia="zh-CN"/>
        </w:rPr>
        <w:t xml:space="preserve">采取其他补救措施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 迟延支付的违约责任</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甲方存在迟延支付乙方合同款项的，应当承担</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规定的逾期付款利息。</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.4其他违约责任根据项目实际需要按</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rPr>
        <w:t xml:space="preserve">合同变更</w:t>
      </w:r>
      <w:r>
        <w:rPr>
          <w:rFonts w:hint="eastAsia" w:ascii="宋体" w:hAnsi="宋体" w:eastAsia="宋体" w:cs="宋体"/>
          <w:b/>
          <w:color w:val="000000"/>
          <w:sz w:val="21"/>
          <w:szCs w:val="21"/>
          <w:highlight w:val="none"/>
          <w:lang w:eastAsia="zh-CN"/>
        </w:rPr>
        <w:t xml:space="preserve">、中止与终止</w:t>
      </w:r>
      <w:r>
        <w:rPr>
          <w:rFonts w:hint="eastAsia" w:ascii="宋体" w:hAnsi="宋体" w:eastAsia="宋体" w:cs="宋体"/>
          <w:b/>
          <w:color w:val="000000"/>
          <w:sz w:val="21"/>
          <w:szCs w:val="21"/>
          <w:highlight w:val="none"/>
        </w:rPr>
      </w:r>
      <w:r/>
    </w:p>
    <w:p>
      <w:pPr>
        <w:pStyle w:val="1048"/>
        <w:ind w:firstLine="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.1合同的</w:t>
      </w:r>
      <w:r>
        <w:rPr>
          <w:rFonts w:hint="eastAsia" w:ascii="宋体" w:hAnsi="宋体" w:eastAsia="宋体" w:cs="宋体"/>
          <w:color w:val="000000"/>
          <w:sz w:val="21"/>
          <w:szCs w:val="21"/>
          <w:highlight w:val="none"/>
          <w:lang w:eastAsia="zh-CN"/>
        </w:rPr>
        <w:t xml:space="preserve">变更</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政府采购合同履行中，</w:t>
      </w:r>
      <w:r>
        <w:rPr>
          <w:rFonts w:hint="eastAsia" w:ascii="宋体" w:hAnsi="宋体" w:eastAsia="宋体" w:cs="宋体"/>
          <w:color w:val="000000"/>
          <w:sz w:val="21"/>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1"/>
          <w:szCs w:val="21"/>
          <w:highlight w:val="none"/>
          <w:lang w:eastAsia="zh-CN"/>
        </w:rPr>
        <w:t xml:space="preserve">一致后</w:t>
      </w:r>
      <w:r>
        <w:rPr>
          <w:rFonts w:hint="eastAsia" w:ascii="宋体" w:hAnsi="宋体" w:eastAsia="宋体" w:cs="宋体"/>
          <w:color w:val="000000"/>
          <w:sz w:val="21"/>
          <w:szCs w:val="21"/>
          <w:highlight w:val="none"/>
        </w:rPr>
        <w:t xml:space="preserve">签订补充协议。</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合同的中止</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w:t>
      </w:r>
      <w:r>
        <w:rPr>
          <w:rFonts w:hint="eastAsia" w:ascii="宋体" w:hAnsi="宋体" w:eastAsia="宋体" w:cs="宋体"/>
          <w:color w:val="000000"/>
          <w:sz w:val="21"/>
          <w:szCs w:val="21"/>
          <w:highlight w:val="none"/>
          <w:lang w:eastAsia="zh-CN"/>
        </w:rPr>
        <w:t xml:space="preserve">可以</w:t>
      </w:r>
      <w:r>
        <w:rPr>
          <w:rFonts w:hint="eastAsia" w:ascii="宋体" w:hAnsi="宋体" w:eastAsia="宋体" w:cs="宋体"/>
          <w:color w:val="000000"/>
          <w:sz w:val="21"/>
          <w:szCs w:val="21"/>
          <w:highlight w:val="none"/>
        </w:rPr>
        <w:t xml:space="preserve">中止合同的履行。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合同履行过程中，</w:t>
      </w:r>
      <w:r>
        <w:rPr>
          <w:rFonts w:hint="eastAsia" w:ascii="宋体" w:hAnsi="宋体" w:eastAsia="宋体" w:cs="宋体"/>
          <w:color w:val="000000"/>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1"/>
          <w:szCs w:val="21"/>
          <w:highlight w:val="none"/>
          <w:lang w:eastAsia="zh-CN"/>
        </w:rPr>
        <w:t xml:space="preserve">，乙方有义务及时告知甲方</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以书面形式通知乙方中止合同</w:t>
      </w:r>
      <w:r>
        <w:rPr>
          <w:rFonts w:hint="eastAsia" w:ascii="宋体" w:hAnsi="宋体" w:eastAsia="宋体" w:cs="宋体"/>
          <w:color w:val="000000"/>
          <w:sz w:val="21"/>
          <w:szCs w:val="21"/>
          <w:highlight w:val="none"/>
          <w:lang w:eastAsia="zh-CN"/>
        </w:rPr>
        <w:t xml:space="preserve">并要求乙方在合理期限内消除相关情形或者提供适当担保。</w:t>
      </w:r>
      <w:r>
        <w:rPr>
          <w:rFonts w:hint="eastAsia" w:ascii="宋体" w:hAnsi="宋体" w:eastAsia="宋体" w:cs="宋体"/>
          <w:color w:val="000000"/>
          <w:sz w:val="21"/>
          <w:szCs w:val="21"/>
          <w:highlight w:val="none"/>
        </w:rPr>
        <w:t xml:space="preserve">乙方提供适当担保的，</w:t>
      </w:r>
      <w:r>
        <w:rPr>
          <w:rFonts w:hint="eastAsia" w:ascii="宋体" w:hAnsi="宋体" w:eastAsia="宋体" w:cs="宋体"/>
          <w:color w:val="000000"/>
          <w:sz w:val="21"/>
          <w:szCs w:val="21"/>
          <w:highlight w:val="none"/>
          <w:lang w:eastAsia="zh-CN"/>
        </w:rPr>
        <w:t xml:space="preserve">合同继续</w:t>
      </w:r>
      <w:r>
        <w:rPr>
          <w:rFonts w:hint="eastAsia" w:ascii="宋体" w:hAnsi="宋体" w:eastAsia="宋体" w:cs="宋体"/>
          <w:color w:val="000000"/>
          <w:sz w:val="21"/>
          <w:szCs w:val="21"/>
          <w:highlight w:val="none"/>
        </w:rPr>
        <w:t xml:space="preserve">履行</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方在合理期限内未恢复履约能力且未提供适当担保的，视为拒绝</w:t>
      </w:r>
      <w:r>
        <w:rPr>
          <w:rFonts w:hint="eastAsia" w:ascii="宋体" w:hAnsi="宋体" w:eastAsia="宋体" w:cs="宋体"/>
          <w:color w:val="000000"/>
          <w:sz w:val="21"/>
          <w:szCs w:val="21"/>
          <w:highlight w:val="none"/>
          <w:lang w:eastAsia="zh-CN"/>
        </w:rPr>
        <w:t xml:space="preserve">继续</w:t>
      </w:r>
      <w:r>
        <w:rPr>
          <w:rFonts w:hint="eastAsia" w:ascii="宋体" w:hAnsi="宋体" w:eastAsia="宋体" w:cs="宋体"/>
          <w:color w:val="000000"/>
          <w:sz w:val="21"/>
          <w:szCs w:val="21"/>
          <w:highlight w:val="none"/>
        </w:rPr>
        <w:t xml:space="preserve">履约，甲方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解除合同并要求乙方承担</w:t>
      </w:r>
      <w:r>
        <w:rPr>
          <w:rFonts w:hint="eastAsia" w:ascii="宋体" w:hAnsi="宋体" w:eastAsia="宋体" w:cs="宋体"/>
          <w:color w:val="000000"/>
          <w:sz w:val="21"/>
          <w:szCs w:val="21"/>
          <w:highlight w:val="none"/>
          <w:lang w:eastAsia="zh-CN"/>
        </w:rPr>
        <w:t xml:space="preserve">由此给甲方造成的损失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（3）乙方分立、合并或者变更住所的，应当及时以书面形式告知甲方。乙方没有</w:t>
      </w:r>
      <w:r>
        <w:rPr>
          <w:rFonts w:hint="eastAsia" w:ascii="宋体" w:hAnsi="宋体" w:eastAsia="宋体" w:cs="宋体"/>
          <w:color w:val="000000"/>
          <w:sz w:val="21"/>
          <w:szCs w:val="21"/>
          <w:highlight w:val="none"/>
          <w:lang w:eastAsia="zh-CN"/>
        </w:rPr>
        <w:t xml:space="preserve">及时告知</w:t>
      </w:r>
      <w:r>
        <w:rPr>
          <w:rFonts w:hint="eastAsia" w:ascii="宋体" w:hAnsi="宋体" w:eastAsia="宋体" w:cs="宋体"/>
          <w:color w:val="000000"/>
          <w:sz w:val="21"/>
          <w:szCs w:val="21"/>
          <w:highlight w:val="none"/>
        </w:rPr>
        <w:t xml:space="preserve">甲方，致使</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rPr>
        <w:t xml:space="preserve">履行发生困难的，甲方可以中止合同履行并要求乙方承担由此给甲方造成的损失。</w:t>
      </w:r>
      <w:r>
        <w:rPr>
          <w:rFonts w:hint="eastAsia" w:ascii="宋体" w:hAnsi="宋体" w:eastAsia="宋体" w:cs="宋体"/>
          <w:color w:val="000000"/>
          <w:sz w:val="21"/>
          <w:szCs w:val="21"/>
          <w:highlight w:val="none"/>
        </w:rPr>
      </w:r>
      <w:r/>
    </w:p>
    <w:p>
      <w:pPr>
        <w:pStyle w:val="1048"/>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）甲方不得以行政区划调整、政府换届、机构或者职能调整以及相关责任人更替为由中止合同。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合同的终止</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1048"/>
        <w:ind w:firstLine="48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（2）乙方未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合同约定履行，构成根本性违约的，甲方有权终止合同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并追究乙方的违约责</w:t>
      </w:r>
      <w:r>
        <w:rPr>
          <w:rFonts w:hint="eastAsia" w:ascii="宋体" w:hAnsi="宋体" w:eastAsia="宋体" w:cs="宋体"/>
          <w:color w:val="000000"/>
          <w:sz w:val="21"/>
          <w:szCs w:val="21"/>
          <w:highlight w:val="none"/>
          <w:lang w:val="en-US" w:eastAsia="zh-CN"/>
        </w:rPr>
        <w:t xml:space="preserve">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324"/>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16.4 涉及国家利益、社会公共利益的情形</w:t>
      </w:r>
      <w:r>
        <w:rPr>
          <w:rFonts w:hint="eastAsia" w:ascii="宋体" w:hAnsi="宋体" w:eastAsia="宋体" w:cs="宋体"/>
          <w:color w:val="000000"/>
          <w:sz w:val="21"/>
          <w:szCs w:val="21"/>
          <w:highlight w:val="none"/>
          <w:lang w:val="en-US" w:eastAsia="zh-CN"/>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政府采购合同继续履行将损害国家利益和社会公共利益的，双方当事人</w:t>
      </w:r>
      <w:r>
        <w:rPr>
          <w:rFonts w:hint="eastAsia" w:ascii="宋体" w:hAnsi="宋体" w:eastAsia="宋体" w:cs="宋体"/>
          <w:color w:val="000000"/>
          <w:sz w:val="21"/>
          <w:szCs w:val="21"/>
          <w:highlight w:val="none"/>
          <w:lang w:val="en-US" w:eastAsia="zh-CN"/>
        </w:rPr>
        <w:t xml:space="preserve">应当变更、</w:t>
      </w:r>
      <w:r>
        <w:rPr>
          <w:rFonts w:hint="eastAsia" w:ascii="宋体" w:hAnsi="宋体" w:eastAsia="宋体" w:cs="宋体"/>
          <w:color w:val="000000"/>
          <w:sz w:val="21"/>
          <w:szCs w:val="21"/>
          <w:highlight w:val="none"/>
        </w:rPr>
        <w:t xml:space="preserve">中止</w:t>
      </w:r>
      <w:r>
        <w:rPr>
          <w:rFonts w:hint="eastAsia" w:ascii="宋体" w:hAnsi="宋体" w:eastAsia="宋体" w:cs="宋体"/>
          <w:color w:val="000000"/>
          <w:sz w:val="21"/>
          <w:szCs w:val="21"/>
          <w:highlight w:val="none"/>
          <w:lang w:eastAsia="zh-CN"/>
        </w:rPr>
        <w:t xml:space="preserve">或者终止</w:t>
      </w:r>
      <w:r>
        <w:rPr>
          <w:rFonts w:hint="eastAsia" w:ascii="宋体" w:hAnsi="宋体" w:eastAsia="宋体" w:cs="宋体"/>
          <w:color w:val="000000"/>
          <w:sz w:val="21"/>
          <w:szCs w:val="21"/>
          <w:highlight w:val="none"/>
        </w:rPr>
        <w:t xml:space="preserve">合同。有过错的一方应当承担赔偿责任，双方都有过错的，各自承担相应的责任。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.合同分包</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乙方不得</w:t>
      </w:r>
      <w:r>
        <w:rPr>
          <w:rFonts w:hint="eastAsia" w:ascii="宋体" w:hAnsi="宋体" w:eastAsia="宋体" w:cs="宋体"/>
          <w:color w:val="000000"/>
          <w:sz w:val="21"/>
          <w:szCs w:val="21"/>
          <w:highlight w:val="none"/>
          <w:lang w:eastAsia="zh-CN"/>
        </w:rPr>
        <w:t xml:space="preserve">将合同转包给其他供应商。涉及合同分包的，乙方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eastAsia="zh-CN"/>
        </w:rPr>
        <w:t xml:space="preserve">根据采购文件和投标（响应）文件规定进行</w:t>
      </w:r>
      <w:r>
        <w:rPr>
          <w:rFonts w:hint="eastAsia" w:ascii="宋体" w:hAnsi="宋体" w:eastAsia="宋体" w:cs="宋体"/>
          <w:color w:val="000000"/>
          <w:sz w:val="21"/>
          <w:szCs w:val="21"/>
          <w:highlight w:val="none"/>
        </w:rPr>
        <w:t xml:space="preserve">合同分包。</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乙方执行政府采购政策向中小企业依法分包的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乙方应当按采购文件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投标（响应）文件签订分包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协议属于本合同组成部分。</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不可抗力是指合同双方不能预见、不能避免且不能克服的客观情况。</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任何一方对由于不可抗力造成的部分或全部不能履行合同不承担违约责任。但迟延履行后发生不可抗力的，不能免除责任。</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遇有不可抗力的一方，应及时将事件情况以书面形式</w:t>
      </w:r>
      <w:r>
        <w:rPr>
          <w:rFonts w:hint="eastAsia" w:ascii="宋体" w:hAnsi="宋体" w:eastAsia="宋体" w:cs="宋体"/>
          <w:color w:val="000000"/>
          <w:sz w:val="21"/>
          <w:szCs w:val="21"/>
          <w:highlight w:val="none"/>
          <w:lang w:eastAsia="zh-CN"/>
        </w:rPr>
        <w:t xml:space="preserve">告</w:t>
      </w:r>
      <w:r>
        <w:rPr>
          <w:rFonts w:hint="eastAsia" w:ascii="宋体" w:hAnsi="宋体" w:eastAsia="宋体" w:cs="宋体"/>
          <w:color w:val="000000"/>
          <w:sz w:val="21"/>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 w:val="21"/>
          <w:szCs w:val="21"/>
          <w:highlight w:val="none"/>
          <w:lang w:eastAsia="zh-CN"/>
        </w:rPr>
        <w:t xml:space="preserve">的详细</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eastAsia="zh-CN"/>
        </w:rPr>
        <w:t xml:space="preserve">，以</w:t>
      </w:r>
      <w:r>
        <w:rPr>
          <w:rFonts w:hint="eastAsia" w:ascii="宋体" w:hAnsi="宋体" w:eastAsia="宋体" w:cs="宋体"/>
          <w:color w:val="000000"/>
          <w:sz w:val="21"/>
          <w:szCs w:val="21"/>
          <w:highlight w:val="none"/>
          <w:lang w:val="en-US" w:eastAsia="zh-CN"/>
        </w:rPr>
        <w:t xml:space="preserve">及证明不可抗力发生及其持续时间的证据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19</w:t>
      </w:r>
      <w:r>
        <w:rPr>
          <w:rFonts w:hint="eastAsia" w:ascii="宋体" w:hAnsi="宋体" w:eastAsia="宋体" w:cs="宋体"/>
          <w:b/>
          <w:bCs/>
          <w:color w:val="000000"/>
          <w:sz w:val="21"/>
          <w:szCs w:val="21"/>
          <w:highlight w:val="none"/>
        </w:rPr>
        <w:t xml:space="preserve">.解决争议的方法</w:t>
      </w:r>
      <w:r>
        <w:rPr>
          <w:rFonts w:hint="eastAsia" w:ascii="宋体" w:hAnsi="宋体" w:eastAsia="宋体" w:cs="宋体"/>
          <w:b/>
          <w:bCs/>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 因本合同及合同有关事项发生的争议，由</w:t>
      </w:r>
      <w:r>
        <w:rPr>
          <w:rFonts w:hint="eastAsia" w:ascii="宋体" w:hAnsi="宋体" w:eastAsia="宋体" w:cs="宋体"/>
          <w:color w:val="000000"/>
          <w:sz w:val="21"/>
          <w:szCs w:val="21"/>
          <w:highlight w:val="none"/>
          <w:lang w:eastAsia="zh-CN"/>
        </w:rPr>
        <w:t xml:space="preserve">甲乙双</w:t>
      </w:r>
      <w:r>
        <w:rPr>
          <w:rFonts w:hint="eastAsia" w:ascii="宋体" w:hAnsi="宋体" w:eastAsia="宋体" w:cs="宋体"/>
          <w:color w:val="000000"/>
          <w:sz w:val="21"/>
          <w:szCs w:val="21"/>
          <w:highlight w:val="none"/>
        </w:rPr>
        <w:t xml:space="preserve">方友好协商解决。协商不成时，可以</w:t>
      </w:r>
      <w:r>
        <w:rPr>
          <w:rFonts w:hint="eastAsia" w:ascii="宋体" w:hAnsi="宋体" w:eastAsia="宋体" w:cs="宋体"/>
          <w:color w:val="000000"/>
          <w:sz w:val="21"/>
          <w:szCs w:val="21"/>
          <w:highlight w:val="none"/>
          <w:lang w:eastAsia="zh-CN"/>
        </w:rPr>
        <w:t xml:space="preserve">向有关组织申请</w:t>
      </w:r>
      <w:r>
        <w:rPr>
          <w:rFonts w:hint="eastAsia" w:ascii="宋体" w:hAnsi="宋体" w:eastAsia="宋体" w:cs="宋体"/>
          <w:color w:val="000000"/>
          <w:sz w:val="21"/>
          <w:szCs w:val="21"/>
          <w:highlight w:val="none"/>
        </w:rPr>
        <w:t xml:space="preserve">调解。合同一方或</w:t>
      </w:r>
      <w:r>
        <w:rPr>
          <w:rFonts w:hint="eastAsia" w:ascii="宋体" w:hAnsi="宋体" w:eastAsia="宋体" w:cs="宋体"/>
          <w:color w:val="000000"/>
          <w:sz w:val="21"/>
          <w:szCs w:val="21"/>
          <w:highlight w:val="none"/>
          <w:lang w:eastAsia="zh-CN"/>
        </w:rPr>
        <w:t xml:space="preserve">双</w:t>
      </w:r>
      <w:r>
        <w:rPr>
          <w:rFonts w:hint="eastAsia" w:ascii="宋体" w:hAnsi="宋体" w:eastAsia="宋体" w:cs="宋体"/>
          <w:color w:val="000000"/>
          <w:sz w:val="21"/>
          <w:szCs w:val="21"/>
          <w:highlight w:val="none"/>
        </w:rPr>
        <w:t xml:space="preserve">方不愿调解或调解不成的，可以通过仲裁或诉讼的方式解决争议。</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 如</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rPr>
        <w:t xml:space="preserve">有争议的事项不影响合同其他部分的履行，在争议解决期间，合同其他部分应</w:t>
      </w:r>
      <w:r>
        <w:rPr>
          <w:rFonts w:hint="eastAsia" w:ascii="宋体" w:hAnsi="宋体" w:eastAsia="宋体" w:cs="宋体"/>
          <w:color w:val="000000"/>
          <w:sz w:val="21"/>
          <w:szCs w:val="21"/>
          <w:highlight w:val="none"/>
          <w:lang w:eastAsia="zh-CN"/>
        </w:rPr>
        <w:t xml:space="preserve">当</w:t>
      </w:r>
      <w:r>
        <w:rPr>
          <w:rFonts w:hint="eastAsia" w:ascii="宋体" w:hAnsi="宋体" w:eastAsia="宋体" w:cs="宋体"/>
          <w:color w:val="000000"/>
          <w:sz w:val="21"/>
          <w:szCs w:val="21"/>
          <w:highlight w:val="none"/>
        </w:rPr>
        <w:t xml:space="preserve">继续履行。</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w:t>
      </w:r>
      <w:r>
        <w:rPr>
          <w:rFonts w:hint="eastAsia" w:ascii="宋体" w:hAnsi="宋体" w:eastAsia="宋体" w:cs="宋体"/>
          <w:color w:val="000000"/>
          <w:sz w:val="21"/>
          <w:szCs w:val="21"/>
          <w:highlight w:val="none"/>
          <w:lang w:val="en-GB"/>
        </w:rPr>
        <w:t xml:space="preserve">本合同应当按照规定执行政府采购政策。</w:t>
      </w:r>
      <w:r>
        <w:rPr>
          <w:rFonts w:hint="eastAsia" w:ascii="宋体" w:hAnsi="宋体" w:eastAsia="宋体" w:cs="宋体"/>
          <w:color w:val="000000"/>
          <w:sz w:val="21"/>
          <w:szCs w:val="21"/>
          <w:highlight w:val="none"/>
          <w:lang w:val="en-US"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本合同依法执行政府采购政策的方式和内容，属于合同履约验收的范围。</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lang w:val="en-GB"/>
        </w:rPr>
        <w:t xml:space="preserve">未按规定要求执行政府采购政策造成损失的</w:t>
      </w:r>
      <w:r>
        <w:rPr>
          <w:rFonts w:hint="eastAsia" w:ascii="宋体" w:hAnsi="宋体" w:eastAsia="宋体" w:cs="宋体"/>
          <w:color w:val="000000"/>
          <w:sz w:val="21"/>
          <w:szCs w:val="21"/>
          <w:highlight w:val="none"/>
        </w:rPr>
        <w:t xml:space="preserve">，有过错的一方应当承担赔偿责任，双方都有过错的，各自承担相应的责任。</w:t>
      </w:r>
      <w:r>
        <w:rPr>
          <w:rFonts w:hint="eastAsia" w:ascii="宋体" w:hAnsi="宋体" w:eastAsia="宋体" w:cs="宋体"/>
          <w:color w:val="000000"/>
          <w:sz w:val="21"/>
          <w:szCs w:val="21"/>
          <w:highlight w:val="none"/>
        </w:rPr>
      </w:r>
      <w:r/>
    </w:p>
    <w:p>
      <w:pPr>
        <w:pStyle w:val="1132"/>
        <w:ind w:firstLine="480"/>
        <w:pageBreakBefore w:val="0"/>
        <w:spacing w:after="0" w:line="36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对于</w:t>
      </w:r>
      <w:r>
        <w:rPr>
          <w:rFonts w:hint="eastAsia" w:ascii="宋体" w:hAnsi="宋体" w:eastAsia="宋体" w:cs="宋体"/>
          <w:color w:val="000000"/>
          <w:sz w:val="21"/>
          <w:szCs w:val="21"/>
          <w:highlight w:val="none"/>
          <w:lang w:eastAsia="zh-CN"/>
        </w:rPr>
        <w:t xml:space="preserve">为落实中小企业支持政策，</w:t>
      </w:r>
      <w:r>
        <w:rPr>
          <w:rFonts w:hint="eastAsia" w:ascii="宋体" w:hAnsi="宋体" w:eastAsia="宋体" w:cs="宋体"/>
          <w:color w:val="000000"/>
          <w:sz w:val="21"/>
          <w:szCs w:val="21"/>
          <w:highlight w:val="none"/>
        </w:rPr>
        <w:t xml:space="preserve">通过采购项目</w:t>
      </w:r>
      <w:r>
        <w:rPr>
          <w:rFonts w:hint="eastAsia" w:ascii="宋体" w:hAnsi="宋体" w:eastAsia="宋体" w:cs="宋体"/>
          <w:color w:val="000000"/>
          <w:sz w:val="21"/>
          <w:szCs w:val="21"/>
          <w:highlight w:val="none"/>
          <w:lang w:eastAsia="zh-CN"/>
        </w:rPr>
        <w:t xml:space="preserve">整体</w:t>
      </w:r>
      <w:r>
        <w:rPr>
          <w:rFonts w:hint="eastAsia" w:ascii="宋体" w:hAnsi="宋体" w:eastAsia="宋体" w:cs="宋体"/>
          <w:color w:val="000000"/>
          <w:sz w:val="21"/>
          <w:szCs w:val="21"/>
          <w:highlight w:val="none"/>
        </w:rPr>
        <w:t xml:space="preserve">预留、</w:t>
      </w:r>
      <w:r>
        <w:rPr>
          <w:rFonts w:hint="eastAsia" w:ascii="宋体" w:hAnsi="宋体" w:eastAsia="宋体" w:cs="宋体"/>
          <w:color w:val="000000"/>
          <w:sz w:val="21"/>
          <w:szCs w:val="21"/>
          <w:highlight w:val="none"/>
          <w:lang w:eastAsia="zh-CN"/>
        </w:rPr>
        <w:t xml:space="preserve">设置</w:t>
      </w:r>
      <w:r>
        <w:rPr>
          <w:rFonts w:hint="eastAsia" w:ascii="宋体" w:hAnsi="宋体" w:eastAsia="宋体" w:cs="宋体"/>
          <w:color w:val="000000"/>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.法律适用</w:t>
      </w:r>
      <w:r>
        <w:rPr>
          <w:rFonts w:hint="eastAsia" w:ascii="宋体" w:hAnsi="宋体" w:eastAsia="宋体" w:cs="宋体"/>
          <w:b/>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.1本合同的订立、生效、解释、履行及与本合同有关的争议解决，均适用法律、行政法规。</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.2本合同条款与法律、行政法规的强制性规定不一致的，双方当事人应按照法律、行政法规的强制性规定修改本合同的相关条款。</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22.</w:t>
      </w:r>
      <w:r>
        <w:rPr>
          <w:rFonts w:hint="eastAsia" w:ascii="宋体" w:hAnsi="宋体" w:eastAsia="宋体" w:cs="宋体"/>
          <w:b/>
          <w:color w:val="000000"/>
          <w:sz w:val="21"/>
          <w:szCs w:val="21"/>
          <w:highlight w:val="none"/>
        </w:rPr>
        <w:t xml:space="preserve">通知</w:t>
      </w:r>
      <w:r>
        <w:rPr>
          <w:rFonts w:hint="eastAsia" w:ascii="宋体" w:hAnsi="宋体" w:eastAsia="宋体" w:cs="宋体"/>
          <w:b/>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szCs w:val="21"/>
          <w:highlight w:val="none"/>
        </w:rPr>
      </w:r>
      <w:r/>
    </w:p>
    <w:p>
      <w:pPr>
        <w:pStyle w:val="1324"/>
        <w:ind w:firstLine="0"/>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.2一方当事人变更名称、</w:t>
      </w:r>
      <w:r>
        <w:rPr>
          <w:rFonts w:hint="eastAsia" w:ascii="宋体" w:hAnsi="宋体" w:eastAsia="宋体" w:cs="宋体"/>
          <w:color w:val="000000"/>
          <w:sz w:val="21"/>
          <w:szCs w:val="21"/>
          <w:highlight w:val="none"/>
          <w:lang w:eastAsia="zh-CN"/>
        </w:rPr>
        <w:t xml:space="preserve">住所</w:t>
      </w:r>
      <w:r>
        <w:rPr>
          <w:rFonts w:hint="eastAsia" w:ascii="宋体" w:hAnsi="宋体" w:eastAsia="宋体" w:cs="宋体"/>
          <w:color w:val="000000"/>
          <w:sz w:val="21"/>
          <w:szCs w:val="21"/>
          <w:highlight w:val="none"/>
        </w:rPr>
        <w:t xml:space="preserve">、联系人、联系电话或电子邮箱</w:t>
      </w:r>
      <w:r>
        <w:rPr>
          <w:rFonts w:hint="eastAsia" w:ascii="宋体" w:hAnsi="宋体" w:eastAsia="宋体" w:cs="宋体"/>
          <w:color w:val="000000"/>
          <w:sz w:val="21"/>
          <w:szCs w:val="21"/>
          <w:highlight w:val="none"/>
          <w:lang w:eastAsia="zh-CN"/>
        </w:rPr>
        <w:t xml:space="preserve">等信息</w:t>
      </w:r>
      <w:r>
        <w:rPr>
          <w:rFonts w:hint="eastAsia" w:ascii="宋体" w:hAnsi="宋体" w:eastAsia="宋体" w:cs="宋体"/>
          <w:color w:val="000000"/>
          <w:sz w:val="21"/>
          <w:szCs w:val="21"/>
          <w:highlight w:val="none"/>
        </w:rPr>
        <w:t xml:space="preserve">的，应当在变更后3日内及时书面通知对方，对方实际收到变更通知前的送达仍为有效送达。</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通知以送达之日或通知书中规定的生效之日起生效，两者中以较迟之日为准。</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23.</w:t>
      </w:r>
      <w:r>
        <w:rPr>
          <w:rFonts w:hint="eastAsia" w:ascii="宋体" w:hAnsi="宋体" w:eastAsia="宋体" w:cs="宋体"/>
          <w:b/>
          <w:bCs/>
          <w:color w:val="000000"/>
          <w:sz w:val="21"/>
          <w:szCs w:val="21"/>
          <w:highlight w:val="none"/>
        </w:rPr>
        <w:t xml:space="preserve">合同未尽事项</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.1合同未尽事项见</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8"/>
        <w:ind w:firstLine="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23.2 合同附件与合同正文具有同等的法律效力。</w:t>
      </w:r>
      <w:bookmarkStart w:id="715" w:name="_Toc20313"/>
      <w:r>
        <w:rPr>
          <w:rFonts w:hint="eastAsia" w:ascii="宋体" w:hAnsi="宋体" w:eastAsia="宋体" w:cs="宋体"/>
          <w:color w:val="000000"/>
          <w:sz w:val="21"/>
          <w:szCs w:val="21"/>
          <w:highlight w:val="none"/>
        </w:rPr>
      </w:r>
      <w:r/>
    </w:p>
    <w:p>
      <w:pPr>
        <w:pStyle w:val="1325"/>
        <w:jc w:val="center"/>
        <w:spacing w:before="156"/>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br w:type="page" w:clear="all"/>
      </w:r>
      <w:r>
        <w:rPr>
          <w:rFonts w:hint="eastAsia" w:ascii="宋体" w:hAnsi="宋体" w:eastAsia="宋体" w:cs="宋体"/>
          <w:b/>
          <w:bCs/>
          <w:color w:val="000000"/>
          <w:sz w:val="28"/>
          <w:szCs w:val="28"/>
          <w:highlight w:val="none"/>
        </w:rPr>
        <w:t xml:space="preserve">第三节 政府采购合同专用条款</w:t>
      </w:r>
      <w:bookmarkEnd w:id="715"/>
      <w:r>
        <w:rPr>
          <w:rFonts w:ascii="黑体" w:hAnsi="华文中宋" w:eastAsia="黑体"/>
          <w:b w:val="0"/>
          <w:bCs w:val="0"/>
          <w:color w:val="000000"/>
          <w:sz w:val="28"/>
          <w:szCs w:val="28"/>
          <w:highlight w:val="none"/>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92"/>
      </w:tblGrid>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第二节</w:t>
            </w:r>
            <w:r>
              <w:rPr>
                <w:rFonts w:hint="eastAsia" w:ascii="宋体" w:hAnsi="宋体" w:eastAsia="宋体" w:cs="宋体"/>
                <w:color w:val="000000"/>
                <w:sz w:val="21"/>
                <w:szCs w:val="21"/>
                <w:highlight w:val="none"/>
                <w:lang w:eastAsia="zh-CN"/>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5.4款</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约定乙方承担的其他义务和责任</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合格并通过公安交警部门的验收；监控设备需接入现有公安后台进行应用，所有前后端产品需无缝兼容常州图像专网平台；设备性能及技术参数指标应达到招投标文件约定及现行国家相关规范、标准。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color w:val="000000"/>
                <w:sz w:val="21"/>
                <w:szCs w:val="21"/>
                <w:highlight w:val="none"/>
                <w:lang w:val="en-US" w:eastAsia="zh-CN" w:bidi="ar-SA"/>
              </w:rPr>
            </w:r>
            <w:r/>
          </w:p>
        </w:tc>
      </w:tr>
      <w:tr>
        <w:trPr>
          <w:trHeight w:val="667"/>
        </w:trPr>
        <w:tc>
          <w:tcPr>
            <w:tcW w:w="1607" w:type="dxa"/>
            <w:vAlign w:val="center"/>
            <w:vMerge w:val="restart"/>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包装</w:t>
            </w:r>
            <w:r>
              <w:rPr>
                <w:rFonts w:hint="eastAsia" w:ascii="宋体" w:hAnsi="宋体" w:eastAsia="宋体" w:cs="宋体"/>
                <w:color w:val="000000"/>
                <w:sz w:val="21"/>
                <w:szCs w:val="21"/>
                <w:highlight w:val="none"/>
                <w:lang w:eastAsia="zh-CN"/>
              </w:rPr>
              <w:t xml:space="preserve">特殊要求</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保证本合同范围内货物的包装能满足长途运输及装卸的需要，并依据所供物资特点分别采取防潮、防霉、防锈、防腐、防冻措施；每件包装箱内，应附有包括分件名称、数量、图号的详细装箱单及产品出厂质量合格证明书和技术说明。</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因包装不良造成货物和技术资料损坏、丢失或性能降低，无论在何时何地发现，供方均应负责及时修复、更换或赔偿。运输中发生货物损坏或丢失时，乙方应做好记录并负责与承运人及保险公司交涉，同时乙方应尽快向甲方补供货物以满足工期要求。</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3.乙方应承担由于货物发生损坏或丢失而补供导致的延迟交付货物的违约责任。</w:t>
            </w:r>
            <w:r>
              <w:rPr>
                <w:rFonts w:hint="eastAsia" w:ascii="宋体" w:hAnsi="宋体" w:eastAsia="宋体" w:cs="宋体"/>
                <w:color w:val="000000"/>
                <w:sz w:val="21"/>
                <w:szCs w:val="21"/>
                <w:highlight w:val="none"/>
                <w:u w:val="none"/>
              </w:rPr>
            </w:r>
            <w:r/>
          </w:p>
        </w:tc>
      </w:tr>
      <w:tr>
        <w:trPr>
          <w:trHeight w:val="427"/>
        </w:trPr>
        <w:tc>
          <w:tcPr>
            <w:tcW w:w="1607" w:type="dxa"/>
            <w:vAlign w:val="center"/>
            <w:vMerge w:val="continue"/>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指定现场</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甲方指定现场</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保险要求</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7"/>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履约保证金不予退还的情形</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①违反合同义务且未承担违约责任；</w:t>
            </w:r>
            <w:r>
              <w:rPr>
                <w:rFonts w:hint="eastAsia" w:ascii="宋体" w:hAnsi="宋体" w:eastAsia="宋体" w:cs="宋体"/>
                <w:color w:val="000000"/>
                <w:sz w:val="21"/>
                <w:szCs w:val="21"/>
                <w:highlight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②未按时履行违约责任；</w:t>
            </w:r>
            <w:r>
              <w:rPr>
                <w:rFonts w:hint="eastAsia" w:ascii="宋体" w:hAnsi="宋体" w:eastAsia="宋体" w:cs="宋体"/>
                <w:color w:val="000000"/>
                <w:sz w:val="21"/>
                <w:szCs w:val="21"/>
                <w:highlight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③未能履行与甲方签订的合同，且损失超出保证金金额；</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货物回收的约定</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提供的产品若有缺陷，应主动召回。</w:t>
            </w:r>
            <w:r>
              <w:rPr>
                <w:rFonts w:hint="eastAsia" w:ascii="宋体" w:hAnsi="宋体" w:eastAsia="宋体" w:cs="宋体"/>
                <w:color w:val="000000"/>
                <w:sz w:val="21"/>
                <w:szCs w:val="21"/>
                <w:highlight w:val="none"/>
              </w:rPr>
            </w:r>
            <w:r/>
          </w:p>
        </w:tc>
      </w:tr>
      <w:tr>
        <w:trPr>
          <w:trHeight w:val="736"/>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.2（2）项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迟延交货赔偿费</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color w:val="000000"/>
                <w:sz w:val="21"/>
                <w:szCs w:val="21"/>
                <w:highlight w:val="none"/>
                <w:u w:val="single"/>
              </w:rPr>
            </w:r>
            <w:r/>
          </w:p>
        </w:tc>
      </w:tr>
      <w:tr>
        <w:trPr>
          <w:trHeight w:val="876"/>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其他违约责任</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乙方无法完成项目的，应向甲方支付合同总价10％的违约金，同时甲方有权解除合同。</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乙方完成的项目不符合要求的，应按照甲方选择的下列一种或多种方式承担赔偿责任：</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 甲方因乙方违约而解除合同的，有权要求乙方按合同规定同种货币退还甲方已付款项，同时承担由此发生的一切损失和费用，包括但不限于利息、银行手续费及所需的其他必要费用。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乙方未按规定和承诺提供伴随服务、售后服务的，应向甲方支付合同总价5％的违约金。</w:t>
            </w:r>
            <w:r>
              <w:rPr>
                <w:rFonts w:hint="eastAsia" w:ascii="宋体" w:hAnsi="宋体" w:eastAsia="宋体" w:cs="宋体"/>
                <w:color w:val="000000"/>
                <w:sz w:val="21"/>
                <w:szCs w:val="21"/>
                <w:highlight w:val="none"/>
                <w:u w:val="singl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解决争议的方法</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val="0"/>
                <w:bCs w:val="0"/>
                <w:iCs/>
                <w:color w:val="000000"/>
                <w:sz w:val="21"/>
                <w:szCs w:val="21"/>
                <w:highlight w:val="none"/>
              </w:rPr>
              <w:t xml:space="preserve">因本合同及合同有关事项发生的争议，按下列方式解决：向 常州市</w:t>
            </w:r>
            <w:r>
              <w:rPr>
                <w:rFonts w:hint="eastAsia" w:ascii="宋体" w:hAnsi="宋体" w:eastAsia="宋体" w:cs="宋体"/>
                <w:b w:val="0"/>
                <w:bCs w:val="0"/>
                <w:iCs/>
                <w:color w:val="000000"/>
                <w:sz w:val="21"/>
                <w:szCs w:val="21"/>
                <w:highlight w:val="none"/>
                <w:lang w:val="en-US" w:eastAsia="zh-CN"/>
              </w:rPr>
              <w:t xml:space="preserve">天宁区</w:t>
            </w:r>
            <w:r>
              <w:rPr>
                <w:rFonts w:hint="eastAsia" w:ascii="宋体" w:hAnsi="宋体" w:eastAsia="宋体" w:cs="宋体"/>
                <w:b w:val="0"/>
                <w:bCs w:val="0"/>
                <w:iCs/>
                <w:color w:val="000000"/>
                <w:sz w:val="21"/>
                <w:szCs w:val="21"/>
                <w:highlight w:val="none"/>
              </w:rPr>
              <w:t xml:space="preserve"> 人民法院起诉。</w:t>
            </w:r>
            <w:r>
              <w:rPr>
                <w:rFonts w:hint="eastAsia" w:ascii="宋体" w:hAnsi="宋体" w:eastAsia="宋体" w:cs="宋体"/>
                <w:color w:val="000000"/>
                <w:sz w:val="21"/>
                <w:szCs w:val="21"/>
                <w:highlight w:val="none"/>
                <w:u w:val="single"/>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除《中华人民共和国政府采购法》第 49 条、第 50 条第二款规定的情形外，本合同一经签订，甲乙双方不得擅自变更、中止或终止合同。</w:t>
            </w:r>
            <w:r>
              <w:rPr>
                <w:rFonts w:hint="eastAsia" w:ascii="宋体" w:hAnsi="宋体" w:eastAsia="宋体" w:cs="宋体"/>
                <w:color w:val="000000"/>
                <w:sz w:val="21"/>
                <w:szCs w:val="21"/>
                <w:highlight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本项目在视频专网、公安信息网、电子政务外网、互联网、移动接入网部署的全部后端软件系统，均应提供完全的资源、设备和系统接入、管理和应用许可，包括但不限于各类硬件设备、基础设施、分项系统、前端设备和点位的无限制接入、管理和应用许可；乙方承诺，本项目实施过程中和交付后全寿命周期内，支持甲方任意新增资源设施的接入需求，不得要求甲方额外支付任何资源、点位、硬件设备、基础设施、分项系统以及全部接口、端口、槽位、功能、性能、服务的授权、许可、软硬件部署、设计、实施及扩容费用。如需增加有关费用，由乙方自行解决。</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兼容性要求</w:t>
            </w:r>
            <w:r>
              <w:rPr>
                <w:rFonts w:hint="eastAsia" w:ascii="宋体" w:hAnsi="宋体" w:eastAsia="宋体" w:cs="宋体"/>
                <w:color w:val="000000"/>
                <w:sz w:val="21"/>
                <w:szCs w:val="21"/>
                <w:highlight w:val="none"/>
                <w:u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（1）本项目各平台应完全接入和管理所有</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现有各型号录像机、摄像机、终端服务器、嵌入式控制设备。</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（2）本项目各平台应安全接入</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现有已部署的各项前后端业务数据，提供兼容现有业务完整的接入、转发应用程序及各类服务中间件。</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（3）前端终端服务器无论利旧或新建均支持全部前端在用的各型号监控设备（不论何厂商）数据缓存、图像拼接、违法数据生成和图像数据转发功能。</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（4）平台支持各厂商视频设备、人车物结构化抓拍或分析设备接入、转发和平台自身业务应用，各类视频数据接入均保证符合主流技术标准要求的时间和质量特性。</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5）本项目配套的电子政务外网平台、互联网平台接入第三方数据应满足数据接入、清洗、存储和转发全流程稳定、高效的要求；同时支持项目建设单位提出的数据接入、清洗、存储和转发定制要求，在项目质保期内提供新增数据的接入、清洗、存储和转发需求，提供已接入数据调整、定制需求。</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信息安全要求</w:t>
            </w:r>
            <w:r>
              <w:rPr>
                <w:rFonts w:hint="eastAsia" w:ascii="宋体" w:hAnsi="宋体" w:eastAsia="宋体" w:cs="宋体"/>
                <w:color w:val="000000"/>
                <w:sz w:val="21"/>
                <w:szCs w:val="21"/>
                <w:highlight w:val="none"/>
                <w:u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（1）乙方保证其公司人员在服务期间所接触的甲方各种文件、数据、资料、系统操作等严格遵守</w:t>
            </w:r>
            <w:r>
              <w:rPr>
                <w:rFonts w:hint="eastAsia" w:ascii="宋体" w:hAnsi="宋体" w:eastAsia="宋体" w:cs="宋体"/>
                <w:color w:val="000000"/>
                <w:sz w:val="21"/>
                <w:szCs w:val="21"/>
                <w:highlight w:val="none"/>
                <w:u w:val="none"/>
                <w:lang w:val="en-US" w:eastAsia="zh-CN"/>
              </w:rPr>
              <w:t xml:space="preserve">甲方</w:t>
            </w:r>
            <w:r>
              <w:rPr>
                <w:rFonts w:hint="eastAsia" w:ascii="宋体" w:hAnsi="宋体" w:eastAsia="宋体" w:cs="宋体"/>
                <w:color w:val="000000"/>
                <w:sz w:val="21"/>
                <w:szCs w:val="21"/>
                <w:highlight w:val="none"/>
                <w:u w:val="none"/>
              </w:rPr>
              <w:t xml:space="preserve">保密制度，不得向第三方泄露。</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（2）公安业务系统数据属于公安秘密，乙方应当严格遵守相关规定，严禁泄漏公安秘密，未经甲方确认，乙方的其公司人员不得对甲方业务系统作任何操作，参与项目维保人员必须做到以下几点：</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a、只在规定的区域实行规定的工作，不得进入与之无关的工作区域；</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b、不得在任何设备上建立与工作无关的网站、网页和服务；不得在设备中传输、粘贴有害信息或与工作无关的信息；</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c、不得擅自对设备进行扫描、探测和入侵信息系统；</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d、不得对工作信息和资源越权访问、违规使用；</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e、不得私自允许无关人员接触和使用设备；</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f、严禁擅自将工作用设备和文件带离甲方指定地点；</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g、未经甲方同意，严禁以任何方式和介质拷贝任何信息及项目中涉及的信息；</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h、对工作中接触到的信息做到保密；</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i、不准擅自摘抄、下载、复制、拍摄、提供、销毁或私自留存相关文件、资料（含电子文档）；严禁违反“一机两用”规定；不准在私人交往中谈论相关工作；</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j、不得有其他任何危害公安信息安全的行为。</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（3）按照各级公安机关对公安信息网络的安全要求，乙方对本项目配备人员必须进行相关安全保密教育，与甲方签订保密协议，有履行保密的责任和义务。</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（4）凡以直接、间接、口头或书面等形式提供涉及保密内容的行为均属泄密，将追究当事人及维保单位的责任。</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（5）项目结束后，所有资料全部移交给甲方。</w:t>
            </w:r>
            <w:r>
              <w:rPr>
                <w:rFonts w:hint="eastAsia" w:ascii="宋体" w:hAnsi="宋体" w:eastAsia="宋体" w:cs="宋体"/>
                <w:color w:val="000000"/>
                <w:sz w:val="21"/>
                <w:szCs w:val="21"/>
                <w:highlight w:val="none"/>
                <w:u w:val="none"/>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维保服务要求</w:t>
            </w:r>
            <w:r>
              <w:rPr>
                <w:rFonts w:hint="eastAsia" w:ascii="宋体" w:hAnsi="宋体" w:eastAsia="宋体" w:cs="宋体"/>
                <w:color w:val="000000"/>
                <w:sz w:val="21"/>
                <w:szCs w:val="21"/>
                <w:highlight w:val="none"/>
                <w:lang w:val="en-US" w:eastAsia="zh-CN"/>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应按照国家有关法律法规、“三包”规定以及投标文件中的“维保服务承诺”提供服务。</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2.维保服务期内需服从甲方统一管理。</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应免费提供维修服务（因使用操作不当等人为原因造成的损坏除外）。</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接到故障电话在1小时内响应，2小时内给出解决问题的方案。如果甲方按照乙方的指导不能解决问题，乙方在8小时内派出维修人员到现场维修或更换零件；复杂故障或需使用进口配件，4至6周内解决。需到场维修或技术支持的，由厂家派员到设备使用现场维修，由此产生的一切费用均由</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承担。技术人员应7*24小时全天候随时响应设备使用等相关问题咨询。产品质量保证期内，凡货物在开箱检验、安装调试、货物试运转过程中发 现的货物质量问题，由乙方负责处理，实行包修、包换、包退，直至产品符合质量要求。乙方承担修理、调换、退货发生的一切费用和甲方的直接经济损失。</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4.维保服务期内，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应免费提供充足的全新的合格原厂零配件，以保障维修所需零部件的及时更换；若配件和耗材有问题，</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应在收到维修配件或耗材后48小时内免费完成维修或更换服务，6个月内产品经2次维修后仍无法正常使用，必须更换全新产品或相关配件。</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5.甲方在使用过程中有权继续对设备质量进行检验和检测，如发现货物有不符合验收标准的情形，</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应免费负责更换或维修，并再次进行免费安装、调试，最终保证设备正常运行。若设备在交货地多次检修后，仍无法达到甲方的正常运行要求，</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需退回该设备的全部款项，并自行组织设备退回厂家。</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6.维保服务期结束，</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对于设备维修只收取基本材料备件费，不收取工时费。</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7.维保服务期结束，不能视为</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对设备中存在的可能引起设备损坏的潜在缺陷所应负责任的解除。潜在缺陷指设备在制造过程中未被发现的隐患，</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对纠正潜在缺陷应负责任，其时间应延续至服务期终止后叁年。当发现这类潜在缺陷时（经双方确认），</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应立即予以无偿修复或更换。</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8.因</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所提供的设备造成甲方设备损坏或其他损失，以及其他第三方损失的，一经核实，</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必须赔偿甲方或第三方因此造成的所有损失。</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9.</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终身免费更新升级设备安装及数据处理涉及软件。</w:t>
            </w:r>
            <w:r>
              <w:rPr>
                <w:rFonts w:hint="eastAsia" w:ascii="宋体" w:hAnsi="宋体" w:eastAsia="宋体" w:cs="宋体"/>
                <w:color w:val="000000"/>
                <w:sz w:val="21"/>
                <w:szCs w:val="21"/>
                <w:highlight w:val="none"/>
                <w:lang w:val="en-US" w:eastAsia="zh-CN"/>
              </w:rPr>
            </w:r>
            <w:r/>
          </w:p>
        </w:tc>
      </w:tr>
    </w:tbl>
    <w:p>
      <w:pPr>
        <w:pStyle w:val="1048"/>
        <w:jc w:val="lef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p>
      <w:pPr>
        <w:pStyle w:val="1048"/>
        <w:spacing w:line="360" w:lineRule="auto"/>
        <w:rPr>
          <w:rFonts w:hint="eastAsia" w:ascii="宋体" w:hAnsi="宋体" w:eastAsia="宋体" w:cs="宋体"/>
          <w:b/>
          <w:color w:val="000000"/>
          <w:sz w:val="21"/>
          <w:szCs w:val="21"/>
          <w:highlight w:val="none"/>
        </w:rPr>
      </w:pPr>
      <w:r>
        <w:rPr>
          <w:rFonts w:hint="eastAsia"/>
          <w:b/>
          <w:color w:val="000000"/>
          <w:sz w:val="40"/>
          <w:highlight w:val="none"/>
        </w:rPr>
        <w:br w:type="page" w:clear="all"/>
      </w:r>
      <w:bookmarkEnd w:id="712"/>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：合同清单</w:t>
      </w:r>
      <w:r>
        <w:rPr>
          <w:rFonts w:hint="eastAsia" w:ascii="宋体" w:hAnsi="宋体" w:eastAsia="宋体" w:cs="宋体"/>
          <w:b/>
          <w:color w:val="000000"/>
          <w:sz w:val="21"/>
          <w:szCs w:val="21"/>
          <w:highlight w:val="none"/>
        </w:rPr>
      </w:r>
      <w:r/>
    </w:p>
    <w:p>
      <w:pPr>
        <w:pStyle w:val="1048"/>
        <w:jc w:val="both"/>
        <w:spacing w:line="360" w:lineRule="auto"/>
        <w:rPr>
          <w:rFonts w:hint="eastAsia" w:ascii="宋体" w:hAnsi="宋体" w:eastAsia="宋体" w:cs="宋体"/>
          <w:b/>
          <w:color w:val="000000"/>
          <w:sz w:val="21"/>
          <w:szCs w:val="21"/>
          <w:highlight w:val="none"/>
          <w:lang w:val="en-US" w:eastAsia="zh-CN"/>
        </w:rPr>
        <w:outlineLvl w:val="0"/>
      </w:pPr>
      <w:r>
        <w:rPr>
          <w:rFonts w:hint="eastAsia" w:ascii="宋体" w:hAnsi="宋体" w:eastAsia="宋体" w:cs="宋体"/>
          <w:b/>
          <w:color w:val="000000"/>
          <w:sz w:val="21"/>
          <w:szCs w:val="21"/>
          <w:highlight w:val="none"/>
          <w:lang w:val="en-US" w:eastAsia="zh-CN"/>
        </w:rPr>
        <w:t xml:space="preserve">附件二：项目进度计划表</w:t>
      </w:r>
      <w:r>
        <w:rPr>
          <w:rFonts w:hint="eastAsia" w:ascii="宋体" w:hAnsi="宋体" w:eastAsia="宋体" w:cs="宋体"/>
          <w:b/>
          <w:color w:val="000000"/>
          <w:sz w:val="21"/>
          <w:szCs w:val="21"/>
          <w:highlight w:val="none"/>
          <w:lang w:val="en-US" w:eastAsia="zh-CN"/>
        </w:rPr>
      </w:r>
      <w:r/>
    </w:p>
    <w:p>
      <w:pPr>
        <w:pStyle w:val="1048"/>
        <w:spacing w:line="36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附件三：常州市公安视频监控系统维护管理办法</w:t>
      </w:r>
      <w:r>
        <w:rPr>
          <w:rFonts w:ascii="宋体" w:hAnsi="宋体" w:eastAsia="宋体" w:cs="宋体"/>
          <w:b/>
          <w:color w:val="000000"/>
          <w:sz w:val="21"/>
          <w:szCs w:val="21"/>
          <w:highlight w:val="none"/>
          <w:lang w:val="en-US" w:eastAsia="zh-CN"/>
        </w:rPr>
      </w:r>
      <w:r/>
    </w:p>
    <w:p>
      <w:pPr>
        <w:pStyle w:val="1048"/>
        <w:jc w:val="center"/>
        <w:spacing w:line="341"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48"/>
        <w:jc w:val="center"/>
        <w:spacing w:line="341"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常州市公安视频监控系统维护管理办法</w:t>
      </w:r>
      <w:r>
        <w:rPr>
          <w:rFonts w:hint="eastAsia" w:ascii="宋体" w:hAnsi="宋体" w:eastAsia="宋体" w:cs="宋体"/>
          <w:b/>
          <w:color w:val="000000"/>
          <w:sz w:val="21"/>
          <w:szCs w:val="21"/>
          <w:highlight w:val="none"/>
        </w:rPr>
      </w:r>
      <w:r/>
    </w:p>
    <w:p>
      <w:pPr>
        <w:pStyle w:val="1048"/>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第一章 总则</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第一条.</w:t>
      </w:r>
      <w:r>
        <w:rPr>
          <w:rFonts w:hint="eastAsia" w:ascii="宋体" w:hAnsi="宋体" w:eastAsia="宋体" w:cs="宋体"/>
          <w:color w:val="000000"/>
          <w:sz w:val="21"/>
          <w:szCs w:val="21"/>
          <w:highlight w:val="none"/>
        </w:rPr>
        <w:t xml:space="preserve">为规范“常州市视频监控系统”的运行维护管理工作，确保视频监控系统的安全可靠运行，切实提高系统运行效率和服务质量，使系统更好地服务于常州市公安局视频监控系统管理及应用，特制订本维护管理办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第二条.</w:t>
      </w:r>
      <w:r>
        <w:rPr>
          <w:rFonts w:hint="eastAsia" w:ascii="宋体" w:hAnsi="宋体" w:eastAsia="宋体" w:cs="宋体"/>
          <w:color w:val="000000"/>
          <w:sz w:val="21"/>
          <w:szCs w:val="21"/>
          <w:highlight w:val="none"/>
        </w:rPr>
        <w:t xml:space="preserve">本维护管理办法适用于常州市各级政府出资建设，由公安具体实施的（含已建、在建）并在质保期内的视频监控系统，项目承建单位是维护管理、考核的责任主体，承建单位可根据本办法制定相应的实施细则。</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pacing w:val="1"/>
          <w:sz w:val="21"/>
          <w:szCs w:val="21"/>
          <w:lang w:val="en-US" w:eastAsia="zh-CN" w:bidi="ar-SA"/>
        </w:rPr>
        <w:t xml:space="preserve">第三条.</w:t>
      </w:r>
      <w:r>
        <w:rPr>
          <w:rFonts w:hint="eastAsia" w:ascii="宋体" w:hAnsi="宋体" w:eastAsia="宋体" w:cs="宋体"/>
          <w:color w:val="000000"/>
          <w:sz w:val="21"/>
          <w:szCs w:val="21"/>
          <w:highlight w:val="none"/>
        </w:rPr>
        <w:t xml:space="preserve">质保期限、维护管理期限、考核期限按合同期限执行：自项目通过竣工验收之日起计算。</w:t>
      </w:r>
      <w:r>
        <w:rPr>
          <w:rFonts w:hint="eastAsia" w:ascii="宋体" w:hAnsi="宋体" w:eastAsia="宋体" w:cs="宋体"/>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第四条.</w:t>
      </w:r>
      <w:r>
        <w:rPr>
          <w:rFonts w:hint="eastAsia" w:ascii="宋体" w:hAnsi="宋体" w:eastAsia="宋体" w:cs="宋体"/>
          <w:color w:val="000000"/>
          <w:sz w:val="21"/>
          <w:szCs w:val="21"/>
          <w:highlight w:val="none"/>
        </w:rPr>
        <w:t xml:space="preserve">视频监控系统维护管理内容分为前端设备维护、网络传输维护、机房环境维护、视频监控平台维护四部分：</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前端设备指摄像机、立杆、补光灯、现场设备安装箱及手孔井等；</w:t>
      </w:r>
      <w:r>
        <w:rPr>
          <w:rFonts w:hint="eastAsia" w:ascii="宋体" w:hAnsi="宋体" w:eastAsia="宋体" w:cs="宋体"/>
          <w:color w:val="000000"/>
          <w:sz w:val="21"/>
          <w:szCs w:val="21"/>
          <w:highlight w:val="none"/>
        </w:rPr>
      </w:r>
      <w:r/>
    </w:p>
    <w:p>
      <w:pPr>
        <w:pStyle w:val="1048"/>
        <w:numPr>
          <w:ilvl w:val="0"/>
          <w:numId w:val="0"/>
        </w:numPr>
        <w:ind w:left="420" w:firstLine="452"/>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pacing w:val="8"/>
          <w:sz w:val="21"/>
          <w:szCs w:val="21"/>
          <w:highlight w:val="none"/>
        </w:rPr>
        <w:t xml:space="preserve">网络传输指保证系统相互通信和正常运行</w:t>
      </w:r>
      <w:r>
        <w:rPr>
          <w:rFonts w:hint="eastAsia" w:ascii="宋体" w:hAnsi="宋体" w:eastAsia="宋体" w:cs="宋体"/>
          <w:color w:val="000000"/>
          <w:spacing w:val="6"/>
          <w:sz w:val="21"/>
          <w:szCs w:val="21"/>
          <w:highlight w:val="none"/>
        </w:rPr>
        <w:t xml:space="preserve">的</w:t>
      </w:r>
      <w:r>
        <w:rPr>
          <w:rFonts w:hint="eastAsia" w:ascii="宋体" w:hAnsi="宋体" w:eastAsia="宋体" w:cs="宋体"/>
          <w:color w:val="000000"/>
          <w:sz w:val="21"/>
          <w:szCs w:val="21"/>
          <w:highlight w:val="none"/>
        </w:rPr>
        <w:t xml:space="preserve">网络系统</w:t>
      </w:r>
      <w:r>
        <w:rPr>
          <w:rFonts w:hint="eastAsia" w:ascii="宋体" w:hAnsi="宋体" w:eastAsia="宋体" w:cs="宋体"/>
          <w:color w:val="000000"/>
          <w:spacing w:val="-29"/>
          <w:sz w:val="21"/>
          <w:szCs w:val="21"/>
          <w:highlight w:val="none"/>
        </w:rPr>
        <w:t xml:space="preserve">，</w:t>
      </w:r>
      <w:r>
        <w:rPr>
          <w:rFonts w:hint="eastAsia" w:ascii="宋体" w:hAnsi="宋体" w:eastAsia="宋体" w:cs="宋体"/>
          <w:color w:val="000000"/>
          <w:sz w:val="21"/>
          <w:szCs w:val="21"/>
          <w:highlight w:val="none"/>
        </w:rPr>
        <w:t xml:space="preserve">包括联网所需的交换机</w:t>
      </w:r>
      <w:r>
        <w:rPr>
          <w:rFonts w:hint="eastAsia" w:ascii="宋体" w:hAnsi="宋体" w:eastAsia="宋体" w:cs="宋体"/>
          <w:color w:val="000000"/>
          <w:spacing w:val="-30"/>
          <w:sz w:val="21"/>
          <w:szCs w:val="21"/>
          <w:highlight w:val="none"/>
        </w:rPr>
        <w:t xml:space="preserve">、</w:t>
      </w:r>
      <w:r>
        <w:rPr>
          <w:rFonts w:hint="eastAsia" w:ascii="宋体" w:hAnsi="宋体" w:eastAsia="宋体" w:cs="宋体"/>
          <w:color w:val="000000"/>
          <w:sz w:val="21"/>
          <w:szCs w:val="21"/>
          <w:highlight w:val="none"/>
        </w:rPr>
        <w:t xml:space="preserve">路由器</w:t>
      </w:r>
      <w:r>
        <w:rPr>
          <w:rFonts w:hint="eastAsia" w:ascii="宋体" w:hAnsi="宋体" w:eastAsia="宋体" w:cs="宋体"/>
          <w:color w:val="000000"/>
          <w:spacing w:val="-30"/>
          <w:sz w:val="21"/>
          <w:szCs w:val="21"/>
          <w:highlight w:val="none"/>
        </w:rPr>
        <w:t xml:space="preserve">、</w:t>
      </w:r>
      <w:r>
        <w:rPr>
          <w:rFonts w:hint="eastAsia" w:ascii="宋体" w:hAnsi="宋体" w:eastAsia="宋体" w:cs="宋体"/>
          <w:color w:val="000000"/>
          <w:sz w:val="21"/>
          <w:szCs w:val="21"/>
          <w:highlight w:val="none"/>
        </w:rPr>
        <w:t xml:space="preserve">防火墙等网络设备和连接网络设备的传输线路等；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机房环境指保证系统正常稳定运行的基础设施，包含机房装饰、电力供应、空气调节、灰尘过滤、静电防护、消防设施、网络布线、维护工具等；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视频监控平台包括视频点播硬件</w:t>
      </w:r>
      <w:r>
        <w:rPr>
          <w:rFonts w:hint="eastAsia" w:ascii="宋体" w:hAnsi="宋体" w:eastAsia="宋体" w:cs="宋体"/>
          <w:color w:val="000000"/>
          <w:spacing w:val="1"/>
          <w:sz w:val="21"/>
          <w:szCs w:val="21"/>
          <w:highlight w:val="none"/>
        </w:rPr>
        <w:t xml:space="preserve">、视频存储等硬件设备及平台软件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第五条.</w:t>
      </w:r>
      <w:r>
        <w:rPr>
          <w:rFonts w:hint="eastAsia" w:ascii="宋体" w:hAnsi="宋体" w:eastAsia="宋体" w:cs="宋体"/>
          <w:color w:val="000000"/>
          <w:sz w:val="21"/>
          <w:szCs w:val="21"/>
          <w:highlight w:val="none"/>
        </w:rPr>
        <w:t xml:space="preserve">在质保期内，设备发生损坏、被盗、拆除等情况，承建单位须无条件更换或重建，建设方不承担任何费用；同时在质保期内提供免费的设备、链路、平台等搬迁服务。</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第六条.</w:t>
      </w:r>
      <w:r>
        <w:rPr>
          <w:rFonts w:hint="eastAsia" w:ascii="宋体" w:hAnsi="宋体" w:eastAsia="宋体" w:cs="宋体"/>
          <w:color w:val="000000"/>
          <w:sz w:val="21"/>
          <w:szCs w:val="21"/>
          <w:highlight w:val="none"/>
        </w:rPr>
        <w:t xml:space="preserve">在质保期内，前端监控点因城市建设、道路改造等原因需要拆除的，由承建单位负责与拆迁单位联系赔补、重建事宜，相关拆迁补偿款归乙方所有，建设单位配合协调。在条件具备情况下（以拆迁补偿协议为准），二个月内必须恢复；不具备重建条件的，由建设单位进行重新选址，承建单位负责迁址重新建设，点位自双方书面确认后二个月内完成建设、验收并投入使用，建设单位不承担任何费用。</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pacing w:val="1"/>
          <w:sz w:val="21"/>
          <w:szCs w:val="21"/>
          <w:lang w:val="en-US" w:eastAsia="zh-CN" w:bidi="ar-SA"/>
        </w:rPr>
        <w:t xml:space="preserve">第七条.</w:t>
      </w:r>
      <w:r>
        <w:rPr>
          <w:rFonts w:hint="eastAsia" w:ascii="宋体" w:hAnsi="宋体" w:eastAsia="宋体" w:cs="宋体"/>
          <w:color w:val="000000"/>
          <w:sz w:val="21"/>
          <w:szCs w:val="21"/>
          <w:highlight w:val="none"/>
        </w:rPr>
        <w:t xml:space="preserve">在质保期内，承建单位必须提供各类设备的备品备件，且数量不少于承建项目相应设备数量2%的比例。</w:t>
      </w:r>
      <w:r>
        <w:rPr>
          <w:rFonts w:hint="eastAsia" w:ascii="宋体" w:hAnsi="宋体" w:eastAsia="宋体" w:cs="宋体"/>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z w:val="21"/>
          <w:szCs w:val="21"/>
          <w:lang w:val="en-US" w:eastAsia="zh-CN" w:bidi="ar-SA"/>
        </w:rPr>
        <w:t xml:space="preserve">第八条.</w:t>
      </w:r>
      <w:r>
        <w:rPr>
          <w:rFonts w:hint="eastAsia" w:ascii="宋体" w:hAnsi="宋体" w:eastAsia="宋体" w:cs="宋体"/>
          <w:color w:val="000000"/>
          <w:sz w:val="21"/>
          <w:szCs w:val="21"/>
          <w:highlight w:val="none"/>
        </w:rPr>
        <w:t xml:space="preserve">在质保期内，在一年内连续发生2次以上（含2次）同一设备故障，必须更换故障设备。</w:t>
      </w:r>
      <w:r>
        <w:rPr>
          <w:rFonts w:hint="eastAsia" w:ascii="宋体" w:hAnsi="宋体" w:eastAsia="宋体" w:cs="宋体"/>
          <w:color w:val="000000"/>
          <w:spacing w:val="1"/>
          <w:sz w:val="21"/>
          <w:szCs w:val="21"/>
          <w:highlight w:val="none"/>
        </w:rPr>
      </w:r>
      <w:r/>
    </w:p>
    <w:p>
      <w:pPr>
        <w:pStyle w:val="1048"/>
        <w:jc w:val="center"/>
        <w:spacing w:line="360" w:lineRule="exact"/>
        <w:tabs>
          <w:tab w:val="left" w:pos="0" w:leader="none"/>
          <w:tab w:val="left" w:pos="1980" w:leader="none"/>
        </w:tabs>
        <w:rPr>
          <w:rFonts w:hint="eastAsia" w:ascii="宋体" w:hAnsi="宋体" w:eastAsia="宋体" w:cs="宋体"/>
          <w:b/>
          <w:color w:val="000000"/>
          <w:spacing w:val="1"/>
          <w:sz w:val="21"/>
          <w:szCs w:val="21"/>
          <w:highlight w:val="none"/>
        </w:rPr>
      </w:pPr>
      <w:r>
        <w:rPr>
          <w:rFonts w:hint="eastAsia" w:ascii="宋体" w:hAnsi="宋体" w:eastAsia="宋体" w:cs="宋体"/>
          <w:b/>
          <w:color w:val="000000"/>
          <w:spacing w:val="1"/>
          <w:sz w:val="21"/>
          <w:szCs w:val="21"/>
          <w:highlight w:val="none"/>
        </w:rPr>
        <w:t xml:space="preserve">第二章 维护管理组织要求</w:t>
      </w:r>
      <w:r>
        <w:rPr>
          <w:rFonts w:hint="eastAsia" w:ascii="宋体" w:hAnsi="宋体" w:eastAsia="宋体" w:cs="宋体"/>
          <w:b/>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第九条.</w:t>
      </w:r>
      <w:r>
        <w:rPr>
          <w:rFonts w:hint="eastAsia" w:ascii="宋体" w:hAnsi="宋体" w:eastAsia="宋体" w:cs="宋体"/>
          <w:color w:val="000000"/>
          <w:sz w:val="21"/>
          <w:szCs w:val="21"/>
          <w:highlight w:val="none"/>
        </w:rPr>
        <w:t xml:space="preserve">常州市视频监控系统的维护管理遵循在常州市公安局技防支队统一的领导下，组成分级管理和维护的模式。作为常州市视频监控系统的承建单位，具体组织实施系统的维护管理工作。</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第十条.</w:t>
      </w:r>
      <w:r>
        <w:rPr>
          <w:rFonts w:hint="eastAsia" w:ascii="宋体" w:hAnsi="宋体" w:eastAsia="宋体" w:cs="宋体"/>
          <w:color w:val="000000"/>
          <w:sz w:val="21"/>
          <w:szCs w:val="21"/>
          <w:highlight w:val="none"/>
        </w:rPr>
        <w:t xml:space="preserve">系统的维护管理单位组织结构。</w:t>
      </w:r>
      <w:r>
        <w:rPr>
          <w:rFonts w:hint="eastAsia" w:ascii="宋体" w:hAnsi="宋体" w:eastAsia="宋体" w:cs="宋体"/>
          <w:color w:val="000000"/>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1.</w:t>
      </w:r>
      <w:r>
        <w:rPr>
          <w:rFonts w:hint="eastAsia" w:ascii="宋体" w:hAnsi="宋体" w:eastAsia="宋体" w:cs="宋体"/>
          <w:color w:val="000000"/>
          <w:spacing w:val="8"/>
          <w:sz w:val="21"/>
          <w:szCs w:val="21"/>
          <w:highlight w:val="none"/>
        </w:rPr>
        <w:t xml:space="preserve">系统承建单位负责项目建设范围内视频监控系统的维护管理和考核。</w:t>
      </w:r>
      <w:r>
        <w:rPr>
          <w:rFonts w:hint="eastAsia" w:ascii="宋体" w:hAnsi="宋体" w:eastAsia="宋体" w:cs="宋体"/>
          <w:color w:val="000000"/>
          <w:spacing w:val="8"/>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2.</w:t>
      </w:r>
      <w:r>
        <w:rPr>
          <w:rFonts w:hint="eastAsia" w:ascii="宋体" w:hAnsi="宋体" w:eastAsia="宋体" w:cs="宋体"/>
          <w:color w:val="000000"/>
          <w:spacing w:val="8"/>
          <w:sz w:val="21"/>
          <w:szCs w:val="21"/>
          <w:highlight w:val="none"/>
        </w:rPr>
        <w:t xml:space="preserve">系统承建单位对系统建设单位（市公安局技防支队）负责，并接受建设单位的业务指导和归口管理。</w:t>
      </w:r>
      <w:r>
        <w:rPr>
          <w:rFonts w:hint="eastAsia" w:ascii="宋体" w:hAnsi="宋体" w:eastAsia="宋体" w:cs="宋体"/>
          <w:color w:val="000000"/>
          <w:spacing w:val="8"/>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3.</w:t>
      </w:r>
      <w:r>
        <w:rPr>
          <w:rFonts w:hint="eastAsia" w:ascii="宋体" w:hAnsi="宋体" w:eastAsia="宋体" w:cs="宋体"/>
          <w:color w:val="000000"/>
          <w:spacing w:val="8"/>
          <w:sz w:val="21"/>
          <w:szCs w:val="21"/>
          <w:highlight w:val="none"/>
        </w:rPr>
        <w:t xml:space="preserve">承建单位成立维护管理小组，明确维护管理小组责任人。</w:t>
      </w:r>
      <w:r>
        <w:rPr>
          <w:rFonts w:hint="eastAsia" w:ascii="宋体" w:hAnsi="宋体" w:eastAsia="宋体" w:cs="宋体"/>
          <w:color w:val="000000"/>
          <w:spacing w:val="8"/>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第十一条.</w:t>
      </w:r>
      <w:r>
        <w:rPr>
          <w:rFonts w:hint="eastAsia" w:ascii="宋体" w:hAnsi="宋体" w:eastAsia="宋体" w:cs="宋体"/>
          <w:color w:val="000000"/>
          <w:sz w:val="21"/>
          <w:szCs w:val="21"/>
          <w:highlight w:val="none"/>
        </w:rPr>
        <w:t xml:space="preserve"> 承建单位负责本建设项目建设、维护工作。承建单位在项目建设完成、竣工验收时，需提供维护具体部门、责任人及</w:t>
      </w:r>
      <w:r>
        <w:rPr>
          <w:rFonts w:hint="eastAsia" w:ascii="宋体" w:hAnsi="宋体" w:eastAsia="宋体" w:cs="宋体"/>
          <w:color w:val="000000"/>
          <w:sz w:val="21"/>
          <w:szCs w:val="21"/>
          <w:highlight w:val="none"/>
        </w:rPr>
        <w:t xml:space="preserve">联系方式，如有变更，及时通知建设单位；承建单位竣工验收后必须成立维护小组到常州市公安局技防支队现场办公，进行日常的维护保障工作。承建单位应承诺保持派驻人员的连续性和稳定性；派驻人员由建设单位负责考核；派驻人员必须服从建设单位的管理，包括工作时间、工作安排，严格执行请销假制度；派驻人员在服务期内不得兼任其他项目的维护工作；派驻人员根据工作需要，在市区、辖市（区）内的差旅费用由承建单位统一支付；派驻人员调整更换必须经建设单位同意。承建单位对派驻人员必须进行相关安全保密教育，签订保密协议，有履行保密的责任和义务。</w:t>
      </w:r>
      <w:r>
        <w:rPr>
          <w:rFonts w:hint="eastAsia" w:ascii="宋体" w:hAnsi="宋体" w:eastAsia="宋体" w:cs="宋体"/>
          <w:color w:val="000000"/>
          <w:sz w:val="21"/>
          <w:szCs w:val="21"/>
          <w:highlight w:val="none"/>
        </w:rPr>
      </w:r>
      <w:r/>
    </w:p>
    <w:p>
      <w:pPr>
        <w:pStyle w:val="1048"/>
        <w:jc w:val="center"/>
        <w:spacing w:line="360" w:lineRule="exact"/>
        <w:tabs>
          <w:tab w:val="left" w:pos="0" w:leader="none"/>
          <w:tab w:val="left" w:pos="19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第三章 维护管理职责要求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第十二条.</w:t>
      </w:r>
      <w:r>
        <w:rPr>
          <w:rFonts w:hint="eastAsia" w:ascii="宋体" w:hAnsi="宋体" w:eastAsia="宋体" w:cs="宋体"/>
          <w:color w:val="000000"/>
          <w:sz w:val="21"/>
          <w:szCs w:val="21"/>
          <w:highlight w:val="none"/>
        </w:rPr>
        <w:t xml:space="preserve">维护管理单位具体工作职责</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贯彻国家及公安部门关于视频监控系统技术、设备及质量管理等方面的方针、政策和规定，组织制定系统的维护规程、维护管理办法和维护责任制度；</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认真贯彻执行各项规章制度，落实维护规程和系统安全运行措施，负责制定项目范围内的系统维护管理实施细则；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负责项目范围内系统维护管理、监督检查工作，掌握运行质量情况，制定质量指标，并进行定期检查考核；</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负责管理、考核系统设备供应商，制定对设备供应商的管理办法和考核指标，收集整理系统运行过程中的反馈意见，督促相关厂商提高服务质量；</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系统发生较大故障时，负责必要的资源协调和处理工作，并在事后组织分析总结，制定防范措施并推广；</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组织专业技术专家、设备厂商对系统进行定期巡检，巡检包括对系统及设备性能测试、维护人员日常维护作业计划执行情况检查、机房环境检查等；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负责归口管理系统范围内的系统优化、升级需求；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highlight w:val="none"/>
        </w:rPr>
        <w:t xml:space="preserve">负责组织系统维护技术培训、技术交流、联席会议，组织维护人员参加各种培训和考试，提高维护人员管理和技术水平；</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highlight w:val="none"/>
        </w:rPr>
        <w:t xml:space="preserve">负责组织落实各项技术安全措施，确保系统安全稳定运行；</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highlight w:val="none"/>
        </w:rPr>
        <w:t xml:space="preserve">负责对系统范围内故障管理、问题管理、变更管理、版本管理、配置管理等流程规范性和相关制度落实情况进行监督管理。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第十三条.</w:t>
      </w:r>
      <w:r>
        <w:rPr>
          <w:rFonts w:hint="eastAsia" w:ascii="宋体" w:hAnsi="宋体" w:eastAsia="宋体" w:cs="宋体"/>
          <w:color w:val="000000"/>
          <w:sz w:val="21"/>
          <w:szCs w:val="21"/>
          <w:highlight w:val="none"/>
        </w:rPr>
        <w:t xml:space="preserve">系统维护小组或维护人员职责</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负责收集整理项目范围内的系统运行质量情况，每月向建设单位上报信息系统运行情况和所有的维护记录；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配合承建单位参与项目范围内系统运行质量分析，协助承建单位及时找出系统运行质量或效率下降的原因，提出改进建议，参与编写升级、扩容、实施、测试方案，并配合具体实施；</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协助承建单位进行项目范围内的产品维保厂商的管理和考核；</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负责项目范围内系统的故障申告和服务请求。系统发生较大故障时，按照重大突发事件汇报路径上报建设主管单位（常州市公安局技防支队）；</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负责组织和编制系统优化、升级需求，上报系统维护管理单位审核；获得批准后，参与实施；</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组织对项目范围内的系统进行定期巡检，落实配合人员，对巡检结果进行确认，</w:t>
      </w:r>
      <w:r>
        <w:rPr>
          <w:rFonts w:hint="eastAsia" w:ascii="宋体" w:hAnsi="宋体" w:eastAsia="宋体" w:cs="宋体"/>
          <w:color w:val="000000"/>
          <w:sz w:val="21"/>
          <w:szCs w:val="21"/>
          <w:highlight w:val="none"/>
          <w:lang w:eastAsia="zh-CN"/>
        </w:rPr>
        <w:t xml:space="preserve">对发现的问题</w:t>
      </w:r>
      <w:r>
        <w:rPr>
          <w:rFonts w:hint="eastAsia" w:ascii="宋体" w:hAnsi="宋体" w:eastAsia="宋体" w:cs="宋体"/>
          <w:color w:val="000000"/>
          <w:sz w:val="21"/>
          <w:szCs w:val="21"/>
          <w:highlight w:val="none"/>
        </w:rPr>
        <w:t xml:space="preserve">进行整改。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负责项目范围内系统的设备硬件、配套网络和机房环境的监控和日常维护工作，制定日常维护作业计划并认真执行，保证系统正常运行；</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highlight w:val="none"/>
        </w:rPr>
        <w:t xml:space="preserve">对于系统的所有维护（包括故障处理、系统改进和功能完善增加）都必须填写维护记录，每月向承建单位上报项目范围内的系统运行情况和所有的维护记录；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highlight w:val="none"/>
        </w:rPr>
        <w:t xml:space="preserve">负责项目范围内系统档案资料的维护，及时更新有关资料；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highlight w:val="none"/>
        </w:rPr>
        <w:t xml:space="preserve">协助承建单位对所辖范围内系统的用户账号管理和数据安全管理，按照信息安全管理相关要求定期进行信息安全自我审核，每月向项目建设单位上报项目范围内的系统信息安全情况。</w:t>
      </w:r>
      <w:r>
        <w:rPr>
          <w:rFonts w:hint="eastAsia" w:ascii="宋体" w:hAnsi="宋体" w:eastAsia="宋体" w:cs="宋体"/>
          <w:color w:val="000000"/>
          <w:sz w:val="21"/>
          <w:szCs w:val="21"/>
          <w:highlight w:val="none"/>
        </w:rPr>
      </w:r>
      <w:r/>
    </w:p>
    <w:p>
      <w:pPr>
        <w:pStyle w:val="1048"/>
        <w:ind w:right="43"/>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第四章 维护管理工作要求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第十四条.</w:t>
      </w:r>
      <w:r>
        <w:rPr>
          <w:rFonts w:hint="eastAsia" w:ascii="宋体" w:hAnsi="宋体" w:eastAsia="宋体" w:cs="宋体"/>
          <w:color w:val="000000"/>
          <w:sz w:val="21"/>
          <w:szCs w:val="21"/>
          <w:highlight w:val="none"/>
        </w:rPr>
        <w:t xml:space="preserve">故障恢复：在质保期内，承建单位保证系统7*24不间断</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稳定正常运行并提供及时维护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避免由网络故障或软件的升级而影响整个系统的运行。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w:t>
      </w:r>
      <w:r>
        <w:rPr>
          <w:rFonts w:hint="eastAsia" w:ascii="宋体" w:hAnsi="宋体" w:eastAsia="宋体" w:cs="宋体"/>
          <w:color w:val="000000"/>
          <w:sz w:val="21"/>
          <w:szCs w:val="21"/>
          <w:highlight w:val="none"/>
          <w:lang w:eastAsia="zh-CN"/>
        </w:rPr>
        <w:t xml:space="preserve">即</w:t>
      </w:r>
      <w:r>
        <w:rPr>
          <w:rFonts w:hint="eastAsia" w:ascii="宋体" w:hAnsi="宋体" w:eastAsia="宋体" w:cs="宋体"/>
          <w:color w:val="000000"/>
          <w:sz w:val="21"/>
          <w:szCs w:val="21"/>
          <w:highlight w:val="none"/>
        </w:rPr>
        <w:t xml:space="preserve">由承建单位派员到现场维修，由此产生的一切费用均由承建单位承担。</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（一）一般系统或设备发生故障后，在4小时内到达现场，并在12小时的期限内修复。特殊情况不能修复的，要查出故障原因，并提出解决方案。</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（二）系统网络故障响应处理时间应少于30分钟，到达现场时间应少于4个小时。按照故障程度，一般故障4小时修复，重大故障24小时内修复，特殊情况，最长不得超过48小时。</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（三）因光缆断裂、区域停电和不可抗力的原因造成的损坏不受上述限制，但必须采取有力措施和组织足够的力量及时修复。</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（四）设备在维护维修时，存在系统被入侵/攻击的可能。</w:t>
      </w:r>
      <w:r>
        <w:rPr>
          <w:rFonts w:hint="eastAsia" w:ascii="宋体" w:hAnsi="宋体" w:eastAsia="宋体" w:cs="宋体"/>
          <w:color w:val="000000"/>
          <w:sz w:val="21"/>
          <w:szCs w:val="21"/>
          <w:highlight w:val="none"/>
          <w:lang w:eastAsia="zh-CN"/>
        </w:rPr>
        <w:t xml:space="preserve">因此</w:t>
      </w:r>
      <w:r>
        <w:rPr>
          <w:rFonts w:hint="eastAsia" w:ascii="宋体" w:hAnsi="宋体" w:eastAsia="宋体" w:cs="宋体"/>
          <w:color w:val="000000"/>
          <w:sz w:val="21"/>
          <w:szCs w:val="21"/>
          <w:highlight w:val="none"/>
        </w:rPr>
        <w:t xml:space="preserve">对设备日常维护与维修的行为必须有安全性要求。</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要做好维护、维修人员的身份审核。</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全程记录相关操作过程。记录必要的软件/设备信息。</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应采用原有系统采购的软件与硬件。硬件系统替换时，必须查看设备是否处于刚出厂未使用状态。</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在维护、维修工作中要防止系统规划、用户信息、图像资源等信息的泄密。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第十五条.</w:t>
      </w:r>
      <w:r>
        <w:rPr>
          <w:rFonts w:hint="eastAsia" w:ascii="宋体" w:hAnsi="宋体" w:eastAsia="宋体" w:cs="宋体"/>
          <w:color w:val="000000"/>
          <w:sz w:val="21"/>
          <w:szCs w:val="21"/>
          <w:highlight w:val="none"/>
        </w:rPr>
        <w:t xml:space="preserve">应急处理：将各种系统</w:t>
      </w:r>
      <w:r>
        <w:rPr>
          <w:rFonts w:hint="eastAsia" w:ascii="宋体" w:hAnsi="宋体" w:eastAsia="宋体" w:cs="宋体"/>
          <w:color w:val="000000"/>
          <w:sz w:val="21"/>
          <w:szCs w:val="21"/>
          <w:highlight w:val="none"/>
        </w:rPr>
        <w:t xml:space="preserve">故障和告警进行分级处理，可分为一般故障（仅为个别节点不能访问但不影响整个系统的功能）、严重故障（系统的某些功能受损但日常应用基本可维持）、致命故障（系统功能受重大影响或系统瘫痪），并对每个故障等级建立处置规范和流程。视频监控系统设备一旦发生重大故障，系统维护单位派人员应迅速进行抢修。为应对系统的突发性故障，保证系统在应急情况下能正常运行，必须建立系统紧急抢修的预案，并加以演练。例如，限制各级故障的处理时间，指定处理各级故障的厂商，并明确具体联系人和联系方式，对系统故障建立跟踪机制，跟踪故障处理的整个进程等。</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第十六条.</w:t>
      </w:r>
      <w:r>
        <w:rPr>
          <w:rFonts w:hint="eastAsia" w:ascii="宋体" w:hAnsi="宋体" w:eastAsia="宋体" w:cs="宋体"/>
          <w:color w:val="000000"/>
          <w:sz w:val="21"/>
          <w:szCs w:val="21"/>
          <w:highlight w:val="none"/>
        </w:rPr>
        <w:t xml:space="preserve">质保期内承建单位负责对其提供的所有系统功能调整、升级、维护服务工作，确保各类软件及时更新到最新版本，将成熟的新技术、新标准实时应用到常州市视频监控系统建设项目，以保证系统能正常高效运行。</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第十七条.</w:t>
      </w:r>
      <w:r>
        <w:rPr>
          <w:rFonts w:hint="eastAsia" w:ascii="宋体" w:hAnsi="宋体" w:eastAsia="宋体" w:cs="宋体"/>
          <w:color w:val="000000"/>
          <w:sz w:val="21"/>
          <w:szCs w:val="21"/>
          <w:highlight w:val="none"/>
        </w:rPr>
        <w:t xml:space="preserve">承建单位网络升级、调整及检修应选择非工作时段，且须提前一周以书面方式通知使用单位。</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第十八条.</w:t>
      </w:r>
      <w:r>
        <w:rPr>
          <w:rFonts w:hint="eastAsia" w:ascii="宋体" w:hAnsi="宋体" w:eastAsia="宋体" w:cs="宋体"/>
          <w:color w:val="000000"/>
          <w:sz w:val="21"/>
          <w:szCs w:val="21"/>
          <w:highlight w:val="none"/>
        </w:rPr>
        <w:t xml:space="preserve">摄像机护罩半年清洁一次，以保证图像的清晰，查看各安装点的摄像头线缆情况，弱电柜中的编码器、收发器、视频光端机灯状态是否正常，电源有否松动，对设备柜中的灰尘进行清洁，检查防雷、接地系统是否正常。</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第十九条.</w:t>
      </w:r>
      <w:r>
        <w:rPr>
          <w:rFonts w:hint="eastAsia" w:ascii="宋体" w:hAnsi="宋体" w:eastAsia="宋体" w:cs="宋体"/>
          <w:color w:val="000000"/>
          <w:sz w:val="21"/>
          <w:szCs w:val="21"/>
          <w:highlight w:val="none"/>
        </w:rPr>
        <w:t xml:space="preserve">承建单位负责技术档案和资料的管理，应建立健全必要的技术资料和原始记录，包括但不限于：</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系统结构图及相关技术资料；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机房平面图、设备布置图、电源电缆、信号线、地线图；</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网络连接图和相关配置资料；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各类软硬件设备配置清单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设备或系统使用手册、维护手册等资料；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工程资料，包括安装、工程设计、测试及开通、试运行、竣工等全套技术资料；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上述资料的变更记录。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第二十条.</w:t>
      </w:r>
      <w:r>
        <w:rPr>
          <w:rFonts w:hint="eastAsia" w:ascii="宋体" w:hAnsi="宋体" w:eastAsia="宋体" w:cs="宋体"/>
          <w:color w:val="000000"/>
          <w:sz w:val="21"/>
          <w:szCs w:val="21"/>
          <w:highlight w:val="none"/>
        </w:rPr>
        <w:t xml:space="preserve">承建单位负责软件资料管理应包含以下内容：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所有软件的介质、许可证、版本资料及补丁资料；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所有软件的安装手册、操作使用手册、应用开发手册等技术资料；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上述资料的变更记录。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第二十一条.</w:t>
      </w:r>
      <w:r>
        <w:rPr>
          <w:rFonts w:hint="eastAsia" w:ascii="宋体" w:hAnsi="宋体" w:eastAsia="宋体" w:cs="宋体"/>
          <w:color w:val="000000"/>
          <w:sz w:val="21"/>
          <w:szCs w:val="21"/>
          <w:highlight w:val="none"/>
        </w:rPr>
        <w:t xml:space="preserve">承建单位负责配置数据管理要求：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配置数据管理应包含各种静态数据资料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如系统的各种参数设置等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及变更记录；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维护人员必须维护最新的当前系统配置数据。</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第二十二条.</w:t>
      </w:r>
      <w:r>
        <w:rPr>
          <w:rFonts w:hint="eastAsia" w:ascii="宋体" w:hAnsi="宋体" w:eastAsia="宋体" w:cs="宋体"/>
          <w:color w:val="000000"/>
          <w:sz w:val="21"/>
          <w:szCs w:val="21"/>
          <w:highlight w:val="none"/>
        </w:rPr>
        <w:t xml:space="preserve">承建单位负责运行记录的管理：</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维护作业计划和适用的各种规章制度；</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系统运行记录和巡检记录；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故障及处理、设备检修、返修记录；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系统备份磁带、磁盘、光盘的更换及相关信息汇总记录；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软、硬件设备变更和系统参数变更。</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第二十三条.</w:t>
      </w:r>
      <w:r>
        <w:rPr>
          <w:rFonts w:hint="eastAsia" w:ascii="宋体" w:hAnsi="宋体" w:eastAsia="宋体" w:cs="宋体"/>
          <w:color w:val="000000"/>
          <w:sz w:val="21"/>
          <w:szCs w:val="21"/>
          <w:highlight w:val="none"/>
        </w:rPr>
        <w:t xml:space="preserve">承建单位负责对各项操作均应进行日志记录，内容应包括操作人、操作时间和操作内容等详细信息。承建单位维护人员应每日对操作日志、安全日志进行审查，对异常事件及时跟进解决，并每周形成日志审查汇总意见报建设单位审核。安全日志应包括但不局限于以下内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对于应用系统，包括系统管理员的所有系统操作记录、所有的登录访问记录、对敏感数据或关键数据有重大影响的系统操作记录以及其他重要系统操作记录的日志；</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对于操作系统，包括系统管理员的所有操作记录、所有的登录日志；</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对于数据库系统，包括数据库登录、库表结构的变更记录。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第二十四条.</w:t>
      </w:r>
      <w:r>
        <w:rPr>
          <w:rFonts w:hint="eastAsia" w:ascii="宋体" w:hAnsi="宋体" w:eastAsia="宋体" w:cs="宋体"/>
          <w:color w:val="000000"/>
          <w:sz w:val="21"/>
          <w:szCs w:val="21"/>
          <w:highlight w:val="none"/>
        </w:rPr>
        <w:t xml:space="preserve">承建单位负责安全保密要求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联网设备必须采取必要的安全措施，以保障网络的设备安全及所承载业务的信息安全。在计算机上应安装防病毒软件，每天更新病毒库；</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未经变更流程，严禁将视频监控系统与公众互联网进行连接； </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在与其他外部网络的网络连接处必须安装防火墙，并指定防火墙管理员，只有指定的系统（网络）管理员才能拥有防火墙管理帐号，未经批准，不得进行防火墙策略的更改；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严禁在系统中安装未经授权的软件；不得在系统上运行与工作无关的程序；未经批准，不得利用系统进行培训实习；</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未经批准不得擅自抄录、复制配置资料、技术档案，内部资料不得泄露；</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设备管理和维护人员都应熟悉并严格遵守和执行信息安全保密相关规定。</w:t>
      </w:r>
      <w:r>
        <w:rPr>
          <w:rFonts w:hint="eastAsia" w:ascii="宋体" w:hAnsi="宋体" w:eastAsia="宋体" w:cs="宋体"/>
          <w:color w:val="000000"/>
          <w:sz w:val="21"/>
          <w:szCs w:val="21"/>
          <w:highlight w:val="none"/>
        </w:rPr>
      </w:r>
      <w:r/>
    </w:p>
    <w:p>
      <w:pPr>
        <w:pStyle w:val="1048"/>
        <w:ind w:right="187"/>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第五章 维护管理考核要求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第二十五条.</w:t>
      </w:r>
      <w:r>
        <w:rPr>
          <w:rFonts w:hint="eastAsia" w:ascii="宋体" w:hAnsi="宋体" w:eastAsia="宋体" w:cs="宋体"/>
          <w:color w:val="000000"/>
          <w:sz w:val="21"/>
          <w:szCs w:val="21"/>
          <w:highlight w:val="none"/>
        </w:rPr>
        <w:t xml:space="preserve">在质保期内，每月20号为维护考核日期，当月20号形成上一月的维护考核报表，承建单位维护责任人在五个工作日内进行审核并签字确认，逾期承建单位未确认的，以技防支队考核为准。（完好率考核基数以应建数扣除拆除数为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第二十六条.</w:t>
      </w:r>
      <w:r>
        <w:rPr>
          <w:rFonts w:hint="eastAsia" w:ascii="宋体" w:hAnsi="宋体" w:eastAsia="宋体" w:cs="宋体"/>
          <w:color w:val="000000"/>
          <w:sz w:val="21"/>
          <w:szCs w:val="21"/>
          <w:highlight w:val="none"/>
        </w:rPr>
        <w:t xml:space="preserve">在质保期内，对故障点位，一个月内必须修复到位，若一个月内未及时修复，每个监控点扣1000元；对涉及前端监控点因城市建设、道路改造等原因拆除的，在条件具备情况下（以拆迁补偿协议为准），二个月内必须恢复；不具备重建条件的，由建设单位进行重新选址，承建单位负责迁址重新建设，点位自双方书面确认后二个月内完成建设、验收并投入使用。逾期未完成的，涉及的每个监控点扣1000元/月。</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第二十七条.</w:t>
      </w:r>
      <w:r>
        <w:rPr>
          <w:rFonts w:hint="eastAsia" w:ascii="宋体" w:hAnsi="宋体" w:eastAsia="宋体" w:cs="宋体"/>
          <w:color w:val="000000"/>
          <w:sz w:val="21"/>
          <w:szCs w:val="21"/>
          <w:highlight w:val="none"/>
        </w:rPr>
        <w:t xml:space="preserve">在质保期内，因乙方原因出现系统故障影响全市视频监控应用，在24小时内不能恢复的，扣10000元；影响辖市（区）级视频监控应用的，在24个小时内不能恢复的，扣5000元；影响派出所级视频监控应用的，在24小时内不能恢复的，扣3000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第二十八条.</w:t>
      </w:r>
      <w:r>
        <w:rPr>
          <w:rFonts w:hint="eastAsia" w:ascii="宋体" w:hAnsi="宋体" w:eastAsia="宋体" w:cs="宋体"/>
          <w:color w:val="000000"/>
          <w:sz w:val="21"/>
          <w:szCs w:val="21"/>
          <w:highlight w:val="none"/>
        </w:rPr>
        <w:t xml:space="preserve">在质保期内，补光灯出现故障，在一个月内未及时修复的，扣1000元。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第二十九条.</w:t>
      </w:r>
      <w:r>
        <w:rPr>
          <w:rFonts w:hint="eastAsia" w:ascii="宋体" w:hAnsi="宋体" w:eastAsia="宋体" w:cs="宋体"/>
          <w:color w:val="000000"/>
          <w:sz w:val="21"/>
          <w:szCs w:val="21"/>
          <w:highlight w:val="none"/>
        </w:rPr>
        <w:t xml:space="preserve">在质保期内，摄像机护罩半年未清洁一次的，扣5000元。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第三十条.</w:t>
      </w:r>
      <w:r>
        <w:rPr>
          <w:rFonts w:hint="eastAsia" w:ascii="宋体" w:hAnsi="宋体" w:eastAsia="宋体" w:cs="宋体"/>
          <w:color w:val="000000"/>
          <w:sz w:val="21"/>
          <w:szCs w:val="21"/>
          <w:highlight w:val="none"/>
        </w:rPr>
        <w:t xml:space="preserve">在质保期内，每年对市局、分局、派出所系统、机房进行体检、维护保养（电力供应、UPS、布线、设备除尘等）一次，未进行的扣5000元（以书面体检报告为准）。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第三十一条.</w:t>
      </w:r>
      <w:r>
        <w:rPr>
          <w:rFonts w:hint="eastAsia" w:ascii="宋体" w:hAnsi="宋体" w:eastAsia="宋体" w:cs="宋体"/>
          <w:color w:val="000000"/>
          <w:sz w:val="21"/>
          <w:szCs w:val="21"/>
          <w:highlight w:val="none"/>
        </w:rPr>
        <w:t xml:space="preserve">在质保期内，遇有其他故障情形，对建设单位发给承建单位的故障维护单未按要求及时修复的，扣1000元。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第三十二条.</w:t>
      </w:r>
      <w:r>
        <w:rPr>
          <w:rFonts w:hint="eastAsia" w:ascii="宋体" w:hAnsi="宋体" w:eastAsia="宋体" w:cs="宋体"/>
          <w:color w:val="000000"/>
          <w:sz w:val="21"/>
          <w:szCs w:val="21"/>
          <w:highlight w:val="none"/>
        </w:rPr>
        <w:t xml:space="preserve">在质保期内，每年完好率扣款金额=当年资金支付费用总金额-当年资金支付费用总金额*（全年每月监控完好率平均数*100+5）/100，当全年每月监控完好率平均数*100+5≥100分时，按100分算。每年实际扣款金额=完好率扣款金额+故障扣除金额。</w:t>
      </w:r>
      <w:r>
        <w:rPr>
          <w:rFonts w:hint="eastAsia" w:ascii="宋体" w:hAnsi="宋体" w:eastAsia="宋体" w:cs="宋体"/>
          <w:color w:val="000000"/>
          <w:sz w:val="21"/>
          <w:szCs w:val="21"/>
          <w:highlight w:val="none"/>
        </w:rPr>
      </w:r>
      <w:r/>
    </w:p>
    <w:p>
      <w:pPr>
        <w:pStyle w:val="1048"/>
        <w:numPr>
          <w:ilvl w:val="1"/>
          <w:numId w:val="0"/>
        </w:numPr>
        <w:ind w:left="0" w:right="187"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lang w:val="en-US" w:eastAsia="zh-CN" w:bidi="ar-SA"/>
        </w:rPr>
        <w:t xml:space="preserve">第三十三条.</w:t>
      </w:r>
      <w:r>
        <w:rPr>
          <w:rFonts w:hint="eastAsia" w:ascii="宋体" w:hAnsi="宋体" w:eastAsia="宋体" w:cs="宋体"/>
          <w:color w:val="000000"/>
          <w:sz w:val="21"/>
          <w:szCs w:val="21"/>
          <w:highlight w:val="none"/>
        </w:rPr>
        <w:t xml:space="preserve">本办法的解释权属于常州市公安局技防支队。</w:t>
      </w:r>
      <w:r>
        <w:rPr>
          <w:rFonts w:hint="eastAsia" w:ascii="宋体" w:hAnsi="宋体" w:eastAsia="宋体" w:cs="宋体"/>
          <w:bCs/>
          <w:color w:val="000000"/>
          <w:sz w:val="21"/>
          <w:szCs w:val="21"/>
          <w:highlight w:val="none"/>
        </w:rPr>
      </w:r>
      <w:r/>
    </w:p>
    <w:p>
      <w:pPr>
        <w:pStyle w:val="1048"/>
        <w:numPr>
          <w:ilvl w:val="1"/>
          <w:numId w:val="0"/>
        </w:numPr>
        <w:ind w:left="0" w:right="187"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lang w:val="en-US" w:eastAsia="zh-CN" w:bidi="ar-SA"/>
        </w:rPr>
        <w:t xml:space="preserve">第三十四条.</w:t>
      </w:r>
      <w:r>
        <w:rPr>
          <w:rFonts w:hint="eastAsia" w:ascii="宋体" w:hAnsi="宋体" w:eastAsia="宋体" w:cs="宋体"/>
          <w:color w:val="000000"/>
          <w:sz w:val="21"/>
          <w:szCs w:val="21"/>
          <w:highlight w:val="none"/>
        </w:rPr>
        <w:t xml:space="preserve">本办法自2014年1月1日实行。</w:t>
      </w:r>
      <w:r>
        <w:rPr>
          <w:rFonts w:hint="eastAsia" w:ascii="宋体" w:hAnsi="宋体" w:eastAsia="宋体" w:cs="宋体"/>
          <w:bCs/>
          <w:color w:val="000000"/>
          <w:sz w:val="21"/>
          <w:szCs w:val="21"/>
          <w:highlight w:val="none"/>
        </w:rPr>
      </w:r>
      <w:r/>
    </w:p>
    <w:p>
      <w:pPr>
        <w:pStyle w:val="1048"/>
        <w:jc w:val="center"/>
        <w:spacing w:line="360" w:lineRule="auto"/>
        <w:rPr>
          <w:b/>
          <w:color w:val="000000"/>
          <w:sz w:val="24"/>
          <w:highlight w:val="none"/>
        </w:rPr>
        <w:outlineLvl w:val="0"/>
      </w:pPr>
      <w:r>
        <w:rPr>
          <w:rFonts w:hint="eastAsia"/>
          <w:b/>
          <w:color w:val="000000"/>
          <w:sz w:val="40"/>
          <w:highlight w:val="none"/>
        </w:rPr>
        <w:br w:type="page" w:clear="all"/>
      </w:r>
      <w:r>
        <w:rPr>
          <w:b/>
          <w:color w:val="000000"/>
          <w:sz w:val="32"/>
          <w:szCs w:val="32"/>
          <w:highlight w:val="none"/>
        </w:rPr>
        <w:t xml:space="preserve">第七章   投标文件格式</w:t>
      </w:r>
      <w:bookmarkEnd w:id="711"/>
      <w:r>
        <w:rPr>
          <w:b/>
          <w:color w:val="000000"/>
          <w:sz w:val="24"/>
          <w:highlight w:val="none"/>
        </w:rPr>
      </w:r>
      <w:r/>
    </w:p>
    <w:p>
      <w:pPr>
        <w:pStyle w:val="1048"/>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highlight w:val="none"/>
        </w:rPr>
      </w:r>
      <w:r/>
    </w:p>
    <w:p>
      <w:pPr>
        <w:pStyle w:val="1048"/>
        <w:ind w:left="142" w:firstLine="642"/>
        <w:spacing w:line="360" w:lineRule="auto"/>
        <w:tabs>
          <w:tab w:val="left" w:pos="900" w:leader="none"/>
          <w:tab w:val="left" w:pos="1980" w:leader="none"/>
        </w:tabs>
        <w:rPr>
          <w:b/>
          <w:color w:val="000000"/>
          <w:sz w:val="28"/>
          <w:szCs w:val="28"/>
          <w:highlight w:val="none"/>
        </w:rPr>
      </w:pPr>
      <w:r>
        <w:rPr>
          <w:b/>
          <w:color w:val="000000"/>
          <w:spacing w:val="20"/>
          <w:sz w:val="28"/>
          <w:szCs w:val="28"/>
          <w:highlight w:val="none"/>
        </w:rPr>
        <w:t xml:space="preserve">一、资格证明文件格式</w:t>
      </w:r>
      <w:r>
        <w:rPr>
          <w:b/>
          <w:color w:val="000000"/>
          <w:sz w:val="28"/>
          <w:szCs w:val="28"/>
          <w:highlight w:val="none"/>
        </w:rPr>
      </w:r>
      <w:r/>
    </w:p>
    <w:p>
      <w:pPr>
        <w:pStyle w:val="1048"/>
        <w:rPr>
          <w:b/>
          <w:color w:val="000000"/>
          <w:spacing w:val="20"/>
          <w:sz w:val="28"/>
          <w:szCs w:val="28"/>
          <w:highlight w:val="none"/>
        </w:rPr>
      </w:pPr>
      <w:r>
        <w:rPr>
          <w:b/>
          <w:color w:val="000000"/>
          <w:spacing w:val="20"/>
          <w:sz w:val="28"/>
          <w:szCs w:val="28"/>
          <w:highlight w:val="none"/>
        </w:rPr>
      </w:r>
      <w:r/>
    </w:p>
    <w:p>
      <w:pPr>
        <w:pStyle w:val="1048"/>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1048"/>
        <w:jc w:val="center"/>
        <w:rPr>
          <w:color w:val="000000"/>
          <w:szCs w:val="21"/>
          <w:highlight w:val="none"/>
        </w:rPr>
      </w:pPr>
      <w:r>
        <w:rPr>
          <w:color w:val="000000"/>
          <w:szCs w:val="21"/>
          <w:highlight w:val="none"/>
        </w:rPr>
      </w:r>
      <w:r/>
    </w:p>
    <w:p>
      <w:pPr>
        <w:pStyle w:val="1048"/>
        <w:jc w:val="center"/>
        <w:rPr>
          <w:b/>
          <w:color w:val="000000"/>
          <w:spacing w:val="60"/>
          <w:sz w:val="84"/>
          <w:szCs w:val="84"/>
          <w:highlight w:val="none"/>
        </w:rPr>
      </w:pPr>
      <w:r>
        <w:rPr>
          <w:b/>
          <w:color w:val="000000"/>
          <w:spacing w:val="60"/>
          <w:sz w:val="84"/>
          <w:szCs w:val="84"/>
          <w:highlight w:val="none"/>
        </w:rPr>
      </w:r>
      <w:r/>
    </w:p>
    <w:p>
      <w:pPr>
        <w:pStyle w:val="1048"/>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4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4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48"/>
        <w:ind w:firstLine="542"/>
        <w:rPr>
          <w:b/>
          <w:color w:val="000000"/>
          <w:spacing w:val="20"/>
          <w:sz w:val="32"/>
          <w:szCs w:val="32"/>
          <w:highlight w:val="none"/>
        </w:rPr>
      </w:pPr>
      <w:r>
        <w:rPr>
          <w:b/>
          <w:color w:val="000000"/>
          <w:spacing w:val="20"/>
          <w:sz w:val="32"/>
          <w:szCs w:val="32"/>
          <w:highlight w:val="none"/>
        </w:rPr>
      </w:r>
      <w:r/>
    </w:p>
    <w:p>
      <w:pPr>
        <w:pStyle w:val="1048"/>
        <w:ind w:firstLine="542"/>
        <w:rPr>
          <w:b/>
          <w:color w:val="000000"/>
          <w:spacing w:val="20"/>
          <w:sz w:val="32"/>
          <w:szCs w:val="32"/>
          <w:highlight w:val="none"/>
        </w:rPr>
      </w:pPr>
      <w:r>
        <w:rPr>
          <w:b/>
          <w:color w:val="000000"/>
          <w:spacing w:val="20"/>
          <w:sz w:val="32"/>
          <w:szCs w:val="32"/>
          <w:highlight w:val="none"/>
        </w:rPr>
      </w:r>
      <w:r/>
    </w:p>
    <w:p>
      <w:pPr>
        <w:pStyle w:val="104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8"/>
        <w:jc w:val="center"/>
        <w:rPr>
          <w:b/>
          <w:color w:val="000000"/>
          <w:sz w:val="32"/>
          <w:szCs w:val="32"/>
          <w:highlight w:val="none"/>
        </w:rPr>
      </w:pPr>
      <w:r>
        <w:rPr>
          <w:b/>
          <w:color w:val="000000"/>
          <w:sz w:val="32"/>
          <w:szCs w:val="32"/>
          <w:highlight w:val="none"/>
        </w:rPr>
      </w:r>
      <w:r/>
    </w:p>
    <w:p>
      <w:pPr>
        <w:pStyle w:val="1048"/>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48"/>
        <w:rPr>
          <w:b/>
          <w:color w:val="000000"/>
          <w:highlight w:val="none"/>
        </w:rPr>
      </w:pPr>
      <w:r>
        <w:rPr>
          <w:b/>
          <w:color w:val="000000"/>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1051"/>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1051"/>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104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60"/>
        <w:ind w:firstLine="480"/>
        <w:spacing w:line="460" w:lineRule="exact"/>
        <w:rPr>
          <w:color w:val="000000"/>
          <w:highlight w:val="none"/>
        </w:rPr>
      </w:pPr>
      <w:r>
        <w:rPr>
          <w:color w:val="000000"/>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1060"/>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60"/>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1048"/>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jc w:val="left"/>
        <w:widowControl/>
        <w:rPr>
          <w:color w:val="000000"/>
          <w:sz w:val="24"/>
          <w:highlight w:val="none"/>
        </w:rPr>
      </w:pPr>
      <w:r>
        <w:rPr>
          <w:color w:val="000000"/>
          <w:sz w:val="24"/>
          <w:highlight w:val="none"/>
        </w:rPr>
        <w:br w:type="page" w:clear="all"/>
      </w:r>
      <w:r>
        <w:rPr>
          <w:color w:val="000000"/>
          <w:sz w:val="24"/>
          <w:highlight w:val="none"/>
        </w:rPr>
      </w:r>
      <w:r/>
    </w:p>
    <w:p>
      <w:pPr>
        <w:pStyle w:val="1309"/>
        <w:ind w:firstLine="480"/>
        <w:jc w:val="center"/>
        <w:spacing w:line="570" w:lineRule="exact"/>
        <w:rPr>
          <w:rFonts w:ascii="方正小标宋简体" w:hAnsi="宋体" w:eastAsia="方正小标宋简体"/>
          <w:color w:val="000000"/>
          <w:sz w:val="44"/>
          <w:szCs w:val="44"/>
          <w:highlight w:val="none"/>
        </w:rPr>
        <w:outlineLvl w:val="3"/>
      </w:pPr>
      <w:r>
        <w:rPr>
          <w:rFonts w:hint="eastAsia" w:ascii="宋体" w:hAnsi="宋体" w:eastAsia="宋体" w:cs="宋体"/>
          <w:b/>
          <w:bCs/>
          <w:color w:val="000000"/>
          <w:sz w:val="32"/>
          <w:szCs w:val="32"/>
          <w:highlight w:val="none"/>
        </w:rPr>
        <w:t xml:space="preserve">中小企业声明函（货物类）</w:t>
      </w:r>
      <w:r>
        <w:rPr>
          <w:rFonts w:ascii="方正小标宋简体" w:hAnsi="宋体" w:eastAsia="方正小标宋简体"/>
          <w:color w:val="000000"/>
          <w:sz w:val="44"/>
          <w:szCs w:val="44"/>
          <w:highlight w:val="none"/>
        </w:rPr>
      </w:r>
      <w:r/>
    </w:p>
    <w:p>
      <w:pPr>
        <w:pStyle w:val="1309"/>
        <w:ind w:firstLine="480"/>
        <w:jc w:val="center"/>
        <w:spacing w:line="570" w:lineRule="exact"/>
        <w:rPr>
          <w:rFonts w:ascii="方正小标宋简体" w:hAnsi="宋体" w:eastAsia="方正小标宋简体"/>
          <w:color w:val="000000"/>
          <w:sz w:val="44"/>
          <w:szCs w:val="44"/>
          <w:highlight w:val="none"/>
        </w:rPr>
        <w:outlineLvl w:val="3"/>
      </w:pPr>
      <w:r>
        <w:rPr>
          <w:rFonts w:ascii="方正小标宋简体" w:hAnsi="宋体" w:eastAsia="方正小标宋简体"/>
          <w:color w:val="000000"/>
          <w:sz w:val="44"/>
          <w:szCs w:val="44"/>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1048"/>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1048"/>
        <w:jc w:val="lef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48"/>
        <w:ind w:right="7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ind w:right="82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1048"/>
        <w:ind w:right="1120"/>
        <w:jc w:val="center"/>
        <w:spacing w:line="570" w:lineRule="exact"/>
        <w:rPr>
          <w:rFonts w:hint="eastAsia" w:ascii="仿宋_GB2312" w:hAnsi="宋体" w:eastAsia="仿宋_GB2312"/>
          <w:color w:val="000000"/>
          <w:sz w:val="32"/>
          <w:szCs w:val="32"/>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仿宋_GB2312" w:hAnsi="宋体" w:eastAsia="仿宋_GB2312"/>
          <w:color w:val="000000"/>
          <w:sz w:val="32"/>
          <w:szCs w:val="32"/>
          <w:highlight w:val="none"/>
        </w:rPr>
      </w:r>
      <w:r/>
    </w:p>
    <w:p>
      <w:pPr>
        <w:pStyle w:val="1048"/>
        <w:spacing w:line="570" w:lineRule="exact"/>
        <w:rPr>
          <w:rFonts w:hint="eastAsia" w:ascii="宋体" w:hAnsi="宋体" w:eastAsia="宋体" w:cs="宋体"/>
          <w:color w:val="000000"/>
          <w:sz w:val="21"/>
          <w:szCs w:val="21"/>
          <w:highlight w:val="none"/>
        </w:rPr>
      </w:pPr>
      <w:r>
        <w:rPr>
          <w:rFonts w:hint="eastAsia"/>
          <w:b/>
          <w:bCs/>
          <w:color w:val="000000"/>
          <w:sz w:val="32"/>
          <w:szCs w:val="32"/>
          <w:highlight w:val="none"/>
        </w:rPr>
        <w:br w:type="page" w:clear="all"/>
      </w: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6.（采购文件中明确的所属行业⑥）：填写本项目采购标的所属行业。须根据采购文件“第四章采购需求”表格中列明的所属行业进行填写。如：工业等。</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货物制造商的名称</w:t>
      </w:r>
      <w:r>
        <w:rPr>
          <w:rFonts w:hint="eastAsia" w:ascii="宋体" w:hAnsi="宋体" w:eastAsia="宋体" w:cs="宋体"/>
          <w:color w:val="000000"/>
          <w:sz w:val="21"/>
          <w:szCs w:val="21"/>
          <w:highlight w:val="none"/>
        </w:rPr>
        <w:t xml:space="preserve">，如XXX企业。</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）：须根据</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是否属于中小微企业，并认真填写声明函，若有虚假将追究其责任。</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的信息。</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309"/>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48"/>
        <w:spacing w:line="570" w:lineRule="exact"/>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1048"/>
        <w:jc w:val="center"/>
        <w:spacing w:before="240" w:after="240" w:line="360" w:lineRule="auto"/>
        <w:rPr>
          <w:b/>
          <w:color w:val="000000"/>
          <w:sz w:val="36"/>
          <w:szCs w:val="36"/>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1048"/>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048"/>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1048"/>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048"/>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048"/>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48"/>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48"/>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1048"/>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1048"/>
        <w:jc w:val="left"/>
        <w:widowControl/>
        <w:rPr>
          <w:color w:val="000000"/>
          <w:sz w:val="24"/>
          <w:highlight w:val="none"/>
        </w:rPr>
      </w:pPr>
      <w:r>
        <w:rPr>
          <w:color w:val="000000"/>
          <w:sz w:val="24"/>
          <w:highlight w:val="none"/>
        </w:rPr>
      </w:r>
      <w:r/>
    </w:p>
    <w:p>
      <w:pPr>
        <w:pStyle w:val="1048"/>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spacing w:line="360" w:lineRule="auto"/>
        <w:rPr>
          <w:rFonts w:hint="eastAsia"/>
          <w:color w:val="000000"/>
          <w:sz w:val="24"/>
          <w:szCs w:val="20"/>
          <w:highlight w:val="none"/>
        </w:rPr>
      </w:pPr>
      <w:r>
        <w:rPr>
          <w:rFonts w:hint="eastAsia"/>
          <w:color w:val="000000"/>
          <w:sz w:val="24"/>
          <w:szCs w:val="20"/>
          <w:highlight w:val="none"/>
        </w:rPr>
      </w:r>
      <w:r/>
    </w:p>
    <w:p>
      <w:pPr>
        <w:pStyle w:val="1113"/>
        <w:jc w:val="center"/>
        <w:spacing w:before="0" w:beforeAutospacing="0" w:after="0" w:afterAutospacing="0"/>
        <w:shd w:val="clear" w:color="auto" w:fill="ffffff"/>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113"/>
        <w:ind w:left="0" w:right="0"/>
        <w:jc w:val="center"/>
        <w:keepLines w:val="0"/>
        <w:keepNext w:val="0"/>
        <w:spacing w:before="15" w:beforeAutospacing="0" w:after="15" w:afterAutospacing="0"/>
        <w:shd w:val="clear" w:color="auto" w:fill="ffffff"/>
        <w:widowControl/>
        <w:rPr>
          <w:rFonts w:hint="eastAsia" w:ascii="Times New Roman" w:hAnsi="Times New Roman" w:eastAsia="宋体" w:cs="Times New Roman"/>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highlight w:val="none"/>
          <w:lang w:val="en-US" w:eastAsia="zh-CN" w:bidi="ar-SA"/>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bidi="ar-SA"/>
        </w:rPr>
      </w:r>
      <w:r/>
    </w:p>
    <w:p>
      <w:pPr>
        <w:pStyle w:val="1113"/>
        <w:ind w:left="0" w:firstLine="420"/>
        <w:keepLines w:val="0"/>
        <w:keepNext w:val="0"/>
        <w:spacing w:before="15" w:beforeAutospacing="0" w:after="15"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3"/>
        <w:ind w:left="0" w:firstLine="420"/>
        <w:keepLines w:val="0"/>
        <w:keepNext w:val="0"/>
        <w:spacing w:before="0" w:beforeAutospacing="0" w:after="0" w:afterAutospacing="0" w:line="480" w:lineRule="auto"/>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716"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shd w:val="clear" w:color="auto" w:fill="ffffff"/>
        </w:rPr>
        <w:t xml:space="preserve"> </w:t>
      </w:r>
      <w:r>
        <w:rPr>
          <w:color w:val="000000"/>
          <w:sz w:val="21"/>
          <w:szCs w:val="21"/>
        </w:rPr>
      </w:r>
      <w:r/>
    </w:p>
    <w:p>
      <w:pPr>
        <w:pStyle w:val="1113"/>
        <w:jc w:val="right"/>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color w:val="000000"/>
          <w:sz w:val="21"/>
          <w:szCs w:val="21"/>
        </w:rPr>
      </w:r>
      <w:r/>
    </w:p>
    <w:p>
      <w:pPr>
        <w:pStyle w:val="1113"/>
        <w:jc w:val="center"/>
        <w:keepLines w:val="0"/>
        <w:keepNext w:val="0"/>
        <w:spacing w:before="30" w:beforeAutospacing="0" w:after="30" w:afterAutospacing="0" w:line="48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rPr>
          <w:color w:val="000000"/>
        </w:rPr>
      </w:r>
      <w:r/>
    </w:p>
    <w:p>
      <w:pPr>
        <w:pStyle w:val="1113"/>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color w:val="000000"/>
          <w:sz w:val="21"/>
          <w:szCs w:val="21"/>
        </w:rPr>
      </w:r>
      <w:r/>
    </w:p>
    <w:p>
      <w:pPr>
        <w:pStyle w:val="1113"/>
        <w:ind w:firstLine="480"/>
        <w:spacing w:before="30" w:beforeAutospacing="0" w:after="30" w:afterAutospacing="0"/>
        <w:shd w:val="clear" w:color="auto" w:fill="ffffff"/>
        <w:rPr>
          <w:rFonts w:hint="eastAsia"/>
          <w:color w:val="000000"/>
          <w:highlight w:val="none"/>
        </w:rPr>
      </w:pPr>
      <w:r/>
      <w:bookmarkEnd w:id="716"/>
      <w:r>
        <w:rPr>
          <w:rFonts w:hint="eastAsia"/>
          <w:color w:val="000000"/>
          <w:highlight w:val="none"/>
        </w:rPr>
      </w:r>
      <w:r/>
    </w:p>
    <w:p>
      <w:pPr>
        <w:pStyle w:val="111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48"/>
        <w:rPr>
          <w:color w:val="000000"/>
          <w:highlight w:val="none"/>
        </w:rPr>
      </w:pPr>
      <w:r>
        <w:rPr>
          <w:color w:val="000000"/>
          <w:highlight w:val="none"/>
        </w:rPr>
      </w:r>
      <w:r/>
    </w:p>
    <w:p>
      <w:pPr>
        <w:pStyle w:val="1048"/>
        <w:ind w:firstLine="482"/>
        <w:keepLines w:val="0"/>
        <w:keepNext w:val="0"/>
        <w:pageBreakBefore w:val="0"/>
        <w:spacing w:line="400" w:lineRule="exact"/>
        <w:widowControl w:val="off"/>
        <w:rPr>
          <w:rFonts w:hint="eastAsia" w:ascii="宋体" w:hAnsi="宋体" w:eastAsia="宋体" w:cs="宋体"/>
          <w:b/>
          <w:bCs/>
          <w:color w:val="000000"/>
          <w:spacing w:val="6"/>
          <w:szCs w:val="21"/>
          <w:highlight w:val="none"/>
        </w:rPr>
      </w:pPr>
      <w:r>
        <w:rPr>
          <w:rFonts w:hint="eastAsia" w:ascii="宋体" w:hAnsi="宋体" w:eastAsia="宋体" w:cs="宋体"/>
          <w:b/>
          <w:bCs/>
          <w:color w:val="000000"/>
          <w:spacing w:val="6"/>
          <w:szCs w:val="21"/>
          <w:highlight w:val="none"/>
        </w:rPr>
      </w:r>
      <w:r/>
    </w:p>
    <w:p>
      <w:pPr>
        <w:pStyle w:val="1048"/>
        <w:jc w:val="center"/>
        <w:spacing w:line="588"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717" w:name="_Toc127151556"/>
      <w:r/>
      <w:bookmarkStart w:id="718" w:name="_Toc520356217"/>
      <w:r/>
      <w:bookmarkStart w:id="719" w:name="_Toc480942349"/>
      <w:r/>
      <w:bookmarkStart w:id="720" w:name="_Toc226965829"/>
      <w:r/>
      <w:bookmarkStart w:id="721" w:name="_Ref467988698"/>
      <w:r/>
      <w:bookmarkStart w:id="722" w:name="_Toc150480794"/>
      <w:r/>
      <w:bookmarkStart w:id="723" w:name="_Toc226965746"/>
      <w:r/>
      <w:bookmarkStart w:id="724" w:name="_Toc142311058"/>
      <w:r/>
      <w:bookmarkStart w:id="725" w:name="_Toc226337252"/>
      <w:r/>
      <w:bookmarkStart w:id="726" w:name="_Toc195842921"/>
      <w:r/>
      <w:bookmarkStart w:id="727" w:name="_Toc150774761"/>
      <w:r/>
      <w:bookmarkStart w:id="728" w:name="_Toc226309800"/>
      <w:r>
        <w:rPr>
          <w:rFonts w:hint="eastAsia" w:ascii="宋体" w:hAnsi="宋体"/>
          <w:b/>
          <w:color w:val="000000"/>
          <w:sz w:val="32"/>
          <w:szCs w:val="32"/>
          <w:highlight w:val="none"/>
        </w:rPr>
      </w:r>
      <w:r/>
    </w:p>
    <w:p>
      <w:pPr>
        <w:pStyle w:val="104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48"/>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48"/>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1048"/>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48"/>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48"/>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48"/>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48"/>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4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48"/>
        <w:jc w:val="left"/>
        <w:widowControl/>
        <w:rPr>
          <w:rFonts w:hint="eastAsia"/>
          <w:color w:val="000000"/>
          <w:sz w:val="24"/>
          <w:highlight w:val="none"/>
        </w:rPr>
      </w:pPr>
      <w:r/>
      <w:bookmarkStart w:id="729" w:name="_Hlt520356243"/>
      <w:r/>
      <w:bookmarkEnd w:id="729"/>
      <w:r/>
      <w:bookmarkStart w:id="730" w:name="_Hlt520355938"/>
      <w:r/>
      <w:bookmarkEnd w:id="730"/>
      <w:r>
        <w:rPr>
          <w:color w:val="000000"/>
          <w:sz w:val="24"/>
          <w:highlight w:val="none"/>
        </w:rPr>
        <w:br w:type="page" w:clear="all"/>
      </w:r>
      <w:r>
        <w:rPr>
          <w:rFonts w:hint="eastAsia"/>
          <w:color w:val="000000"/>
          <w:sz w:val="24"/>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ascii="宋体" w:hAnsi="宋体"/>
          <w:color w:val="000000"/>
          <w:szCs w:val="21"/>
          <w:highlight w:val="none"/>
        </w:rPr>
      </w:r>
      <w:r/>
    </w:p>
    <w:p>
      <w:pPr>
        <w:pStyle w:val="1080"/>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1048"/>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87"/>
        <w:ind w:left="1260"/>
        <w:rPr>
          <w:rFonts w:hint="eastAsia"/>
          <w:color w:val="000000"/>
          <w:szCs w:val="21"/>
          <w:highlight w:val="none"/>
        </w:rPr>
      </w:pPr>
      <w:r>
        <w:rPr>
          <w:rFonts w:hint="eastAsia"/>
          <w:color w:val="000000"/>
          <w:szCs w:val="21"/>
          <w:highlight w:val="none"/>
        </w:rPr>
      </w:r>
      <w:r/>
    </w:p>
    <w:p>
      <w:pPr>
        <w:pStyle w:val="1048"/>
        <w:rPr>
          <w:rFonts w:hint="eastAsia"/>
          <w:color w:val="000000"/>
          <w:szCs w:val="21"/>
          <w:highlight w:val="none"/>
        </w:rPr>
      </w:pPr>
      <w:r>
        <w:rPr>
          <w:rFonts w:hint="eastAsia"/>
          <w:color w:val="000000"/>
          <w:szCs w:val="21"/>
          <w:highlight w:val="none"/>
        </w:rPr>
      </w:r>
      <w:r/>
    </w:p>
    <w:p>
      <w:pPr>
        <w:pStyle w:val="1087"/>
        <w:ind w:left="1260"/>
        <w:rPr>
          <w:rFonts w:hint="eastAsia"/>
          <w:color w:val="000000"/>
          <w:szCs w:val="21"/>
          <w:highlight w:val="none"/>
        </w:rPr>
      </w:pPr>
      <w:r>
        <w:rPr>
          <w:rFonts w:hint="eastAsia"/>
          <w:color w:val="000000"/>
          <w:szCs w:val="21"/>
          <w:highlight w:val="none"/>
        </w:rPr>
      </w:r>
      <w:r/>
    </w:p>
    <w:p>
      <w:pPr>
        <w:pStyle w:val="1048"/>
        <w:rPr>
          <w:rFonts w:hint="eastAsia"/>
          <w:color w:val="000000"/>
          <w:highlight w:val="none"/>
        </w:rPr>
      </w:pPr>
      <w:r>
        <w:rPr>
          <w:rFonts w:hint="eastAsia"/>
          <w:color w:val="000000"/>
          <w:highlight w:val="none"/>
        </w:rPr>
      </w:r>
      <w:r/>
    </w:p>
    <w:p>
      <w:pPr>
        <w:pStyle w:val="1048"/>
        <w:jc w:val="left"/>
        <w:widowControl/>
        <w:rPr>
          <w:rFonts w:hint="eastAsia"/>
          <w:color w:val="000000"/>
          <w:sz w:val="24"/>
          <w:highlight w:val="none"/>
        </w:rPr>
      </w:pPr>
      <w:r>
        <w:rPr>
          <w:rFonts w:hint="eastAsia"/>
          <w:color w:val="000000"/>
          <w:sz w:val="24"/>
          <w:highlight w:val="none"/>
        </w:rPr>
      </w:r>
      <w:r/>
    </w:p>
    <w:p>
      <w:pPr>
        <w:pStyle w:val="1048"/>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val="en-US"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302"/>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jc w:val="left"/>
        <w:widowControl/>
        <w:rPr>
          <w:color w:val="000000"/>
          <w:sz w:val="24"/>
          <w:szCs w:val="20"/>
          <w:highlight w:val="none"/>
        </w:rPr>
      </w:pPr>
      <w:r/>
      <w:bookmarkStart w:id="731" w:name="_Hlt520271212"/>
      <w:r/>
      <w:bookmarkEnd w:id="731"/>
      <w:r/>
      <w:bookmarkStart w:id="732" w:name="_Hlt520274065"/>
      <w:r/>
      <w:bookmarkEnd w:id="732"/>
      <w:r/>
      <w:bookmarkStart w:id="733" w:name="_Hlt520274393"/>
      <w:r/>
      <w:bookmarkEnd w:id="733"/>
      <w:r/>
      <w:bookmarkStart w:id="734" w:name="_Hlt520355504"/>
      <w:r/>
      <w:bookmarkEnd w:id="734"/>
      <w:r/>
      <w:bookmarkStart w:id="735" w:name="_Hlt520274407"/>
      <w:r/>
      <w:bookmarkEnd w:id="735"/>
      <w:r/>
      <w:bookmarkStart w:id="736" w:name="_Hlt520343392"/>
      <w:r/>
      <w:bookmarkEnd w:id="736"/>
      <w:r/>
      <w:bookmarkStart w:id="737" w:name="_Hlt520273711"/>
      <w:r/>
      <w:bookmarkEnd w:id="737"/>
      <w:r/>
      <w:bookmarkStart w:id="738" w:name="_Hlt520274121"/>
      <w:r/>
      <w:bookmarkEnd w:id="738"/>
      <w:r/>
      <w:bookmarkStart w:id="739" w:name="_Hlt520343000"/>
      <w:r/>
      <w:bookmarkEnd w:id="739"/>
      <w:r/>
      <w:bookmarkStart w:id="740" w:name="_Hlt520350918"/>
      <w:r/>
      <w:bookmarkEnd w:id="740"/>
      <w:r/>
      <w:bookmarkStart w:id="741" w:name="_Toc195842922"/>
      <w:r/>
      <w:bookmarkStart w:id="742" w:name="_Toc520356218"/>
      <w:r/>
      <w:bookmarkStart w:id="743" w:name="_Toc305158825"/>
      <w:r/>
      <w:bookmarkStart w:id="744" w:name="_Toc265228395"/>
      <w:r/>
      <w:bookmarkStart w:id="745" w:name="_Toc150774762"/>
      <w:r/>
      <w:bookmarkStart w:id="746" w:name="_Toc226337253"/>
      <w:r/>
      <w:bookmarkStart w:id="747" w:name="_Toc226965830"/>
      <w:r/>
      <w:bookmarkStart w:id="748" w:name="_Toc264969247"/>
      <w:r/>
      <w:bookmarkStart w:id="749" w:name="_Ref467988705"/>
      <w:r/>
      <w:bookmarkStart w:id="750" w:name="_Toc226309801"/>
      <w:r/>
      <w:bookmarkStart w:id="751" w:name="_Toc305158899"/>
      <w:r/>
      <w:bookmarkStart w:id="752" w:name="_Toc480942350"/>
      <w:r/>
      <w:bookmarkStart w:id="753" w:name="_Toc127151557"/>
      <w:r/>
      <w:bookmarkStart w:id="754" w:name="_Toc150480795"/>
      <w:r/>
      <w:bookmarkStart w:id="755" w:name="_Toc226965747"/>
      <w:r/>
      <w:bookmarkStart w:id="756" w:name="_Toc142311059"/>
      <w:r>
        <w:rPr>
          <w:color w:val="000000"/>
          <w:sz w:val="24"/>
          <w:szCs w:val="20"/>
          <w:highlight w:val="none"/>
        </w:rPr>
        <w:br w:type="page" w:clear="all"/>
      </w:r>
      <w:r>
        <w:rPr>
          <w:color w:val="000000"/>
          <w:sz w:val="24"/>
          <w:szCs w:val="20"/>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1048"/>
        <w:jc w:val="center"/>
        <w:spacing w:line="360" w:lineRule="exact"/>
        <w:rPr>
          <w:b/>
          <w:color w:val="000000"/>
          <w:sz w:val="32"/>
          <w:szCs w:val="32"/>
          <w:highlight w:val="none"/>
        </w:rPr>
      </w:pPr>
      <w:r/>
      <w:bookmarkStart w:id="757" w:name="_Toc226965748"/>
      <w:r/>
      <w:bookmarkStart w:id="758" w:name="_Toc226965831"/>
      <w:r/>
      <w:bookmarkStart w:id="759" w:name="_Toc195842923"/>
      <w:r/>
      <w:bookmarkStart w:id="760" w:name="_Toc305158826"/>
      <w:r/>
      <w:bookmarkStart w:id="761" w:name="_Toc305158900"/>
      <w:r/>
      <w:bookmarkStart w:id="762" w:name="_Toc226337254"/>
      <w:r/>
      <w:bookmarkStart w:id="763" w:name="_Toc264969248"/>
      <w:r/>
      <w:bookmarkStart w:id="764" w:name="_Toc164608672"/>
      <w:r/>
      <w:bookmarkStart w:id="765" w:name="_Toc226309802"/>
      <w:r/>
      <w:bookmarkStart w:id="766" w:name="_Toc164608827"/>
      <w:r/>
      <w:bookmarkStart w:id="767" w:name="_Toc265228396"/>
      <w:r>
        <w:rPr>
          <w:rFonts w:hint="eastAsia"/>
          <w:b/>
          <w:color w:val="000000"/>
          <w:sz w:val="32"/>
          <w:szCs w:val="32"/>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b/>
          <w:color w:val="000000"/>
          <w:sz w:val="32"/>
          <w:szCs w:val="32"/>
          <w:highlight w:val="none"/>
        </w:rPr>
      </w:r>
      <w:r/>
    </w:p>
    <w:tbl>
      <w:tblPr>
        <w:tblpPr w:horzAnchor="page" w:tblpX="1814" w:vertAnchor="text" w:tblpY="76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021"/>
        </w:trPr>
        <w:tc>
          <w:tcPr>
            <w:tcW w:w="2679" w:type="dxa"/>
            <w:vAlign w:val="center"/>
            <w:textDirection w:val="lrTb"/>
            <w:noWrap w:val="false"/>
          </w:tcPr>
          <w:p>
            <w:pPr>
              <w:pStyle w:val="1048"/>
              <w:jc w:val="center"/>
              <w:rPr>
                <w:rFonts w:hint="eastAsia" w:ascii="宋体" w:hAnsi="宋体" w:cs="宋体"/>
                <w:bCs/>
                <w:color w:val="000000"/>
                <w:sz w:val="24"/>
              </w:rPr>
              <w:framePr w:vAnchor="text" w:hAnchor="page" w:x="1814" w:y="767"/>
            </w:pPr>
            <w:r>
              <w:rPr>
                <w:rFonts w:hint="eastAsia" w:ascii="宋体" w:hAnsi="宋体" w:cs="宋体"/>
                <w:bCs/>
                <w:color w:val="000000"/>
                <w:sz w:val="24"/>
              </w:rPr>
              <w:t xml:space="preserve">投标人名称</w:t>
            </w:r>
            <w:r>
              <w:rPr>
                <w:rFonts w:hint="eastAsia" w:ascii="宋体" w:hAnsi="宋体" w:cs="宋体"/>
                <w:bCs/>
                <w:color w:val="000000"/>
                <w:sz w:val="24"/>
              </w:rPr>
            </w:r>
            <w:r/>
          </w:p>
        </w:tc>
        <w:tc>
          <w:tcPr>
            <w:tcW w:w="6362" w:type="dxa"/>
            <w:vAlign w:val="center"/>
            <w:textDirection w:val="lrTb"/>
            <w:noWrap w:val="false"/>
          </w:tcPr>
          <w:p>
            <w:pPr>
              <w:pStyle w:val="1048"/>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tc>
      </w:tr>
      <w:tr>
        <w:trPr>
          <w:cantSplit/>
          <w:trHeight w:val="1565"/>
        </w:trPr>
        <w:tc>
          <w:tcPr>
            <w:tcW w:w="2679" w:type="dxa"/>
            <w:vAlign w:val="center"/>
            <w:textDirection w:val="lrTb"/>
            <w:noWrap w:val="false"/>
          </w:tcPr>
          <w:p>
            <w:pPr>
              <w:pStyle w:val="1048"/>
              <w:jc w:val="center"/>
              <w:rPr>
                <w:rFonts w:hint="eastAsia" w:ascii="宋体" w:hAnsi="宋体" w:cs="宋体"/>
                <w:color w:val="000000"/>
                <w:sz w:val="24"/>
              </w:rPr>
              <w:framePr w:vAnchor="text" w:hAnchor="page" w:x="1814" w:y="767"/>
            </w:pPr>
            <w:r>
              <w:rPr>
                <w:rFonts w:hint="eastAsia" w:ascii="宋体" w:hAnsi="宋体" w:cs="宋体"/>
                <w:color w:val="000000"/>
                <w:sz w:val="24"/>
              </w:rPr>
              <w:t xml:space="preserve">投标总价</w:t>
            </w:r>
            <w:r>
              <w:rPr>
                <w:rFonts w:hint="eastAsia" w:ascii="宋体" w:hAnsi="宋体" w:cs="宋体"/>
                <w:color w:val="000000"/>
                <w:sz w:val="24"/>
              </w:rPr>
            </w:r>
            <w:r/>
          </w:p>
        </w:tc>
        <w:tc>
          <w:tcPr>
            <w:tcW w:w="6362" w:type="dxa"/>
            <w:vAlign w:val="center"/>
            <w:textDirection w:val="lrTb"/>
            <w:noWrap w:val="false"/>
          </w:tcPr>
          <w:p>
            <w:pPr>
              <w:pStyle w:val="1048"/>
              <w:ind w:firstLine="420"/>
              <w:jc w:val="left"/>
              <w:rPr>
                <w:rFonts w:hint="eastAsia" w:ascii="宋体" w:hAnsi="宋体" w:cs="宋体"/>
                <w:color w:val="000000"/>
                <w:sz w:val="24"/>
                <w:u w:val="single"/>
              </w:rPr>
              <w:framePr w:vAnchor="text" w:hAnchor="page" w:x="1814" w:y="767"/>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none"/>
              </w:rPr>
              <w:t xml:space="preserve">元 </w:t>
            </w:r>
            <w:r>
              <w:rPr>
                <w:rFonts w:hint="eastAsia" w:ascii="宋体" w:hAnsi="宋体" w:cs="宋体"/>
                <w:color w:val="000000"/>
                <w:sz w:val="24"/>
                <w:u w:val="single"/>
              </w:rPr>
            </w:r>
            <w:r/>
          </w:p>
          <w:p>
            <w:pPr>
              <w:pStyle w:val="1048"/>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p>
            <w:pPr>
              <w:pStyle w:val="1048"/>
              <w:ind w:firstLine="420"/>
              <w:jc w:val="left"/>
              <w:rPr>
                <w:rFonts w:hint="eastAsia" w:ascii="宋体" w:hAnsi="宋体" w:eastAsia="宋体" w:cs="宋体"/>
                <w:color w:val="000000"/>
                <w:sz w:val="24"/>
                <w:u w:val="single"/>
                <w:lang w:eastAsia="zh-CN"/>
              </w:rPr>
              <w:framePr w:vAnchor="text" w:hAnchor="page" w:x="1814" w:y="767"/>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u w:val="none"/>
                <w:lang w:val="en-US" w:eastAsia="zh-CN"/>
              </w:rPr>
              <w:t xml:space="preserve">圆</w:t>
            </w:r>
            <w:r>
              <w:rPr>
                <w:rFonts w:hint="eastAsia" w:ascii="宋体" w:hAnsi="宋体" w:eastAsia="宋体" w:cs="宋体"/>
                <w:color w:val="000000"/>
                <w:sz w:val="24"/>
                <w:u w:val="single"/>
                <w:lang w:eastAsia="zh-CN"/>
              </w:rPr>
            </w:r>
            <w:r/>
          </w:p>
        </w:tc>
      </w:tr>
      <w:tr>
        <w:trPr>
          <w:cantSplit/>
          <w:trHeight w:val="2015"/>
        </w:trPr>
        <w:tc>
          <w:tcPr>
            <w:tcW w:w="2679" w:type="dxa"/>
            <w:vAlign w:val="center"/>
            <w:textDirection w:val="lrTb"/>
            <w:noWrap w:val="false"/>
          </w:tcPr>
          <w:p>
            <w:pPr>
              <w:pStyle w:val="1048"/>
              <w:jc w:val="center"/>
              <w:rPr>
                <w:rFonts w:hint="eastAsia" w:ascii="宋体" w:hAnsi="宋体" w:cs="宋体"/>
                <w:color w:val="000000"/>
                <w:sz w:val="24"/>
                <w:highlight w:val="none"/>
              </w:rPr>
              <w:framePr w:vAnchor="text" w:hAnchor="page" w:x="1814" w:y="767"/>
            </w:pPr>
            <w:r>
              <w:rPr>
                <w:rFonts w:hint="eastAsia" w:ascii="宋体" w:hAnsi="宋体" w:cs="宋体"/>
                <w:color w:val="000000"/>
                <w:sz w:val="24"/>
                <w:highlight w:val="none"/>
              </w:rPr>
              <w:t xml:space="preserve">其他需要说明的事项</w:t>
            </w:r>
            <w:r>
              <w:rPr>
                <w:rFonts w:hint="eastAsia" w:ascii="宋体" w:hAnsi="宋体" w:cs="宋体"/>
                <w:color w:val="000000"/>
                <w:sz w:val="24"/>
                <w:highlight w:val="none"/>
              </w:rPr>
            </w:r>
            <w:r/>
          </w:p>
        </w:tc>
        <w:tc>
          <w:tcPr>
            <w:tcW w:w="6362" w:type="dxa"/>
            <w:vAlign w:val="center"/>
            <w:textDirection w:val="lrTb"/>
            <w:noWrap w:val="false"/>
          </w:tcPr>
          <w:p>
            <w:pPr>
              <w:pStyle w:val="1048"/>
              <w:jc w:val="left"/>
              <w:rPr>
                <w:rFonts w:ascii="宋体" w:hAnsi="宋体" w:eastAsia="宋体" w:cs="宋体"/>
                <w:color w:val="000000"/>
                <w:sz w:val="24"/>
                <w:highlight w:val="none"/>
                <w:u w:val="single"/>
                <w:lang w:val="en-US" w:eastAsia="zh-CN"/>
              </w:rPr>
              <w:framePr w:vAnchor="text" w:hAnchor="page" w:x="1814" w:y="767"/>
            </w:pP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经理</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联系电话：</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highlight w:val="none"/>
                <w:u w:val="single"/>
                <w:lang w:val="en-US" w:eastAsia="zh-CN"/>
              </w:rPr>
            </w:r>
            <w:r/>
          </w:p>
          <w:p>
            <w:pPr>
              <w:pStyle w:val="1048"/>
              <w:ind w:firstLine="420"/>
              <w:jc w:val="left"/>
              <w:rPr>
                <w:rFonts w:hint="eastAsia" w:ascii="宋体" w:hAnsi="宋体" w:cs="宋体"/>
                <w:color w:val="000000"/>
                <w:sz w:val="24"/>
                <w:highlight w:val="none"/>
              </w:rPr>
              <w:framePr w:vAnchor="text" w:hAnchor="page" w:x="1814" w:y="767"/>
            </w:pPr>
            <w:r>
              <w:rPr>
                <w:rFonts w:hint="eastAsia" w:ascii="宋体" w:hAnsi="宋体" w:cs="宋体"/>
                <w:color w:val="000000"/>
                <w:sz w:val="24"/>
                <w:highlight w:val="none"/>
              </w:rPr>
            </w:r>
            <w:r/>
          </w:p>
          <w:p>
            <w:pPr>
              <w:pStyle w:val="1048"/>
              <w:jc w:val="left"/>
              <w:rPr>
                <w:rFonts w:hint="eastAsia" w:ascii="宋体" w:hAnsi="宋体" w:cs="宋体"/>
                <w:color w:val="000000"/>
                <w:sz w:val="24"/>
                <w:highlight w:val="none"/>
                <w:u w:val="single"/>
              </w:rPr>
              <w:framePr w:vAnchor="text" w:hAnchor="page" w:x="1814" w:y="767"/>
            </w:pPr>
            <w:r>
              <w:rPr>
                <w:rFonts w:hint="eastAsia" w:ascii="宋体" w:hAnsi="宋体" w:cs="宋体"/>
                <w:color w:val="000000"/>
                <w:sz w:val="24"/>
                <w:highlight w:val="none"/>
              </w:rPr>
              <w:t xml:space="preserve">合同履约期限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8"/>
              <w:ind w:firstLine="420"/>
              <w:jc w:val="left"/>
              <w:rPr>
                <w:rFonts w:hint="eastAsia" w:ascii="宋体" w:hAnsi="宋体" w:eastAsia="宋体" w:cs="宋体"/>
                <w:color w:val="000000"/>
                <w:sz w:val="24"/>
                <w:highlight w:val="none"/>
                <w:lang w:val="en-US" w:eastAsia="zh-CN"/>
              </w:rPr>
              <w:framePr w:vAnchor="text" w:hAnchor="page" w:x="1814" w:y="767"/>
            </w:pPr>
            <w:r>
              <w:rPr>
                <w:rFonts w:hint="eastAsia" w:ascii="宋体" w:hAnsi="宋体" w:eastAsia="宋体" w:cs="宋体"/>
                <w:color w:val="000000"/>
                <w:sz w:val="24"/>
                <w:highlight w:val="none"/>
                <w:lang w:val="en-US" w:eastAsia="zh-CN"/>
              </w:rPr>
            </w:r>
            <w:r/>
          </w:p>
          <w:p>
            <w:pPr>
              <w:pStyle w:val="1048"/>
              <w:jc w:val="left"/>
              <w:rPr>
                <w:rFonts w:hint="eastAsia" w:ascii="宋体" w:hAnsi="宋体" w:eastAsia="宋体" w:cs="宋体"/>
                <w:color w:val="000000"/>
                <w:sz w:val="24"/>
                <w:highlight w:val="none"/>
                <w:lang w:val="en-US" w:eastAsia="zh-CN"/>
              </w:rPr>
              <w:framePr w:vAnchor="text" w:hAnchor="page" w:x="1814" w:y="767"/>
            </w:pPr>
            <w:r>
              <w:rPr>
                <w:rFonts w:hint="eastAsia" w:ascii="宋体" w:hAnsi="宋体" w:eastAsia="宋体" w:cs="宋体"/>
                <w:color w:val="000000"/>
                <w:sz w:val="24"/>
                <w:highlight w:val="none"/>
                <w:lang w:val="en-US" w:eastAsia="zh-CN"/>
              </w:rPr>
              <w:t xml:space="preserve">核心产品：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lang w:val="en-US" w:eastAsia="zh-CN"/>
              </w:rPr>
              <w:t xml:space="preserve">品牌：</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tc>
      </w:tr>
    </w:tbl>
    <w:p>
      <w:pPr>
        <w:pStyle w:val="1048"/>
        <w:jc w:val="both"/>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p>
      <w:pPr>
        <w:pStyle w:val="1048"/>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firstLine="420"/>
        <w:jc w:val="left"/>
        <w:rPr>
          <w:rFonts w:ascii="宋体" w:hAnsi="宋体"/>
          <w:color w:val="000000"/>
          <w:sz w:val="21"/>
          <w:szCs w:val="21"/>
          <w:highlight w:val="none"/>
        </w:rPr>
      </w:pPr>
      <w:r>
        <w:rPr>
          <w:rFonts w:ascii="宋体" w:hAnsi="宋体"/>
          <w:color w:val="000000"/>
          <w:sz w:val="21"/>
          <w:szCs w:val="21"/>
          <w:highlight w:val="none"/>
        </w:rPr>
        <w:t xml:space="preserve">注：1</w:t>
      </w:r>
      <w:r>
        <w:rPr>
          <w:rFonts w:ascii="宋体" w:hAnsi="宋体"/>
          <w:color w:val="000000"/>
          <w:sz w:val="21"/>
          <w:szCs w:val="21"/>
          <w:highlight w:val="none"/>
        </w:rPr>
        <w:t xml:space="preserve">.此表中，每包的投标报价应和《投标分项报价表》中的总价相一致。</w:t>
      </w:r>
      <w:r>
        <w:rPr>
          <w:rFonts w:ascii="宋体" w:hAnsi="宋体"/>
          <w:color w:val="000000"/>
          <w:sz w:val="21"/>
          <w:szCs w:val="21"/>
          <w:highlight w:val="none"/>
        </w:rPr>
      </w:r>
      <w:r/>
    </w:p>
    <w:p>
      <w:pPr>
        <w:pStyle w:val="1048"/>
        <w:ind w:firstLine="840"/>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2.本表必须按包分别填写。</w:t>
      </w:r>
      <w:r>
        <w:rPr>
          <w:rFonts w:ascii="宋体" w:hAnsi="宋体"/>
          <w:color w:val="000000"/>
          <w:sz w:val="21"/>
          <w:szCs w:val="21"/>
          <w:highlight w:val="none"/>
        </w:rPr>
      </w:r>
      <w:r/>
    </w:p>
    <w:p>
      <w:pPr>
        <w:pStyle w:val="1048"/>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1048"/>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1048"/>
        <w:ind w:firstLine="630"/>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投标人名称（加盖公章）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w:t>
      </w:r>
      <w:r>
        <w:rPr>
          <w:rFonts w:ascii="宋体" w:hAnsi="宋体"/>
          <w:color w:val="000000"/>
          <w:sz w:val="21"/>
          <w:szCs w:val="21"/>
          <w:highlight w:val="none"/>
        </w:rPr>
      </w:r>
      <w:r/>
    </w:p>
    <w:p>
      <w:pPr>
        <w:pStyle w:val="1048"/>
        <w:ind w:firstLine="630"/>
        <w:tabs>
          <w:tab w:val="left" w:pos="1800" w:leader="none"/>
          <w:tab w:val="left" w:pos="5580" w:leader="none"/>
        </w:tabs>
        <w:rPr>
          <w:color w:val="000000"/>
          <w:sz w:val="24"/>
          <w:szCs w:val="20"/>
          <w:highlight w:val="none"/>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1"/>
          <w:szCs w:val="21"/>
          <w:highlight w:val="none"/>
        </w:rPr>
        <w:t xml:space="preserve">日期：___________年______月______日 </w:t>
      </w:r>
      <w:bookmarkStart w:id="768" w:name="_Toc127151562"/>
      <w:r/>
      <w:bookmarkStart w:id="769" w:name="_Toc265228400"/>
      <w:r/>
      <w:bookmarkStart w:id="770" w:name="_Toc150774765"/>
      <w:r/>
      <w:bookmarkStart w:id="771" w:name="_Toc305158904"/>
      <w:r/>
      <w:bookmarkStart w:id="772" w:name="_Toc150480798"/>
      <w:r/>
      <w:bookmarkStart w:id="773" w:name="_Toc264969252"/>
      <w:r/>
      <w:bookmarkStart w:id="774" w:name="_Toc226965752"/>
      <w:r/>
      <w:bookmarkStart w:id="775" w:name="_Toc305158830"/>
      <w:r/>
      <w:bookmarkStart w:id="776" w:name="_Toc195842927"/>
      <w:r/>
      <w:bookmarkStart w:id="777" w:name="_Toc226965835"/>
      <w:r/>
      <w:bookmarkStart w:id="778" w:name="_Toc226309806"/>
      <w:r/>
      <w:bookmarkStart w:id="779" w:name="_Toc142311062"/>
      <w:r/>
      <w:bookmarkStart w:id="780" w:name="_Toc226337258"/>
      <w:r/>
      <w:bookmarkStart w:id="781" w:name="_Toc226337257"/>
      <w:r/>
      <w:bookmarkStart w:id="782" w:name="_Toc305158829"/>
      <w:r/>
      <w:bookmarkStart w:id="783" w:name="_Toc226965834"/>
      <w:r/>
      <w:bookmarkStart w:id="784" w:name="_Toc150480797"/>
      <w:r/>
      <w:bookmarkStart w:id="785" w:name="_Toc265228399"/>
      <w:r/>
      <w:bookmarkStart w:id="786" w:name="_Toc142311061"/>
      <w:r/>
      <w:bookmarkStart w:id="787" w:name="_Toc195842926"/>
      <w:r/>
      <w:bookmarkStart w:id="788" w:name="_Toc150774764"/>
      <w:r/>
      <w:bookmarkStart w:id="789" w:name="_Toc226309805"/>
      <w:r/>
      <w:bookmarkStart w:id="790" w:name="_Toc226965751"/>
      <w:r/>
      <w:bookmarkStart w:id="791" w:name="_Toc264969251"/>
      <w:r/>
      <w:bookmarkStart w:id="792" w:name="_Toc127151561"/>
      <w:r/>
      <w:bookmarkStart w:id="793" w:name="_Toc305158903"/>
      <w:r>
        <w:rPr>
          <w:color w:val="000000"/>
          <w:sz w:val="24"/>
          <w:szCs w:val="20"/>
          <w:highlight w:val="none"/>
        </w:rPr>
      </w:r>
      <w:r/>
    </w:p>
    <w:p>
      <w:pPr>
        <w:pStyle w:val="1048"/>
        <w:tabs>
          <w:tab w:val="left" w:pos="1800" w:leader="none"/>
          <w:tab w:val="left" w:pos="5580" w:leader="none"/>
        </w:tabs>
        <w:rPr>
          <w:rFonts w:hint="eastAsia"/>
          <w:color w:val="000000"/>
          <w:highlight w:val="none"/>
        </w:rPr>
      </w:pP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投标分项报价表</w:t>
      </w:r>
      <w:r>
        <w:rPr>
          <w:rFonts w:hint="eastAsia"/>
          <w:b/>
          <w:color w:val="000000"/>
          <w:sz w:val="32"/>
          <w:szCs w:val="32"/>
          <w:highlight w:val="none"/>
        </w:rPr>
      </w:r>
      <w:r/>
    </w:p>
    <w:p>
      <w:pPr>
        <w:pStyle w:val="1048"/>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ind w:firstLine="42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项目编号/包号：___________   项目名称：__________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1509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219"/>
        <w:gridCol w:w="8484"/>
        <w:gridCol w:w="696"/>
        <w:gridCol w:w="732"/>
        <w:gridCol w:w="1003"/>
        <w:gridCol w:w="828"/>
        <w:gridCol w:w="744"/>
        <w:gridCol w:w="869"/>
      </w:tblGrid>
      <w:tr>
        <w:trPr>
          <w:trHeight w:val="295"/>
        </w:trPr>
        <w:tc>
          <w:tcPr>
            <w:tcW w:w="521"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8484"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项目特征描述及技术参数</w:t>
            </w:r>
            <w:r>
              <w:rPr>
                <w:rFonts w:hint="eastAsia" w:ascii="宋体" w:hAnsi="宋体" w:eastAsia="宋体" w:cs="宋体"/>
                <w:b/>
                <w:bCs/>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003" w:type="dxa"/>
            <w:vAlign w:val="center"/>
            <w:textDirection w:val="lrTb"/>
            <w:noWrap w:val="false"/>
          </w:tcPr>
          <w:p>
            <w:pPr>
              <w:pStyle w:val="1327"/>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val="en-US" w:eastAsia="zh-CN"/>
              </w:rPr>
              <w:t xml:space="preserve">全费用综合单价（元）</w:t>
            </w:r>
            <w:r>
              <w:rPr>
                <w:rFonts w:hint="eastAsia" w:ascii="宋体" w:hAnsi="宋体" w:eastAsia="宋体" w:cs="宋体"/>
                <w:b/>
                <w:bCs/>
                <w:i w:val="0"/>
                <w:iCs w:val="0"/>
                <w:color w:val="000000"/>
                <w:sz w:val="18"/>
                <w:szCs w:val="18"/>
                <w:highlight w:val="none"/>
                <w:u w:val="none"/>
                <w:lang w:val="en-US" w:eastAsia="zh-CN" w:bidi="ar"/>
              </w:rPr>
            </w:r>
            <w:r/>
          </w:p>
        </w:tc>
        <w:tc>
          <w:tcPr>
            <w:tcW w:w="828" w:type="dxa"/>
            <w:vAlign w:val="center"/>
            <w:textDirection w:val="lrTb"/>
            <w:noWrap w:val="false"/>
          </w:tcPr>
          <w:p>
            <w:pPr>
              <w:pStyle w:val="1327"/>
              <w:jc w:val="center"/>
              <w:keepLines w:val="0"/>
              <w:keepNext w:val="0"/>
              <w:pageBreakBefore w:val="0"/>
              <w:spacing w:line="240" w:lineRule="exact"/>
              <w:widowControl/>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 xml:space="preserve">总价</w:t>
            </w:r>
            <w:r>
              <w:rPr>
                <w:rFonts w:hint="eastAsia" w:ascii="宋体" w:hAnsi="宋体" w:eastAsia="宋体" w:cs="宋体"/>
                <w:b/>
                <w:bCs/>
                <w:sz w:val="18"/>
                <w:szCs w:val="18"/>
                <w:highlight w:val="none"/>
                <w:lang w:eastAsia="zh-CN"/>
              </w:rPr>
            </w:r>
            <w:r/>
          </w:p>
          <w:p>
            <w:pPr>
              <w:pStyle w:val="1327"/>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eastAsia="zh-CN"/>
              </w:rPr>
              <w:t xml:space="preserve">（元）</w:t>
            </w:r>
            <w:r>
              <w:rPr>
                <w:rFonts w:hint="eastAsia" w:ascii="宋体" w:hAnsi="宋体" w:eastAsia="宋体" w:cs="宋体"/>
                <w:b/>
                <w:bCs/>
                <w:i w:val="0"/>
                <w:iCs w:val="0"/>
                <w:color w:val="000000"/>
                <w:sz w:val="18"/>
                <w:szCs w:val="18"/>
                <w:highlight w:val="none"/>
                <w:u w:val="none"/>
                <w:lang w:val="en-US" w:eastAsia="zh-CN" w:bidi="ar"/>
              </w:rPr>
            </w:r>
            <w:r/>
          </w:p>
        </w:tc>
        <w:tc>
          <w:tcPr>
            <w:tcW w:w="744"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品牌</w:t>
            </w:r>
            <w:r>
              <w:rPr>
                <w:rFonts w:hint="eastAsia" w:ascii="宋体" w:hAnsi="宋体" w:eastAsia="宋体" w:cs="宋体"/>
                <w:b/>
                <w:bCs/>
                <w:i w:val="0"/>
                <w:iCs w:val="0"/>
                <w:color w:val="000000"/>
                <w:sz w:val="18"/>
                <w:szCs w:val="18"/>
                <w:highlight w:val="none"/>
                <w:u w:val="none"/>
                <w:lang w:val="en-US" w:eastAsia="zh-CN" w:bidi="ar"/>
              </w:rPr>
            </w:r>
            <w:r/>
          </w:p>
        </w:tc>
        <w:tc>
          <w:tcPr>
            <w:tcW w:w="869"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设备更新</w:t>
            </w:r>
            <w:r>
              <w:rPr>
                <w:rFonts w:hint="eastAsia" w:ascii="宋体" w:hAnsi="宋体" w:eastAsia="宋体" w:cs="宋体"/>
                <w:b/>
                <w:bCs/>
                <w:i w:val="0"/>
                <w:iCs w:val="0"/>
                <w:color w:val="000000"/>
                <w:sz w:val="18"/>
                <w:szCs w:val="18"/>
                <w:highlight w:val="none"/>
                <w:u w:val="none"/>
                <w:lang w:val="en-US" w:eastAsia="zh-CN" w:bidi="ar"/>
              </w:rPr>
            </w:r>
            <w:r/>
          </w:p>
        </w:tc>
      </w:tr>
      <w:tr>
        <w:trPr>
          <w:trHeight w:val="31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r>
      <w:tr>
        <w:trPr>
          <w:trHeight w:val="28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1、采用不低于1.1英寸GS-CMOS传感器；图像分辨率未叠加字符分辨率≥4096×2160，叠加字符信息抓图</w:t>
            </w:r>
            <w:r>
              <w:rPr>
                <w:rFonts w:hint="eastAsia" w:ascii="宋体" w:hAnsi="宋体" w:cs="宋体"/>
                <w:b w:val="0"/>
                <w:bCs w:val="0"/>
                <w:i w:val="0"/>
                <w:iCs w:val="0"/>
                <w:color w:val="000000"/>
                <w:sz w:val="18"/>
                <w:szCs w:val="18"/>
                <w:highlight w:val="none"/>
                <w:u w:val="none"/>
                <w:lang w:val="en-US" w:eastAsia="zh-CN" w:bidi="ar"/>
              </w:rPr>
              <w:t xml:space="preserve">分辨率</w:t>
            </w:r>
            <w:r>
              <w:rPr>
                <w:rFonts w:hint="eastAsia" w:ascii="宋体" w:hAnsi="宋体" w:eastAsia="宋体" w:cs="宋体"/>
                <w:b w:val="0"/>
                <w:bCs w:val="0"/>
                <w:i w:val="0"/>
                <w:iCs w:val="0"/>
                <w:color w:val="000000"/>
                <w:sz w:val="18"/>
                <w:szCs w:val="18"/>
                <w:highlight w:val="none"/>
                <w:u w:val="none"/>
                <w:lang w:val="en-US" w:eastAsia="zh-CN" w:bidi="ar"/>
              </w:rPr>
              <w:t xml:space="preserve">≥4096×4328。支持通过相机控制台进入图像调节工具，并对图像和视频设置逆光亮度补偿及顺光亮度补偿。支持场景划线示意，可以通过图像及文字形式辅助相机场景规则线的配置。支持礼让行人及行人闯红灯模式下的自动划线。</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6、支持识别危化品车辆及其危险性识别号，可通过OSD将识别结果叠加在抓拍图片上，并可将数据上传至平台。支持占用公交车道违章抓拍，可设置抓拍车辆类型(包括无牌机动车、摩托车等)，且支持过滤出租车。支持按通过置信度及车型配置过滤主/副驾驶不系安全带行为抓拍，其中车型包括大货车、中货车、客车、中客车和公交车，置信度1~100可设置。支持主副驾人脸抠图，且副驾驶抠图支持多人，车窗小图可叠加在抓拍原图上。</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支持在抓拍的基础上，抓拍输出车牌局部照片、车窗局部照片、非机动车局部照片、主副驾驶人脸照片，场景全景照片；配合补光灯，可穿透被车窗遮光条遮挡的驾驶员头部画面，并同时对驾驶员人脸进行抠图。可分别对齐刘海遮挡眉毛、头发遮挡眼睛、斜刘海遮住一侧眼睛、戴普通眼镜、戴墨镜、戴彩色眼镜、戴帽子、戴头戴式耳机、戴口罩、侧向、半边脸的人脸进行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车辆子品牌识别并可在OSD上叠加显示相应的子品牌及年款，通过车头可识别≥7600种车辆子品牌，车尾≥3900种车辆子品牌支持识别并显示不低于51种车辆类型。设备支持设置图片3D降噪功能，包括图片空域3D降噪及图片时域3D降噪，降噪等级0~100可分别设置，可通过菜单启用或关闭。支持非机动车越停止线停车、非机动车进入机动车车道、非机动车不带头盔、三轮车载人、逆行、超速等违法行为识别，同时联动音柱进行即时喊话提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分别对9种以上车型(含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12、供电方式：AC100V~AC240V（50HZ/60HZ）；功耗：≤15W。工作温度：-40℃~+65℃；防护等级≥IP66；具有网络防雷和防浪涌功能。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▲1、采用不低于1.17英寸传感器；支持视频分辨率≥4480×3072，抓图</w:t>
            </w:r>
            <w:r>
              <w:rPr>
                <w:rFonts w:hint="eastAsia" w:ascii="宋体" w:hAnsi="宋体" w:cs="宋体"/>
                <w:b/>
                <w:bCs/>
                <w:i w:val="0"/>
                <w:iCs w:val="0"/>
                <w:color w:val="000000"/>
                <w:sz w:val="18"/>
                <w:szCs w:val="18"/>
                <w:highlight w:val="none"/>
                <w:u w:val="none"/>
                <w:lang w:val="en-US" w:eastAsia="zh-CN" w:bidi="ar"/>
              </w:rPr>
              <w:t xml:space="preserve">分辨率</w:t>
            </w:r>
            <w:r>
              <w:rPr>
                <w:rFonts w:hint="eastAsia" w:ascii="宋体" w:hAnsi="宋体" w:eastAsia="宋体" w:cs="宋体"/>
                <w:b/>
                <w:bCs/>
                <w:i w:val="0"/>
                <w:iCs w:val="0"/>
                <w:color w:val="000000"/>
                <w:sz w:val="18"/>
                <w:szCs w:val="18"/>
                <w:highlight w:val="none"/>
                <w:u w:val="none"/>
                <w:lang w:val="en-US" w:eastAsia="zh-CN" w:bidi="ar"/>
              </w:rPr>
              <w:t xml:space="preserve">≥4480×3072。【投标文件中提供国家认可的认证机构出具的带有CMA标志检测报告复印件并加盖投标人公章】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支持通过相机控制台进入图像调节工具，并对图像和视频设置逆光亮度补偿及顺光亮度补偿。支持场景划线示意，可以通过图像及文字形式辅助相机场景规则线的配置。支持礼让行人及行人闯红灯模式下的自动划线。【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7、支持场景划线示意，可以通过图像及文字形式辅助相机场景规则线的配置。支持礼让行人及行人闯红灯模式下的自动划线。相机违章合成图支持插入自定义静态图，包括逆行、超速、禁行、禁摩、占道类违法等图片。【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信号灯增强，包括单个信号灯增强以及信号灯区域增强。支持识别危化品车辆及其危险性识别号，可通过OSD将识别结果叠加在抓拍图片上，并可将数据上传至平台。支持占用公交车道违章抓拍，可设置抓拍车辆类型(包括无牌机动车、摩托车等)，且支持过滤出租车。【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、供电方式：AC100V~AC240V（50HZ）；功耗：≤32W。工作温度：-40℃~+65℃；防护等级≥IP66；具有网络防雷和防浪涌功能。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▲1、传感器类型：不低于1.1英寸背照式工艺传感器；抓图分辨率不低于5328×3040(不含OSD)；视频分辨率可设置为53</w:t>
            </w:r>
            <w:r>
              <w:rPr>
                <w:rFonts w:hint="eastAsia" w:ascii="宋体" w:hAnsi="宋体" w:eastAsia="宋体" w:cs="宋体"/>
                <w:b/>
                <w:bCs/>
                <w:i w:val="0"/>
                <w:iCs w:val="0"/>
                <w:color w:val="000000"/>
                <w:sz w:val="18"/>
                <w:szCs w:val="18"/>
                <w:highlight w:val="none"/>
                <w:u w:val="none"/>
                <w:lang w:val="en-US" w:eastAsia="zh-CN" w:bidi="ar"/>
              </w:rPr>
              <w:t xml:space="preserve">28×3040、4096×2160、UXGA(1600×1200)、1080P(1920×1080)、720P(1280×720)。支持≥5个车道机动车违法监测抓拍。支持35块感兴趣区域(ROI)增强编码设置功能，ROI区域压缩比0~100可设置。支持大场景五车道闯红灯抓拍，闯红灯抓拍第一/二张图车牌清晰可见，其中第一张图车辆在停止线前，第二张图车辆越过停止线，第三张图车辆较第二张有明显位移，第二张图车牌像素可达≥100。【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车长≤16米的大货车违法行为抓拍，支持不礼让横向行人、右转弯压线、右转不停再起步违法抓拍。具有倾斜护罩去除鬼影效果。支持暗光引擎功能，开启后可增加视频画面感光度。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3、快门方式：支持单快门、双快门、三快门；电子快门：支持1/25s～1/100000s（可手动或自动调节）；曝光模式：支持全自动/自定义区间/自定义。光圈控制：支持手动光圈、固定光圈、P-IRIS自动光圈。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视频和图片具备水印和校验功能；车辆捕获率：白天车辆捕获率≥95%、夜间车辆捕获率≥95%。号牌识别准确率：白天车辆号牌识别准确率≥95%，夜间车辆号牌识别准确率≥95%。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支持AI车牌增强功能，包括：蓝牌、黄牌、白牌、黑牌、绿牌、渐变绿、黄绿双拼牌，开启后可防止车牌过曝。设备支持搭配电警相机、杆下补盲鱼眼相机实现小车、大货车管控的闯红灯、违法变道等违法行为取证；支持输出卡口和电警的抓拍合成图，可配置输出八合一合成鱼眼图，同时鱼眼可辅助变道判断；合成图中车头车尾关联准确率≥99%。【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对信号灯不亮进行检测，检测到该异常后可进行报警。支持对信号灯整个灯组都亮度不足进行检测，检测到该异常后可进行报警。支持升级程序的版本号信息，支持在降版本升级时弹出降版本提示。支持特殊车牌固定字符匹配等级设置，包括模糊匹配、中等匹配、精准匹配和不启用。支持通过485接口连接补光灯，并在相机界面反馈补光灯型号信息、端口信息、版本信息。【投标文件中提供国家认可的认证机构出具的带有CMA标志检测报告复印件并加盖投标人公章】</w:t>
            </w:r>
            <w:r>
              <w:rPr>
                <w:rFonts w:hint="eastAsia"/>
                <w:highlight w:val="none"/>
                <w:lang w:val="en-US" w:eastAsia="zh-CN"/>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、供电方式：AC100V~AC240V（50HZ/60HZ）；功耗：≤32W。</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w:t>
            </w:r>
            <w:r>
              <w:rPr>
                <w:rFonts w:hint="eastAsia" w:ascii="宋体" w:hAnsi="宋体" w:eastAsia="宋体" w:cs="宋体"/>
                <w:b w:val="0"/>
                <w:bCs w:val="0"/>
                <w:i w:val="0"/>
                <w:iCs w:val="0"/>
                <w:color w:val="000000"/>
                <w:sz w:val="18"/>
                <w:szCs w:val="18"/>
                <w:highlight w:val="none"/>
                <w:u w:val="none"/>
                <w:lang w:val="en-US" w:eastAsia="zh-CN" w:bidi="ar"/>
              </w:rPr>
              <w:t xml:space="preserve">像回放时叠加智能帧及检测框信息。支持以不同的方式接入球机，并在不同方式下可预览图片和视频。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8、供电方式：DC12V；功耗：＜40W；工作温度：–30℃～+65℃。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63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老落地机柜换新</w:t>
            </w:r>
            <w:r>
              <w:rPr>
                <w:rFonts w:hint="eastAsia" w:ascii="宋体" w:hAnsi="宋体" w:eastAsia="宋体" w:cs="宋体"/>
                <w:i w:val="0"/>
                <w:iCs w:val="0"/>
                <w:color w:val="000000"/>
                <w:sz w:val="18"/>
                <w:szCs w:val="18"/>
                <w:highlight w:val="none"/>
                <w:u w:val="none"/>
              </w:rPr>
            </w:r>
            <w:r/>
          </w:p>
        </w:tc>
      </w:tr>
      <w:tr>
        <w:trPr>
          <w:trHeight w:val="5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1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信号灯升级及更新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信号灯控制主机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17、工作环境温度：－30～70℃；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18、相对工作湿度：20-95%。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信号灯远程控制平台升级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9"/>
              </w:numPr>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产品架构兼容开放：系统通信协议全面采用国内信号控制相关行业标准，通信协议的标准化使得产品更加开放；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2、信号监控“身临其境”：信号监控功能，能让交管在指挥中心查看并控制信号机的运行。可以查看信号机状态，放行相位，以及是否有故障等；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3、参数配置“深入浅出”：根据实际使用情况调整参数配置流程，突出在日常工作中的常用功能。并更多采用图形化方式，让用户“所见即所得”，让信号参数配置成为简单的工作；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4、快速通道“平战结合”：使用“快速警卫路线”。在地图上轻松配置，并且采用信号步进的方式，将快速放行与当前信号放行方案结合在一起。最大程度减少对日常通勤的干扰；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5、绿波配置“轻松快捷”：系统汇集绿波配置的理论与实践，将原本复杂难懂的绿波配置变得简单直观。在极短的时间内即可配置出专业的绿波道路，使工作效率大大提高。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lang w:val="en-US" w:eastAsia="zh-CN" w:bidi="ar"/>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i w:val="0"/>
                <w:iCs w:val="0"/>
                <w:color w:val="000000"/>
                <w:sz w:val="18"/>
                <w:szCs w:val="18"/>
                <w:highlight w:val="none"/>
                <w:u w:val="none"/>
                <w:lang w:val="en-US" w:eastAsia="zh-CN" w:bidi="ar"/>
              </w:rPr>
              <w:t xml:space="preserve">礼让行人</w:t>
            </w:r>
            <w:r>
              <w:rPr>
                <w:rFonts w:hint="eastAsia" w:ascii="宋体" w:hAnsi="宋体" w:eastAsia="宋体" w:cs="宋体"/>
                <w:b/>
                <w:bCs/>
                <w:i w:val="0"/>
                <w:iCs w:val="0"/>
                <w:color w:val="000000"/>
                <w:sz w:val="18"/>
                <w:szCs w:val="18"/>
                <w:highlight w:val="none"/>
                <w:u w:val="none"/>
                <w:lang w:val="en-US" w:eastAsia="zh-CN" w:bidi="ar"/>
              </w:rPr>
            </w:r>
            <w:r/>
          </w:p>
        </w:tc>
      </w:tr>
      <w:tr>
        <w:trPr>
          <w:trHeight w:val="47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1、900万环保高清电子警察抓拍单元由摄像机、高清镜头、室外防护罩、风扇、补光灯、电源适配器、安装万向节等组成。</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闯红灯捕获率试验：在天气晴朗无雾，号牌无遮挡，无污损的条件进行测试，白天测试时的环境光照度不低于200lx，晚上测试时辅助照明光照度不高于30lx。</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白天闯红灯捕获率≥99%;</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晚上闯红灯捕获率≥99%;</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▲5、车牌识别功能检查 ：支持对25×10 像素～1100×3000 像素的机动车车牌进行抓拍并识别号码； 支持抓拍并识别垂直倾斜角度≤45°、水平倾斜角度≤35°、俯仰角度≤40°的机动车车牌号码。【投标文件中提供国家认可的认证机构出具的带有CMA标志检测报告复印件并加盖投标人公章】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10、支持图片编码质量配置，车牌小图的图片质量(大/中/小)可配。</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11、支持车牌遮挡检查功能，在检测到车牌被遮挡的情况下可给出提示。</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12、支持对两轮/三轮车分类识别;可识别外卖箱(外卖品牌)的标识。</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79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LED频闪灯</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光源类型：16颗原装大功率LED</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发光角度12°</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补光距离16米～25米</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响应时间小于20us</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触发方式： 高电平有效（可选配开关量触发）</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触发信号：频率1~250HZ，占空比1%~39%</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外壳材质金属铝</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IP66</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工作温度：-40℃~70℃</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工作湿度：湿度5%~95%@40℃，无凝结</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电源：220V±10%</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功耗：35W MAX</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09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室外高清一体化双目球机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传感器类型：【全景】1/1.8＂ 逐行扫描 CMOS,【细节】1/2.8" 逐行扫描 CMOS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最低照度：【全景】彩色：0.0005 Lux @（F1.0，AGC ON），0 Lux with Light；</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【细节】彩色：0.005Lux @ (F1.6，AGC ON)；黑白：0.001Lux @(F1.6，AGC ON) ；0 Lux with IR</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光学变倍：32倍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焦距：【全景】4mm；【细节】5.5-176mm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视场角：【全景】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水平视场角：88.7°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垂直视场角：44.7°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对角视场角：107.5°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水平视场角：60.72°~2.2°（广角~望远）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垂直视场角：35.92°~1.3°（广角~望远）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对角视场角：68.42°~2.6° （广角~望远）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补光灯类型：【全景】：白光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补光灯距离：【全景】：白光30m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【细节】：红外100m，白光60m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红外波长范围：850 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水平范围：【细节】360°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垂直范围：-10°-90°(自动翻转)</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水平速度：水平键控速度：0.1°-240°/s,速度可设;水平预置点速度：240°/s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垂直速度：垂直键控速度：0.1°-200°/s,速度可设;垂直预置点速度：200°/s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主码流帧率分辨率：【全景】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视频压缩标准：主码流：H.264/H.265+/H.265/H.264+ 子码流：H.264/H.265/MJPEG 第三码流：H.264/H.265/MJPEG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宽动态：支持真宽动态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网络接口：RJ45网口,自适应10M/100M网络数据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SD卡扩展：内置Micro SD卡插槽，支持Micro SD/Micro SDHC/Micro SDXC卡（最大支持512GB）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内置麦克风：支持双mic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内置扬声器：支持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音频：1路音频输入，音频峰值：2-2.4 V[p-p]，输入阻抗：1 kΩ±10%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1路音频输出，线性电平，阻抗：600 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报警：2路报警输入，1路报警输出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电源输出：DC36V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电流及功耗：最大功耗：24W（其中除雾加热1.6W，补光灯7W）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尺寸：241.8 ×216.4 × 333.6 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重量：4 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工作温湿度：-30℃-65℃；湿度小于90% ,(无凝结)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除雾：加热玻璃除雾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防护：防暴雨级，符合GB/T 17626.5 认证标准</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球机安装支架及连接件</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依据杆件定制，球机吊装、壁装支架、连接件及其他安装附件</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7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6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3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49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83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补光灯控制线及敷设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RVV2×0.5mm；含穿引线、扫管、穿线、编号、塑料标签、接线、包头施工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道板内管沟开挖及管道线敷设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管顶至地面不得低于60CM；2*PE75mm管敷设施工要求；含开挖、PE管敷设、土方回填夯实、弃土清运、道板恢复。含2*PE75mm管材（壁厚不小于7MM）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借用旧管道查找清理疏通</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供电接入配套设备，包括电表、电路保护装置、插座等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电能消耗</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每个用电设备5年*365天*24小时持续工作、供电不间断</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四</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横林大道上林路电子警察</w:t>
            </w:r>
            <w:r>
              <w:rPr>
                <w:rFonts w:hint="eastAsia" w:ascii="宋体" w:hAnsi="宋体" w:eastAsia="宋体" w:cs="宋体"/>
                <w:b/>
                <w:bCs/>
                <w:i w:val="0"/>
                <w:iCs w:val="0"/>
                <w:color w:val="000000"/>
                <w:sz w:val="18"/>
                <w:szCs w:val="18"/>
                <w:highlight w:val="none"/>
                <w:u w:val="none"/>
                <w:lang w:val="en-US" w:eastAsia="zh-CN" w:bidi="ar"/>
              </w:rPr>
            </w:r>
            <w:r/>
          </w:p>
        </w:tc>
      </w:tr>
      <w:tr>
        <w:trPr>
          <w:trHeight w:val="119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1、采用16颗Cree高亮LED灯珠；光源：可见光范围（波长350-780nm）；色温：6500K±200K；</w:t>
            </w:r>
            <w:r>
              <w:rPr>
                <w:rFonts w:hint="eastAsia" w:ascii="宋体" w:hAnsi="宋体" w:eastAsia="宋体" w:cs="宋体"/>
                <w:i w:val="0"/>
                <w:iCs w:val="0"/>
                <w:color w:val="000000"/>
                <w:sz w:val="18"/>
                <w:szCs w:val="18"/>
                <w:highlight w:val="none"/>
                <w:u w:val="none"/>
              </w:rPr>
            </w:r>
            <w:r/>
          </w:p>
        </w:tc>
        <w:tc>
          <w:tcPr>
            <w:tcW w:w="696"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003"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vMerge w:val="restart"/>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2、中心光照度：&lt;40lx（20m光照度）；补光距离：16m-26m。</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3、光通量≥1800lm；日夜切换：支持，1~6级灵敏度可设置。</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4、支持远程显示补光灯故障、正常状态；支持低照度下6级光敏检测自动开启补光。</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5、功耗：&lt;40W；供电方式：AC100V-AC240V。</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像回放时叠加智能帧及检测框信息。支持以不同的方式接入球机，并在不同方式下可预览图片和视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9、供电方式：DC12V；功耗：＜40W；工作温度：–30℃～+65℃。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五</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防控边界建设</w:t>
            </w:r>
            <w:r>
              <w:rPr>
                <w:rFonts w:hint="eastAsia" w:ascii="宋体" w:hAnsi="宋体" w:eastAsia="宋体" w:cs="宋体"/>
                <w:b/>
                <w:bCs/>
                <w:i w:val="0"/>
                <w:iCs w:val="0"/>
                <w:color w:val="000000"/>
                <w:sz w:val="18"/>
                <w:szCs w:val="18"/>
                <w:highlight w:val="none"/>
                <w:u w:val="none"/>
                <w:lang w:val="en-US" w:eastAsia="zh-CN" w:bidi="ar"/>
              </w:rPr>
            </w:r>
            <w:r/>
          </w:p>
        </w:tc>
      </w:tr>
      <w:tr>
        <w:trPr>
          <w:trHeight w:val="88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6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L杆13M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13M；立柱口径对角：300-380mm，壁厚≥10mmmm；横臂口径对角300-110mm，壁厚≥6mm。底盘法兰￠650×25mm。整体热浸锌，喷塑。13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基础预埋件8-M30×2000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L13、L15、L17、T13+6、T15+6、T15+15杆件使用。，8-M30×2000mm（个）。含预埋件、预埋件紧固件、垫片、螺帽及预埋件安装费、预埋件运至施工现场费用。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2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27</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六</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朝阳路横林大道卡口迁移及更新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56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1、内置≥1块4T硬盘，具有18个10M/100M/1000M自适应RJ45接口，其中P1～P16与G1处于同一网段、G2处于另一网段；2个1000M SFP光端接口，分别与G1、G2处于同一网段。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支持相同车牌号去重功能，多相机抓拍同一车牌号仅上传一条该车牌条记录到平台。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原有杆件拆除、安装</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包含原有杆件上设备拆除、落地机柜拆除等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七</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分局存储</w:t>
            </w:r>
            <w:r>
              <w:rPr>
                <w:rFonts w:hint="eastAsia" w:ascii="宋体" w:hAnsi="宋体" w:eastAsia="宋体" w:cs="宋体"/>
                <w:b/>
                <w:bCs/>
                <w:i w:val="0"/>
                <w:iCs w:val="0"/>
                <w:color w:val="000000"/>
                <w:sz w:val="18"/>
                <w:szCs w:val="18"/>
                <w:highlight w:val="none"/>
                <w:u w:val="none"/>
                <w:lang w:val="en-US" w:eastAsia="zh-CN" w:bidi="ar"/>
              </w:rPr>
            </w:r>
            <w:r/>
          </w:p>
        </w:tc>
      </w:tr>
      <w:tr>
        <w:trPr>
          <w:trHeight w:val="7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视频存储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系统架构：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全对称架构，业务负载均衡，节点故障业务自迁移；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内置流媒体服务，支持视频流直存，无需额外流媒体存储转发服务器；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支持容器云平台，视图管理软件容器化，存储、转发服务按需部署。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处理器：配置≥2颗CPU处理器，每颗CPU核心数≥16核，每颗CPU主频≥2.4GHz；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内存：配置≥48G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硬盘：配置≥2块960GB SAS SSD 系统盘，≥36 块 16TB SATA 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网络接口：配置≥4*GE，≥2*10GE；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配置≥2个热插拔 2000W 交流电源模块,支持 1+1 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支持实况、录像回放、电视墙显示管理等；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H.264、H.265、MJPEG 等格式；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TCP，UDP，IPv4，HTTP，HTTPS，RTP，RTSP，RTCP，SIP，ARP，SSL，NTP，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SMTP 等网络协议；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支持实时/历史视频、图片等备份模式。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视图接入；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实况转发。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开放框架：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南向对接：接入插件化集成，支持 Onvif2.4 以及 Onvif Profile S、GB/T28181、1400、主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流摄像机厂家 SDK；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北向对接：SDK、Restful；</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质保：原厂5年质保（含硬盘不返还服务）。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对接要求：支持与分局视频存储平台无缝接入。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图片存储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全对称分布式架构部署，单集群内不需要独立的元数据服务器，随着存储节点数的增加，分布式存储性能和容量随着线性增长；支持创建单一文件系统和跨存储节点的单一全局命名空间功能。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内存：配置≥256G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硬盘：配置≥36块 20TB SATA 硬盘，≥1块3.2TB SSD NVMe 缓存加速盘，≥2块480GB SSD系统盘；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配置≥2个2000W热插拔交流电源模块，支持 1+1 冗余电源。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支持对用户、用户组、目录设置配额；配额限制资源类型支持空间配额、文件数配额。空间配额用于管理和监控存储空间的使用情况；文件数配额用于管理和监控文件数量的使用情况；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支持在线扩容，扩容过程中业务不中断；</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支持异常掉电数据不丢失功能；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EC 纠删码数据保护方式，不依赖于硬件 RAID 保护；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一套存储支持 NFS/SMB/S3 多种访问协议，无需配置独立的网关节点；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支持多种网络类型，包括 10GbE、25GbE 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支持业务负载均衡，支持业务在节点、硬盘、网口间的负载均衡；节点内磁盘间容量误差率不超 2%，节点间容量误差不超 0.2%；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支持以节点池为单位设定数据保护策略，可以设置不同的N+M配比，支持22+2的大比例配比，当节点故障时，支持自动调整配比；</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支持将小文件（＜1M）自适应聚合成不同大小的文件写入磁盘；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支持元数据检索功能；可针对文件名、文件大小、创建时间、所属用户、扩展属性等元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数据项查询，且不区分不同服务写入的文件，可通过管理界面或REST接口查询，无需独立的服务节点；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支持回收站功能，回收站内文件的保留时长和扫描周期可配置；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支持硬盘故障检测，提前感知硬盘故障风险；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1TB 数据修复时间小于 30 分钟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单节点可支持文件数不小于40亿。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监控管理：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支持集群资源管理、基本信息监控、性能监控、告警管理、用户管理、硬件管理、网络拓扑管理；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支持查看 CPU 利用率、内存利用率、带宽、IOPS 信息统计；支持监控集群、存储池、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节点、网口、客户端、硬盘、复制链路、数据流动、NFS 客户端、CIFS 客户端、并行客户端的性能指标，支持对监控对象的性能指标进行 TOPN 排序；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实时告警，支持 SNMP、邮件、syslog 等告警方式；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 5 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对接要求：支持与分局图片存储系统无缝接入。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6"/>
        </w:trPr>
        <w:tc>
          <w:tcPr>
            <w:gridSpan w:val="3"/>
            <w:tcW w:w="1022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合计（元）</w:t>
            </w:r>
            <w:r>
              <w:rPr>
                <w:rFonts w:hint="eastAsia" w:ascii="宋体" w:hAnsi="宋体" w:eastAsia="宋体" w:cs="宋体"/>
                <w:i w:val="0"/>
                <w:iCs w:val="0"/>
                <w:color w:val="000000"/>
                <w:sz w:val="18"/>
                <w:szCs w:val="18"/>
                <w:highlight w:val="none"/>
                <w:u w:val="none"/>
                <w:lang w:val="en-US" w:eastAsia="zh-CN" w:bidi="ar"/>
              </w:rPr>
            </w:r>
            <w:r/>
          </w:p>
        </w:tc>
        <w:tc>
          <w:tcPr>
            <w:gridSpan w:val="6"/>
            <w:tcW w:w="4872"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99"/>
        </w:trPr>
        <w:tc>
          <w:tcPr>
            <w:gridSpan w:val="9"/>
            <w:tcW w:w="15096"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Arial"/>
                <w:b/>
                <w:bCs/>
                <w:color w:val="ff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ff0000"/>
                <w:sz w:val="21"/>
                <w:szCs w:val="21"/>
                <w:highlight w:val="none"/>
                <w:u w:val="single"/>
                <w:lang w:val="en-US" w:eastAsia="zh-CN"/>
              </w:rPr>
              <w:t xml:space="preserve">     </w:t>
            </w:r>
            <w:r>
              <w:rPr>
                <w:rFonts w:hint="eastAsia" w:ascii="宋体" w:hAnsi="宋体" w:eastAsia="宋体" w:cs="Arial"/>
                <w:b/>
                <w:bCs/>
                <w:color w:val="ff0000"/>
                <w:sz w:val="21"/>
                <w:szCs w:val="21"/>
                <w:highlight w:val="none"/>
              </w:rPr>
              <w:t xml:space="preserve">%。</w:t>
            </w:r>
            <w:r>
              <w:rPr>
                <w:rFonts w:hint="eastAsia" w:ascii="宋体" w:hAnsi="宋体" w:eastAsia="宋体" w:cs="宋体"/>
                <w:i w:val="0"/>
                <w:iCs w:val="0"/>
                <w:color w:val="000000"/>
                <w:sz w:val="18"/>
                <w:szCs w:val="18"/>
                <w:highlight w:val="none"/>
                <w:u w:val="none"/>
              </w:rPr>
            </w:r>
            <w:r/>
          </w:p>
        </w:tc>
      </w:tr>
    </w:tbl>
    <w:p>
      <w:pPr>
        <w:pStyle w:val="1048"/>
        <w:ind w:firstLine="42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注：1.本表应按包分别填写。</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2.如果不提供分项报价将视为没有实质性响应招标文件。</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3.本表行数可以按照项目分项情况增加。</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4.上述各项的详细规格、技术参数如表格中填写不下的，可以逐项另页描述。</w:t>
      </w:r>
      <w:r>
        <w:rPr>
          <w:rFonts w:hint="eastAsia" w:ascii="宋体" w:hAnsi="宋体" w:eastAsia="宋体" w:cs="宋体"/>
          <w:color w:val="000000"/>
          <w:sz w:val="21"/>
          <w:szCs w:val="21"/>
          <w:highlight w:val="none"/>
        </w:rPr>
      </w:r>
      <w:r/>
    </w:p>
    <w:p>
      <w:pPr>
        <w:pStyle w:val="1048"/>
        <w:ind w:firstLine="819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投标人名称（加盖公章）：___________</w:t>
      </w:r>
      <w:r>
        <w:rPr>
          <w:rFonts w:hint="eastAsia" w:ascii="宋体" w:hAnsi="宋体" w:eastAsia="宋体" w:cs="宋体"/>
          <w:color w:val="000000"/>
          <w:sz w:val="21"/>
          <w:szCs w:val="21"/>
          <w:highlight w:val="none"/>
        </w:rPr>
      </w:r>
      <w:r/>
    </w:p>
    <w:p>
      <w:pPr>
        <w:pStyle w:val="1048"/>
        <w:ind w:firstLine="8190"/>
        <w:jc w:val="left"/>
        <w:keepLines w:val="0"/>
        <w:keepNext w:val="0"/>
        <w:pageBreakBefore w:val="0"/>
        <w:spacing w:line="240" w:lineRule="exact"/>
        <w:widowControl w:val="off"/>
        <w:tabs>
          <w:tab w:val="left" w:pos="1800" w:leader="none"/>
          <w:tab w:val="left" w:pos="5580" w:leader="none"/>
        </w:tabs>
        <w:rPr>
          <w:rFonts w:ascii="宋体" w:hAnsi="宋体"/>
          <w:color w:val="000000"/>
          <w:sz w:val="24"/>
          <w:szCs w:val="20"/>
          <w:highlight w:val="none"/>
        </w:rPr>
      </w:pPr>
      <w:r>
        <w:rPr>
          <w:rFonts w:hint="eastAsia" w:ascii="宋体" w:hAnsi="宋体" w:eastAsia="宋体" w:cs="宋体"/>
          <w:color w:val="000000"/>
          <w:sz w:val="21"/>
          <w:szCs w:val="21"/>
          <w:highlight w:val="none"/>
        </w:rPr>
        <w:t xml:space="preserve">日期：________年______月______日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1048"/>
        <w:ind w:firstLine="42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color w:val="000000"/>
          <w:sz w:val="21"/>
          <w:szCs w:val="21"/>
          <w:highlight w:val="none"/>
        </w:rPr>
      </w:r>
      <w:r/>
    </w:p>
    <w:p>
      <w:pPr>
        <w:pStyle w:val="1048"/>
        <w:jc w:val="left"/>
        <w:widowControl/>
        <w:rPr>
          <w:color w:val="000000"/>
          <w:sz w:val="24"/>
          <w:szCs w:val="20"/>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6.合同条款偏离表</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cs="宋体"/>
          <w:color w:val="000000"/>
          <w:szCs w:val="21"/>
          <w:highlight w:val="none"/>
        </w:rPr>
        <w:t xml:space="preserve">（实质性格式）</w:t>
      </w:r>
      <w:r>
        <w:rPr>
          <w:color w:val="000000"/>
          <w:sz w:val="24"/>
          <w:szCs w:val="20"/>
          <w:highlight w:val="none"/>
        </w:rPr>
      </w:r>
      <w:r/>
    </w:p>
    <w:p>
      <w:pPr>
        <w:pStyle w:val="1048"/>
        <w:spacing w:line="360" w:lineRule="auto"/>
        <w:rPr>
          <w:color w:val="000000"/>
          <w:sz w:val="24"/>
          <w:szCs w:val="20"/>
          <w:highlight w:val="none"/>
        </w:rPr>
      </w:pPr>
      <w:r>
        <w:rPr>
          <w:color w:val="000000"/>
          <w:sz w:val="24"/>
          <w:szCs w:val="20"/>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合同条款偏离表</w:t>
      </w:r>
      <w:r>
        <w:rPr>
          <w:rFonts w:hint="eastAsia"/>
          <w:b/>
          <w:color w:val="000000"/>
          <w:sz w:val="32"/>
          <w:szCs w:val="32"/>
          <w:highlight w:val="none"/>
        </w:rPr>
      </w:r>
      <w:r/>
    </w:p>
    <w:p>
      <w:pPr>
        <w:pStyle w:val="1048"/>
        <w:spacing w:line="360" w:lineRule="auto"/>
        <w:rPr>
          <w:color w:val="000000"/>
          <w:sz w:val="24"/>
          <w:szCs w:val="20"/>
          <w:highlight w:val="none"/>
        </w:rPr>
      </w:pPr>
      <w:r>
        <w:rPr>
          <w:color w:val="000000"/>
          <w:sz w:val="24"/>
          <w:szCs w:val="20"/>
          <w:highlight w:val="none"/>
        </w:rPr>
      </w:r>
      <w:r/>
    </w:p>
    <w:p>
      <w:pPr>
        <w:pStyle w:val="104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48"/>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48"/>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48"/>
              <w:jc w:val="left"/>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对合同条款中的所有要求，除本表所列明的所有偏离外，均视作供应商已对之理解和响应。</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   </w:t>
      </w:r>
      <w:r>
        <w:rPr>
          <w:color w:val="000000"/>
          <w:sz w:val="24"/>
          <w:highlight w:val="none"/>
          <w:lang w:val="zh-CN"/>
        </w:rPr>
      </w:r>
      <w:r/>
    </w:p>
    <w:p>
      <w:pPr>
        <w:pStyle w:val="1048"/>
        <w:spacing w:line="360" w:lineRule="auto"/>
        <w:rPr>
          <w:rFonts w:hint="eastAsia"/>
          <w:b/>
          <w:color w:val="000000"/>
          <w:sz w:val="36"/>
          <w:szCs w:val="36"/>
          <w:highlight w:val="none"/>
        </w:rPr>
        <w:outlineLvl w:val="2"/>
      </w:pPr>
      <w:r>
        <w:rPr>
          <w:color w:val="000000"/>
          <w:sz w:val="24"/>
          <w:szCs w:val="20"/>
          <w:highlight w:val="none"/>
        </w:rPr>
        <w:br w:type="page" w:clear="all"/>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rFonts w:hint="eastAsia" w:ascii="宋体" w:hAnsi="宋体" w:cs="宋体"/>
          <w:color w:val="000000"/>
          <w:szCs w:val="21"/>
          <w:highlight w:val="none"/>
        </w:rPr>
        <w:t xml:space="preserve">7.采购需求偏离表（实质性格式）</w:t>
      </w:r>
      <w:r>
        <w:rPr>
          <w:rFonts w:hint="eastAsia"/>
          <w:b/>
          <w:color w:val="000000"/>
          <w:sz w:val="36"/>
          <w:szCs w:val="36"/>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采购需求偏离表</w:t>
      </w:r>
      <w:r>
        <w:rPr>
          <w:rFonts w:hint="eastAsia"/>
          <w:b/>
          <w:color w:val="000000"/>
          <w:sz w:val="32"/>
          <w:szCs w:val="32"/>
          <w:highlight w:val="none"/>
        </w:rPr>
      </w:r>
      <w:r/>
    </w:p>
    <w:p>
      <w:pPr>
        <w:pStyle w:val="1131"/>
        <w:rPr>
          <w:rFonts w:hint="eastAsia"/>
          <w:color w:val="000000"/>
          <w:highlight w:val="none"/>
        </w:rPr>
      </w:pPr>
      <w:r>
        <w:rPr>
          <w:rFonts w:hint="eastAsia"/>
          <w:color w:val="000000"/>
          <w:highlight w:val="none"/>
        </w:rPr>
      </w:r>
      <w:r/>
    </w:p>
    <w:p>
      <w:pPr>
        <w:pStyle w:val="1048"/>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color w:val="000000"/>
          <w:sz w:val="24"/>
          <w:szCs w:val="20"/>
          <w:highlight w:val="none"/>
        </w:rPr>
      </w:pPr>
      <w:r>
        <w:rPr>
          <w:rFonts w:hint="eastAsia"/>
          <w:color w:val="000000"/>
          <w:sz w:val="24"/>
          <w:szCs w:val="20"/>
          <w:highlight w:val="none"/>
        </w:rPr>
      </w:r>
      <w:r/>
    </w:p>
    <w:p>
      <w:pPr>
        <w:pStyle w:val="1119"/>
        <w:ind w:firstLine="480"/>
        <w:rPr>
          <w:rFonts w:hint="eastAsia"/>
          <w:color w:val="000000"/>
          <w:sz w:val="24"/>
          <w:highlight w:val="none"/>
        </w:rPr>
      </w:pPr>
      <w:r>
        <w:rPr>
          <w:rFonts w:hint="eastAsia"/>
          <w:color w:val="000000"/>
          <w:sz w:val="24"/>
          <w:highlight w:val="none"/>
        </w:rPr>
      </w:r>
      <w:r/>
    </w:p>
    <w:p>
      <w:pPr>
        <w:pStyle w:val="1048"/>
        <w:rPr>
          <w:rFonts w:hint="eastAsia"/>
          <w:color w:val="000000"/>
          <w:sz w:val="24"/>
          <w:szCs w:val="20"/>
          <w:highlight w:val="none"/>
        </w:rPr>
      </w:pPr>
      <w:r>
        <w:rPr>
          <w:rFonts w:hint="eastAsia"/>
          <w:color w:val="000000"/>
          <w:sz w:val="24"/>
          <w:szCs w:val="2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1048"/>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1）总体实施方案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8"/>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2）突发事件应急处理预案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8"/>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）售后运维方案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8"/>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119"/>
        <w:ind w:left="0" w:firstLine="0"/>
        <w:rPr>
          <w:rFonts w:hint="eastAsia"/>
          <w:color w:val="000000"/>
          <w:highlight w:val="none"/>
        </w:rPr>
      </w:pPr>
      <w:r>
        <w:rPr>
          <w:rFonts w:hint="eastAsia"/>
          <w:color w:val="000000"/>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60"/>
        <w:rPr>
          <w:rFonts w:hint="eastAsia" w:ascii="宋体" w:hAnsi="宋体" w:cs="宋体"/>
          <w:color w:val="000000"/>
          <w:szCs w:val="21"/>
          <w:highlight w:val="none"/>
        </w:rPr>
      </w:pPr>
      <w:r>
        <w:rPr>
          <w:rFonts w:hint="eastAsia" w:ascii="宋体" w:hAnsi="宋体" w:cs="宋体"/>
          <w:color w:val="000000"/>
          <w:szCs w:val="21"/>
          <w:highlight w:val="none"/>
        </w:rPr>
      </w:r>
      <w:r/>
    </w:p>
    <w:p>
      <w:pPr>
        <w:pStyle w:val="1060"/>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t xml:space="preserve">9.参加本项目人员一览表</w:t>
      </w:r>
      <w:r>
        <w:rPr>
          <w:rFonts w:hint="eastAsia" w:ascii="宋体" w:hAnsi="宋体" w:cs="宋体"/>
          <w:color w:val="000000"/>
          <w:szCs w:val="21"/>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48"/>
        <w:spacing w:line="360" w:lineRule="auto"/>
        <w:rPr>
          <w:rFonts w:ascii="宋体" w:hAnsi="宋体"/>
          <w:color w:val="000000"/>
          <w:sz w:val="22"/>
          <w:highlight w:val="none"/>
        </w:rPr>
      </w:pPr>
      <w:r>
        <w:rPr>
          <w:rFonts w:ascii="宋体" w:hAnsi="宋体"/>
          <w:color w:val="000000"/>
          <w:sz w:val="22"/>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毕业学校和学历</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专业培训及证书</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责任</w:t>
            </w:r>
            <w:r>
              <w:rPr>
                <w:rFonts w:hint="eastAsia" w:ascii="宋体" w:hAnsi="宋体" w:cs="宋体"/>
                <w:color w:val="000000"/>
                <w:szCs w:val="21"/>
                <w:highlight w:val="none"/>
              </w:rPr>
            </w:r>
            <w:r/>
          </w:p>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或分工</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项目经历或主要工作</w:t>
            </w:r>
            <w:r>
              <w:rPr>
                <w:rFonts w:hint="eastAsia" w:ascii="宋体" w:hAnsi="宋体" w:cs="宋体"/>
                <w:color w:val="000000"/>
                <w:szCs w:val="21"/>
                <w:highlight w:val="none"/>
              </w:rPr>
            </w:r>
            <w:r/>
          </w:p>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48"/>
        <w:spacing w:line="360" w:lineRule="auto"/>
        <w:tabs>
          <w:tab w:val="left" w:pos="9765" w:leader="none"/>
        </w:tabs>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注：拟派参与本项目组负责人及管理成员情况（可附人员学历、</w:t>
      </w:r>
      <w:r>
        <w:rPr>
          <w:rFonts w:hint="eastAsia" w:ascii="宋体" w:hAnsi="宋体" w:cs="宋体"/>
          <w:b/>
          <w:color w:val="000000"/>
          <w:szCs w:val="21"/>
          <w:highlight w:val="none"/>
        </w:rPr>
        <w:t xml:space="preserve">相应</w:t>
      </w:r>
      <w:r>
        <w:rPr>
          <w:rFonts w:hint="eastAsia" w:ascii="宋体" w:hAnsi="宋体" w:cs="宋体"/>
          <w:b/>
          <w:color w:val="000000"/>
          <w:szCs w:val="21"/>
          <w:highlight w:val="none"/>
          <w:lang w:val="zh-CN"/>
        </w:rPr>
        <w:t xml:space="preserve">证书扫描件等材料）。</w:t>
      </w:r>
      <w:r>
        <w:rPr>
          <w:rFonts w:hint="eastAsia" w:ascii="宋体" w:hAnsi="宋体" w:cs="宋体"/>
          <w:b/>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br w:type="page" w:clear="all"/>
      </w:r>
      <w:bookmarkStart w:id="794" w:name="_Toc288738397"/>
      <w:r/>
      <w:bookmarkStart w:id="795" w:name="_Toc288738839"/>
      <w:r>
        <w:rPr>
          <w:rFonts w:hint="eastAsia" w:ascii="宋体" w:hAnsi="宋体" w:cs="宋体"/>
          <w:color w:val="000000"/>
          <w:szCs w:val="21"/>
          <w:highlight w:val="none"/>
        </w:rPr>
        <w:t xml:space="preserve">10.相关业绩案例一览表</w:t>
      </w:r>
      <w:r>
        <w:rPr>
          <w:rFonts w:hint="eastAsia" w:ascii="宋体" w:hAnsi="宋体" w:cs="宋体"/>
          <w:color w:val="000000"/>
          <w:szCs w:val="21"/>
          <w:highlight w:val="none"/>
        </w:rPr>
      </w:r>
      <w:r/>
    </w:p>
    <w:p>
      <w:pPr>
        <w:pStyle w:val="1048"/>
        <w:rPr>
          <w:color w:val="000000"/>
          <w:sz w:val="24"/>
          <w:szCs w:val="20"/>
          <w:highlight w:val="none"/>
        </w:rPr>
      </w:pPr>
      <w:r>
        <w:rPr>
          <w:color w:val="000000"/>
          <w:sz w:val="24"/>
          <w:szCs w:val="20"/>
          <w:highlight w:val="none"/>
        </w:rPr>
      </w:r>
      <w:r/>
    </w:p>
    <w:p>
      <w:pPr>
        <w:pStyle w:val="104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94"/>
      <w:r/>
      <w:bookmarkEnd w:id="795"/>
      <w:r>
        <w:rPr>
          <w:rFonts w:ascii="宋体" w:hAnsi="宋体"/>
          <w:b/>
          <w:color w:val="000000"/>
          <w:sz w:val="32"/>
          <w:szCs w:val="32"/>
          <w:highlight w:val="none"/>
        </w:rPr>
      </w:r>
      <w:r/>
    </w:p>
    <w:p>
      <w:pPr>
        <w:pStyle w:val="104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项目甲方单位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合同金额</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单位地址</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ind w:firstLine="21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 1、本表后附合同扫描件，否则不予认可。</w:t>
      </w:r>
      <w:r>
        <w:rPr>
          <w:rFonts w:hint="eastAsia" w:ascii="宋体" w:hAnsi="宋体" w:cs="宋体"/>
          <w:b/>
          <w:bCs/>
          <w:color w:val="000000"/>
          <w:szCs w:val="21"/>
          <w:highlight w:val="none"/>
          <w:lang w:bidi="ar"/>
        </w:rPr>
      </w:r>
      <w:r/>
    </w:p>
    <w:p>
      <w:pPr>
        <w:pStyle w:val="1048"/>
        <w:ind w:firstLine="632"/>
        <w:jc w:val="left"/>
        <w:widowControl/>
        <w:rPr>
          <w:color w:val="000000"/>
          <w:szCs w:val="21"/>
          <w:highlight w:val="none"/>
        </w:rPr>
      </w:pPr>
      <w:r>
        <w:rPr>
          <w:rFonts w:hint="eastAsia" w:ascii="宋体" w:hAnsi="宋体" w:cs="宋体"/>
          <w:b/>
          <w:bCs/>
          <w:color w:val="000000"/>
          <w:szCs w:val="21"/>
          <w:highlight w:val="none"/>
          <w:lang w:bidi="ar"/>
        </w:rPr>
        <w:t xml:space="preserve">2、本表可按同样格式扩展。</w:t>
      </w:r>
      <w:r>
        <w:rPr>
          <w:color w:val="000000"/>
          <w:szCs w:val="21"/>
          <w:highlight w:val="none"/>
        </w:rPr>
      </w:r>
      <w:r/>
    </w:p>
    <w:p>
      <w:pPr>
        <w:pStyle w:val="1048"/>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134"/>
        <w:rPr>
          <w:rFonts w:hint="eastAsia"/>
          <w:color w:val="000000"/>
          <w:sz w:val="24"/>
          <w:szCs w:val="20"/>
          <w:highlight w:val="none"/>
        </w:rPr>
      </w:pPr>
      <w:r>
        <w:rPr>
          <w:rFonts w:hint="eastAsia"/>
          <w:color w:val="000000"/>
          <w:sz w:val="24"/>
          <w:szCs w:val="20"/>
          <w:highlight w:val="none"/>
        </w:rPr>
      </w:r>
      <w:r/>
    </w:p>
    <w:p>
      <w:pPr>
        <w:pStyle w:val="1048"/>
        <w:spacing w:line="360" w:lineRule="auto"/>
        <w:rPr>
          <w:color w:val="000000"/>
          <w:sz w:val="24"/>
          <w:szCs w:val="20"/>
          <w:highlight w:val="none"/>
        </w:rPr>
        <w:outlineLvl w:val="2"/>
      </w:pPr>
      <w:r>
        <w:rPr>
          <w:color w:val="000000"/>
          <w:sz w:val="24"/>
          <w:szCs w:val="20"/>
          <w:highlight w:val="none"/>
        </w:rPr>
      </w:r>
      <w:r/>
    </w:p>
    <w:p>
      <w:pPr>
        <w:pStyle w:val="1048"/>
        <w:spacing w:line="360" w:lineRule="auto"/>
        <w:rPr>
          <w:rFonts w:ascii="宋体" w:hAnsi="宋体" w:eastAsia="宋体" w:cs="宋体"/>
          <w:color w:val="000000"/>
          <w:szCs w:val="21"/>
          <w:highlight w:val="none"/>
          <w:lang w:val="en-US" w:eastAsia="zh-CN"/>
        </w:rPr>
        <w:outlineLvl w:val="2"/>
      </w:pPr>
      <w:r>
        <w:rPr>
          <w:rFonts w:hint="eastAsia" w:ascii="宋体" w:hAnsi="宋体" w:eastAsia="宋体" w:cs="宋体"/>
          <w:color w:val="000000"/>
          <w:szCs w:val="21"/>
          <w:highlight w:val="none"/>
          <w:lang w:val="en-US" w:eastAsia="zh-CN"/>
        </w:rPr>
        <w:t xml:space="preserve">11.关于招标文件的询问内容</w:t>
      </w:r>
      <w:r>
        <w:rPr>
          <w:rFonts w:ascii="宋体" w:hAnsi="宋体" w:eastAsia="宋体" w:cs="宋体"/>
          <w:color w:val="000000"/>
          <w:szCs w:val="21"/>
          <w:highlight w:val="none"/>
          <w:lang w:val="en-US" w:eastAsia="zh-CN"/>
        </w:rPr>
      </w:r>
      <w:r/>
    </w:p>
    <w:p>
      <w:pPr>
        <w:pStyle w:val="104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询问函</w:t>
      </w:r>
      <w:r>
        <w:rPr>
          <w:rFonts w:hint="eastAsia" w:ascii="宋体" w:hAnsi="宋体" w:eastAsia="宋体" w:cs="Times New Roman"/>
          <w:b/>
          <w:color w:val="000000"/>
          <w:sz w:val="32"/>
          <w:szCs w:val="32"/>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rPr>
      </w:r>
      <w:r/>
    </w:p>
    <w:p>
      <w:pPr>
        <w:pStyle w:val="1048"/>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48"/>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color w:val="000000"/>
          <w:sz w:val="21"/>
          <w:szCs w:val="21"/>
          <w:highlight w:val="none"/>
          <w:lang w:val="zh-CN"/>
        </w:rPr>
      </w:r>
      <w:r/>
    </w:p>
    <w:p>
      <w:pPr>
        <w:pStyle w:val="104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.招标文件要求提供或投标人认为应附的其他材料</w:t>
      </w:r>
      <w:r>
        <w:rPr>
          <w:rFonts w:hint="eastAsia" w:ascii="宋体" w:hAnsi="宋体" w:cs="宋体"/>
          <w:color w:val="000000"/>
          <w:szCs w:val="21"/>
          <w:highlight w:val="none"/>
        </w:rPr>
      </w:r>
      <w:r/>
    </w:p>
    <w:p>
      <w:pPr>
        <w:pStyle w:val="1048"/>
        <w:jc w:val="left"/>
        <w:widowControl/>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048"/>
        <w:jc w:val="center"/>
        <w:rPr>
          <w:rFonts w:hint="eastAsia" w:ascii="宋体" w:hAnsi="宋体" w:cs="宋体"/>
          <w:b/>
          <w:color w:val="000000"/>
          <w:sz w:val="30"/>
          <w:szCs w:val="30"/>
          <w:highlight w:val="none"/>
        </w:rPr>
      </w:pPr>
      <w:r>
        <w:rPr>
          <w:rFonts w:hint="eastAsia" w:ascii="宋体" w:hAnsi="宋体" w:cs="宋体"/>
          <w:b/>
          <w:color w:val="000000"/>
          <w:sz w:val="32"/>
          <w:szCs w:val="32"/>
          <w:highlight w:val="none"/>
        </w:rPr>
        <w:t xml:space="preserve">【以下无正文】</w:t>
      </w:r>
      <w:r>
        <w:rPr>
          <w:rFonts w:hint="eastAsia" w:ascii="宋体" w:hAnsi="宋体" w:cs="宋体"/>
          <w:b/>
          <w:color w:val="000000"/>
          <w:sz w:val="30"/>
          <w:szCs w:val="30"/>
          <w:highlight w:val="none"/>
        </w:rPr>
      </w:r>
      <w:r/>
    </w:p>
    <w:p>
      <w:pPr>
        <w:pStyle w:val="1048"/>
        <w:jc w:val="center"/>
        <w:rPr>
          <w:rFonts w:hint="eastAsia" w:ascii="宋体" w:hAnsi="宋体" w:cs="宋体"/>
          <w:bCs/>
          <w:color w:val="000000"/>
          <w:sz w:val="24"/>
          <w:highlight w:val="none"/>
        </w:rPr>
      </w:pPr>
      <w:r>
        <w:rPr>
          <w:rFonts w:hint="eastAsia" w:ascii="宋体" w:hAnsi="宋体" w:cs="宋体"/>
          <w:b/>
          <w:color w:val="000000"/>
          <w:sz w:val="30"/>
          <w:szCs w:val="30"/>
          <w:highlight w:val="none"/>
        </w:rPr>
        <w:t xml:space="preserve">*本招标文件的最终解释权归常州市阳峻项目管理有限公司所有*</w:t>
      </w:r>
      <w:r>
        <w:rPr>
          <w:rFonts w:hint="eastAsia" w:ascii="宋体" w:hAnsi="宋体" w:cs="宋体"/>
          <w:bCs/>
          <w:color w:val="000000"/>
          <w:sz w:val="24"/>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r>
    <w:r/>
  </w:p>
  <w:p>
    <w:pPr>
      <w:pStyle w:val="1099"/>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fldChar w:fldCharType="begin"/>
    </w:r>
    <w:r>
      <w:rPr>
        <w:rStyle w:val="1124"/>
      </w:rPr>
      <w:instrText xml:space="preserve">PAGE  </w:instrText>
    </w:r>
    <w:r>
      <w:rPr>
        <w:rStyle w:val="1124"/>
      </w:rPr>
      <w:fldChar w:fldCharType="end"/>
    </w:r>
    <w:r>
      <w:rPr>
        <w:rStyle w:val="1124"/>
      </w:rPr>
    </w:r>
    <w:r/>
  </w:p>
  <w:p>
    <w:pPr>
      <w:pStyle w:val="109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v:textbox>
            </v:shape>
          </w:pict>
        </mc:Fallback>
      </mc:AlternateContent>
    </w:r>
    <w:r/>
  </w:p>
  <w:p>
    <w:pPr>
      <w:pStyle w:val="109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fldChar w:fldCharType="begin"/>
    </w:r>
    <w:r>
      <w:rPr>
        <w:rStyle w:val="1124"/>
      </w:rPr>
      <w:instrText xml:space="preserve">PAGE  </w:instrText>
    </w:r>
    <w:r>
      <w:rPr>
        <w:rStyle w:val="1124"/>
      </w:rPr>
      <w:fldChar w:fldCharType="end"/>
    </w:r>
    <w:r>
      <w:rPr>
        <w:rStyle w:val="1124"/>
      </w:rPr>
    </w:r>
    <w:r/>
  </w:p>
  <w:p>
    <w:pPr>
      <w:pStyle w:val="1099"/>
      <w:ind w:right="360"/>
      <w:tabs>
        <w:tab w:val="center" w:pos="4153" w:leader="none"/>
        <w:tab w:val="right" w:pos="8306" w:leader="none"/>
      </w:tabs>
    </w:pPr>
    <w:r/>
    <w:r/>
  </w:p>
  <w:p>
    <w:pPr>
      <w:pStyle w:val="10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p>
    <w:pPr>
      <w:pStyle w:val="104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4"/>
      <w:isLgl w:val="false"/>
      <w:suff w:val="tab"/>
      <w:lvlText w:val="%1."/>
      <w:lvlJc w:val="left"/>
      <w:pPr>
        <w:pStyle w:val="1048"/>
        <w:ind w:left="420" w:hanging="420"/>
      </w:pPr>
    </w:lvl>
    <w:lvl w:ilvl="1">
      <w:start w:val="1"/>
      <w:numFmt w:val="decimal"/>
      <w:isLgl w:val="false"/>
      <w:suff w:val="tab"/>
      <w:lvlText w:val="（%2）"/>
      <w:lvlJc w:val="left"/>
      <w:pPr>
        <w:pStyle w:val="1048"/>
        <w:ind w:left="1140" w:hanging="720"/>
        <w:tabs>
          <w:tab w:val="num" w:pos="1140" w:leader="none"/>
        </w:tabs>
      </w:pPr>
      <w:rPr>
        <w:rFonts w:hint="eastAsia"/>
      </w:r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2">
    <w:multiLevelType w:val="hybridMultilevel"/>
    <w:lvl w:ilvl="0">
      <w:start w:val="1"/>
      <w:numFmt w:val="lowerLetter"/>
      <w:pStyle w:val="1238"/>
      <w:isLgl w:val="false"/>
      <w:suff w:val="tab"/>
      <w:lvlText w:val="%1)"/>
      <w:lvlJc w:val="left"/>
      <w:pPr>
        <w:pStyle w:val="1048"/>
        <w:ind w:left="902" w:hanging="420"/>
      </w:pPr>
      <w:rPr>
        <w:color w:val="000000"/>
      </w:rPr>
    </w:lvl>
    <w:lvl w:ilvl="1">
      <w:start w:val="1"/>
      <w:numFmt w:val="lowerLetter"/>
      <w:isLgl w:val="false"/>
      <w:suff w:val="tab"/>
      <w:lvlText w:val="%2)"/>
      <w:lvlJc w:val="left"/>
      <w:pPr>
        <w:pStyle w:val="1048"/>
        <w:ind w:left="1322" w:hanging="420"/>
      </w:pPr>
    </w:lvl>
    <w:lvl w:ilvl="2">
      <w:start w:val="1"/>
      <w:numFmt w:val="lowerRoman"/>
      <w:isLgl w:val="false"/>
      <w:suff w:val="tab"/>
      <w:lvlText w:val="%3."/>
      <w:lvlJc w:val="right"/>
      <w:pPr>
        <w:pStyle w:val="1048"/>
        <w:ind w:left="1742" w:hanging="420"/>
      </w:pPr>
    </w:lvl>
    <w:lvl w:ilvl="3">
      <w:start w:val="1"/>
      <w:numFmt w:val="decimal"/>
      <w:isLgl w:val="false"/>
      <w:suff w:val="tab"/>
      <w:lvlText w:val="%4."/>
      <w:lvlJc w:val="left"/>
      <w:pPr>
        <w:pStyle w:val="1048"/>
        <w:ind w:left="2162" w:hanging="420"/>
      </w:pPr>
    </w:lvl>
    <w:lvl w:ilvl="4">
      <w:start w:val="1"/>
      <w:numFmt w:val="lowerLetter"/>
      <w:isLgl w:val="false"/>
      <w:suff w:val="tab"/>
      <w:lvlText w:val="%5)"/>
      <w:lvlJc w:val="left"/>
      <w:pPr>
        <w:pStyle w:val="1048"/>
        <w:ind w:left="2582" w:hanging="420"/>
      </w:pPr>
    </w:lvl>
    <w:lvl w:ilvl="5">
      <w:start w:val="1"/>
      <w:numFmt w:val="lowerRoman"/>
      <w:isLgl w:val="false"/>
      <w:suff w:val="tab"/>
      <w:lvlText w:val="%6."/>
      <w:lvlJc w:val="right"/>
      <w:pPr>
        <w:pStyle w:val="1048"/>
        <w:ind w:left="3002" w:hanging="420"/>
      </w:pPr>
    </w:lvl>
    <w:lvl w:ilvl="6">
      <w:start w:val="1"/>
      <w:numFmt w:val="decimal"/>
      <w:isLgl w:val="false"/>
      <w:suff w:val="tab"/>
      <w:lvlText w:val="%7."/>
      <w:lvlJc w:val="left"/>
      <w:pPr>
        <w:pStyle w:val="1048"/>
        <w:ind w:left="3422" w:hanging="420"/>
      </w:pPr>
    </w:lvl>
    <w:lvl w:ilvl="7">
      <w:start w:val="1"/>
      <w:numFmt w:val="lowerLetter"/>
      <w:isLgl w:val="false"/>
      <w:suff w:val="tab"/>
      <w:lvlText w:val="%8)"/>
      <w:lvlJc w:val="left"/>
      <w:pPr>
        <w:pStyle w:val="1048"/>
        <w:ind w:left="3842" w:hanging="420"/>
      </w:pPr>
    </w:lvl>
    <w:lvl w:ilvl="8">
      <w:start w:val="1"/>
      <w:numFmt w:val="lowerRoman"/>
      <w:isLgl w:val="false"/>
      <w:suff w:val="tab"/>
      <w:lvlText w:val="%9."/>
      <w:lvlJc w:val="right"/>
      <w:pPr>
        <w:pStyle w:val="1048"/>
        <w:ind w:left="4262" w:hanging="420"/>
      </w:pPr>
    </w:lvl>
  </w:abstractNum>
  <w:abstractNum w:abstractNumId="3">
    <w:multiLevelType w:val="hybridMultilevel"/>
    <w:lvl w:ilvl="0">
      <w:start w:val="1"/>
      <w:numFmt w:val="decimal"/>
      <w:pStyle w:val="1209"/>
      <w:isLgl w:val="false"/>
      <w:suff w:val="tab"/>
      <w:lvlText w:val="%1."/>
      <w:lvlJc w:val="left"/>
      <w:pPr>
        <w:pStyle w:val="10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8"/>
      <w:isLgl w:val="false"/>
      <w:suff w:val="nothing"/>
      <w:lvlText w:val="%1　"/>
      <w:lvlJc w:val="left"/>
      <w:pPr>
        <w:pStyle w:val="10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8"/>
        <w:ind w:left="-25" w:firstLine="0"/>
      </w:pPr>
      <w:rPr>
        <w:rFonts w:ascii="Times New Roman" w:hAnsi="Times New Roman" w:eastAsia="黑体"/>
        <w:b/>
        <w:i w:val="0"/>
        <w:sz w:val="28"/>
      </w:rPr>
    </w:lvl>
    <w:lvl w:ilvl="3">
      <w:start w:val="1"/>
      <w:numFmt w:val="decimal"/>
      <w:pStyle w:val="1194"/>
      <w:isLgl w:val="false"/>
      <w:suff w:val="nothing"/>
      <w:lvlText w:val="%1.%2.%3.%4　"/>
      <w:lvlJc w:val="left"/>
      <w:pPr>
        <w:pStyle w:val="10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8"/>
        <w:ind w:left="-25" w:firstLine="0"/>
      </w:pPr>
      <w:rPr>
        <w:rFonts w:ascii="Times New Roman" w:hAnsi="Times New Roman" w:eastAsia="宋体"/>
        <w:b/>
        <w:i w:val="0"/>
        <w:sz w:val="28"/>
      </w:rPr>
    </w:lvl>
    <w:lvl w:ilvl="6">
      <w:start w:val="1"/>
      <w:numFmt w:val="lowerLetter"/>
      <w:pStyle w:val="1215"/>
      <w:isLgl w:val="false"/>
      <w:suff w:val="tab"/>
      <w:lvlText w:val="%7) "/>
      <w:lvlJc w:val="left"/>
      <w:pPr>
        <w:pStyle w:val="1048"/>
        <w:ind w:left="-125" w:firstLine="400"/>
        <w:tabs>
          <w:tab w:val="num" w:pos="635" w:leader="none"/>
        </w:tabs>
      </w:pPr>
      <w:rPr>
        <w:rFonts w:ascii="Times New Roman" w:hAnsi="Times New Roman" w:eastAsia="宋体"/>
        <w:b/>
        <w:i w:val="0"/>
        <w:color w:val="000000"/>
        <w:sz w:val="28"/>
        <w:u w:val="none"/>
      </w:rPr>
    </w:lvl>
    <w:lvl w:ilvl="7">
      <w:start w:val="1"/>
      <w:numFmt w:val="decimal"/>
      <w:pStyle w:val="1178"/>
      <w:isLgl w:val="false"/>
      <w:suff w:val="tab"/>
      <w:lvlText w:val="%8) "/>
      <w:lvlJc w:val="left"/>
      <w:pPr>
        <w:pStyle w:val="10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48"/>
        <w:ind w:left="768" w:hanging="360"/>
        <w:tabs>
          <w:tab w:val="num" w:pos="768" w:leader="none"/>
        </w:tabs>
      </w:pPr>
      <w:rPr>
        <w:rFonts w:hint="eastAsia"/>
      </w:rPr>
    </w:lvl>
    <w:lvl w:ilvl="1">
      <w:start w:val="1"/>
      <w:numFmt w:val="decimal"/>
      <w:pStyle w:val="1196"/>
      <w:isLgl w:val="false"/>
      <w:suff w:val="tab"/>
      <w:lvlText w:val="%2、"/>
      <w:lvlJc w:val="left"/>
      <w:pPr>
        <w:pStyle w:val="1048"/>
        <w:ind w:left="1188" w:hanging="360"/>
        <w:tabs>
          <w:tab w:val="num" w:pos="1188" w:leader="none"/>
        </w:tabs>
      </w:pPr>
      <w:rPr>
        <w:rFonts w:hint="eastAsia"/>
      </w:rPr>
    </w:lvl>
    <w:lvl w:ilvl="2">
      <w:start w:val="1"/>
      <w:numFmt w:val="decimal"/>
      <w:isLgl w:val="false"/>
      <w:suff w:val="tab"/>
      <w:lvlText w:val="（%3）"/>
      <w:lvlJc w:val="left"/>
      <w:pPr>
        <w:pStyle w:val="1048"/>
        <w:ind w:left="1968" w:hanging="720"/>
        <w:tabs>
          <w:tab w:val="num" w:pos="1968" w:leader="none"/>
        </w:tabs>
      </w:pPr>
      <w:rPr>
        <w:rFonts w:hint="eastAsia"/>
        <w:u w:val="none"/>
      </w:rPr>
    </w:lvl>
    <w:lvl w:ilvl="3">
      <w:start w:val="1"/>
      <w:numFmt w:val="decimal"/>
      <w:isLgl w:val="false"/>
      <w:suff w:val="tab"/>
      <w:lvlText w:val="%4."/>
      <w:lvlJc w:val="left"/>
      <w:pPr>
        <w:pStyle w:val="1048"/>
        <w:ind w:left="2088" w:hanging="420"/>
        <w:tabs>
          <w:tab w:val="num" w:pos="2088" w:leader="none"/>
        </w:tabs>
      </w:pPr>
    </w:lvl>
    <w:lvl w:ilvl="4">
      <w:start w:val="1"/>
      <w:numFmt w:val="lowerLetter"/>
      <w:isLgl w:val="false"/>
      <w:suff w:val="tab"/>
      <w:lvlText w:val="%5)"/>
      <w:lvlJc w:val="left"/>
      <w:pPr>
        <w:pStyle w:val="1048"/>
        <w:ind w:left="2508" w:hanging="420"/>
        <w:tabs>
          <w:tab w:val="num" w:pos="2508" w:leader="none"/>
        </w:tabs>
      </w:pPr>
    </w:lvl>
    <w:lvl w:ilvl="5">
      <w:start w:val="1"/>
      <w:numFmt w:val="lowerRoman"/>
      <w:isLgl w:val="false"/>
      <w:suff w:val="tab"/>
      <w:lvlText w:val="%6."/>
      <w:lvlJc w:val="right"/>
      <w:pPr>
        <w:pStyle w:val="1048"/>
        <w:ind w:left="2928" w:hanging="420"/>
        <w:tabs>
          <w:tab w:val="num" w:pos="2928" w:leader="none"/>
        </w:tabs>
      </w:pPr>
    </w:lvl>
    <w:lvl w:ilvl="6">
      <w:start w:val="1"/>
      <w:numFmt w:val="decimal"/>
      <w:isLgl w:val="false"/>
      <w:suff w:val="tab"/>
      <w:lvlText w:val="%7."/>
      <w:lvlJc w:val="left"/>
      <w:pPr>
        <w:pStyle w:val="1048"/>
        <w:ind w:left="3348" w:hanging="420"/>
        <w:tabs>
          <w:tab w:val="num" w:pos="3348" w:leader="none"/>
        </w:tabs>
      </w:pPr>
    </w:lvl>
    <w:lvl w:ilvl="7">
      <w:start w:val="1"/>
      <w:numFmt w:val="lowerLetter"/>
      <w:isLgl w:val="false"/>
      <w:suff w:val="tab"/>
      <w:lvlText w:val="%8)"/>
      <w:lvlJc w:val="left"/>
      <w:pPr>
        <w:pStyle w:val="1048"/>
        <w:ind w:left="3768" w:hanging="420"/>
        <w:tabs>
          <w:tab w:val="num" w:pos="3768" w:leader="none"/>
        </w:tabs>
      </w:pPr>
    </w:lvl>
    <w:lvl w:ilvl="8">
      <w:start w:val="1"/>
      <w:numFmt w:val="lowerRoman"/>
      <w:isLgl w:val="false"/>
      <w:suff w:val="tab"/>
      <w:lvlText w:val="%9."/>
      <w:lvlJc w:val="right"/>
      <w:pPr>
        <w:pStyle w:val="1048"/>
        <w:ind w:left="4188" w:hanging="420"/>
        <w:tabs>
          <w:tab w:val="num" w:pos="4188" w:leader="none"/>
        </w:tabs>
      </w:pPr>
    </w:lvl>
  </w:abstractNum>
  <w:abstractNum w:abstractNumId="6">
    <w:multiLevelType w:val="hybridMultilevel"/>
    <w:lvl w:ilvl="0">
      <w:start w:val="1"/>
      <w:numFmt w:val="decimal"/>
      <w:pStyle w:val="1163"/>
      <w:isLgl w:val="false"/>
      <w:suff w:val="tab"/>
      <w:lvlText w:val="%1)"/>
      <w:lvlJc w:val="left"/>
      <w:pPr>
        <w:pStyle w:val="1048"/>
        <w:ind w:left="420" w:hanging="420"/>
      </w:p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7">
    <w:multiLevelType w:val="hybridMultilevel"/>
    <w:lvl w:ilvl="0">
      <w:start w:val="1"/>
      <w:numFmt w:val="decimal"/>
      <w:pStyle w:val="1263"/>
      <w:isLgl w:val="false"/>
      <w:suff w:val="tab"/>
      <w:lvlText w:val="%1"/>
      <w:lvlJc w:val="left"/>
      <w:pPr>
        <w:pStyle w:val="1048"/>
        <w:ind w:left="680" w:hanging="680"/>
      </w:pPr>
      <w:rPr>
        <w:rFonts w:hint="eastAsia" w:ascii="宋体" w:hAnsi="宋体" w:eastAsia="宋体"/>
      </w:rPr>
    </w:lvl>
    <w:lvl w:ilvl="1">
      <w:start w:val="1"/>
      <w:numFmt w:val="decimal"/>
      <w:pStyle w:val="1264"/>
      <w:isLgl w:val="false"/>
      <w:suff w:val="tab"/>
      <w:lvlText w:val="%1.%2"/>
      <w:lvlJc w:val="left"/>
      <w:pPr>
        <w:pStyle w:val="1048"/>
        <w:ind w:left="851" w:hanging="851"/>
      </w:pPr>
      <w:rPr>
        <w:rFonts w:hint="eastAsia" w:ascii="宋体" w:hAnsi="宋体" w:eastAsia="宋体"/>
        <w:color w:val="000000"/>
      </w:rPr>
    </w:lvl>
    <w:lvl w:ilvl="2">
      <w:start w:val="1"/>
      <w:numFmt w:val="decimal"/>
      <w:pStyle w:val="1265"/>
      <w:isLgl w:val="false"/>
      <w:suff w:val="tab"/>
      <w:lvlText w:val="%1.%2.%3"/>
      <w:lvlJc w:val="left"/>
      <w:pPr>
        <w:pStyle w:val="1048"/>
        <w:ind w:left="851" w:hanging="851"/>
      </w:pPr>
      <w:rPr>
        <w:rFonts w:hint="eastAsia"/>
      </w:rPr>
    </w:lvl>
    <w:lvl w:ilvl="3">
      <w:start w:val="1"/>
      <w:numFmt w:val="decimal"/>
      <w:isLgl w:val="false"/>
      <w:suff w:val="tab"/>
      <w:lvlText w:val="%1.%2.%3.%4"/>
      <w:lvlJc w:val="left"/>
      <w:pPr>
        <w:pStyle w:val="1048"/>
        <w:ind w:left="680" w:hanging="680"/>
      </w:pPr>
      <w:rPr>
        <w:rFonts w:hint="eastAsia"/>
      </w:rPr>
    </w:lvl>
    <w:lvl w:ilvl="4">
      <w:start w:val="1"/>
      <w:numFmt w:val="decimal"/>
      <w:isLgl w:val="false"/>
      <w:suff w:val="tab"/>
      <w:lvlText w:val="%1.%2.%3.%4.%5"/>
      <w:lvlJc w:val="left"/>
      <w:pPr>
        <w:pStyle w:val="1048"/>
        <w:ind w:left="680" w:hanging="680"/>
      </w:pPr>
      <w:rPr>
        <w:rFonts w:hint="eastAsia"/>
      </w:rPr>
    </w:lvl>
    <w:lvl w:ilvl="5">
      <w:start w:val="1"/>
      <w:numFmt w:val="decimal"/>
      <w:isLgl w:val="false"/>
      <w:suff w:val="tab"/>
      <w:lvlText w:val="%1.%2.%3.%4.%5.%6"/>
      <w:lvlJc w:val="left"/>
      <w:pPr>
        <w:pStyle w:val="1048"/>
        <w:ind w:left="680" w:hanging="680"/>
      </w:pPr>
      <w:rPr>
        <w:rFonts w:hint="eastAsia"/>
      </w:rPr>
    </w:lvl>
    <w:lvl w:ilvl="6">
      <w:start w:val="1"/>
      <w:numFmt w:val="decimal"/>
      <w:isLgl w:val="false"/>
      <w:suff w:val="tab"/>
      <w:lvlText w:val="%1.%2.%3.%4.%5.%6.%7"/>
      <w:lvlJc w:val="left"/>
      <w:pPr>
        <w:pStyle w:val="1048"/>
        <w:ind w:left="680" w:hanging="680"/>
      </w:pPr>
      <w:rPr>
        <w:rFonts w:hint="eastAsia"/>
      </w:rPr>
    </w:lvl>
    <w:lvl w:ilvl="7">
      <w:start w:val="1"/>
      <w:numFmt w:val="decimal"/>
      <w:isLgl w:val="false"/>
      <w:suff w:val="tab"/>
      <w:lvlText w:val="%1.%2.%3.%4.%5.%6.%7.%8"/>
      <w:lvlJc w:val="left"/>
      <w:pPr>
        <w:pStyle w:val="1048"/>
        <w:ind w:left="680" w:hanging="680"/>
      </w:pPr>
      <w:rPr>
        <w:rFonts w:hint="eastAsia"/>
      </w:rPr>
    </w:lvl>
    <w:lvl w:ilvl="8">
      <w:start w:val="1"/>
      <w:numFmt w:val="decimal"/>
      <w:isLgl w:val="false"/>
      <w:suff w:val="tab"/>
      <w:lvlText w:val="%1.%2.%3.%4.%5.%6.%7.%8.%9"/>
      <w:lvlJc w:val="left"/>
      <w:pPr>
        <w:pStyle w:val="1048"/>
        <w:ind w:left="680" w:hanging="680"/>
      </w:pPr>
      <w:rPr>
        <w:rFonts w:hint="eastAsia"/>
      </w:rPr>
    </w:lvl>
  </w:abstractNum>
  <w:abstractNum w:abstractNumId="8">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pStyle w:val="1048"/>
        <w:ind w:left="1440" w:hanging="360"/>
      </w:pPr>
      <w:rPr>
        <w:rFonts w:ascii="Courier New" w:hAnsi="Courier New" w:eastAsia="Courier New" w:cs="Courier New"/>
      </w:rPr>
    </w:lvl>
    <w:lvl w:ilvl="2">
      <w:start w:val="1"/>
      <w:numFmt w:val="bullet"/>
      <w:isLgl w:val="false"/>
      <w:suff w:val="tab"/>
      <w:lvlText w:val="§"/>
      <w:lvlJc w:val="left"/>
      <w:pPr>
        <w:pStyle w:val="1048"/>
        <w:ind w:left="2160" w:hanging="360"/>
      </w:pPr>
      <w:rPr>
        <w:rFonts w:ascii="Wingdings" w:hAnsi="Wingdings" w:eastAsia="Wingdings" w:cs="Wingdings"/>
      </w:rPr>
    </w:lvl>
    <w:lvl w:ilvl="3">
      <w:start w:val="1"/>
      <w:numFmt w:val="bullet"/>
      <w:isLgl w:val="false"/>
      <w:suff w:val="tab"/>
      <w:lvlText w:val="·"/>
      <w:lvlJc w:val="left"/>
      <w:pPr>
        <w:pStyle w:val="1048"/>
        <w:ind w:left="2880" w:hanging="360"/>
      </w:pPr>
      <w:rPr>
        <w:rFonts w:ascii="Symbol" w:hAnsi="Symbol" w:eastAsia="Symbol" w:cs="Symbol"/>
      </w:rPr>
    </w:lvl>
    <w:lvl w:ilvl="4">
      <w:start w:val="1"/>
      <w:numFmt w:val="bullet"/>
      <w:isLgl w:val="false"/>
      <w:suff w:val="tab"/>
      <w:lvlText w:val="o"/>
      <w:lvlJc w:val="left"/>
      <w:pPr>
        <w:pStyle w:val="1048"/>
        <w:ind w:left="3600" w:hanging="360"/>
      </w:pPr>
      <w:rPr>
        <w:rFonts w:ascii="Courier New" w:hAnsi="Courier New" w:eastAsia="Courier New" w:cs="Courier New"/>
      </w:rPr>
    </w:lvl>
    <w:lvl w:ilvl="5">
      <w:start w:val="1"/>
      <w:numFmt w:val="bullet"/>
      <w:isLgl w:val="false"/>
      <w:suff w:val="tab"/>
      <w:lvlText w:val="§"/>
      <w:lvlJc w:val="left"/>
      <w:pPr>
        <w:pStyle w:val="1048"/>
        <w:ind w:left="4320" w:hanging="360"/>
      </w:pPr>
      <w:rPr>
        <w:rFonts w:ascii="Wingdings" w:hAnsi="Wingdings" w:eastAsia="Wingdings" w:cs="Wingdings"/>
      </w:rPr>
    </w:lvl>
    <w:lvl w:ilvl="6">
      <w:start w:val="1"/>
      <w:numFmt w:val="bullet"/>
      <w:isLgl w:val="false"/>
      <w:suff w:val="tab"/>
      <w:lvlText w:val="·"/>
      <w:lvlJc w:val="left"/>
      <w:pPr>
        <w:pStyle w:val="1048"/>
        <w:ind w:left="5040" w:hanging="360"/>
      </w:pPr>
      <w:rPr>
        <w:rFonts w:ascii="Symbol" w:hAnsi="Symbol" w:eastAsia="Symbol" w:cs="Symbol"/>
      </w:rPr>
    </w:lvl>
    <w:lvl w:ilvl="7">
      <w:start w:val="1"/>
      <w:numFmt w:val="bullet"/>
      <w:isLgl w:val="false"/>
      <w:suff w:val="tab"/>
      <w:lvlText w:val="o"/>
      <w:lvlJc w:val="left"/>
      <w:pPr>
        <w:pStyle w:val="1048"/>
        <w:ind w:left="5760" w:hanging="360"/>
      </w:pPr>
      <w:rPr>
        <w:rFonts w:ascii="Courier New" w:hAnsi="Courier New" w:eastAsia="Courier New" w:cs="Courier New"/>
      </w:rPr>
    </w:lvl>
    <w:lvl w:ilvl="8">
      <w:start w:val="1"/>
      <w:numFmt w:val="bullet"/>
      <w:isLgl w:val="false"/>
      <w:suff w:val="tab"/>
      <w:lvlText w:val="§"/>
      <w:lvlJc w:val="left"/>
      <w:pPr>
        <w:pStyle w:val="104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48"/>
        <w:ind w:left="900" w:hanging="900"/>
        <w:tabs>
          <w:tab w:val="num" w:pos="900" w:leader="none"/>
        </w:tabs>
      </w:pPr>
      <w:rPr>
        <w:rFonts w:hint="eastAsia"/>
      </w:rPr>
    </w:lvl>
    <w:lvl w:ilvl="1">
      <w:start w:val="1"/>
      <w:numFmt w:val="decimal"/>
      <w:isLgl w:val="false"/>
      <w:suff w:val="tab"/>
      <w:lvlText w:val="%1.%2"/>
      <w:lvlJc w:val="left"/>
      <w:pPr>
        <w:pStyle w:val="10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8"/>
        <w:ind w:left="1980" w:hanging="900"/>
        <w:tabs>
          <w:tab w:val="num" w:pos="1980" w:leader="none"/>
        </w:tabs>
      </w:pPr>
      <w:rPr>
        <w:rFonts w:hint="eastAsia"/>
      </w:rPr>
    </w:lvl>
    <w:lvl w:ilvl="3">
      <w:start w:val="1"/>
      <w:numFmt w:val="decimal"/>
      <w:isLgl w:val="false"/>
      <w:suff w:val="tab"/>
      <w:lvlText w:val="%1.%2.%3.%4"/>
      <w:lvlJc w:val="left"/>
      <w:pPr>
        <w:pStyle w:val="1048"/>
        <w:ind w:left="900" w:hanging="900"/>
        <w:tabs>
          <w:tab w:val="num" w:pos="900" w:leader="none"/>
        </w:tabs>
      </w:pPr>
      <w:rPr>
        <w:rFonts w:hint="eastAsia"/>
      </w:rPr>
    </w:lvl>
    <w:lvl w:ilvl="4">
      <w:start w:val="1"/>
      <w:numFmt w:val="decimal"/>
      <w:isLgl w:val="false"/>
      <w:suff w:val="tab"/>
      <w:lvlText w:val="%1.%2.%3.%4.%5"/>
      <w:lvlJc w:val="left"/>
      <w:pPr>
        <w:pStyle w:val="1048"/>
        <w:ind w:left="900" w:hanging="900"/>
        <w:tabs>
          <w:tab w:val="num" w:pos="900" w:leader="none"/>
        </w:tabs>
      </w:pPr>
      <w:rPr>
        <w:rFonts w:hint="eastAsia"/>
      </w:rPr>
    </w:lvl>
    <w:lvl w:ilvl="5">
      <w:start w:val="1"/>
      <w:numFmt w:val="decimal"/>
      <w:isLgl w:val="false"/>
      <w:suff w:val="tab"/>
      <w:lvlText w:val="%1.%2.%3.%4.%5.%6"/>
      <w:lvlJc w:val="left"/>
      <w:pPr>
        <w:pStyle w:val="1048"/>
        <w:ind w:left="900" w:hanging="900"/>
        <w:tabs>
          <w:tab w:val="num" w:pos="900" w:leader="none"/>
        </w:tabs>
      </w:pPr>
      <w:rPr>
        <w:rFonts w:hint="eastAsia"/>
      </w:rPr>
    </w:lvl>
    <w:lvl w:ilvl="6">
      <w:start w:val="1"/>
      <w:numFmt w:val="decimal"/>
      <w:isLgl w:val="false"/>
      <w:suff w:val="tab"/>
      <w:lvlText w:val="%1.%2.%3.%4.%5.%6.%7"/>
      <w:lvlJc w:val="left"/>
      <w:pPr>
        <w:pStyle w:val="1048"/>
        <w:ind w:left="900" w:hanging="900"/>
        <w:tabs>
          <w:tab w:val="num" w:pos="900" w:leader="none"/>
        </w:tabs>
      </w:pPr>
      <w:rPr>
        <w:rFonts w:hint="eastAsia"/>
      </w:rPr>
    </w:lvl>
    <w:lvl w:ilvl="7">
      <w:start w:val="1"/>
      <w:numFmt w:val="decimal"/>
      <w:isLgl w:val="false"/>
      <w:suff w:val="tab"/>
      <w:lvlText w:val="%1.%2.%3.%4.%5.%6.%7.%8"/>
      <w:lvlJc w:val="left"/>
      <w:pPr>
        <w:pStyle w:val="1048"/>
        <w:ind w:left="900" w:hanging="900"/>
        <w:tabs>
          <w:tab w:val="num" w:pos="900" w:leader="none"/>
        </w:tabs>
      </w:pPr>
      <w:rPr>
        <w:rFonts w:hint="eastAsia"/>
      </w:rPr>
    </w:lvl>
    <w:lvl w:ilvl="8">
      <w:start w:val="1"/>
      <w:numFmt w:val="decimal"/>
      <w:isLgl w:val="false"/>
      <w:suff w:val="tab"/>
      <w:lvlText w:val="%1.%2.%3.%4.%5.%6.%7.%8.%9"/>
      <w:lvlJc w:val="left"/>
      <w:pPr>
        <w:pStyle w:val="1048"/>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1048"/>
    <w:next w:val="1048"/>
    <w:link w:val="871"/>
    <w:uiPriority w:val="9"/>
    <w:qFormat/>
    <w:pPr>
      <w:keepLines/>
      <w:keepNext/>
      <w:spacing w:before="480" w:after="200"/>
      <w:outlineLvl w:val="0"/>
    </w:pPr>
    <w:rPr>
      <w:rFonts w:ascii="Arial" w:hAnsi="Arial" w:eastAsia="Arial" w:cs="Arial"/>
      <w:sz w:val="40"/>
      <w:szCs w:val="40"/>
    </w:rPr>
  </w:style>
  <w:style w:type="character" w:styleId="871">
    <w:name w:val="Heading 1 Char"/>
    <w:link w:val="870"/>
    <w:uiPriority w:val="9"/>
    <w:rPr>
      <w:rFonts w:ascii="Arial" w:hAnsi="Arial" w:eastAsia="Arial" w:cs="Arial"/>
      <w:sz w:val="40"/>
      <w:szCs w:val="40"/>
    </w:rPr>
  </w:style>
  <w:style w:type="paragraph" w:styleId="872">
    <w:name w:val="Heading 2"/>
    <w:basedOn w:val="1048"/>
    <w:next w:val="1048"/>
    <w:link w:val="873"/>
    <w:uiPriority w:val="9"/>
    <w:unhideWhenUsed/>
    <w:qFormat/>
    <w:pPr>
      <w:keepLines/>
      <w:keepNext/>
      <w:spacing w:before="360" w:after="200"/>
      <w:outlineLvl w:val="1"/>
    </w:pPr>
    <w:rPr>
      <w:rFonts w:ascii="Arial" w:hAnsi="Arial" w:eastAsia="Arial" w:cs="Arial"/>
      <w:sz w:val="34"/>
    </w:rPr>
  </w:style>
  <w:style w:type="character" w:styleId="873">
    <w:name w:val="Heading 2 Char"/>
    <w:link w:val="872"/>
    <w:uiPriority w:val="9"/>
    <w:rPr>
      <w:rFonts w:ascii="Arial" w:hAnsi="Arial" w:eastAsia="Arial" w:cs="Arial"/>
      <w:sz w:val="34"/>
    </w:rPr>
  </w:style>
  <w:style w:type="paragraph" w:styleId="874">
    <w:name w:val="Heading 3"/>
    <w:basedOn w:val="1048"/>
    <w:next w:val="1048"/>
    <w:link w:val="875"/>
    <w:uiPriority w:val="9"/>
    <w:unhideWhenUsed/>
    <w:qFormat/>
    <w:pPr>
      <w:keepLines/>
      <w:keepNext/>
      <w:spacing w:before="320" w:after="200"/>
      <w:outlineLvl w:val="2"/>
    </w:pPr>
    <w:rPr>
      <w:rFonts w:ascii="Arial" w:hAnsi="Arial" w:eastAsia="Arial" w:cs="Arial"/>
      <w:sz w:val="30"/>
      <w:szCs w:val="30"/>
    </w:rPr>
  </w:style>
  <w:style w:type="character" w:styleId="875">
    <w:name w:val="Heading 3 Char"/>
    <w:link w:val="874"/>
    <w:uiPriority w:val="9"/>
    <w:rPr>
      <w:rFonts w:ascii="Arial" w:hAnsi="Arial" w:eastAsia="Arial" w:cs="Arial"/>
      <w:sz w:val="30"/>
      <w:szCs w:val="30"/>
    </w:rPr>
  </w:style>
  <w:style w:type="paragraph" w:styleId="876">
    <w:name w:val="Heading 4"/>
    <w:basedOn w:val="1048"/>
    <w:next w:val="1048"/>
    <w:link w:val="877"/>
    <w:uiPriority w:val="9"/>
    <w:unhideWhenUsed/>
    <w:qFormat/>
    <w:pPr>
      <w:keepLines/>
      <w:keepNext/>
      <w:spacing w:before="320" w:after="200"/>
      <w:outlineLvl w:val="3"/>
    </w:pPr>
    <w:rPr>
      <w:rFonts w:ascii="Arial" w:hAnsi="Arial" w:eastAsia="Arial" w:cs="Arial"/>
      <w:b/>
      <w:bCs/>
      <w:sz w:val="26"/>
      <w:szCs w:val="26"/>
    </w:rPr>
  </w:style>
  <w:style w:type="character" w:styleId="877">
    <w:name w:val="Heading 4 Char"/>
    <w:link w:val="876"/>
    <w:uiPriority w:val="9"/>
    <w:rPr>
      <w:rFonts w:ascii="Arial" w:hAnsi="Arial" w:eastAsia="Arial" w:cs="Arial"/>
      <w:b/>
      <w:bCs/>
      <w:sz w:val="26"/>
      <w:szCs w:val="26"/>
    </w:rPr>
  </w:style>
  <w:style w:type="paragraph" w:styleId="878">
    <w:name w:val="Heading 5"/>
    <w:basedOn w:val="1048"/>
    <w:next w:val="1048"/>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link w:val="878"/>
    <w:uiPriority w:val="9"/>
    <w:rPr>
      <w:rFonts w:ascii="Arial" w:hAnsi="Arial" w:eastAsia="Arial" w:cs="Arial"/>
      <w:b/>
      <w:bCs/>
      <w:sz w:val="24"/>
      <w:szCs w:val="24"/>
    </w:rPr>
  </w:style>
  <w:style w:type="paragraph" w:styleId="880">
    <w:name w:val="Heading 6"/>
    <w:basedOn w:val="1048"/>
    <w:next w:val="1048"/>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link w:val="880"/>
    <w:uiPriority w:val="9"/>
    <w:rPr>
      <w:rFonts w:ascii="Arial" w:hAnsi="Arial" w:eastAsia="Arial" w:cs="Arial"/>
      <w:b/>
      <w:bCs/>
      <w:sz w:val="22"/>
      <w:szCs w:val="22"/>
    </w:rPr>
  </w:style>
  <w:style w:type="paragraph" w:styleId="882">
    <w:name w:val="Heading 7"/>
    <w:basedOn w:val="1048"/>
    <w:next w:val="1048"/>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link w:val="882"/>
    <w:uiPriority w:val="9"/>
    <w:rPr>
      <w:rFonts w:ascii="Arial" w:hAnsi="Arial" w:eastAsia="Arial" w:cs="Arial"/>
      <w:b/>
      <w:bCs/>
      <w:i/>
      <w:iCs/>
      <w:sz w:val="22"/>
      <w:szCs w:val="22"/>
    </w:rPr>
  </w:style>
  <w:style w:type="paragraph" w:styleId="884">
    <w:name w:val="Heading 8"/>
    <w:basedOn w:val="1048"/>
    <w:next w:val="1048"/>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link w:val="884"/>
    <w:uiPriority w:val="9"/>
    <w:rPr>
      <w:rFonts w:ascii="Arial" w:hAnsi="Arial" w:eastAsia="Arial" w:cs="Arial"/>
      <w:i/>
      <w:iCs/>
      <w:sz w:val="22"/>
      <w:szCs w:val="22"/>
    </w:rPr>
  </w:style>
  <w:style w:type="paragraph" w:styleId="886">
    <w:name w:val="Heading 9"/>
    <w:basedOn w:val="1048"/>
    <w:next w:val="1048"/>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link w:val="886"/>
    <w:uiPriority w:val="9"/>
    <w:rPr>
      <w:rFonts w:ascii="Arial" w:hAnsi="Arial" w:eastAsia="Arial" w:cs="Arial"/>
      <w:i/>
      <w:iCs/>
      <w:sz w:val="21"/>
      <w:szCs w:val="21"/>
    </w:rPr>
  </w:style>
  <w:style w:type="paragraph" w:styleId="888">
    <w:name w:val="List Paragraph"/>
    <w:basedOn w:val="1048"/>
    <w:uiPriority w:val="34"/>
    <w:qFormat/>
    <w:pPr>
      <w:contextualSpacing/>
      <w:ind w:left="720"/>
    </w:pPr>
  </w:style>
  <w:style w:type="paragraph" w:styleId="889">
    <w:name w:val="No Spacing"/>
    <w:uiPriority w:val="1"/>
    <w:qFormat/>
    <w:pPr>
      <w:spacing w:before="0" w:after="0" w:line="240" w:lineRule="auto"/>
    </w:pPr>
  </w:style>
  <w:style w:type="paragraph" w:styleId="890">
    <w:name w:val="Title"/>
    <w:basedOn w:val="1048"/>
    <w:next w:val="1048"/>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8"/>
    <w:next w:val="1048"/>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8"/>
    <w:next w:val="1048"/>
    <w:link w:val="895"/>
    <w:uiPriority w:val="29"/>
    <w:qFormat/>
    <w:pPr>
      <w:ind w:left="720" w:right="720"/>
    </w:pPr>
    <w:rPr>
      <w:i/>
    </w:rPr>
  </w:style>
  <w:style w:type="character" w:styleId="895">
    <w:name w:val="Quote Char"/>
    <w:link w:val="894"/>
    <w:uiPriority w:val="29"/>
    <w:rPr>
      <w:i/>
    </w:rPr>
  </w:style>
  <w:style w:type="paragraph" w:styleId="896">
    <w:name w:val="Intense Quote"/>
    <w:basedOn w:val="1048"/>
    <w:next w:val="1048"/>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8"/>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8"/>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8"/>
    <w:next w:val="1048"/>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Hyperlink"/>
    <w:uiPriority w:val="99"/>
    <w:unhideWhenUsed/>
    <w:rPr>
      <w:color w:val="0000ff" w:themeColor="hyperlink"/>
      <w:u w:val="single"/>
    </w:rPr>
  </w:style>
  <w:style w:type="paragraph" w:styleId="1031">
    <w:name w:val="footnote text"/>
    <w:basedOn w:val="1048"/>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60"/>
    <w:link w:val="1048"/>
    <w:qFormat/>
    <w:pPr>
      <w:jc w:val="both"/>
      <w:widowControl w:val="off"/>
    </w:pPr>
    <w:rPr>
      <w:sz w:val="21"/>
      <w:szCs w:val="24"/>
      <w:lang w:val="en-US" w:eastAsia="zh-CN" w:bidi="ar-SA"/>
    </w:rPr>
  </w:style>
  <w:style w:type="paragraph" w:styleId="1049">
    <w:name w:val="标题 1"/>
    <w:basedOn w:val="1048"/>
    <w:next w:val="1048"/>
    <w:link w:val="1062"/>
    <w:qFormat/>
    <w:pPr>
      <w:jc w:val="center"/>
      <w:keepLines/>
      <w:keepNext/>
      <w:spacing w:before="240" w:after="120" w:line="300" w:lineRule="auto"/>
      <w:outlineLvl w:val="0"/>
    </w:pPr>
    <w:rPr>
      <w:rFonts w:ascii="宋体"/>
      <w:b/>
      <w:sz w:val="32"/>
      <w:szCs w:val="20"/>
    </w:rPr>
  </w:style>
  <w:style w:type="paragraph" w:styleId="1050">
    <w:name w:val="标题 2"/>
    <w:basedOn w:val="1048"/>
    <w:next w:val="1048"/>
    <w:link w:val="1063"/>
    <w:qFormat/>
    <w:pPr>
      <w:jc w:val="center"/>
      <w:keepLines/>
      <w:keepNext/>
      <w:spacing w:before="120" w:line="300" w:lineRule="auto"/>
      <w:outlineLvl w:val="1"/>
    </w:pPr>
    <w:rPr>
      <w:rFonts w:ascii="Arial" w:hAnsi="Arial" w:eastAsia="黑体"/>
      <w:b/>
      <w:sz w:val="30"/>
      <w:szCs w:val="20"/>
    </w:rPr>
  </w:style>
  <w:style w:type="paragraph" w:styleId="1051">
    <w:name w:val="标题 3"/>
    <w:basedOn w:val="1048"/>
    <w:next w:val="1048"/>
    <w:link w:val="1064"/>
    <w:qFormat/>
    <w:pPr>
      <w:jc w:val="left"/>
      <w:keepLines/>
      <w:keepNext/>
      <w:spacing w:before="360" w:after="120"/>
      <w:outlineLvl w:val="2"/>
    </w:pPr>
    <w:rPr>
      <w:rFonts w:ascii="宋体"/>
      <w:b/>
      <w:sz w:val="24"/>
      <w:szCs w:val="20"/>
      <w:u w:val="single"/>
    </w:rPr>
  </w:style>
  <w:style w:type="paragraph" w:styleId="1052">
    <w:name w:val="标题 4"/>
    <w:basedOn w:val="1048"/>
    <w:next w:val="1048"/>
    <w:link w:val="1065"/>
    <w:qFormat/>
    <w:pPr>
      <w:keepLines/>
      <w:keepNext/>
      <w:spacing w:before="280" w:after="290" w:line="376" w:lineRule="atLeast"/>
      <w:outlineLvl w:val="3"/>
    </w:pPr>
    <w:rPr>
      <w:rFonts w:ascii="Arial" w:hAnsi="Arial" w:eastAsia="黑体"/>
      <w:b/>
      <w:sz w:val="28"/>
      <w:szCs w:val="20"/>
    </w:rPr>
  </w:style>
  <w:style w:type="paragraph" w:styleId="1053">
    <w:name w:val="标题 5"/>
    <w:basedOn w:val="1048"/>
    <w:next w:val="1048"/>
    <w:link w:val="1066"/>
    <w:qFormat/>
    <w:pPr>
      <w:keepLines/>
      <w:keepNext/>
      <w:spacing w:before="280" w:after="290" w:line="376" w:lineRule="atLeast"/>
      <w:outlineLvl w:val="4"/>
    </w:pPr>
    <w:rPr>
      <w:b/>
      <w:sz w:val="28"/>
      <w:szCs w:val="20"/>
    </w:rPr>
  </w:style>
  <w:style w:type="paragraph" w:styleId="1054">
    <w:name w:val="标题 6"/>
    <w:basedOn w:val="1048"/>
    <w:next w:val="1048"/>
    <w:link w:val="1067"/>
    <w:qFormat/>
    <w:pPr>
      <w:keepLines/>
      <w:keepNext/>
      <w:spacing w:before="240" w:after="64" w:line="320" w:lineRule="atLeast"/>
      <w:outlineLvl w:val="5"/>
    </w:pPr>
    <w:rPr>
      <w:rFonts w:ascii="Arial" w:hAnsi="Arial" w:eastAsia="黑体"/>
      <w:b/>
      <w:sz w:val="24"/>
      <w:szCs w:val="20"/>
    </w:rPr>
  </w:style>
  <w:style w:type="paragraph" w:styleId="1055">
    <w:name w:val="标题 7"/>
    <w:basedOn w:val="1048"/>
    <w:next w:val="1048"/>
    <w:link w:val="1068"/>
    <w:qFormat/>
    <w:pPr>
      <w:keepLines/>
      <w:keepNext/>
      <w:spacing w:before="240" w:after="64" w:line="320" w:lineRule="atLeast"/>
      <w:outlineLvl w:val="6"/>
    </w:pPr>
    <w:rPr>
      <w:b/>
      <w:sz w:val="24"/>
      <w:szCs w:val="20"/>
    </w:rPr>
  </w:style>
  <w:style w:type="paragraph" w:styleId="1056">
    <w:name w:val="标题 8"/>
    <w:basedOn w:val="1048"/>
    <w:next w:val="1048"/>
    <w:link w:val="1069"/>
    <w:qFormat/>
    <w:pPr>
      <w:keepLines/>
      <w:keepNext/>
      <w:spacing w:before="240" w:after="64" w:line="320" w:lineRule="atLeast"/>
      <w:outlineLvl w:val="7"/>
    </w:pPr>
    <w:rPr>
      <w:rFonts w:ascii="Arial" w:hAnsi="Arial" w:eastAsia="黑体"/>
      <w:sz w:val="24"/>
      <w:szCs w:val="20"/>
    </w:rPr>
  </w:style>
  <w:style w:type="paragraph" w:styleId="1057">
    <w:name w:val="标题 9"/>
    <w:basedOn w:val="1048"/>
    <w:next w:val="1048"/>
    <w:link w:val="1070"/>
    <w:qFormat/>
    <w:pPr>
      <w:keepLines/>
      <w:keepNext/>
      <w:spacing w:before="240" w:after="64" w:line="320" w:lineRule="atLeast"/>
      <w:outlineLvl w:val="8"/>
    </w:pPr>
    <w:rPr>
      <w:rFonts w:ascii="Arial" w:hAnsi="Arial" w:eastAsia="黑体"/>
      <w:szCs w:val="20"/>
    </w:rPr>
  </w:style>
  <w:style w:type="character" w:styleId="1058">
    <w:name w:val="默认段落字体"/>
    <w:next w:val="1058"/>
    <w:link w:val="1048"/>
    <w:uiPriority w:val="1"/>
    <w:unhideWhenUsed/>
    <w:qFormat/>
  </w:style>
  <w:style w:type="table" w:styleId="1059">
    <w:name w:val="普通表格"/>
    <w:next w:val="1059"/>
    <w:link w:val="1048"/>
    <w:uiPriority w:val="99"/>
    <w:unhideWhenUsed/>
    <w:qFormat/>
    <w:tblPr/>
  </w:style>
  <w:style w:type="paragraph" w:styleId="1060">
    <w:name w:val="正文缩进"/>
    <w:basedOn w:val="1048"/>
    <w:next w:val="1060"/>
    <w:link w:val="1061"/>
    <w:qFormat/>
    <w:pPr>
      <w:ind w:firstLine="420"/>
      <w:jc w:val="left"/>
    </w:pPr>
    <w:rPr>
      <w:rFonts w:ascii="宋体"/>
      <w:sz w:val="24"/>
    </w:rPr>
  </w:style>
  <w:style w:type="character" w:styleId="1061">
    <w:name w:val="正文缩进 Char1"/>
    <w:next w:val="1061"/>
    <w:link w:val="1060"/>
    <w:qFormat/>
    <w:rPr>
      <w:rFonts w:ascii="宋体" w:eastAsia="宋体"/>
      <w:sz w:val="24"/>
      <w:szCs w:val="24"/>
      <w:lang w:val="en-US" w:eastAsia="zh-CN" w:bidi="ar-SA"/>
    </w:rPr>
  </w:style>
  <w:style w:type="character" w:styleId="1062">
    <w:name w:val="标题 1 Char"/>
    <w:next w:val="1062"/>
    <w:link w:val="1049"/>
    <w:qFormat/>
    <w:rPr>
      <w:rFonts w:ascii="宋体"/>
      <w:b/>
      <w:sz w:val="32"/>
    </w:rPr>
  </w:style>
  <w:style w:type="character" w:styleId="1063">
    <w:name w:val="标题 2 Char1"/>
    <w:next w:val="1063"/>
    <w:link w:val="1050"/>
    <w:qFormat/>
    <w:rPr>
      <w:rFonts w:ascii="Arial" w:hAnsi="Arial" w:eastAsia="黑体"/>
      <w:b/>
      <w:sz w:val="30"/>
      <w:lang w:val="en-US" w:eastAsia="zh-CN" w:bidi="ar-SA"/>
    </w:rPr>
  </w:style>
  <w:style w:type="character" w:styleId="1064">
    <w:name w:val="标题 3 Char1"/>
    <w:next w:val="1064"/>
    <w:link w:val="1051"/>
    <w:qFormat/>
    <w:rPr>
      <w:rFonts w:ascii="宋体" w:eastAsia="宋体"/>
      <w:b/>
      <w:sz w:val="24"/>
      <w:u w:val="single"/>
      <w:lang w:val="en-US" w:eastAsia="zh-CN" w:bidi="ar-SA"/>
    </w:rPr>
  </w:style>
  <w:style w:type="character" w:styleId="1065">
    <w:name w:val="标题 4 Char"/>
    <w:next w:val="1065"/>
    <w:link w:val="1052"/>
    <w:qFormat/>
    <w:rPr>
      <w:rFonts w:ascii="Arial" w:hAnsi="Arial" w:eastAsia="黑体"/>
      <w:b/>
      <w:sz w:val="28"/>
    </w:rPr>
  </w:style>
  <w:style w:type="character" w:styleId="1066">
    <w:name w:val="标题 5 Char"/>
    <w:next w:val="1066"/>
    <w:link w:val="1053"/>
    <w:qFormat/>
    <w:rPr>
      <w:b/>
      <w:sz w:val="28"/>
    </w:rPr>
  </w:style>
  <w:style w:type="character" w:styleId="1067">
    <w:name w:val="标题 6 Char"/>
    <w:next w:val="1067"/>
    <w:link w:val="1054"/>
    <w:qFormat/>
    <w:rPr>
      <w:rFonts w:ascii="Arial" w:hAnsi="Arial" w:eastAsia="黑体"/>
      <w:b/>
      <w:sz w:val="24"/>
    </w:rPr>
  </w:style>
  <w:style w:type="character" w:styleId="1068">
    <w:name w:val="标题 7 Char"/>
    <w:next w:val="1068"/>
    <w:link w:val="1055"/>
    <w:qFormat/>
    <w:rPr>
      <w:b/>
      <w:sz w:val="24"/>
    </w:rPr>
  </w:style>
  <w:style w:type="character" w:styleId="1069">
    <w:name w:val="标题 8 Char"/>
    <w:next w:val="1069"/>
    <w:link w:val="1056"/>
    <w:qFormat/>
    <w:rPr>
      <w:rFonts w:ascii="Arial" w:hAnsi="Arial" w:eastAsia="黑体"/>
      <w:sz w:val="24"/>
    </w:rPr>
  </w:style>
  <w:style w:type="character" w:styleId="1070">
    <w:name w:val="标题 9 Char"/>
    <w:next w:val="1070"/>
    <w:link w:val="1057"/>
    <w:qFormat/>
    <w:rPr>
      <w:rFonts w:ascii="Arial" w:hAnsi="Arial" w:eastAsia="黑体"/>
      <w:sz w:val="21"/>
    </w:rPr>
  </w:style>
  <w:style w:type="paragraph" w:styleId="1071">
    <w:name w:val="目录 7"/>
    <w:basedOn w:val="1048"/>
    <w:next w:val="1048"/>
    <w:link w:val="1048"/>
    <w:qFormat/>
    <w:pPr>
      <w:ind w:left="2520"/>
    </w:pPr>
  </w:style>
  <w:style w:type="paragraph" w:styleId="1072">
    <w:name w:val="引文目录"/>
    <w:basedOn w:val="1048"/>
    <w:next w:val="1048"/>
    <w:link w:val="1048"/>
    <w:uiPriority w:val="99"/>
    <w:unhideWhenUsed/>
    <w:qFormat/>
    <w:pPr>
      <w:ind w:left="420"/>
    </w:pPr>
  </w:style>
  <w:style w:type="paragraph" w:styleId="1073">
    <w:name w:val="题注"/>
    <w:basedOn w:val="1048"/>
    <w:next w:val="1048"/>
    <w:link w:val="1048"/>
    <w:qFormat/>
    <w:pPr>
      <w:spacing w:line="480" w:lineRule="auto"/>
    </w:pPr>
    <w:rPr>
      <w:rFonts w:ascii="华文中宋" w:hAnsi="华文中宋" w:eastAsia="华文中宋"/>
      <w:sz w:val="36"/>
      <w:szCs w:val="20"/>
    </w:rPr>
  </w:style>
  <w:style w:type="paragraph" w:styleId="1074">
    <w:name w:val="文档结构图"/>
    <w:basedOn w:val="1048"/>
    <w:next w:val="1074"/>
    <w:link w:val="1075"/>
    <w:qFormat/>
    <w:pPr>
      <w:shd w:val="clear" w:color="auto" w:fill="000080"/>
    </w:pPr>
  </w:style>
  <w:style w:type="character" w:styleId="1075">
    <w:name w:val="文档结构图 Char"/>
    <w:next w:val="1075"/>
    <w:link w:val="1074"/>
    <w:qFormat/>
    <w:rPr>
      <w:sz w:val="21"/>
      <w:szCs w:val="24"/>
      <w:shd w:val="clear" w:color="auto" w:fill="000080"/>
    </w:rPr>
  </w:style>
  <w:style w:type="paragraph" w:styleId="1076">
    <w:name w:val="批注文字"/>
    <w:basedOn w:val="1048"/>
    <w:next w:val="1076"/>
    <w:link w:val="1077"/>
    <w:uiPriority w:val="99"/>
    <w:qFormat/>
    <w:pPr>
      <w:jc w:val="left"/>
    </w:pPr>
  </w:style>
  <w:style w:type="character" w:styleId="1077">
    <w:name w:val="批注文字 Char1"/>
    <w:next w:val="1077"/>
    <w:link w:val="1076"/>
    <w:uiPriority w:val="99"/>
    <w:qFormat/>
    <w:rPr>
      <w:sz w:val="21"/>
      <w:szCs w:val="24"/>
    </w:rPr>
  </w:style>
  <w:style w:type="paragraph" w:styleId="1078">
    <w:name w:val="正文文本 3"/>
    <w:basedOn w:val="1048"/>
    <w:next w:val="1078"/>
    <w:link w:val="1079"/>
    <w:qFormat/>
    <w:pPr>
      <w:spacing w:after="120"/>
    </w:pPr>
    <w:rPr>
      <w:sz w:val="16"/>
      <w:szCs w:val="16"/>
    </w:rPr>
  </w:style>
  <w:style w:type="character" w:styleId="1079">
    <w:name w:val="正文文本 3 Char"/>
    <w:next w:val="1079"/>
    <w:link w:val="1078"/>
    <w:qFormat/>
    <w:rPr>
      <w:sz w:val="16"/>
      <w:szCs w:val="16"/>
    </w:rPr>
  </w:style>
  <w:style w:type="paragraph" w:styleId="1080">
    <w:name w:val="正文文本"/>
    <w:basedOn w:val="1048"/>
    <w:next w:val="1048"/>
    <w:link w:val="1081"/>
    <w:qFormat/>
    <w:pPr>
      <w:spacing w:before="120" w:line="22" w:lineRule="atLeast"/>
      <w:tabs>
        <w:tab w:val="left" w:pos="567" w:leader="none"/>
      </w:tabs>
    </w:pPr>
    <w:rPr>
      <w:rFonts w:ascii="宋体" w:hAnsi="宋体"/>
      <w:sz w:val="24"/>
    </w:rPr>
  </w:style>
  <w:style w:type="character" w:styleId="1081">
    <w:name w:val="正文文本 Char"/>
    <w:next w:val="1081"/>
    <w:link w:val="1080"/>
    <w:qFormat/>
    <w:rPr>
      <w:rFonts w:ascii="宋体" w:hAnsi="宋体"/>
      <w:sz w:val="24"/>
      <w:szCs w:val="24"/>
    </w:rPr>
  </w:style>
  <w:style w:type="paragraph" w:styleId="1082">
    <w:name w:val="正文文本缩进"/>
    <w:basedOn w:val="1048"/>
    <w:next w:val="1084"/>
    <w:link w:val="1083"/>
    <w:qFormat/>
    <w:pPr>
      <w:ind w:firstLine="570"/>
      <w:spacing w:line="360" w:lineRule="auto"/>
    </w:pPr>
    <w:rPr>
      <w:sz w:val="24"/>
    </w:rPr>
  </w:style>
  <w:style w:type="character" w:styleId="1083">
    <w:name w:val="正文文本缩进 Char2"/>
    <w:next w:val="1083"/>
    <w:link w:val="1082"/>
    <w:qFormat/>
    <w:rPr>
      <w:rFonts w:eastAsia="宋体"/>
      <w:sz w:val="24"/>
      <w:szCs w:val="24"/>
      <w:lang w:val="en-US" w:eastAsia="zh-CN" w:bidi="ar-SA"/>
    </w:rPr>
  </w:style>
  <w:style w:type="paragraph" w:styleId="1084">
    <w:name w:val="寄信人地址"/>
    <w:basedOn w:val="1048"/>
    <w:next w:val="1084"/>
    <w:link w:val="1048"/>
    <w:qFormat/>
    <w:rPr>
      <w:rFonts w:ascii="Arial" w:hAnsi="Arial"/>
    </w:rPr>
  </w:style>
  <w:style w:type="paragraph" w:styleId="1085">
    <w:name w:val="列表 2"/>
    <w:basedOn w:val="1048"/>
    <w:next w:val="1085"/>
    <w:link w:val="1048"/>
    <w:qFormat/>
    <w:pPr>
      <w:ind w:left="100" w:hanging="200"/>
    </w:pPr>
  </w:style>
  <w:style w:type="paragraph" w:styleId="1086">
    <w:name w:val="文本块"/>
    <w:basedOn w:val="1048"/>
    <w:next w:val="1086"/>
    <w:link w:val="1048"/>
    <w:qFormat/>
    <w:pPr>
      <w:ind w:left="480" w:right="-341" w:firstLine="513"/>
      <w:widowControl/>
    </w:pPr>
    <w:rPr>
      <w:sz w:val="24"/>
      <w:szCs w:val="20"/>
    </w:rPr>
  </w:style>
  <w:style w:type="paragraph" w:styleId="1087">
    <w:name w:val="索引 4"/>
    <w:basedOn w:val="1048"/>
    <w:next w:val="1048"/>
    <w:link w:val="1048"/>
    <w:uiPriority w:val="99"/>
    <w:unhideWhenUsed/>
    <w:qFormat/>
    <w:pPr>
      <w:ind w:left="600"/>
    </w:pPr>
  </w:style>
  <w:style w:type="paragraph" w:styleId="1088">
    <w:name w:val="目录 5"/>
    <w:basedOn w:val="1048"/>
    <w:next w:val="1048"/>
    <w:link w:val="1048"/>
    <w:qFormat/>
    <w:pPr>
      <w:ind w:left="1680"/>
    </w:pPr>
  </w:style>
  <w:style w:type="paragraph" w:styleId="1089">
    <w:name w:val="目录 3"/>
    <w:basedOn w:val="1048"/>
    <w:next w:val="1048"/>
    <w:link w:val="1048"/>
    <w:uiPriority w:val="39"/>
    <w:qFormat/>
    <w:pPr>
      <w:ind w:left="840"/>
    </w:pPr>
  </w:style>
  <w:style w:type="paragraph" w:styleId="1090">
    <w:name w:val="纯文本"/>
    <w:basedOn w:val="1048"/>
    <w:next w:val="1090"/>
    <w:link w:val="1091"/>
    <w:qFormat/>
    <w:rPr>
      <w:rFonts w:hint="eastAsia" w:ascii="宋体" w:hAnsi="Courier New"/>
      <w:szCs w:val="20"/>
    </w:rPr>
  </w:style>
  <w:style w:type="character" w:styleId="1091">
    <w:name w:val="纯文本 Char"/>
    <w:next w:val="1091"/>
    <w:link w:val="1090"/>
    <w:qFormat/>
    <w:rPr>
      <w:rFonts w:hint="eastAsia" w:ascii="宋体" w:hAnsi="Courier New" w:eastAsia="宋体" w:cs="宋体"/>
      <w:sz w:val="21"/>
    </w:rPr>
  </w:style>
  <w:style w:type="paragraph" w:styleId="1092">
    <w:name w:val="目录 8"/>
    <w:basedOn w:val="1048"/>
    <w:next w:val="1048"/>
    <w:link w:val="1048"/>
    <w:qFormat/>
    <w:pPr>
      <w:ind w:left="2940"/>
    </w:pPr>
  </w:style>
  <w:style w:type="paragraph" w:styleId="1093">
    <w:name w:val="日期"/>
    <w:basedOn w:val="1048"/>
    <w:next w:val="1048"/>
    <w:link w:val="1094"/>
    <w:qFormat/>
    <w:pPr>
      <w:ind w:left="100"/>
    </w:pPr>
    <w:rPr>
      <w:rFonts w:ascii="仿宋_GB2312" w:hAnsi="宋体" w:eastAsia="仿宋_GB2312"/>
      <w:color w:val="000000"/>
      <w:sz w:val="24"/>
    </w:rPr>
  </w:style>
  <w:style w:type="character" w:styleId="1094">
    <w:name w:val="日期 Char"/>
    <w:next w:val="1094"/>
    <w:link w:val="1093"/>
    <w:qFormat/>
    <w:rPr>
      <w:rFonts w:ascii="仿宋_GB2312" w:hAnsi="宋体" w:eastAsia="仿宋_GB2312"/>
      <w:color w:val="000000"/>
      <w:sz w:val="24"/>
      <w:szCs w:val="24"/>
    </w:rPr>
  </w:style>
  <w:style w:type="paragraph" w:styleId="1095">
    <w:name w:val="正文文本缩进 2"/>
    <w:basedOn w:val="1048"/>
    <w:next w:val="1095"/>
    <w:link w:val="1096"/>
    <w:qFormat/>
    <w:pPr>
      <w:ind w:firstLine="480"/>
    </w:pPr>
    <w:rPr>
      <w:rFonts w:ascii="仿宋_GB2312" w:eastAsia="仿宋_GB2312"/>
      <w:sz w:val="24"/>
    </w:rPr>
  </w:style>
  <w:style w:type="character" w:styleId="1096">
    <w:name w:val="正文文本缩进 2 Char"/>
    <w:next w:val="1096"/>
    <w:link w:val="1095"/>
    <w:qFormat/>
    <w:rPr>
      <w:rFonts w:ascii="仿宋_GB2312" w:eastAsia="仿宋_GB2312"/>
      <w:sz w:val="24"/>
      <w:szCs w:val="24"/>
    </w:rPr>
  </w:style>
  <w:style w:type="paragraph" w:styleId="1097">
    <w:name w:val="批注框文本"/>
    <w:basedOn w:val="1048"/>
    <w:next w:val="1097"/>
    <w:link w:val="1098"/>
    <w:qFormat/>
    <w:rPr>
      <w:sz w:val="18"/>
      <w:szCs w:val="18"/>
    </w:rPr>
  </w:style>
  <w:style w:type="character" w:styleId="1098">
    <w:name w:val="批注框文本 Char"/>
    <w:next w:val="1098"/>
    <w:link w:val="1097"/>
    <w:qFormat/>
    <w:rPr>
      <w:sz w:val="18"/>
      <w:szCs w:val="18"/>
    </w:rPr>
  </w:style>
  <w:style w:type="paragraph" w:styleId="1099">
    <w:name w:val="页脚"/>
    <w:basedOn w:val="1048"/>
    <w:next w:val="1099"/>
    <w:link w:val="1100"/>
    <w:uiPriority w:val="99"/>
    <w:qFormat/>
    <w:pPr>
      <w:jc w:val="left"/>
      <w:tabs>
        <w:tab w:val="center" w:pos="4153" w:leader="none"/>
        <w:tab w:val="right" w:pos="8306" w:leader="none"/>
      </w:tabs>
    </w:pPr>
    <w:rPr>
      <w:rFonts w:ascii="宋体"/>
      <w:sz w:val="18"/>
      <w:szCs w:val="20"/>
    </w:rPr>
  </w:style>
  <w:style w:type="character" w:styleId="1100">
    <w:name w:val="页脚 Char1"/>
    <w:next w:val="1100"/>
    <w:link w:val="1099"/>
    <w:uiPriority w:val="99"/>
    <w:qFormat/>
    <w:rPr>
      <w:rFonts w:ascii="宋体" w:eastAsia="宋体"/>
      <w:sz w:val="18"/>
      <w:lang w:val="en-US" w:eastAsia="zh-CN" w:bidi="ar-SA"/>
    </w:rPr>
  </w:style>
  <w:style w:type="paragraph" w:styleId="1101">
    <w:name w:val="页眉"/>
    <w:basedOn w:val="1048"/>
    <w:next w:val="1101"/>
    <w:link w:val="1102"/>
    <w:qFormat/>
    <w:pPr>
      <w:jc w:val="center"/>
      <w:tabs>
        <w:tab w:val="center" w:pos="4153" w:leader="none"/>
        <w:tab w:val="right" w:pos="8306" w:leader="none"/>
      </w:tabs>
      <w:pBdr>
        <w:bottom w:val="single" w:color="000000" w:sz="6" w:space="1"/>
      </w:pBdr>
    </w:pPr>
    <w:rPr>
      <w:sz w:val="18"/>
      <w:szCs w:val="18"/>
    </w:rPr>
  </w:style>
  <w:style w:type="character" w:styleId="1102">
    <w:name w:val="页眉 Char1"/>
    <w:next w:val="1102"/>
    <w:link w:val="1101"/>
    <w:qFormat/>
    <w:rPr>
      <w:rFonts w:eastAsia="宋体"/>
      <w:sz w:val="18"/>
      <w:szCs w:val="18"/>
      <w:lang w:val="en-US" w:eastAsia="zh-CN" w:bidi="ar-SA"/>
    </w:rPr>
  </w:style>
  <w:style w:type="paragraph" w:styleId="1103">
    <w:name w:val="目录 1"/>
    <w:basedOn w:val="1048"/>
    <w:next w:val="1048"/>
    <w:link w:val="1048"/>
    <w:uiPriority w:val="39"/>
    <w:qFormat/>
    <w:pPr>
      <w:spacing w:line="300" w:lineRule="auto"/>
      <w:tabs>
        <w:tab w:val="left" w:pos="1050" w:leader="none"/>
        <w:tab w:val="right" w:pos="8937" w:leader="dot"/>
      </w:tabs>
    </w:pPr>
    <w:rPr>
      <w:rFonts w:ascii="宋体" w:hAnsi="宋体"/>
      <w:b/>
      <w:sz w:val="24"/>
    </w:rPr>
  </w:style>
  <w:style w:type="paragraph" w:styleId="1104">
    <w:name w:val="目录 4"/>
    <w:basedOn w:val="1048"/>
    <w:next w:val="1048"/>
    <w:link w:val="1048"/>
    <w:qFormat/>
    <w:pPr>
      <w:ind w:left="1260"/>
    </w:pPr>
  </w:style>
  <w:style w:type="paragraph" w:styleId="1105">
    <w:name w:val="副标题"/>
    <w:basedOn w:val="1048"/>
    <w:next w:val="1048"/>
    <w:link w:val="1048"/>
    <w:uiPriority w:val="11"/>
    <w:qFormat/>
    <w:pPr>
      <w:jc w:val="center"/>
      <w:spacing w:before="240" w:after="240"/>
      <w:outlineLvl w:val="1"/>
    </w:pPr>
    <w:rPr>
      <w:rFonts w:ascii="等线 Light" w:hAnsi="等线 Light" w:cs="Times New Roman"/>
      <w:b/>
      <w:bCs/>
      <w:sz w:val="28"/>
      <w:szCs w:val="32"/>
    </w:rPr>
  </w:style>
  <w:style w:type="paragraph" w:styleId="1106">
    <w:name w:val="目录 6"/>
    <w:basedOn w:val="1048"/>
    <w:next w:val="1048"/>
    <w:link w:val="1048"/>
    <w:qFormat/>
    <w:pPr>
      <w:ind w:left="2100"/>
    </w:pPr>
  </w:style>
  <w:style w:type="paragraph" w:styleId="1107">
    <w:name w:val="正文文本缩进 3"/>
    <w:basedOn w:val="1048"/>
    <w:next w:val="1107"/>
    <w:link w:val="1108"/>
    <w:qFormat/>
    <w:pPr>
      <w:ind w:left="720" w:firstLine="480"/>
      <w:jc w:val="left"/>
      <w:spacing w:before="120" w:line="22" w:lineRule="atLeast"/>
    </w:pPr>
    <w:rPr>
      <w:rFonts w:ascii="宋体"/>
      <w:sz w:val="24"/>
      <w:szCs w:val="20"/>
    </w:rPr>
  </w:style>
  <w:style w:type="character" w:styleId="1108">
    <w:name w:val="正文文本缩进 3 Char"/>
    <w:next w:val="1108"/>
    <w:link w:val="1107"/>
    <w:qFormat/>
    <w:rPr>
      <w:rFonts w:ascii="宋体"/>
      <w:sz w:val="24"/>
    </w:rPr>
  </w:style>
  <w:style w:type="paragraph" w:styleId="1109">
    <w:name w:val="目录 2"/>
    <w:basedOn w:val="1048"/>
    <w:next w:val="1048"/>
    <w:link w:val="1048"/>
    <w:uiPriority w:val="39"/>
    <w:qFormat/>
    <w:pPr>
      <w:ind w:left="420"/>
      <w:spacing w:line="312" w:lineRule="auto"/>
      <w:tabs>
        <w:tab w:val="right" w:pos="8937" w:leader="dot"/>
      </w:tabs>
    </w:pPr>
  </w:style>
  <w:style w:type="paragraph" w:styleId="1110">
    <w:name w:val="目录 9"/>
    <w:basedOn w:val="1048"/>
    <w:next w:val="1048"/>
    <w:link w:val="1048"/>
    <w:qFormat/>
    <w:pPr>
      <w:ind w:left="3360"/>
    </w:pPr>
  </w:style>
  <w:style w:type="paragraph" w:styleId="1111">
    <w:name w:val="HTML 预设格式"/>
    <w:basedOn w:val="1048"/>
    <w:next w:val="1111"/>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2">
    <w:name w:val="HTML 预设格式 Char"/>
    <w:next w:val="1112"/>
    <w:link w:val="1111"/>
    <w:qFormat/>
    <w:rPr>
      <w:rFonts w:ascii="宋体" w:hAnsi="宋体" w:cs="宋体"/>
      <w:sz w:val="24"/>
      <w:szCs w:val="24"/>
    </w:rPr>
  </w:style>
  <w:style w:type="paragraph" w:styleId="1113">
    <w:name w:val="普通(网站)"/>
    <w:basedOn w:val="1048"/>
    <w:next w:val="1113"/>
    <w:link w:val="1048"/>
    <w:uiPriority w:val="99"/>
    <w:unhideWhenUsed/>
    <w:qFormat/>
    <w:pPr>
      <w:jc w:val="left"/>
      <w:spacing w:before="100" w:beforeAutospacing="1" w:after="100" w:afterAutospacing="1"/>
      <w:widowControl/>
    </w:pPr>
    <w:rPr>
      <w:rFonts w:ascii="宋体" w:hAnsi="宋体" w:cs="宋体"/>
      <w:sz w:val="24"/>
    </w:rPr>
  </w:style>
  <w:style w:type="paragraph" w:styleId="1114">
    <w:name w:val="索引 1"/>
    <w:basedOn w:val="1048"/>
    <w:next w:val="1048"/>
    <w:link w:val="1048"/>
    <w:qFormat/>
    <w:rPr>
      <w:szCs w:val="20"/>
    </w:rPr>
  </w:style>
  <w:style w:type="paragraph" w:styleId="1115">
    <w:name w:val="标题"/>
    <w:basedOn w:val="1048"/>
    <w:next w:val="1115"/>
    <w:link w:val="1116"/>
    <w:qFormat/>
    <w:pPr>
      <w:jc w:val="center"/>
      <w:outlineLvl w:val="0"/>
    </w:pPr>
    <w:rPr>
      <w:b/>
      <w:sz w:val="32"/>
      <w:szCs w:val="20"/>
    </w:rPr>
  </w:style>
  <w:style w:type="character" w:styleId="1116">
    <w:name w:val="标题 Char1"/>
    <w:next w:val="1116"/>
    <w:link w:val="1115"/>
    <w:qFormat/>
    <w:rPr>
      <w:b/>
      <w:sz w:val="32"/>
    </w:rPr>
  </w:style>
  <w:style w:type="paragraph" w:styleId="1117">
    <w:name w:val="批注主题"/>
    <w:basedOn w:val="1076"/>
    <w:next w:val="1076"/>
    <w:link w:val="1118"/>
    <w:qFormat/>
    <w:rPr>
      <w:b/>
      <w:bCs/>
    </w:rPr>
  </w:style>
  <w:style w:type="character" w:styleId="1118">
    <w:name w:val="批注主题 Char"/>
    <w:next w:val="1118"/>
    <w:link w:val="1117"/>
    <w:qFormat/>
    <w:rPr>
      <w:rFonts w:ascii="Times New Roman" w:hAnsi="Times New Roman" w:eastAsia="宋体" w:cs="Times New Roman"/>
      <w:b/>
      <w:bCs/>
      <w:sz w:val="21"/>
      <w:szCs w:val="24"/>
      <w:lang w:val="en-US" w:eastAsia="zh-CN" w:bidi="ar-SA"/>
    </w:rPr>
  </w:style>
  <w:style w:type="paragraph" w:styleId="1119">
    <w:name w:val="正文首行缩进 2"/>
    <w:basedOn w:val="1082"/>
    <w:next w:val="1119"/>
    <w:link w:val="1120"/>
    <w:qFormat/>
    <w:pPr>
      <w:ind w:left="420" w:firstLine="420"/>
      <w:spacing w:after="120" w:line="480" w:lineRule="exact"/>
    </w:pPr>
    <w:rPr>
      <w:szCs w:val="20"/>
    </w:rPr>
  </w:style>
  <w:style w:type="character" w:styleId="1120">
    <w:name w:val="正文首行缩进 2 Char"/>
    <w:next w:val="1120"/>
    <w:link w:val="1119"/>
    <w:qFormat/>
    <w:rPr>
      <w:rFonts w:eastAsia="宋体"/>
      <w:sz w:val="24"/>
      <w:szCs w:val="24"/>
      <w:lang w:val="en-US" w:eastAsia="zh-CN" w:bidi="ar-SA"/>
    </w:rPr>
  </w:style>
  <w:style w:type="table" w:styleId="1121">
    <w:name w:val="网格型"/>
    <w:basedOn w:val="1059"/>
    <w:next w:val="1121"/>
    <w:link w:val="1048"/>
    <w:uiPriority w:val="39"/>
    <w:qFormat/>
    <w:tblPr/>
  </w:style>
  <w:style w:type="table" w:styleId="1122">
    <w:name w:val="中等深浅网格 1 - 强调文字颜色 2"/>
    <w:basedOn w:val="1059"/>
    <w:next w:val="1122"/>
    <w:link w:val="1048"/>
    <w:qFormat/>
    <w:rPr>
      <w:sz w:val="21"/>
      <w:szCs w:val="24"/>
    </w:rPr>
    <w:tblPr/>
  </w:style>
  <w:style w:type="character" w:styleId="1123">
    <w:name w:val="要点"/>
    <w:basedOn w:val="1058"/>
    <w:next w:val="1123"/>
    <w:link w:val="1048"/>
    <w:qFormat/>
    <w:rPr>
      <w:b/>
      <w:bCs/>
    </w:rPr>
  </w:style>
  <w:style w:type="character" w:styleId="1124">
    <w:name w:val="页码"/>
    <w:next w:val="1124"/>
    <w:link w:val="1048"/>
    <w:qFormat/>
  </w:style>
  <w:style w:type="character" w:styleId="1125">
    <w:name w:val="已访问的超链接"/>
    <w:next w:val="1125"/>
    <w:link w:val="1048"/>
    <w:qFormat/>
    <w:rPr>
      <w:color w:val="333333"/>
      <w:u w:val="none"/>
    </w:rPr>
  </w:style>
  <w:style w:type="character" w:styleId="1126">
    <w:name w:val="强调"/>
    <w:basedOn w:val="1058"/>
    <w:next w:val="1126"/>
    <w:link w:val="1048"/>
    <w:qFormat/>
    <w:rPr>
      <w:color w:val="cc0033"/>
    </w:rPr>
  </w:style>
  <w:style w:type="character" w:styleId="1127">
    <w:name w:val="超链接"/>
    <w:next w:val="1127"/>
    <w:link w:val="1048"/>
    <w:uiPriority w:val="99"/>
    <w:qFormat/>
    <w:rPr>
      <w:color w:val="333333"/>
      <w:u w:val="none"/>
    </w:rPr>
  </w:style>
  <w:style w:type="character" w:styleId="1128">
    <w:name w:val="批注引用"/>
    <w:next w:val="1128"/>
    <w:link w:val="1048"/>
    <w:uiPriority w:val="99"/>
    <w:qFormat/>
    <w:rPr>
      <w:sz w:val="21"/>
      <w:szCs w:val="21"/>
    </w:rPr>
  </w:style>
  <w:style w:type="character" w:styleId="1129">
    <w:name w:val="HTML 引文"/>
    <w:next w:val="1129"/>
    <w:link w:val="1048"/>
    <w:qFormat/>
    <w:rPr>
      <w:i/>
      <w:iCs/>
    </w:rPr>
  </w:style>
  <w:style w:type="paragraph" w:styleId="1130">
    <w:name w:val="段"/>
    <w:next w:val="1048"/>
    <w:link w:val="1048"/>
    <w:qFormat/>
    <w:pPr>
      <w:ind w:firstLine="200"/>
      <w:jc w:val="both"/>
    </w:pPr>
    <w:rPr>
      <w:rFonts w:ascii="宋体"/>
      <w:sz w:val="21"/>
      <w:lang w:val="en-US" w:eastAsia="zh-CN" w:bidi="ar-SA"/>
    </w:rPr>
  </w:style>
  <w:style w:type="paragraph" w:styleId="1131">
    <w:name w:val="Default"/>
    <w:next w:val="1131"/>
    <w:link w:val="1048"/>
    <w:qFormat/>
    <w:pPr>
      <w:widowControl w:val="off"/>
    </w:pPr>
    <w:rPr>
      <w:rFonts w:ascii="Symbol" w:hAnsi="Symbol" w:cs="Symbol"/>
      <w:color w:val="000000"/>
      <w:sz w:val="24"/>
      <w:szCs w:val="24"/>
      <w:lang w:val="en-US" w:eastAsia="zh-CN" w:bidi="ar-SA"/>
    </w:rPr>
  </w:style>
  <w:style w:type="paragraph" w:styleId="1132">
    <w:name w:val="正文文本1"/>
    <w:basedOn w:val="1048"/>
    <w:next w:val="1048"/>
    <w:link w:val="1048"/>
    <w:uiPriority w:val="99"/>
    <w:qFormat/>
    <w:pPr>
      <w:spacing w:before="120" w:line="22" w:lineRule="atLeast"/>
      <w:tabs>
        <w:tab w:val="left" w:pos="567" w:leader="none"/>
      </w:tabs>
    </w:pPr>
    <w:rPr>
      <w:rFonts w:ascii="宋体" w:hAnsi="宋体"/>
      <w:sz w:val="24"/>
    </w:rPr>
  </w:style>
  <w:style w:type="character" w:styleId="1133">
    <w:name w:val="批注文字 字符"/>
    <w:next w:val="1133"/>
    <w:link w:val="1048"/>
    <w:uiPriority w:val="99"/>
    <w:qFormat/>
    <w:rPr>
      <w:rFonts w:ascii="Times New Roman" w:hAnsi="Times New Roman" w:eastAsia="宋体" w:cs="Times New Roman"/>
      <w:sz w:val="24"/>
      <w:lang w:val="en-US" w:eastAsia="zh-CN" w:bidi="ar-SA"/>
    </w:rPr>
  </w:style>
  <w:style w:type="paragraph" w:styleId="1134">
    <w:name w:val="首行缩进"/>
    <w:basedOn w:val="1048"/>
    <w:next w:val="1134"/>
    <w:link w:val="1048"/>
    <w:qFormat/>
    <w:pPr>
      <w:ind w:firstLine="480"/>
    </w:pPr>
    <w:rPr>
      <w:lang w:val="zh-CN"/>
    </w:rPr>
  </w:style>
  <w:style w:type="character" w:styleId="1135">
    <w:name w:val="c21"/>
    <w:next w:val="1135"/>
    <w:link w:val="1048"/>
    <w:qFormat/>
    <w:rPr>
      <w:rFonts w:ascii="ˎ̥" w:hAnsi="ˎ̥"/>
      <w:color w:val="000000"/>
      <w:sz w:val="20"/>
      <w:szCs w:val="20"/>
      <w:u w:val="none"/>
    </w:rPr>
  </w:style>
  <w:style w:type="character" w:styleId="1136">
    <w:name w:val="title4"/>
    <w:next w:val="1136"/>
    <w:link w:val="1048"/>
    <w:qFormat/>
    <w:rPr>
      <w:b/>
      <w:bCs/>
      <w:color w:val="1d87b3"/>
      <w:sz w:val="15"/>
      <w:szCs w:val="15"/>
    </w:rPr>
  </w:style>
  <w:style w:type="character" w:styleId="1137">
    <w:name w:val="标题 2 Char Char"/>
    <w:next w:val="1137"/>
    <w:link w:val="1048"/>
    <w:qFormat/>
    <w:rPr>
      <w:rFonts w:ascii="Arial" w:hAnsi="Arial" w:eastAsia="黑体"/>
      <w:b/>
      <w:bCs/>
      <w:sz w:val="32"/>
      <w:szCs w:val="32"/>
      <w:lang w:val="en-US" w:eastAsia="zh-CN" w:bidi="ar-SA"/>
    </w:rPr>
  </w:style>
  <w:style w:type="character" w:styleId="1138">
    <w:name w:val="black1"/>
    <w:next w:val="1138"/>
    <w:link w:val="1048"/>
    <w:qFormat/>
    <w:rPr>
      <w:color w:val="000000"/>
    </w:rPr>
  </w:style>
  <w:style w:type="character" w:styleId="1139">
    <w:name w:val="street-address"/>
    <w:next w:val="1139"/>
    <w:link w:val="1048"/>
    <w:qFormat/>
  </w:style>
  <w:style w:type="character" w:styleId="1140">
    <w:name w:val="locality"/>
    <w:next w:val="1140"/>
    <w:link w:val="1048"/>
    <w:qFormat/>
  </w:style>
  <w:style w:type="character" w:styleId="1141">
    <w:name w:val="正文文本缩进 Char1"/>
    <w:next w:val="1141"/>
    <w:link w:val="1142"/>
    <w:qFormat/>
    <w:rPr>
      <w:rFonts w:ascii="宋体" w:hAnsi="宋体" w:eastAsia="宋体"/>
      <w:sz w:val="24"/>
      <w:szCs w:val="24"/>
      <w:lang w:bidi="ar-SA"/>
    </w:rPr>
  </w:style>
  <w:style w:type="paragraph" w:styleId="1142">
    <w:name w:val="正文文本缩进1"/>
    <w:basedOn w:val="1048"/>
    <w:next w:val="1142"/>
    <w:link w:val="1141"/>
    <w:qFormat/>
    <w:pPr>
      <w:ind w:firstLine="480"/>
      <w:spacing w:line="480" w:lineRule="exact"/>
    </w:pPr>
    <w:rPr>
      <w:rFonts w:ascii="宋体" w:hAnsi="宋体"/>
      <w:sz w:val="24"/>
    </w:rPr>
  </w:style>
  <w:style w:type="character" w:styleId="1143">
    <w:name w:val="Char Char11"/>
    <w:next w:val="1143"/>
    <w:link w:val="1048"/>
    <w:qFormat/>
    <w:rPr>
      <w:rFonts w:ascii="宋体" w:eastAsia="宋体"/>
      <w:b/>
      <w:sz w:val="24"/>
      <w:u w:val="single"/>
      <w:lang w:val="en-US" w:eastAsia="zh-CN" w:bidi="ar-SA"/>
    </w:rPr>
  </w:style>
  <w:style w:type="character" w:styleId="1144">
    <w:name w:val="txt"/>
    <w:next w:val="1144"/>
    <w:link w:val="1048"/>
    <w:qFormat/>
  </w:style>
  <w:style w:type="character" w:styleId="1145">
    <w:name w:val="正文缩进 Char Char"/>
    <w:next w:val="1145"/>
    <w:link w:val="1146"/>
    <w:qFormat/>
    <w:rPr>
      <w:rFonts w:ascii="宋体" w:eastAsia="宋体"/>
      <w:color w:val="000000"/>
      <w:sz w:val="28"/>
      <w:lang w:bidi="ar-SA"/>
    </w:rPr>
  </w:style>
  <w:style w:type="paragraph" w:styleId="1146">
    <w:name w:val="正文缩进1"/>
    <w:basedOn w:val="1048"/>
    <w:next w:val="1146"/>
    <w:link w:val="1145"/>
    <w:qFormat/>
    <w:pPr>
      <w:ind w:firstLine="567"/>
      <w:spacing w:line="480" w:lineRule="exact"/>
      <w:widowControl/>
    </w:pPr>
    <w:rPr>
      <w:rFonts w:ascii="宋体"/>
      <w:color w:val="000000"/>
      <w:sz w:val="28"/>
      <w:szCs w:val="20"/>
    </w:rPr>
  </w:style>
  <w:style w:type="character" w:styleId="1147">
    <w:name w:val="普通文字1 Char1"/>
    <w:next w:val="1147"/>
    <w:link w:val="1048"/>
    <w:qFormat/>
    <w:rPr>
      <w:rFonts w:ascii="宋体" w:hAnsi="Courier New" w:eastAsia="宋体"/>
      <w:sz w:val="21"/>
      <w:lang w:val="en-US" w:eastAsia="zh-CN" w:bidi="ar-SA"/>
    </w:rPr>
  </w:style>
  <w:style w:type="character" w:styleId="1148">
    <w:name w:val="chanpin1"/>
    <w:next w:val="1148"/>
    <w:link w:val="1048"/>
    <w:qFormat/>
    <w:rPr>
      <w:rFonts w:ascii="ˎ̥" w:hAnsi="ˎ̥"/>
      <w:color w:val="000000"/>
      <w:sz w:val="20"/>
      <w:szCs w:val="20"/>
      <w:u w:val="none"/>
    </w:rPr>
  </w:style>
  <w:style w:type="character" w:styleId="1149">
    <w:name w:val="列出段落 Char1"/>
    <w:next w:val="1149"/>
    <w:link w:val="1150"/>
    <w:uiPriority w:val="34"/>
    <w:qFormat/>
    <w:rPr>
      <w:rFonts w:ascii="Calibri" w:hAnsi="Calibri" w:eastAsia="宋体"/>
      <w:sz w:val="21"/>
      <w:szCs w:val="22"/>
      <w:lang w:val="en-US" w:eastAsia="zh-CN" w:bidi="ar-SA"/>
    </w:rPr>
  </w:style>
  <w:style w:type="paragraph" w:styleId="1150">
    <w:name w:val="列出段落"/>
    <w:basedOn w:val="1048"/>
    <w:next w:val="1150"/>
    <w:link w:val="1149"/>
    <w:uiPriority w:val="34"/>
    <w:qFormat/>
    <w:pPr>
      <w:ind w:firstLine="420"/>
    </w:pPr>
    <w:rPr>
      <w:rFonts w:ascii="Calibri" w:hAnsi="Calibri"/>
      <w:szCs w:val="22"/>
    </w:rPr>
  </w:style>
  <w:style w:type="character" w:styleId="1151">
    <w:name w:val="标题 3 Char Char"/>
    <w:next w:val="1151"/>
    <w:link w:val="1048"/>
    <w:qFormat/>
    <w:rPr>
      <w:rFonts w:eastAsia="宋体"/>
      <w:b/>
      <w:bCs/>
      <w:sz w:val="32"/>
      <w:szCs w:val="32"/>
      <w:lang w:val="en-US" w:eastAsia="zh-CN" w:bidi="ar-SA"/>
    </w:rPr>
  </w:style>
  <w:style w:type="character" w:styleId="1152">
    <w:name w:val="段1 Char"/>
    <w:next w:val="1152"/>
    <w:link w:val="1048"/>
    <w:qFormat/>
    <w:rPr>
      <w:rFonts w:ascii="宋体" w:eastAsia="宋体"/>
      <w:sz w:val="24"/>
      <w:lang w:val="en-US" w:eastAsia="zh-CN" w:bidi="ar-SA"/>
    </w:rPr>
  </w:style>
  <w:style w:type="character" w:styleId="1153">
    <w:name w:val="chanpin拷贝"/>
    <w:next w:val="1153"/>
    <w:link w:val="1048"/>
    <w:qFormat/>
  </w:style>
  <w:style w:type="character" w:styleId="1154">
    <w:name w:val="纯文本 Char1"/>
    <w:next w:val="1154"/>
    <w:link w:val="1048"/>
    <w:qFormat/>
    <w:rPr>
      <w:rFonts w:ascii="宋体" w:hAnsi="Courier New" w:eastAsia="宋体"/>
      <w:sz w:val="21"/>
      <w:lang w:val="en-US" w:eastAsia="zh-CN" w:bidi="ar-SA"/>
    </w:rPr>
  </w:style>
  <w:style w:type="character" w:styleId="1155">
    <w:name w:val="apple-style-span"/>
    <w:next w:val="1155"/>
    <w:link w:val="1048"/>
    <w:qFormat/>
    <w:rPr>
      <w:rFonts w:cs="Times New Roman"/>
    </w:rPr>
  </w:style>
  <w:style w:type="paragraph" w:styleId="1156">
    <w:name w:val="二级条标题"/>
    <w:basedOn w:val="1157"/>
    <w:next w:val="1048"/>
    <w:link w:val="1048"/>
    <w:qFormat/>
    <w:pPr>
      <w:numPr>
        <w:ilvl w:val="0"/>
        <w:numId w:val="0"/>
      </w:numPr>
      <w:ind w:hanging="840"/>
      <w:tabs>
        <w:tab w:val="left" w:pos="360" w:leader="none"/>
        <w:tab w:val="left" w:pos="840" w:leader="none"/>
      </w:tabs>
      <w:outlineLvl w:val="2"/>
    </w:pPr>
    <w:rPr>
      <w:rFonts w:ascii="宋体" w:eastAsia="宋体"/>
      <w:b w:val="0"/>
    </w:rPr>
  </w:style>
  <w:style w:type="paragraph" w:styleId="1157">
    <w:name w:val="一级条标题"/>
    <w:basedOn w:val="1158"/>
    <w:next w:val="1048"/>
    <w:link w:val="1048"/>
    <w:qFormat/>
    <w:pPr>
      <w:numPr>
        <w:ilvl w:val="1"/>
      </w:numPr>
      <w:ind w:left="0" w:hanging="840"/>
      <w:tabs>
        <w:tab w:val="left" w:pos="360" w:leader="none"/>
        <w:tab w:val="left" w:pos="840" w:leader="none"/>
      </w:tabs>
      <w:outlineLvl w:val="1"/>
    </w:pPr>
  </w:style>
  <w:style w:type="paragraph" w:styleId="1158">
    <w:name w:val="章标题"/>
    <w:next w:val="1048"/>
    <w:link w:val="10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9">
    <w:name w:val="font7"/>
    <w:basedOn w:val="1048"/>
    <w:next w:val="1159"/>
    <w:link w:val="1048"/>
    <w:qFormat/>
    <w:pPr>
      <w:jc w:val="left"/>
      <w:spacing w:before="100" w:beforeAutospacing="1" w:after="100" w:afterAutospacing="1"/>
      <w:widowControl/>
    </w:pPr>
    <w:rPr>
      <w:rFonts w:eastAsia="Arial Unicode MS"/>
      <w:b/>
      <w:bCs/>
      <w:color w:val="000000"/>
      <w:sz w:val="20"/>
      <w:szCs w:val="20"/>
    </w:rPr>
  </w:style>
  <w:style w:type="paragraph" w:styleId="1160">
    <w:name w:val="字元 字元"/>
    <w:basedOn w:val="1048"/>
    <w:next w:val="1160"/>
    <w:link w:val="1048"/>
    <w:qFormat/>
    <w:rPr>
      <w:rFonts w:ascii="Tahoma" w:hAnsi="Tahoma"/>
      <w:sz w:val="24"/>
      <w:szCs w:val="20"/>
    </w:rPr>
  </w:style>
  <w:style w:type="paragraph" w:styleId="1161">
    <w:name w:val="Char3 Char Char Char"/>
    <w:basedOn w:val="1048"/>
    <w:next w:val="1161"/>
    <w:link w:val="1048"/>
    <w:qFormat/>
    <w:rPr>
      <w:rFonts w:ascii="Tahoma" w:hAnsi="Tahoma"/>
      <w:sz w:val="24"/>
      <w:szCs w:val="20"/>
    </w:rPr>
  </w:style>
  <w:style w:type="paragraph" w:styleId="1162">
    <w:name w:val="font6"/>
    <w:basedOn w:val="1048"/>
    <w:next w:val="1162"/>
    <w:link w:val="1048"/>
    <w:qFormat/>
    <w:pPr>
      <w:jc w:val="left"/>
      <w:spacing w:before="100" w:beforeAutospacing="1" w:after="100" w:afterAutospacing="1"/>
      <w:widowControl/>
    </w:pPr>
    <w:rPr>
      <w:rFonts w:ascii="宋体" w:hAnsi="宋体" w:cs="宋体"/>
      <w:sz w:val="20"/>
      <w:szCs w:val="20"/>
    </w:rPr>
  </w:style>
  <w:style w:type="paragraph" w:styleId="1163">
    <w:name w:val="项目编号2"/>
    <w:basedOn w:val="1164"/>
    <w:next w:val="1163"/>
    <w:link w:val="1048"/>
    <w:qFormat/>
    <w:pPr>
      <w:numPr>
        <w:numId w:val="3"/>
      </w:numPr>
    </w:pPr>
  </w:style>
  <w:style w:type="paragraph" w:styleId="1164">
    <w:name w:val="项目编号1"/>
    <w:basedOn w:val="1048"/>
    <w:next w:val="1164"/>
    <w:link w:val="1048"/>
    <w:qFormat/>
    <w:pPr>
      <w:numPr>
        <w:ilvl w:val="0"/>
        <w:numId w:val="2"/>
      </w:numPr>
      <w:spacing w:before="100" w:beforeAutospacing="1" w:after="100" w:afterAutospacing="1" w:line="360" w:lineRule="auto"/>
    </w:pPr>
    <w:rPr>
      <w:sz w:val="24"/>
    </w:rPr>
  </w:style>
  <w:style w:type="paragraph" w:styleId="1165">
    <w:name w:val="图中文字"/>
    <w:basedOn w:val="1048"/>
    <w:next w:val="1165"/>
    <w:link w:val="1048"/>
    <w:qFormat/>
    <w:pPr>
      <w:jc w:val="center"/>
      <w:spacing w:line="0" w:lineRule="atLeast"/>
    </w:pPr>
    <w:rPr>
      <w:sz w:val="24"/>
      <w:szCs w:val="20"/>
    </w:rPr>
  </w:style>
  <w:style w:type="paragraph" w:styleId="1166">
    <w:name w:val="xl46"/>
    <w:basedOn w:val="1048"/>
    <w:next w:val="1166"/>
    <w:link w:val="10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name w:val="xl25"/>
    <w:basedOn w:val="1048"/>
    <w:next w:val="1167"/>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Char2"/>
    <w:basedOn w:val="1048"/>
    <w:next w:val="1168"/>
    <w:link w:val="1048"/>
    <w:qFormat/>
    <w:rPr>
      <w:rFonts w:ascii="Tahoma" w:hAnsi="Tahoma"/>
      <w:sz w:val="24"/>
      <w:szCs w:val="20"/>
    </w:rPr>
  </w:style>
  <w:style w:type="paragraph" w:styleId="1169">
    <w:name w:val="xl35"/>
    <w:basedOn w:val="1048"/>
    <w:next w:val="1169"/>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name w:val="xl40"/>
    <w:basedOn w:val="1048"/>
    <w:next w:val="1170"/>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xl52"/>
    <w:basedOn w:val="1048"/>
    <w:next w:val="1171"/>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2">
    <w:name w:val="xl43"/>
    <w:basedOn w:val="1048"/>
    <w:next w:val="1172"/>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name w:val="background1"/>
    <w:basedOn w:val="1048"/>
    <w:next w:val="1173"/>
    <w:link w:val="1048"/>
    <w:qFormat/>
    <w:pPr>
      <w:jc w:val="left"/>
      <w:spacing w:before="100" w:beforeAutospacing="1" w:after="100" w:afterAutospacing="1"/>
      <w:widowControl/>
    </w:pPr>
    <w:rPr>
      <w:rFonts w:ascii="宋体" w:hAnsi="宋体" w:cs="宋体"/>
      <w:sz w:val="24"/>
    </w:rPr>
  </w:style>
  <w:style w:type="paragraph" w:styleId="1174">
    <w:name w:val="Char Char Char Char Char Char Char"/>
    <w:basedOn w:val="1048"/>
    <w:next w:val="1174"/>
    <w:link w:val="1048"/>
    <w:qFormat/>
    <w:pPr>
      <w:ind w:firstLine="200"/>
      <w:spacing w:line="360" w:lineRule="auto"/>
    </w:pPr>
    <w:rPr>
      <w:rFonts w:eastAsia="仿宋_GB2312"/>
      <w:sz w:val="24"/>
    </w:rPr>
  </w:style>
  <w:style w:type="paragraph" w:styleId="1175">
    <w:name w:val="xl38"/>
    <w:basedOn w:val="1048"/>
    <w:next w:val="1175"/>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6">
    <w:name w:val="xl36"/>
    <w:basedOn w:val="1048"/>
    <w:next w:val="1176"/>
    <w:link w:val="10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name w:val="正文 + 宋体"/>
    <w:basedOn w:val="1048"/>
    <w:next w:val="1177"/>
    <w:link w:val="1048"/>
    <w:qFormat/>
    <w:pPr>
      <w:ind w:left="360" w:hanging="360"/>
      <w:jc w:val="left"/>
      <w:widowControl/>
    </w:pPr>
    <w:rPr>
      <w:rFonts w:ascii="宋体" w:hAnsi="宋体" w:cs="宋体"/>
      <w:b/>
      <w:bCs/>
      <w:color w:val="000000"/>
      <w:sz w:val="18"/>
      <w:szCs w:val="18"/>
    </w:rPr>
  </w:style>
  <w:style w:type="paragraph" w:styleId="1178">
    <w:name w:val="正文列项_数字"/>
    <w:basedOn w:val="1048"/>
    <w:next w:val="1178"/>
    <w:link w:val="1048"/>
    <w:qFormat/>
    <w:pPr>
      <w:numPr>
        <w:ilvl w:val="7"/>
        <w:numId w:val="1"/>
      </w:numPr>
      <w:ind w:left="680" w:hanging="150"/>
      <w:spacing w:line="460" w:lineRule="exact"/>
      <w:tabs>
        <w:tab w:val="clear" w:pos="860" w:leader="none"/>
      </w:tabs>
      <w:outlineLvl w:val="7"/>
    </w:pPr>
    <w:rPr>
      <w:rFonts w:ascii="宋体"/>
      <w:sz w:val="28"/>
      <w:szCs w:val="20"/>
    </w:rPr>
  </w:style>
  <w:style w:type="paragraph" w:styleId="1179">
    <w:name w:val="xl39"/>
    <w:basedOn w:val="1048"/>
    <w:next w:val="117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name w:val="xl37"/>
    <w:basedOn w:val="1048"/>
    <w:next w:val="1180"/>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xl32"/>
    <w:basedOn w:val="1048"/>
    <w:next w:val="1181"/>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font8"/>
    <w:basedOn w:val="1048"/>
    <w:next w:val="1182"/>
    <w:link w:val="1048"/>
    <w:qFormat/>
    <w:pPr>
      <w:jc w:val="left"/>
      <w:spacing w:before="100" w:beforeAutospacing="1" w:after="100" w:afterAutospacing="1"/>
      <w:widowControl/>
    </w:pPr>
    <w:rPr>
      <w:sz w:val="36"/>
      <w:szCs w:val="36"/>
    </w:rPr>
  </w:style>
  <w:style w:type="paragraph" w:styleId="1183">
    <w:name w:val="Char"/>
    <w:basedOn w:val="1048"/>
    <w:next w:val="1183"/>
    <w:link w:val="1048"/>
    <w:qFormat/>
    <w:pPr>
      <w:tabs>
        <w:tab w:val="left" w:pos="360" w:leader="none"/>
      </w:tabs>
    </w:pPr>
    <w:rPr>
      <w:sz w:val="24"/>
    </w:rPr>
  </w:style>
  <w:style w:type="paragraph" w:styleId="1184">
    <w:name w:val="Char Char Char Char Char Char Char Char Char Char Char Char Char Char Char Char"/>
    <w:basedOn w:val="1048"/>
    <w:next w:val="1184"/>
    <w:link w:val="1048"/>
    <w:qFormat/>
    <w:pPr>
      <w:jc w:val="center"/>
      <w:spacing w:after="160" w:line="240" w:lineRule="exact"/>
      <w:widowControl/>
    </w:pPr>
    <w:rPr>
      <w:rFonts w:ascii="宋体" w:hAnsi="宋体"/>
      <w:b/>
      <w:sz w:val="30"/>
      <w:szCs w:val="30"/>
      <w:lang w:eastAsia="en-US"/>
    </w:rPr>
  </w:style>
  <w:style w:type="paragraph" w:styleId="1185">
    <w:name w:val="xl45"/>
    <w:basedOn w:val="1048"/>
    <w:next w:val="1185"/>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Char Char1 Char Char Char Char Char Char"/>
    <w:basedOn w:val="1048"/>
    <w:next w:val="1186"/>
    <w:link w:val="1048"/>
    <w:qFormat/>
    <w:pPr>
      <w:jc w:val="left"/>
      <w:spacing w:after="160" w:line="240" w:lineRule="exact"/>
      <w:widowControl/>
    </w:pPr>
    <w:rPr>
      <w:rFonts w:ascii="Verdana" w:hAnsi="Verdana" w:eastAsia="仿宋_GB2312"/>
      <w:sz w:val="24"/>
      <w:szCs w:val="20"/>
      <w:lang w:eastAsia="en-US"/>
    </w:rPr>
  </w:style>
  <w:style w:type="paragraph" w:styleId="1187">
    <w:name w:val="Char Char1"/>
    <w:basedOn w:val="1074"/>
    <w:next w:val="1187"/>
    <w:link w:val="1048"/>
    <w:qFormat/>
    <w:rPr>
      <w:rFonts w:ascii="Tahoma" w:hAnsi="Tahoma"/>
      <w:sz w:val="24"/>
    </w:rPr>
  </w:style>
  <w:style w:type="paragraph" w:styleId="1188">
    <w:name w:val="xl26"/>
    <w:basedOn w:val="1048"/>
    <w:next w:val="1188"/>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9">
    <w:name w:val="xl30"/>
    <w:basedOn w:val="1048"/>
    <w:next w:val="118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41"/>
    <w:basedOn w:val="1048"/>
    <w:next w:val="1190"/>
    <w:link w:val="10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样式 宋体 五号 行距: 单倍行距"/>
    <w:basedOn w:val="1048"/>
    <w:next w:val="1191"/>
    <w:link w:val="1048"/>
    <w:qFormat/>
    <w:pPr>
      <w:jc w:val="left"/>
    </w:pPr>
    <w:rPr>
      <w:rFonts w:ascii="宋体" w:hAnsi="宋体"/>
      <w:szCs w:val="20"/>
    </w:rPr>
  </w:style>
  <w:style w:type="paragraph" w:styleId="1192">
    <w:name w:val="Char1 Char Char Char1"/>
    <w:basedOn w:val="1048"/>
    <w:next w:val="1192"/>
    <w:link w:val="1048"/>
    <w:qFormat/>
    <w:rPr>
      <w:rFonts w:ascii="Tahoma" w:hAnsi="Tahoma" w:cs="仿宋_GB2312"/>
      <w:sz w:val="24"/>
      <w:szCs w:val="28"/>
    </w:rPr>
  </w:style>
  <w:style w:type="paragraph" w:styleId="1193">
    <w:name w:val="四级条标题"/>
    <w:basedOn w:val="1194"/>
    <w:next w:val="1048"/>
    <w:link w:val="1048"/>
    <w:qFormat/>
    <w:pPr>
      <w:numPr>
        <w:ilvl w:val="4"/>
      </w:numPr>
      <w:ind w:left="0" w:hanging="840"/>
      <w:tabs>
        <w:tab w:val="left" w:pos="360" w:leader="none"/>
        <w:tab w:val="left" w:pos="840" w:leader="none"/>
      </w:tabs>
      <w:outlineLvl w:val="4"/>
    </w:pPr>
  </w:style>
  <w:style w:type="paragraph" w:styleId="1194">
    <w:name w:val="三级条标题"/>
    <w:basedOn w:val="1156"/>
    <w:next w:val="1048"/>
    <w:link w:val="1048"/>
    <w:qFormat/>
    <w:pPr>
      <w:numPr>
        <w:ilvl w:val="3"/>
        <w:numId w:val="1"/>
      </w:numPr>
      <w:ind w:left="0" w:hanging="840"/>
      <w:tabs>
        <w:tab w:val="left" w:pos="360" w:leader="none"/>
        <w:tab w:val="left" w:pos="840" w:leader="none"/>
      </w:tabs>
      <w:outlineLvl w:val="3"/>
    </w:pPr>
  </w:style>
  <w:style w:type="paragraph" w:styleId="1195">
    <w:name w:val="??"/>
    <w:next w:val="1195"/>
    <w:link w:val="1048"/>
    <w:qFormat/>
    <w:pPr>
      <w:jc w:val="both"/>
      <w:widowControl w:val="off"/>
    </w:pPr>
    <w:rPr>
      <w:sz w:val="21"/>
      <w:lang w:val="en-US" w:eastAsia="en-US" w:bidi="ar-SA"/>
    </w:rPr>
  </w:style>
  <w:style w:type="paragraph" w:styleId="1196">
    <w:name w:val="样式 标题 2 + 宋体 五号 行距: 单倍行距"/>
    <w:basedOn w:val="1050"/>
    <w:next w:val="1196"/>
    <w:link w:val="10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7">
    <w:name w:val="List Paragraph1"/>
    <w:basedOn w:val="1048"/>
    <w:next w:val="1197"/>
    <w:link w:val="1048"/>
    <w:qFormat/>
    <w:pPr>
      <w:ind w:firstLine="420"/>
    </w:pPr>
    <w:rPr>
      <w:rFonts w:ascii="Calibri" w:hAnsi="Calibri"/>
      <w:szCs w:val="22"/>
    </w:rPr>
  </w:style>
  <w:style w:type="paragraph" w:styleId="1198">
    <w:name w:val="项目符号1"/>
    <w:basedOn w:val="1199"/>
    <w:next w:val="1198"/>
    <w:link w:val="1048"/>
    <w:qFormat/>
    <w:pPr>
      <w:ind w:left="-25" w:firstLine="0"/>
    </w:pPr>
  </w:style>
  <w:style w:type="paragraph" w:styleId="1199">
    <w:name w:val="正文文本样式"/>
    <w:basedOn w:val="1048"/>
    <w:next w:val="1199"/>
    <w:link w:val="1048"/>
    <w:qFormat/>
    <w:pPr>
      <w:ind w:firstLine="482"/>
      <w:spacing w:line="360" w:lineRule="auto"/>
    </w:pPr>
    <w:rPr>
      <w:rFonts w:cs="宋体"/>
      <w:sz w:val="24"/>
      <w:szCs w:val="20"/>
    </w:rPr>
  </w:style>
  <w:style w:type="paragraph" w:styleId="1200">
    <w:name w:val="xl27"/>
    <w:basedOn w:val="1048"/>
    <w:next w:val="120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name w:val="font5"/>
    <w:basedOn w:val="1048"/>
    <w:next w:val="1201"/>
    <w:link w:val="1048"/>
    <w:qFormat/>
    <w:pPr>
      <w:jc w:val="left"/>
      <w:spacing w:before="100" w:beforeAutospacing="1" w:after="100" w:afterAutospacing="1"/>
      <w:widowControl/>
    </w:pPr>
    <w:rPr>
      <w:rFonts w:ascii="宋体" w:hAnsi="宋体" w:cs="宋体"/>
      <w:sz w:val="18"/>
      <w:szCs w:val="18"/>
    </w:rPr>
  </w:style>
  <w:style w:type="paragraph" w:styleId="1202">
    <w:name w:val="五级条标题"/>
    <w:basedOn w:val="1193"/>
    <w:next w:val="1048"/>
    <w:link w:val="1048"/>
    <w:qFormat/>
    <w:pPr>
      <w:numPr>
        <w:ilvl w:val="5"/>
      </w:numPr>
      <w:ind w:left="0" w:hanging="840"/>
      <w:tabs>
        <w:tab w:val="left" w:pos="360" w:leader="none"/>
        <w:tab w:val="left" w:pos="840" w:leader="none"/>
      </w:tabs>
      <w:outlineLvl w:val="5"/>
    </w:pPr>
  </w:style>
  <w:style w:type="paragraph" w:styleId="1203">
    <w:name w:val="xl49"/>
    <w:basedOn w:val="1048"/>
    <w:next w:val="1203"/>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4">
    <w:name w:val="文档正文"/>
    <w:basedOn w:val="1048"/>
    <w:next w:val="1204"/>
    <w:link w:val="1048"/>
    <w:qFormat/>
    <w:pPr>
      <w:spacing w:before="120" w:after="120" w:line="180" w:lineRule="auto"/>
    </w:pPr>
    <w:rPr>
      <w:rFonts w:ascii="Arial" w:hAnsi="Arial"/>
      <w:szCs w:val="20"/>
    </w:rPr>
  </w:style>
  <w:style w:type="paragraph" w:styleId="1205">
    <w:name w:val="xl33"/>
    <w:basedOn w:val="1048"/>
    <w:next w:val="1205"/>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name w:val="xl42"/>
    <w:basedOn w:val="1048"/>
    <w:next w:val="120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7">
    <w:name w:val="Char Char Char1 Char"/>
    <w:basedOn w:val="1048"/>
    <w:next w:val="1207"/>
    <w:link w:val="1048"/>
    <w:qFormat/>
    <w:rPr>
      <w:rFonts w:ascii="Tahoma" w:hAnsi="Tahoma"/>
      <w:sz w:val="24"/>
      <w:szCs w:val="20"/>
    </w:rPr>
  </w:style>
  <w:style w:type="paragraph" w:styleId="1208">
    <w:name w:val="xl44"/>
    <w:basedOn w:val="1048"/>
    <w:next w:val="1208"/>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9">
    <w:name w:val="1名"/>
    <w:basedOn w:val="1048"/>
    <w:next w:val="1209"/>
    <w:link w:val="1048"/>
    <w:qFormat/>
    <w:pPr>
      <w:numPr>
        <w:ilvl w:val="0"/>
        <w:numId w:val="5"/>
      </w:numPr>
      <w:spacing w:before="120"/>
      <w:tabs>
        <w:tab w:val="left" w:pos="360" w:leader="none"/>
      </w:tabs>
    </w:pPr>
    <w:rPr>
      <w:rFonts w:ascii="宋体"/>
      <w:sz w:val="28"/>
      <w:szCs w:val="20"/>
    </w:rPr>
  </w:style>
  <w:style w:type="paragraph" w:styleId="1210">
    <w:name w:val="font9"/>
    <w:basedOn w:val="1048"/>
    <w:next w:val="1210"/>
    <w:link w:val="1048"/>
    <w:qFormat/>
    <w:pPr>
      <w:jc w:val="left"/>
      <w:spacing w:before="100" w:beforeAutospacing="1" w:after="100" w:afterAutospacing="1"/>
      <w:widowControl/>
    </w:pPr>
    <w:rPr>
      <w:rFonts w:hint="eastAsia" w:ascii="宋体" w:hAnsi="宋体" w:cs="Arial Unicode MS"/>
      <w:color w:val="000000"/>
      <w:sz w:val="20"/>
      <w:szCs w:val="20"/>
    </w:rPr>
  </w:style>
  <w:style w:type="paragraph" w:styleId="1211">
    <w:name w:val="Char Char Char1 Char1"/>
    <w:basedOn w:val="1048"/>
    <w:next w:val="1211"/>
    <w:link w:val="1048"/>
    <w:qFormat/>
    <w:rPr>
      <w:rFonts w:ascii="Tahoma" w:hAnsi="Tahoma"/>
      <w:sz w:val="24"/>
      <w:szCs w:val="20"/>
    </w:rPr>
  </w:style>
  <w:style w:type="paragraph" w:styleId="1212">
    <w:name w:val="Char Char Char Char Char Char Char Char Char Char"/>
    <w:basedOn w:val="1048"/>
    <w:next w:val="1212"/>
    <w:link w:val="1048"/>
    <w:qFormat/>
  </w:style>
  <w:style w:type="paragraph" w:styleId="1213">
    <w:name w:val="Char Char1 Char Char Char Char Char Char Char Char"/>
    <w:basedOn w:val="1048"/>
    <w:next w:val="1213"/>
    <w:link w:val="1048"/>
    <w:qFormat/>
    <w:pPr>
      <w:jc w:val="left"/>
      <w:spacing w:after="160" w:line="240" w:lineRule="exact"/>
      <w:widowControl/>
    </w:pPr>
    <w:rPr>
      <w:rFonts w:ascii="Verdana" w:hAnsi="Verdana"/>
      <w:sz w:val="20"/>
      <w:szCs w:val="20"/>
      <w:lang w:eastAsia="en-US"/>
    </w:rPr>
  </w:style>
  <w:style w:type="paragraph" w:styleId="1214">
    <w:name w:val="Char1"/>
    <w:basedOn w:val="1048"/>
    <w:next w:val="1214"/>
    <w:link w:val="1048"/>
    <w:qFormat/>
    <w:pPr>
      <w:tabs>
        <w:tab w:val="left" w:pos="360" w:leader="none"/>
      </w:tabs>
    </w:pPr>
    <w:rPr>
      <w:sz w:val="24"/>
    </w:rPr>
  </w:style>
  <w:style w:type="paragraph" w:styleId="1215">
    <w:name w:val="正文列项_字母"/>
    <w:basedOn w:val="1048"/>
    <w:next w:val="1215"/>
    <w:link w:val="1048"/>
    <w:qFormat/>
    <w:pPr>
      <w:numPr>
        <w:ilvl w:val="6"/>
        <w:numId w:val="1"/>
      </w:numPr>
      <w:ind w:left="480" w:hanging="180"/>
      <w:spacing w:line="460" w:lineRule="exact"/>
      <w:tabs>
        <w:tab w:val="clear" w:pos="635" w:leader="none"/>
      </w:tabs>
      <w:outlineLvl w:val="6"/>
    </w:pPr>
    <w:rPr>
      <w:rFonts w:ascii="宋体"/>
      <w:sz w:val="28"/>
      <w:szCs w:val="20"/>
    </w:rPr>
  </w:style>
  <w:style w:type="paragraph" w:styleId="1216">
    <w:name w:val="xl28"/>
    <w:basedOn w:val="1048"/>
    <w:next w:val="121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name w:val="xl47"/>
    <w:basedOn w:val="1048"/>
    <w:next w:val="1217"/>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默认段落字体 Para Char Char Char Char"/>
    <w:basedOn w:val="1048"/>
    <w:next w:val="1218"/>
    <w:link w:val="1048"/>
    <w:qFormat/>
    <w:rPr>
      <w:rFonts w:ascii="Arial" w:hAnsi="Arial" w:cs="Arial"/>
      <w:szCs w:val="21"/>
    </w:rPr>
  </w:style>
  <w:style w:type="paragraph" w:styleId="1219">
    <w:name w:val="xl48"/>
    <w:basedOn w:val="1048"/>
    <w:next w:val="121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0">
    <w:name w:val="xl31"/>
    <w:basedOn w:val="1048"/>
    <w:next w:val="122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53"/>
    <w:basedOn w:val="1048"/>
    <w:next w:val="1221"/>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name w:val="Char Char Char"/>
    <w:basedOn w:val="1048"/>
    <w:next w:val="1222"/>
    <w:link w:val="1048"/>
    <w:qFormat/>
    <w:rPr>
      <w:rFonts w:ascii="Tahoma" w:hAnsi="Tahoma"/>
      <w:sz w:val="24"/>
      <w:szCs w:val="20"/>
    </w:rPr>
  </w:style>
  <w:style w:type="paragraph" w:styleId="1223">
    <w:name w:val="xl50"/>
    <w:basedOn w:val="1048"/>
    <w:next w:val="122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4">
    <w:name w:val="缺省文本"/>
    <w:basedOn w:val="1048"/>
    <w:next w:val="1224"/>
    <w:link w:val="1048"/>
    <w:qFormat/>
    <w:pPr>
      <w:jc w:val="left"/>
    </w:pPr>
    <w:rPr>
      <w:sz w:val="24"/>
    </w:rPr>
  </w:style>
  <w:style w:type="paragraph" w:styleId="1225">
    <w:name w:val="Char Char Char1"/>
    <w:basedOn w:val="1048"/>
    <w:next w:val="1225"/>
    <w:link w:val="1048"/>
    <w:qFormat/>
    <w:rPr>
      <w:rFonts w:ascii="Tahoma" w:hAnsi="Tahoma"/>
      <w:sz w:val="24"/>
      <w:szCs w:val="20"/>
    </w:rPr>
  </w:style>
  <w:style w:type="paragraph" w:styleId="1226">
    <w:name w:val="Char Char Char Char Char Char Char1"/>
    <w:basedOn w:val="1048"/>
    <w:next w:val="1226"/>
    <w:link w:val="1048"/>
    <w:qFormat/>
    <w:pPr>
      <w:ind w:firstLine="200"/>
      <w:spacing w:line="360" w:lineRule="auto"/>
    </w:pPr>
    <w:rPr>
      <w:rFonts w:eastAsia="仿宋_GB2312"/>
      <w:sz w:val="24"/>
    </w:rPr>
  </w:style>
  <w:style w:type="paragraph" w:styleId="1227">
    <w:name w:val="xl51"/>
    <w:basedOn w:val="1048"/>
    <w:next w:val="1227"/>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name w:val="样式2"/>
    <w:basedOn w:val="1114"/>
    <w:next w:val="1228"/>
    <w:link w:val="1048"/>
    <w:qFormat/>
    <w:pPr>
      <w:jc w:val="center"/>
      <w:spacing w:line="360" w:lineRule="auto"/>
    </w:pPr>
    <w:rPr>
      <w:sz w:val="24"/>
    </w:rPr>
  </w:style>
  <w:style w:type="paragraph" w:styleId="1229">
    <w:name w:val="xl24"/>
    <w:basedOn w:val="1048"/>
    <w:next w:val="122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xl29"/>
    <w:basedOn w:val="1048"/>
    <w:next w:val="123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1">
    <w:name w:val="正文 + 楷体_GB2312"/>
    <w:basedOn w:val="1048"/>
    <w:next w:val="1231"/>
    <w:link w:val="1048"/>
    <w:qFormat/>
    <w:pPr>
      <w:jc w:val="left"/>
      <w:widowControl/>
    </w:pPr>
    <w:rPr>
      <w:rFonts w:ascii="楷体_GB2312" w:eastAsia="楷体_GB2312" w:cs="Arial"/>
      <w:sz w:val="24"/>
    </w:rPr>
  </w:style>
  <w:style w:type="paragraph" w:styleId="1232">
    <w:name w:val="xl34"/>
    <w:basedOn w:val="1048"/>
    <w:next w:val="1232"/>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1 Char Char Char Char"/>
    <w:basedOn w:val="1048"/>
    <w:next w:val="1233"/>
    <w:link w:val="1048"/>
    <w:qFormat/>
    <w:rPr>
      <w:rFonts w:ascii="Tahoma" w:hAnsi="Tahoma"/>
      <w:sz w:val="24"/>
      <w:szCs w:val="20"/>
    </w:rPr>
  </w:style>
  <w:style w:type="paragraph" w:styleId="1234">
    <w:name w:val="列出段落1"/>
    <w:basedOn w:val="1048"/>
    <w:next w:val="1234"/>
    <w:link w:val="1048"/>
    <w:qFormat/>
    <w:pPr>
      <w:ind w:firstLine="420"/>
    </w:pPr>
    <w:rPr>
      <w:rFonts w:ascii="Calibri" w:hAnsi="Calibri"/>
      <w:szCs w:val="22"/>
    </w:rPr>
  </w:style>
  <w:style w:type="paragraph" w:styleId="1235">
    <w:name w:val="default"/>
    <w:basedOn w:val="1048"/>
    <w:next w:val="1235"/>
    <w:link w:val="1048"/>
    <w:qFormat/>
    <w:pPr>
      <w:jc w:val="left"/>
      <w:spacing w:before="100" w:beforeAutospacing="1" w:after="100" w:afterAutospacing="1"/>
      <w:widowControl/>
    </w:pPr>
    <w:rPr>
      <w:rFonts w:ascii="宋体" w:hAnsi="宋体" w:cs="宋体"/>
      <w:sz w:val="24"/>
    </w:rPr>
  </w:style>
  <w:style w:type="paragraph" w:styleId="1236">
    <w:name w:val="字元 字元1"/>
    <w:basedOn w:val="1048"/>
    <w:next w:val="1236"/>
    <w:link w:val="1048"/>
    <w:qFormat/>
    <w:rPr>
      <w:rFonts w:ascii="Tahoma" w:hAnsi="Tahoma"/>
      <w:sz w:val="24"/>
      <w:szCs w:val="20"/>
    </w:rPr>
  </w:style>
  <w:style w:type="paragraph" w:styleId="1237">
    <w:name w:val="_Style 160"/>
    <w:next w:val="1237"/>
    <w:link w:val="1048"/>
    <w:qFormat/>
    <w:rPr>
      <w:sz w:val="21"/>
      <w:szCs w:val="24"/>
      <w:lang w:val="en-US" w:eastAsia="zh-CN" w:bidi="ar-SA"/>
    </w:rPr>
  </w:style>
  <w:style w:type="paragraph" w:styleId="1238">
    <w:name w:val="项目编号3"/>
    <w:basedOn w:val="1199"/>
    <w:next w:val="1238"/>
    <w:link w:val="1048"/>
    <w:qFormat/>
    <w:pPr>
      <w:numPr>
        <w:ilvl w:val="0"/>
        <w:numId w:val="6"/>
      </w:numPr>
    </w:pPr>
  </w:style>
  <w:style w:type="paragraph" w:styleId="1239">
    <w:name w:val="Char21"/>
    <w:basedOn w:val="1048"/>
    <w:next w:val="1239"/>
    <w:link w:val="1048"/>
    <w:qFormat/>
    <w:rPr>
      <w:rFonts w:ascii="Tahoma" w:hAnsi="Tahoma"/>
      <w:sz w:val="24"/>
      <w:szCs w:val="20"/>
    </w:rPr>
  </w:style>
  <w:style w:type="paragraph" w:styleId="1240">
    <w:name w:val="表格文字"/>
    <w:basedOn w:val="1082"/>
    <w:next w:val="1240"/>
    <w:link w:val="1048"/>
    <w:qFormat/>
    <w:pPr>
      <w:ind w:firstLine="0"/>
      <w:spacing w:before="20" w:after="20" w:line="240" w:lineRule="auto"/>
    </w:pPr>
    <w:rPr>
      <w:rFonts w:ascii="Century Gothic" w:hAnsi="Century Gothic"/>
      <w:sz w:val="20"/>
      <w:szCs w:val="20"/>
    </w:rPr>
  </w:style>
  <w:style w:type="paragraph" w:styleId="1241">
    <w:name w:val="Char Char Char Char Char Char Char Char Char Char1"/>
    <w:basedOn w:val="1048"/>
    <w:next w:val="1241"/>
    <w:link w:val="1048"/>
    <w:qFormat/>
    <w:rPr>
      <w:rFonts w:ascii="宋体" w:hAnsi="宋体" w:cs="Courier New"/>
      <w:sz w:val="32"/>
      <w:szCs w:val="32"/>
    </w:rPr>
  </w:style>
  <w:style w:type="paragraph" w:styleId="1242">
    <w:name w:val="正文文本样式 加粗"/>
    <w:basedOn w:val="1199"/>
    <w:next w:val="1242"/>
    <w:link w:val="1048"/>
    <w:qFormat/>
    <w:rPr>
      <w:b/>
    </w:rPr>
  </w:style>
  <w:style w:type="paragraph" w:styleId="1243">
    <w:name w:val="Char2 Char Char Char Char Char Char"/>
    <w:basedOn w:val="1048"/>
    <w:next w:val="1243"/>
    <w:link w:val="1048"/>
    <w:qFormat/>
    <w:pPr>
      <w:jc w:val="center"/>
      <w:spacing w:line="400" w:lineRule="exact"/>
      <w:widowControl/>
    </w:pPr>
  </w:style>
  <w:style w:type="paragraph" w:styleId="1244">
    <w:name w:val="Char Char4"/>
    <w:basedOn w:val="1048"/>
    <w:next w:val="1244"/>
    <w:link w:val="1048"/>
    <w:qFormat/>
    <w:pPr>
      <w:jc w:val="center"/>
      <w:spacing w:line="400" w:lineRule="exact"/>
      <w:widowControl/>
    </w:pPr>
  </w:style>
  <w:style w:type="paragraph" w:styleId="1245">
    <w:name w:val="Char3 Char Char Char1"/>
    <w:basedOn w:val="1048"/>
    <w:next w:val="1245"/>
    <w:link w:val="1048"/>
    <w:qFormat/>
    <w:rPr>
      <w:rFonts w:ascii="Tahoma" w:hAnsi="Tahoma"/>
      <w:sz w:val="24"/>
      <w:szCs w:val="20"/>
    </w:rPr>
  </w:style>
  <w:style w:type="paragraph" w:styleId="1246">
    <w:name w:val="无间隔"/>
    <w:next w:val="1246"/>
    <w:link w:val="1048"/>
    <w:qFormat/>
    <w:pPr>
      <w:jc w:val="both"/>
      <w:widowControl w:val="off"/>
    </w:pPr>
    <w:rPr>
      <w:sz w:val="21"/>
      <w:szCs w:val="24"/>
      <w:lang w:val="en-US" w:eastAsia="zh-CN" w:bidi="ar-SA"/>
    </w:rPr>
  </w:style>
  <w:style w:type="paragraph" w:styleId="1247">
    <w:name w:val="22222222222222"/>
    <w:basedOn w:val="1048"/>
    <w:next w:val="1247"/>
    <w:link w:val="1048"/>
    <w:qFormat/>
    <w:pPr>
      <w:ind w:firstLine="480"/>
      <w:jc w:val="left"/>
      <w:spacing w:line="360" w:lineRule="auto"/>
      <w:widowControl/>
    </w:pPr>
    <w:rPr>
      <w:color w:val="ff0000"/>
      <w:sz w:val="24"/>
      <w:szCs w:val="20"/>
    </w:rPr>
  </w:style>
  <w:style w:type="character" w:styleId="1248">
    <w:name w:val="中等深浅网格 1 - 强调文字颜色 2 Char"/>
    <w:next w:val="1248"/>
    <w:link w:val="1249"/>
    <w:qFormat/>
    <w:rPr>
      <w:sz w:val="21"/>
      <w:szCs w:val="24"/>
      <w:lang w:val="zh-CN" w:eastAsia="zh-CN" w:bidi="ar-SA"/>
    </w:rPr>
  </w:style>
  <w:style w:type="paragraph" w:styleId="1249">
    <w:name w:val="1"/>
    <w:next w:val="1249"/>
    <w:link w:val="1248"/>
    <w:qFormat/>
    <w:rPr>
      <w:sz w:val="21"/>
      <w:szCs w:val="24"/>
      <w:lang w:val="zh-CN" w:eastAsia="zh-CN" w:bidi="ar-SA"/>
    </w:rPr>
  </w:style>
  <w:style w:type="paragraph" w:styleId="1250">
    <w:name w:val="图文"/>
    <w:basedOn w:val="1048"/>
    <w:next w:val="1250"/>
    <w:link w:val="1048"/>
    <w:qFormat/>
    <w:pPr>
      <w:spacing w:after="50" w:line="360" w:lineRule="auto"/>
    </w:pPr>
    <w:rPr>
      <w:sz w:val="24"/>
    </w:rPr>
  </w:style>
  <w:style w:type="paragraph" w:styleId="1251">
    <w:name w:val="xl23"/>
    <w:basedOn w:val="1048"/>
    <w:next w:val="1251"/>
    <w:link w:val="1048"/>
    <w:qFormat/>
    <w:pPr>
      <w:spacing w:before="100" w:beforeAutospacing="1" w:after="100" w:afterAutospacing="1" w:line="360" w:lineRule="auto"/>
      <w:widowControl/>
    </w:pPr>
    <w:rPr>
      <w:sz w:val="24"/>
      <w:szCs w:val="20"/>
    </w:rPr>
  </w:style>
  <w:style w:type="paragraph" w:styleId="1252">
    <w:name w:val="正文表格"/>
    <w:basedOn w:val="1048"/>
    <w:next w:val="1252"/>
    <w:link w:val="1253"/>
    <w:qFormat/>
    <w:pPr>
      <w:jc w:val="left"/>
    </w:pPr>
    <w:rPr>
      <w:rFonts w:ascii="宋体" w:hAnsi="宋体"/>
      <w:color w:val="000000"/>
      <w:szCs w:val="21"/>
    </w:rPr>
  </w:style>
  <w:style w:type="character" w:styleId="1253">
    <w:name w:val="正文表格 Char"/>
    <w:next w:val="1253"/>
    <w:link w:val="1252"/>
    <w:qFormat/>
    <w:rPr>
      <w:rFonts w:ascii="宋体" w:hAnsi="宋体"/>
      <w:color w:val="000000"/>
      <w:sz w:val="21"/>
      <w:szCs w:val="21"/>
    </w:rPr>
  </w:style>
  <w:style w:type="paragraph" w:styleId="1254">
    <w:name w:val="正文重点"/>
    <w:basedOn w:val="1048"/>
    <w:next w:val="1254"/>
    <w:link w:val="1255"/>
    <w:qFormat/>
    <w:pPr>
      <w:ind w:firstLine="482"/>
      <w:jc w:val="left"/>
      <w:spacing w:line="360" w:lineRule="auto"/>
    </w:pPr>
    <w:rPr>
      <w:b/>
      <w:sz w:val="24"/>
      <w:szCs w:val="20"/>
    </w:rPr>
  </w:style>
  <w:style w:type="character" w:styleId="1255">
    <w:name w:val="正文重点 Char"/>
    <w:next w:val="1255"/>
    <w:link w:val="1254"/>
    <w:qFormat/>
    <w:rPr>
      <w:b/>
      <w:sz w:val="24"/>
    </w:rPr>
  </w:style>
  <w:style w:type="paragraph" w:styleId="1256">
    <w:name w:val="标题1-附件"/>
    <w:basedOn w:val="1049"/>
    <w:next w:val="1256"/>
    <w:link w:val="1048"/>
    <w:qFormat/>
    <w:pPr>
      <w:jc w:val="left"/>
    </w:pPr>
    <w:rPr>
      <w:sz w:val="24"/>
      <w:szCs w:val="24"/>
    </w:rPr>
  </w:style>
  <w:style w:type="paragraph" w:styleId="1257">
    <w:name w:val="正文小标题"/>
    <w:basedOn w:val="1048"/>
    <w:next w:val="1060"/>
    <w:link w:val="1258"/>
    <w:qFormat/>
    <w:pPr>
      <w:ind w:firstLine="482"/>
      <w:jc w:val="left"/>
      <w:spacing w:before="312" w:after="312"/>
    </w:pPr>
    <w:rPr>
      <w:rFonts w:ascii="宋体" w:hAnsi="宋体"/>
      <w:b/>
      <w:i/>
      <w:color w:val="ff0000"/>
      <w:sz w:val="24"/>
      <w:szCs w:val="20"/>
    </w:rPr>
  </w:style>
  <w:style w:type="character" w:styleId="1258">
    <w:name w:val="正文小标题 Char"/>
    <w:next w:val="1258"/>
    <w:link w:val="1257"/>
    <w:qFormat/>
    <w:rPr>
      <w:rFonts w:ascii="宋体" w:hAnsi="宋体"/>
      <w:b/>
      <w:i/>
      <w:color w:val="ff0000"/>
      <w:sz w:val="24"/>
    </w:rPr>
  </w:style>
  <w:style w:type="paragraph" w:styleId="1259">
    <w:name w:val="正文大标题"/>
    <w:basedOn w:val="1257"/>
    <w:next w:val="1060"/>
    <w:link w:val="1260"/>
    <w:qFormat/>
    <w:pPr>
      <w:jc w:val="center"/>
    </w:pPr>
    <w:rPr>
      <w:i w:val="0"/>
      <w:color w:val="000000"/>
      <w:sz w:val="28"/>
      <w:szCs w:val="21"/>
    </w:rPr>
  </w:style>
  <w:style w:type="character" w:styleId="1260">
    <w:name w:val="正文大标题 Char"/>
    <w:next w:val="1260"/>
    <w:link w:val="1259"/>
    <w:qFormat/>
    <w:rPr>
      <w:rFonts w:ascii="宋体" w:hAnsi="宋体"/>
      <w:b/>
      <w:color w:val="000000"/>
      <w:sz w:val="28"/>
      <w:szCs w:val="21"/>
    </w:rPr>
  </w:style>
  <w:style w:type="paragraph" w:styleId="1261">
    <w:name w:val="注释"/>
    <w:basedOn w:val="1048"/>
    <w:next w:val="1261"/>
    <w:link w:val="1262"/>
    <w:qFormat/>
    <w:pPr>
      <w:ind w:left="420" w:hanging="420"/>
      <w:jc w:val="left"/>
    </w:pPr>
    <w:rPr>
      <w:rFonts w:ascii="宋体" w:hAnsi="宋体"/>
      <w:szCs w:val="21"/>
    </w:rPr>
  </w:style>
  <w:style w:type="character" w:styleId="1262">
    <w:name w:val="注释 Char"/>
    <w:next w:val="1262"/>
    <w:link w:val="1261"/>
    <w:qFormat/>
    <w:rPr>
      <w:rFonts w:ascii="宋体" w:hAnsi="宋体"/>
      <w:sz w:val="21"/>
      <w:szCs w:val="21"/>
    </w:rPr>
  </w:style>
  <w:style w:type="paragraph" w:styleId="1263">
    <w:name w:val="正文须知-1级"/>
    <w:basedOn w:val="1048"/>
    <w:next w:val="1048"/>
    <w:link w:val="1048"/>
    <w:qFormat/>
    <w:pPr>
      <w:numPr>
        <w:ilvl w:val="0"/>
        <w:numId w:val="7"/>
      </w:numPr>
      <w:spacing w:line="300" w:lineRule="auto"/>
    </w:pPr>
    <w:rPr>
      <w:rFonts w:ascii="宋体" w:hAnsi="Calibri"/>
      <w:sz w:val="24"/>
      <w:szCs w:val="21"/>
    </w:rPr>
  </w:style>
  <w:style w:type="paragraph" w:styleId="1264">
    <w:name w:val="正文须知-2级"/>
    <w:basedOn w:val="1048"/>
    <w:next w:val="1264"/>
    <w:link w:val="1048"/>
    <w:qFormat/>
    <w:pPr>
      <w:numPr>
        <w:ilvl w:val="1"/>
        <w:numId w:val="7"/>
      </w:numPr>
      <w:spacing w:line="300" w:lineRule="auto"/>
    </w:pPr>
    <w:rPr>
      <w:rFonts w:ascii="宋体" w:hAnsi="Calibri"/>
      <w:sz w:val="24"/>
      <w:szCs w:val="21"/>
    </w:rPr>
  </w:style>
  <w:style w:type="paragraph" w:styleId="1265">
    <w:name w:val="正文须知-3级"/>
    <w:basedOn w:val="1048"/>
    <w:next w:val="1265"/>
    <w:link w:val="1048"/>
    <w:qFormat/>
    <w:pPr>
      <w:numPr>
        <w:ilvl w:val="2"/>
        <w:numId w:val="7"/>
      </w:numPr>
      <w:ind w:hanging="355"/>
      <w:spacing w:line="300" w:lineRule="auto"/>
    </w:pPr>
    <w:rPr>
      <w:rFonts w:ascii="宋体" w:hAnsi="Calibri"/>
      <w:sz w:val="24"/>
      <w:szCs w:val="21"/>
    </w:rPr>
  </w:style>
  <w:style w:type="character" w:styleId="1266">
    <w:name w:val="纯文本 字符"/>
    <w:next w:val="1266"/>
    <w:link w:val="1048"/>
    <w:uiPriority w:val="99"/>
    <w:qFormat/>
    <w:rPr>
      <w:rFonts w:ascii="宋体" w:hAnsi="Courier New" w:eastAsia="宋体" w:cs="Times New Roman"/>
      <w:sz w:val="21"/>
      <w:szCs w:val="21"/>
      <w:lang w:val="en-US" w:eastAsia="zh-CN" w:bidi="ar-SA"/>
    </w:rPr>
  </w:style>
  <w:style w:type="paragraph" w:styleId="1267">
    <w:name w:val="表格1"/>
    <w:basedOn w:val="1048"/>
    <w:next w:val="1267"/>
    <w:link w:val="1048"/>
    <w:qFormat/>
    <w:pPr>
      <w:ind w:firstLine="480"/>
      <w:jc w:val="center"/>
    </w:pPr>
    <w:rPr>
      <w:sz w:val="24"/>
      <w:szCs w:val="20"/>
    </w:rPr>
  </w:style>
  <w:style w:type="character" w:styleId="1268">
    <w:name w:val="纯文本 字符1"/>
    <w:next w:val="1268"/>
    <w:link w:val="1048"/>
    <w:qFormat/>
    <w:rPr>
      <w:rFonts w:ascii="宋体" w:hAnsi="Courier New"/>
    </w:rPr>
  </w:style>
  <w:style w:type="character" w:styleId="1269">
    <w:name w:val="bjh-p"/>
    <w:next w:val="1269"/>
    <w:link w:val="1048"/>
    <w:qFormat/>
  </w:style>
  <w:style w:type="paragraph" w:styleId="1270">
    <w:name w:val="无标题条"/>
    <w:next w:val="1048"/>
    <w:link w:val="1048"/>
    <w:qFormat/>
    <w:pPr>
      <w:jc w:val="both"/>
    </w:pPr>
    <w:rPr>
      <w:sz w:val="21"/>
      <w:lang w:val="en-US" w:eastAsia="zh-CN" w:bidi="ar-SA"/>
    </w:rPr>
  </w:style>
  <w:style w:type="character" w:styleId="1271">
    <w:name w:val="正文格式 Char"/>
    <w:next w:val="1271"/>
    <w:link w:val="1272"/>
    <w:qFormat/>
    <w:rPr>
      <w:rFonts w:ascii="宋体" w:hAnsi="宋体"/>
      <w:sz w:val="24"/>
      <w:szCs w:val="24"/>
      <w:lang w:val="en-GB"/>
    </w:rPr>
  </w:style>
  <w:style w:type="paragraph" w:styleId="1272">
    <w:name w:val="正文格式"/>
    <w:basedOn w:val="1048"/>
    <w:next w:val="1272"/>
    <w:link w:val="1271"/>
    <w:qFormat/>
    <w:pPr>
      <w:ind w:firstLine="480"/>
      <w:spacing w:line="360" w:lineRule="auto"/>
    </w:pPr>
    <w:rPr>
      <w:rFonts w:ascii="宋体" w:hAnsi="宋体"/>
      <w:sz w:val="24"/>
      <w:lang w:val="en-GB"/>
    </w:rPr>
  </w:style>
  <w:style w:type="character" w:styleId="1273">
    <w:name w:val="标题 3 Char"/>
    <w:next w:val="1273"/>
    <w:link w:val="1048"/>
    <w:qFormat/>
    <w:rPr>
      <w:rFonts w:ascii="宋体" w:eastAsia="宋体"/>
      <w:b/>
      <w:sz w:val="24"/>
      <w:u w:val="single"/>
      <w:lang w:val="en-US" w:eastAsia="zh-CN" w:bidi="ar-SA"/>
    </w:rPr>
  </w:style>
  <w:style w:type="character" w:styleId="1274">
    <w:name w:val="正文缩进 Char"/>
    <w:next w:val="1274"/>
    <w:link w:val="1048"/>
    <w:qFormat/>
    <w:rPr>
      <w:rFonts w:ascii="宋体" w:eastAsia="宋体"/>
      <w:sz w:val="24"/>
      <w:szCs w:val="24"/>
      <w:lang w:val="en-US" w:eastAsia="zh-CN" w:bidi="ar-SA"/>
    </w:rPr>
  </w:style>
  <w:style w:type="character" w:styleId="1275">
    <w:name w:val="Char Char111"/>
    <w:next w:val="1275"/>
    <w:link w:val="1048"/>
    <w:qFormat/>
    <w:rPr>
      <w:rFonts w:ascii="宋体" w:eastAsia="宋体"/>
      <w:b/>
      <w:sz w:val="24"/>
      <w:u w:val="single"/>
      <w:lang w:val="en-US" w:eastAsia="zh-CN" w:bidi="ar-SA"/>
    </w:rPr>
  </w:style>
  <w:style w:type="character" w:styleId="1276">
    <w:name w:val="正文文本缩进 Char"/>
    <w:next w:val="1276"/>
    <w:link w:val="1048"/>
    <w:qFormat/>
    <w:rPr>
      <w:rFonts w:eastAsia="宋体"/>
      <w:sz w:val="24"/>
      <w:szCs w:val="24"/>
      <w:lang w:val="en-US" w:eastAsia="zh-CN" w:bidi="ar-SA"/>
    </w:rPr>
  </w:style>
  <w:style w:type="character" w:styleId="1277">
    <w:name w:val="列出段落 Char"/>
    <w:next w:val="1277"/>
    <w:link w:val="1048"/>
    <w:qFormat/>
    <w:rPr>
      <w:rFonts w:ascii="Calibri" w:hAnsi="Calibri" w:eastAsia="宋体"/>
      <w:sz w:val="21"/>
      <w:szCs w:val="22"/>
      <w:lang w:val="en-US" w:eastAsia="zh-CN" w:bidi="ar-SA"/>
    </w:rPr>
  </w:style>
  <w:style w:type="character" w:styleId="1278">
    <w:name w:val="页眉 Char"/>
    <w:next w:val="1278"/>
    <w:link w:val="1048"/>
    <w:qFormat/>
    <w:rPr>
      <w:rFonts w:eastAsia="宋体"/>
      <w:sz w:val="18"/>
      <w:szCs w:val="18"/>
      <w:lang w:val="en-US" w:eastAsia="zh-CN" w:bidi="ar-SA"/>
    </w:rPr>
  </w:style>
  <w:style w:type="character" w:styleId="1279">
    <w:name w:val="标题 2 Char"/>
    <w:next w:val="1279"/>
    <w:link w:val="1048"/>
    <w:qFormat/>
    <w:rPr>
      <w:rFonts w:ascii="Arial" w:hAnsi="Arial" w:eastAsia="黑体"/>
      <w:b/>
      <w:sz w:val="30"/>
      <w:lang w:val="en-US" w:eastAsia="zh-CN" w:bidi="ar-SA"/>
    </w:rPr>
  </w:style>
  <w:style w:type="paragraph" w:styleId="1280">
    <w:name w:val="字元 字元2"/>
    <w:basedOn w:val="1048"/>
    <w:next w:val="1280"/>
    <w:link w:val="1048"/>
    <w:qFormat/>
    <w:rPr>
      <w:rFonts w:ascii="Tahoma" w:hAnsi="Tahoma"/>
      <w:sz w:val="24"/>
      <w:szCs w:val="20"/>
    </w:rPr>
  </w:style>
  <w:style w:type="paragraph" w:styleId="1281">
    <w:name w:val="Char3 Char Char Char2"/>
    <w:basedOn w:val="1048"/>
    <w:next w:val="1281"/>
    <w:link w:val="1048"/>
    <w:qFormat/>
    <w:rPr>
      <w:rFonts w:ascii="Tahoma" w:hAnsi="Tahoma"/>
      <w:sz w:val="24"/>
      <w:szCs w:val="20"/>
    </w:rPr>
  </w:style>
  <w:style w:type="paragraph" w:styleId="1282">
    <w:name w:val="正文文本缩进2"/>
    <w:basedOn w:val="1048"/>
    <w:next w:val="1282"/>
    <w:link w:val="1048"/>
    <w:qFormat/>
    <w:pPr>
      <w:ind w:firstLine="480"/>
      <w:spacing w:line="480" w:lineRule="exact"/>
    </w:pPr>
    <w:rPr>
      <w:rFonts w:ascii="宋体" w:hAnsi="宋体"/>
      <w:sz w:val="24"/>
      <w:lang w:val="zh-CN" w:eastAsia="zh-CN"/>
    </w:rPr>
  </w:style>
  <w:style w:type="paragraph" w:styleId="1283">
    <w:name w:val="Char3"/>
    <w:basedOn w:val="1048"/>
    <w:next w:val="1283"/>
    <w:link w:val="1048"/>
    <w:qFormat/>
    <w:pPr>
      <w:tabs>
        <w:tab w:val="left" w:pos="360" w:leader="none"/>
      </w:tabs>
    </w:pPr>
    <w:rPr>
      <w:sz w:val="24"/>
    </w:rPr>
  </w:style>
  <w:style w:type="paragraph" w:styleId="1284">
    <w:name w:val="Char Char Char Char Char Char Char Char Char Char Char Char Char Char Char Char1"/>
    <w:basedOn w:val="1048"/>
    <w:next w:val="1284"/>
    <w:link w:val="1048"/>
    <w:qFormat/>
    <w:pPr>
      <w:jc w:val="center"/>
      <w:spacing w:after="160" w:line="240" w:lineRule="exact"/>
      <w:widowControl/>
    </w:pPr>
    <w:rPr>
      <w:rFonts w:ascii="宋体" w:hAnsi="宋体"/>
      <w:b/>
      <w:sz w:val="30"/>
      <w:szCs w:val="30"/>
      <w:lang w:eastAsia="en-US"/>
    </w:rPr>
  </w:style>
  <w:style w:type="paragraph" w:styleId="1285">
    <w:name w:val="Char Char1 Char Char Char Char Char Char1"/>
    <w:basedOn w:val="1048"/>
    <w:next w:val="1285"/>
    <w:link w:val="1048"/>
    <w:qFormat/>
    <w:pPr>
      <w:jc w:val="left"/>
      <w:spacing w:after="160" w:line="240" w:lineRule="exact"/>
      <w:widowControl/>
    </w:pPr>
    <w:rPr>
      <w:rFonts w:ascii="Verdana" w:hAnsi="Verdana" w:eastAsia="仿宋_GB2312"/>
      <w:sz w:val="24"/>
      <w:szCs w:val="20"/>
      <w:lang w:eastAsia="en-US"/>
    </w:rPr>
  </w:style>
  <w:style w:type="paragraph" w:styleId="1286">
    <w:name w:val="列出段落2"/>
    <w:basedOn w:val="1048"/>
    <w:next w:val="1286"/>
    <w:link w:val="1048"/>
    <w:qFormat/>
    <w:pPr>
      <w:ind w:firstLine="420"/>
    </w:pPr>
    <w:rPr>
      <w:rFonts w:ascii="Calibri" w:hAnsi="Calibri"/>
      <w:szCs w:val="22"/>
    </w:rPr>
  </w:style>
  <w:style w:type="paragraph" w:styleId="1287">
    <w:name w:val="Char Char Char1 Char2"/>
    <w:basedOn w:val="1048"/>
    <w:next w:val="1287"/>
    <w:link w:val="1048"/>
    <w:qFormat/>
    <w:rPr>
      <w:rFonts w:ascii="Tahoma" w:hAnsi="Tahoma"/>
      <w:sz w:val="24"/>
      <w:szCs w:val="20"/>
    </w:rPr>
  </w:style>
  <w:style w:type="paragraph" w:styleId="1288">
    <w:name w:val="Char Char Char2"/>
    <w:basedOn w:val="1048"/>
    <w:next w:val="1288"/>
    <w:link w:val="1048"/>
    <w:qFormat/>
    <w:rPr>
      <w:rFonts w:ascii="Tahoma" w:hAnsi="Tahoma"/>
      <w:sz w:val="24"/>
      <w:szCs w:val="20"/>
    </w:rPr>
  </w:style>
  <w:style w:type="paragraph" w:styleId="1289">
    <w:name w:val="Char Char Char Char Char Char Char2"/>
    <w:basedOn w:val="1048"/>
    <w:next w:val="1289"/>
    <w:link w:val="1048"/>
    <w:qFormat/>
    <w:pPr>
      <w:ind w:firstLine="200"/>
      <w:spacing w:line="360" w:lineRule="auto"/>
    </w:pPr>
    <w:rPr>
      <w:rFonts w:eastAsia="仿宋_GB2312"/>
      <w:sz w:val="24"/>
    </w:rPr>
  </w:style>
  <w:style w:type="paragraph" w:styleId="1290">
    <w:name w:val="正文缩进2"/>
    <w:basedOn w:val="1048"/>
    <w:next w:val="1290"/>
    <w:link w:val="1048"/>
    <w:qFormat/>
    <w:pPr>
      <w:ind w:firstLine="567"/>
      <w:spacing w:line="480" w:lineRule="exact"/>
      <w:widowControl/>
    </w:pPr>
    <w:rPr>
      <w:rFonts w:ascii="宋体"/>
      <w:color w:val="000000"/>
      <w:sz w:val="28"/>
      <w:szCs w:val="20"/>
      <w:lang w:val="zh-CN" w:eastAsia="zh-CN"/>
    </w:rPr>
  </w:style>
  <w:style w:type="paragraph" w:styleId="1291">
    <w:name w:val="Revision"/>
    <w:next w:val="1291"/>
    <w:link w:val="1048"/>
    <w:qFormat/>
    <w:rPr>
      <w:sz w:val="21"/>
      <w:szCs w:val="24"/>
      <w:lang w:val="en-US" w:eastAsia="zh-CN" w:bidi="ar-SA"/>
    </w:rPr>
  </w:style>
  <w:style w:type="paragraph" w:styleId="1292">
    <w:name w:val="Char22"/>
    <w:basedOn w:val="1048"/>
    <w:next w:val="1292"/>
    <w:link w:val="1048"/>
    <w:qFormat/>
    <w:rPr>
      <w:rFonts w:ascii="Tahoma" w:hAnsi="Tahoma"/>
      <w:sz w:val="24"/>
      <w:szCs w:val="20"/>
    </w:rPr>
  </w:style>
  <w:style w:type="paragraph" w:styleId="1293">
    <w:name w:val="Char Char Char Char Char Char Char Char Char Char2"/>
    <w:basedOn w:val="1048"/>
    <w:next w:val="1293"/>
    <w:link w:val="1048"/>
    <w:qFormat/>
    <w:rPr>
      <w:rFonts w:ascii="宋体" w:hAnsi="宋体" w:cs="Courier New"/>
      <w:sz w:val="32"/>
      <w:szCs w:val="32"/>
    </w:rPr>
  </w:style>
  <w:style w:type="paragraph" w:styleId="1294">
    <w:name w:val="Char2 Char Char Char Char Char Char1"/>
    <w:basedOn w:val="1048"/>
    <w:next w:val="1294"/>
    <w:link w:val="1048"/>
    <w:qFormat/>
    <w:pPr>
      <w:jc w:val="center"/>
      <w:spacing w:line="400" w:lineRule="exact"/>
      <w:widowControl/>
    </w:pPr>
  </w:style>
  <w:style w:type="character" w:styleId="1295">
    <w:name w:val="页脚 Char"/>
    <w:next w:val="1295"/>
    <w:link w:val="1048"/>
    <w:qFormat/>
    <w:rPr>
      <w:rFonts w:ascii="宋体" w:eastAsia="宋体"/>
      <w:sz w:val="18"/>
      <w:lang w:val="en-US" w:eastAsia="zh-CN" w:bidi="ar-SA"/>
    </w:rPr>
  </w:style>
  <w:style w:type="paragraph" w:styleId="1296">
    <w:name w:val="Char Char41"/>
    <w:basedOn w:val="1048"/>
    <w:next w:val="1296"/>
    <w:link w:val="1048"/>
    <w:qFormat/>
    <w:pPr>
      <w:jc w:val="center"/>
      <w:spacing w:line="400" w:lineRule="exact"/>
      <w:widowControl/>
    </w:pPr>
  </w:style>
  <w:style w:type="character" w:styleId="1297">
    <w:name w:val="批注文字 Char"/>
    <w:next w:val="1297"/>
    <w:link w:val="1048"/>
    <w:uiPriority w:val="99"/>
    <w:qFormat/>
    <w:rPr>
      <w:sz w:val="21"/>
      <w:szCs w:val="24"/>
    </w:rPr>
  </w:style>
  <w:style w:type="character" w:styleId="1298">
    <w:name w:val="标题 Char"/>
    <w:next w:val="1298"/>
    <w:link w:val="1048"/>
    <w:qFormat/>
    <w:rPr>
      <w:b/>
      <w:sz w:val="32"/>
    </w:rPr>
  </w:style>
  <w:style w:type="paragraph" w:styleId="1299">
    <w:name w:val="图例"/>
    <w:basedOn w:val="1048"/>
    <w:next w:val="1299"/>
    <w:link w:val="1048"/>
    <w:qFormat/>
    <w:pPr>
      <w:jc w:val="center"/>
      <w:spacing w:before="120" w:after="120" w:line="360" w:lineRule="auto"/>
    </w:pPr>
    <w:rPr>
      <w:rFonts w:eastAsia="仿宋_GB2312"/>
      <w:b/>
      <w:sz w:val="24"/>
      <w:szCs w:val="20"/>
    </w:rPr>
  </w:style>
  <w:style w:type="table" w:styleId="1300">
    <w:name w:val="Table Normal"/>
    <w:next w:val="1300"/>
    <w:link w:val="1048"/>
    <w:uiPriority w:val="2"/>
    <w:unhideWhenUsed/>
    <w:qFormat/>
    <w:pPr>
      <w:widowControl w:val="off"/>
    </w:pPr>
    <w:rPr>
      <w:rFonts w:ascii="Calibri" w:hAnsi="Calibri"/>
      <w:sz w:val="22"/>
      <w:szCs w:val="22"/>
      <w:lang w:val="en-US" w:eastAsia="en-US" w:bidi="ar-SA"/>
    </w:rPr>
    <w:tblPr/>
  </w:style>
  <w:style w:type="paragraph" w:styleId="1301">
    <w:name w:val="Table Paragraph"/>
    <w:basedOn w:val="1048"/>
    <w:next w:val="1301"/>
    <w:link w:val="1048"/>
    <w:uiPriority w:val="1"/>
    <w:qFormat/>
    <w:pPr>
      <w:jc w:val="left"/>
    </w:pPr>
    <w:rPr>
      <w:rFonts w:ascii="宋体" w:hAnsi="宋体" w:cs="宋体"/>
      <w:sz w:val="22"/>
      <w:szCs w:val="22"/>
      <w:lang w:eastAsia="en-US"/>
    </w:rPr>
  </w:style>
  <w:style w:type="paragraph" w:styleId="1302">
    <w:name w:val="成文日期"/>
    <w:basedOn w:val="1048"/>
    <w:next w:val="1302"/>
    <w:link w:val="1303"/>
    <w:qFormat/>
    <w:pPr>
      <w:ind w:right="400" w:firstLine="200"/>
      <w:jc w:val="right"/>
      <w:spacing w:line="570" w:lineRule="exact"/>
    </w:pPr>
    <w:rPr>
      <w:rFonts w:ascii="仿宋_GB2312" w:eastAsia="仿宋_GB2312"/>
      <w:sz w:val="32"/>
      <w:szCs w:val="20"/>
    </w:rPr>
  </w:style>
  <w:style w:type="character" w:styleId="1303">
    <w:name w:val="成文日期 Char"/>
    <w:next w:val="1303"/>
    <w:link w:val="1302"/>
    <w:rPr>
      <w:rFonts w:ascii="仿宋_GB2312" w:eastAsia="仿宋_GB2312"/>
      <w:sz w:val="32"/>
    </w:rPr>
  </w:style>
  <w:style w:type="paragraph" w:styleId="1304">
    <w:name w:val="修订"/>
    <w:next w:val="1304"/>
    <w:link w:val="1048"/>
    <w:uiPriority w:val="99"/>
    <w:unhideWhenUsed/>
    <w:rPr>
      <w:sz w:val="21"/>
      <w:szCs w:val="24"/>
      <w:lang w:val="en-US" w:eastAsia="zh-CN" w:bidi="ar-SA"/>
    </w:rPr>
  </w:style>
  <w:style w:type="character" w:styleId="1305">
    <w:name w:val="thisclass"/>
    <w:next w:val="1305"/>
    <w:link w:val="1048"/>
    <w:rPr>
      <w:b/>
      <w:bCs/>
      <w:color w:val="ffffff"/>
      <w:shd w:val="clear" w:color="auto" w:fill="2e6ab1"/>
    </w:rPr>
  </w:style>
  <w:style w:type="character" w:styleId="1306">
    <w:name w:val="disabled"/>
    <w:next w:val="1306"/>
    <w:link w:val="1048"/>
    <w:rPr>
      <w:color w:val="929292"/>
    </w:rPr>
  </w:style>
  <w:style w:type="character" w:styleId="1307">
    <w:name w:val="nav-on"/>
    <w:next w:val="1307"/>
    <w:link w:val="1048"/>
    <w:rPr>
      <w:vanish/>
    </w:rPr>
  </w:style>
  <w:style w:type="paragraph" w:styleId="1308">
    <w:name w:val="_Style 260"/>
    <w:basedOn w:val="1048"/>
    <w:next w:val="1150"/>
    <w:link w:val="1048"/>
    <w:uiPriority w:val="99"/>
    <w:qFormat/>
    <w:pPr>
      <w:ind w:firstLine="420"/>
    </w:pPr>
    <w:rPr>
      <w:rFonts w:ascii="Calibri" w:hAnsi="Calibri"/>
      <w:szCs w:val="22"/>
    </w:rPr>
  </w:style>
  <w:style w:type="paragraph" w:styleId="1309">
    <w:name w:val="null3"/>
    <w:next w:val="1309"/>
    <w:link w:val="1048"/>
    <w:qFormat/>
    <w:rPr>
      <w:rFonts w:hint="eastAsia" w:ascii="Calibri" w:hAnsi="Calibri" w:eastAsia="宋体" w:cs="Times New Roman"/>
      <w:lang w:val="en-US" w:eastAsia="zh-CN" w:bidi="ar-SA"/>
    </w:rPr>
  </w:style>
  <w:style w:type="character" w:styleId="1310">
    <w:name w:val="font81"/>
    <w:basedOn w:val="1058"/>
    <w:next w:val="1310"/>
    <w:link w:val="1048"/>
    <w:rPr>
      <w:rFonts w:ascii="Calibri" w:hAnsi="Calibri" w:cs="Calibri"/>
      <w:i w:val="0"/>
      <w:iCs w:val="0"/>
      <w:color w:val="000000"/>
      <w:sz w:val="20"/>
      <w:szCs w:val="20"/>
      <w:u w:val="none"/>
    </w:rPr>
  </w:style>
  <w:style w:type="character" w:styleId="1311">
    <w:name w:val="font41"/>
    <w:basedOn w:val="1058"/>
    <w:next w:val="1311"/>
    <w:link w:val="1048"/>
    <w:rPr>
      <w:rFonts w:hint="eastAsia" w:ascii="宋体" w:hAnsi="宋体" w:eastAsia="宋体" w:cs="宋体"/>
      <w:i w:val="0"/>
      <w:iCs w:val="0"/>
      <w:color w:val="000000"/>
      <w:sz w:val="20"/>
      <w:szCs w:val="20"/>
      <w:u w:val="none"/>
    </w:rPr>
  </w:style>
  <w:style w:type="character" w:styleId="1312">
    <w:name w:val="font91"/>
    <w:basedOn w:val="1058"/>
    <w:next w:val="1312"/>
    <w:link w:val="1048"/>
    <w:rPr>
      <w:rFonts w:hint="eastAsia" w:ascii="宋体" w:hAnsi="宋体" w:eastAsia="宋体" w:cs="宋体"/>
      <w:b/>
      <w:bCs/>
      <w:i w:val="0"/>
      <w:iCs w:val="0"/>
      <w:color w:val="000000"/>
      <w:sz w:val="20"/>
      <w:szCs w:val="20"/>
      <w:u w:val="none"/>
    </w:rPr>
  </w:style>
  <w:style w:type="character" w:styleId="1313">
    <w:name w:val="font101"/>
    <w:basedOn w:val="1058"/>
    <w:next w:val="1313"/>
    <w:link w:val="1048"/>
    <w:rPr>
      <w:rFonts w:ascii="Calibri" w:hAnsi="Calibri" w:cs="Calibri"/>
      <w:i w:val="0"/>
      <w:iCs w:val="0"/>
      <w:color w:val="000000"/>
      <w:sz w:val="20"/>
      <w:szCs w:val="20"/>
      <w:u w:val="none"/>
    </w:rPr>
  </w:style>
  <w:style w:type="character" w:styleId="1314">
    <w:name w:val="font21"/>
    <w:basedOn w:val="1058"/>
    <w:next w:val="1314"/>
    <w:link w:val="1048"/>
    <w:rPr>
      <w:rFonts w:hint="eastAsia" w:ascii="宋体" w:hAnsi="宋体" w:eastAsia="宋体" w:cs="宋体"/>
      <w:i w:val="0"/>
      <w:iCs w:val="0"/>
      <w:color w:val="000000"/>
      <w:sz w:val="20"/>
      <w:szCs w:val="20"/>
      <w:u w:val="none"/>
    </w:rPr>
  </w:style>
  <w:style w:type="character" w:styleId="1315">
    <w:name w:val="font12"/>
    <w:basedOn w:val="1058"/>
    <w:next w:val="1315"/>
    <w:link w:val="1048"/>
    <w:rPr>
      <w:rFonts w:hint="eastAsia" w:ascii="宋体" w:hAnsi="宋体" w:eastAsia="宋体" w:cs="宋体"/>
      <w:b/>
      <w:bCs/>
      <w:i w:val="0"/>
      <w:iCs w:val="0"/>
      <w:color w:val="000000"/>
      <w:sz w:val="20"/>
      <w:szCs w:val="20"/>
      <w:u w:val="none"/>
    </w:rPr>
  </w:style>
  <w:style w:type="character" w:styleId="1316">
    <w:name w:val="font122"/>
    <w:basedOn w:val="1058"/>
    <w:next w:val="1316"/>
    <w:link w:val="1048"/>
    <w:rPr>
      <w:rFonts w:ascii="微软雅黑" w:hAnsi="微软雅黑" w:eastAsia="微软雅黑" w:cs="微软雅黑"/>
      <w:i w:val="0"/>
      <w:iCs w:val="0"/>
      <w:color w:val="000000"/>
      <w:sz w:val="20"/>
      <w:szCs w:val="20"/>
      <w:u w:val="none"/>
    </w:rPr>
  </w:style>
  <w:style w:type="character" w:styleId="1317">
    <w:name w:val="font131"/>
    <w:basedOn w:val="1058"/>
    <w:next w:val="1317"/>
    <w:link w:val="1048"/>
    <w:rPr>
      <w:rFonts w:hint="eastAsia" w:ascii="宋体" w:hAnsi="宋体" w:eastAsia="宋体" w:cs="宋体"/>
      <w:b/>
      <w:bCs/>
      <w:i w:val="0"/>
      <w:iCs w:val="0"/>
      <w:color w:val="000000"/>
      <w:sz w:val="20"/>
      <w:szCs w:val="20"/>
      <w:u w:val="none"/>
    </w:rPr>
  </w:style>
  <w:style w:type="character" w:styleId="1318">
    <w:name w:val="font51"/>
    <w:basedOn w:val="1058"/>
    <w:next w:val="1318"/>
    <w:link w:val="1048"/>
    <w:rPr>
      <w:rFonts w:hint="eastAsia" w:ascii="宋体" w:hAnsi="宋体" w:eastAsia="宋体" w:cs="宋体"/>
      <w:i w:val="0"/>
      <w:iCs w:val="0"/>
      <w:color w:val="000000"/>
      <w:sz w:val="20"/>
      <w:szCs w:val="20"/>
      <w:u w:val="none"/>
    </w:rPr>
  </w:style>
  <w:style w:type="paragraph" w:styleId="1319">
    <w:name w:val="列表段落2"/>
    <w:basedOn w:val="1048"/>
    <w:next w:val="1319"/>
    <w:link w:val="1048"/>
    <w:uiPriority w:val="34"/>
    <w:qFormat/>
    <w:pPr>
      <w:contextualSpacing/>
      <w:ind w:left="720"/>
    </w:pPr>
  </w:style>
  <w:style w:type="paragraph" w:styleId="1320">
    <w:name w:val="样式"/>
    <w:next w:val="1320"/>
    <w:link w:val="1048"/>
    <w:qFormat/>
    <w:pPr>
      <w:widowControl w:val="off"/>
    </w:pPr>
    <w:rPr>
      <w:rFonts w:ascii="Calibri" w:hAnsi="Calibri" w:eastAsia="宋体" w:cs="Times New Roman"/>
      <w:sz w:val="24"/>
      <w:szCs w:val="24"/>
      <w:lang w:val="en-US" w:eastAsia="zh-CN" w:bidi="ar-SA"/>
    </w:rPr>
  </w:style>
  <w:style w:type="paragraph" w:styleId="1321">
    <w:name w:val="普通(网站)1"/>
    <w:basedOn w:val="1048"/>
    <w:next w:val="1321"/>
    <w:link w:val="1048"/>
    <w:uiPriority w:val="99"/>
    <w:unhideWhenUsed/>
    <w:qFormat/>
    <w:pPr>
      <w:jc w:val="left"/>
      <w:spacing w:before="100" w:beforeAutospacing="1" w:after="100" w:afterAutospacing="1"/>
      <w:widowControl/>
    </w:pPr>
    <w:rPr>
      <w:rFonts w:ascii="宋体" w:hAnsi="宋体" w:cs="宋体"/>
      <w:sz w:val="24"/>
    </w:rPr>
  </w:style>
  <w:style w:type="paragraph" w:styleId="1322">
    <w:name w:val="正文 A"/>
    <w:next w:val="1322"/>
    <w:link w:val="1048"/>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323">
    <w:name w:val="正文文本缩进11"/>
    <w:basedOn w:val="1048"/>
    <w:next w:val="1048"/>
    <w:link w:val="1048"/>
    <w:qFormat/>
    <w:pPr>
      <w:ind w:firstLine="570"/>
      <w:spacing w:line="360" w:lineRule="auto"/>
    </w:pPr>
    <w:rPr>
      <w:sz w:val="24"/>
    </w:rPr>
  </w:style>
  <w:style w:type="paragraph" w:styleId="1324">
    <w:name w:val="AONormal"/>
    <w:next w:val="1324"/>
    <w:link w:val="1048"/>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标题 21"/>
    <w:basedOn w:val="1048"/>
    <w:next w:val="1048"/>
    <w:link w:val="1048"/>
    <w:qFormat/>
    <w:pPr>
      <w:jc w:val="center"/>
      <w:keepLines/>
      <w:keepNext/>
      <w:spacing w:before="120" w:line="300" w:lineRule="auto"/>
      <w:outlineLvl w:val="1"/>
    </w:pPr>
    <w:rPr>
      <w:rFonts w:ascii="Arial" w:hAnsi="Arial" w:eastAsia="黑体"/>
      <w:b/>
      <w:sz w:val="30"/>
      <w:szCs w:val="20"/>
    </w:rPr>
  </w:style>
  <w:style w:type="paragraph" w:styleId="1326">
    <w:name w:val="纯文本1"/>
    <w:basedOn w:val="1048"/>
    <w:next w:val="1326"/>
    <w:link w:val="1048"/>
    <w:qFormat/>
    <w:rPr>
      <w:rFonts w:hint="eastAsia" w:ascii="宋体" w:hAnsi="Courier New"/>
      <w:szCs w:val="20"/>
    </w:rPr>
  </w:style>
  <w:style w:type="paragraph" w:styleId="1327">
    <w:name w:val="表格"/>
    <w:basedOn w:val="1048"/>
    <w:next w:val="1327"/>
    <w:link w:val="1048"/>
    <w:qFormat/>
    <w:pPr>
      <w:ind w:firstLine="0"/>
      <w:jc w:val="center"/>
      <w:spacing w:line="240" w:lineRule="auto"/>
      <w:widowControl/>
    </w:pPr>
    <w:rPr>
      <w:rFonts w:ascii="宋体" w:hAnsi="宋体"/>
      <w:color w:val="000000"/>
      <w:sz w:val="21"/>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9</cp:revision>
  <dcterms:created xsi:type="dcterms:W3CDTF">2022-05-30T08:08:00Z</dcterms:created>
  <dcterms:modified xsi:type="dcterms:W3CDTF">2026-10-09T08:11:01Z</dcterms:modified>
</cp:coreProperties>
</file>