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A3BED">
      <w:pPr>
        <w:tabs>
          <w:tab w:val="left" w:pos="3841"/>
        </w:tabs>
        <w:overflowPunct w:val="0"/>
        <w:spacing w:line="240" w:lineRule="exact"/>
        <w:jc w:val="left"/>
        <w:rPr>
          <w:rFonts w:eastAsia="宋体"/>
          <w:b/>
          <w:color w:val="auto"/>
          <w:sz w:val="72"/>
          <w:highlight w:val="none"/>
        </w:rPr>
      </w:pPr>
      <w:bookmarkStart w:id="0" w:name="_Hlk108100331"/>
      <w:r>
        <w:rPr>
          <w:rFonts w:eastAsia="宋体"/>
          <w:b/>
          <w:color w:val="auto"/>
          <w:sz w:val="72"/>
          <w:highlight w:val="none"/>
        </w:rPr>
        <w:tab/>
      </w:r>
    </w:p>
    <w:p w14:paraId="4D88A535">
      <w:pPr>
        <w:overflowPunct w:val="0"/>
        <w:jc w:val="center"/>
        <w:rPr>
          <w:rFonts w:eastAsia="宋体"/>
          <w:b/>
          <w:color w:val="auto"/>
          <w:sz w:val="72"/>
          <w:highlight w:val="none"/>
        </w:rPr>
      </w:pPr>
    </w:p>
    <w:p w14:paraId="70801291">
      <w:pPr>
        <w:snapToGrid w:val="0"/>
        <w:jc w:val="center"/>
        <w:rPr>
          <w:rFonts w:eastAsia="华文中宋"/>
          <w:b/>
          <w:color w:val="auto"/>
          <w:sz w:val="96"/>
          <w:szCs w:val="84"/>
          <w:highlight w:val="none"/>
        </w:rPr>
      </w:pPr>
      <w:r>
        <w:rPr>
          <w:rFonts w:hint="eastAsia" w:eastAsia="华文中宋"/>
          <w:b/>
          <w:color w:val="auto"/>
          <w:sz w:val="52"/>
          <w:szCs w:val="40"/>
          <w:highlight w:val="none"/>
        </w:rPr>
        <w:t>江都西闸上游及万福闸上游（新河、壁虎河侧）拦船设施建设项目</w:t>
      </w:r>
    </w:p>
    <w:p w14:paraId="256565BB">
      <w:pPr>
        <w:snapToGrid w:val="0"/>
        <w:jc w:val="center"/>
        <w:rPr>
          <w:rFonts w:hint="eastAsia" w:eastAsia="华文中宋"/>
          <w:b w:val="0"/>
          <w:bCs/>
          <w:color w:val="auto"/>
          <w:sz w:val="40"/>
          <w:szCs w:val="40"/>
          <w:highlight w:val="none"/>
          <w:lang w:val="en-US" w:eastAsia="zh-CN"/>
        </w:rPr>
      </w:pPr>
      <w:r>
        <w:rPr>
          <w:rFonts w:hint="eastAsia" w:eastAsia="华文中宋"/>
          <w:b w:val="0"/>
          <w:bCs/>
          <w:color w:val="auto"/>
          <w:sz w:val="40"/>
          <w:szCs w:val="40"/>
          <w:highlight w:val="none"/>
          <w:lang w:val="en-US" w:eastAsia="zh-CN"/>
        </w:rPr>
        <w:t>（二次）</w:t>
      </w:r>
    </w:p>
    <w:p w14:paraId="2CF7E86C">
      <w:pPr>
        <w:snapToGrid w:val="0"/>
        <w:jc w:val="center"/>
        <w:rPr>
          <w:rFonts w:eastAsia="华文中宋"/>
          <w:b/>
          <w:color w:val="auto"/>
          <w:sz w:val="96"/>
          <w:szCs w:val="84"/>
          <w:highlight w:val="none"/>
        </w:rPr>
      </w:pPr>
      <w:r>
        <w:rPr>
          <w:rFonts w:eastAsia="华文中宋"/>
          <w:b/>
          <w:color w:val="auto"/>
          <w:sz w:val="96"/>
          <w:szCs w:val="84"/>
          <w:highlight w:val="none"/>
        </w:rPr>
        <w:t>竞争性磋商文件</w:t>
      </w:r>
    </w:p>
    <w:p w14:paraId="374277A6">
      <w:pPr>
        <w:snapToGrid w:val="0"/>
        <w:jc w:val="center"/>
        <w:rPr>
          <w:rFonts w:eastAsia="宋体"/>
          <w:b/>
          <w:color w:val="auto"/>
          <w:sz w:val="32"/>
          <w:szCs w:val="30"/>
          <w:highlight w:val="none"/>
        </w:rPr>
      </w:pPr>
      <w:r>
        <w:rPr>
          <w:rFonts w:hint="eastAsia" w:eastAsia="宋体"/>
          <w:b/>
          <w:color w:val="auto"/>
          <w:sz w:val="32"/>
          <w:szCs w:val="30"/>
          <w:highlight w:val="none"/>
        </w:rPr>
        <w:t xml:space="preserve">    </w:t>
      </w:r>
    </w:p>
    <w:p w14:paraId="653CD3EA">
      <w:pPr>
        <w:snapToGrid w:val="0"/>
        <w:jc w:val="center"/>
        <w:rPr>
          <w:rFonts w:eastAsia="宋体"/>
          <w:b/>
          <w:color w:val="auto"/>
          <w:sz w:val="32"/>
          <w:szCs w:val="30"/>
          <w:highlight w:val="none"/>
        </w:rPr>
      </w:pPr>
    </w:p>
    <w:p w14:paraId="47FB413C">
      <w:pPr>
        <w:snapToGrid w:val="0"/>
        <w:jc w:val="center"/>
        <w:rPr>
          <w:rFonts w:hint="eastAsia" w:eastAsia="宋体"/>
          <w:color w:val="auto"/>
          <w:highlight w:val="none"/>
          <w:lang w:eastAsia="zh-CN"/>
        </w:rPr>
      </w:pPr>
      <w:r>
        <w:rPr>
          <w:rFonts w:eastAsia="宋体"/>
          <w:b/>
          <w:color w:val="auto"/>
          <w:sz w:val="32"/>
          <w:szCs w:val="30"/>
          <w:highlight w:val="none"/>
        </w:rPr>
        <w:t>项目编号：JSZC-320000-HYGS-C2026-003</w:t>
      </w:r>
      <w:r>
        <w:rPr>
          <w:rFonts w:hint="eastAsia" w:eastAsia="宋体"/>
          <w:b/>
          <w:color w:val="auto"/>
          <w:sz w:val="32"/>
          <w:szCs w:val="30"/>
          <w:highlight w:val="none"/>
          <w:lang w:val="en-US" w:eastAsia="zh-CN"/>
        </w:rPr>
        <w:t>4</w:t>
      </w:r>
    </w:p>
    <w:p w14:paraId="32EEBBBC">
      <w:pPr>
        <w:pStyle w:val="36"/>
        <w:spacing w:before="62"/>
        <w:ind w:firstLine="0"/>
        <w:rPr>
          <w:rFonts w:ascii="Times New Roman" w:hAnsi="Times New Roman"/>
          <w:color w:val="auto"/>
          <w:sz w:val="32"/>
          <w:szCs w:val="28"/>
          <w:highlight w:val="none"/>
        </w:rPr>
      </w:pPr>
    </w:p>
    <w:p w14:paraId="0202A064">
      <w:pPr>
        <w:pStyle w:val="36"/>
        <w:spacing w:before="62"/>
        <w:ind w:firstLine="0"/>
        <w:rPr>
          <w:rFonts w:ascii="Times New Roman" w:hAnsi="Times New Roman"/>
          <w:color w:val="auto"/>
          <w:sz w:val="32"/>
          <w:szCs w:val="28"/>
          <w:highlight w:val="none"/>
        </w:rPr>
      </w:pPr>
    </w:p>
    <w:p w14:paraId="1D64F03C">
      <w:pPr>
        <w:pStyle w:val="36"/>
        <w:spacing w:before="62"/>
        <w:ind w:firstLine="0"/>
        <w:rPr>
          <w:rFonts w:ascii="Times New Roman" w:hAnsi="Times New Roman"/>
          <w:color w:val="auto"/>
          <w:sz w:val="32"/>
          <w:szCs w:val="28"/>
          <w:highlight w:val="none"/>
        </w:rPr>
      </w:pPr>
    </w:p>
    <w:p w14:paraId="29F3F85F">
      <w:pPr>
        <w:pStyle w:val="36"/>
        <w:spacing w:before="62"/>
        <w:ind w:firstLine="0"/>
        <w:rPr>
          <w:rFonts w:ascii="Times New Roman" w:hAnsi="Times New Roman"/>
          <w:color w:val="auto"/>
          <w:sz w:val="32"/>
          <w:szCs w:val="28"/>
          <w:highlight w:val="none"/>
        </w:rPr>
      </w:pPr>
    </w:p>
    <w:p w14:paraId="74DB6F57">
      <w:pPr>
        <w:pStyle w:val="36"/>
        <w:spacing w:before="62"/>
        <w:ind w:firstLine="0"/>
        <w:rPr>
          <w:rFonts w:ascii="Times New Roman" w:hAnsi="Times New Roman"/>
          <w:color w:val="auto"/>
          <w:sz w:val="32"/>
          <w:szCs w:val="28"/>
          <w:highlight w:val="none"/>
        </w:rPr>
      </w:pPr>
    </w:p>
    <w:p w14:paraId="08E0FCEF">
      <w:pPr>
        <w:spacing w:before="62"/>
        <w:jc w:val="center"/>
        <w:rPr>
          <w:rFonts w:ascii="Times New Roman" w:hAnsi="Times New Roman"/>
          <w:color w:val="auto"/>
          <w:sz w:val="32"/>
          <w:szCs w:val="28"/>
          <w:highlight w:val="none"/>
        </w:rPr>
      </w:pPr>
      <w:r>
        <w:rPr>
          <w:rFonts w:ascii="Times New Roman" w:hAnsi="Times New Roman" w:eastAsia="宋体" w:cs="Times New Roman"/>
          <w:color w:val="auto"/>
          <w:kern w:val="0"/>
          <w:sz w:val="32"/>
          <w:szCs w:val="28"/>
          <w:highlight w:val="none"/>
          <w:lang w:val="en-US" w:eastAsia="zh-CN" w:bidi="ar-SA"/>
        </w:rPr>
        <w:t>采购人：</w:t>
      </w:r>
      <w:r>
        <w:rPr>
          <w:rFonts w:hint="eastAsia" w:ascii="Times New Roman" w:hAnsi="Times New Roman" w:eastAsia="宋体" w:cs="Times New Roman"/>
          <w:color w:val="auto"/>
          <w:kern w:val="0"/>
          <w:sz w:val="32"/>
          <w:szCs w:val="28"/>
          <w:highlight w:val="none"/>
          <w:lang w:val="en-US" w:eastAsia="zh-CN" w:bidi="ar-SA"/>
        </w:rPr>
        <w:t>江苏省江都水利工程管理处(江苏省南水北调水情教育中心)</w:t>
      </w:r>
    </w:p>
    <w:p w14:paraId="148A9EC7">
      <w:pPr>
        <w:pStyle w:val="36"/>
        <w:keepNext w:val="0"/>
        <w:keepLines w:val="0"/>
        <w:pageBreakBefore w:val="0"/>
        <w:widowControl w:val="0"/>
        <w:kinsoku/>
        <w:wordWrap/>
        <w:overflowPunct/>
        <w:topLinePunct w:val="0"/>
        <w:autoSpaceDE/>
        <w:autoSpaceDN/>
        <w:bidi w:val="0"/>
        <w:adjustRightInd w:val="0"/>
        <w:snapToGrid/>
        <w:spacing w:before="62"/>
        <w:ind w:firstLine="0"/>
        <w:jc w:val="center"/>
        <w:textAlignment w:val="baseline"/>
        <w:rPr>
          <w:rFonts w:ascii="Times New Roman" w:hAnsi="Times New Roman"/>
          <w:color w:val="auto"/>
          <w:sz w:val="32"/>
          <w:szCs w:val="28"/>
          <w:highlight w:val="none"/>
        </w:rPr>
      </w:pPr>
      <w:r>
        <w:rPr>
          <w:rFonts w:ascii="Times New Roman" w:hAnsi="Times New Roman"/>
          <w:color w:val="auto"/>
          <w:sz w:val="32"/>
          <w:szCs w:val="28"/>
          <w:highlight w:val="none"/>
        </w:rPr>
        <w:t>采购代理机构：江苏省鸿源招标代理股份有限公司</w:t>
      </w:r>
    </w:p>
    <w:p w14:paraId="33D028E3">
      <w:pPr>
        <w:pStyle w:val="36"/>
        <w:keepNext w:val="0"/>
        <w:keepLines w:val="0"/>
        <w:pageBreakBefore w:val="0"/>
        <w:widowControl w:val="0"/>
        <w:kinsoku/>
        <w:wordWrap/>
        <w:overflowPunct/>
        <w:topLinePunct w:val="0"/>
        <w:autoSpaceDE/>
        <w:autoSpaceDN/>
        <w:bidi w:val="0"/>
        <w:adjustRightInd w:val="0"/>
        <w:snapToGrid/>
        <w:spacing w:before="62"/>
        <w:ind w:firstLine="0"/>
        <w:jc w:val="center"/>
        <w:textAlignment w:val="baseline"/>
        <w:rPr>
          <w:rFonts w:ascii="Times New Roman" w:hAnsi="Times New Roman"/>
          <w:color w:val="auto"/>
          <w:sz w:val="32"/>
          <w:szCs w:val="28"/>
          <w:highlight w:val="none"/>
        </w:rPr>
      </w:pPr>
      <w:r>
        <w:rPr>
          <w:rFonts w:ascii="Times New Roman" w:hAnsi="Times New Roman"/>
          <w:color w:val="auto"/>
          <w:sz w:val="32"/>
          <w:szCs w:val="28"/>
          <w:highlight w:val="none"/>
        </w:rPr>
        <w:t>二〇二</w:t>
      </w:r>
      <w:r>
        <w:rPr>
          <w:rFonts w:hint="eastAsia" w:ascii="Times New Roman" w:hAnsi="Times New Roman"/>
          <w:color w:val="auto"/>
          <w:sz w:val="32"/>
          <w:szCs w:val="28"/>
          <w:highlight w:val="none"/>
        </w:rPr>
        <w:t>六</w:t>
      </w:r>
      <w:r>
        <w:rPr>
          <w:rFonts w:ascii="Times New Roman" w:hAnsi="Times New Roman"/>
          <w:color w:val="auto"/>
          <w:sz w:val="32"/>
          <w:szCs w:val="28"/>
          <w:highlight w:val="none"/>
        </w:rPr>
        <w:t>年</w:t>
      </w:r>
      <w:r>
        <w:rPr>
          <w:rFonts w:hint="eastAsia" w:ascii="Times New Roman" w:hAnsi="Times New Roman"/>
          <w:color w:val="auto"/>
          <w:sz w:val="32"/>
          <w:szCs w:val="28"/>
          <w:highlight w:val="none"/>
          <w:lang w:val="en-US" w:eastAsia="zh-CN"/>
        </w:rPr>
        <w:t>十</w:t>
      </w:r>
      <w:r>
        <w:rPr>
          <w:rFonts w:ascii="Times New Roman" w:hAnsi="Times New Roman"/>
          <w:color w:val="auto"/>
          <w:sz w:val="32"/>
          <w:szCs w:val="28"/>
          <w:highlight w:val="none"/>
        </w:rPr>
        <w:t>月</w:t>
      </w:r>
    </w:p>
    <w:p w14:paraId="1DE079D1">
      <w:pPr>
        <w:overflowPunct w:val="0"/>
        <w:jc w:val="center"/>
        <w:rPr>
          <w:rFonts w:eastAsia="宋体"/>
          <w:b/>
          <w:color w:val="auto"/>
          <w:sz w:val="28"/>
          <w:szCs w:val="28"/>
          <w:highlight w:val="none"/>
        </w:rPr>
        <w:sectPr>
          <w:headerReference r:id="rId4" w:type="first"/>
          <w:headerReference r:id="rId3" w:type="default"/>
          <w:footerReference r:id="rId5" w:type="default"/>
          <w:pgSz w:w="11906" w:h="16838"/>
          <w:pgMar w:top="1418" w:right="1555" w:bottom="1418" w:left="1531" w:header="851" w:footer="992" w:gutter="0"/>
          <w:pgNumType w:start="1"/>
          <w:cols w:space="720" w:num="1"/>
          <w:titlePg/>
          <w:docGrid w:type="lines" w:linePitch="354" w:charSpace="0"/>
        </w:sectPr>
      </w:pPr>
    </w:p>
    <w:p w14:paraId="1A4F8F93">
      <w:pPr>
        <w:overflowPunct w:val="0"/>
        <w:rPr>
          <w:rFonts w:eastAsia="宋体"/>
          <w:color w:val="auto"/>
          <w:sz w:val="24"/>
          <w:szCs w:val="24"/>
          <w:highlight w:val="none"/>
        </w:rPr>
      </w:pPr>
    </w:p>
    <w:p w14:paraId="40F34ADD">
      <w:pPr>
        <w:tabs>
          <w:tab w:val="center" w:pos="4470"/>
          <w:tab w:val="left" w:pos="7464"/>
        </w:tabs>
        <w:overflowPunct w:val="0"/>
        <w:jc w:val="left"/>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目  录</w:t>
      </w:r>
      <w:r>
        <w:rPr>
          <w:rFonts w:eastAsia="宋体"/>
          <w:b/>
          <w:color w:val="auto"/>
          <w:sz w:val="36"/>
          <w:szCs w:val="36"/>
          <w:highlight w:val="none"/>
        </w:rPr>
        <w:tab/>
      </w:r>
    </w:p>
    <w:p w14:paraId="77F46704">
      <w:pPr>
        <w:overflowPunct w:val="0"/>
        <w:jc w:val="center"/>
        <w:rPr>
          <w:rFonts w:eastAsia="宋体"/>
          <w:color w:val="auto"/>
          <w:sz w:val="22"/>
          <w:szCs w:val="24"/>
          <w:highlight w:val="none"/>
        </w:rPr>
      </w:pPr>
    </w:p>
    <w:p w14:paraId="4F320BF0">
      <w:pPr>
        <w:tabs>
          <w:tab w:val="left" w:pos="2022"/>
        </w:tabs>
        <w:overflowPunct w:val="0"/>
        <w:jc w:val="left"/>
        <w:rPr>
          <w:rFonts w:eastAsia="宋体"/>
          <w:color w:val="auto"/>
          <w:sz w:val="22"/>
          <w:szCs w:val="24"/>
          <w:highlight w:val="none"/>
        </w:rPr>
      </w:pPr>
      <w:r>
        <w:rPr>
          <w:rFonts w:eastAsia="宋体"/>
          <w:color w:val="auto"/>
          <w:sz w:val="22"/>
          <w:szCs w:val="24"/>
          <w:highlight w:val="none"/>
        </w:rPr>
        <w:tab/>
      </w:r>
    </w:p>
    <w:p w14:paraId="3C791873">
      <w:pPr>
        <w:pStyle w:val="22"/>
        <w:tabs>
          <w:tab w:val="right" w:leader="dot" w:pos="8820"/>
        </w:tabs>
        <w:rPr>
          <w:color w:val="auto"/>
          <w:sz w:val="28"/>
          <w:szCs w:val="21"/>
          <w:highlight w:val="none"/>
        </w:rPr>
      </w:pPr>
      <w:r>
        <w:rPr>
          <w:rFonts w:hint="eastAsia" w:ascii="楷体" w:hAnsi="楷体" w:eastAsia="楷体" w:cs="楷体"/>
          <w:color w:val="auto"/>
          <w:sz w:val="500"/>
          <w:szCs w:val="420"/>
          <w:highlight w:val="none"/>
        </w:rPr>
        <w:fldChar w:fldCharType="begin"/>
      </w:r>
      <w:r>
        <w:rPr>
          <w:rFonts w:hint="eastAsia" w:ascii="楷体" w:hAnsi="楷体" w:eastAsia="楷体" w:cs="楷体"/>
          <w:color w:val="auto"/>
          <w:sz w:val="500"/>
          <w:szCs w:val="420"/>
          <w:highlight w:val="none"/>
        </w:rPr>
        <w:instrText xml:space="preserve"> TOC  \* MERGEFORMAT </w:instrText>
      </w:r>
      <w:r>
        <w:rPr>
          <w:rFonts w:hint="eastAsia" w:ascii="楷体" w:hAnsi="楷体" w:eastAsia="楷体" w:cs="楷体"/>
          <w:color w:val="auto"/>
          <w:sz w:val="500"/>
          <w:szCs w:val="420"/>
          <w:highlight w:val="none"/>
        </w:rPr>
        <w:fldChar w:fldCharType="separate"/>
      </w:r>
      <w:r>
        <w:rPr>
          <w:rFonts w:eastAsia="楷体"/>
          <w:color w:val="auto"/>
          <w:sz w:val="28"/>
          <w:szCs w:val="21"/>
          <w:highlight w:val="none"/>
        </w:rPr>
        <w:t>第一章  采购邀请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_Toc12562 \h </w:instrText>
      </w:r>
      <w:r>
        <w:rPr>
          <w:color w:val="auto"/>
          <w:sz w:val="28"/>
          <w:szCs w:val="21"/>
          <w:highlight w:val="none"/>
        </w:rPr>
        <w:fldChar w:fldCharType="separate"/>
      </w:r>
      <w:r>
        <w:rPr>
          <w:color w:val="auto"/>
          <w:sz w:val="28"/>
          <w:szCs w:val="21"/>
          <w:highlight w:val="none"/>
        </w:rPr>
        <w:t>1</w:t>
      </w:r>
      <w:r>
        <w:rPr>
          <w:color w:val="auto"/>
          <w:sz w:val="28"/>
          <w:szCs w:val="21"/>
          <w:highlight w:val="none"/>
        </w:rPr>
        <w:fldChar w:fldCharType="end"/>
      </w:r>
    </w:p>
    <w:p w14:paraId="62E10FC3">
      <w:pPr>
        <w:pStyle w:val="22"/>
        <w:tabs>
          <w:tab w:val="right" w:leader="dot" w:pos="8820"/>
        </w:tabs>
        <w:rPr>
          <w:color w:val="auto"/>
          <w:sz w:val="28"/>
          <w:szCs w:val="21"/>
          <w:highlight w:val="none"/>
        </w:rPr>
      </w:pPr>
      <w:r>
        <w:rPr>
          <w:rFonts w:eastAsia="楷体"/>
          <w:color w:val="auto"/>
          <w:sz w:val="28"/>
          <w:szCs w:val="21"/>
          <w:highlight w:val="none"/>
        </w:rPr>
        <w:t>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_Toc30645 \h </w:instrText>
      </w:r>
      <w:r>
        <w:rPr>
          <w:color w:val="auto"/>
          <w:sz w:val="28"/>
          <w:szCs w:val="21"/>
          <w:highlight w:val="none"/>
        </w:rPr>
        <w:fldChar w:fldCharType="separate"/>
      </w:r>
      <w:r>
        <w:rPr>
          <w:color w:val="auto"/>
          <w:sz w:val="28"/>
          <w:szCs w:val="21"/>
          <w:highlight w:val="none"/>
        </w:rPr>
        <w:t>4</w:t>
      </w:r>
      <w:r>
        <w:rPr>
          <w:color w:val="auto"/>
          <w:sz w:val="28"/>
          <w:szCs w:val="21"/>
          <w:highlight w:val="none"/>
        </w:rPr>
        <w:fldChar w:fldCharType="end"/>
      </w:r>
    </w:p>
    <w:p w14:paraId="6B5AA5BA">
      <w:pPr>
        <w:pStyle w:val="22"/>
        <w:tabs>
          <w:tab w:val="right" w:leader="dot" w:pos="8820"/>
        </w:tabs>
        <w:rPr>
          <w:color w:val="auto"/>
          <w:sz w:val="28"/>
          <w:szCs w:val="21"/>
          <w:highlight w:val="none"/>
        </w:rPr>
      </w:pPr>
      <w:r>
        <w:rPr>
          <w:color w:val="auto"/>
          <w:sz w:val="28"/>
          <w:szCs w:val="21"/>
          <w:highlight w:val="none"/>
        </w:rPr>
        <w:t>第三章  采购需求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_Toc10757 \h </w:instrText>
      </w:r>
      <w:r>
        <w:rPr>
          <w:color w:val="auto"/>
          <w:sz w:val="28"/>
          <w:szCs w:val="21"/>
          <w:highlight w:val="none"/>
        </w:rPr>
        <w:fldChar w:fldCharType="separate"/>
      </w:r>
      <w:r>
        <w:rPr>
          <w:color w:val="auto"/>
          <w:sz w:val="28"/>
          <w:szCs w:val="21"/>
          <w:highlight w:val="none"/>
        </w:rPr>
        <w:t>16</w:t>
      </w:r>
      <w:r>
        <w:rPr>
          <w:color w:val="auto"/>
          <w:sz w:val="28"/>
          <w:szCs w:val="21"/>
          <w:highlight w:val="none"/>
        </w:rPr>
        <w:fldChar w:fldCharType="end"/>
      </w:r>
    </w:p>
    <w:p w14:paraId="0BDDEAEA">
      <w:pPr>
        <w:pStyle w:val="22"/>
        <w:tabs>
          <w:tab w:val="right" w:leader="dot" w:pos="8820"/>
        </w:tabs>
        <w:rPr>
          <w:color w:val="auto"/>
          <w:sz w:val="28"/>
          <w:szCs w:val="21"/>
          <w:highlight w:val="none"/>
        </w:rPr>
      </w:pPr>
      <w:r>
        <w:rPr>
          <w:rFonts w:hint="eastAsia"/>
          <w:color w:val="auto"/>
          <w:sz w:val="28"/>
          <w:szCs w:val="21"/>
          <w:highlight w:val="none"/>
        </w:rPr>
        <w:t>第四章</w:t>
      </w:r>
      <w:r>
        <w:rPr>
          <w:color w:val="auto"/>
          <w:sz w:val="28"/>
          <w:szCs w:val="21"/>
          <w:highlight w:val="none"/>
        </w:rPr>
        <w:t xml:space="preserve"> </w:t>
      </w:r>
      <w:r>
        <w:rPr>
          <w:rFonts w:hint="eastAsia"/>
          <w:color w:val="auto"/>
          <w:sz w:val="28"/>
          <w:szCs w:val="21"/>
          <w:highlight w:val="none"/>
        </w:rPr>
        <w:t xml:space="preserve"> </w:t>
      </w:r>
      <w:r>
        <w:rPr>
          <w:color w:val="auto"/>
          <w:sz w:val="28"/>
          <w:szCs w:val="21"/>
          <w:highlight w:val="none"/>
        </w:rPr>
        <w:t>合同主要条款及格式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_Toc7964 \h </w:instrText>
      </w:r>
      <w:r>
        <w:rPr>
          <w:color w:val="auto"/>
          <w:sz w:val="28"/>
          <w:szCs w:val="21"/>
          <w:highlight w:val="none"/>
        </w:rPr>
        <w:fldChar w:fldCharType="separate"/>
      </w:r>
      <w:r>
        <w:rPr>
          <w:color w:val="auto"/>
          <w:sz w:val="28"/>
          <w:szCs w:val="21"/>
          <w:highlight w:val="none"/>
        </w:rPr>
        <w:t>39</w:t>
      </w:r>
      <w:r>
        <w:rPr>
          <w:color w:val="auto"/>
          <w:sz w:val="28"/>
          <w:szCs w:val="21"/>
          <w:highlight w:val="none"/>
        </w:rPr>
        <w:fldChar w:fldCharType="end"/>
      </w:r>
    </w:p>
    <w:p w14:paraId="1ADD6E10">
      <w:pPr>
        <w:pStyle w:val="22"/>
        <w:tabs>
          <w:tab w:val="right" w:leader="dot" w:pos="8820"/>
        </w:tabs>
        <w:rPr>
          <w:color w:val="auto"/>
          <w:sz w:val="28"/>
          <w:szCs w:val="21"/>
          <w:highlight w:val="none"/>
        </w:rPr>
      </w:pPr>
      <w:r>
        <w:rPr>
          <w:rFonts w:hint="eastAsia"/>
          <w:color w:val="auto"/>
          <w:sz w:val="28"/>
          <w:szCs w:val="21"/>
          <w:highlight w:val="none"/>
        </w:rPr>
        <w:t>第五章  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_Toc32687 \h </w:instrText>
      </w:r>
      <w:r>
        <w:rPr>
          <w:color w:val="auto"/>
          <w:sz w:val="28"/>
          <w:szCs w:val="21"/>
          <w:highlight w:val="none"/>
        </w:rPr>
        <w:fldChar w:fldCharType="separate"/>
      </w:r>
      <w:r>
        <w:rPr>
          <w:color w:val="auto"/>
          <w:sz w:val="28"/>
          <w:szCs w:val="21"/>
          <w:highlight w:val="none"/>
        </w:rPr>
        <w:t>65</w:t>
      </w:r>
      <w:r>
        <w:rPr>
          <w:color w:val="auto"/>
          <w:sz w:val="28"/>
          <w:szCs w:val="21"/>
          <w:highlight w:val="none"/>
        </w:rPr>
        <w:fldChar w:fldCharType="end"/>
      </w:r>
    </w:p>
    <w:p w14:paraId="0697CB0B">
      <w:pPr>
        <w:pStyle w:val="22"/>
        <w:tabs>
          <w:tab w:val="right" w:leader="dot" w:pos="8820"/>
        </w:tabs>
        <w:rPr>
          <w:color w:val="auto"/>
          <w:sz w:val="28"/>
          <w:szCs w:val="21"/>
          <w:highlight w:val="none"/>
        </w:rPr>
      </w:pPr>
      <w:r>
        <w:rPr>
          <w:rFonts w:hint="eastAsia" w:eastAsia="楷体"/>
          <w:color w:val="auto"/>
          <w:sz w:val="28"/>
          <w:szCs w:val="21"/>
          <w:highlight w:val="none"/>
        </w:rPr>
        <w:t>第六章  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_Toc12959 \h </w:instrText>
      </w:r>
      <w:r>
        <w:rPr>
          <w:color w:val="auto"/>
          <w:sz w:val="28"/>
          <w:szCs w:val="21"/>
          <w:highlight w:val="none"/>
        </w:rPr>
        <w:fldChar w:fldCharType="separate"/>
      </w:r>
      <w:r>
        <w:rPr>
          <w:color w:val="auto"/>
          <w:sz w:val="28"/>
          <w:szCs w:val="21"/>
          <w:highlight w:val="none"/>
        </w:rPr>
        <w:t>84</w:t>
      </w:r>
      <w:r>
        <w:rPr>
          <w:color w:val="auto"/>
          <w:sz w:val="28"/>
          <w:szCs w:val="21"/>
          <w:highlight w:val="none"/>
        </w:rPr>
        <w:fldChar w:fldCharType="end"/>
      </w:r>
    </w:p>
    <w:p w14:paraId="2E718F68">
      <w:pPr>
        <w:overflowPunct w:val="0"/>
        <w:spacing w:line="450" w:lineRule="exact"/>
        <w:rPr>
          <w:rFonts w:eastAsia="宋体"/>
          <w:b/>
          <w:color w:val="auto"/>
          <w:sz w:val="36"/>
          <w:szCs w:val="28"/>
          <w:highlight w:val="none"/>
        </w:rPr>
        <w:sectPr>
          <w:footerReference r:id="rId6" w:type="default"/>
          <w:pgSz w:w="11906" w:h="16838"/>
          <w:pgMar w:top="1418" w:right="1555" w:bottom="1418" w:left="1531" w:header="851" w:footer="992" w:gutter="0"/>
          <w:pgNumType w:start="1"/>
          <w:cols w:space="720" w:num="1"/>
          <w:titlePg/>
          <w:docGrid w:type="lines" w:linePitch="354" w:charSpace="0"/>
        </w:sectPr>
      </w:pPr>
      <w:r>
        <w:rPr>
          <w:rFonts w:hint="eastAsia" w:ascii="楷体" w:hAnsi="楷体" w:eastAsia="楷体" w:cs="楷体"/>
          <w:color w:val="auto"/>
          <w:sz w:val="28"/>
          <w:szCs w:val="420"/>
          <w:highlight w:val="none"/>
        </w:rPr>
        <w:fldChar w:fldCharType="end"/>
      </w:r>
      <w:bookmarkStart w:id="90" w:name="_GoBack"/>
    </w:p>
    <w:bookmarkEnd w:id="90"/>
    <w:p w14:paraId="6CEB5943">
      <w:pPr>
        <w:pStyle w:val="2"/>
        <w:spacing w:line="240" w:lineRule="exact"/>
        <w:jc w:val="center"/>
        <w:rPr>
          <w:rFonts w:eastAsia="楷体"/>
          <w:color w:val="auto"/>
          <w:highlight w:val="none"/>
        </w:rPr>
      </w:pPr>
      <w:bookmarkStart w:id="1" w:name="_Toc388026583"/>
      <w:bookmarkStart w:id="2" w:name="_Toc12562"/>
      <w:r>
        <w:rPr>
          <w:rFonts w:eastAsia="楷体"/>
          <w:color w:val="auto"/>
          <w:highlight w:val="none"/>
        </w:rPr>
        <w:t xml:space="preserve">第一章  </w:t>
      </w:r>
      <w:bookmarkEnd w:id="1"/>
      <w:r>
        <w:rPr>
          <w:rFonts w:eastAsia="楷体"/>
          <w:color w:val="auto"/>
          <w:highlight w:val="none"/>
        </w:rPr>
        <w:t>采购邀请</w:t>
      </w:r>
      <w:bookmarkEnd w:id="2"/>
    </w:p>
    <w:p w14:paraId="427AC4F0">
      <w:pPr>
        <w:snapToGrid w:val="0"/>
        <w:spacing w:line="360" w:lineRule="auto"/>
        <w:jc w:val="center"/>
        <w:outlineLvl w:val="1"/>
        <w:rPr>
          <w:rFonts w:eastAsia="宋体"/>
          <w:b/>
          <w:color w:val="auto"/>
          <w:sz w:val="28"/>
          <w:highlight w:val="none"/>
        </w:rPr>
      </w:pPr>
      <w:bookmarkStart w:id="3" w:name="_Toc6387949"/>
      <w:bookmarkStart w:id="4" w:name="_Toc388026584"/>
      <w:r>
        <w:rPr>
          <w:rFonts w:hint="eastAsia" w:eastAsia="宋体"/>
          <w:b/>
          <w:bCs/>
          <w:color w:val="auto"/>
          <w:sz w:val="24"/>
          <w:szCs w:val="22"/>
          <w:highlight w:val="none"/>
        </w:rPr>
        <w:t>江都西闸上游及万福闸上游（新河、壁虎河侧）拦船设施建设项目</w:t>
      </w:r>
    </w:p>
    <w:p w14:paraId="5488E23A">
      <w:pPr>
        <w:snapToGrid w:val="0"/>
        <w:spacing w:line="360" w:lineRule="auto"/>
        <w:jc w:val="center"/>
        <w:outlineLvl w:val="1"/>
        <w:rPr>
          <w:rFonts w:eastAsia="宋体"/>
          <w:b/>
          <w:color w:val="auto"/>
          <w:sz w:val="28"/>
          <w:highlight w:val="none"/>
        </w:rPr>
      </w:pPr>
      <w:r>
        <w:rPr>
          <w:rFonts w:eastAsia="宋体"/>
          <w:b/>
          <w:color w:val="auto"/>
          <w:sz w:val="28"/>
          <w:highlight w:val="none"/>
        </w:rPr>
        <w:t>竞争性磋商公告</w:t>
      </w:r>
    </w:p>
    <w:p w14:paraId="1AF81420">
      <w:pPr>
        <w:spacing w:line="400" w:lineRule="exact"/>
        <w:jc w:val="left"/>
        <w:rPr>
          <w:rFonts w:eastAsia="宋体"/>
          <w:b/>
          <w:bCs/>
          <w:color w:val="auto"/>
          <w:sz w:val="24"/>
          <w:szCs w:val="22"/>
          <w:highlight w:val="none"/>
        </w:rPr>
      </w:pPr>
      <w:bookmarkStart w:id="5" w:name="_Hlk44596214"/>
      <w:r>
        <w:rPr>
          <w:rFonts w:eastAsia="宋体"/>
          <w:b/>
          <w:bCs/>
          <w:color w:val="auto"/>
          <w:sz w:val="24"/>
          <w:szCs w:val="22"/>
          <w:highlight w:val="none"/>
        </w:rPr>
        <w:t>项目概况</w:t>
      </w:r>
    </w:p>
    <w:p w14:paraId="35DED0CD">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江都西闸上游及万福闸上游（新河、壁虎河侧）拦船设施建设项目</w:t>
      </w:r>
      <w:r>
        <w:rPr>
          <w:rFonts w:eastAsia="宋体"/>
          <w:color w:val="auto"/>
          <w:sz w:val="24"/>
          <w:szCs w:val="22"/>
          <w:highlight w:val="none"/>
        </w:rPr>
        <w:t>的潜在</w:t>
      </w:r>
      <w:r>
        <w:rPr>
          <w:rFonts w:hint="eastAsia" w:eastAsia="宋体"/>
          <w:color w:val="auto"/>
          <w:sz w:val="24"/>
          <w:szCs w:val="22"/>
          <w:highlight w:val="none"/>
        </w:rPr>
        <w:t>供应商</w:t>
      </w:r>
      <w:r>
        <w:rPr>
          <w:rFonts w:eastAsia="宋体"/>
          <w:color w:val="auto"/>
          <w:sz w:val="24"/>
          <w:szCs w:val="22"/>
          <w:highlight w:val="none"/>
        </w:rPr>
        <w:t>应在</w:t>
      </w:r>
      <w:r>
        <w:rPr>
          <w:rFonts w:hint="eastAsia" w:eastAsia="宋体"/>
          <w:color w:val="auto"/>
          <w:sz w:val="24"/>
          <w:szCs w:val="22"/>
          <w:highlight w:val="none"/>
        </w:rPr>
        <w:t>苏采云系统注册登记成功后免费</w:t>
      </w:r>
      <w:r>
        <w:rPr>
          <w:rFonts w:eastAsia="宋体"/>
          <w:color w:val="auto"/>
          <w:sz w:val="24"/>
          <w:szCs w:val="22"/>
          <w:highlight w:val="none"/>
        </w:rPr>
        <w:t>获取</w:t>
      </w:r>
      <w:r>
        <w:rPr>
          <w:rFonts w:hint="eastAsia" w:eastAsia="宋体"/>
          <w:color w:val="auto"/>
          <w:sz w:val="24"/>
          <w:szCs w:val="22"/>
          <w:highlight w:val="none"/>
        </w:rPr>
        <w:t>采购</w:t>
      </w:r>
      <w:r>
        <w:rPr>
          <w:rFonts w:eastAsia="宋体"/>
          <w:color w:val="auto"/>
          <w:sz w:val="24"/>
          <w:szCs w:val="22"/>
          <w:highlight w:val="none"/>
        </w:rPr>
        <w:t>文件，并于202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11</w:t>
      </w:r>
      <w:r>
        <w:rPr>
          <w:rFonts w:hint="eastAsia" w:eastAsia="宋体"/>
          <w:color w:val="auto"/>
          <w:sz w:val="24"/>
          <w:szCs w:val="22"/>
          <w:highlight w:val="none"/>
        </w:rPr>
        <w:t>月</w:t>
      </w:r>
      <w:r>
        <w:rPr>
          <w:rFonts w:hint="eastAsia" w:eastAsia="宋体"/>
          <w:color w:val="auto"/>
          <w:sz w:val="24"/>
          <w:szCs w:val="22"/>
          <w:highlight w:val="none"/>
          <w:lang w:val="en-US" w:eastAsia="zh-CN"/>
        </w:rPr>
        <w:t>5</w:t>
      </w:r>
      <w:r>
        <w:rPr>
          <w:rFonts w:hint="eastAsia" w:eastAsia="宋体"/>
          <w:color w:val="auto"/>
          <w:sz w:val="24"/>
          <w:szCs w:val="22"/>
          <w:highlight w:val="none"/>
        </w:rPr>
        <w:t>日10</w:t>
      </w:r>
      <w:r>
        <w:rPr>
          <w:rFonts w:eastAsia="宋体"/>
          <w:color w:val="auto"/>
          <w:sz w:val="24"/>
          <w:szCs w:val="22"/>
          <w:highlight w:val="none"/>
        </w:rPr>
        <w:t>点</w:t>
      </w:r>
      <w:r>
        <w:rPr>
          <w:rFonts w:hint="eastAsia" w:eastAsia="宋体"/>
          <w:color w:val="auto"/>
          <w:sz w:val="24"/>
          <w:szCs w:val="22"/>
          <w:highlight w:val="none"/>
        </w:rPr>
        <w:t>0</w:t>
      </w:r>
      <w:r>
        <w:rPr>
          <w:rFonts w:eastAsia="宋体"/>
          <w:color w:val="auto"/>
          <w:sz w:val="24"/>
          <w:szCs w:val="22"/>
          <w:highlight w:val="none"/>
        </w:rPr>
        <w:t>0分（北京时间）前提交响应文件。</w:t>
      </w:r>
    </w:p>
    <w:p w14:paraId="316A3854">
      <w:pPr>
        <w:spacing w:line="400" w:lineRule="exact"/>
        <w:jc w:val="left"/>
        <w:outlineLvl w:val="1"/>
        <w:rPr>
          <w:rFonts w:eastAsia="宋体"/>
          <w:b/>
          <w:bCs/>
          <w:color w:val="auto"/>
          <w:sz w:val="24"/>
          <w:szCs w:val="22"/>
          <w:highlight w:val="none"/>
        </w:rPr>
      </w:pPr>
      <w:bookmarkStart w:id="6" w:name="_Toc28359012"/>
      <w:bookmarkStart w:id="7" w:name="_Toc28359089"/>
      <w:bookmarkStart w:id="8" w:name="_Toc35393629"/>
      <w:bookmarkStart w:id="9" w:name="_Toc35393798"/>
      <w:r>
        <w:rPr>
          <w:rFonts w:eastAsia="宋体"/>
          <w:b/>
          <w:bCs/>
          <w:color w:val="auto"/>
          <w:sz w:val="24"/>
          <w:szCs w:val="22"/>
          <w:highlight w:val="none"/>
        </w:rPr>
        <w:t>一、项目基本情况</w:t>
      </w:r>
      <w:bookmarkEnd w:id="6"/>
      <w:bookmarkEnd w:id="7"/>
      <w:bookmarkEnd w:id="8"/>
      <w:bookmarkEnd w:id="9"/>
    </w:p>
    <w:p w14:paraId="2CC3F15C">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项目编号：JSZC-320000-HYGS-C2026-003</w:t>
      </w:r>
      <w:r>
        <w:rPr>
          <w:rFonts w:hint="eastAsia" w:eastAsia="宋体"/>
          <w:b/>
          <w:bCs/>
          <w:color w:val="auto"/>
          <w:sz w:val="24"/>
          <w:szCs w:val="22"/>
          <w:highlight w:val="none"/>
          <w:lang w:val="en-US" w:eastAsia="zh-CN"/>
        </w:rPr>
        <w:t>4</w:t>
      </w:r>
    </w:p>
    <w:p w14:paraId="2F4108D7">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项目名称：</w:t>
      </w:r>
      <w:r>
        <w:rPr>
          <w:rFonts w:hint="eastAsia" w:eastAsia="宋体"/>
          <w:b/>
          <w:bCs/>
          <w:color w:val="auto"/>
          <w:sz w:val="24"/>
          <w:szCs w:val="22"/>
          <w:highlight w:val="none"/>
        </w:rPr>
        <w:t>江都西闸上游及万福闸上游（新河、壁虎河侧）拦船设施建设项目</w:t>
      </w:r>
    </w:p>
    <w:p w14:paraId="5D510522">
      <w:pPr>
        <w:spacing w:line="400" w:lineRule="exact"/>
        <w:ind w:firstLine="482" w:firstLineChars="200"/>
        <w:jc w:val="left"/>
        <w:rPr>
          <w:rFonts w:eastAsia="宋体"/>
          <w:color w:val="auto"/>
          <w:sz w:val="24"/>
          <w:szCs w:val="22"/>
          <w:highlight w:val="none"/>
        </w:rPr>
      </w:pPr>
      <w:r>
        <w:rPr>
          <w:rFonts w:eastAsia="宋体"/>
          <w:b/>
          <w:bCs/>
          <w:color w:val="auto"/>
          <w:sz w:val="24"/>
          <w:szCs w:val="22"/>
          <w:highlight w:val="none"/>
        </w:rPr>
        <w:t>采购方式：</w:t>
      </w:r>
      <w:r>
        <w:rPr>
          <w:rFonts w:eastAsia="宋体"/>
          <w:color w:val="auto"/>
          <w:sz w:val="24"/>
          <w:szCs w:val="22"/>
          <w:highlight w:val="none"/>
        </w:rPr>
        <w:t>竞争性磋商</w:t>
      </w:r>
    </w:p>
    <w:p w14:paraId="58A2D8F6">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预算金额：</w:t>
      </w:r>
      <w:r>
        <w:rPr>
          <w:rFonts w:hint="eastAsia" w:eastAsia="宋体"/>
          <w:b/>
          <w:bCs/>
          <w:color w:val="auto"/>
          <w:sz w:val="24"/>
          <w:szCs w:val="22"/>
          <w:highlight w:val="none"/>
        </w:rPr>
        <w:t>贰佰壹拾陆万元整（RMB 216万元）</w:t>
      </w:r>
      <w:r>
        <w:rPr>
          <w:rFonts w:hint="eastAsia" w:eastAsia="宋体"/>
          <w:b/>
          <w:bCs/>
          <w:color w:val="auto"/>
          <w:sz w:val="24"/>
          <w:szCs w:val="22"/>
          <w:highlight w:val="none"/>
          <w:lang w:eastAsia="zh-CN"/>
        </w:rPr>
        <w:t>。</w:t>
      </w:r>
      <w:r>
        <w:rPr>
          <w:rFonts w:hint="eastAsia" w:eastAsia="宋体"/>
          <w:b/>
          <w:bCs/>
          <w:color w:val="auto"/>
          <w:sz w:val="24"/>
          <w:szCs w:val="22"/>
          <w:highlight w:val="none"/>
        </w:rPr>
        <w:t>其中江都闸管理所</w:t>
      </w:r>
      <w:r>
        <w:rPr>
          <w:rFonts w:hint="eastAsia" w:eastAsia="宋体"/>
          <w:b/>
          <w:bCs/>
          <w:color w:val="auto"/>
          <w:sz w:val="24"/>
          <w:szCs w:val="22"/>
          <w:highlight w:val="none"/>
          <w:lang w:eastAsia="zh-CN"/>
        </w:rPr>
        <w:t>：</w:t>
      </w:r>
      <w:r>
        <w:rPr>
          <w:rFonts w:hint="eastAsia" w:eastAsia="宋体"/>
          <w:b/>
          <w:bCs/>
          <w:color w:val="auto"/>
          <w:sz w:val="24"/>
          <w:szCs w:val="22"/>
          <w:highlight w:val="none"/>
        </w:rPr>
        <w:t>壹佰贰拾壹万元整（RMB 121万元）</w:t>
      </w:r>
      <w:r>
        <w:rPr>
          <w:rFonts w:hint="eastAsia" w:eastAsia="宋体"/>
          <w:b/>
          <w:bCs/>
          <w:color w:val="auto"/>
          <w:sz w:val="24"/>
          <w:szCs w:val="22"/>
          <w:highlight w:val="none"/>
          <w:lang w:eastAsia="zh-CN"/>
        </w:rPr>
        <w:t>；</w:t>
      </w:r>
      <w:r>
        <w:rPr>
          <w:rFonts w:hint="eastAsia" w:eastAsia="宋体"/>
          <w:b/>
          <w:bCs/>
          <w:color w:val="auto"/>
          <w:sz w:val="24"/>
          <w:szCs w:val="22"/>
          <w:highlight w:val="none"/>
        </w:rPr>
        <w:t>万福闸管理所</w:t>
      </w:r>
      <w:r>
        <w:rPr>
          <w:rFonts w:hint="eastAsia" w:eastAsia="宋体"/>
          <w:b/>
          <w:bCs/>
          <w:color w:val="auto"/>
          <w:sz w:val="24"/>
          <w:szCs w:val="22"/>
          <w:highlight w:val="none"/>
          <w:lang w:eastAsia="zh-CN"/>
        </w:rPr>
        <w:t>：</w:t>
      </w:r>
      <w:r>
        <w:rPr>
          <w:rFonts w:hint="eastAsia" w:eastAsia="宋体"/>
          <w:b/>
          <w:bCs/>
          <w:color w:val="auto"/>
          <w:sz w:val="24"/>
          <w:szCs w:val="22"/>
          <w:highlight w:val="none"/>
        </w:rPr>
        <w:t>玖拾伍万元整（RMB 95万元）</w:t>
      </w:r>
      <w:r>
        <w:rPr>
          <w:rFonts w:hint="eastAsia" w:eastAsia="宋体"/>
          <w:b/>
          <w:bCs/>
          <w:color w:val="auto"/>
          <w:sz w:val="24"/>
          <w:szCs w:val="22"/>
          <w:highlight w:val="none"/>
          <w:lang w:eastAsia="zh-CN"/>
        </w:rPr>
        <w:t>。</w:t>
      </w:r>
    </w:p>
    <w:p w14:paraId="4917488A">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最高限价</w:t>
      </w:r>
      <w:r>
        <w:rPr>
          <w:rFonts w:eastAsia="宋体"/>
          <w:b/>
          <w:bCs/>
          <w:color w:val="auto"/>
          <w:sz w:val="24"/>
          <w:szCs w:val="22"/>
          <w:highlight w:val="none"/>
        </w:rPr>
        <w:t>：</w:t>
      </w:r>
      <w:r>
        <w:rPr>
          <w:rFonts w:hint="eastAsia" w:eastAsia="宋体"/>
          <w:b/>
          <w:bCs/>
          <w:color w:val="auto"/>
          <w:sz w:val="24"/>
          <w:szCs w:val="22"/>
          <w:highlight w:val="none"/>
        </w:rPr>
        <w:t>贰佰零玖万伍仟贰佰元整（RMB209.52万元）</w:t>
      </w:r>
      <w:r>
        <w:rPr>
          <w:rFonts w:hint="eastAsia" w:eastAsia="宋体"/>
          <w:color w:val="auto"/>
          <w:sz w:val="24"/>
          <w:szCs w:val="22"/>
          <w:highlight w:val="none"/>
        </w:rPr>
        <w:t>（</w:t>
      </w:r>
      <w:r>
        <w:rPr>
          <w:rFonts w:hint="eastAsia" w:ascii="宋体" w:hAnsi="宋体" w:eastAsia="宋体" w:cs="宋体"/>
          <w:color w:val="auto"/>
          <w:kern w:val="0"/>
          <w:sz w:val="24"/>
          <w:szCs w:val="24"/>
          <w:highlight w:val="none"/>
        </w:rPr>
        <w:t>该项目为江都西闸上游拦船设施改建和万福闸新河、壁虎河尾段增设行洪安全设施合并项目</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其中，江都西闸上游拦船设施改建</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壹佰壹拾柒万叁仟柒佰元整（RMB117.37万元）</w:t>
      </w:r>
      <w:r>
        <w:rPr>
          <w:rFonts w:hint="eastAsia" w:eastAsia="宋体"/>
          <w:color w:val="auto"/>
          <w:sz w:val="24"/>
          <w:szCs w:val="22"/>
          <w:highlight w:val="none"/>
          <w:lang w:eastAsia="zh-CN"/>
        </w:rPr>
        <w:t>；</w:t>
      </w:r>
      <w:r>
        <w:rPr>
          <w:rFonts w:hint="eastAsia" w:ascii="宋体" w:hAnsi="宋体" w:eastAsia="宋体" w:cs="宋体"/>
          <w:color w:val="auto"/>
          <w:kern w:val="0"/>
          <w:sz w:val="24"/>
          <w:szCs w:val="24"/>
          <w:highlight w:val="none"/>
        </w:rPr>
        <w:t>万福闸新河、壁虎河尾段增设行洪安全设施</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玖拾贰万壹仟伍佰元整（RMB92.15万元）</w:t>
      </w:r>
      <w:r>
        <w:rPr>
          <w:rFonts w:hint="eastAsia" w:eastAsia="宋体"/>
          <w:color w:val="auto"/>
          <w:sz w:val="24"/>
          <w:szCs w:val="22"/>
          <w:highlight w:val="none"/>
        </w:rPr>
        <w:t>）。</w:t>
      </w:r>
    </w:p>
    <w:p w14:paraId="42FBFE8D">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采购需求：</w:t>
      </w:r>
      <w:r>
        <w:rPr>
          <w:rFonts w:hint="eastAsia" w:eastAsia="宋体"/>
          <w:color w:val="auto"/>
          <w:sz w:val="24"/>
          <w:szCs w:val="22"/>
          <w:highlight w:val="none"/>
        </w:rPr>
        <w:t>拟在江都西闸上游约450m处及万福闸上游新河和壁虎河尾段汇合处（距万福闸约280m）增设摩阻型拦船设施，主要包括摩阻机承台及其基础、钢索及其附属设施、监控报警装置等。具体详见第三章采购需求。</w:t>
      </w:r>
      <w:r>
        <w:rPr>
          <w:rFonts w:hint="eastAsia" w:eastAsia="宋体"/>
          <w:b/>
          <w:bCs/>
          <w:color w:val="auto"/>
          <w:sz w:val="24"/>
          <w:szCs w:val="22"/>
          <w:highlight w:val="none"/>
        </w:rPr>
        <w:t>本项目为政府采购工程。</w:t>
      </w:r>
    </w:p>
    <w:p w14:paraId="40B39A58">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合同履行期限：</w:t>
      </w:r>
      <w:r>
        <w:rPr>
          <w:rFonts w:hint="eastAsia" w:ascii="宋体" w:hAnsi="宋体" w:eastAsia="宋体" w:cs="宋体"/>
          <w:b/>
          <w:bCs/>
          <w:color w:val="auto"/>
          <w:sz w:val="24"/>
          <w:szCs w:val="24"/>
          <w:highlight w:val="none"/>
        </w:rPr>
        <w:t>合同签订后50天内，</w:t>
      </w:r>
      <w:r>
        <w:rPr>
          <w:rFonts w:hint="eastAsia" w:eastAsia="宋体"/>
          <w:color w:val="auto"/>
          <w:sz w:val="24"/>
          <w:szCs w:val="22"/>
          <w:highlight w:val="none"/>
        </w:rPr>
        <w:t>完成合同约定内容并通过验收，具体安排按照采购人要求。</w:t>
      </w:r>
    </w:p>
    <w:p w14:paraId="067D0C24">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本项目不接受联合体。</w:t>
      </w:r>
    </w:p>
    <w:p w14:paraId="2238387F">
      <w:pPr>
        <w:spacing w:line="400" w:lineRule="exact"/>
        <w:jc w:val="left"/>
        <w:outlineLvl w:val="1"/>
        <w:rPr>
          <w:rFonts w:eastAsia="宋体"/>
          <w:b/>
          <w:bCs/>
          <w:color w:val="auto"/>
          <w:sz w:val="24"/>
          <w:szCs w:val="22"/>
          <w:highlight w:val="none"/>
        </w:rPr>
      </w:pPr>
      <w:bookmarkStart w:id="10" w:name="_Toc35393799"/>
      <w:bookmarkStart w:id="11" w:name="_Toc35393630"/>
      <w:bookmarkStart w:id="12" w:name="_Toc28359090"/>
      <w:bookmarkStart w:id="13" w:name="_Toc28359013"/>
      <w:r>
        <w:rPr>
          <w:rFonts w:eastAsia="宋体"/>
          <w:b/>
          <w:bCs/>
          <w:color w:val="auto"/>
          <w:sz w:val="24"/>
          <w:szCs w:val="22"/>
          <w:highlight w:val="none"/>
        </w:rPr>
        <w:t>二、申请人的资格要求：</w:t>
      </w:r>
      <w:bookmarkEnd w:id="10"/>
      <w:bookmarkEnd w:id="11"/>
      <w:bookmarkEnd w:id="12"/>
      <w:bookmarkEnd w:id="13"/>
    </w:p>
    <w:p w14:paraId="618B737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1.满足《中华人民共和国政府采购法》第二十二条规定，并提供以下材料</w:t>
      </w:r>
      <w:r>
        <w:rPr>
          <w:rFonts w:hint="eastAsia" w:eastAsia="宋体"/>
          <w:color w:val="auto"/>
          <w:sz w:val="24"/>
          <w:szCs w:val="22"/>
          <w:highlight w:val="none"/>
        </w:rPr>
        <w:t>：</w:t>
      </w:r>
    </w:p>
    <w:p w14:paraId="5D7F92B0">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 </w:t>
      </w:r>
    </w:p>
    <w:p w14:paraId="17EC4A0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（2）具有良好的商业信誉和健全的财务会计制度（提供2025年度的</w:t>
      </w:r>
      <w:r>
        <w:rPr>
          <w:rFonts w:hint="eastAsia" w:eastAsia="宋体"/>
          <w:color w:val="auto"/>
          <w:sz w:val="24"/>
          <w:szCs w:val="22"/>
          <w:highlight w:val="none"/>
          <w:lang w:val="en-US" w:eastAsia="zh-CN"/>
        </w:rPr>
        <w:t>财务审计报告</w:t>
      </w:r>
      <w:r>
        <w:rPr>
          <w:rFonts w:eastAsia="宋体"/>
          <w:color w:val="auto"/>
          <w:sz w:val="24"/>
          <w:szCs w:val="22"/>
          <w:highlight w:val="none"/>
        </w:rPr>
        <w:t>或提供2026年5月（含）起至投标截止时间前任意一月份的财务报表（至少包括资产负债表或利润表）（</w:t>
      </w:r>
      <w:r>
        <w:rPr>
          <w:rFonts w:hint="eastAsia" w:eastAsia="宋体"/>
          <w:color w:val="auto"/>
          <w:sz w:val="24"/>
          <w:szCs w:val="22"/>
          <w:highlight w:val="none"/>
        </w:rPr>
        <w:t>成立不足一年的无需提供</w:t>
      </w:r>
      <w:r>
        <w:rPr>
          <w:rFonts w:eastAsia="宋体"/>
          <w:color w:val="auto"/>
          <w:sz w:val="24"/>
          <w:szCs w:val="22"/>
          <w:highlight w:val="none"/>
        </w:rPr>
        <w:t>）；</w:t>
      </w:r>
    </w:p>
    <w:p w14:paraId="2FCEBB1C">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（3）具有履行合同所必需的设备和专业技术能力（</w:t>
      </w:r>
      <w:r>
        <w:rPr>
          <w:rFonts w:hint="eastAsia" w:eastAsia="宋体"/>
          <w:color w:val="auto"/>
          <w:sz w:val="24"/>
          <w:szCs w:val="22"/>
          <w:highlight w:val="none"/>
        </w:rPr>
        <w:t>提供书面声明）</w:t>
      </w:r>
      <w:r>
        <w:rPr>
          <w:rFonts w:eastAsia="宋体"/>
          <w:color w:val="auto"/>
          <w:sz w:val="24"/>
          <w:szCs w:val="22"/>
          <w:highlight w:val="none"/>
        </w:rPr>
        <w:t>；</w:t>
      </w:r>
    </w:p>
    <w:p w14:paraId="5F1CA0D9">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（4）有依法缴纳税收和社会保障资金的良好记录</w:t>
      </w:r>
      <w:r>
        <w:rPr>
          <w:rFonts w:hint="eastAsia" w:eastAsia="宋体"/>
          <w:color w:val="auto"/>
          <w:sz w:val="24"/>
          <w:szCs w:val="22"/>
          <w:highlight w:val="none"/>
        </w:rPr>
        <w:t>（提供参加本次政府采购活动前半年内至少一个月缴税的凭据；以及提供参加本次政府采购活动前半年内至少一个月缴纳社会保险的凭据（专用收据或社会保险缴纳清单））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w:t>
      </w:r>
    </w:p>
    <w:p w14:paraId="37FBA48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（5）参加政府采购活动前三年内，在经营活动中没有重大违法记录（</w:t>
      </w:r>
      <w:r>
        <w:rPr>
          <w:rFonts w:hint="eastAsia" w:eastAsia="宋体"/>
          <w:color w:val="auto"/>
          <w:sz w:val="24"/>
          <w:szCs w:val="22"/>
          <w:highlight w:val="none"/>
        </w:rPr>
        <w:t>提供书面声明</w:t>
      </w:r>
      <w:r>
        <w:rPr>
          <w:rFonts w:eastAsia="宋体"/>
          <w:color w:val="auto"/>
          <w:sz w:val="24"/>
          <w:szCs w:val="22"/>
          <w:highlight w:val="none"/>
        </w:rPr>
        <w:t>）；</w:t>
      </w:r>
    </w:p>
    <w:p w14:paraId="51F709E9">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（6）法律、行政法规规定的其他条件</w:t>
      </w:r>
      <w:r>
        <w:rPr>
          <w:rFonts w:hint="eastAsia" w:eastAsia="宋体"/>
          <w:color w:val="auto"/>
          <w:sz w:val="24"/>
          <w:szCs w:val="22"/>
          <w:highlight w:val="none"/>
        </w:rPr>
        <w:t>（提供书面声明）；</w:t>
      </w:r>
    </w:p>
    <w:p w14:paraId="35AC56BD">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p>
    <w:p w14:paraId="18E4DCAB">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4D355E6A">
      <w:pPr>
        <w:spacing w:line="400" w:lineRule="exact"/>
        <w:ind w:firstLine="480" w:firstLineChars="200"/>
        <w:jc w:val="both"/>
        <w:rPr>
          <w:rFonts w:eastAsia="宋体"/>
          <w:color w:val="auto"/>
          <w:sz w:val="24"/>
          <w:szCs w:val="22"/>
          <w:highlight w:val="none"/>
        </w:rPr>
      </w:pPr>
      <w:bookmarkStart w:id="14" w:name="_Toc28359091"/>
      <w:bookmarkStart w:id="15" w:name="_Toc28359014"/>
      <w:r>
        <w:rPr>
          <w:rFonts w:eastAsia="宋体"/>
          <w:color w:val="auto"/>
          <w:sz w:val="24"/>
          <w:szCs w:val="22"/>
          <w:highlight w:val="none"/>
        </w:rPr>
        <w:t>2.落实政府采购政策需满足的资格要求</w:t>
      </w:r>
      <w:r>
        <w:rPr>
          <w:rFonts w:hint="eastAsia" w:eastAsia="宋体"/>
          <w:color w:val="auto"/>
          <w:sz w:val="24"/>
          <w:szCs w:val="22"/>
          <w:highlight w:val="none"/>
        </w:rPr>
        <w:t>：</w:t>
      </w:r>
      <w:r>
        <w:rPr>
          <w:rFonts w:hint="eastAsia" w:eastAsia="宋体"/>
          <w:b/>
          <w:bCs/>
          <w:color w:val="auto"/>
          <w:sz w:val="24"/>
          <w:szCs w:val="22"/>
          <w:highlight w:val="none"/>
          <w:u w:val="single"/>
        </w:rPr>
        <w:t>本项目专门面向中小企业，须提供《中小企业声明函》。本项目属于行业：建筑业。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color w:val="auto"/>
          <w:sz w:val="24"/>
          <w:szCs w:val="22"/>
          <w:highlight w:val="none"/>
        </w:rPr>
        <w:t>〔2019〕9号</w:t>
      </w:r>
      <w:r>
        <w:rPr>
          <w:rFonts w:eastAsia="宋体"/>
          <w:color w:val="auto"/>
          <w:sz w:val="24"/>
          <w:szCs w:val="22"/>
          <w:highlight w:val="none"/>
        </w:rPr>
        <w:t xml:space="preserve">）和《财政部、发展改革委关于印发节能产品政府采购品目清单的通知》（财库 </w:t>
      </w:r>
      <w:r>
        <w:rPr>
          <w:rFonts w:hint="eastAsia" w:eastAsia="宋体"/>
          <w:color w:val="auto"/>
          <w:sz w:val="24"/>
          <w:szCs w:val="22"/>
          <w:highlight w:val="none"/>
        </w:rPr>
        <w:t>〔2019〕19号</w:t>
      </w:r>
      <w:r>
        <w:rPr>
          <w:rFonts w:eastAsia="宋体"/>
          <w:color w:val="auto"/>
          <w:sz w:val="24"/>
          <w:szCs w:val="22"/>
          <w:highlight w:val="none"/>
        </w:rPr>
        <w:t>）等政府采购文件。</w:t>
      </w:r>
    </w:p>
    <w:p w14:paraId="14197A97">
      <w:pPr>
        <w:spacing w:line="400" w:lineRule="exact"/>
        <w:ind w:firstLine="480" w:firstLineChars="200"/>
        <w:jc w:val="both"/>
        <w:rPr>
          <w:rFonts w:eastAsia="宋体"/>
          <w:strike/>
          <w:color w:val="auto"/>
          <w:sz w:val="24"/>
          <w:szCs w:val="22"/>
          <w:highlight w:val="none"/>
        </w:rPr>
      </w:pPr>
      <w:r>
        <w:rPr>
          <w:rFonts w:eastAsia="宋体"/>
          <w:color w:val="auto"/>
          <w:sz w:val="24"/>
          <w:szCs w:val="22"/>
          <w:highlight w:val="none"/>
        </w:rPr>
        <w:t>3.</w:t>
      </w:r>
      <w:r>
        <w:rPr>
          <w:rFonts w:eastAsia="宋体"/>
          <w:b/>
          <w:bCs/>
          <w:color w:val="auto"/>
          <w:sz w:val="24"/>
          <w:szCs w:val="22"/>
          <w:highlight w:val="none"/>
        </w:rPr>
        <w:t>本项目的特定资格要求：</w:t>
      </w:r>
      <w:bookmarkStart w:id="16" w:name="_Toc35393631"/>
      <w:bookmarkStart w:id="17" w:name="_Toc35393800"/>
      <w:r>
        <w:rPr>
          <w:rFonts w:hint="eastAsia" w:eastAsia="宋体"/>
          <w:b/>
          <w:bCs/>
          <w:color w:val="auto"/>
          <w:sz w:val="24"/>
          <w:szCs w:val="22"/>
          <w:highlight w:val="none"/>
          <w:u w:val="single"/>
        </w:rPr>
        <w:t>供应商具有水利水电施工总承包贰级及以上资质；具有建设行政主管部门颁发的安全生产许可证；企业主要负责人、项目经理、专职安全员均应具有与其行业施工资质相应的行业主管部门颁发的安全生产考核合格证（分别为A、B、C类）；拟任的项目经理具有水利水电专业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p>
    <w:p w14:paraId="6098A518">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三、获取磋商采购文件</w:t>
      </w:r>
      <w:bookmarkEnd w:id="14"/>
      <w:bookmarkEnd w:id="15"/>
      <w:bookmarkEnd w:id="16"/>
      <w:bookmarkEnd w:id="17"/>
    </w:p>
    <w:p w14:paraId="6B2BF31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w:t>
      </w:r>
      <w:r>
        <w:rPr>
          <w:rFonts w:hint="eastAsia" w:eastAsia="宋体"/>
          <w:color w:val="auto"/>
          <w:sz w:val="24"/>
          <w:szCs w:val="22"/>
          <w:highlight w:val="none"/>
        </w:rPr>
        <w:t>自采购文件公告发布之日起5个工作日。</w:t>
      </w:r>
    </w:p>
    <w:p w14:paraId="4FCF5E40">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地点：江苏省政府采购管理交易系统(苏采云)(以下简称“苏采云”)(网址:http://jszfcg.jsczt.cn/) 。</w:t>
      </w:r>
    </w:p>
    <w:p w14:paraId="63F11CDA">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方式：供应商登录“苏采云”系统自行免费下载。</w:t>
      </w:r>
    </w:p>
    <w:p w14:paraId="2170956F">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售价：0.00元</w:t>
      </w:r>
      <w:r>
        <w:rPr>
          <w:rFonts w:eastAsia="宋体"/>
          <w:color w:val="auto"/>
          <w:sz w:val="24"/>
          <w:szCs w:val="24"/>
          <w:highlight w:val="none"/>
        </w:rPr>
        <w:t>。</w:t>
      </w:r>
    </w:p>
    <w:p w14:paraId="2D69798C">
      <w:pPr>
        <w:spacing w:line="400" w:lineRule="exact"/>
        <w:jc w:val="left"/>
        <w:outlineLvl w:val="1"/>
        <w:rPr>
          <w:rFonts w:eastAsia="宋体"/>
          <w:b/>
          <w:bCs/>
          <w:color w:val="auto"/>
          <w:sz w:val="24"/>
          <w:szCs w:val="22"/>
          <w:highlight w:val="none"/>
        </w:rPr>
      </w:pPr>
      <w:bookmarkStart w:id="18" w:name="_Toc35393801"/>
      <w:bookmarkStart w:id="19" w:name="_Toc28359015"/>
      <w:bookmarkStart w:id="20" w:name="_Toc35393632"/>
      <w:bookmarkStart w:id="21" w:name="_Toc28359092"/>
      <w:r>
        <w:rPr>
          <w:rFonts w:eastAsia="宋体"/>
          <w:b/>
          <w:bCs/>
          <w:color w:val="auto"/>
          <w:sz w:val="24"/>
          <w:szCs w:val="22"/>
          <w:highlight w:val="none"/>
        </w:rPr>
        <w:t>四、响应文件提交</w:t>
      </w:r>
      <w:bookmarkEnd w:id="18"/>
      <w:bookmarkEnd w:id="19"/>
      <w:bookmarkEnd w:id="20"/>
      <w:bookmarkEnd w:id="21"/>
    </w:p>
    <w:p w14:paraId="583BFE9F">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截止时间：202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11</w:t>
      </w:r>
      <w:r>
        <w:rPr>
          <w:rFonts w:hint="eastAsia" w:eastAsia="宋体"/>
          <w:color w:val="auto"/>
          <w:sz w:val="24"/>
          <w:szCs w:val="22"/>
          <w:highlight w:val="none"/>
        </w:rPr>
        <w:t>月</w:t>
      </w:r>
      <w:r>
        <w:rPr>
          <w:rFonts w:hint="eastAsia" w:eastAsia="宋体"/>
          <w:color w:val="auto"/>
          <w:sz w:val="24"/>
          <w:szCs w:val="22"/>
          <w:highlight w:val="none"/>
          <w:lang w:val="en-US" w:eastAsia="zh-CN"/>
        </w:rPr>
        <w:t>5</w:t>
      </w:r>
      <w:r>
        <w:rPr>
          <w:rFonts w:hint="eastAsia" w:eastAsia="宋体"/>
          <w:color w:val="auto"/>
          <w:sz w:val="24"/>
          <w:szCs w:val="22"/>
          <w:highlight w:val="none"/>
        </w:rPr>
        <w:t>日10点00</w:t>
      </w:r>
      <w:r>
        <w:rPr>
          <w:rFonts w:eastAsia="宋体"/>
          <w:color w:val="auto"/>
          <w:sz w:val="24"/>
          <w:szCs w:val="22"/>
          <w:highlight w:val="none"/>
        </w:rPr>
        <w:t>分（北京时间）</w:t>
      </w:r>
    </w:p>
    <w:p w14:paraId="1636DE5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江苏省政府采购管理交易系统（苏采云）</w:t>
      </w:r>
    </w:p>
    <w:p w14:paraId="33353877">
      <w:pPr>
        <w:spacing w:line="400" w:lineRule="exact"/>
        <w:jc w:val="left"/>
        <w:outlineLvl w:val="1"/>
        <w:rPr>
          <w:rFonts w:eastAsia="宋体"/>
          <w:b/>
          <w:bCs/>
          <w:color w:val="auto"/>
          <w:sz w:val="24"/>
          <w:szCs w:val="22"/>
          <w:highlight w:val="none"/>
        </w:rPr>
      </w:pPr>
      <w:bookmarkStart w:id="22" w:name="_Toc28359016"/>
      <w:bookmarkStart w:id="23" w:name="_Toc35393802"/>
      <w:bookmarkStart w:id="24" w:name="_Toc28359093"/>
      <w:bookmarkStart w:id="25" w:name="_Toc35393633"/>
      <w:r>
        <w:rPr>
          <w:rFonts w:eastAsia="宋体"/>
          <w:b/>
          <w:bCs/>
          <w:color w:val="auto"/>
          <w:sz w:val="24"/>
          <w:szCs w:val="22"/>
          <w:highlight w:val="none"/>
        </w:rPr>
        <w:t>五、开启</w:t>
      </w:r>
      <w:bookmarkEnd w:id="22"/>
      <w:bookmarkEnd w:id="23"/>
      <w:bookmarkEnd w:id="24"/>
      <w:bookmarkEnd w:id="25"/>
      <w:r>
        <w:rPr>
          <w:rFonts w:eastAsia="宋体"/>
          <w:b/>
          <w:bCs/>
          <w:color w:val="auto"/>
          <w:sz w:val="24"/>
          <w:szCs w:val="22"/>
          <w:highlight w:val="none"/>
        </w:rPr>
        <w:t xml:space="preserve"> </w:t>
      </w:r>
    </w:p>
    <w:p w14:paraId="6CD8C5C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11</w:t>
      </w:r>
      <w:r>
        <w:rPr>
          <w:rFonts w:hint="eastAsia" w:eastAsia="宋体"/>
          <w:color w:val="auto"/>
          <w:sz w:val="24"/>
          <w:szCs w:val="22"/>
          <w:highlight w:val="none"/>
        </w:rPr>
        <w:t>月</w:t>
      </w:r>
      <w:r>
        <w:rPr>
          <w:rFonts w:hint="eastAsia" w:eastAsia="宋体"/>
          <w:color w:val="auto"/>
          <w:sz w:val="24"/>
          <w:szCs w:val="22"/>
          <w:highlight w:val="none"/>
          <w:lang w:val="en-US" w:eastAsia="zh-CN"/>
        </w:rPr>
        <w:t>5</w:t>
      </w:r>
      <w:r>
        <w:rPr>
          <w:rFonts w:hint="eastAsia" w:eastAsia="宋体"/>
          <w:color w:val="auto"/>
          <w:sz w:val="24"/>
          <w:szCs w:val="22"/>
          <w:highlight w:val="none"/>
        </w:rPr>
        <w:t>日10点00</w:t>
      </w:r>
      <w:r>
        <w:rPr>
          <w:rFonts w:eastAsia="宋体"/>
          <w:color w:val="auto"/>
          <w:sz w:val="24"/>
          <w:szCs w:val="22"/>
          <w:highlight w:val="none"/>
        </w:rPr>
        <w:t>分（北京时间）</w:t>
      </w:r>
    </w:p>
    <w:p w14:paraId="1A1CF09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“苏采云”网上开标大厅</w:t>
      </w:r>
    </w:p>
    <w:p w14:paraId="5343766B">
      <w:pPr>
        <w:spacing w:line="400" w:lineRule="exact"/>
        <w:jc w:val="left"/>
        <w:outlineLvl w:val="1"/>
        <w:rPr>
          <w:rFonts w:eastAsia="宋体"/>
          <w:b/>
          <w:bCs/>
          <w:color w:val="auto"/>
          <w:sz w:val="24"/>
          <w:szCs w:val="22"/>
          <w:highlight w:val="none"/>
        </w:rPr>
      </w:pPr>
      <w:bookmarkStart w:id="26" w:name="_Toc28359017"/>
      <w:bookmarkStart w:id="27" w:name="_Toc35393803"/>
      <w:bookmarkStart w:id="28" w:name="_Toc35393634"/>
      <w:bookmarkStart w:id="29" w:name="_Toc28359094"/>
      <w:r>
        <w:rPr>
          <w:rFonts w:eastAsia="宋体"/>
          <w:b/>
          <w:bCs/>
          <w:color w:val="auto"/>
          <w:sz w:val="24"/>
          <w:szCs w:val="22"/>
          <w:highlight w:val="none"/>
        </w:rPr>
        <w:t>六、公告期限</w:t>
      </w:r>
      <w:bookmarkEnd w:id="26"/>
      <w:bookmarkEnd w:id="27"/>
      <w:bookmarkEnd w:id="28"/>
      <w:bookmarkEnd w:id="29"/>
    </w:p>
    <w:p w14:paraId="1CE2F99B">
      <w:pPr>
        <w:spacing w:line="400" w:lineRule="exact"/>
        <w:ind w:firstLine="480" w:firstLineChars="200"/>
        <w:jc w:val="left"/>
        <w:rPr>
          <w:rFonts w:eastAsia="宋体"/>
          <w:color w:val="auto"/>
          <w:sz w:val="24"/>
          <w:szCs w:val="22"/>
          <w:highlight w:val="none"/>
        </w:rPr>
      </w:pPr>
      <w:bookmarkStart w:id="30" w:name="_Toc35393635"/>
      <w:bookmarkStart w:id="31" w:name="_Toc35393804"/>
      <w:r>
        <w:rPr>
          <w:rFonts w:eastAsia="宋体"/>
          <w:color w:val="auto"/>
          <w:sz w:val="24"/>
          <w:szCs w:val="22"/>
          <w:highlight w:val="none"/>
        </w:rPr>
        <w:t>本公告公示期限为</w:t>
      </w:r>
      <w:r>
        <w:rPr>
          <w:rFonts w:hint="eastAsia" w:eastAsia="宋体"/>
          <w:color w:val="auto"/>
          <w:sz w:val="24"/>
          <w:szCs w:val="22"/>
          <w:highlight w:val="none"/>
        </w:rPr>
        <w:t>3</w:t>
      </w:r>
      <w:r>
        <w:rPr>
          <w:rFonts w:eastAsia="宋体"/>
          <w:color w:val="auto"/>
          <w:sz w:val="24"/>
          <w:szCs w:val="22"/>
          <w:highlight w:val="none"/>
        </w:rPr>
        <w:t>个工作日。</w:t>
      </w:r>
    </w:p>
    <w:p w14:paraId="1EB9D3C9">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七、其他补充事宜</w:t>
      </w:r>
      <w:bookmarkEnd w:id="30"/>
      <w:bookmarkEnd w:id="31"/>
    </w:p>
    <w:p w14:paraId="294E084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1.本磋商文件对采购服务或产品的性能和技术要求，均为基本需求参考值，响应的服务或产品技术性能应达到同等或更优。</w:t>
      </w:r>
    </w:p>
    <w:p w14:paraId="6B1F647E">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2.采购合同签订前，采购人将组织对成交人的响应文件资料原件、履约能力、服务水平、经营状况等情况进行核查或实地查看。</w:t>
      </w:r>
    </w:p>
    <w:p w14:paraId="1A7D74E0">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3.</w:t>
      </w:r>
      <w:r>
        <w:rPr>
          <w:rFonts w:hint="eastAsia" w:eastAsia="宋体"/>
          <w:color w:val="auto"/>
          <w:sz w:val="24"/>
          <w:szCs w:val="22"/>
          <w:highlight w:val="none"/>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2EE60969">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ab/>
      </w:r>
      <w:r>
        <w:rPr>
          <w:rFonts w:hint="eastAsia" w:eastAsia="宋体"/>
          <w:color w:val="auto"/>
          <w:sz w:val="24"/>
          <w:szCs w:val="22"/>
          <w:highlight w:val="none"/>
        </w:rPr>
        <w:t>首次登录“苏采云”系统的新用户，登录网址后，点击“用户注册”--“新CA办理指南”--获取CA后绑定、登录系统--采购项目参与--下载采购文件（文件后缀名为“.kedt”）。“苏采云”南京地区客服热线025-83633744、025-83633743。</w:t>
      </w:r>
    </w:p>
    <w:p w14:paraId="4AFEE3A8">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4.以上内容若有变更将通过原公告媒体发布，供应商应在磋商响应截止时间前关注</w:t>
      </w:r>
      <w:r>
        <w:rPr>
          <w:rFonts w:hint="eastAsia" w:eastAsia="宋体"/>
          <w:b/>
          <w:bCs/>
          <w:color w:val="auto"/>
          <w:sz w:val="24"/>
          <w:szCs w:val="22"/>
          <w:highlight w:val="none"/>
          <w:u w:val="single"/>
        </w:rPr>
        <w:t>江苏政府采购网</w:t>
      </w:r>
      <w:r>
        <w:rPr>
          <w:rFonts w:eastAsia="宋体"/>
          <w:color w:val="auto"/>
          <w:sz w:val="24"/>
          <w:szCs w:val="22"/>
          <w:highlight w:val="none"/>
        </w:rPr>
        <w:t>等有关本采购项目有无变更公告。</w:t>
      </w:r>
    </w:p>
    <w:p w14:paraId="46A4CD7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5.本次磋商不收取磋商保证金。</w:t>
      </w:r>
    </w:p>
    <w:p w14:paraId="03DB2AD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收款人：江苏省鸿源招标代理股份有限公司</w:t>
      </w:r>
    </w:p>
    <w:p w14:paraId="6A644873">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收款账号：32001595036052517328</w:t>
      </w:r>
    </w:p>
    <w:p w14:paraId="2669F34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开户行：中国建设银行南京城南支行</w:t>
      </w:r>
    </w:p>
    <w:p w14:paraId="477C9ED8">
      <w:pPr>
        <w:spacing w:line="400" w:lineRule="exact"/>
        <w:jc w:val="left"/>
        <w:outlineLvl w:val="1"/>
        <w:rPr>
          <w:rFonts w:eastAsia="宋体"/>
          <w:b/>
          <w:bCs/>
          <w:color w:val="auto"/>
          <w:sz w:val="24"/>
          <w:szCs w:val="22"/>
          <w:highlight w:val="none"/>
        </w:rPr>
      </w:pPr>
      <w:bookmarkStart w:id="32" w:name="_Toc35393636"/>
      <w:bookmarkStart w:id="33" w:name="_Toc28359095"/>
      <w:bookmarkStart w:id="34" w:name="_Toc28359018"/>
      <w:bookmarkStart w:id="35" w:name="_Toc35393805"/>
      <w:r>
        <w:rPr>
          <w:rFonts w:eastAsia="宋体"/>
          <w:b/>
          <w:bCs/>
          <w:color w:val="auto"/>
          <w:sz w:val="24"/>
          <w:szCs w:val="22"/>
          <w:highlight w:val="none"/>
        </w:rPr>
        <w:t>八、凡对本次采购提出询问，请按以下方式联系</w:t>
      </w:r>
      <w:bookmarkEnd w:id="32"/>
      <w:bookmarkEnd w:id="33"/>
      <w:bookmarkEnd w:id="34"/>
      <w:bookmarkEnd w:id="35"/>
    </w:p>
    <w:bookmarkEnd w:id="5"/>
    <w:p w14:paraId="0DB44EF2">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采购人：江苏省江都水利工程管理处</w:t>
      </w:r>
    </w:p>
    <w:p w14:paraId="7606B7D7">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地  址：江苏省扬州市江都区龙城路133号</w:t>
      </w:r>
    </w:p>
    <w:p w14:paraId="2B5611E4">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联系人：张喜乐</w:t>
      </w:r>
    </w:p>
    <w:p w14:paraId="30CE6C20">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联系电话：18852599306</w:t>
      </w:r>
    </w:p>
    <w:p w14:paraId="24A0D9D0">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采购代理机构：江苏省鸿源招标代理股份有限公司</w:t>
      </w:r>
    </w:p>
    <w:p w14:paraId="75D648C5">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地 址：江苏省南京市建邺区嘉陵江东街18号1幢6楼</w:t>
      </w:r>
    </w:p>
    <w:p w14:paraId="1C8CF91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联系人：</w:t>
      </w:r>
      <w:r>
        <w:rPr>
          <w:rFonts w:hint="eastAsia" w:eastAsia="宋体"/>
          <w:color w:val="auto"/>
          <w:sz w:val="24"/>
          <w:szCs w:val="22"/>
          <w:highlight w:val="none"/>
        </w:rPr>
        <w:t>陈博</w:t>
      </w:r>
    </w:p>
    <w:p w14:paraId="5FD27F9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联系电话：</w:t>
      </w:r>
      <w:r>
        <w:rPr>
          <w:rFonts w:hint="eastAsia" w:eastAsia="宋体"/>
          <w:color w:val="auto"/>
          <w:sz w:val="24"/>
          <w:szCs w:val="22"/>
          <w:highlight w:val="none"/>
        </w:rPr>
        <w:t>025-86338294</w:t>
      </w:r>
    </w:p>
    <w:p w14:paraId="1A98E30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邮 编：210019</w:t>
      </w:r>
      <w:r>
        <w:rPr>
          <w:rFonts w:eastAsia="宋体"/>
          <w:color w:val="auto"/>
          <w:sz w:val="24"/>
          <w:szCs w:val="22"/>
          <w:highlight w:val="none"/>
        </w:rPr>
        <w:tab/>
      </w:r>
    </w:p>
    <w:p w14:paraId="367A3079">
      <w:pPr>
        <w:bidi w:val="0"/>
        <w:rPr>
          <w:color w:val="auto"/>
          <w:highlight w:val="none"/>
        </w:rPr>
      </w:pPr>
      <w:r>
        <w:rPr>
          <w:color w:val="auto"/>
          <w:highlight w:val="none"/>
        </w:rPr>
        <w:br w:type="page"/>
      </w:r>
    </w:p>
    <w:p w14:paraId="10A51EC7">
      <w:pPr>
        <w:pStyle w:val="2"/>
        <w:spacing w:line="480" w:lineRule="auto"/>
        <w:jc w:val="center"/>
        <w:rPr>
          <w:rFonts w:eastAsia="楷体"/>
          <w:color w:val="auto"/>
          <w:highlight w:val="none"/>
        </w:rPr>
      </w:pPr>
      <w:bookmarkStart w:id="36" w:name="_Toc30645"/>
      <w:r>
        <w:rPr>
          <w:rFonts w:eastAsia="楷体"/>
          <w:color w:val="auto"/>
          <w:highlight w:val="none"/>
        </w:rPr>
        <w:t>第二章  供应商须知</w:t>
      </w:r>
      <w:bookmarkEnd w:id="3"/>
      <w:bookmarkEnd w:id="36"/>
    </w:p>
    <w:p w14:paraId="239655F7">
      <w:pPr>
        <w:snapToGrid w:val="0"/>
        <w:spacing w:line="360" w:lineRule="auto"/>
        <w:ind w:firstLine="482" w:firstLineChars="200"/>
        <w:outlineLvl w:val="1"/>
        <w:rPr>
          <w:rFonts w:eastAsia="宋体"/>
          <w:b/>
          <w:color w:val="auto"/>
          <w:sz w:val="24"/>
          <w:highlight w:val="none"/>
        </w:rPr>
      </w:pPr>
      <w:bookmarkStart w:id="37" w:name="_Toc401573821"/>
      <w:r>
        <w:rPr>
          <w:rFonts w:eastAsia="宋体"/>
          <w:b/>
          <w:color w:val="auto"/>
          <w:sz w:val="24"/>
          <w:highlight w:val="none"/>
        </w:rPr>
        <w:t>一  总则</w:t>
      </w:r>
      <w:bookmarkEnd w:id="37"/>
    </w:p>
    <w:p w14:paraId="5B1F9174">
      <w:pPr>
        <w:snapToGrid w:val="0"/>
        <w:spacing w:line="360" w:lineRule="auto"/>
        <w:ind w:firstLine="480" w:firstLineChars="200"/>
        <w:rPr>
          <w:rFonts w:eastAsia="宋体"/>
          <w:color w:val="auto"/>
          <w:sz w:val="24"/>
          <w:highlight w:val="none"/>
        </w:rPr>
      </w:pPr>
      <w:bookmarkStart w:id="38" w:name="_Toc401573822"/>
      <w:r>
        <w:rPr>
          <w:rFonts w:eastAsia="宋体"/>
          <w:color w:val="auto"/>
          <w:sz w:val="24"/>
          <w:highlight w:val="none"/>
        </w:rPr>
        <w:t>1．适用范围</w:t>
      </w:r>
      <w:bookmarkEnd w:id="38"/>
    </w:p>
    <w:p w14:paraId="6602B56E">
      <w:pPr>
        <w:snapToGrid w:val="0"/>
        <w:spacing w:line="360" w:lineRule="auto"/>
        <w:ind w:firstLine="480" w:firstLineChars="200"/>
        <w:rPr>
          <w:rFonts w:eastAsia="宋体"/>
          <w:color w:val="auto"/>
          <w:sz w:val="24"/>
          <w:highlight w:val="none"/>
        </w:rPr>
      </w:pPr>
      <w:r>
        <w:rPr>
          <w:rFonts w:eastAsia="宋体"/>
          <w:color w:val="auto"/>
          <w:sz w:val="24"/>
          <w:highlight w:val="none"/>
        </w:rPr>
        <w:t>1.1 本磋商文件仅适用于江苏省鸿源招标代理股份有限公司组织的竞争性磋商采购活动。</w:t>
      </w:r>
    </w:p>
    <w:p w14:paraId="18B71A97">
      <w:pPr>
        <w:snapToGrid w:val="0"/>
        <w:spacing w:line="360" w:lineRule="auto"/>
        <w:ind w:firstLine="480" w:firstLineChars="200"/>
        <w:rPr>
          <w:rFonts w:eastAsia="宋体"/>
          <w:color w:val="auto"/>
          <w:sz w:val="24"/>
          <w:highlight w:val="none"/>
        </w:rPr>
      </w:pPr>
      <w:bookmarkStart w:id="39" w:name="_Toc401573823"/>
      <w:r>
        <w:rPr>
          <w:rFonts w:eastAsia="宋体"/>
          <w:color w:val="auto"/>
          <w:sz w:val="24"/>
          <w:highlight w:val="none"/>
        </w:rPr>
        <w:t>2．合格的供应商</w:t>
      </w:r>
      <w:bookmarkEnd w:id="39"/>
    </w:p>
    <w:p w14:paraId="2962547C">
      <w:pPr>
        <w:snapToGrid w:val="0"/>
        <w:spacing w:line="360" w:lineRule="auto"/>
        <w:ind w:firstLine="480" w:firstLineChars="200"/>
        <w:rPr>
          <w:rFonts w:eastAsia="宋体"/>
          <w:color w:val="auto"/>
          <w:sz w:val="24"/>
          <w:highlight w:val="none"/>
        </w:rPr>
      </w:pPr>
      <w:r>
        <w:rPr>
          <w:rFonts w:eastAsia="宋体"/>
          <w:color w:val="auto"/>
          <w:sz w:val="24"/>
          <w:highlight w:val="none"/>
        </w:rPr>
        <w:t>2.1 具有本项目服务供应或实施能力，符合、承认并承诺履行本文件各项规定的国内法人均可参加竞争性磋商。</w:t>
      </w:r>
    </w:p>
    <w:p w14:paraId="04B78BCE">
      <w:pPr>
        <w:snapToGrid w:val="0"/>
        <w:spacing w:line="360" w:lineRule="auto"/>
        <w:ind w:firstLine="480" w:firstLineChars="200"/>
        <w:rPr>
          <w:rFonts w:eastAsia="宋体"/>
          <w:color w:val="auto"/>
          <w:sz w:val="24"/>
          <w:highlight w:val="none"/>
        </w:rPr>
      </w:pPr>
      <w:r>
        <w:rPr>
          <w:rFonts w:eastAsia="宋体"/>
          <w:color w:val="auto"/>
          <w:sz w:val="24"/>
          <w:highlight w:val="none"/>
        </w:rPr>
        <w:t>2.2 供应商参加本次采购活动应当符合《中华人民共和国政府采购法》第二十二条的规定并具备磋商文件规定的条件。</w:t>
      </w:r>
    </w:p>
    <w:p w14:paraId="43ACBDD0">
      <w:pPr>
        <w:snapToGrid w:val="0"/>
        <w:spacing w:line="360" w:lineRule="auto"/>
        <w:ind w:firstLine="480" w:firstLineChars="200"/>
        <w:rPr>
          <w:rFonts w:eastAsia="宋体"/>
          <w:color w:val="auto"/>
          <w:sz w:val="24"/>
          <w:highlight w:val="none"/>
        </w:rPr>
      </w:pPr>
      <w:r>
        <w:rPr>
          <w:rFonts w:eastAsia="宋体"/>
          <w:color w:val="auto"/>
          <w:sz w:val="24"/>
          <w:highlight w:val="none"/>
        </w:rPr>
        <w:t>2.3 供应商应遵守《中华人民共和国民法典》《中华人民共和国政府采购法》《中华人民共和国政府采购法实施条例》等有关法律法规，如有违反，将视为不合格供应商，其响应文件无效。</w:t>
      </w:r>
    </w:p>
    <w:p w14:paraId="3BAAEA06">
      <w:pPr>
        <w:snapToGrid w:val="0"/>
        <w:spacing w:line="360" w:lineRule="auto"/>
        <w:ind w:firstLine="480" w:firstLineChars="200"/>
        <w:rPr>
          <w:rFonts w:eastAsia="宋体"/>
          <w:color w:val="auto"/>
          <w:sz w:val="24"/>
          <w:highlight w:val="none"/>
        </w:rPr>
      </w:pPr>
      <w:bookmarkStart w:id="40" w:name="_Toc401573824"/>
      <w:r>
        <w:rPr>
          <w:rFonts w:eastAsia="宋体"/>
          <w:color w:val="auto"/>
          <w:sz w:val="24"/>
          <w:highlight w:val="none"/>
        </w:rPr>
        <w:t>3．磋商费用</w:t>
      </w:r>
      <w:bookmarkEnd w:id="40"/>
    </w:p>
    <w:p w14:paraId="45C80389">
      <w:pPr>
        <w:snapToGrid w:val="0"/>
        <w:spacing w:line="360" w:lineRule="auto"/>
        <w:ind w:firstLine="480" w:firstLineChars="200"/>
        <w:rPr>
          <w:rFonts w:eastAsia="宋体"/>
          <w:color w:val="auto"/>
          <w:sz w:val="24"/>
          <w:highlight w:val="none"/>
        </w:rPr>
      </w:pPr>
      <w:r>
        <w:rPr>
          <w:rFonts w:eastAsia="宋体"/>
          <w:color w:val="auto"/>
          <w:sz w:val="24"/>
          <w:highlight w:val="none"/>
        </w:rPr>
        <w:t>3.1 无论竞争性磋商过程中的做法和结果如何，参加磋商的供应商自行承担所有与参加竞争性磋商有关的全部费用。</w:t>
      </w:r>
    </w:p>
    <w:p w14:paraId="356AEFB0">
      <w:pPr>
        <w:snapToGrid w:val="0"/>
        <w:spacing w:line="360" w:lineRule="auto"/>
        <w:ind w:firstLine="480" w:firstLineChars="200"/>
        <w:rPr>
          <w:rFonts w:eastAsia="宋体"/>
          <w:color w:val="auto"/>
          <w:sz w:val="24"/>
          <w:szCs w:val="22"/>
          <w:highlight w:val="none"/>
        </w:rPr>
      </w:pPr>
      <w:bookmarkStart w:id="41" w:name="_Toc401573825"/>
      <w:r>
        <w:rPr>
          <w:rFonts w:eastAsia="宋体"/>
          <w:color w:val="auto"/>
          <w:sz w:val="24"/>
          <w:highlight w:val="none"/>
        </w:rPr>
        <w:t>3.2</w:t>
      </w:r>
      <w:r>
        <w:rPr>
          <w:rFonts w:eastAsia="宋体"/>
          <w:color w:val="auto"/>
          <w:sz w:val="24"/>
          <w:szCs w:val="22"/>
          <w:highlight w:val="none"/>
        </w:rPr>
        <w:t>采购代理服务费：</w:t>
      </w:r>
    </w:p>
    <w:p w14:paraId="26E38595">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费用金额，</w:t>
      </w:r>
      <w:r>
        <w:rPr>
          <w:rFonts w:eastAsia="宋体"/>
          <w:color w:val="auto"/>
          <w:sz w:val="24"/>
          <w:szCs w:val="22"/>
          <w:highlight w:val="none"/>
          <w:u w:val="single"/>
        </w:rPr>
        <w:t>按如下表格以差额定率累进法计算基数</w:t>
      </w:r>
      <w:r>
        <w:rPr>
          <w:rFonts w:hint="eastAsia" w:eastAsia="宋体"/>
          <w:color w:val="auto"/>
          <w:sz w:val="24"/>
          <w:szCs w:val="22"/>
          <w:highlight w:val="none"/>
          <w:u w:val="single"/>
        </w:rPr>
        <w:t>*80%</w:t>
      </w:r>
      <w:r>
        <w:rPr>
          <w:rFonts w:eastAsia="宋体"/>
          <w:color w:val="auto"/>
          <w:sz w:val="24"/>
          <w:szCs w:val="22"/>
          <w:highlight w:val="none"/>
          <w:u w:val="single"/>
        </w:rPr>
        <w:t>计取。</w:t>
      </w:r>
    </w:p>
    <w:p w14:paraId="6E3526B8">
      <w:pPr>
        <w:snapToGrid w:val="0"/>
        <w:spacing w:line="360" w:lineRule="auto"/>
        <w:ind w:firstLine="480" w:firstLineChars="200"/>
        <w:jc w:val="center"/>
        <w:rPr>
          <w:rFonts w:eastAsia="宋体"/>
          <w:color w:val="auto"/>
          <w:sz w:val="24"/>
          <w:szCs w:val="22"/>
          <w:highlight w:val="none"/>
        </w:rPr>
      </w:pPr>
      <w:r>
        <w:rPr>
          <w:rFonts w:eastAsia="宋体"/>
          <w:color w:val="auto"/>
          <w:sz w:val="24"/>
          <w:szCs w:val="22"/>
          <w:highlight w:val="none"/>
        </w:rPr>
        <w:t>综合费率计算方法</w:t>
      </w:r>
    </w:p>
    <w:tbl>
      <w:tblPr>
        <w:tblStyle w:val="27"/>
        <w:tblW w:w="7076" w:type="dxa"/>
        <w:jc w:val="center"/>
        <w:tblLayout w:type="autofit"/>
        <w:tblCellMar>
          <w:top w:w="0" w:type="dxa"/>
          <w:left w:w="108" w:type="dxa"/>
          <w:bottom w:w="0" w:type="dxa"/>
          <w:right w:w="108" w:type="dxa"/>
        </w:tblCellMar>
      </w:tblPr>
      <w:tblGrid>
        <w:gridCol w:w="4271"/>
        <w:gridCol w:w="2805"/>
      </w:tblGrid>
      <w:tr w14:paraId="1A8BC466">
        <w:tblPrEx>
          <w:tblCellMar>
            <w:top w:w="0" w:type="dxa"/>
            <w:left w:w="108" w:type="dxa"/>
            <w:bottom w:w="0" w:type="dxa"/>
            <w:right w:w="108" w:type="dxa"/>
          </w:tblCellMar>
        </w:tblPrEx>
        <w:trPr>
          <w:trHeight w:val="454" w:hRule="atLeast"/>
          <w:jc w:val="center"/>
        </w:trPr>
        <w:tc>
          <w:tcPr>
            <w:tcW w:w="4271" w:type="dxa"/>
            <w:tcBorders>
              <w:top w:val="single" w:color="000000" w:sz="8" w:space="0"/>
              <w:left w:val="single" w:color="000000" w:sz="8" w:space="0"/>
              <w:bottom w:val="single" w:color="000000" w:sz="8" w:space="0"/>
              <w:right w:val="single" w:color="000000" w:sz="8" w:space="0"/>
            </w:tcBorders>
            <w:vAlign w:val="center"/>
          </w:tcPr>
          <w:p w14:paraId="424D17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中标金额</w:t>
            </w:r>
          </w:p>
        </w:tc>
        <w:tc>
          <w:tcPr>
            <w:tcW w:w="2805" w:type="dxa"/>
            <w:tcBorders>
              <w:top w:val="single" w:color="000000" w:sz="8" w:space="0"/>
              <w:left w:val="nil"/>
              <w:bottom w:val="single" w:color="000000" w:sz="8" w:space="0"/>
              <w:right w:val="single" w:color="000000" w:sz="8" w:space="0"/>
            </w:tcBorders>
            <w:vAlign w:val="center"/>
          </w:tcPr>
          <w:p w14:paraId="4D8D95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工程招标</w:t>
            </w:r>
          </w:p>
        </w:tc>
      </w:tr>
      <w:tr w14:paraId="6501C1B1">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4D7FD6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50万元以下（含50万元)</w:t>
            </w:r>
          </w:p>
        </w:tc>
        <w:tc>
          <w:tcPr>
            <w:tcW w:w="2805" w:type="dxa"/>
            <w:tcBorders>
              <w:top w:val="nil"/>
              <w:left w:val="nil"/>
              <w:bottom w:val="single" w:color="000000" w:sz="8" w:space="0"/>
              <w:right w:val="single" w:color="000000" w:sz="8" w:space="0"/>
            </w:tcBorders>
            <w:vAlign w:val="center"/>
          </w:tcPr>
          <w:p w14:paraId="7E8A66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1万元</w:t>
            </w:r>
          </w:p>
        </w:tc>
      </w:tr>
      <w:tr w14:paraId="5B2B26B9">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3B5FA7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50万元-400万元（含400万元)</w:t>
            </w:r>
          </w:p>
        </w:tc>
        <w:tc>
          <w:tcPr>
            <w:tcW w:w="2805" w:type="dxa"/>
            <w:tcBorders>
              <w:top w:val="nil"/>
              <w:left w:val="nil"/>
              <w:bottom w:val="single" w:color="000000" w:sz="8" w:space="0"/>
              <w:right w:val="single" w:color="000000" w:sz="8" w:space="0"/>
            </w:tcBorders>
            <w:vAlign w:val="center"/>
          </w:tcPr>
          <w:p w14:paraId="70E78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w:t>
            </w:r>
          </w:p>
        </w:tc>
      </w:tr>
      <w:tr w14:paraId="466484CE">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07471B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400-1000万元（含1000万元)</w:t>
            </w:r>
          </w:p>
        </w:tc>
        <w:tc>
          <w:tcPr>
            <w:tcW w:w="2805" w:type="dxa"/>
            <w:tcBorders>
              <w:top w:val="nil"/>
              <w:left w:val="nil"/>
              <w:bottom w:val="single" w:color="000000" w:sz="8" w:space="0"/>
              <w:right w:val="single" w:color="000000" w:sz="8" w:space="0"/>
            </w:tcBorders>
            <w:vAlign w:val="center"/>
          </w:tcPr>
          <w:p w14:paraId="07D6DC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0.80%</w:t>
            </w:r>
          </w:p>
        </w:tc>
      </w:tr>
    </w:tbl>
    <w:p w14:paraId="487EFBF2">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举例：中标价400万元，则采购代理服务费为：</w:t>
      </w:r>
      <w:r>
        <w:rPr>
          <w:rFonts w:hint="eastAsia" w:eastAsia="宋体"/>
          <w:color w:val="auto"/>
          <w:sz w:val="24"/>
          <w:szCs w:val="22"/>
          <w:highlight w:val="none"/>
        </w:rPr>
        <w:t>（</w:t>
      </w:r>
      <w:r>
        <w:rPr>
          <w:rFonts w:eastAsia="宋体"/>
          <w:color w:val="auto"/>
          <w:sz w:val="24"/>
          <w:szCs w:val="22"/>
          <w:highlight w:val="none"/>
        </w:rPr>
        <w:t>1+350*1.5%</w:t>
      </w:r>
      <w:r>
        <w:rPr>
          <w:rFonts w:hint="eastAsia" w:eastAsia="宋体"/>
          <w:color w:val="auto"/>
          <w:sz w:val="24"/>
          <w:szCs w:val="22"/>
          <w:highlight w:val="none"/>
        </w:rPr>
        <w:t>）*80%</w:t>
      </w:r>
      <w:r>
        <w:rPr>
          <w:rFonts w:eastAsia="宋体"/>
          <w:color w:val="auto"/>
          <w:sz w:val="24"/>
          <w:szCs w:val="22"/>
          <w:highlight w:val="none"/>
        </w:rPr>
        <w:t xml:space="preserve"> =</w:t>
      </w:r>
      <w:r>
        <w:rPr>
          <w:rFonts w:hint="eastAsia" w:eastAsia="宋体"/>
          <w:color w:val="auto"/>
          <w:sz w:val="24"/>
          <w:szCs w:val="22"/>
          <w:highlight w:val="none"/>
        </w:rPr>
        <w:t>5</w:t>
      </w:r>
      <w:r>
        <w:rPr>
          <w:rFonts w:eastAsia="宋体"/>
          <w:color w:val="auto"/>
          <w:sz w:val="24"/>
          <w:szCs w:val="22"/>
          <w:highlight w:val="none"/>
        </w:rPr>
        <w:t>万元。</w:t>
      </w:r>
    </w:p>
    <w:p w14:paraId="58AF3980">
      <w:pPr>
        <w:snapToGrid w:val="0"/>
        <w:spacing w:line="360" w:lineRule="auto"/>
        <w:ind w:firstLine="480" w:firstLineChars="200"/>
        <w:rPr>
          <w:rFonts w:eastAsia="宋体"/>
          <w:color w:val="auto"/>
          <w:sz w:val="24"/>
          <w:highlight w:val="none"/>
        </w:rPr>
      </w:pPr>
      <w:r>
        <w:rPr>
          <w:rFonts w:eastAsia="宋体"/>
          <w:color w:val="auto"/>
          <w:sz w:val="24"/>
          <w:highlight w:val="none"/>
        </w:rPr>
        <w:t>4．法律适用</w:t>
      </w:r>
      <w:bookmarkEnd w:id="41"/>
    </w:p>
    <w:p w14:paraId="686B8814">
      <w:pPr>
        <w:snapToGrid w:val="0"/>
        <w:spacing w:line="360" w:lineRule="auto"/>
        <w:ind w:firstLine="480" w:firstLineChars="200"/>
        <w:rPr>
          <w:rFonts w:eastAsia="宋体"/>
          <w:color w:val="auto"/>
          <w:sz w:val="24"/>
          <w:highlight w:val="none"/>
        </w:rPr>
      </w:pPr>
      <w:r>
        <w:rPr>
          <w:rFonts w:eastAsia="宋体"/>
          <w:color w:val="auto"/>
          <w:sz w:val="24"/>
          <w:highlight w:val="none"/>
        </w:rPr>
        <w:t>本次竞争性磋商活动及由本次竞争性磋商产生的合同受中华人民共和国的法律制约和保护。</w:t>
      </w:r>
    </w:p>
    <w:p w14:paraId="3D8180E2">
      <w:pPr>
        <w:snapToGrid w:val="0"/>
        <w:spacing w:line="360" w:lineRule="auto"/>
        <w:ind w:firstLine="480" w:firstLineChars="200"/>
        <w:rPr>
          <w:rFonts w:eastAsia="宋体"/>
          <w:color w:val="auto"/>
          <w:sz w:val="24"/>
          <w:highlight w:val="none"/>
        </w:rPr>
      </w:pPr>
      <w:bookmarkStart w:id="42" w:name="_Toc401573826"/>
      <w:r>
        <w:rPr>
          <w:rFonts w:eastAsia="宋体"/>
          <w:color w:val="auto"/>
          <w:sz w:val="24"/>
          <w:highlight w:val="none"/>
        </w:rPr>
        <w:t>5．磋商文件的约束力</w:t>
      </w:r>
      <w:bookmarkEnd w:id="42"/>
    </w:p>
    <w:p w14:paraId="1EEC605F">
      <w:pPr>
        <w:snapToGrid w:val="0"/>
        <w:spacing w:line="360" w:lineRule="auto"/>
        <w:ind w:firstLine="480" w:firstLineChars="200"/>
        <w:rPr>
          <w:rFonts w:eastAsia="宋体"/>
          <w:color w:val="auto"/>
          <w:sz w:val="24"/>
          <w:highlight w:val="none"/>
        </w:rPr>
      </w:pPr>
      <w:r>
        <w:rPr>
          <w:rFonts w:eastAsia="宋体"/>
          <w:color w:val="auto"/>
          <w:sz w:val="24"/>
          <w:highlight w:val="none"/>
        </w:rPr>
        <w:t>5.1 供应商一旦参加竞争性磋商，即被认为接受了本磋商文件中的所有条款和规定。</w:t>
      </w:r>
    </w:p>
    <w:p w14:paraId="2E4459CA">
      <w:pPr>
        <w:snapToGrid w:val="0"/>
        <w:spacing w:line="360" w:lineRule="auto"/>
        <w:ind w:firstLine="480" w:firstLineChars="200"/>
        <w:rPr>
          <w:rFonts w:eastAsia="宋体"/>
          <w:color w:val="auto"/>
          <w:sz w:val="24"/>
          <w:highlight w:val="none"/>
        </w:rPr>
      </w:pPr>
      <w:r>
        <w:rPr>
          <w:rFonts w:eastAsia="宋体"/>
          <w:color w:val="auto"/>
          <w:sz w:val="24"/>
          <w:highlight w:val="none"/>
        </w:rPr>
        <w:t>5.2 本磋商采购文件由江苏省鸿源招标代理股份有限公司负责解释。</w:t>
      </w:r>
    </w:p>
    <w:p w14:paraId="3AD6512D">
      <w:pPr>
        <w:snapToGrid w:val="0"/>
        <w:spacing w:line="360" w:lineRule="auto"/>
        <w:ind w:firstLine="482" w:firstLineChars="200"/>
        <w:outlineLvl w:val="1"/>
        <w:rPr>
          <w:rFonts w:eastAsia="宋体"/>
          <w:b/>
          <w:color w:val="auto"/>
          <w:sz w:val="24"/>
          <w:highlight w:val="none"/>
        </w:rPr>
      </w:pPr>
      <w:bookmarkStart w:id="43" w:name="_Toc401573827"/>
      <w:r>
        <w:rPr>
          <w:rFonts w:eastAsia="宋体"/>
          <w:b/>
          <w:color w:val="auto"/>
          <w:sz w:val="24"/>
          <w:highlight w:val="none"/>
        </w:rPr>
        <w:t>二  磋商文件</w:t>
      </w:r>
      <w:bookmarkEnd w:id="43"/>
    </w:p>
    <w:p w14:paraId="4A769724">
      <w:pPr>
        <w:snapToGrid w:val="0"/>
        <w:spacing w:line="360" w:lineRule="auto"/>
        <w:ind w:firstLine="480" w:firstLineChars="200"/>
        <w:rPr>
          <w:rFonts w:eastAsia="宋体"/>
          <w:color w:val="auto"/>
          <w:sz w:val="24"/>
          <w:highlight w:val="none"/>
        </w:rPr>
      </w:pPr>
      <w:bookmarkStart w:id="44" w:name="_Toc401573828"/>
      <w:r>
        <w:rPr>
          <w:rFonts w:eastAsia="宋体"/>
          <w:color w:val="auto"/>
          <w:sz w:val="24"/>
          <w:highlight w:val="none"/>
        </w:rPr>
        <w:t>6．磋商采购文件的组成</w:t>
      </w:r>
      <w:bookmarkEnd w:id="44"/>
    </w:p>
    <w:p w14:paraId="5965F837">
      <w:pPr>
        <w:snapToGrid w:val="0"/>
        <w:spacing w:line="360" w:lineRule="auto"/>
        <w:ind w:firstLine="480" w:firstLineChars="200"/>
        <w:rPr>
          <w:rFonts w:eastAsia="宋体"/>
          <w:color w:val="auto"/>
          <w:sz w:val="24"/>
          <w:highlight w:val="none"/>
        </w:rPr>
      </w:pPr>
      <w:r>
        <w:rPr>
          <w:rFonts w:eastAsia="宋体"/>
          <w:color w:val="auto"/>
          <w:sz w:val="24"/>
          <w:highlight w:val="none"/>
        </w:rPr>
        <w:t>6.1 磋商采购文件包括：</w:t>
      </w:r>
    </w:p>
    <w:p w14:paraId="2050CA65">
      <w:pPr>
        <w:snapToGrid w:val="0"/>
        <w:spacing w:line="360" w:lineRule="auto"/>
        <w:ind w:firstLine="480" w:firstLineChars="200"/>
        <w:rPr>
          <w:rFonts w:eastAsia="宋体"/>
          <w:color w:val="auto"/>
          <w:sz w:val="24"/>
          <w:highlight w:val="none"/>
        </w:rPr>
      </w:pPr>
      <w:r>
        <w:rPr>
          <w:rFonts w:eastAsia="宋体"/>
          <w:color w:val="auto"/>
          <w:sz w:val="24"/>
          <w:highlight w:val="none"/>
        </w:rPr>
        <w:t>第一章  采购邀请</w:t>
      </w:r>
    </w:p>
    <w:p w14:paraId="6293B579">
      <w:pPr>
        <w:snapToGrid w:val="0"/>
        <w:spacing w:line="360" w:lineRule="auto"/>
        <w:ind w:firstLine="480" w:firstLineChars="200"/>
        <w:rPr>
          <w:rFonts w:eastAsia="宋体"/>
          <w:color w:val="auto"/>
          <w:sz w:val="24"/>
          <w:highlight w:val="none"/>
        </w:rPr>
      </w:pPr>
      <w:r>
        <w:rPr>
          <w:rFonts w:eastAsia="宋体"/>
          <w:color w:val="auto"/>
          <w:sz w:val="24"/>
          <w:highlight w:val="none"/>
        </w:rPr>
        <w:t>第二章  供应商须知</w:t>
      </w:r>
    </w:p>
    <w:p w14:paraId="2C14057B">
      <w:pPr>
        <w:snapToGrid w:val="0"/>
        <w:spacing w:line="360" w:lineRule="auto"/>
        <w:ind w:firstLine="480" w:firstLineChars="200"/>
        <w:rPr>
          <w:rFonts w:eastAsia="宋体"/>
          <w:color w:val="auto"/>
          <w:sz w:val="24"/>
          <w:highlight w:val="none"/>
        </w:rPr>
      </w:pPr>
      <w:r>
        <w:rPr>
          <w:rFonts w:eastAsia="宋体"/>
          <w:color w:val="auto"/>
          <w:sz w:val="24"/>
          <w:highlight w:val="none"/>
        </w:rPr>
        <w:t>第三章  采购需求</w:t>
      </w:r>
    </w:p>
    <w:p w14:paraId="022D4158">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第四章  合同主要条款及格式 </w:t>
      </w:r>
    </w:p>
    <w:p w14:paraId="0BADE4E5">
      <w:pPr>
        <w:snapToGrid w:val="0"/>
        <w:spacing w:line="360" w:lineRule="auto"/>
        <w:ind w:firstLine="480" w:firstLineChars="200"/>
        <w:rPr>
          <w:rFonts w:eastAsia="宋体"/>
          <w:color w:val="auto"/>
          <w:sz w:val="24"/>
          <w:highlight w:val="none"/>
        </w:rPr>
      </w:pPr>
      <w:r>
        <w:rPr>
          <w:rFonts w:eastAsia="宋体"/>
          <w:color w:val="auto"/>
          <w:sz w:val="24"/>
          <w:highlight w:val="none"/>
        </w:rPr>
        <w:t>第五章  响应文件格式</w:t>
      </w:r>
    </w:p>
    <w:p w14:paraId="702AA2A3">
      <w:pPr>
        <w:snapToGrid w:val="0"/>
        <w:spacing w:line="360" w:lineRule="auto"/>
        <w:ind w:firstLine="480" w:firstLineChars="200"/>
        <w:rPr>
          <w:rFonts w:eastAsia="宋体"/>
          <w:color w:val="auto"/>
          <w:sz w:val="24"/>
          <w:highlight w:val="none"/>
        </w:rPr>
      </w:pPr>
      <w:r>
        <w:rPr>
          <w:rFonts w:eastAsia="宋体"/>
          <w:color w:val="auto"/>
          <w:sz w:val="24"/>
          <w:highlight w:val="none"/>
        </w:rPr>
        <w:t>第六章  评审办法</w:t>
      </w:r>
    </w:p>
    <w:p w14:paraId="25398CBE">
      <w:pPr>
        <w:snapToGrid w:val="0"/>
        <w:spacing w:line="360" w:lineRule="auto"/>
        <w:ind w:firstLine="480" w:firstLineChars="200"/>
        <w:rPr>
          <w:rFonts w:eastAsia="宋体"/>
          <w:color w:val="auto"/>
          <w:sz w:val="24"/>
          <w:highlight w:val="none"/>
        </w:rPr>
      </w:pPr>
      <w:r>
        <w:rPr>
          <w:rFonts w:eastAsia="宋体"/>
          <w:color w:val="auto"/>
          <w:sz w:val="24"/>
          <w:highlight w:val="none"/>
        </w:rPr>
        <w:t>请仔细检查磋商采购文件是否齐全，如有缺漏，请立即与江苏省鸿源招标代理股份有限公司联系解决。</w:t>
      </w:r>
    </w:p>
    <w:p w14:paraId="37927E35">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w:t>
      </w:r>
    </w:p>
    <w:p w14:paraId="0D6AD505">
      <w:pPr>
        <w:snapToGrid w:val="0"/>
        <w:spacing w:line="360" w:lineRule="auto"/>
        <w:ind w:firstLine="480" w:firstLineChars="200"/>
        <w:rPr>
          <w:rFonts w:eastAsia="宋体"/>
          <w:color w:val="auto"/>
          <w:sz w:val="24"/>
          <w:highlight w:val="none"/>
        </w:rPr>
      </w:pPr>
      <w:bookmarkStart w:id="45" w:name="_Toc401573829"/>
      <w:r>
        <w:rPr>
          <w:rFonts w:eastAsia="宋体"/>
          <w:color w:val="auto"/>
          <w:sz w:val="24"/>
          <w:highlight w:val="none"/>
        </w:rPr>
        <w:t>7．磋商采购文件的澄清</w:t>
      </w:r>
      <w:bookmarkEnd w:id="45"/>
    </w:p>
    <w:p w14:paraId="52BCE6EA">
      <w:pPr>
        <w:snapToGrid w:val="0"/>
        <w:spacing w:line="360" w:lineRule="auto"/>
        <w:ind w:firstLine="480" w:firstLineChars="200"/>
        <w:rPr>
          <w:rFonts w:eastAsia="宋体"/>
          <w:color w:val="auto"/>
          <w:sz w:val="24"/>
          <w:highlight w:val="none"/>
        </w:rPr>
      </w:pPr>
      <w:r>
        <w:rPr>
          <w:rFonts w:eastAsia="宋体"/>
          <w:color w:val="auto"/>
          <w:sz w:val="24"/>
          <w:highlight w:val="none"/>
        </w:rPr>
        <w:t>若供应商对磋商采购文件有疑点，可用书面形式（包括信函、传真、电传、电报，下同）在响应文件递交截止时间三天前通知江苏省鸿源招标代理股份有限公司。</w:t>
      </w:r>
    </w:p>
    <w:p w14:paraId="771749A4">
      <w:pPr>
        <w:snapToGrid w:val="0"/>
        <w:spacing w:line="360" w:lineRule="auto"/>
        <w:ind w:firstLine="480" w:firstLineChars="200"/>
        <w:rPr>
          <w:rFonts w:eastAsia="宋体"/>
          <w:color w:val="auto"/>
          <w:sz w:val="24"/>
          <w:highlight w:val="none"/>
        </w:rPr>
      </w:pPr>
      <w:bookmarkStart w:id="46" w:name="_Toc401573830"/>
      <w:r>
        <w:rPr>
          <w:rFonts w:eastAsia="宋体"/>
          <w:color w:val="auto"/>
          <w:sz w:val="24"/>
          <w:highlight w:val="none"/>
        </w:rPr>
        <w:t>8．磋商采购文件的更正或补充</w:t>
      </w:r>
      <w:bookmarkEnd w:id="46"/>
    </w:p>
    <w:p w14:paraId="00660348">
      <w:pPr>
        <w:snapToGrid w:val="0"/>
        <w:spacing w:line="360" w:lineRule="auto"/>
        <w:ind w:firstLine="480" w:firstLineChars="200"/>
        <w:rPr>
          <w:rFonts w:eastAsia="宋体"/>
          <w:color w:val="auto"/>
          <w:sz w:val="24"/>
          <w:highlight w:val="none"/>
        </w:rPr>
      </w:pPr>
      <w:r>
        <w:rPr>
          <w:rFonts w:eastAsia="宋体"/>
          <w:color w:val="auto"/>
          <w:sz w:val="24"/>
          <w:highlight w:val="none"/>
        </w:rPr>
        <w:t>8.1 在竞争性磋商截止时间前，由于需对供应商的提问进行澄清或其他任何原因，江苏省鸿源招标代理股份有限公司均可对磋商采购文件用书面更正通知的方式进行修正。</w:t>
      </w:r>
    </w:p>
    <w:p w14:paraId="7B019537">
      <w:pPr>
        <w:snapToGrid w:val="0"/>
        <w:spacing w:line="360" w:lineRule="auto"/>
        <w:ind w:firstLine="480" w:firstLineChars="200"/>
        <w:rPr>
          <w:rFonts w:eastAsia="宋体"/>
          <w:color w:val="auto"/>
          <w:sz w:val="24"/>
          <w:highlight w:val="none"/>
        </w:rPr>
      </w:pPr>
      <w:r>
        <w:rPr>
          <w:rFonts w:eastAsia="宋体"/>
          <w:color w:val="auto"/>
          <w:sz w:val="24"/>
          <w:highlight w:val="none"/>
        </w:rPr>
        <w:t>8.2 书面更正通知将作为磋商采购文件的组成部分，对所有潜在供应商有约束力。</w:t>
      </w:r>
    </w:p>
    <w:p w14:paraId="755B49C1">
      <w:pPr>
        <w:snapToGrid w:val="0"/>
        <w:spacing w:line="360" w:lineRule="auto"/>
        <w:ind w:firstLine="480" w:firstLineChars="200"/>
        <w:rPr>
          <w:rFonts w:eastAsia="宋体"/>
          <w:color w:val="auto"/>
          <w:sz w:val="24"/>
          <w:highlight w:val="none"/>
        </w:rPr>
      </w:pPr>
      <w:r>
        <w:rPr>
          <w:rFonts w:eastAsia="宋体"/>
          <w:color w:val="auto"/>
          <w:sz w:val="24"/>
          <w:highlight w:val="none"/>
        </w:rPr>
        <w:t>8.3 当磋商文件与书面更正通知相矛盾时，以江苏省鸿源招标代理股份有限公司最后发出的书面更正通知为准。</w:t>
      </w:r>
    </w:p>
    <w:p w14:paraId="618D3271">
      <w:pPr>
        <w:snapToGrid w:val="0"/>
        <w:spacing w:line="360" w:lineRule="auto"/>
        <w:ind w:firstLine="480" w:firstLineChars="200"/>
        <w:rPr>
          <w:rFonts w:eastAsia="宋体"/>
          <w:color w:val="auto"/>
          <w:sz w:val="24"/>
          <w:highlight w:val="none"/>
        </w:rPr>
      </w:pPr>
      <w:r>
        <w:rPr>
          <w:rFonts w:eastAsia="宋体"/>
          <w:color w:val="auto"/>
          <w:sz w:val="24"/>
          <w:highlight w:val="none"/>
        </w:rPr>
        <w:t>8.4 潜在供应商在收到书面更正通知后，应于一个工作日内正式书面回函江苏省鸿源招标代理股份有限公司，逾期不回的，视同供应商已收到更正通知。</w:t>
      </w:r>
    </w:p>
    <w:p w14:paraId="251C0BD6">
      <w:pPr>
        <w:snapToGrid w:val="0"/>
        <w:spacing w:line="360" w:lineRule="auto"/>
        <w:ind w:firstLine="480" w:firstLineChars="200"/>
        <w:rPr>
          <w:rFonts w:eastAsia="宋体"/>
          <w:color w:val="auto"/>
          <w:sz w:val="24"/>
          <w:highlight w:val="none"/>
        </w:rPr>
      </w:pPr>
      <w:r>
        <w:rPr>
          <w:rFonts w:eastAsia="宋体"/>
          <w:color w:val="auto"/>
          <w:sz w:val="24"/>
          <w:highlight w:val="none"/>
        </w:rPr>
        <w:t>8.5 为使潜在供应商有足够的时间按磋商文件的书面更正通知修正和响应磋商文件的要求，江苏省鸿源招标代理股份有限公司可酌情推迟响应文件递交截止时间，并按8.2条规定的方式将具体变更情况通知潜在供应商。</w:t>
      </w:r>
    </w:p>
    <w:p w14:paraId="17260408">
      <w:pPr>
        <w:snapToGrid w:val="0"/>
        <w:spacing w:line="360" w:lineRule="auto"/>
        <w:ind w:firstLine="482" w:firstLineChars="200"/>
        <w:outlineLvl w:val="1"/>
        <w:rPr>
          <w:rFonts w:eastAsia="宋体"/>
          <w:b/>
          <w:color w:val="auto"/>
          <w:sz w:val="24"/>
          <w:highlight w:val="none"/>
        </w:rPr>
      </w:pPr>
      <w:bookmarkStart w:id="47" w:name="_Toc401573831"/>
      <w:r>
        <w:rPr>
          <w:rFonts w:eastAsia="宋体"/>
          <w:b/>
          <w:color w:val="auto"/>
          <w:sz w:val="24"/>
          <w:highlight w:val="none"/>
        </w:rPr>
        <w:t>三  响应文件</w:t>
      </w:r>
      <w:bookmarkEnd w:id="47"/>
    </w:p>
    <w:p w14:paraId="0CC8698E">
      <w:pPr>
        <w:snapToGrid w:val="0"/>
        <w:spacing w:line="360" w:lineRule="auto"/>
        <w:ind w:firstLine="480" w:firstLineChars="200"/>
        <w:rPr>
          <w:rFonts w:eastAsia="宋体"/>
          <w:color w:val="auto"/>
          <w:sz w:val="24"/>
          <w:highlight w:val="none"/>
        </w:rPr>
      </w:pPr>
      <w:bookmarkStart w:id="48" w:name="_Toc401573832"/>
      <w:r>
        <w:rPr>
          <w:rFonts w:eastAsia="宋体"/>
          <w:color w:val="auto"/>
          <w:sz w:val="24"/>
          <w:highlight w:val="none"/>
        </w:rPr>
        <w:t>9．</w:t>
      </w:r>
      <w:bookmarkEnd w:id="48"/>
      <w:r>
        <w:rPr>
          <w:rFonts w:hint="eastAsia" w:eastAsia="宋体"/>
          <w:color w:val="auto"/>
          <w:sz w:val="24"/>
          <w:highlight w:val="none"/>
        </w:rPr>
        <w:t>响应文件的语言、计量单位、货币和编制</w:t>
      </w:r>
    </w:p>
    <w:p w14:paraId="5E62EE7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87BC88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9.2 供应商所使用的计量单位应为国家法定计量单位。</w:t>
      </w:r>
    </w:p>
    <w:p w14:paraId="5788124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9.3 供应商应用人民币报价。报价产品如果是进口产品的，应提供人民币与外币之间的汇率；报价单位为“元”。</w:t>
      </w:r>
    </w:p>
    <w:p w14:paraId="7898CA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9.4 磋商响应文件应字迹清楚、内容齐全、不得涂改。如有修改，修改处须有供应商公章或投标专用章和法定代表人或其授权磋商代表签字。</w:t>
      </w:r>
    </w:p>
    <w:p w14:paraId="378A4B3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9.5 供应商应在磋商响应文件中写清相应的项目编号、项目名称、供应商全称、地址、电话、传真等</w:t>
      </w:r>
      <w:r>
        <w:rPr>
          <w:rFonts w:eastAsia="宋体"/>
          <w:color w:val="auto"/>
          <w:sz w:val="24"/>
          <w:highlight w:val="none"/>
        </w:rPr>
        <w:t>。</w:t>
      </w:r>
    </w:p>
    <w:p w14:paraId="3537D29A">
      <w:pPr>
        <w:snapToGrid w:val="0"/>
        <w:spacing w:line="360" w:lineRule="auto"/>
        <w:ind w:firstLine="480" w:firstLineChars="200"/>
        <w:rPr>
          <w:rFonts w:eastAsia="宋体"/>
          <w:color w:val="auto"/>
          <w:sz w:val="24"/>
          <w:highlight w:val="none"/>
        </w:rPr>
      </w:pPr>
      <w:bookmarkStart w:id="49" w:name="_Toc401573833"/>
      <w:r>
        <w:rPr>
          <w:rFonts w:eastAsia="宋体"/>
          <w:color w:val="auto"/>
          <w:sz w:val="24"/>
          <w:highlight w:val="none"/>
        </w:rPr>
        <w:t>10．响应文件的组成</w:t>
      </w:r>
      <w:bookmarkEnd w:id="49"/>
    </w:p>
    <w:p w14:paraId="5222F56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10.1 供应商应当根据磋商文件要求编制响应文件，响应文件应对磋商文件提出的要求和条件作出实质性响应，并在《商务条款偏离表》和《技术条款偏离表》等处逐条标明满足与否。</w:t>
      </w:r>
    </w:p>
    <w:p w14:paraId="24A55B9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10.2 响应文件由商务部分、技术部分、价格部分以及其他部分组成。响应文件目录及有关格式按磋商文件“第六章磋商响应文件格式”的要求编制。</w:t>
      </w:r>
    </w:p>
    <w:p w14:paraId="640462F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10.3 供应商如同时参与多个分包（标段）采购，则应按分包（标段）分别制作响应文件。</w:t>
      </w:r>
    </w:p>
    <w:p w14:paraId="233362B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10.4 如标书制作工具中格式和内容与“江苏政府采购网”发布的采购文件不一致，以“江苏政府采购网”发布的采购文件为准。</w:t>
      </w:r>
    </w:p>
    <w:p w14:paraId="09965DB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10.5 响应文件的商务部分</w:t>
      </w:r>
    </w:p>
    <w:p w14:paraId="3C25175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10.5.1 商务部分是证明供应商有资格参加磋商和成交后有能力履行合同的文件，这些文件应满足磋商的要求，包括但不限于下列文件，其中加★项目不得有缺失或无效，否则竞争性磋商小组有权否决供应商的投标：</w:t>
      </w:r>
    </w:p>
    <w:p w14:paraId="5C4D54B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（1）★竞争性磋商响应函（格式见第五章）；</w:t>
      </w:r>
    </w:p>
    <w:p w14:paraId="326471F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（2）★法定代表人授权委托书及委托代理人的身份证复印件（格式见第五章）；</w:t>
      </w:r>
    </w:p>
    <w:p w14:paraId="676435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（3）★第一章竞争性磋商公告中满足《中华人民共和国政府采购法》第二十二条规定的资格条件证明文件或提供资格承诺函，格式见第五章；</w:t>
      </w:r>
    </w:p>
    <w:p w14:paraId="528D59A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（4）★第一章竞争性磋商公告中采购人根据采购项目的特殊要求规定的特定条件证明文件；</w:t>
      </w:r>
    </w:p>
    <w:p w14:paraId="77E9C76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（5）★报价表（格式见第五章）；</w:t>
      </w:r>
    </w:p>
    <w:p w14:paraId="1B9FD4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（6）★分项报价表（格式见第五章）；</w:t>
      </w:r>
    </w:p>
    <w:p w14:paraId="2F091B0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（7）《商务条款偏离表》；</w:t>
      </w:r>
    </w:p>
    <w:p w14:paraId="140DE8A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（8）供应商认为需要提供的其他资格证明文件和商务资料</w:t>
      </w:r>
    </w:p>
    <w:p w14:paraId="1A6986F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10.6 响应文件的技术部分</w:t>
      </w:r>
    </w:p>
    <w:p w14:paraId="09EFD25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72A4C8A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（1）技术方案；</w:t>
      </w:r>
    </w:p>
    <w:p w14:paraId="6960E25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（2）服务承诺；</w:t>
      </w:r>
    </w:p>
    <w:p w14:paraId="700BB80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（3）《技术条款偏离表》；</w:t>
      </w:r>
    </w:p>
    <w:p w14:paraId="30AA7B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（4）供应商认为需要提供的其他技术资料。</w:t>
      </w:r>
    </w:p>
    <w:p w14:paraId="4692C45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 响应文件的价格部分</w:t>
      </w:r>
    </w:p>
    <w:p w14:paraId="0EF26AA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10.7.1 价格部分内容是对标的价格构成的说明，磋商文件如没有特别说明的话，仅接受一个价格。</w:t>
      </w:r>
    </w:p>
    <w:p w14:paraId="4CB350D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10.7.2 </w:t>
      </w:r>
      <w:r>
        <w:rPr>
          <w:rFonts w:eastAsia="宋体"/>
          <w:color w:val="auto"/>
          <w:sz w:val="24"/>
          <w:highlight w:val="none"/>
          <w:u w:val="single"/>
        </w:rPr>
        <w:t>本项目报价非一次性报价，在磋商后根据磋商小组的要求再次报价。报价含完成本项目所需的</w:t>
      </w:r>
      <w:r>
        <w:rPr>
          <w:rFonts w:eastAsia="宋体"/>
          <w:color w:val="auto"/>
          <w:sz w:val="24"/>
          <w:szCs w:val="24"/>
          <w:highlight w:val="none"/>
          <w:u w:val="single"/>
        </w:rPr>
        <w:t>专家和工作人员各项费用（含专家费、住宿费、交通费和伙食补助费）、车辆使用费、资料费、管理费、</w:t>
      </w:r>
      <w:r>
        <w:rPr>
          <w:rFonts w:hint="eastAsia" w:eastAsia="宋体"/>
          <w:color w:val="auto"/>
          <w:sz w:val="24"/>
          <w:szCs w:val="24"/>
          <w:highlight w:val="none"/>
          <w:u w:val="single"/>
        </w:rPr>
        <w:t>检验试验费、</w:t>
      </w:r>
      <w:r>
        <w:rPr>
          <w:rFonts w:eastAsia="宋体"/>
          <w:color w:val="auto"/>
          <w:sz w:val="24"/>
          <w:szCs w:val="24"/>
          <w:highlight w:val="none"/>
          <w:u w:val="single"/>
        </w:rPr>
        <w:t>利润、税金</w:t>
      </w:r>
      <w:r>
        <w:rPr>
          <w:rFonts w:eastAsia="宋体"/>
          <w:color w:val="auto"/>
          <w:sz w:val="24"/>
          <w:highlight w:val="none"/>
          <w:u w:val="single"/>
        </w:rPr>
        <w:t>等一切费用。成交后不允许擅自改变服务内容、质量标准、期限与追加项目费用</w:t>
      </w:r>
      <w:r>
        <w:rPr>
          <w:rFonts w:hint="eastAsia" w:eastAsia="宋体"/>
          <w:color w:val="auto"/>
          <w:sz w:val="24"/>
          <w:highlight w:val="none"/>
        </w:rPr>
        <w:t>。</w:t>
      </w:r>
    </w:p>
    <w:p w14:paraId="78960BE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10.7.3 供应商应在《报价表》《分项报价明细表》等标明标的的单价、总价以及分项报价等。</w:t>
      </w:r>
    </w:p>
    <w:p w14:paraId="4979987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10.7.4 除非磋商文件另有规定或经采购人同意支付的，响应文件所报的价格不得超过磋商文件规定的预算价、最高限价，超过磋商文件规定的，响应文件按无效处理。</w:t>
      </w:r>
    </w:p>
    <w:p w14:paraId="71535A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10.7.5 经磋商后，如果成交价高于或低于供应商在响应文件首次报价的，分项报价同比例调整。</w:t>
      </w:r>
    </w:p>
    <w:p w14:paraId="1380DDE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10.8 响应文件的其他部分</w:t>
      </w:r>
    </w:p>
    <w:p w14:paraId="499BDEF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10.8.1 其他部分由供应商根据编制响应文件需要提供的其他相关文件组成</w:t>
      </w:r>
      <w:r>
        <w:rPr>
          <w:rFonts w:eastAsia="宋体"/>
          <w:color w:val="auto"/>
          <w:sz w:val="24"/>
          <w:highlight w:val="none"/>
        </w:rPr>
        <w:t>。</w:t>
      </w:r>
    </w:p>
    <w:p w14:paraId="4EAFA6C8">
      <w:pPr>
        <w:snapToGrid w:val="0"/>
        <w:spacing w:line="360" w:lineRule="auto"/>
        <w:ind w:firstLine="480" w:firstLineChars="200"/>
        <w:rPr>
          <w:rFonts w:eastAsia="宋体"/>
          <w:color w:val="auto"/>
          <w:sz w:val="24"/>
          <w:highlight w:val="none"/>
        </w:rPr>
      </w:pPr>
      <w:bookmarkStart w:id="50" w:name="_Toc401573836"/>
      <w:r>
        <w:rPr>
          <w:rFonts w:eastAsia="宋体"/>
          <w:color w:val="auto"/>
          <w:sz w:val="24"/>
          <w:highlight w:val="none"/>
        </w:rPr>
        <w:t>1</w:t>
      </w:r>
      <w:r>
        <w:rPr>
          <w:rFonts w:hint="eastAsia" w:eastAsia="宋体"/>
          <w:color w:val="auto"/>
          <w:sz w:val="24"/>
          <w:highlight w:val="none"/>
        </w:rPr>
        <w:t>1</w:t>
      </w:r>
      <w:r>
        <w:rPr>
          <w:rFonts w:eastAsia="宋体"/>
          <w:color w:val="auto"/>
          <w:sz w:val="24"/>
          <w:highlight w:val="none"/>
        </w:rPr>
        <w:t>．磋商保证金</w:t>
      </w:r>
      <w:bookmarkEnd w:id="50"/>
      <w:r>
        <w:rPr>
          <w:rFonts w:eastAsia="宋体"/>
          <w:color w:val="auto"/>
          <w:sz w:val="24"/>
          <w:highlight w:val="none"/>
        </w:rPr>
        <w:t>（本项目不适用）</w:t>
      </w:r>
    </w:p>
    <w:p w14:paraId="2C9AEAA0">
      <w:pPr>
        <w:snapToGrid w:val="0"/>
        <w:spacing w:line="360" w:lineRule="auto"/>
        <w:ind w:firstLine="480" w:firstLineChars="200"/>
        <w:rPr>
          <w:rFonts w:eastAsia="宋体"/>
          <w:color w:val="auto"/>
          <w:sz w:val="24"/>
          <w:highlight w:val="none"/>
        </w:rPr>
      </w:pPr>
      <w:bookmarkStart w:id="51" w:name="_Toc401573837"/>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．响应文件有效期</w:t>
      </w:r>
      <w:bookmarkEnd w:id="51"/>
    </w:p>
    <w:p w14:paraId="700AC0AA">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.1 响应文件有效期为从响应文件递交截止之日起计算的</w:t>
      </w:r>
      <w:r>
        <w:rPr>
          <w:rFonts w:eastAsia="宋体"/>
          <w:b/>
          <w:color w:val="auto"/>
          <w:sz w:val="24"/>
          <w:highlight w:val="none"/>
          <w:u w:val="single"/>
        </w:rPr>
        <w:t>九十天</w:t>
      </w:r>
      <w:r>
        <w:rPr>
          <w:rFonts w:eastAsia="宋体"/>
          <w:color w:val="auto"/>
          <w:sz w:val="24"/>
          <w:highlight w:val="none"/>
        </w:rPr>
        <w:t>，有效期短于此规定的响应文件将被视为无效。</w:t>
      </w:r>
    </w:p>
    <w:p w14:paraId="5078647E">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p>
    <w:p w14:paraId="300E88C9">
      <w:pPr>
        <w:widowControl/>
        <w:pBdr>
          <w:top w:val="none" w:color="000000" w:sz="0" w:space="0"/>
          <w:left w:val="none" w:color="000000" w:sz="0" w:space="0"/>
          <w:bottom w:val="none" w:color="000000" w:sz="0" w:space="0"/>
          <w:right w:val="none" w:color="000000" w:sz="0" w:space="0"/>
        </w:pBdr>
        <w:spacing w:line="360" w:lineRule="auto"/>
        <w:outlineLvl w:val="1"/>
        <w:rPr>
          <w:rFonts w:hint="eastAsia" w:ascii="黑体" w:hAnsi="黑体" w:eastAsia="黑体" w:cs="黑体"/>
          <w:b/>
          <w:color w:val="auto"/>
          <w:kern w:val="0"/>
          <w:sz w:val="28"/>
          <w:szCs w:val="28"/>
          <w:highlight w:val="none"/>
        </w:rPr>
      </w:pP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响应文件的递交</w:t>
      </w:r>
      <w:r>
        <w:rPr>
          <w:rFonts w:hint="eastAsia" w:eastAsia="宋体"/>
          <w:b/>
          <w:color w:val="auto"/>
          <w:sz w:val="24"/>
          <w:highlight w:val="none"/>
          <w:lang w:val="zh-CN"/>
        </w:rPr>
        <w:t>与解密</w:t>
      </w:r>
      <w:r>
        <w:rPr>
          <w:rFonts w:hint="eastAsia" w:eastAsia="宋体"/>
          <w:b/>
          <w:color w:val="auto"/>
          <w:sz w:val="24"/>
          <w:highlight w:val="none"/>
        </w:rPr>
        <w:t>、修改与撤回</w:t>
      </w:r>
    </w:p>
    <w:p w14:paraId="3CB19091">
      <w:pPr>
        <w:bidi w:val="0"/>
        <w:ind w:firstLine="482" w:firstLineChars="200"/>
        <w:rPr>
          <w:rFonts w:hint="eastAsia" w:ascii="宋体" w:hAnsi="宋体" w:eastAsia="宋体" w:cs="宋体"/>
          <w:color w:val="auto"/>
          <w:kern w:val="0"/>
          <w:sz w:val="24"/>
          <w:szCs w:val="24"/>
          <w:highlight w:val="none"/>
        </w:rPr>
      </w:pPr>
      <w:bookmarkStart w:id="53" w:name="_Toc12460"/>
      <w:r>
        <w:rPr>
          <w:rFonts w:hint="eastAsia" w:ascii="宋体" w:hAnsi="宋体" w:eastAsia="宋体" w:cs="宋体"/>
          <w:b/>
          <w:color w:val="auto"/>
          <w:kern w:val="0"/>
          <w:sz w:val="24"/>
          <w:szCs w:val="24"/>
          <w:highlight w:val="none"/>
        </w:rPr>
        <w:t>13. 响应文件的</w:t>
      </w:r>
      <w:r>
        <w:rPr>
          <w:rFonts w:hint="eastAsia" w:ascii="宋体" w:hAnsi="宋体" w:eastAsia="宋体" w:cs="宋体"/>
          <w:b/>
          <w:color w:val="auto"/>
          <w:kern w:val="0"/>
          <w:sz w:val="24"/>
          <w:szCs w:val="24"/>
          <w:highlight w:val="none"/>
          <w:lang w:val="zh-CN"/>
        </w:rPr>
        <w:t>递交与解密</w:t>
      </w:r>
      <w:bookmarkEnd w:id="53"/>
    </w:p>
    <w:p w14:paraId="4A18D5EF">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13.1 </w:t>
      </w:r>
      <w:r>
        <w:rPr>
          <w:rFonts w:hint="eastAsia" w:ascii="宋体" w:hAnsi="宋体" w:eastAsia="宋体" w:cs="宋体"/>
          <w:color w:val="auto"/>
          <w:kern w:val="0"/>
          <w:sz w:val="24"/>
          <w:szCs w:val="24"/>
          <w:highlight w:val="none"/>
          <w:lang w:val="zh-CN"/>
        </w:rPr>
        <w:t>供应商应当按照《操作手册》的规定递交电子响应文件，在</w:t>
      </w:r>
      <w:r>
        <w:rPr>
          <w:rFonts w:hint="eastAsia" w:ascii="Arial" w:hAnsi="Arial" w:eastAsia="Arial" w:cs="Arial"/>
          <w:color w:val="auto"/>
          <w:kern w:val="0"/>
          <w:sz w:val="24"/>
          <w:szCs w:val="22"/>
          <w:highlight w:val="none"/>
        </w:rPr>
        <w:t>响应文件提交截止时间前</w:t>
      </w:r>
      <w:r>
        <w:rPr>
          <w:rFonts w:hint="eastAsia" w:ascii="宋体" w:hAnsi="宋体" w:eastAsia="宋体" w:cs="宋体"/>
          <w:color w:val="auto"/>
          <w:kern w:val="0"/>
          <w:sz w:val="24"/>
          <w:szCs w:val="24"/>
          <w:highlight w:val="none"/>
          <w:lang w:val="zh-CN"/>
        </w:rPr>
        <w:t>制作并上传电子响应文件。招标代理机构拒绝接收提交响应文件截止时间后上传的任何电子响应文件。</w:t>
      </w:r>
      <w:r>
        <w:rPr>
          <w:rFonts w:hint="eastAsia" w:ascii="宋体" w:hAnsi="宋体" w:eastAsia="宋体" w:cs="宋体"/>
          <w:color w:val="auto"/>
          <w:kern w:val="0"/>
          <w:sz w:val="24"/>
          <w:szCs w:val="24"/>
          <w:highlight w:val="none"/>
        </w:rPr>
        <w:t xml:space="preserve"> </w:t>
      </w:r>
    </w:p>
    <w:p w14:paraId="3C09BD0A">
      <w:pPr>
        <w:widowControl/>
        <w:spacing w:line="360" w:lineRule="auto"/>
        <w:ind w:firstLine="48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zh-CN"/>
        </w:rPr>
        <w:t>.2</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供应商应当按照《操作手册》规定，在“苏采云”系统规定的时间内对响应文件进行解密。</w:t>
      </w:r>
    </w:p>
    <w:p w14:paraId="30594CE8">
      <w:pPr>
        <w:widowControl/>
        <w:spacing w:line="360" w:lineRule="auto"/>
        <w:ind w:firstLine="48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zh-CN"/>
        </w:rPr>
        <w:t>.3</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eastAsia="宋体" w:cs="宋体"/>
          <w:color w:val="auto"/>
          <w:kern w:val="0"/>
          <w:sz w:val="24"/>
          <w:szCs w:val="24"/>
          <w:highlight w:val="none"/>
        </w:rPr>
        <w:t>部分响应文件未解密的，其他响应文件的评审可以继续进行。</w:t>
      </w:r>
    </w:p>
    <w:p w14:paraId="792D2DC6">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 因采购人原因或网上平台发生故障，导致无法按时完成响应文件解密或磋商工作无法进行的，可根据实际情况相应延迟解密时间或调整磋商时间。</w:t>
      </w:r>
    </w:p>
    <w:p w14:paraId="20AA996C">
      <w:pPr>
        <w:bidi w:val="0"/>
        <w:ind w:firstLine="482" w:firstLineChars="200"/>
        <w:rPr>
          <w:rFonts w:hint="eastAsia" w:ascii="宋体" w:hAnsi="宋体" w:eastAsia="宋体" w:cs="宋体"/>
          <w:b/>
          <w:color w:val="auto"/>
          <w:kern w:val="0"/>
          <w:sz w:val="24"/>
          <w:szCs w:val="24"/>
          <w:highlight w:val="none"/>
        </w:rPr>
      </w:pPr>
      <w:bookmarkStart w:id="54" w:name="_Toc19778"/>
      <w:r>
        <w:rPr>
          <w:rFonts w:hint="eastAsia" w:ascii="宋体" w:hAnsi="宋体" w:eastAsia="宋体" w:cs="宋体"/>
          <w:b/>
          <w:color w:val="auto"/>
          <w:kern w:val="0"/>
          <w:sz w:val="24"/>
          <w:szCs w:val="24"/>
          <w:highlight w:val="none"/>
        </w:rPr>
        <w:t>14. 响应文件的修改和撤回</w:t>
      </w:r>
      <w:bookmarkEnd w:id="54"/>
    </w:p>
    <w:p w14:paraId="59FE3AD6">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供应商可在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前撤回其电子响应文件，具体操作方法见《操作手册》。</w:t>
      </w:r>
    </w:p>
    <w:p w14:paraId="6995E25E">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供应商撤回电子响应文件，则认为其不再参与本项目响应活动。</w:t>
      </w:r>
    </w:p>
    <w:p w14:paraId="76D47A0B">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14.3 供应商可在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对其电子响应文件进行修改，具体操作方法见《操作手册》。</w:t>
      </w:r>
    </w:p>
    <w:p w14:paraId="6F310DB3">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 提交响应文件截止时间之后，供应商不得对其电子响应文件作任何修改。</w:t>
      </w:r>
      <w:r>
        <w:rPr>
          <w:rFonts w:hint="eastAsia" w:ascii="宋体" w:hAnsi="宋体" w:eastAsia="宋体" w:cs="宋体"/>
          <w:color w:val="auto"/>
          <w:kern w:val="0"/>
          <w:sz w:val="24"/>
          <w:szCs w:val="24"/>
          <w:highlight w:val="none"/>
          <w:lang w:val="zh-CN"/>
        </w:rPr>
        <w:t>但属于磋商小组在评审中发现的计算错误并进行核实的修改、按照磋商文件的变动情况和磋商小组的要求重新提交响应文件的，不在此列。</w:t>
      </w:r>
    </w:p>
    <w:p w14:paraId="7EF07FAD">
      <w:pPr>
        <w:widowControl/>
        <w:pBdr>
          <w:top w:val="none" w:color="000000" w:sz="0" w:space="0"/>
          <w:left w:val="none" w:color="000000" w:sz="0" w:space="0"/>
          <w:bottom w:val="none" w:color="000000" w:sz="0" w:space="0"/>
          <w:right w:val="none" w:color="000000" w:sz="0" w:space="0"/>
        </w:pBdr>
        <w:spacing w:line="360" w:lineRule="auto"/>
        <w:ind w:firstLine="480"/>
        <w:rPr>
          <w:rFonts w:eastAsia="宋体"/>
          <w:color w:val="auto"/>
          <w:sz w:val="24"/>
          <w:highlight w:val="none"/>
        </w:rPr>
      </w:pPr>
      <w:r>
        <w:rPr>
          <w:rFonts w:hint="eastAsia" w:ascii="宋体" w:hAnsi="宋体" w:eastAsia="宋体" w:cs="宋体"/>
          <w:color w:val="auto"/>
          <w:kern w:val="0"/>
          <w:sz w:val="24"/>
          <w:szCs w:val="24"/>
          <w:highlight w:val="none"/>
        </w:rPr>
        <w:t>14.5 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至采购文件中规定的磋商有效期满之间的这段时间内，供应商不得撤销其响应</w:t>
      </w:r>
      <w:r>
        <w:rPr>
          <w:rFonts w:eastAsia="宋体"/>
          <w:color w:val="auto"/>
          <w:sz w:val="24"/>
          <w:highlight w:val="none"/>
        </w:rPr>
        <w:t>。</w:t>
      </w:r>
    </w:p>
    <w:p w14:paraId="3DC09082">
      <w:pPr>
        <w:snapToGrid w:val="0"/>
        <w:spacing w:line="360" w:lineRule="auto"/>
        <w:ind w:firstLine="482" w:firstLineChars="200"/>
        <w:rPr>
          <w:rFonts w:eastAsia="宋体"/>
          <w:color w:val="auto"/>
          <w:sz w:val="24"/>
          <w:highlight w:val="none"/>
        </w:rPr>
      </w:pPr>
      <w:bookmarkStart w:id="55" w:name="_Toc401573844"/>
      <w:r>
        <w:rPr>
          <w:rFonts w:eastAsia="宋体"/>
          <w:b/>
          <w:color w:val="auto"/>
          <w:sz w:val="24"/>
          <w:highlight w:val="none"/>
        </w:rPr>
        <w:t xml:space="preserve">五  </w:t>
      </w:r>
      <w:bookmarkEnd w:id="55"/>
      <w:r>
        <w:rPr>
          <w:rFonts w:hint="eastAsia" w:eastAsia="宋体"/>
          <w:color w:val="auto"/>
          <w:sz w:val="24"/>
          <w:highlight w:val="none"/>
        </w:rPr>
        <w:t>磋商组织及程序</w:t>
      </w:r>
    </w:p>
    <w:p w14:paraId="2455F7D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 磋商小组</w:t>
      </w:r>
    </w:p>
    <w:p w14:paraId="06620E2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15.1 本项目将依法组建磋商小组，磋商小组成员由3人以上（含）单数组成，磋商小组及其成员应当依照政府采购的有关规定履行相关职责和义务。</w:t>
      </w:r>
    </w:p>
    <w:p w14:paraId="501D61D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15.2 磋商小组依法对响应文件进行评审，并根据磋商文件规定的程序与实质性响应磋商文件要求的供应商进行磋商。</w:t>
      </w:r>
    </w:p>
    <w:p w14:paraId="312CD43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15.3 磋商小组应当从质量和服务均能满足磋商文件实质性响应要求的供应商中，按照评审方法和标准推荐成交候选供应商，并编写评审报告。</w:t>
      </w:r>
    </w:p>
    <w:p w14:paraId="6113C4B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 评审过程的保密性</w:t>
      </w:r>
    </w:p>
    <w:p w14:paraId="2822981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16.1 评审将在严格保密的情况下进行。</w:t>
      </w:r>
    </w:p>
    <w:p w14:paraId="690A012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16.2 有关人员应当遵守评审工作纪律，不得泄露评审文件、评审情况和评审中获悉的国家秘密、商业秘密。</w:t>
      </w:r>
    </w:p>
    <w:p w14:paraId="2115953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 澄清有关问题</w:t>
      </w:r>
    </w:p>
    <w:p w14:paraId="0133665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p>
    <w:p w14:paraId="3202094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p>
    <w:p w14:paraId="3AE3294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17.3 接到磋商小组澄清、说明或更正要求的供应商如未按规定做出澄清、说明或更正，其风险由供应商自行承担。供应商拒不按照要求对响应件进行澄清、说明或更正的，视其放弃该项权利。</w:t>
      </w:r>
    </w:p>
    <w:p w14:paraId="6D5E59A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17.4 供应商在评审全过程中应保持通讯畅通，及时登录“苏采云”系统查阅、答复相关信息。</w:t>
      </w:r>
    </w:p>
    <w:p w14:paraId="7747CF6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 磋商程序</w:t>
      </w:r>
    </w:p>
    <w:p w14:paraId="72D9C62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18.1 响应文件的资格性检查。</w:t>
      </w:r>
    </w:p>
    <w:p w14:paraId="41FAEC9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由磋商小组依据法律法规和磋商文件的规定，对响应文件中的资格证明文件进行审查，以确定供应商是否具备参加磋商的资格。</w:t>
      </w:r>
    </w:p>
    <w:p w14:paraId="2C9CBE6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6802A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以联合体形式参加磋商的，联合体成员存在以上不良信用记录的，联合体磋商将被认定为响应无效。</w:t>
      </w:r>
    </w:p>
    <w:p w14:paraId="72528E3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p>
    <w:p w14:paraId="720BACF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18.2 响应文件的符合性检查。</w:t>
      </w:r>
    </w:p>
    <w:p w14:paraId="230D133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p>
    <w:p w14:paraId="17D55E9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7EAA7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 出现下列情形之一的响应文件按照无效处理：</w:t>
      </w:r>
    </w:p>
    <w:p w14:paraId="629DF7F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（1）供应商未按照磋商文件要求上传电子响应文件的。</w:t>
      </w:r>
    </w:p>
    <w:p w14:paraId="7D62B5B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（2）供应商在“苏采云”系统规定的时间内未成功解密电子响应文件的。</w:t>
      </w:r>
    </w:p>
    <w:p w14:paraId="314F96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（3）响应文件未按照磋商文件要求签署、盖章的。</w:t>
      </w:r>
    </w:p>
    <w:p w14:paraId="3FE306F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（4）响应文件中承诺的磋商有效期不满足磋商文件中载明的磋商有效期。</w:t>
      </w:r>
    </w:p>
    <w:p w14:paraId="3773904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（5）供应商在响应文件中提供的货物及/或服务对于磋商文件中标注“★”要求的存在负偏离的。</w:t>
      </w:r>
    </w:p>
    <w:p w14:paraId="0050521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（6）供应商同一采购包提交两个（含两个）以上不同的响应文件或者最后报价的。</w:t>
      </w:r>
    </w:p>
    <w:p w14:paraId="1258F9A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（7）供应商的报价超过了项目最高限价。</w:t>
      </w:r>
    </w:p>
    <w:p w14:paraId="454ECC9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（8）响应文件含有采购人不能接受的附加条件的。</w:t>
      </w:r>
    </w:p>
    <w:p w14:paraId="39927D6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（9）响应文件不符合法律、行政法规规定或磋商文件列明的其他实质性要求。</w:t>
      </w:r>
    </w:p>
    <w:p w14:paraId="474D557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18.4 磋商</w:t>
      </w:r>
    </w:p>
    <w:p w14:paraId="12ED642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磋商小组所有成员应当集中与单一供应商分别进行磋商，并给予所有参加磋商的供应商平等的磋商机会。</w:t>
      </w:r>
    </w:p>
    <w:p w14:paraId="34D0378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9B106A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 最后报价</w:t>
      </w:r>
    </w:p>
    <w:p w14:paraId="1842765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18.5.1 磋商结束后，磋商小组将通过“苏采云”系统要求所有实质性响应的供应商在规定时间内提交最后报价。</w:t>
      </w:r>
    </w:p>
    <w:p w14:paraId="07F19EC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18.5.2 最后报价是供应商响应文件的有效组成部分，最后报价也是签订合同的依据。</w:t>
      </w:r>
    </w:p>
    <w:p w14:paraId="656AC81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74DC8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18.6异常低价响应审查</w:t>
      </w:r>
    </w:p>
    <w:p w14:paraId="3125C60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根据《关于推进解决政府采购异常低价问题的通知》（财库〔2026〕2号），评标（磋商）过程中出现下列情形之一的，评标委员会（磋商小组）应当启动异常低价投标审查程序：</w:t>
      </w:r>
    </w:p>
    <w:p w14:paraId="5EA5334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（1）投标报价低于采购项目预算50%的，即投标报价＜采购项目预算×50%；</w:t>
      </w:r>
    </w:p>
    <w:p w14:paraId="6374C7B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（2）投标报价低于采购项目最高限价45%的，即投标报价＜采购项目最高限价×45%；</w:t>
      </w:r>
    </w:p>
    <w:p w14:paraId="2958EB8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（3）评标委员会（磋商小组）认定的供应商报价过低、有可能影响产品质量或者不能诚信履约的其他情形。</w:t>
      </w:r>
    </w:p>
    <w:p w14:paraId="056B93A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54141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18.7 综合评分</w:t>
      </w:r>
    </w:p>
    <w:p w14:paraId="1B8E291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经磋商确定最终采购需求和提交最后报价的供应商后，由磋商小组采用综合评分法对供应商的响应文件和最后报价进行综合评分。</w:t>
      </w:r>
    </w:p>
    <w:p w14:paraId="3C19FFF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磋商小组各成员独立对每个有效响应的文件进行评价、打分，然后汇总每个供应商每项评分因素的得分。</w:t>
      </w:r>
    </w:p>
    <w:p w14:paraId="6BC5450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19.成交候选供应商的推荐原则及标准</w:t>
      </w:r>
    </w:p>
    <w:p w14:paraId="2C906DF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50DA77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19.2 如一个分包内包含多种产品的，采购人或采购代理机构将在采购需求中载明核心产品，多家供应商提供的核心产品品牌型号相同的，按第19.1款规定处理。</w:t>
      </w:r>
    </w:p>
    <w:p w14:paraId="2A9B4FB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19.3 磋商小组依据本项目磋商文件所约定的评审方法和标准，按照有效供应商综合总得分由高到低依次推荐成交候选供应商。</w:t>
      </w:r>
    </w:p>
    <w:p w14:paraId="468CF3D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综合总得分出现两家或两家以上相同者，按最后报价由低到高排序推荐成交候选供应商；综合总得分且最后报价均相同的，由磋商小组按照技术指标优劣顺序推荐成交候选供应商。</w:t>
      </w:r>
    </w:p>
    <w:p w14:paraId="0AB1479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20. 编写评审报告</w:t>
      </w:r>
    </w:p>
    <w:p w14:paraId="107B765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266CBFB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21. 采购活动终止的情况</w:t>
      </w:r>
    </w:p>
    <w:p w14:paraId="4AB037A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（1）因情况变化，不再符合规定的竞争性磋商采购方式适用情形的。</w:t>
      </w:r>
    </w:p>
    <w:p w14:paraId="30F223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（2）出现影响采购公正的违法、违规行为的。</w:t>
      </w:r>
    </w:p>
    <w:p w14:paraId="69D7A9E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FE0D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（4）因重大变故，采购任务取消的。</w:t>
      </w:r>
    </w:p>
    <w:p w14:paraId="31E95BF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（5）政府采购法律法规规定的其他情形。</w:t>
      </w:r>
    </w:p>
    <w:p w14:paraId="403BA20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六、成交</w:t>
      </w:r>
    </w:p>
    <w:p w14:paraId="3838F21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 确定成交供应商</w:t>
      </w:r>
    </w:p>
    <w:p w14:paraId="1FA1675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22.1 按以下第（2）种方式确定成交供应商</w:t>
      </w:r>
    </w:p>
    <w:p w14:paraId="2B6865E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（1）磋商小组直接确定排名第一的成交候选人为成交供应商；</w:t>
      </w:r>
    </w:p>
    <w:p w14:paraId="56C3375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（2）采购人在磋商小组推荐的成交候选人中按顺序确定成交供应商。</w:t>
      </w:r>
    </w:p>
    <w:p w14:paraId="07DB07F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36B83AB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22.2 成交供应商确定之日起两个工作日内，将在财政部门指定的政府采购信息发布媒体上公告。</w:t>
      </w:r>
    </w:p>
    <w:p w14:paraId="4A4796C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22.3 成交通知书对采购人和成交供应商具有同等法律效力。</w:t>
      </w:r>
    </w:p>
    <w:p w14:paraId="7BB53A5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22.4 成交通知书发出后，成交供应商无正当理由不与采购人签订合同的，应当依法承担法律责任。</w:t>
      </w:r>
    </w:p>
    <w:p w14:paraId="44F2AE6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22.5 采购代理机构对未成交的供应商不做未成交原因的解释。</w:t>
      </w:r>
    </w:p>
    <w:p w14:paraId="4FB90B6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七、签订合同</w:t>
      </w:r>
    </w:p>
    <w:p w14:paraId="3BD94C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 签订合同</w:t>
      </w:r>
    </w:p>
    <w:p w14:paraId="3C79FA3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23.1 成交供应商应当自成交通知书发出之日起三十日内，与采购人签订采购合同，所签订的合同不得对磋商文件和响应文件作实质性修改。</w:t>
      </w:r>
    </w:p>
    <w:p w14:paraId="7968B62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23.2 采购人不得向成交供应商提出任何不合理的要求作为签订合同的条件，不得与成交供应商私下订立背离合同实质性内容的协议。</w:t>
      </w:r>
    </w:p>
    <w:p w14:paraId="7981DBC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23.3 签订合同后，成交供应商不得将合同标的进行转包。未经采购人同意，成交供应商也不得采用分包形式履行合同,否则采购人有权终止合同。转包或分包造成采购人损失的，成交供应商应承担相应赔偿责任。</w:t>
      </w:r>
    </w:p>
    <w:p w14:paraId="144886A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763F383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24. 标的物的追加</w:t>
      </w:r>
    </w:p>
    <w:p w14:paraId="0621837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24.1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2E60553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八、质疑和投诉</w:t>
      </w:r>
    </w:p>
    <w:p w14:paraId="5AFB6D5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 质疑</w:t>
      </w:r>
    </w:p>
    <w:p w14:paraId="690D413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p>
    <w:p w14:paraId="7E14246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A15403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25.3 提出质疑的供应商应当是参与所质疑项目采购活动的供应商。潜在供应商已依法获取其可质疑的采购文件的，可以对该文件提出质疑。</w:t>
      </w:r>
    </w:p>
    <w:p w14:paraId="3E952DE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供应商必须在法定质疑期内一次性提出针对同一采购程序环节的质疑。</w:t>
      </w:r>
    </w:p>
    <w:p w14:paraId="2433608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25.4 供应商提出质疑应当提交质疑函和必要的证明材料。质疑函应当包括下列内容：</w:t>
      </w:r>
    </w:p>
    <w:p w14:paraId="7DC7BEC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（一）供应商的姓名或者名称、地址、邮编、联系人及联系电话；</w:t>
      </w:r>
    </w:p>
    <w:p w14:paraId="231AE6A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（二）质疑项目的名称、编号；</w:t>
      </w:r>
    </w:p>
    <w:p w14:paraId="2AAB522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（三）具体、明确的质疑事项和与质疑事项相关的请求（具体条款）；</w:t>
      </w:r>
    </w:p>
    <w:p w14:paraId="7586ACE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（四）事实依据（具体条款）；</w:t>
      </w:r>
    </w:p>
    <w:p w14:paraId="48F333F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（五）必要的法律依据（具体条款）；</w:t>
      </w:r>
    </w:p>
    <w:p w14:paraId="69F2546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（六）提出质疑的日期。</w:t>
      </w:r>
    </w:p>
    <w:p w14:paraId="70B3EDD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2A9DC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质疑函应当使用中文。相关当事人提供外文书证或者外国语视听资料的，应当附有中文译本，由翻译机构盖章或者翻译人员签名。</w:t>
      </w:r>
    </w:p>
    <w:p w14:paraId="18DE671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26.投诉</w:t>
      </w:r>
    </w:p>
    <w:p w14:paraId="488D9DB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26.1 质疑供应商对采购代理机构的答复不满意或者采购代理机构未在规定的时间内作出答复的，可以在答复期满后十五个工作日内向同级政府采购监督管理部门投诉。</w:t>
      </w:r>
    </w:p>
    <w:p w14:paraId="5779152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27</w:t>
      </w:r>
      <w:r>
        <w:rPr>
          <w:rFonts w:eastAsia="宋体"/>
          <w:color w:val="auto"/>
          <w:sz w:val="24"/>
          <w:highlight w:val="none"/>
        </w:rPr>
        <w:t>. 代理服务费</w:t>
      </w:r>
    </w:p>
    <w:p w14:paraId="54AE1C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采购人</w:t>
      </w:r>
      <w:r>
        <w:rPr>
          <w:rFonts w:eastAsia="宋体"/>
          <w:color w:val="auto"/>
          <w:sz w:val="24"/>
          <w:highlight w:val="none"/>
        </w:rPr>
        <w:t>按照规定交纳代理服务费。</w:t>
      </w:r>
    </w:p>
    <w:p w14:paraId="1E01649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.政策功能</w:t>
      </w:r>
    </w:p>
    <w:p w14:paraId="34E2D11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.1中小企业政策</w:t>
      </w:r>
    </w:p>
    <w:p w14:paraId="7C5B926E">
      <w:pPr>
        <w:snapToGrid w:val="0"/>
        <w:spacing w:line="360" w:lineRule="auto"/>
        <w:ind w:firstLine="480" w:firstLineChars="200"/>
        <w:rPr>
          <w:rFonts w:eastAsia="宋体"/>
          <w:color w:val="auto"/>
          <w:sz w:val="24"/>
          <w:highlight w:val="none"/>
        </w:rPr>
      </w:pPr>
      <w:r>
        <w:rPr>
          <w:rFonts w:eastAsia="宋体"/>
          <w:color w:val="auto"/>
          <w:sz w:val="24"/>
          <w:highlight w:val="none"/>
        </w:rPr>
        <w:t>（1）中小企业应当符合《转发财政部工业和信息化部关于印发〈政府采购促进中小企业发展管理办法〉的通知》（苏财购〔2021〕34号）、《政府采购促进中小企业发展管理办法》（财库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rPr>
        <w:t>〔2020〕46号</w:t>
      </w:r>
      <w:r>
        <w:rPr>
          <w:rFonts w:eastAsia="宋体"/>
          <w:color w:val="auto"/>
          <w:sz w:val="24"/>
          <w:highlight w:val="none"/>
        </w:rPr>
        <w:t>）、《关于政府采购支持监狱企业发展有关问题的通知》（财库〔2014〕68号）第一条或《关于促进残疾人就业政府采购政策的通知》（财库〔2017〕141号）第一条的规定。</w:t>
      </w:r>
    </w:p>
    <w:p w14:paraId="0FBEF2D7">
      <w:pPr>
        <w:snapToGrid w:val="0"/>
        <w:spacing w:line="360" w:lineRule="auto"/>
        <w:ind w:firstLine="480" w:firstLineChars="200"/>
        <w:rPr>
          <w:rFonts w:eastAsia="宋体"/>
          <w:color w:val="auto"/>
          <w:sz w:val="24"/>
          <w:highlight w:val="none"/>
        </w:rPr>
      </w:pPr>
      <w:r>
        <w:rPr>
          <w:rFonts w:eastAsia="宋体"/>
          <w:color w:val="auto"/>
          <w:sz w:val="24"/>
          <w:highlight w:val="none"/>
        </w:rPr>
        <w:t>（2）</w:t>
      </w:r>
      <w:r>
        <w:rPr>
          <w:rFonts w:hint="eastAsia" w:eastAsia="宋体"/>
          <w:color w:val="auto"/>
          <w:sz w:val="24"/>
          <w:highlight w:val="none"/>
        </w:rPr>
        <w:t>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5%（工程）</w:t>
      </w:r>
      <w:r>
        <w:rPr>
          <w:rFonts w:hint="eastAsia" w:eastAsia="宋体"/>
          <w:color w:val="auto"/>
          <w:sz w:val="24"/>
          <w:highlight w:val="none"/>
        </w:rPr>
        <w:t>的扣除，用扣除后的价格参与评审</w:t>
      </w:r>
      <w:r>
        <w:rPr>
          <w:rFonts w:eastAsia="宋体"/>
          <w:color w:val="auto"/>
          <w:sz w:val="24"/>
          <w:highlight w:val="none"/>
        </w:rPr>
        <w:t>。</w:t>
      </w:r>
    </w:p>
    <w:p w14:paraId="5DB756B1">
      <w:pPr>
        <w:snapToGrid w:val="0"/>
        <w:spacing w:line="360" w:lineRule="auto"/>
        <w:ind w:firstLine="480" w:firstLineChars="200"/>
        <w:rPr>
          <w:rFonts w:eastAsia="宋体"/>
          <w:color w:val="auto"/>
          <w:sz w:val="24"/>
          <w:highlight w:val="none"/>
        </w:rPr>
      </w:pPr>
      <w:r>
        <w:rPr>
          <w:rFonts w:eastAsia="宋体"/>
          <w:color w:val="auto"/>
          <w:sz w:val="24"/>
          <w:highlight w:val="none"/>
        </w:rPr>
        <w:t>（3）参加政府采购活动的中小企业应当提供《中小企业声明函》、由省级以上监狱管理局戒毒管理局（含新疆生产建设兵团）出具的属于监狱企业的证明文件或《残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疾人福利性单位声明函》。</w:t>
      </w:r>
    </w:p>
    <w:p w14:paraId="13CA263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.2节能产品、环境标志产品政策</w:t>
      </w:r>
    </w:p>
    <w:p w14:paraId="06B0A14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w:t>
      </w:r>
      <w:r>
        <w:rPr>
          <w:rFonts w:hint="eastAsia" w:eastAsia="宋体"/>
          <w:color w:val="auto"/>
          <w:sz w:val="24"/>
          <w:highlight w:val="none"/>
        </w:rPr>
        <w:t>3</w:t>
      </w:r>
      <w:r>
        <w:rPr>
          <w:rFonts w:eastAsia="宋体"/>
          <w:color w:val="auto"/>
          <w:sz w:val="24"/>
          <w:highlight w:val="none"/>
        </w:rPr>
        <w:t>未按要求提供相关材料的，不享受相关政策。</w:t>
      </w:r>
    </w:p>
    <w:p w14:paraId="2061940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.5磋商文件中要求的产品品牌或型号，是采购人根据项目所要实现的功能推荐的品牌或型号，仅供供应商参考，并不是限制条件。</w:t>
      </w:r>
    </w:p>
    <w:p w14:paraId="59BCDB93">
      <w:pPr>
        <w:snapToGrid w:val="0"/>
        <w:spacing w:line="360" w:lineRule="auto"/>
        <w:ind w:firstLine="480" w:firstLineChars="200"/>
        <w:rPr>
          <w:rFonts w:eastAsia="宋体"/>
          <w:color w:val="auto"/>
          <w:sz w:val="24"/>
          <w:highlight w:val="none"/>
        </w:rPr>
      </w:pPr>
      <w:r>
        <w:rPr>
          <w:rFonts w:eastAsia="宋体"/>
          <w:color w:val="auto"/>
          <w:sz w:val="24"/>
          <w:highlight w:val="none"/>
        </w:rPr>
        <w:t>注：本磋商文件中提及的“投标”“投标人”等同“磋商响应”“磋商响应人”。</w:t>
      </w:r>
    </w:p>
    <w:p w14:paraId="06B3705A">
      <w:pPr>
        <w:pStyle w:val="2"/>
        <w:spacing w:line="360" w:lineRule="auto"/>
        <w:jc w:val="center"/>
        <w:rPr>
          <w:color w:val="auto"/>
          <w:highlight w:val="none"/>
        </w:rPr>
      </w:pPr>
      <w:r>
        <w:rPr>
          <w:color w:val="auto"/>
          <w:highlight w:val="none"/>
        </w:rPr>
        <w:br w:type="page"/>
      </w:r>
      <w:bookmarkStart w:id="56" w:name="_Toc10757"/>
    </w:p>
    <w:p w14:paraId="4EBB4BC5">
      <w:pPr>
        <w:pStyle w:val="2"/>
        <w:spacing w:line="360" w:lineRule="auto"/>
        <w:jc w:val="center"/>
        <w:rPr>
          <w:color w:val="auto"/>
          <w:highlight w:val="none"/>
        </w:rPr>
      </w:pPr>
    </w:p>
    <w:p w14:paraId="5CEEB950">
      <w:pPr>
        <w:pStyle w:val="2"/>
        <w:spacing w:line="360" w:lineRule="auto"/>
        <w:jc w:val="center"/>
        <w:rPr>
          <w:rFonts w:eastAsia="宋体"/>
          <w:color w:val="auto"/>
          <w:highlight w:val="none"/>
        </w:rPr>
      </w:pPr>
      <w:r>
        <w:rPr>
          <w:color w:val="auto"/>
          <w:highlight w:val="none"/>
        </w:rPr>
        <w:t xml:space="preserve">第三章 </w:t>
      </w:r>
      <w:bookmarkEnd w:id="4"/>
      <w:r>
        <w:rPr>
          <w:color w:val="auto"/>
          <w:highlight w:val="none"/>
        </w:rPr>
        <w:t xml:space="preserve"> 采购需求</w:t>
      </w:r>
      <w:bookmarkEnd w:id="56"/>
    </w:p>
    <w:p w14:paraId="4D092BAD">
      <w:pPr>
        <w:spacing w:line="360" w:lineRule="auto"/>
        <w:ind w:firstLine="480" w:firstLineChars="200"/>
        <w:rPr>
          <w:rFonts w:hint="eastAsia" w:ascii="宋体" w:hAnsi="宋体" w:eastAsia="宋体" w:cs="宋体"/>
          <w:b/>
          <w:bCs/>
          <w:color w:val="auto"/>
          <w:sz w:val="24"/>
          <w:szCs w:val="24"/>
          <w:highlight w:val="none"/>
        </w:rPr>
      </w:pPr>
      <w:r>
        <w:rPr>
          <w:rFonts w:eastAsia="宋体"/>
          <w:color w:val="auto"/>
          <w:sz w:val="24"/>
          <w:szCs w:val="24"/>
          <w:highlight w:val="none"/>
        </w:rPr>
        <w:t>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p>
    <w:p w14:paraId="42F225CB">
      <w:pPr>
        <w:spacing w:line="360" w:lineRule="auto"/>
        <w:outlineLvl w:val="2"/>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t>项目背景</w:t>
      </w:r>
    </w:p>
    <w:p w14:paraId="329580AF">
      <w:pPr>
        <w:spacing w:line="360" w:lineRule="auto"/>
        <w:ind w:firstLine="480" w:firstLineChars="200"/>
        <w:rPr>
          <w:rFonts w:eastAsia="宋体"/>
          <w:color w:val="auto"/>
          <w:sz w:val="24"/>
          <w:szCs w:val="24"/>
          <w:highlight w:val="none"/>
        </w:rPr>
      </w:pPr>
      <w:r>
        <w:rPr>
          <w:rFonts w:hint="eastAsia" w:eastAsia="宋体"/>
          <w:color w:val="auto"/>
          <w:sz w:val="24"/>
          <w:szCs w:val="24"/>
          <w:highlight w:val="none"/>
        </w:rPr>
        <w:t>江都西闸位于江苏省扬州市江都区南郊，地处新通扬运河西端、芒稻河与长江交汇地带，是江都水利枢纽的骨干配套工程，也是南水北调东线工程首部重要控制性闸站。当江都西闸引长江潮水调水时，由于水流影响，芒稻河水流向江都西闸流动，芒稻船闸过往船舶受到水流牵引，船身向江都西闸偏移，影响行船安全。为此，江都闸管理所在江都西闸上游约450m处设置拦船浮筒，但在实际运行过程中发现浮筒难以承受船舶撞击，无法阻止船舶向江都西闸偏移。在西闸引水期间曾经多次发生过往船队撞坏拦河设施，受水流影响漂向西闸上游的现象，虽及时处置解除危险，但无法避免类似情况发生。</w:t>
      </w:r>
    </w:p>
    <w:p w14:paraId="30AC6ACA">
      <w:pPr>
        <w:spacing w:line="360" w:lineRule="auto"/>
        <w:ind w:firstLine="480" w:firstLineChars="200"/>
        <w:rPr>
          <w:rFonts w:eastAsia="宋体"/>
          <w:color w:val="auto"/>
          <w:sz w:val="24"/>
          <w:szCs w:val="24"/>
          <w:highlight w:val="none"/>
        </w:rPr>
      </w:pPr>
      <w:bookmarkStart w:id="57" w:name="工程概况"/>
      <w:r>
        <w:rPr>
          <w:rFonts w:hint="eastAsia" w:eastAsia="宋体"/>
          <w:color w:val="auto"/>
          <w:sz w:val="24"/>
          <w:szCs w:val="24"/>
          <w:highlight w:val="none"/>
        </w:rPr>
        <w:t>万福闸位于扬州市生态科技新城与广陵区交界处，地处凤凰河、新河、壁虎河三河交汇处，是淮河入江的主要控制工程之一，属大（1）型拦河、挡潮水闸，承泄淮河入江洪水量的70%左右。万福闸行洪时上游经常出现船只和大型漂浮物，在高速水流的冲击下可能撞击闸门，严重影响行洪安全，危害工程建筑物安全。</w:t>
      </w:r>
      <w:bookmarkEnd w:id="57"/>
    </w:p>
    <w:p w14:paraId="53597DF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项目需求</w:t>
      </w:r>
    </w:p>
    <w:p w14:paraId="0A6CF160">
      <w:pPr>
        <w:pStyle w:val="13"/>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2.1 </w:t>
      </w:r>
      <w:r>
        <w:rPr>
          <w:rFonts w:ascii="宋体" w:hAnsi="宋体" w:eastAsia="宋体" w:cs="宋体"/>
          <w:color w:val="auto"/>
          <w:sz w:val="24"/>
          <w:szCs w:val="24"/>
          <w:highlight w:val="none"/>
        </w:rPr>
        <w:t>江都西闸上游拦船设施改建</w:t>
      </w:r>
    </w:p>
    <w:p w14:paraId="65BDC5BD">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拦船设施布置于江都西闸上游约450m，拦船设施设计拦截1000t船舶，河口两侧设摩阻机墩，两岸各</w:t>
      </w:r>
      <w:r>
        <w:rPr>
          <w:rFonts w:hint="eastAsia" w:ascii="宋体" w:hAnsi="宋体" w:eastAsia="宋体" w:cs="宋体"/>
          <w:color w:val="auto"/>
          <w:sz w:val="24"/>
          <w:szCs w:val="24"/>
          <w:highlight w:val="none"/>
          <w:lang w:val="en-US" w:eastAsia="zh-CN"/>
        </w:rPr>
        <w:t>布设4</w:t>
      </w:r>
      <w:r>
        <w:rPr>
          <w:rFonts w:hint="eastAsia" w:ascii="宋体" w:hAnsi="宋体" w:eastAsia="宋体" w:cs="宋体"/>
          <w:color w:val="auto"/>
          <w:sz w:val="24"/>
          <w:szCs w:val="24"/>
          <w:highlight w:val="none"/>
        </w:rPr>
        <w:t>根灌注桩，2根钢管桩，两岸各安装一台摩阻机（含副摩阻机），摩阻机阻滑力设定为600kN，拦河索选用6×37</w:t>
      </w:r>
      <w:r>
        <w:rPr>
          <w:rFonts w:hint="eastAsia" w:ascii="宋体" w:hAnsi="宋体" w:eastAsia="宋体" w:cs="宋体"/>
          <w:color w:val="auto"/>
          <w:sz w:val="24"/>
          <w:szCs w:val="24"/>
          <w:highlight w:val="none"/>
          <w:lang w:eastAsia="en-US"/>
        </w:rPr>
        <w:t>Φ</w:t>
      </w:r>
      <w:r>
        <w:rPr>
          <w:rFonts w:hint="eastAsia" w:ascii="宋体" w:hAnsi="宋体" w:eastAsia="宋体" w:cs="宋体"/>
          <w:color w:val="auto"/>
          <w:sz w:val="24"/>
          <w:szCs w:val="24"/>
          <w:highlight w:val="none"/>
        </w:rPr>
        <w:t>36不锈钢钢丝绳，共3根，绳上设置浮筒和浮标，浮桶下设平衡配重块；</w:t>
      </w:r>
      <w:r>
        <w:rPr>
          <w:rFonts w:hint="eastAsia" w:ascii="宋体" w:hAnsi="宋体" w:eastAsia="宋体" w:cs="宋体"/>
          <w:color w:val="auto"/>
          <w:sz w:val="24"/>
          <w:szCs w:val="24"/>
          <w:highlight w:val="none"/>
          <w:lang w:val="en-US" w:eastAsia="zh-CN"/>
        </w:rPr>
        <w:t>北岸</w:t>
      </w:r>
      <w:r>
        <w:rPr>
          <w:rFonts w:hint="eastAsia" w:ascii="宋体" w:hAnsi="宋体" w:eastAsia="宋体" w:cs="宋体"/>
          <w:color w:val="auto"/>
          <w:sz w:val="24"/>
          <w:szCs w:val="24"/>
          <w:highlight w:val="none"/>
        </w:rPr>
        <w:t>位置设置摄像头监控设施；两侧原拦船索基础拆除，北岸原挡浪墙及道路重修等。具体内容详见工程量清单和图纸。</w:t>
      </w:r>
    </w:p>
    <w:p w14:paraId="4558DD96">
      <w:pPr>
        <w:pStyle w:val="13"/>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 </w:t>
      </w:r>
      <w:r>
        <w:rPr>
          <w:rFonts w:ascii="宋体" w:hAnsi="宋体" w:eastAsia="宋体" w:cs="宋体"/>
          <w:color w:val="auto"/>
          <w:sz w:val="24"/>
          <w:szCs w:val="24"/>
          <w:highlight w:val="none"/>
        </w:rPr>
        <w:t>万福闸新河、壁虎河尾段增设行洪安全设施</w:t>
      </w:r>
    </w:p>
    <w:p w14:paraId="419EFB89">
      <w:pPr>
        <w:pStyle w:val="13"/>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拦船设施布置于新河和壁虎河尾段汇合处</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距离万福闸约280m，拦船设施设计拦截</w:t>
      </w: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000t船舶，河口两侧设摩阻机墩，两岸各</w:t>
      </w:r>
      <w:r>
        <w:rPr>
          <w:rFonts w:hint="eastAsia" w:ascii="宋体" w:hAnsi="宋体" w:eastAsia="宋体" w:cs="宋体"/>
          <w:color w:val="auto"/>
          <w:sz w:val="24"/>
          <w:szCs w:val="24"/>
          <w:highlight w:val="none"/>
          <w:lang w:val="en-US" w:eastAsia="zh-CN"/>
        </w:rPr>
        <w:t>布设4</w:t>
      </w:r>
      <w:r>
        <w:rPr>
          <w:rFonts w:ascii="宋体" w:hAnsi="宋体" w:eastAsia="宋体" w:cs="宋体"/>
          <w:color w:val="auto"/>
          <w:sz w:val="24"/>
          <w:szCs w:val="24"/>
          <w:highlight w:val="none"/>
        </w:rPr>
        <w:t>根灌注桩，2根钢管桩，两岸各安装一台摩阻机（含副摩阻机），</w:t>
      </w:r>
      <w:r>
        <w:rPr>
          <w:rFonts w:hint="eastAsia" w:ascii="宋体" w:hAnsi="宋体" w:eastAsia="宋体" w:cs="宋体"/>
          <w:color w:val="auto"/>
          <w:sz w:val="24"/>
          <w:szCs w:val="24"/>
          <w:highlight w:val="none"/>
        </w:rPr>
        <w:t>摩阻机阻滑力设定为800kN，</w:t>
      </w:r>
      <w:r>
        <w:rPr>
          <w:rFonts w:ascii="宋体" w:hAnsi="宋体" w:eastAsia="宋体" w:cs="宋体"/>
          <w:color w:val="auto"/>
          <w:sz w:val="24"/>
          <w:szCs w:val="24"/>
          <w:highlight w:val="none"/>
        </w:rPr>
        <w:t>拦河索选用6×37</w:t>
      </w:r>
      <w:r>
        <w:rPr>
          <w:rFonts w:ascii="宋体" w:hAnsi="宋体" w:eastAsia="宋体" w:cs="宋体"/>
          <w:color w:val="auto"/>
          <w:sz w:val="24"/>
          <w:szCs w:val="24"/>
          <w:highlight w:val="none"/>
          <w:lang w:eastAsia="en-US"/>
        </w:rPr>
        <w:t>Φ</w:t>
      </w:r>
      <w:r>
        <w:rPr>
          <w:rFonts w:hint="eastAsia" w:ascii="宋体" w:hAnsi="宋体" w:eastAsia="宋体" w:cs="宋体"/>
          <w:color w:val="auto"/>
          <w:sz w:val="24"/>
          <w:szCs w:val="24"/>
          <w:highlight w:val="none"/>
        </w:rPr>
        <w:t>44</w:t>
      </w:r>
      <w:r>
        <w:rPr>
          <w:rFonts w:ascii="宋体" w:hAnsi="宋体" w:eastAsia="宋体" w:cs="宋体"/>
          <w:color w:val="auto"/>
          <w:sz w:val="24"/>
          <w:szCs w:val="24"/>
          <w:highlight w:val="none"/>
        </w:rPr>
        <w:t>不锈钢钢丝绳，共3根</w:t>
      </w:r>
      <w:r>
        <w:rPr>
          <w:rFonts w:hint="eastAsia" w:ascii="宋体" w:hAnsi="宋体" w:eastAsia="宋体" w:cs="宋体"/>
          <w:color w:val="auto"/>
          <w:sz w:val="24"/>
          <w:szCs w:val="24"/>
          <w:highlight w:val="none"/>
        </w:rPr>
        <w:t>。具体内容详见工程量清单和图纸。</w:t>
      </w:r>
    </w:p>
    <w:p w14:paraId="055836CC">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p w14:paraId="52AE552E">
      <w:pPr>
        <w:pStyle w:val="13"/>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本工程所有实施项目需满足本节技术要求及工程量清单和图纸设计要求。</w:t>
      </w:r>
    </w:p>
    <w:p w14:paraId="243AEED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本工程金属结构设备设计主要依据下列规范规程，但不限于此：</w:t>
      </w:r>
    </w:p>
    <w:p w14:paraId="5227C79A">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《江苏省水利发展资金管理办法》（苏财规〔2023〕13号）；</w:t>
      </w:r>
    </w:p>
    <w:p w14:paraId="18E3E1FA">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《水闸技术管理规程》（SL/T 75-2024）；</w:t>
      </w:r>
    </w:p>
    <w:p w14:paraId="0B6466E9">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《江苏省水闸技术管理办法》；</w:t>
      </w:r>
    </w:p>
    <w:p w14:paraId="34A0836F">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《水利工程建设标准强制性条文》（2020年版及2022汇编版）；</w:t>
      </w:r>
    </w:p>
    <w:p w14:paraId="5284FD9F">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《水利水电工程边坡与挡土墙设计规范》（SL</w:t>
      </w:r>
      <w:r>
        <w:rPr>
          <w:rFonts w:hint="eastAsia" w:ascii="宋体" w:hAnsi="宋体" w:eastAsia="宋体" w:cs="宋体"/>
          <w:color w:val="auto"/>
          <w:sz w:val="24"/>
          <w:szCs w:val="24"/>
          <w:highlight w:val="none"/>
        </w:rPr>
        <w:t>/T</w:t>
      </w:r>
      <w:r>
        <w:rPr>
          <w:rFonts w:hint="eastAsia" w:ascii="宋体" w:hAnsi="宋体" w:eastAsia="宋体" w:cs="宋体"/>
          <w:color w:val="auto"/>
          <w:sz w:val="24"/>
          <w:szCs w:val="24"/>
          <w:highlight w:val="none"/>
          <w:lang w:val="zh-CN"/>
        </w:rPr>
        <w:t>386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2025）；</w:t>
      </w:r>
    </w:p>
    <w:p w14:paraId="5F26E367">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《水工建筑物地基处理设计规范》（</w:t>
      </w:r>
      <w:r>
        <w:rPr>
          <w:rFonts w:hint="eastAsia" w:ascii="宋体" w:hAnsi="宋体" w:eastAsia="宋体" w:cs="宋体"/>
          <w:color w:val="auto"/>
          <w:sz w:val="24"/>
          <w:szCs w:val="24"/>
          <w:highlight w:val="none"/>
        </w:rPr>
        <w:t>SL/T 792</w:t>
      </w:r>
      <w:r>
        <w:rPr>
          <w:rFonts w:hint="eastAsia" w:ascii="宋体" w:hAnsi="宋体" w:eastAsia="宋体" w:cs="宋体"/>
          <w:color w:val="auto"/>
          <w:sz w:val="24"/>
          <w:szCs w:val="24"/>
          <w:highlight w:val="none"/>
          <w:lang w:val="zh-CN"/>
        </w:rPr>
        <w:t>-20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0）；</w:t>
      </w:r>
    </w:p>
    <w:p w14:paraId="31BE795C">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《水工混凝土结构设计规范》（SL 191-2025）；</w:t>
      </w:r>
    </w:p>
    <w:p w14:paraId="03BDE330">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《水工建筑物抗震设计标准》（</w:t>
      </w:r>
      <w:r>
        <w:rPr>
          <w:rFonts w:hint="eastAsia" w:ascii="宋体" w:hAnsi="宋体" w:eastAsia="宋体" w:cs="宋体"/>
          <w:color w:val="auto"/>
          <w:sz w:val="24"/>
          <w:szCs w:val="24"/>
          <w:highlight w:val="none"/>
        </w:rPr>
        <w:t>GB51247-2018</w:t>
      </w:r>
      <w:r>
        <w:rPr>
          <w:rFonts w:hint="eastAsia" w:ascii="宋体" w:hAnsi="宋体" w:eastAsia="宋体" w:cs="宋体"/>
          <w:color w:val="auto"/>
          <w:sz w:val="24"/>
          <w:szCs w:val="24"/>
          <w:highlight w:val="none"/>
          <w:lang w:val="zh-CN"/>
        </w:rPr>
        <w:t>）；</w:t>
      </w:r>
    </w:p>
    <w:p w14:paraId="41F30C2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《水利水电工程施工组织设计规范》（SL 303-2017）；</w:t>
      </w:r>
    </w:p>
    <w:p w14:paraId="43A62D3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《水利工程施工图设计文件编制规范》（DB32/T 3260-2017）；</w:t>
      </w:r>
    </w:p>
    <w:p w14:paraId="7C122107">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《水利水电工程合理使用年限及耐久性设计规范》（SL 654-2014）；</w:t>
      </w:r>
    </w:p>
    <w:p w14:paraId="656F1CB5">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《水利水电建设工程验收规程》（SL/T 223-2025新版参照执行）；</w:t>
      </w:r>
    </w:p>
    <w:p w14:paraId="5DD5D3A2">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其它有关规范、规程。</w:t>
      </w:r>
    </w:p>
    <w:p w14:paraId="429EFB82">
      <w:pPr>
        <w:pStyle w:val="13"/>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3.1灌注桩和钢管桩施工</w:t>
      </w:r>
    </w:p>
    <w:p w14:paraId="30557D7D">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3.1.1灌注桩施工</w:t>
      </w:r>
    </w:p>
    <w:p w14:paraId="52833B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灌注桩应符合图纸设计要求，本工程中灌注桩混凝土强度为c30，采用钻孔灌注桩砼拌制应按水下砼的有关要求进行配比。桩基施工时需综合考虑承压水层等不良地质条件对桩基施工的不利影响，严防塌孔和缩颈现象的发生。桩基上部锚墩结构施工必须在桩基通过检测后方可进行。灌注桩进行低应变进行桩身完整性检测，检测数量不小于30%；桩基水平承载力检测数量按每块底板1根，桩基孔径不得小于设计桩径，成孔垂直度偏差不得大于1%；混凝土浇筑前孔底沉渣厚度不得大于200mm，灌注桩达到强度后，对桩顶进行凿毛处理，清除浮浆、松散混凝土并冲洗干净。</w:t>
      </w:r>
    </w:p>
    <w:p w14:paraId="27A14C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3.1.2钢管桩施工</w:t>
      </w:r>
    </w:p>
    <w:p w14:paraId="363953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灌注桩应符合图纸设计要求，本工程中钢管桩及连系梁钢材为Q235；施工时应严格按施工规范进行，钢管桩表面须做除锈防腐处理先涂环氧富锌防锈底漆两道，再涂环氧煤沥青防锈面漆一道，涂层前的除锈及底漆的质量要求按码头结本工程中钢管桩及连系梁钢材等级为Q345。等规范规定(GB 50205-2020)(JTS167-2018)和《钢结构工程施工质量验收标准》照相关规范执行。</w:t>
      </w:r>
    </w:p>
    <w:p w14:paraId="56F6FBBF">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3.2土方工程</w:t>
      </w:r>
    </w:p>
    <w:p w14:paraId="1C8D3BE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（1）土料选择</w:t>
      </w:r>
    </w:p>
    <w:p w14:paraId="231F042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重填筑土料质量，严禁淤土、杂质土等特殊土料和冻土块填筑堤防；填筑土料根据试验确定的最优含水量，控制各种填筑土料的含水量范围。若含水量偏高，需爽水、晾晒；含水量偏低，要洒水湿润；当层状土料有须剔除的不合格料层时，须采用平面开挖法施工。</w:t>
      </w:r>
    </w:p>
    <w:p w14:paraId="5296C0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（2）填筑作业应符合下列要求：</w:t>
      </w:r>
    </w:p>
    <w:p w14:paraId="67FA45E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面起伏不平时，应按水平分层由低处开始逐层填筑，不得顺坡铺填；作业面应分层统一铺土、统一碾压，并配备人员或平土机具参与整平作业，严禁出现界沟；在土堤的斜坡结合面上填筑时，应随填筑面上升进行削坡，并削至质量合格层；削坡合格后，应控制好结合面土料的含水量，边刨毛、边铺土、边压实；已铺土料表面在压实前被晒干时，应洒水湿润；用光面碾磙压实粘性土填筑层，新层铺料前，应对压光层面作刨毛处理。填筑层检验合格后因故未继续施工，因搁置较久或经过雨淋干湿交替使表面产生疏松层时，复工前应进行复压处理；如发现局部“弹簧土”、层间光面、层间中空、松土层或剪切破坏等质量问题时，应及时处理，并经检验合格后，方准铺填新土；回填土采用分层退坯倒土法施工，不得采用进占法施工，建筑物周边2米范围内小型机械夯实；墙后回填应分层碾压密实，控制层厚不大于30cm，基坑回填土压实度指标不小于0.95，回填土施工时应“均匀、对称、缓慢上升”；</w:t>
      </w:r>
    </w:p>
    <w:p w14:paraId="24F2B7C3">
      <w:pPr>
        <w:spacing w:line="360" w:lineRule="auto"/>
        <w:ind w:firstLine="482" w:firstLineChars="200"/>
        <w:rPr>
          <w:rFonts w:hint="eastAsia" w:ascii="宋体" w:hAnsi="宋体" w:eastAsia="宋体" w:cs="宋体"/>
          <w:b/>
          <w:bCs/>
          <w:color w:val="auto"/>
          <w:sz w:val="24"/>
          <w:szCs w:val="24"/>
          <w:highlight w:val="none"/>
        </w:rPr>
      </w:pPr>
      <w:bookmarkStart w:id="58" w:name="_Toc120420596"/>
      <w:bookmarkStart w:id="59" w:name="_Toc35010135"/>
      <w:bookmarkStart w:id="60" w:name="_Toc266365362"/>
      <w:r>
        <w:rPr>
          <w:rFonts w:hint="eastAsia" w:ascii="宋体" w:hAnsi="宋体" w:eastAsia="宋体" w:cs="宋体"/>
          <w:b/>
          <w:bCs/>
          <w:color w:val="auto"/>
          <w:sz w:val="24"/>
          <w:szCs w:val="24"/>
          <w:highlight w:val="none"/>
        </w:rPr>
        <w:t>3.3混凝土和钢筋混凝土工程</w:t>
      </w:r>
      <w:bookmarkEnd w:id="58"/>
      <w:bookmarkEnd w:id="59"/>
    </w:p>
    <w:bookmarkEnd w:id="60"/>
    <w:p w14:paraId="4E1935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3.3.1模板</w:t>
      </w:r>
    </w:p>
    <w:p w14:paraId="0DA9EF8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模板的设计、制作和安装应保证模板结构有足够的强度和刚度，能承受混凝土浇筑和振捣的侧向压力和振动力，防止产生移位，确保混凝土结构外形尺寸准确，并应有足够的密封性，以避免漏浆。</w:t>
      </w:r>
    </w:p>
    <w:p w14:paraId="429150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3.3.2钢筋</w:t>
      </w:r>
    </w:p>
    <w:p w14:paraId="03E161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筋的种类、型号、直径均应符合施工图设计的要求，若需代换，须经设计人员同意。钢筋的加工和安装应符合施工图纸的要求，其加工和安装的偏差应满足水工混凝土施工规范的规定。钢筋的锚固与搭结应符合规范SL191-2025第10.3～10.4条款规定。</w:t>
      </w:r>
    </w:p>
    <w:p w14:paraId="648F4F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3.3.3混凝土</w:t>
      </w:r>
    </w:p>
    <w:p w14:paraId="5C9A3A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各部位浇筑前，应按照厂家提供的摩阻机设备图纸，注意预埋件检查。承包人应按施工图纸的要求，通过室内试验成果进行混凝土配合比设计，水工混凝土水灰比的最大允许值不宜大于0.55。水工混凝土拌和应符合水工混凝土施工规范的规定，拌和程序和时间均应通过试验确定，混凝土出拌和机后，运输中不应有分离、漏浆和严重泌水现象。混凝土浇筑前，承包人必须熟悉相关专业图纸，严格按设计要求埋设水机、电气、金属结构等部分的预埋件，不得漏埋，并经监理人员验收合格后，方可进行砼浇筑。浇筑过程连续无间断，振捣密实，无蜂窝、麻面、空洞、露筋、裂缝等质量缺陷；基座顶面平整、标高、平整度、几何尺寸偏差符合规范允许范围，边角规整无破损缺角。</w:t>
      </w:r>
    </w:p>
    <w:p w14:paraId="4AC08984">
      <w:pPr>
        <w:spacing w:line="360" w:lineRule="auto"/>
        <w:ind w:firstLine="482" w:firstLineChars="200"/>
        <w:rPr>
          <w:rFonts w:eastAsia="宋体"/>
          <w:b/>
          <w:bCs/>
          <w:color w:val="auto"/>
          <w:sz w:val="24"/>
          <w:szCs w:val="24"/>
          <w:highlight w:val="none"/>
        </w:rPr>
      </w:pPr>
      <w:r>
        <w:rPr>
          <w:rFonts w:hint="eastAsia" w:ascii="宋体" w:hAnsi="宋体" w:eastAsia="宋体" w:cs="宋体"/>
          <w:b/>
          <w:bCs/>
          <w:color w:val="auto"/>
          <w:sz w:val="24"/>
          <w:szCs w:val="24"/>
          <w:highlight w:val="none"/>
        </w:rPr>
        <w:t>3.4摩阻机安装施工</w:t>
      </w:r>
    </w:p>
    <w:p w14:paraId="65A571DB">
      <w:pPr>
        <w:spacing w:line="360" w:lineRule="auto"/>
        <w:ind w:firstLine="480" w:firstLineChars="200"/>
        <w:rPr>
          <w:rFonts w:eastAsia="宋体"/>
          <w:color w:val="auto"/>
          <w:sz w:val="24"/>
          <w:szCs w:val="24"/>
          <w:highlight w:val="none"/>
        </w:rPr>
      </w:pPr>
      <w:r>
        <w:rPr>
          <w:rFonts w:eastAsia="宋体"/>
          <w:color w:val="auto"/>
          <w:sz w:val="24"/>
          <w:szCs w:val="24"/>
          <w:highlight w:val="none"/>
        </w:rPr>
        <w:t>包含主摩阻机和副摩阻机，西闸摩阻机阻滑力设定为600kN，万福闸摩阻机阻滑力设定为800kN。</w:t>
      </w:r>
      <w:r>
        <w:rPr>
          <w:rFonts w:hint="eastAsia" w:eastAsia="宋体"/>
          <w:color w:val="auto"/>
          <w:sz w:val="24"/>
          <w:szCs w:val="24"/>
          <w:highlight w:val="none"/>
        </w:rPr>
        <w:t>摩阻机户外防水、防尘、防腐防护装置安装到位，接线、防护密封完好，满足长期露天水域服役条件。</w:t>
      </w:r>
      <w:r>
        <w:rPr>
          <w:rFonts w:eastAsia="宋体"/>
          <w:color w:val="auto"/>
          <w:sz w:val="24"/>
          <w:szCs w:val="24"/>
          <w:highlight w:val="none"/>
        </w:rPr>
        <w:t>安装前对混凝土底座表面进行处理，保证接触面平整、洁净。摩阻机安装机体水平、垂直，底座与混凝土基础贴合紧密。对摩阻机的绳轮、齿轮、制动装置等进行调试，确保运转顺畅、制动可靠、响应灵敏。钢丝绳按设计走向穿绕，固定牢固，张力均匀，预留调节长度，确保受力合理、安全可靠。</w:t>
      </w:r>
      <w:r>
        <w:rPr>
          <w:rFonts w:ascii="宋体" w:hAnsi="宋体" w:eastAsia="宋体" w:cs="宋体"/>
          <w:color w:val="auto"/>
          <w:kern w:val="0"/>
          <w:sz w:val="24"/>
          <w:szCs w:val="24"/>
          <w:highlight w:val="none"/>
          <w:lang w:bidi="ar"/>
        </w:rPr>
        <w:t>设备运转顺畅，无抖动、异响、卡滞，张力调节、复位功能正常。</w:t>
      </w:r>
    </w:p>
    <w:p w14:paraId="0276BD75">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3.5钢丝绳及浮筒浮标等安装</w:t>
      </w:r>
    </w:p>
    <w:p w14:paraId="2E850A9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本工程拦船锁系统钢丝绳为主要受力传力构件，浮筒为水面拦阻主体，浮标起到界限警示作用，施工在摩阻机设备安装调试合格、混凝土底座强度达到设计强度后开展。其指标需符和工程量清单和图纸设计要求。</w:t>
      </w:r>
    </w:p>
    <w:p w14:paraId="182B6A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3.5.1钢丝绳</w:t>
      </w:r>
    </w:p>
    <w:p w14:paraId="0AFB2F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丝绳无断丝、锈蚀、扭结、压扁损伤，按现场实际丈量长度进行下料。穿索过程需避免钢丝绳与混凝土棱角、金属构件硬摩擦，设置护垫防止钢丝绳磨损。整条拦阻钢丝绳松紧适度，无局部松弛、过度下垂；钢丝绳在绳鼓上排列整齐、不交叉乱绳，绳头压板螺栓按扭矩紧固并做好防松垫圈。预留水位变化补偿余量，适应西闸内河与长江潮汐带来的水位升降变化。</w:t>
      </w:r>
    </w:p>
    <w:p w14:paraId="6D6F9B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3.5.2浮筒安装</w:t>
      </w:r>
    </w:p>
    <w:p w14:paraId="3FC096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筒模块壳体无裂纹、破损、变形；其中两组浮筒采用不锈钢可拆卸卡，便于后期打捞船进入。安装卡扣，卡扣卡槽到位，卡扣全部锁紧到位，不得出现虚扣、半扣，同时满足后期人工快速拆卸。三条主钢丝绳贯穿浮筒中心通道，浮筒沿钢丝绳均匀排布，控制节间间距，保证拦阻带整体顺直。调整浮筒吃水深度，各浮筒吃水保持一致，无倾斜、侧翻。浮筒下方安装混凝土平衡块，确保安装紧固，混凝土块无破损，位置平衡，浮筒无偏移。</w:t>
      </w:r>
    </w:p>
    <w:p w14:paraId="74E6EE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3.5.3浮标安装</w:t>
      </w:r>
    </w:p>
    <w:p w14:paraId="6F10869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警示浮标耐水腐蚀，配套平衡铁块齐全。浮标安装完成后检查浮标竖直姿态，无倾覆；夜间反光标识完整清晰。</w:t>
      </w:r>
    </w:p>
    <w:p w14:paraId="41F7AB52">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3.6其他设备</w:t>
      </w:r>
    </w:p>
    <w:p w14:paraId="6CB82CB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w:t>
      </w:r>
      <w:r>
        <w:rPr>
          <w:rFonts w:ascii="宋体" w:hAnsi="宋体" w:eastAsia="宋体" w:cs="宋体"/>
          <w:color w:val="auto"/>
          <w:sz w:val="24"/>
          <w:szCs w:val="24"/>
          <w:highlight w:val="none"/>
        </w:rPr>
        <w:t>摄像机</w:t>
      </w:r>
      <w:r>
        <w:rPr>
          <w:rFonts w:hint="eastAsia" w:ascii="宋体" w:hAnsi="宋体" w:eastAsia="宋体" w:cs="宋体"/>
          <w:color w:val="auto"/>
          <w:sz w:val="24"/>
          <w:szCs w:val="24"/>
          <w:highlight w:val="none"/>
        </w:rPr>
        <w:t>采购安装要求</w:t>
      </w:r>
    </w:p>
    <w:p w14:paraId="647620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摄像机安装位置位于江都西闸浮筒处北岸侧。摄像机电源电缆、光缆由江都西闸北侧出线，穿入预埋管道进入摄像机位置。</w:t>
      </w:r>
    </w:p>
    <w:p w14:paraId="0703813D">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选用400万像素黑光球形摄像机</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AI网络高速球摄像机，1/1.8"CMOS，120dB宽动态，ICR彩转黑；≥25倍光学变倍，云台360°连续旋转，支持目标联动跟踪、人车及人脸车辆结构化智能侦测；配备电动雨刷、声光报警喊话功能；支持H.265+三码流编码，</w:t>
      </w:r>
      <w:r>
        <w:rPr>
          <w:rFonts w:hint="eastAsia" w:ascii="宋体" w:hAnsi="宋体" w:eastAsia="宋体" w:cs="宋体"/>
          <w:color w:val="auto"/>
          <w:sz w:val="24"/>
          <w:szCs w:val="24"/>
          <w:highlight w:val="none"/>
        </w:rPr>
        <w:t>支持</w:t>
      </w:r>
      <w:r>
        <w:rPr>
          <w:rFonts w:ascii="宋体" w:hAnsi="宋体" w:eastAsia="宋体" w:cs="宋体"/>
          <w:color w:val="auto"/>
          <w:sz w:val="24"/>
          <w:szCs w:val="24"/>
          <w:highlight w:val="none"/>
        </w:rPr>
        <w:t>MicroSD卡最大本地存储、断网续传；IP67防护，IK10防暴玻璃，内置加热除雾，AC24V供电，兼容ONVIF协议，技术指标不低于上述要求。供货范围包含摄像机本体、配套辅材配件、供电电源</w:t>
      </w:r>
      <w:r>
        <w:rPr>
          <w:rFonts w:hint="eastAsia" w:ascii="宋体" w:hAnsi="宋体" w:eastAsia="宋体" w:cs="宋体"/>
          <w:color w:val="auto"/>
          <w:sz w:val="24"/>
          <w:szCs w:val="24"/>
          <w:highlight w:val="none"/>
        </w:rPr>
        <w:t>线</w:t>
      </w:r>
      <w:r>
        <w:rPr>
          <w:rFonts w:ascii="宋体" w:hAnsi="宋体" w:eastAsia="宋体" w:cs="宋体"/>
          <w:color w:val="auto"/>
          <w:sz w:val="24"/>
          <w:szCs w:val="24"/>
          <w:highlight w:val="none"/>
        </w:rPr>
        <w:t>、设备土建基础以及5米镀锌钢管立杆。</w:t>
      </w:r>
    </w:p>
    <w:p w14:paraId="60C9BA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3.6.2摩阻机电源电缆采购安装要求</w:t>
      </w:r>
    </w:p>
    <w:p w14:paraId="4F89DD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摩阻机电源电缆安装位置由江都西闸北侧穿入预埋管道进入到摩阻机位置。</w:t>
      </w:r>
    </w:p>
    <w:p w14:paraId="6A42CA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缆需具备优良的耐候、抗老化、防潮耐腐蚀性能，能够适应户外潮湿多变的现场工况，电缆敷设路径、弯曲半径符合规范要求，布线规整，做好防护处理；电缆接线压接牢固，接触可靠，做好绝缘及防水处理，保障摩阻机设备长期、安全、稳定供电。</w:t>
      </w:r>
    </w:p>
    <w:p w14:paraId="34B2A0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3.6.3钢丝网围栏安装要求</w:t>
      </w:r>
    </w:p>
    <w:p w14:paraId="7E7B0213">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钢丝网围栏采用低碳钢丝制作</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所有钢构件应做热镀锌防腐处理，具备良好防锈、耐候性能，适应户外潮湿环境；立柱安装埋设牢固，网片与立柱连接可靠，整体平整顺直，无扭曲松动，完成供货、运输、现场安装施工，满足隔离防护使用要求。</w:t>
      </w:r>
    </w:p>
    <w:p w14:paraId="74EDAA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3.7其  他</w:t>
      </w:r>
    </w:p>
    <w:p w14:paraId="5F0034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（1）工程实施过程中，若遇与设计图纸不符或出现其它情况，需进行设计变更时，承包人应向监理采购人报告，并会同建设单位、设计单位有关人员商定变更事宜。</w:t>
      </w:r>
    </w:p>
    <w:p w14:paraId="5B3CFDC5">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其他未尽事宜，按工程量清单及图纸以及有关规范、规程和标准执行。</w:t>
      </w:r>
    </w:p>
    <w:p w14:paraId="55E280E5">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施工条件</w:t>
      </w:r>
    </w:p>
    <w:p w14:paraId="6D77BC7C">
      <w:pPr>
        <w:spacing w:line="520" w:lineRule="exact"/>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该施工场所</w:t>
      </w:r>
      <w:r>
        <w:rPr>
          <w:rFonts w:hint="eastAsia" w:ascii="宋体" w:hAnsi="宋体" w:eastAsia="宋体" w:cs="宋体"/>
          <w:color w:val="auto"/>
          <w:sz w:val="24"/>
          <w:szCs w:val="24"/>
          <w:highlight w:val="none"/>
        </w:rPr>
        <w:t>涉及</w:t>
      </w:r>
      <w:r>
        <w:rPr>
          <w:rFonts w:ascii="宋体" w:hAnsi="宋体" w:eastAsia="宋体" w:cs="宋体"/>
          <w:color w:val="auto"/>
          <w:sz w:val="24"/>
          <w:szCs w:val="24"/>
          <w:highlight w:val="none"/>
        </w:rPr>
        <w:t>临水作业</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作业场地有限，吊装时注意高空坠物，施工方必须严格做好相应的安全防护和应急措施</w:t>
      </w:r>
      <w:r>
        <w:rPr>
          <w:rFonts w:hint="eastAsia" w:ascii="宋体" w:hAnsi="宋体" w:eastAsia="宋体" w:cs="宋体"/>
          <w:color w:val="auto"/>
          <w:sz w:val="24"/>
          <w:szCs w:val="24"/>
          <w:highlight w:val="none"/>
        </w:rPr>
        <w:t>；作业人员资质资格证书应通过审核、作业人员身体条件符合要求，且禁止酒后上岗，现场做好其他安全措施。</w:t>
      </w:r>
    </w:p>
    <w:p w14:paraId="2586E572">
      <w:pPr>
        <w:spacing w:line="520" w:lineRule="exact"/>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本项目施工临时用</w:t>
      </w:r>
      <w:r>
        <w:rPr>
          <w:rFonts w:hint="eastAsia" w:ascii="宋体" w:hAnsi="宋体" w:eastAsia="宋体" w:cs="宋体"/>
          <w:color w:val="auto"/>
          <w:sz w:val="24"/>
          <w:szCs w:val="24"/>
          <w:highlight w:val="none"/>
        </w:rPr>
        <w:t>电由施工方自行准备或与甲方讨论后在条件允许情况下由甲方提供</w:t>
      </w:r>
      <w:r>
        <w:rPr>
          <w:rFonts w:ascii="宋体" w:hAnsi="宋体" w:eastAsia="宋体" w:cs="宋体"/>
          <w:color w:val="auto"/>
          <w:sz w:val="24"/>
          <w:szCs w:val="24"/>
          <w:highlight w:val="none"/>
        </w:rPr>
        <w:t>，施工取水取用自来水或利用岸边河水。</w:t>
      </w:r>
    </w:p>
    <w:p w14:paraId="431D1EC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其他要求</w:t>
      </w:r>
    </w:p>
    <w:p w14:paraId="4F31B1D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（1）在项目实施或服务过程中发生的人员事故等一切责任均由成交供应商负责，采购人不承担任何法律及经济责任；</w:t>
      </w:r>
    </w:p>
    <w:p w14:paraId="4081971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（2）在项目实施或者服务过程中，成交供应商需对设备、地面、周围环境等进行全面保护，检测取样或损坏按原状恢复；</w:t>
      </w:r>
    </w:p>
    <w:p w14:paraId="468E60D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（3）项目实施或者服务结束后，成交供应商需及时清理现场，保持施工区域清洁；</w:t>
      </w:r>
    </w:p>
    <w:p w14:paraId="37F4054F">
      <w:pPr>
        <w:spacing w:line="52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（4）施工期间做好安全文明施工。</w:t>
      </w:r>
    </w:p>
    <w:p w14:paraId="2833530E">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工程量清单</w:t>
      </w:r>
    </w:p>
    <w:tbl>
      <w:tblPr>
        <w:tblStyle w:val="27"/>
        <w:tblW w:w="8662" w:type="dxa"/>
        <w:jc w:val="center"/>
        <w:tblLayout w:type="fixed"/>
        <w:tblCellMar>
          <w:top w:w="0" w:type="dxa"/>
          <w:left w:w="108" w:type="dxa"/>
          <w:bottom w:w="0" w:type="dxa"/>
          <w:right w:w="108" w:type="dxa"/>
        </w:tblCellMar>
      </w:tblPr>
      <w:tblGrid>
        <w:gridCol w:w="885"/>
        <w:gridCol w:w="1268"/>
        <w:gridCol w:w="2199"/>
        <w:gridCol w:w="719"/>
        <w:gridCol w:w="873"/>
        <w:gridCol w:w="2718"/>
      </w:tblGrid>
      <w:tr w14:paraId="3E7EC233">
        <w:tblPrEx>
          <w:tblCellMar>
            <w:top w:w="0" w:type="dxa"/>
            <w:left w:w="108" w:type="dxa"/>
            <w:bottom w:w="0" w:type="dxa"/>
            <w:right w:w="108" w:type="dxa"/>
          </w:tblCellMar>
        </w:tblPrEx>
        <w:trPr>
          <w:trHeight w:val="510" w:hRule="atLeast"/>
          <w:jc w:val="center"/>
        </w:trPr>
        <w:tc>
          <w:tcPr>
            <w:tcW w:w="88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3EB3AE3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序号</w:t>
            </w:r>
          </w:p>
        </w:tc>
        <w:tc>
          <w:tcPr>
            <w:tcW w:w="1268"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63EB917">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项目名称</w:t>
            </w:r>
          </w:p>
        </w:tc>
        <w:tc>
          <w:tcPr>
            <w:tcW w:w="219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228715D">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项目特征描述</w:t>
            </w:r>
          </w:p>
        </w:tc>
        <w:tc>
          <w:tcPr>
            <w:tcW w:w="7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1BCD272">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单位</w:t>
            </w:r>
          </w:p>
        </w:tc>
        <w:tc>
          <w:tcPr>
            <w:tcW w:w="8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7F09D8F">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数量</w:t>
            </w:r>
          </w:p>
        </w:tc>
        <w:tc>
          <w:tcPr>
            <w:tcW w:w="2718"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1DF25CA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备注</w:t>
            </w:r>
          </w:p>
        </w:tc>
      </w:tr>
      <w:tr w14:paraId="5AE94871">
        <w:tblPrEx>
          <w:tblCellMar>
            <w:top w:w="0" w:type="dxa"/>
            <w:left w:w="108" w:type="dxa"/>
            <w:bottom w:w="0" w:type="dxa"/>
            <w:right w:w="108" w:type="dxa"/>
          </w:tblCellMar>
        </w:tblPrEx>
        <w:trPr>
          <w:trHeight w:val="255" w:hRule="atLeast"/>
          <w:jc w:val="center"/>
        </w:trPr>
        <w:tc>
          <w:tcPr>
            <w:tcW w:w="885" w:type="dxa"/>
            <w:tcBorders>
              <w:top w:val="nil"/>
              <w:left w:val="single" w:color="000000" w:sz="8" w:space="0"/>
              <w:bottom w:val="single" w:color="000000" w:sz="4" w:space="0"/>
              <w:right w:val="single" w:color="000000" w:sz="4" w:space="0"/>
            </w:tcBorders>
            <w:shd w:val="clear" w:color="auto" w:fill="FFFFFF"/>
            <w:vAlign w:val="center"/>
          </w:tcPr>
          <w:p w14:paraId="0B0C50F4">
            <w:pPr>
              <w:widowControl/>
              <w:jc w:val="center"/>
              <w:textAlignment w:val="center"/>
              <w:rPr>
                <w:rFonts w:eastAsia="宋体"/>
                <w:b/>
                <w:bCs/>
                <w:color w:val="auto"/>
                <w:kern w:val="0"/>
                <w:sz w:val="24"/>
                <w:szCs w:val="24"/>
                <w:highlight w:val="none"/>
                <w:lang w:bidi="ar"/>
              </w:rPr>
            </w:pPr>
            <w:r>
              <w:rPr>
                <w:rFonts w:eastAsia="宋体"/>
                <w:b/>
                <w:bCs/>
                <w:color w:val="auto"/>
                <w:kern w:val="0"/>
                <w:sz w:val="24"/>
                <w:szCs w:val="24"/>
                <w:highlight w:val="none"/>
                <w:lang w:bidi="ar"/>
              </w:rPr>
              <w:t>一</w:t>
            </w:r>
          </w:p>
        </w:tc>
        <w:tc>
          <w:tcPr>
            <w:tcW w:w="5059" w:type="dxa"/>
            <w:gridSpan w:val="4"/>
            <w:tcBorders>
              <w:top w:val="nil"/>
              <w:left w:val="single" w:color="000000" w:sz="4" w:space="0"/>
              <w:bottom w:val="single" w:color="000000" w:sz="4" w:space="0"/>
              <w:right w:val="single" w:color="000000" w:sz="4" w:space="0"/>
            </w:tcBorders>
            <w:shd w:val="clear" w:color="auto" w:fill="FFFFFF"/>
            <w:vAlign w:val="center"/>
          </w:tcPr>
          <w:p w14:paraId="4933C4E7">
            <w:pPr>
              <w:widowControl/>
              <w:spacing w:line="400" w:lineRule="exact"/>
              <w:jc w:val="left"/>
              <w:rPr>
                <w:rFonts w:eastAsia="黑体"/>
                <w:color w:val="auto"/>
                <w:kern w:val="0"/>
                <w:sz w:val="28"/>
                <w:szCs w:val="28"/>
                <w:highlight w:val="none"/>
              </w:rPr>
            </w:pPr>
            <w:r>
              <w:rPr>
                <w:rFonts w:eastAsia="宋体"/>
                <w:b/>
                <w:bCs/>
                <w:color w:val="auto"/>
                <w:kern w:val="0"/>
                <w:sz w:val="24"/>
                <w:szCs w:val="24"/>
                <w:highlight w:val="none"/>
                <w:lang w:bidi="ar"/>
              </w:rPr>
              <w:t>江都西闸上游拦船设施改建</w:t>
            </w:r>
          </w:p>
        </w:tc>
        <w:tc>
          <w:tcPr>
            <w:tcW w:w="2718" w:type="dxa"/>
            <w:tcBorders>
              <w:top w:val="nil"/>
              <w:left w:val="single" w:color="000000" w:sz="4" w:space="0"/>
              <w:bottom w:val="single" w:color="000000" w:sz="4" w:space="0"/>
              <w:right w:val="single" w:color="000000" w:sz="8" w:space="0"/>
            </w:tcBorders>
            <w:shd w:val="clear" w:color="auto" w:fill="FFFFFF"/>
            <w:vAlign w:val="center"/>
          </w:tcPr>
          <w:p w14:paraId="051C3D27">
            <w:pPr>
              <w:widowControl/>
              <w:spacing w:line="400" w:lineRule="exact"/>
              <w:jc w:val="center"/>
              <w:rPr>
                <w:rFonts w:eastAsia="黑体"/>
                <w:color w:val="auto"/>
                <w:kern w:val="0"/>
                <w:sz w:val="21"/>
                <w:szCs w:val="21"/>
                <w:highlight w:val="none"/>
              </w:rPr>
            </w:pPr>
          </w:p>
        </w:tc>
      </w:tr>
      <w:tr w14:paraId="3F4C93BC">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2B292CFE">
            <w:pPr>
              <w:widowControl/>
              <w:jc w:val="center"/>
              <w:textAlignment w:val="center"/>
              <w:rPr>
                <w:rFonts w:eastAsia="宋体"/>
                <w:b/>
                <w:bCs/>
                <w:color w:val="auto"/>
                <w:kern w:val="0"/>
                <w:sz w:val="20"/>
                <w:highlight w:val="none"/>
                <w:lang w:eastAsia="en-US"/>
              </w:rPr>
            </w:pPr>
            <w:r>
              <w:rPr>
                <w:rFonts w:eastAsia="宋体"/>
                <w:b/>
                <w:bCs/>
                <w:color w:val="auto"/>
                <w:kern w:val="0"/>
                <w:sz w:val="20"/>
                <w:highlight w:val="none"/>
                <w:lang w:bidi="ar"/>
              </w:rPr>
              <w:t>（一）</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B13A4EA">
            <w:pPr>
              <w:widowControl/>
              <w:jc w:val="left"/>
              <w:textAlignment w:val="center"/>
              <w:rPr>
                <w:rFonts w:eastAsia="宋体"/>
                <w:b/>
                <w:bCs/>
                <w:color w:val="auto"/>
                <w:kern w:val="0"/>
                <w:sz w:val="20"/>
                <w:highlight w:val="none"/>
                <w:lang w:eastAsia="en-US"/>
              </w:rPr>
            </w:pPr>
            <w:r>
              <w:rPr>
                <w:rFonts w:eastAsia="宋体"/>
                <w:b/>
                <w:bCs/>
                <w:color w:val="auto"/>
                <w:kern w:val="0"/>
                <w:sz w:val="20"/>
                <w:highlight w:val="none"/>
                <w:lang w:bidi="ar"/>
              </w:rPr>
              <w:t>土方开挖工程</w:t>
            </w:r>
          </w:p>
        </w:tc>
        <w:tc>
          <w:tcPr>
            <w:tcW w:w="2718" w:type="dxa"/>
            <w:tcBorders>
              <w:top w:val="single" w:color="000000" w:sz="4" w:space="0"/>
              <w:left w:val="single" w:color="000000" w:sz="4" w:space="0"/>
              <w:bottom w:val="single" w:color="000000" w:sz="4" w:space="0"/>
              <w:right w:val="single" w:color="000000" w:sz="8" w:space="0"/>
            </w:tcBorders>
            <w:vAlign w:val="center"/>
          </w:tcPr>
          <w:p w14:paraId="5BBFEC2D">
            <w:pPr>
              <w:widowControl/>
              <w:spacing w:line="400" w:lineRule="exact"/>
              <w:jc w:val="left"/>
              <w:rPr>
                <w:rFonts w:eastAsia="宋体"/>
                <w:color w:val="auto"/>
                <w:kern w:val="0"/>
                <w:sz w:val="21"/>
                <w:szCs w:val="21"/>
                <w:highlight w:val="none"/>
                <w:lang w:eastAsia="en-US"/>
              </w:rPr>
            </w:pPr>
          </w:p>
        </w:tc>
      </w:tr>
      <w:tr w14:paraId="1FB6FC53">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02C08B1E">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94379AA">
            <w:pPr>
              <w:widowControl/>
              <w:jc w:val="left"/>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一般土方开挖</w:t>
            </w:r>
          </w:p>
        </w:tc>
        <w:tc>
          <w:tcPr>
            <w:tcW w:w="2199" w:type="dxa"/>
            <w:tcBorders>
              <w:top w:val="single" w:color="000000" w:sz="4" w:space="0"/>
              <w:left w:val="single" w:color="000000" w:sz="4" w:space="0"/>
              <w:bottom w:val="single" w:color="000000" w:sz="4" w:space="0"/>
              <w:right w:val="single" w:color="000000" w:sz="4" w:space="0"/>
            </w:tcBorders>
            <w:vAlign w:val="center"/>
          </w:tcPr>
          <w:p w14:paraId="226BB4B0">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粘性土，开挖厚度50cm，土方运距500m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554FE028">
            <w:pPr>
              <w:widowControl/>
              <w:jc w:val="center"/>
              <w:textAlignment w:val="center"/>
              <w:rPr>
                <w:rFonts w:eastAsia="宋体"/>
                <w:color w:val="auto"/>
                <w:kern w:val="0"/>
                <w:sz w:val="21"/>
                <w:szCs w:val="21"/>
                <w:highlight w:val="none"/>
                <w:lang w:eastAsia="en-US"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90DE9E0">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65.51</w:t>
            </w:r>
          </w:p>
        </w:tc>
        <w:tc>
          <w:tcPr>
            <w:tcW w:w="2718" w:type="dxa"/>
            <w:tcBorders>
              <w:top w:val="single" w:color="000000" w:sz="4" w:space="0"/>
              <w:left w:val="single" w:color="000000" w:sz="4" w:space="0"/>
              <w:bottom w:val="single" w:color="000000" w:sz="4" w:space="0"/>
              <w:right w:val="single" w:color="000000" w:sz="8" w:space="0"/>
            </w:tcBorders>
            <w:vAlign w:val="center"/>
          </w:tcPr>
          <w:p w14:paraId="4B99C704">
            <w:pPr>
              <w:widowControl/>
              <w:spacing w:line="400" w:lineRule="exact"/>
              <w:jc w:val="left"/>
              <w:rPr>
                <w:rFonts w:eastAsia="宋体"/>
                <w:color w:val="auto"/>
                <w:kern w:val="0"/>
                <w:sz w:val="21"/>
                <w:szCs w:val="21"/>
                <w:highlight w:val="none"/>
                <w:lang w:eastAsia="en-US"/>
              </w:rPr>
            </w:pPr>
          </w:p>
        </w:tc>
      </w:tr>
      <w:tr w14:paraId="2DCD745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0CB620B4">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768C32B2">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2718" w:type="dxa"/>
            <w:tcBorders>
              <w:top w:val="single" w:color="000000" w:sz="4" w:space="0"/>
              <w:left w:val="single" w:color="000000" w:sz="4" w:space="0"/>
              <w:bottom w:val="single" w:color="000000" w:sz="4" w:space="0"/>
              <w:right w:val="single" w:color="000000" w:sz="8" w:space="0"/>
            </w:tcBorders>
            <w:vAlign w:val="center"/>
          </w:tcPr>
          <w:p w14:paraId="2779FF19">
            <w:pPr>
              <w:widowControl/>
              <w:spacing w:line="400" w:lineRule="exact"/>
              <w:jc w:val="left"/>
              <w:rPr>
                <w:rFonts w:eastAsia="宋体"/>
                <w:color w:val="auto"/>
                <w:kern w:val="0"/>
                <w:sz w:val="21"/>
                <w:szCs w:val="21"/>
                <w:highlight w:val="none"/>
                <w:lang w:eastAsia="en-US"/>
              </w:rPr>
            </w:pPr>
          </w:p>
        </w:tc>
      </w:tr>
      <w:tr w14:paraId="47650B5D">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23AA7968">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4553B3BE">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一般土方填筑</w:t>
            </w:r>
          </w:p>
        </w:tc>
        <w:tc>
          <w:tcPr>
            <w:tcW w:w="2199" w:type="dxa"/>
            <w:tcBorders>
              <w:top w:val="single" w:color="000000" w:sz="4" w:space="0"/>
              <w:left w:val="single" w:color="000000" w:sz="4" w:space="0"/>
              <w:bottom w:val="single" w:color="000000" w:sz="4" w:space="0"/>
              <w:right w:val="single" w:color="000000" w:sz="4" w:space="0"/>
            </w:tcBorders>
            <w:vAlign w:val="center"/>
          </w:tcPr>
          <w:p w14:paraId="669860DD">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粘性土，压实度不小于0.93，土方运距500m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6F32560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F5C287B">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49.99</w:t>
            </w:r>
          </w:p>
        </w:tc>
        <w:tc>
          <w:tcPr>
            <w:tcW w:w="2718" w:type="dxa"/>
            <w:tcBorders>
              <w:top w:val="single" w:color="000000" w:sz="4" w:space="0"/>
              <w:left w:val="single" w:color="000000" w:sz="4" w:space="0"/>
              <w:bottom w:val="single" w:color="000000" w:sz="4" w:space="0"/>
              <w:right w:val="single" w:color="000000" w:sz="8" w:space="0"/>
            </w:tcBorders>
            <w:vAlign w:val="center"/>
          </w:tcPr>
          <w:p w14:paraId="489B170A">
            <w:pPr>
              <w:widowControl/>
              <w:spacing w:line="400" w:lineRule="exact"/>
              <w:jc w:val="left"/>
              <w:rPr>
                <w:rFonts w:eastAsia="宋体"/>
                <w:color w:val="auto"/>
                <w:kern w:val="0"/>
                <w:sz w:val="21"/>
                <w:szCs w:val="21"/>
                <w:highlight w:val="none"/>
                <w:lang w:eastAsia="en-US"/>
              </w:rPr>
            </w:pPr>
          </w:p>
        </w:tc>
      </w:tr>
      <w:tr w14:paraId="7E0B168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13C83B2B">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5DA923E4">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碎石垫层</w:t>
            </w:r>
          </w:p>
        </w:tc>
        <w:tc>
          <w:tcPr>
            <w:tcW w:w="2199" w:type="dxa"/>
            <w:tcBorders>
              <w:top w:val="single" w:color="000000" w:sz="4" w:space="0"/>
              <w:left w:val="single" w:color="000000" w:sz="4" w:space="0"/>
              <w:bottom w:val="single" w:color="000000" w:sz="4" w:space="0"/>
              <w:right w:val="single" w:color="000000" w:sz="4" w:space="0"/>
            </w:tcBorders>
            <w:vAlign w:val="center"/>
          </w:tcPr>
          <w:p w14:paraId="0BF36C17">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w:t>
            </w:r>
          </w:p>
        </w:tc>
        <w:tc>
          <w:tcPr>
            <w:tcW w:w="719" w:type="dxa"/>
            <w:tcBorders>
              <w:top w:val="single" w:color="000000" w:sz="4" w:space="0"/>
              <w:left w:val="single" w:color="000000" w:sz="4" w:space="0"/>
              <w:bottom w:val="single" w:color="000000" w:sz="4" w:space="0"/>
              <w:right w:val="single" w:color="000000" w:sz="4" w:space="0"/>
            </w:tcBorders>
            <w:vAlign w:val="center"/>
          </w:tcPr>
          <w:p w14:paraId="615ED0FA">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D7DB3F4">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12.6</w:t>
            </w:r>
          </w:p>
        </w:tc>
        <w:tc>
          <w:tcPr>
            <w:tcW w:w="2718" w:type="dxa"/>
            <w:tcBorders>
              <w:top w:val="single" w:color="000000" w:sz="4" w:space="0"/>
              <w:left w:val="single" w:color="000000" w:sz="4" w:space="0"/>
              <w:bottom w:val="single" w:color="000000" w:sz="4" w:space="0"/>
              <w:right w:val="single" w:color="000000" w:sz="8" w:space="0"/>
            </w:tcBorders>
            <w:vAlign w:val="center"/>
          </w:tcPr>
          <w:p w14:paraId="361BE893">
            <w:pPr>
              <w:widowControl/>
              <w:spacing w:line="400" w:lineRule="exact"/>
              <w:jc w:val="left"/>
              <w:rPr>
                <w:rFonts w:eastAsia="宋体"/>
                <w:color w:val="auto"/>
                <w:kern w:val="0"/>
                <w:sz w:val="21"/>
                <w:szCs w:val="21"/>
                <w:highlight w:val="none"/>
                <w:lang w:eastAsia="en-US"/>
              </w:rPr>
            </w:pPr>
          </w:p>
        </w:tc>
      </w:tr>
      <w:tr w14:paraId="504B00C7">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35E4880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1268" w:type="dxa"/>
            <w:tcBorders>
              <w:top w:val="single" w:color="000000" w:sz="4" w:space="0"/>
              <w:left w:val="single" w:color="000000" w:sz="4" w:space="0"/>
              <w:bottom w:val="single" w:color="000000" w:sz="4" w:space="0"/>
              <w:right w:val="single" w:color="000000" w:sz="4" w:space="0"/>
            </w:tcBorders>
            <w:vAlign w:val="center"/>
          </w:tcPr>
          <w:p w14:paraId="69CC9A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2199" w:type="dxa"/>
            <w:tcBorders>
              <w:top w:val="single" w:color="000000" w:sz="4" w:space="0"/>
              <w:left w:val="single" w:color="000000" w:sz="4" w:space="0"/>
              <w:bottom w:val="single" w:color="000000" w:sz="4" w:space="0"/>
              <w:right w:val="single" w:color="000000" w:sz="4" w:space="0"/>
            </w:tcBorders>
            <w:vAlign w:val="center"/>
          </w:tcPr>
          <w:p w14:paraId="223C3263">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9B642B9">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683CB1EB">
            <w:pPr>
              <w:widowControl/>
              <w:spacing w:line="400" w:lineRule="exact"/>
              <w:jc w:val="right"/>
              <w:rPr>
                <w:rFonts w:eastAsia="宋体"/>
                <w:color w:val="auto"/>
                <w:kern w:val="0"/>
                <w:sz w:val="21"/>
                <w:szCs w:val="21"/>
                <w:highlight w:val="none"/>
                <w:lang w:eastAsia="en-US"/>
              </w:rPr>
            </w:pPr>
          </w:p>
        </w:tc>
        <w:tc>
          <w:tcPr>
            <w:tcW w:w="2718" w:type="dxa"/>
            <w:tcBorders>
              <w:top w:val="single" w:color="000000" w:sz="4" w:space="0"/>
              <w:left w:val="single" w:color="000000" w:sz="4" w:space="0"/>
              <w:bottom w:val="single" w:color="000000" w:sz="4" w:space="0"/>
              <w:right w:val="single" w:color="000000" w:sz="8" w:space="0"/>
            </w:tcBorders>
            <w:vAlign w:val="center"/>
          </w:tcPr>
          <w:p w14:paraId="6C114FEF">
            <w:pPr>
              <w:widowControl/>
              <w:spacing w:line="400" w:lineRule="exact"/>
              <w:jc w:val="left"/>
              <w:rPr>
                <w:rFonts w:eastAsia="宋体"/>
                <w:color w:val="auto"/>
                <w:kern w:val="0"/>
                <w:sz w:val="21"/>
                <w:szCs w:val="21"/>
                <w:highlight w:val="none"/>
                <w:lang w:eastAsia="en-US"/>
              </w:rPr>
            </w:pPr>
          </w:p>
        </w:tc>
      </w:tr>
      <w:tr w14:paraId="0D16F778">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4FD7936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F9CFF9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w:t>
            </w:r>
          </w:p>
        </w:tc>
        <w:tc>
          <w:tcPr>
            <w:tcW w:w="2199" w:type="dxa"/>
            <w:tcBorders>
              <w:top w:val="single" w:color="000000" w:sz="4" w:space="0"/>
              <w:left w:val="single" w:color="000000" w:sz="4" w:space="0"/>
              <w:bottom w:val="single" w:color="000000" w:sz="4" w:space="0"/>
              <w:right w:val="single" w:color="000000" w:sz="4" w:space="0"/>
            </w:tcBorders>
            <w:vAlign w:val="center"/>
          </w:tcPr>
          <w:p w14:paraId="39E9074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10cm厚浆砌石护坡，M10砂浆勾缝</w:t>
            </w:r>
          </w:p>
        </w:tc>
        <w:tc>
          <w:tcPr>
            <w:tcW w:w="719" w:type="dxa"/>
            <w:tcBorders>
              <w:top w:val="single" w:color="000000" w:sz="4" w:space="0"/>
              <w:left w:val="single" w:color="000000" w:sz="4" w:space="0"/>
              <w:bottom w:val="single" w:color="000000" w:sz="4" w:space="0"/>
              <w:right w:val="single" w:color="000000" w:sz="4" w:space="0"/>
            </w:tcBorders>
            <w:vAlign w:val="center"/>
          </w:tcPr>
          <w:p w14:paraId="5119EEA9">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48C6B72">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2718" w:type="dxa"/>
            <w:tcBorders>
              <w:top w:val="single" w:color="000000" w:sz="4" w:space="0"/>
              <w:left w:val="single" w:color="000000" w:sz="4" w:space="0"/>
              <w:bottom w:val="single" w:color="000000" w:sz="4" w:space="0"/>
              <w:right w:val="single" w:color="000000" w:sz="8" w:space="0"/>
            </w:tcBorders>
            <w:vAlign w:val="center"/>
          </w:tcPr>
          <w:p w14:paraId="5776FBD4">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w:t>
            </w:r>
          </w:p>
        </w:tc>
      </w:tr>
      <w:tr w14:paraId="04AE13D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132F9013">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C043DC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砌体拆除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77B341BA">
            <w:pPr>
              <w:widowControl/>
              <w:jc w:val="left"/>
              <w:textAlignment w:val="center"/>
              <w:rPr>
                <w:rFonts w:eastAsia="宋体"/>
                <w:color w:val="auto"/>
                <w:kern w:val="0"/>
                <w:sz w:val="21"/>
                <w:szCs w:val="21"/>
                <w:highlight w:val="none"/>
                <w:lang w:bidi="ar"/>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5A1241E">
            <w:pPr>
              <w:widowControl/>
              <w:jc w:val="center"/>
              <w:textAlignment w:val="center"/>
              <w:rPr>
                <w:rFonts w:eastAsia="宋体"/>
                <w:color w:val="auto"/>
                <w:kern w:val="0"/>
                <w:sz w:val="21"/>
                <w:szCs w:val="21"/>
                <w:highlight w:val="none"/>
                <w:lang w:bidi="ar"/>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2FC0D52E">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8" w:space="0"/>
            </w:tcBorders>
            <w:vAlign w:val="center"/>
          </w:tcPr>
          <w:p w14:paraId="54FA1A2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080BF00B">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nil"/>
            </w:tcBorders>
            <w:vAlign w:val="center"/>
          </w:tcPr>
          <w:p w14:paraId="29C28EE1">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B5C4C58">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055A314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88A8313">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5DC574D">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2718" w:type="dxa"/>
            <w:tcBorders>
              <w:top w:val="single" w:color="000000" w:sz="4" w:space="0"/>
              <w:left w:val="single" w:color="000000" w:sz="4" w:space="0"/>
              <w:bottom w:val="single" w:color="000000" w:sz="4" w:space="0"/>
              <w:right w:val="single" w:color="000000" w:sz="4" w:space="0"/>
            </w:tcBorders>
            <w:vAlign w:val="center"/>
          </w:tcPr>
          <w:p w14:paraId="5AA7F88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235E1C7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62DDC4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07032B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浆砌挡浪墙拆除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095BC8B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F4D2A66">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452065F5">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30.84</w:t>
            </w:r>
          </w:p>
        </w:tc>
        <w:tc>
          <w:tcPr>
            <w:tcW w:w="2718" w:type="dxa"/>
            <w:tcBorders>
              <w:top w:val="single" w:color="000000" w:sz="4" w:space="0"/>
              <w:left w:val="single" w:color="000000" w:sz="4" w:space="0"/>
              <w:bottom w:val="single" w:color="000000" w:sz="4" w:space="0"/>
              <w:right w:val="single" w:color="000000" w:sz="4" w:space="0"/>
            </w:tcBorders>
            <w:vAlign w:val="center"/>
          </w:tcPr>
          <w:p w14:paraId="10C1FB8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4DCE182F">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907C13B">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021642F4">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149C02F3">
            <w:pPr>
              <w:widowControl/>
              <w:spacing w:line="400" w:lineRule="exact"/>
              <w:jc w:val="left"/>
              <w:rPr>
                <w:rFonts w:eastAsia="宋体"/>
                <w:color w:val="auto"/>
                <w:kern w:val="0"/>
                <w:sz w:val="21"/>
                <w:szCs w:val="21"/>
                <w:highlight w:val="none"/>
              </w:rPr>
            </w:pPr>
          </w:p>
        </w:tc>
      </w:tr>
      <w:tr w14:paraId="4356B570">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66344E8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E2D2FEB">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23F552B8">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719" w:type="dxa"/>
            <w:tcBorders>
              <w:top w:val="single" w:color="000000" w:sz="4" w:space="0"/>
              <w:left w:val="single" w:color="000000" w:sz="4" w:space="0"/>
              <w:bottom w:val="single" w:color="000000" w:sz="4" w:space="0"/>
              <w:right w:val="single" w:color="000000" w:sz="4" w:space="0"/>
            </w:tcBorders>
            <w:vAlign w:val="center"/>
          </w:tcPr>
          <w:p w14:paraId="686C1D5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3D0315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2718" w:type="dxa"/>
            <w:tcBorders>
              <w:top w:val="single" w:color="000000" w:sz="4" w:space="0"/>
              <w:left w:val="single" w:color="000000" w:sz="4" w:space="0"/>
              <w:bottom w:val="single" w:color="000000" w:sz="4" w:space="0"/>
              <w:right w:val="single" w:color="000000" w:sz="4" w:space="0"/>
            </w:tcBorders>
            <w:vAlign w:val="center"/>
          </w:tcPr>
          <w:p w14:paraId="1597E8F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EE3346F">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6565F7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50E73ED">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688A0CB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719" w:type="dxa"/>
            <w:tcBorders>
              <w:top w:val="single" w:color="000000" w:sz="4" w:space="0"/>
              <w:left w:val="single" w:color="000000" w:sz="4" w:space="0"/>
              <w:bottom w:val="single" w:color="000000" w:sz="4" w:space="0"/>
              <w:right w:val="single" w:color="000000" w:sz="4" w:space="0"/>
            </w:tcBorders>
            <w:vAlign w:val="center"/>
          </w:tcPr>
          <w:p w14:paraId="0542873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744CC9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9.86</w:t>
            </w:r>
          </w:p>
        </w:tc>
        <w:tc>
          <w:tcPr>
            <w:tcW w:w="2718" w:type="dxa"/>
            <w:tcBorders>
              <w:top w:val="single" w:color="000000" w:sz="4" w:space="0"/>
              <w:left w:val="single" w:color="000000" w:sz="4" w:space="0"/>
              <w:bottom w:val="single" w:color="000000" w:sz="4" w:space="0"/>
              <w:right w:val="single" w:color="000000" w:sz="4" w:space="0"/>
            </w:tcBorders>
            <w:vAlign w:val="center"/>
          </w:tcPr>
          <w:p w14:paraId="15347E3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DDC860">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742862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2EC3579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4D11F2B9">
            <w:pPr>
              <w:widowControl/>
              <w:spacing w:line="400" w:lineRule="exact"/>
              <w:jc w:val="left"/>
              <w:rPr>
                <w:rFonts w:eastAsia="宋体"/>
                <w:color w:val="auto"/>
                <w:kern w:val="0"/>
                <w:sz w:val="21"/>
                <w:szCs w:val="21"/>
                <w:highlight w:val="none"/>
                <w:lang w:eastAsia="en-US"/>
              </w:rPr>
            </w:pPr>
          </w:p>
        </w:tc>
      </w:tr>
      <w:tr w14:paraId="712C0B1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7C37BF4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149F6A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普通混凝土</w:t>
            </w:r>
          </w:p>
        </w:tc>
        <w:tc>
          <w:tcPr>
            <w:tcW w:w="2199" w:type="dxa"/>
            <w:tcBorders>
              <w:top w:val="single" w:color="000000" w:sz="4" w:space="0"/>
              <w:left w:val="single" w:color="000000" w:sz="4" w:space="0"/>
              <w:bottom w:val="single" w:color="000000" w:sz="4" w:space="0"/>
              <w:right w:val="single" w:color="000000" w:sz="4" w:space="0"/>
            </w:tcBorders>
            <w:vAlign w:val="center"/>
          </w:tcPr>
          <w:p w14:paraId="587A4A58">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BDA7180">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58F8CDFC">
            <w:pPr>
              <w:widowControl/>
              <w:spacing w:line="400" w:lineRule="exact"/>
              <w:jc w:val="right"/>
              <w:rPr>
                <w:rFonts w:eastAsia="宋体"/>
                <w:color w:val="auto"/>
                <w:kern w:val="0"/>
                <w:sz w:val="21"/>
                <w:szCs w:val="21"/>
                <w:highlight w:val="none"/>
                <w:lang w:eastAsia="en-US"/>
              </w:rPr>
            </w:pPr>
          </w:p>
        </w:tc>
        <w:tc>
          <w:tcPr>
            <w:tcW w:w="2718" w:type="dxa"/>
            <w:tcBorders>
              <w:top w:val="single" w:color="000000" w:sz="4" w:space="0"/>
              <w:left w:val="single" w:color="000000" w:sz="4" w:space="0"/>
              <w:bottom w:val="single" w:color="000000" w:sz="4" w:space="0"/>
              <w:right w:val="single" w:color="000000" w:sz="4" w:space="0"/>
            </w:tcBorders>
            <w:vAlign w:val="center"/>
          </w:tcPr>
          <w:p w14:paraId="1C98A20D">
            <w:pPr>
              <w:widowControl/>
              <w:spacing w:line="400" w:lineRule="exact"/>
              <w:jc w:val="left"/>
              <w:rPr>
                <w:rFonts w:eastAsia="宋体"/>
                <w:color w:val="auto"/>
                <w:kern w:val="0"/>
                <w:sz w:val="21"/>
                <w:szCs w:val="21"/>
                <w:highlight w:val="none"/>
                <w:lang w:eastAsia="en-US"/>
              </w:rPr>
            </w:pPr>
          </w:p>
        </w:tc>
      </w:tr>
      <w:tr w14:paraId="0D2FB587">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793AD70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5EBB30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02141E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6A930D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BBFECF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23.76</w:t>
            </w:r>
          </w:p>
        </w:tc>
        <w:tc>
          <w:tcPr>
            <w:tcW w:w="2718" w:type="dxa"/>
            <w:tcBorders>
              <w:top w:val="single" w:color="000000" w:sz="4" w:space="0"/>
              <w:left w:val="single" w:color="000000" w:sz="4" w:space="0"/>
              <w:bottom w:val="single" w:color="000000" w:sz="4" w:space="0"/>
              <w:right w:val="single" w:color="000000" w:sz="4" w:space="0"/>
            </w:tcBorders>
            <w:vAlign w:val="center"/>
          </w:tcPr>
          <w:p w14:paraId="1125CCD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68DC612">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187B5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45011B7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C30挡浪墙封底</w:t>
            </w:r>
          </w:p>
        </w:tc>
        <w:tc>
          <w:tcPr>
            <w:tcW w:w="2199" w:type="dxa"/>
            <w:tcBorders>
              <w:top w:val="single" w:color="000000" w:sz="4" w:space="0"/>
              <w:left w:val="single" w:color="000000" w:sz="4" w:space="0"/>
              <w:bottom w:val="single" w:color="000000" w:sz="4" w:space="0"/>
              <w:right w:val="single" w:color="000000" w:sz="4" w:space="0"/>
            </w:tcBorders>
            <w:vAlign w:val="center"/>
          </w:tcPr>
          <w:p w14:paraId="6073546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77C289FC">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0CFD43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3.08</w:t>
            </w:r>
          </w:p>
        </w:tc>
        <w:tc>
          <w:tcPr>
            <w:tcW w:w="2718" w:type="dxa"/>
            <w:tcBorders>
              <w:top w:val="single" w:color="000000" w:sz="4" w:space="0"/>
              <w:left w:val="single" w:color="000000" w:sz="4" w:space="0"/>
              <w:bottom w:val="single" w:color="000000" w:sz="4" w:space="0"/>
              <w:right w:val="single" w:color="000000" w:sz="4" w:space="0"/>
            </w:tcBorders>
            <w:vAlign w:val="center"/>
          </w:tcPr>
          <w:p w14:paraId="6739237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2EBC206">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54D02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4CEADE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C30摩阻机封底</w:t>
            </w:r>
          </w:p>
        </w:tc>
        <w:tc>
          <w:tcPr>
            <w:tcW w:w="2199" w:type="dxa"/>
            <w:tcBorders>
              <w:top w:val="single" w:color="000000" w:sz="4" w:space="0"/>
              <w:left w:val="single" w:color="000000" w:sz="4" w:space="0"/>
              <w:bottom w:val="single" w:color="000000" w:sz="4" w:space="0"/>
              <w:right w:val="single" w:color="000000" w:sz="4" w:space="0"/>
            </w:tcBorders>
            <w:vAlign w:val="center"/>
          </w:tcPr>
          <w:p w14:paraId="136741F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189623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706E5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3.4</w:t>
            </w:r>
          </w:p>
        </w:tc>
        <w:tc>
          <w:tcPr>
            <w:tcW w:w="2718" w:type="dxa"/>
            <w:tcBorders>
              <w:top w:val="single" w:color="000000" w:sz="4" w:space="0"/>
              <w:left w:val="single" w:color="000000" w:sz="4" w:space="0"/>
              <w:bottom w:val="single" w:color="000000" w:sz="4" w:space="0"/>
              <w:right w:val="single" w:color="000000" w:sz="4" w:space="0"/>
            </w:tcBorders>
            <w:vAlign w:val="center"/>
          </w:tcPr>
          <w:p w14:paraId="43B486A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7C1559F">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0CB2AF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2B756C0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0566ABC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1DE3B513">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12A320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48.97</w:t>
            </w:r>
          </w:p>
        </w:tc>
        <w:tc>
          <w:tcPr>
            <w:tcW w:w="2718" w:type="dxa"/>
            <w:tcBorders>
              <w:top w:val="single" w:color="000000" w:sz="4" w:space="0"/>
              <w:left w:val="single" w:color="000000" w:sz="4" w:space="0"/>
              <w:bottom w:val="single" w:color="000000" w:sz="4" w:space="0"/>
              <w:right w:val="single" w:color="000000" w:sz="4" w:space="0"/>
            </w:tcBorders>
            <w:vAlign w:val="center"/>
          </w:tcPr>
          <w:p w14:paraId="3BEE3EC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8A4F428">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AF35AC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3C879A0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62397D9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0480C3E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D8913B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13.52</w:t>
            </w:r>
          </w:p>
        </w:tc>
        <w:tc>
          <w:tcPr>
            <w:tcW w:w="2718" w:type="dxa"/>
            <w:tcBorders>
              <w:top w:val="single" w:color="000000" w:sz="4" w:space="0"/>
              <w:left w:val="single" w:color="000000" w:sz="4" w:space="0"/>
              <w:bottom w:val="single" w:color="000000" w:sz="4" w:space="0"/>
              <w:right w:val="single" w:color="000000" w:sz="4" w:space="0"/>
            </w:tcBorders>
            <w:vAlign w:val="center"/>
          </w:tcPr>
          <w:p w14:paraId="6A75999A">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0E5BB0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18E7A1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5320051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C30混凝土道路</w:t>
            </w:r>
          </w:p>
        </w:tc>
        <w:tc>
          <w:tcPr>
            <w:tcW w:w="2199" w:type="dxa"/>
            <w:tcBorders>
              <w:top w:val="single" w:color="000000" w:sz="4" w:space="0"/>
              <w:left w:val="single" w:color="000000" w:sz="4" w:space="0"/>
              <w:bottom w:val="single" w:color="000000" w:sz="4" w:space="0"/>
              <w:right w:val="single" w:color="000000" w:sz="4" w:space="0"/>
            </w:tcBorders>
            <w:vAlign w:val="center"/>
          </w:tcPr>
          <w:p w14:paraId="37433B1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0AC2BD7E">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CF1DB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24</w:t>
            </w:r>
          </w:p>
        </w:tc>
        <w:tc>
          <w:tcPr>
            <w:tcW w:w="2718" w:type="dxa"/>
            <w:tcBorders>
              <w:top w:val="single" w:color="000000" w:sz="4" w:space="0"/>
              <w:left w:val="single" w:color="000000" w:sz="4" w:space="0"/>
              <w:bottom w:val="single" w:color="000000" w:sz="4" w:space="0"/>
              <w:right w:val="single" w:color="000000" w:sz="4" w:space="0"/>
            </w:tcBorders>
            <w:vAlign w:val="center"/>
          </w:tcPr>
          <w:p w14:paraId="5054F27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D0CE30D">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58C946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6FBC1B4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伸缩缝聚乙烯闭孔泡沫板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6BC5E03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2cm厚</w:t>
            </w:r>
          </w:p>
        </w:tc>
        <w:tc>
          <w:tcPr>
            <w:tcW w:w="719" w:type="dxa"/>
            <w:tcBorders>
              <w:top w:val="single" w:color="000000" w:sz="4" w:space="0"/>
              <w:left w:val="single" w:color="000000" w:sz="4" w:space="0"/>
              <w:bottom w:val="single" w:color="000000" w:sz="4" w:space="0"/>
              <w:right w:val="single" w:color="000000" w:sz="4" w:space="0"/>
            </w:tcBorders>
            <w:vAlign w:val="center"/>
          </w:tcPr>
          <w:p w14:paraId="4AF51F5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873" w:type="dxa"/>
            <w:tcBorders>
              <w:top w:val="single" w:color="000000" w:sz="4" w:space="0"/>
              <w:left w:val="single" w:color="000000" w:sz="4" w:space="0"/>
              <w:bottom w:val="single" w:color="000000" w:sz="4" w:space="0"/>
              <w:right w:val="single" w:color="000000" w:sz="4" w:space="0"/>
            </w:tcBorders>
            <w:vAlign w:val="center"/>
          </w:tcPr>
          <w:p w14:paraId="46A98CE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4.32</w:t>
            </w:r>
          </w:p>
        </w:tc>
        <w:tc>
          <w:tcPr>
            <w:tcW w:w="2718" w:type="dxa"/>
            <w:tcBorders>
              <w:top w:val="single" w:color="000000" w:sz="4" w:space="0"/>
              <w:left w:val="single" w:color="000000" w:sz="4" w:space="0"/>
              <w:bottom w:val="single" w:color="000000" w:sz="4" w:space="0"/>
              <w:right w:val="single" w:color="000000" w:sz="4" w:space="0"/>
            </w:tcBorders>
            <w:vAlign w:val="center"/>
          </w:tcPr>
          <w:p w14:paraId="08083C0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15AEBA6">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191683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3E2AF3B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混凝土凿除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3B051D4C">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原拦船锁基础凿除，原挡浪墙凿除,运距500m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780F58C6">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74F6DE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8.4</w:t>
            </w:r>
          </w:p>
        </w:tc>
        <w:tc>
          <w:tcPr>
            <w:tcW w:w="2718" w:type="dxa"/>
            <w:tcBorders>
              <w:top w:val="single" w:color="000000" w:sz="4" w:space="0"/>
              <w:left w:val="single" w:color="000000" w:sz="4" w:space="0"/>
              <w:bottom w:val="single" w:color="000000" w:sz="4" w:space="0"/>
              <w:right w:val="single" w:color="000000" w:sz="4" w:space="0"/>
            </w:tcBorders>
            <w:vAlign w:val="center"/>
          </w:tcPr>
          <w:p w14:paraId="6ECE0D9F">
            <w:pPr>
              <w:widowControl/>
              <w:spacing w:line="400" w:lineRule="exact"/>
              <w:jc w:val="left"/>
              <w:rPr>
                <w:rFonts w:eastAsia="宋体"/>
                <w:color w:val="auto"/>
                <w:kern w:val="0"/>
                <w:sz w:val="21"/>
                <w:szCs w:val="21"/>
                <w:highlight w:val="none"/>
                <w:lang w:eastAsia="en-US"/>
              </w:rPr>
            </w:pPr>
          </w:p>
        </w:tc>
      </w:tr>
      <w:tr w14:paraId="3CEED261">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nil"/>
            </w:tcBorders>
            <w:vAlign w:val="center"/>
          </w:tcPr>
          <w:p w14:paraId="4C741CA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BCFC9D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72C5D118">
            <w:pPr>
              <w:widowControl/>
              <w:spacing w:line="400" w:lineRule="exact"/>
              <w:jc w:val="left"/>
              <w:rPr>
                <w:rFonts w:eastAsia="宋体"/>
                <w:color w:val="auto"/>
                <w:kern w:val="0"/>
                <w:sz w:val="21"/>
                <w:szCs w:val="21"/>
                <w:highlight w:val="none"/>
              </w:rPr>
            </w:pPr>
          </w:p>
        </w:tc>
      </w:tr>
      <w:tr w14:paraId="1716AD3F">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1E709F0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129EFC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1A8D501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719" w:type="dxa"/>
            <w:tcBorders>
              <w:top w:val="single" w:color="000000" w:sz="4" w:space="0"/>
              <w:left w:val="single" w:color="000000" w:sz="4" w:space="0"/>
              <w:bottom w:val="single" w:color="000000" w:sz="4" w:space="0"/>
              <w:right w:val="single" w:color="000000" w:sz="4" w:space="0"/>
            </w:tcBorders>
            <w:vAlign w:val="center"/>
          </w:tcPr>
          <w:p w14:paraId="639717E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6B3FFF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8.85</w:t>
            </w:r>
          </w:p>
        </w:tc>
        <w:tc>
          <w:tcPr>
            <w:tcW w:w="2718" w:type="dxa"/>
            <w:tcBorders>
              <w:top w:val="single" w:color="000000" w:sz="4" w:space="0"/>
              <w:left w:val="single" w:color="000000" w:sz="4" w:space="0"/>
              <w:bottom w:val="single" w:color="000000" w:sz="4" w:space="0"/>
              <w:right w:val="single" w:color="000000" w:sz="4" w:space="0"/>
            </w:tcBorders>
            <w:vAlign w:val="center"/>
          </w:tcPr>
          <w:p w14:paraId="0BA3F14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4ECF953">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1489F6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705708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20E5FA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719" w:type="dxa"/>
            <w:tcBorders>
              <w:top w:val="single" w:color="000000" w:sz="4" w:space="0"/>
              <w:left w:val="single" w:color="000000" w:sz="4" w:space="0"/>
              <w:bottom w:val="single" w:color="000000" w:sz="4" w:space="0"/>
              <w:right w:val="single" w:color="000000" w:sz="4" w:space="0"/>
            </w:tcBorders>
            <w:vAlign w:val="center"/>
          </w:tcPr>
          <w:p w14:paraId="612A30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5A426D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5.13</w:t>
            </w:r>
          </w:p>
        </w:tc>
        <w:tc>
          <w:tcPr>
            <w:tcW w:w="2718" w:type="dxa"/>
            <w:tcBorders>
              <w:top w:val="single" w:color="000000" w:sz="4" w:space="0"/>
              <w:left w:val="single" w:color="000000" w:sz="4" w:space="0"/>
              <w:bottom w:val="single" w:color="000000" w:sz="4" w:space="0"/>
              <w:right w:val="single" w:color="000000" w:sz="4" w:space="0"/>
            </w:tcBorders>
            <w:vAlign w:val="center"/>
          </w:tcPr>
          <w:p w14:paraId="5CB30E54">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2008548">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B0A19D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4515B49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67D3B8A9">
            <w:pPr>
              <w:widowControl/>
              <w:spacing w:line="400" w:lineRule="exact"/>
              <w:jc w:val="left"/>
              <w:rPr>
                <w:rFonts w:eastAsia="宋体"/>
                <w:color w:val="auto"/>
                <w:kern w:val="0"/>
                <w:sz w:val="21"/>
                <w:szCs w:val="21"/>
                <w:highlight w:val="none"/>
                <w:lang w:eastAsia="en-US"/>
              </w:rPr>
            </w:pPr>
          </w:p>
        </w:tc>
      </w:tr>
      <w:tr w14:paraId="16632944">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14EFB14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D97463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φ1000×1200聚乙烯浮筒</w:t>
            </w:r>
          </w:p>
        </w:tc>
        <w:tc>
          <w:tcPr>
            <w:tcW w:w="2199" w:type="dxa"/>
            <w:tcBorders>
              <w:top w:val="single" w:color="000000" w:sz="4" w:space="0"/>
              <w:left w:val="single" w:color="000000" w:sz="4" w:space="0"/>
              <w:bottom w:val="single" w:color="000000" w:sz="4" w:space="0"/>
              <w:right w:val="single" w:color="000000" w:sz="4" w:space="0"/>
            </w:tcBorders>
            <w:vAlign w:val="center"/>
          </w:tcPr>
          <w:p w14:paraId="0333833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719" w:type="dxa"/>
            <w:tcBorders>
              <w:top w:val="single" w:color="000000" w:sz="4" w:space="0"/>
              <w:left w:val="single" w:color="000000" w:sz="4" w:space="0"/>
              <w:bottom w:val="single" w:color="000000" w:sz="4" w:space="0"/>
              <w:right w:val="single" w:color="000000" w:sz="4" w:space="0"/>
            </w:tcBorders>
            <w:vAlign w:val="center"/>
          </w:tcPr>
          <w:p w14:paraId="17A3C78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3124CA1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2718" w:type="dxa"/>
            <w:tcBorders>
              <w:top w:val="single" w:color="000000" w:sz="4" w:space="0"/>
              <w:left w:val="single" w:color="000000" w:sz="4" w:space="0"/>
              <w:bottom w:val="single" w:color="000000" w:sz="4" w:space="0"/>
              <w:right w:val="single" w:color="000000" w:sz="4" w:space="0"/>
            </w:tcBorders>
            <w:vAlign w:val="center"/>
          </w:tcPr>
          <w:p w14:paraId="3B36356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1ABE9CB">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290ADF5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4D7983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φ1000×1500聚乙烯浮筒</w:t>
            </w:r>
          </w:p>
        </w:tc>
        <w:tc>
          <w:tcPr>
            <w:tcW w:w="2199" w:type="dxa"/>
            <w:tcBorders>
              <w:top w:val="single" w:color="000000" w:sz="4" w:space="0"/>
              <w:left w:val="single" w:color="000000" w:sz="4" w:space="0"/>
              <w:bottom w:val="single" w:color="000000" w:sz="4" w:space="0"/>
              <w:right w:val="single" w:color="000000" w:sz="4" w:space="0"/>
            </w:tcBorders>
            <w:vAlign w:val="center"/>
          </w:tcPr>
          <w:p w14:paraId="1F9254E0">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719" w:type="dxa"/>
            <w:tcBorders>
              <w:top w:val="single" w:color="000000" w:sz="4" w:space="0"/>
              <w:left w:val="single" w:color="000000" w:sz="4" w:space="0"/>
              <w:bottom w:val="single" w:color="000000" w:sz="4" w:space="0"/>
              <w:right w:val="single" w:color="000000" w:sz="4" w:space="0"/>
            </w:tcBorders>
            <w:vAlign w:val="center"/>
          </w:tcPr>
          <w:p w14:paraId="731B9D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B7FAE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w:t>
            </w:r>
          </w:p>
        </w:tc>
        <w:tc>
          <w:tcPr>
            <w:tcW w:w="2718" w:type="dxa"/>
            <w:tcBorders>
              <w:top w:val="single" w:color="000000" w:sz="4" w:space="0"/>
              <w:left w:val="single" w:color="000000" w:sz="4" w:space="0"/>
              <w:bottom w:val="single" w:color="000000" w:sz="4" w:space="0"/>
              <w:right w:val="single" w:color="000000" w:sz="4" w:space="0"/>
            </w:tcBorders>
            <w:vAlign w:val="center"/>
          </w:tcPr>
          <w:p w14:paraId="0B0F120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8D5876B">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032B5C9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602CAFC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φ1200×600聚乙烯浮标</w:t>
            </w:r>
          </w:p>
        </w:tc>
        <w:tc>
          <w:tcPr>
            <w:tcW w:w="2199" w:type="dxa"/>
            <w:tcBorders>
              <w:top w:val="single" w:color="000000" w:sz="4" w:space="0"/>
              <w:left w:val="single" w:color="000000" w:sz="4" w:space="0"/>
              <w:bottom w:val="single" w:color="000000" w:sz="4" w:space="0"/>
              <w:right w:val="single" w:color="000000" w:sz="4" w:space="0"/>
            </w:tcBorders>
            <w:vAlign w:val="center"/>
          </w:tcPr>
          <w:p w14:paraId="2B24937F">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3953334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FD16CF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04C33C3D">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7561185">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EB51C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DC29A4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6×37型Φ36.0不锈钢钢丝绳</w:t>
            </w:r>
          </w:p>
        </w:tc>
        <w:tc>
          <w:tcPr>
            <w:tcW w:w="2199" w:type="dxa"/>
            <w:tcBorders>
              <w:top w:val="single" w:color="000000" w:sz="4" w:space="0"/>
              <w:left w:val="single" w:color="000000" w:sz="4" w:space="0"/>
              <w:bottom w:val="single" w:color="000000" w:sz="4" w:space="0"/>
              <w:right w:val="single" w:color="000000" w:sz="4" w:space="0"/>
            </w:tcBorders>
            <w:vAlign w:val="center"/>
          </w:tcPr>
          <w:p w14:paraId="168905D4">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A5E54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72407D5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6.16</w:t>
            </w:r>
          </w:p>
        </w:tc>
        <w:tc>
          <w:tcPr>
            <w:tcW w:w="2718" w:type="dxa"/>
            <w:tcBorders>
              <w:top w:val="single" w:color="000000" w:sz="4" w:space="0"/>
              <w:left w:val="single" w:color="000000" w:sz="4" w:space="0"/>
              <w:bottom w:val="single" w:color="000000" w:sz="4" w:space="0"/>
              <w:right w:val="single" w:color="000000" w:sz="4" w:space="0"/>
            </w:tcBorders>
            <w:vAlign w:val="center"/>
          </w:tcPr>
          <w:p w14:paraId="14BF4DFE">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4DDA7C0">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028EF86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2A52B0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浮标抗倾覆平衡砣</w:t>
            </w:r>
          </w:p>
        </w:tc>
        <w:tc>
          <w:tcPr>
            <w:tcW w:w="2199" w:type="dxa"/>
            <w:tcBorders>
              <w:top w:val="single" w:color="000000" w:sz="4" w:space="0"/>
              <w:left w:val="single" w:color="000000" w:sz="4" w:space="0"/>
              <w:bottom w:val="single" w:color="000000" w:sz="4" w:space="0"/>
              <w:right w:val="single" w:color="000000" w:sz="4" w:space="0"/>
            </w:tcBorders>
            <w:vAlign w:val="center"/>
          </w:tcPr>
          <w:p w14:paraId="7AF7E2B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450×115×100mm平衡铁块，厚度8mm直径80mm不锈钢管连接浮标</w:t>
            </w:r>
          </w:p>
        </w:tc>
        <w:tc>
          <w:tcPr>
            <w:tcW w:w="719" w:type="dxa"/>
            <w:tcBorders>
              <w:top w:val="single" w:color="000000" w:sz="4" w:space="0"/>
              <w:left w:val="single" w:color="000000" w:sz="4" w:space="0"/>
              <w:bottom w:val="single" w:color="000000" w:sz="4" w:space="0"/>
              <w:right w:val="single" w:color="000000" w:sz="4" w:space="0"/>
            </w:tcBorders>
            <w:vAlign w:val="center"/>
          </w:tcPr>
          <w:p w14:paraId="4B1BE3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654AE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0759A24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E6AFD23">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E951F4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41680D7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太阳能警示标志</w:t>
            </w:r>
          </w:p>
        </w:tc>
        <w:tc>
          <w:tcPr>
            <w:tcW w:w="2199" w:type="dxa"/>
            <w:tcBorders>
              <w:top w:val="single" w:color="000000" w:sz="4" w:space="0"/>
              <w:left w:val="single" w:color="000000" w:sz="4" w:space="0"/>
              <w:bottom w:val="single" w:color="000000" w:sz="4" w:space="0"/>
              <w:right w:val="single" w:color="000000" w:sz="4" w:space="0"/>
            </w:tcBorders>
            <w:vAlign w:val="center"/>
          </w:tcPr>
          <w:p w14:paraId="59414E6E">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C3336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2A690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5725415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29B9E3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75A9A6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1268" w:type="dxa"/>
            <w:tcBorders>
              <w:top w:val="single" w:color="000000" w:sz="4" w:space="0"/>
              <w:left w:val="single" w:color="000000" w:sz="4" w:space="0"/>
              <w:bottom w:val="single" w:color="000000" w:sz="4" w:space="0"/>
              <w:right w:val="single" w:color="000000" w:sz="4" w:space="0"/>
            </w:tcBorders>
            <w:vAlign w:val="center"/>
          </w:tcPr>
          <w:p w14:paraId="2A58979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警示标识标牌</w:t>
            </w:r>
          </w:p>
        </w:tc>
        <w:tc>
          <w:tcPr>
            <w:tcW w:w="2199" w:type="dxa"/>
            <w:tcBorders>
              <w:top w:val="single" w:color="000000" w:sz="4" w:space="0"/>
              <w:left w:val="single" w:color="000000" w:sz="4" w:space="0"/>
              <w:bottom w:val="single" w:color="000000" w:sz="4" w:space="0"/>
              <w:right w:val="single" w:color="000000" w:sz="4" w:space="0"/>
            </w:tcBorders>
            <w:vAlign w:val="center"/>
          </w:tcPr>
          <w:p w14:paraId="49A59AC6">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92F261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D796EE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vAlign w:val="center"/>
          </w:tcPr>
          <w:p w14:paraId="10FDAD11">
            <w:pPr>
              <w:widowControl/>
              <w:spacing w:line="400" w:lineRule="exact"/>
              <w:jc w:val="left"/>
              <w:rPr>
                <w:rFonts w:eastAsia="宋体"/>
                <w:color w:val="auto"/>
                <w:kern w:val="0"/>
                <w:sz w:val="21"/>
                <w:szCs w:val="21"/>
                <w:highlight w:val="none"/>
                <w:lang w:eastAsia="en-US"/>
              </w:rPr>
            </w:pPr>
          </w:p>
        </w:tc>
      </w:tr>
      <w:tr w14:paraId="2CEE1FC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2865AB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1268" w:type="dxa"/>
            <w:tcBorders>
              <w:top w:val="single" w:color="000000" w:sz="4" w:space="0"/>
              <w:left w:val="single" w:color="000000" w:sz="4" w:space="0"/>
              <w:bottom w:val="single" w:color="000000" w:sz="4" w:space="0"/>
              <w:right w:val="single" w:color="000000" w:sz="4" w:space="0"/>
            </w:tcBorders>
            <w:vAlign w:val="center"/>
          </w:tcPr>
          <w:p w14:paraId="6D35E90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树木移栽</w:t>
            </w:r>
          </w:p>
        </w:tc>
        <w:tc>
          <w:tcPr>
            <w:tcW w:w="2199" w:type="dxa"/>
            <w:tcBorders>
              <w:top w:val="single" w:color="000000" w:sz="4" w:space="0"/>
              <w:left w:val="single" w:color="000000" w:sz="4" w:space="0"/>
              <w:bottom w:val="single" w:color="000000" w:sz="4" w:space="0"/>
              <w:right w:val="single" w:color="000000" w:sz="4" w:space="0"/>
            </w:tcBorders>
            <w:vAlign w:val="center"/>
          </w:tcPr>
          <w:p w14:paraId="31105BE1">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EDCD42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棵</w:t>
            </w:r>
          </w:p>
        </w:tc>
        <w:tc>
          <w:tcPr>
            <w:tcW w:w="873" w:type="dxa"/>
            <w:tcBorders>
              <w:top w:val="single" w:color="000000" w:sz="4" w:space="0"/>
              <w:left w:val="single" w:color="000000" w:sz="4" w:space="0"/>
              <w:bottom w:val="single" w:color="000000" w:sz="4" w:space="0"/>
              <w:right w:val="single" w:color="000000" w:sz="4" w:space="0"/>
            </w:tcBorders>
            <w:vAlign w:val="center"/>
          </w:tcPr>
          <w:p w14:paraId="7234E2D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2718" w:type="dxa"/>
            <w:tcBorders>
              <w:top w:val="single" w:color="000000" w:sz="4" w:space="0"/>
              <w:left w:val="single" w:color="000000" w:sz="4" w:space="0"/>
              <w:bottom w:val="single" w:color="000000" w:sz="4" w:space="0"/>
              <w:right w:val="single" w:color="000000" w:sz="4" w:space="0"/>
            </w:tcBorders>
            <w:vAlign w:val="center"/>
          </w:tcPr>
          <w:p w14:paraId="0035500C">
            <w:pPr>
              <w:widowControl/>
              <w:spacing w:line="400" w:lineRule="exact"/>
              <w:jc w:val="left"/>
              <w:rPr>
                <w:rFonts w:eastAsia="宋体"/>
                <w:color w:val="auto"/>
                <w:kern w:val="0"/>
                <w:sz w:val="21"/>
                <w:szCs w:val="21"/>
                <w:highlight w:val="none"/>
                <w:lang w:eastAsia="en-US"/>
              </w:rPr>
            </w:pPr>
          </w:p>
        </w:tc>
      </w:tr>
      <w:tr w14:paraId="6A6DC1DF">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DF6BC4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1268" w:type="dxa"/>
            <w:tcBorders>
              <w:top w:val="single" w:color="000000" w:sz="4" w:space="0"/>
              <w:left w:val="single" w:color="000000" w:sz="4" w:space="0"/>
              <w:bottom w:val="single" w:color="000000" w:sz="4" w:space="0"/>
              <w:right w:val="single" w:color="000000" w:sz="4" w:space="0"/>
            </w:tcBorders>
            <w:vAlign w:val="center"/>
          </w:tcPr>
          <w:p w14:paraId="259BC32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草皮</w:t>
            </w:r>
          </w:p>
        </w:tc>
        <w:tc>
          <w:tcPr>
            <w:tcW w:w="2199" w:type="dxa"/>
            <w:tcBorders>
              <w:top w:val="single" w:color="000000" w:sz="4" w:space="0"/>
              <w:left w:val="single" w:color="000000" w:sz="4" w:space="0"/>
              <w:bottom w:val="single" w:color="000000" w:sz="4" w:space="0"/>
              <w:right w:val="single" w:color="000000" w:sz="4" w:space="0"/>
            </w:tcBorders>
            <w:vAlign w:val="center"/>
          </w:tcPr>
          <w:p w14:paraId="51EEE158">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0A4A0D0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873" w:type="dxa"/>
            <w:tcBorders>
              <w:top w:val="single" w:color="000000" w:sz="4" w:space="0"/>
              <w:left w:val="single" w:color="000000" w:sz="4" w:space="0"/>
              <w:bottom w:val="single" w:color="000000" w:sz="4" w:space="0"/>
              <w:right w:val="single" w:color="000000" w:sz="4" w:space="0"/>
            </w:tcBorders>
            <w:vAlign w:val="center"/>
          </w:tcPr>
          <w:p w14:paraId="57D5D86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480</w:t>
            </w:r>
          </w:p>
        </w:tc>
        <w:tc>
          <w:tcPr>
            <w:tcW w:w="2718" w:type="dxa"/>
            <w:tcBorders>
              <w:top w:val="single" w:color="000000" w:sz="4" w:space="0"/>
              <w:left w:val="single" w:color="000000" w:sz="4" w:space="0"/>
              <w:bottom w:val="single" w:color="000000" w:sz="4" w:space="0"/>
              <w:right w:val="single" w:color="000000" w:sz="4" w:space="0"/>
            </w:tcBorders>
            <w:vAlign w:val="center"/>
          </w:tcPr>
          <w:p w14:paraId="7497E6F3">
            <w:pPr>
              <w:widowControl/>
              <w:spacing w:line="400" w:lineRule="exact"/>
              <w:jc w:val="left"/>
              <w:rPr>
                <w:rFonts w:eastAsia="宋体"/>
                <w:color w:val="auto"/>
                <w:kern w:val="0"/>
                <w:sz w:val="21"/>
                <w:szCs w:val="21"/>
                <w:highlight w:val="none"/>
                <w:lang w:eastAsia="en-US"/>
              </w:rPr>
            </w:pPr>
          </w:p>
        </w:tc>
      </w:tr>
      <w:tr w14:paraId="68053F2C">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8" w:space="0"/>
              <w:bottom w:val="single" w:color="000000" w:sz="4" w:space="0"/>
              <w:right w:val="nil"/>
            </w:tcBorders>
            <w:vAlign w:val="center"/>
          </w:tcPr>
          <w:p w14:paraId="28C83C9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w:t>
            </w:r>
          </w:p>
        </w:tc>
        <w:tc>
          <w:tcPr>
            <w:tcW w:w="1268" w:type="dxa"/>
            <w:tcBorders>
              <w:top w:val="single" w:color="000000" w:sz="4" w:space="0"/>
              <w:left w:val="single" w:color="000000" w:sz="4" w:space="0"/>
              <w:bottom w:val="single" w:color="000000" w:sz="4" w:space="0"/>
              <w:right w:val="single" w:color="000000" w:sz="4" w:space="0"/>
            </w:tcBorders>
            <w:vAlign w:val="center"/>
          </w:tcPr>
          <w:p w14:paraId="3A71ECC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2199" w:type="dxa"/>
            <w:tcBorders>
              <w:top w:val="single" w:color="000000" w:sz="4" w:space="0"/>
              <w:left w:val="single" w:color="000000" w:sz="4" w:space="0"/>
              <w:bottom w:val="single" w:color="000000" w:sz="4" w:space="0"/>
              <w:right w:val="single" w:color="000000" w:sz="4" w:space="0"/>
            </w:tcBorders>
            <w:vAlign w:val="center"/>
          </w:tcPr>
          <w:p w14:paraId="30681886">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719" w:type="dxa"/>
            <w:tcBorders>
              <w:top w:val="single" w:color="000000" w:sz="4" w:space="0"/>
              <w:left w:val="single" w:color="000000" w:sz="4" w:space="0"/>
              <w:bottom w:val="single" w:color="000000" w:sz="4" w:space="0"/>
              <w:right w:val="single" w:color="000000" w:sz="4" w:space="0"/>
            </w:tcBorders>
            <w:vAlign w:val="center"/>
          </w:tcPr>
          <w:p w14:paraId="7B1FE9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3BBB82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w:t>
            </w:r>
          </w:p>
        </w:tc>
        <w:tc>
          <w:tcPr>
            <w:tcW w:w="2718" w:type="dxa"/>
            <w:tcBorders>
              <w:top w:val="single" w:color="000000" w:sz="4" w:space="0"/>
              <w:left w:val="single" w:color="000000" w:sz="4" w:space="0"/>
              <w:bottom w:val="single" w:color="000000" w:sz="4" w:space="0"/>
              <w:right w:val="single" w:color="000000" w:sz="4" w:space="0"/>
            </w:tcBorders>
            <w:vAlign w:val="center"/>
          </w:tcPr>
          <w:p w14:paraId="2B5BAA8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B71CF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1DB790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w:t>
            </w:r>
          </w:p>
        </w:tc>
        <w:tc>
          <w:tcPr>
            <w:tcW w:w="1268" w:type="dxa"/>
            <w:tcBorders>
              <w:top w:val="single" w:color="000000" w:sz="4" w:space="0"/>
              <w:left w:val="single" w:color="000000" w:sz="4" w:space="0"/>
              <w:bottom w:val="single" w:color="000000" w:sz="4" w:space="0"/>
              <w:right w:val="single" w:color="000000" w:sz="4" w:space="0"/>
            </w:tcBorders>
            <w:vAlign w:val="center"/>
          </w:tcPr>
          <w:p w14:paraId="3FFB81E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包塑钢梯</w:t>
            </w:r>
          </w:p>
        </w:tc>
        <w:tc>
          <w:tcPr>
            <w:tcW w:w="2199" w:type="dxa"/>
            <w:tcBorders>
              <w:top w:val="single" w:color="000000" w:sz="4" w:space="0"/>
              <w:left w:val="single" w:color="000000" w:sz="4" w:space="0"/>
              <w:bottom w:val="single" w:color="000000" w:sz="4" w:space="0"/>
              <w:right w:val="single" w:color="000000" w:sz="4" w:space="0"/>
            </w:tcBorders>
            <w:vAlign w:val="center"/>
          </w:tcPr>
          <w:p w14:paraId="294C973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Q235，1.2m宽</w:t>
            </w:r>
          </w:p>
        </w:tc>
        <w:tc>
          <w:tcPr>
            <w:tcW w:w="719" w:type="dxa"/>
            <w:tcBorders>
              <w:top w:val="single" w:color="000000" w:sz="4" w:space="0"/>
              <w:left w:val="single" w:color="000000" w:sz="4" w:space="0"/>
              <w:bottom w:val="single" w:color="000000" w:sz="4" w:space="0"/>
              <w:right w:val="single" w:color="000000" w:sz="4" w:space="0"/>
            </w:tcBorders>
            <w:vAlign w:val="center"/>
          </w:tcPr>
          <w:p w14:paraId="0A52AD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06434C4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vAlign w:val="center"/>
          </w:tcPr>
          <w:p w14:paraId="3F7D06AA">
            <w:pPr>
              <w:widowControl/>
              <w:spacing w:line="400" w:lineRule="exact"/>
              <w:jc w:val="left"/>
              <w:rPr>
                <w:rFonts w:eastAsia="宋体"/>
                <w:color w:val="auto"/>
                <w:kern w:val="0"/>
                <w:sz w:val="21"/>
                <w:szCs w:val="21"/>
                <w:highlight w:val="none"/>
                <w:lang w:eastAsia="en-US"/>
              </w:rPr>
            </w:pPr>
          </w:p>
        </w:tc>
      </w:tr>
      <w:tr w14:paraId="6F96683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0A2BE73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4786E9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291397F8">
            <w:pPr>
              <w:widowControl/>
              <w:spacing w:line="400" w:lineRule="exact"/>
              <w:jc w:val="left"/>
              <w:rPr>
                <w:rFonts w:eastAsia="宋体"/>
                <w:color w:val="auto"/>
                <w:kern w:val="0"/>
                <w:sz w:val="21"/>
                <w:szCs w:val="21"/>
                <w:highlight w:val="none"/>
                <w:lang w:eastAsia="en-US"/>
              </w:rPr>
            </w:pPr>
          </w:p>
        </w:tc>
      </w:tr>
      <w:tr w14:paraId="4A74D52A">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4" w:space="0"/>
              <w:bottom w:val="single" w:color="000000" w:sz="4" w:space="0"/>
              <w:right w:val="nil"/>
            </w:tcBorders>
            <w:vAlign w:val="center"/>
          </w:tcPr>
          <w:p w14:paraId="6C574E1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C7E904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549712CE">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包含主摩阻机和副摩阻机，摩阻机阻滑力设定为600kN</w:t>
            </w:r>
          </w:p>
        </w:tc>
        <w:tc>
          <w:tcPr>
            <w:tcW w:w="719" w:type="dxa"/>
            <w:tcBorders>
              <w:top w:val="single" w:color="000000" w:sz="4" w:space="0"/>
              <w:left w:val="single" w:color="000000" w:sz="4" w:space="0"/>
              <w:bottom w:val="single" w:color="000000" w:sz="4" w:space="0"/>
              <w:right w:val="single" w:color="000000" w:sz="4" w:space="0"/>
            </w:tcBorders>
            <w:vAlign w:val="center"/>
          </w:tcPr>
          <w:p w14:paraId="60BE75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7B74E65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vAlign w:val="center"/>
          </w:tcPr>
          <w:p w14:paraId="4B2E9B01">
            <w:pPr>
              <w:widowControl/>
              <w:spacing w:line="400" w:lineRule="exact"/>
              <w:rPr>
                <w:rFonts w:eastAsia="宋体"/>
                <w:b/>
                <w:bCs/>
                <w:color w:val="auto"/>
                <w:kern w:val="0"/>
                <w:sz w:val="18"/>
                <w:szCs w:val="18"/>
                <w:highlight w:val="none"/>
                <w:lang w:eastAsia="en-US"/>
              </w:rPr>
            </w:pPr>
            <w:r>
              <w:rPr>
                <w:rFonts w:eastAsia="宋体"/>
                <w:color w:val="auto"/>
                <w:kern w:val="0"/>
                <w:sz w:val="21"/>
                <w:szCs w:val="21"/>
                <w:highlight w:val="none"/>
              </w:rPr>
              <w:t>详见图纸和采购需求</w:t>
            </w:r>
          </w:p>
        </w:tc>
      </w:tr>
      <w:tr w14:paraId="3A934CFC">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4" w:space="0"/>
              <w:bottom w:val="single" w:color="000000" w:sz="4" w:space="0"/>
              <w:right w:val="nil"/>
            </w:tcBorders>
            <w:vAlign w:val="center"/>
          </w:tcPr>
          <w:p w14:paraId="02F0BFB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A0ADDC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2199" w:type="dxa"/>
            <w:tcBorders>
              <w:top w:val="single" w:color="000000" w:sz="4" w:space="0"/>
              <w:left w:val="single" w:color="000000" w:sz="4" w:space="0"/>
              <w:bottom w:val="single" w:color="000000" w:sz="4" w:space="0"/>
              <w:right w:val="single" w:color="000000" w:sz="4" w:space="0"/>
            </w:tcBorders>
            <w:vAlign w:val="center"/>
          </w:tcPr>
          <w:p w14:paraId="7C2B03FC">
            <w:pPr>
              <w:widowControl/>
              <w:spacing w:line="400" w:lineRule="exac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719" w:type="dxa"/>
            <w:tcBorders>
              <w:top w:val="single" w:color="000000" w:sz="4" w:space="0"/>
              <w:left w:val="single" w:color="000000" w:sz="4" w:space="0"/>
              <w:bottom w:val="single" w:color="000000" w:sz="4" w:space="0"/>
              <w:right w:val="single" w:color="000000" w:sz="4" w:space="0"/>
            </w:tcBorders>
            <w:vAlign w:val="center"/>
          </w:tcPr>
          <w:p w14:paraId="731E571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E0A920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A0D8B18">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518D1CE7">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542DF6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AD4BA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控制电源箱</w:t>
            </w:r>
          </w:p>
        </w:tc>
        <w:tc>
          <w:tcPr>
            <w:tcW w:w="2199" w:type="dxa"/>
            <w:tcBorders>
              <w:top w:val="single" w:color="000000" w:sz="4" w:space="0"/>
              <w:left w:val="single" w:color="000000" w:sz="4" w:space="0"/>
              <w:bottom w:val="single" w:color="000000" w:sz="4" w:space="0"/>
              <w:right w:val="single" w:color="000000" w:sz="4" w:space="0"/>
            </w:tcBorders>
            <w:vAlign w:val="center"/>
          </w:tcPr>
          <w:p w14:paraId="4CCCC0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IP65</w:t>
            </w:r>
          </w:p>
        </w:tc>
        <w:tc>
          <w:tcPr>
            <w:tcW w:w="719" w:type="dxa"/>
            <w:tcBorders>
              <w:top w:val="single" w:color="000000" w:sz="4" w:space="0"/>
              <w:left w:val="single" w:color="000000" w:sz="4" w:space="0"/>
              <w:bottom w:val="single" w:color="000000" w:sz="4" w:space="0"/>
              <w:right w:val="single" w:color="000000" w:sz="4" w:space="0"/>
            </w:tcBorders>
            <w:vAlign w:val="center"/>
          </w:tcPr>
          <w:p w14:paraId="2F0DAD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105A25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1AADE05">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BA5619A">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0D927A9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2959FE03">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摄像机电源电缆采购安装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4FE96AEB">
            <w:pPr>
              <w:widowControl/>
              <w:spacing w:line="400" w:lineRule="exact"/>
              <w:jc w:val="left"/>
              <w:rPr>
                <w:rFonts w:eastAsia="宋体"/>
                <w:color w:val="auto"/>
                <w:kern w:val="0"/>
                <w:sz w:val="21"/>
                <w:szCs w:val="21"/>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D00CC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4A6486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4C979D1">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3CC4CA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0C6677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6FA5C36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预埋管道</w:t>
            </w:r>
          </w:p>
        </w:tc>
        <w:tc>
          <w:tcPr>
            <w:tcW w:w="2199" w:type="dxa"/>
            <w:tcBorders>
              <w:top w:val="single" w:color="000000" w:sz="4" w:space="0"/>
              <w:left w:val="single" w:color="000000" w:sz="4" w:space="0"/>
              <w:bottom w:val="single" w:color="000000" w:sz="4" w:space="0"/>
              <w:right w:val="single" w:color="000000" w:sz="4" w:space="0"/>
            </w:tcBorders>
            <w:vAlign w:val="center"/>
          </w:tcPr>
          <w:p w14:paraId="27B553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PE30</w:t>
            </w:r>
          </w:p>
        </w:tc>
        <w:tc>
          <w:tcPr>
            <w:tcW w:w="719" w:type="dxa"/>
            <w:tcBorders>
              <w:top w:val="single" w:color="000000" w:sz="4" w:space="0"/>
              <w:left w:val="single" w:color="000000" w:sz="4" w:space="0"/>
              <w:bottom w:val="single" w:color="000000" w:sz="4" w:space="0"/>
              <w:right w:val="single" w:color="000000" w:sz="4" w:space="0"/>
            </w:tcBorders>
            <w:vAlign w:val="center"/>
          </w:tcPr>
          <w:p w14:paraId="5EB848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725490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562712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1967C9F7">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4" w:space="0"/>
              <w:bottom w:val="single" w:color="000000" w:sz="4" w:space="0"/>
              <w:right w:val="nil"/>
            </w:tcBorders>
            <w:vAlign w:val="center"/>
          </w:tcPr>
          <w:p w14:paraId="08C6712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41E9C99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黑光摄像机</w:t>
            </w:r>
          </w:p>
        </w:tc>
        <w:tc>
          <w:tcPr>
            <w:tcW w:w="2199" w:type="dxa"/>
            <w:tcBorders>
              <w:top w:val="single" w:color="000000" w:sz="4" w:space="0"/>
              <w:left w:val="single" w:color="000000" w:sz="4" w:space="0"/>
              <w:bottom w:val="single" w:color="000000" w:sz="4" w:space="0"/>
              <w:right w:val="single" w:color="000000" w:sz="4" w:space="0"/>
            </w:tcBorders>
            <w:vAlign w:val="center"/>
          </w:tcPr>
          <w:p w14:paraId="2D771026">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400万像素球形摄像机，含摄像机配件、电源、土建基础、5米镀锌钢管杆</w:t>
            </w:r>
          </w:p>
        </w:tc>
        <w:tc>
          <w:tcPr>
            <w:tcW w:w="719" w:type="dxa"/>
            <w:tcBorders>
              <w:top w:val="single" w:color="000000" w:sz="4" w:space="0"/>
              <w:left w:val="single" w:color="000000" w:sz="4" w:space="0"/>
              <w:bottom w:val="single" w:color="000000" w:sz="4" w:space="0"/>
              <w:right w:val="single" w:color="000000" w:sz="4" w:space="0"/>
            </w:tcBorders>
            <w:vAlign w:val="center"/>
          </w:tcPr>
          <w:p w14:paraId="62A2D3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2649BA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31FBB69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3A373FAD">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4" w:space="0"/>
              <w:bottom w:val="single" w:color="000000" w:sz="4" w:space="0"/>
              <w:right w:val="nil"/>
            </w:tcBorders>
            <w:vAlign w:val="center"/>
          </w:tcPr>
          <w:p w14:paraId="7CEE920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1268" w:type="dxa"/>
            <w:tcBorders>
              <w:top w:val="single" w:color="000000" w:sz="4" w:space="0"/>
              <w:left w:val="single" w:color="000000" w:sz="4" w:space="0"/>
              <w:bottom w:val="single" w:color="000000" w:sz="4" w:space="0"/>
              <w:right w:val="single" w:color="000000" w:sz="4" w:space="0"/>
            </w:tcBorders>
            <w:vAlign w:val="center"/>
          </w:tcPr>
          <w:p w14:paraId="03161D0F">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光缆</w:t>
            </w:r>
          </w:p>
        </w:tc>
        <w:tc>
          <w:tcPr>
            <w:tcW w:w="2199" w:type="dxa"/>
            <w:tcBorders>
              <w:top w:val="single" w:color="000000" w:sz="4" w:space="0"/>
              <w:left w:val="single" w:color="000000" w:sz="4" w:space="0"/>
              <w:bottom w:val="single" w:color="000000" w:sz="4" w:space="0"/>
              <w:right w:val="single" w:color="000000" w:sz="4" w:space="0"/>
            </w:tcBorders>
            <w:vAlign w:val="center"/>
          </w:tcPr>
          <w:p w14:paraId="5847A300">
            <w:pPr>
              <w:widowControl/>
              <w:textAlignment w:val="center"/>
              <w:rPr>
                <w:rFonts w:eastAsia="宋体"/>
                <w:color w:val="auto"/>
                <w:kern w:val="0"/>
                <w:sz w:val="21"/>
                <w:szCs w:val="21"/>
                <w:highlight w:val="none"/>
              </w:rPr>
            </w:pPr>
            <w:r>
              <w:rPr>
                <w:rFonts w:hint="eastAsia" w:eastAsia="宋体"/>
                <w:color w:val="auto"/>
                <w:kern w:val="0"/>
                <w:sz w:val="21"/>
                <w:szCs w:val="21"/>
                <w:highlight w:val="none"/>
                <w:lang w:bidi="ar"/>
              </w:rPr>
              <w:t>10</w:t>
            </w:r>
            <w:r>
              <w:rPr>
                <w:rFonts w:eastAsia="宋体"/>
                <w:color w:val="auto"/>
                <w:kern w:val="0"/>
                <w:sz w:val="21"/>
                <w:szCs w:val="21"/>
                <w:highlight w:val="none"/>
                <w:lang w:bidi="ar"/>
              </w:rPr>
              <w:t>芯铠装单模光纤(含光纤全熔、熔接盒、尾纤及附件等)</w:t>
            </w:r>
          </w:p>
        </w:tc>
        <w:tc>
          <w:tcPr>
            <w:tcW w:w="719" w:type="dxa"/>
            <w:tcBorders>
              <w:top w:val="single" w:color="000000" w:sz="4" w:space="0"/>
              <w:left w:val="single" w:color="000000" w:sz="4" w:space="0"/>
              <w:bottom w:val="single" w:color="000000" w:sz="4" w:space="0"/>
              <w:right w:val="single" w:color="000000" w:sz="4" w:space="0"/>
            </w:tcBorders>
            <w:vAlign w:val="center"/>
          </w:tcPr>
          <w:p w14:paraId="0913340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0360FFB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AC11A30">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5E7D7BA8">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4" w:space="0"/>
              <w:bottom w:val="single" w:color="000000" w:sz="4" w:space="0"/>
              <w:right w:val="nil"/>
            </w:tcBorders>
            <w:vAlign w:val="center"/>
          </w:tcPr>
          <w:p w14:paraId="29876A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1268" w:type="dxa"/>
            <w:tcBorders>
              <w:top w:val="single" w:color="000000" w:sz="4" w:space="0"/>
              <w:left w:val="single" w:color="000000" w:sz="4" w:space="0"/>
              <w:bottom w:val="single" w:color="000000" w:sz="4" w:space="0"/>
              <w:right w:val="single" w:color="000000" w:sz="4" w:space="0"/>
            </w:tcBorders>
            <w:vAlign w:val="center"/>
          </w:tcPr>
          <w:p w14:paraId="190460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光纤收发器</w:t>
            </w:r>
          </w:p>
        </w:tc>
        <w:tc>
          <w:tcPr>
            <w:tcW w:w="2199" w:type="dxa"/>
            <w:tcBorders>
              <w:top w:val="single" w:color="000000" w:sz="4" w:space="0"/>
              <w:left w:val="single" w:color="000000" w:sz="4" w:space="0"/>
              <w:bottom w:val="single" w:color="000000" w:sz="4" w:space="0"/>
              <w:right w:val="single" w:color="000000" w:sz="4" w:space="0"/>
            </w:tcBorders>
            <w:vAlign w:val="center"/>
          </w:tcPr>
          <w:p w14:paraId="7CD09BF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1口百兆光纤收发器，1个百兆光口</w:t>
            </w:r>
          </w:p>
        </w:tc>
        <w:tc>
          <w:tcPr>
            <w:tcW w:w="719" w:type="dxa"/>
            <w:tcBorders>
              <w:top w:val="single" w:color="000000" w:sz="4" w:space="0"/>
              <w:left w:val="single" w:color="000000" w:sz="4" w:space="0"/>
              <w:bottom w:val="single" w:color="000000" w:sz="4" w:space="0"/>
              <w:right w:val="single" w:color="000000" w:sz="4" w:space="0"/>
            </w:tcBorders>
            <w:vAlign w:val="center"/>
          </w:tcPr>
          <w:p w14:paraId="3B16C6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对</w:t>
            </w:r>
          </w:p>
        </w:tc>
        <w:tc>
          <w:tcPr>
            <w:tcW w:w="873" w:type="dxa"/>
            <w:tcBorders>
              <w:top w:val="single" w:color="000000" w:sz="4" w:space="0"/>
              <w:left w:val="single" w:color="000000" w:sz="4" w:space="0"/>
              <w:bottom w:val="single" w:color="000000" w:sz="4" w:space="0"/>
              <w:right w:val="single" w:color="000000" w:sz="4" w:space="0"/>
            </w:tcBorders>
            <w:vAlign w:val="center"/>
          </w:tcPr>
          <w:p w14:paraId="6CA75A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421C3E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47755866">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3E7A6D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1268" w:type="dxa"/>
            <w:tcBorders>
              <w:top w:val="single" w:color="000000" w:sz="4" w:space="0"/>
              <w:left w:val="single" w:color="000000" w:sz="4" w:space="0"/>
              <w:bottom w:val="single" w:color="000000" w:sz="4" w:space="0"/>
              <w:right w:val="single" w:color="000000" w:sz="4" w:space="0"/>
            </w:tcBorders>
            <w:vAlign w:val="center"/>
          </w:tcPr>
          <w:p w14:paraId="0BD4074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摩阻机电源电缆采购安装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7D7285A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YJV-5*10</w:t>
            </w:r>
          </w:p>
        </w:tc>
        <w:tc>
          <w:tcPr>
            <w:tcW w:w="719" w:type="dxa"/>
            <w:tcBorders>
              <w:top w:val="single" w:color="000000" w:sz="4" w:space="0"/>
              <w:left w:val="single" w:color="000000" w:sz="4" w:space="0"/>
              <w:bottom w:val="single" w:color="000000" w:sz="4" w:space="0"/>
              <w:right w:val="single" w:color="000000" w:sz="4" w:space="0"/>
            </w:tcBorders>
            <w:vAlign w:val="center"/>
          </w:tcPr>
          <w:p w14:paraId="1269537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16A2227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95806D7">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304F63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noWrap/>
            <w:vAlign w:val="center"/>
          </w:tcPr>
          <w:p w14:paraId="63534B56">
            <w:pPr>
              <w:widowControl/>
              <w:jc w:val="center"/>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6F39C8F4">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9A7CEC8">
            <w:pPr>
              <w:widowControl/>
              <w:spacing w:line="400" w:lineRule="exact"/>
              <w:rPr>
                <w:rFonts w:eastAsia="宋体"/>
                <w:color w:val="auto"/>
                <w:kern w:val="0"/>
                <w:sz w:val="20"/>
                <w:highlight w:val="none"/>
                <w:lang w:eastAsia="en-US"/>
              </w:rPr>
            </w:pPr>
          </w:p>
        </w:tc>
      </w:tr>
      <w:tr w14:paraId="7DA6F5DE">
        <w:tblPrEx>
          <w:tblCellMar>
            <w:top w:w="0" w:type="dxa"/>
            <w:left w:w="108" w:type="dxa"/>
            <w:bottom w:w="0" w:type="dxa"/>
            <w:right w:w="108" w:type="dxa"/>
          </w:tblCellMar>
        </w:tblPrEx>
        <w:trPr>
          <w:trHeight w:val="1275" w:hRule="atLeast"/>
          <w:jc w:val="center"/>
        </w:trPr>
        <w:tc>
          <w:tcPr>
            <w:tcW w:w="885" w:type="dxa"/>
            <w:tcBorders>
              <w:top w:val="single" w:color="000000" w:sz="4" w:space="0"/>
              <w:left w:val="single" w:color="000000" w:sz="4" w:space="0"/>
              <w:bottom w:val="single" w:color="000000" w:sz="4" w:space="0"/>
              <w:right w:val="nil"/>
            </w:tcBorders>
            <w:vAlign w:val="center"/>
          </w:tcPr>
          <w:p w14:paraId="5C0AE14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48687F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0C32EC1">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A65678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3F7154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B0F61F4">
            <w:pPr>
              <w:widowControl/>
              <w:jc w:val="both"/>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262CDD71">
        <w:tblPrEx>
          <w:tblCellMar>
            <w:top w:w="0" w:type="dxa"/>
            <w:left w:w="108" w:type="dxa"/>
            <w:bottom w:w="0" w:type="dxa"/>
            <w:right w:w="108" w:type="dxa"/>
          </w:tblCellMar>
        </w:tblPrEx>
        <w:trPr>
          <w:trHeight w:val="2040" w:hRule="atLeast"/>
          <w:jc w:val="center"/>
        </w:trPr>
        <w:tc>
          <w:tcPr>
            <w:tcW w:w="885" w:type="dxa"/>
            <w:tcBorders>
              <w:top w:val="single" w:color="000000" w:sz="4" w:space="0"/>
              <w:left w:val="single" w:color="000000" w:sz="4" w:space="0"/>
              <w:bottom w:val="single" w:color="000000" w:sz="4" w:space="0"/>
              <w:right w:val="nil"/>
            </w:tcBorders>
            <w:vAlign w:val="center"/>
          </w:tcPr>
          <w:p w14:paraId="7F80FF5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5FECFF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C8061A2">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9F662B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B8810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2A8208C">
            <w:pPr>
              <w:widowControl/>
              <w:jc w:val="both"/>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67184CB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3AD3AA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FBE339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9D48923">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435EE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101BDAA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661B189B">
            <w:pPr>
              <w:widowControl/>
              <w:spacing w:line="400" w:lineRule="exact"/>
              <w:jc w:val="left"/>
              <w:rPr>
                <w:rFonts w:eastAsia="宋体"/>
                <w:color w:val="auto"/>
                <w:kern w:val="0"/>
                <w:sz w:val="21"/>
                <w:szCs w:val="21"/>
                <w:highlight w:val="none"/>
                <w:lang w:eastAsia="en-US"/>
              </w:rPr>
            </w:pPr>
          </w:p>
        </w:tc>
      </w:tr>
      <w:tr w14:paraId="57E009E3">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3F34E8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6668C0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0393002">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08B04A5">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792E5B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0B0EF0A">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366153F1">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74F2DB9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8ED6E6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3D12B039">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2F4582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6EB40F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A7834B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1F2D554A">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6DC7595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236ABFB2">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AEB84CC">
            <w:pPr>
              <w:widowControl/>
              <w:spacing w:line="400" w:lineRule="exact"/>
              <w:rPr>
                <w:rFonts w:eastAsia="宋体"/>
                <w:color w:val="auto"/>
                <w:kern w:val="0"/>
                <w:sz w:val="20"/>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6EFDC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6671274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4018248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638B01E">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auto" w:sz="4" w:space="0"/>
              <w:right w:val="nil"/>
            </w:tcBorders>
            <w:vAlign w:val="center"/>
          </w:tcPr>
          <w:p w14:paraId="7BAC8E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nil"/>
              <w:left w:val="single" w:color="000000" w:sz="4" w:space="0"/>
              <w:bottom w:val="single" w:color="000000" w:sz="4" w:space="0"/>
              <w:right w:val="single" w:color="000000" w:sz="4" w:space="0"/>
            </w:tcBorders>
            <w:vAlign w:val="center"/>
          </w:tcPr>
          <w:p w14:paraId="75015ED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2199" w:type="dxa"/>
            <w:tcBorders>
              <w:top w:val="nil"/>
              <w:left w:val="nil"/>
              <w:bottom w:val="nil"/>
              <w:right w:val="nil"/>
            </w:tcBorders>
            <w:noWrap/>
            <w:vAlign w:val="bottom"/>
          </w:tcPr>
          <w:p w14:paraId="67291DDA">
            <w:pPr>
              <w:widowControl/>
              <w:spacing w:line="400" w:lineRule="exact"/>
              <w:rPr>
                <w:rFonts w:eastAsia="宋体"/>
                <w:color w:val="auto"/>
                <w:kern w:val="0"/>
                <w:sz w:val="20"/>
                <w:highlight w:val="none"/>
                <w:lang w:eastAsia="en-US"/>
              </w:rPr>
            </w:pPr>
          </w:p>
        </w:tc>
        <w:tc>
          <w:tcPr>
            <w:tcW w:w="719" w:type="dxa"/>
            <w:tcBorders>
              <w:top w:val="nil"/>
              <w:left w:val="single" w:color="000000" w:sz="4" w:space="0"/>
              <w:bottom w:val="single" w:color="000000" w:sz="4" w:space="0"/>
              <w:right w:val="single" w:color="000000" w:sz="4" w:space="0"/>
            </w:tcBorders>
            <w:vAlign w:val="center"/>
          </w:tcPr>
          <w:p w14:paraId="40BC57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nil"/>
              <w:left w:val="single" w:color="000000" w:sz="4" w:space="0"/>
              <w:bottom w:val="single" w:color="000000" w:sz="4" w:space="0"/>
              <w:right w:val="single" w:color="000000" w:sz="4" w:space="0"/>
            </w:tcBorders>
            <w:vAlign w:val="center"/>
          </w:tcPr>
          <w:p w14:paraId="1BF88D8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nil"/>
              <w:left w:val="single" w:color="000000" w:sz="4" w:space="0"/>
              <w:bottom w:val="single" w:color="000000" w:sz="4" w:space="0"/>
              <w:right w:val="single" w:color="000000" w:sz="4" w:space="0"/>
            </w:tcBorders>
            <w:vAlign w:val="center"/>
          </w:tcPr>
          <w:p w14:paraId="168681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C7B5CDB">
        <w:tblPrEx>
          <w:tblCellMar>
            <w:top w:w="0" w:type="dxa"/>
            <w:left w:w="108" w:type="dxa"/>
            <w:bottom w:w="0" w:type="dxa"/>
            <w:right w:w="108" w:type="dxa"/>
          </w:tblCellMar>
        </w:tblPrEx>
        <w:trPr>
          <w:trHeight w:val="255" w:hRule="atLeast"/>
          <w:jc w:val="center"/>
        </w:trPr>
        <w:tc>
          <w:tcPr>
            <w:tcW w:w="885" w:type="dxa"/>
            <w:tcBorders>
              <w:top w:val="single" w:color="auto" w:sz="4" w:space="0"/>
              <w:left w:val="single" w:color="auto" w:sz="4" w:space="0"/>
              <w:bottom w:val="single" w:color="auto" w:sz="4" w:space="0"/>
              <w:right w:val="single" w:color="auto" w:sz="4" w:space="0"/>
            </w:tcBorders>
            <w:noWrap/>
            <w:vAlign w:val="bottom"/>
          </w:tcPr>
          <w:p w14:paraId="49B20B6D">
            <w:pPr>
              <w:widowControl/>
              <w:spacing w:line="400" w:lineRule="exact"/>
              <w:jc w:val="center"/>
              <w:rPr>
                <w:rFonts w:eastAsia="宋体"/>
                <w:b/>
                <w:bCs/>
                <w:color w:val="auto"/>
                <w:kern w:val="0"/>
                <w:sz w:val="24"/>
                <w:szCs w:val="24"/>
                <w:highlight w:val="none"/>
                <w:lang w:bidi="ar"/>
              </w:rPr>
            </w:pPr>
            <w:r>
              <w:rPr>
                <w:rFonts w:eastAsia="宋体"/>
                <w:b/>
                <w:bCs/>
                <w:color w:val="auto"/>
                <w:kern w:val="0"/>
                <w:sz w:val="24"/>
                <w:szCs w:val="24"/>
                <w:highlight w:val="none"/>
                <w:lang w:bidi="ar"/>
              </w:rPr>
              <w:t>二</w:t>
            </w:r>
          </w:p>
        </w:tc>
        <w:tc>
          <w:tcPr>
            <w:tcW w:w="5059" w:type="dxa"/>
            <w:gridSpan w:val="4"/>
            <w:tcBorders>
              <w:top w:val="single" w:color="000000" w:sz="4" w:space="0"/>
              <w:left w:val="single" w:color="auto" w:sz="4" w:space="0"/>
              <w:bottom w:val="single" w:color="000000" w:sz="4" w:space="0"/>
              <w:right w:val="single" w:color="000000" w:sz="4" w:space="0"/>
            </w:tcBorders>
            <w:noWrap/>
            <w:vAlign w:val="bottom"/>
          </w:tcPr>
          <w:p w14:paraId="538D1EBF">
            <w:pPr>
              <w:widowControl/>
              <w:spacing w:line="400" w:lineRule="exact"/>
              <w:jc w:val="left"/>
              <w:rPr>
                <w:rFonts w:eastAsia="宋体"/>
                <w:b/>
                <w:bCs/>
                <w:color w:val="auto"/>
                <w:kern w:val="0"/>
                <w:sz w:val="24"/>
                <w:szCs w:val="24"/>
                <w:highlight w:val="none"/>
                <w:lang w:bidi="ar"/>
              </w:rPr>
            </w:pPr>
            <w:r>
              <w:rPr>
                <w:rFonts w:eastAsia="宋体"/>
                <w:b/>
                <w:bCs/>
                <w:color w:val="auto"/>
                <w:kern w:val="0"/>
                <w:sz w:val="24"/>
                <w:szCs w:val="24"/>
                <w:highlight w:val="none"/>
                <w:lang w:bidi="ar"/>
              </w:rPr>
              <w:t>万福闸新河、壁虎河尾段增设行洪安全设施</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B661959">
            <w:pPr>
              <w:widowControl/>
              <w:spacing w:line="400" w:lineRule="exact"/>
              <w:rPr>
                <w:rFonts w:eastAsia="宋体"/>
                <w:color w:val="auto"/>
                <w:kern w:val="0"/>
                <w:sz w:val="20"/>
                <w:highlight w:val="none"/>
              </w:rPr>
            </w:pPr>
          </w:p>
        </w:tc>
      </w:tr>
      <w:tr w14:paraId="082E18B8">
        <w:tblPrEx>
          <w:tblCellMar>
            <w:top w:w="0" w:type="dxa"/>
            <w:left w:w="108" w:type="dxa"/>
            <w:bottom w:w="0" w:type="dxa"/>
            <w:right w:w="108" w:type="dxa"/>
          </w:tblCellMar>
        </w:tblPrEx>
        <w:trPr>
          <w:trHeight w:val="255" w:hRule="atLeast"/>
          <w:jc w:val="center"/>
        </w:trPr>
        <w:tc>
          <w:tcPr>
            <w:tcW w:w="885" w:type="dxa"/>
            <w:tcBorders>
              <w:top w:val="single" w:color="auto" w:sz="4" w:space="0"/>
              <w:left w:val="single" w:color="000000" w:sz="8" w:space="0"/>
              <w:bottom w:val="single" w:color="000000" w:sz="4" w:space="0"/>
              <w:right w:val="nil"/>
            </w:tcBorders>
            <w:vAlign w:val="center"/>
          </w:tcPr>
          <w:p w14:paraId="7D5FF5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（一）</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4C88D681">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土方开挖工程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ABEBAD3">
            <w:pPr>
              <w:widowControl/>
              <w:spacing w:line="400" w:lineRule="exact"/>
              <w:rPr>
                <w:rFonts w:eastAsia="宋体"/>
                <w:color w:val="auto"/>
                <w:kern w:val="0"/>
                <w:sz w:val="20"/>
                <w:highlight w:val="none"/>
                <w:lang w:eastAsia="en-US"/>
              </w:rPr>
            </w:pPr>
          </w:p>
        </w:tc>
      </w:tr>
      <w:tr w14:paraId="4E427143">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839C1A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77EA7C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一般土方开挖</w:t>
            </w:r>
          </w:p>
        </w:tc>
        <w:tc>
          <w:tcPr>
            <w:tcW w:w="2199" w:type="dxa"/>
            <w:tcBorders>
              <w:top w:val="single" w:color="000000" w:sz="4" w:space="0"/>
              <w:left w:val="single" w:color="000000" w:sz="4" w:space="0"/>
              <w:bottom w:val="single" w:color="000000" w:sz="4" w:space="0"/>
              <w:right w:val="single" w:color="000000" w:sz="4" w:space="0"/>
            </w:tcBorders>
            <w:vAlign w:val="center"/>
          </w:tcPr>
          <w:p w14:paraId="156B9EC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粘性土，开挖厚度50cm，土方运距500m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75DBFBC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0F775F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32.95</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0845F08">
            <w:pPr>
              <w:widowControl/>
              <w:spacing w:line="400" w:lineRule="exact"/>
              <w:rPr>
                <w:rFonts w:eastAsia="宋体"/>
                <w:color w:val="auto"/>
                <w:kern w:val="0"/>
                <w:sz w:val="20"/>
                <w:highlight w:val="none"/>
                <w:lang w:eastAsia="en-US"/>
              </w:rPr>
            </w:pPr>
          </w:p>
        </w:tc>
      </w:tr>
      <w:tr w14:paraId="4A46BA1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B72B75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046705EC">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6EC1DD9">
            <w:pPr>
              <w:widowControl/>
              <w:spacing w:line="400" w:lineRule="exact"/>
              <w:rPr>
                <w:rFonts w:eastAsia="宋体"/>
                <w:color w:val="auto"/>
                <w:kern w:val="0"/>
                <w:sz w:val="20"/>
                <w:highlight w:val="none"/>
                <w:lang w:eastAsia="en-US"/>
              </w:rPr>
            </w:pPr>
          </w:p>
        </w:tc>
      </w:tr>
      <w:tr w14:paraId="1EF2A915">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6BA0203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89A50C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一般土方填筑</w:t>
            </w:r>
          </w:p>
        </w:tc>
        <w:tc>
          <w:tcPr>
            <w:tcW w:w="2199" w:type="dxa"/>
            <w:tcBorders>
              <w:top w:val="single" w:color="000000" w:sz="4" w:space="0"/>
              <w:left w:val="single" w:color="000000" w:sz="4" w:space="0"/>
              <w:bottom w:val="single" w:color="000000" w:sz="4" w:space="0"/>
              <w:right w:val="single" w:color="000000" w:sz="4" w:space="0"/>
            </w:tcBorders>
            <w:vAlign w:val="center"/>
          </w:tcPr>
          <w:p w14:paraId="6EFA007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粘性土，压实度不小于0.93，土方运距500m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31D8C299">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FB043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11.83</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4D4648A">
            <w:pPr>
              <w:widowControl/>
              <w:spacing w:line="400" w:lineRule="exact"/>
              <w:rPr>
                <w:rFonts w:eastAsia="宋体"/>
                <w:color w:val="auto"/>
                <w:kern w:val="0"/>
                <w:sz w:val="20"/>
                <w:highlight w:val="none"/>
                <w:lang w:eastAsia="en-US"/>
              </w:rPr>
            </w:pPr>
          </w:p>
        </w:tc>
      </w:tr>
      <w:tr w14:paraId="6E9EEB5F">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BC2BC2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3F760E90">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30DE214">
            <w:pPr>
              <w:widowControl/>
              <w:spacing w:line="400" w:lineRule="exact"/>
              <w:rPr>
                <w:rFonts w:eastAsia="宋体"/>
                <w:color w:val="auto"/>
                <w:kern w:val="0"/>
                <w:sz w:val="20"/>
                <w:highlight w:val="none"/>
                <w:lang w:eastAsia="en-US"/>
              </w:rPr>
            </w:pPr>
          </w:p>
        </w:tc>
      </w:tr>
      <w:tr w14:paraId="08252C5E">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33F4266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6C39D5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w:t>
            </w:r>
          </w:p>
        </w:tc>
        <w:tc>
          <w:tcPr>
            <w:tcW w:w="2199" w:type="dxa"/>
            <w:tcBorders>
              <w:top w:val="single" w:color="000000" w:sz="4" w:space="0"/>
              <w:left w:val="single" w:color="000000" w:sz="4" w:space="0"/>
              <w:bottom w:val="single" w:color="000000" w:sz="4" w:space="0"/>
              <w:right w:val="single" w:color="000000" w:sz="4" w:space="0"/>
            </w:tcBorders>
            <w:vAlign w:val="center"/>
          </w:tcPr>
          <w:p w14:paraId="6EA6CDA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10cm厚浆砌石护坡，M10砂浆勾缝</w:t>
            </w:r>
          </w:p>
        </w:tc>
        <w:tc>
          <w:tcPr>
            <w:tcW w:w="719" w:type="dxa"/>
            <w:tcBorders>
              <w:top w:val="single" w:color="000000" w:sz="4" w:space="0"/>
              <w:left w:val="single" w:color="000000" w:sz="4" w:space="0"/>
              <w:bottom w:val="single" w:color="000000" w:sz="4" w:space="0"/>
              <w:right w:val="single" w:color="000000" w:sz="4" w:space="0"/>
            </w:tcBorders>
            <w:vAlign w:val="center"/>
          </w:tcPr>
          <w:p w14:paraId="4C92F495">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03A8E3A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1.59</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107E4D43">
            <w:pPr>
              <w:widowControl/>
              <w:spacing w:line="400" w:lineRule="exact"/>
              <w:rPr>
                <w:rFonts w:eastAsia="宋体"/>
                <w:color w:val="auto"/>
                <w:kern w:val="0"/>
                <w:sz w:val="20"/>
                <w:highlight w:val="none"/>
                <w:lang w:eastAsia="en-US"/>
              </w:rPr>
            </w:pPr>
          </w:p>
        </w:tc>
      </w:tr>
      <w:tr w14:paraId="7005610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40C368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E05C2B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1BC20CA3">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B694B1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1D75F2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4.25</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26D58257">
            <w:pPr>
              <w:widowControl/>
              <w:spacing w:line="400" w:lineRule="exact"/>
              <w:rPr>
                <w:rFonts w:eastAsia="宋体"/>
                <w:color w:val="auto"/>
                <w:kern w:val="0"/>
                <w:sz w:val="20"/>
                <w:highlight w:val="none"/>
                <w:lang w:eastAsia="en-US"/>
              </w:rPr>
            </w:pPr>
          </w:p>
        </w:tc>
      </w:tr>
      <w:tr w14:paraId="721FB85A">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45B650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67770FF2">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76B9E69F">
            <w:pPr>
              <w:widowControl/>
              <w:spacing w:line="400" w:lineRule="exact"/>
              <w:rPr>
                <w:rFonts w:eastAsia="宋体"/>
                <w:color w:val="auto"/>
                <w:kern w:val="0"/>
                <w:sz w:val="20"/>
                <w:highlight w:val="none"/>
              </w:rPr>
            </w:pPr>
          </w:p>
        </w:tc>
      </w:tr>
      <w:tr w14:paraId="4D04D8F9">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DCBDF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9EC79D9">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234B2ED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719" w:type="dxa"/>
            <w:tcBorders>
              <w:top w:val="single" w:color="000000" w:sz="4" w:space="0"/>
              <w:left w:val="single" w:color="000000" w:sz="4" w:space="0"/>
              <w:bottom w:val="single" w:color="000000" w:sz="4" w:space="0"/>
              <w:right w:val="single" w:color="000000" w:sz="4" w:space="0"/>
            </w:tcBorders>
            <w:vAlign w:val="center"/>
          </w:tcPr>
          <w:p w14:paraId="3C42CC00">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6D680B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71418E3F">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w:t>
            </w:r>
          </w:p>
        </w:tc>
      </w:tr>
      <w:tr w14:paraId="3F896CCF">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97E1F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F54DB6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6CF7A3E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719" w:type="dxa"/>
            <w:tcBorders>
              <w:top w:val="single" w:color="000000" w:sz="4" w:space="0"/>
              <w:left w:val="single" w:color="000000" w:sz="4" w:space="0"/>
              <w:bottom w:val="single" w:color="000000" w:sz="4" w:space="0"/>
              <w:right w:val="single" w:color="000000" w:sz="4" w:space="0"/>
            </w:tcBorders>
            <w:vAlign w:val="center"/>
          </w:tcPr>
          <w:p w14:paraId="7AF401D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4F6AC4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12.13</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359604A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F3867B9">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33D3C7A">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1037D5D8">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0CF8E8EB">
            <w:pPr>
              <w:widowControl/>
              <w:spacing w:line="400" w:lineRule="exact"/>
              <w:rPr>
                <w:rFonts w:eastAsia="宋体"/>
                <w:color w:val="auto"/>
                <w:kern w:val="0"/>
                <w:sz w:val="20"/>
                <w:highlight w:val="none"/>
                <w:lang w:eastAsia="en-US"/>
              </w:rPr>
            </w:pPr>
          </w:p>
        </w:tc>
      </w:tr>
      <w:tr w14:paraId="38013C86">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C2C06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8AB22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C30摩阻机基础垫层</w:t>
            </w:r>
          </w:p>
        </w:tc>
        <w:tc>
          <w:tcPr>
            <w:tcW w:w="2199" w:type="dxa"/>
            <w:tcBorders>
              <w:top w:val="single" w:color="000000" w:sz="4" w:space="0"/>
              <w:left w:val="single" w:color="000000" w:sz="4" w:space="0"/>
              <w:bottom w:val="single" w:color="000000" w:sz="4" w:space="0"/>
              <w:right w:val="single" w:color="000000" w:sz="4" w:space="0"/>
            </w:tcBorders>
            <w:vAlign w:val="center"/>
          </w:tcPr>
          <w:p w14:paraId="2CC817D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1194251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0BEE0AC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2.6</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28947C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E857D2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BF9A07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5820BD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0B9FB1D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35724C7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BB9C48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53.5</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74CAAA0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CC430AE">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1DB359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16DFC1A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7D7A2C1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AB5430C">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26E9A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12.51</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0E629E6">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详见图纸和采购需求</w:t>
            </w:r>
          </w:p>
        </w:tc>
      </w:tr>
      <w:tr w14:paraId="64EDC37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500949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2974A246">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19FB9FBB">
            <w:pPr>
              <w:widowControl/>
              <w:spacing w:line="400" w:lineRule="exact"/>
              <w:rPr>
                <w:rFonts w:eastAsia="宋体"/>
                <w:color w:val="auto"/>
                <w:kern w:val="0"/>
                <w:sz w:val="20"/>
                <w:highlight w:val="none"/>
              </w:rPr>
            </w:pPr>
          </w:p>
        </w:tc>
      </w:tr>
      <w:tr w14:paraId="40DFE50F">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72FA01D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89D5AA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1F4816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719" w:type="dxa"/>
            <w:tcBorders>
              <w:top w:val="single" w:color="000000" w:sz="4" w:space="0"/>
              <w:left w:val="single" w:color="000000" w:sz="4" w:space="0"/>
              <w:bottom w:val="single" w:color="000000" w:sz="4" w:space="0"/>
              <w:right w:val="single" w:color="000000" w:sz="4" w:space="0"/>
            </w:tcBorders>
            <w:vAlign w:val="center"/>
          </w:tcPr>
          <w:p w14:paraId="7979B8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3C9103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9.65</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670C372C">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6C551E2">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509938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1E5FFE6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3B03D1E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719" w:type="dxa"/>
            <w:tcBorders>
              <w:top w:val="single" w:color="000000" w:sz="4" w:space="0"/>
              <w:left w:val="single" w:color="000000" w:sz="4" w:space="0"/>
              <w:bottom w:val="single" w:color="000000" w:sz="4" w:space="0"/>
              <w:right w:val="single" w:color="000000" w:sz="4" w:space="0"/>
            </w:tcBorders>
            <w:vAlign w:val="center"/>
          </w:tcPr>
          <w:p w14:paraId="06FDEE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257472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5.41</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D27ADF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8A9646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FAEA89D">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5DD6ACBF">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4729FA26">
            <w:pPr>
              <w:widowControl/>
              <w:spacing w:line="400" w:lineRule="exact"/>
              <w:rPr>
                <w:rFonts w:eastAsia="宋体"/>
                <w:color w:val="auto"/>
                <w:kern w:val="0"/>
                <w:sz w:val="20"/>
                <w:highlight w:val="none"/>
                <w:lang w:eastAsia="en-US"/>
              </w:rPr>
            </w:pPr>
          </w:p>
        </w:tc>
      </w:tr>
      <w:tr w14:paraId="427AF109">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6C3ACA7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438AC9A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6×37型Φ44.0不锈钢钢丝绳</w:t>
            </w:r>
          </w:p>
        </w:tc>
        <w:tc>
          <w:tcPr>
            <w:tcW w:w="2199" w:type="dxa"/>
            <w:tcBorders>
              <w:top w:val="single" w:color="000000" w:sz="4" w:space="0"/>
              <w:left w:val="single" w:color="000000" w:sz="4" w:space="0"/>
              <w:bottom w:val="single" w:color="000000" w:sz="4" w:space="0"/>
              <w:right w:val="single" w:color="000000" w:sz="4" w:space="0"/>
            </w:tcBorders>
            <w:vAlign w:val="center"/>
          </w:tcPr>
          <w:p w14:paraId="5FB1CF11">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83310B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10865C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9.57</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768EE5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D1FE713">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8" w:space="0"/>
              <w:bottom w:val="single" w:color="000000" w:sz="4" w:space="0"/>
              <w:right w:val="nil"/>
            </w:tcBorders>
            <w:vAlign w:val="center"/>
          </w:tcPr>
          <w:p w14:paraId="183A02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1C44AEE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2199" w:type="dxa"/>
            <w:tcBorders>
              <w:top w:val="single" w:color="000000" w:sz="4" w:space="0"/>
              <w:left w:val="single" w:color="000000" w:sz="4" w:space="0"/>
              <w:bottom w:val="single" w:color="000000" w:sz="4" w:space="0"/>
              <w:right w:val="single" w:color="000000" w:sz="4" w:space="0"/>
            </w:tcBorders>
            <w:vAlign w:val="center"/>
          </w:tcPr>
          <w:p w14:paraId="147386C4">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719" w:type="dxa"/>
            <w:tcBorders>
              <w:top w:val="single" w:color="000000" w:sz="4" w:space="0"/>
              <w:left w:val="single" w:color="000000" w:sz="4" w:space="0"/>
              <w:bottom w:val="single" w:color="000000" w:sz="4" w:space="0"/>
              <w:right w:val="single" w:color="000000" w:sz="4" w:space="0"/>
            </w:tcBorders>
            <w:vAlign w:val="center"/>
          </w:tcPr>
          <w:p w14:paraId="178135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722C54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666D37BA">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09D1C7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nil"/>
              <w:right w:val="nil"/>
            </w:tcBorders>
            <w:vAlign w:val="center"/>
          </w:tcPr>
          <w:p w14:paraId="5F6631B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5059" w:type="dxa"/>
            <w:gridSpan w:val="4"/>
            <w:tcBorders>
              <w:top w:val="single" w:color="000000" w:sz="4" w:space="0"/>
              <w:left w:val="single" w:color="000000" w:sz="4" w:space="0"/>
              <w:bottom w:val="nil"/>
              <w:right w:val="single" w:color="000000" w:sz="4" w:space="0"/>
            </w:tcBorders>
            <w:noWrap/>
            <w:vAlign w:val="center"/>
          </w:tcPr>
          <w:p w14:paraId="5BA9C110">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2718" w:type="dxa"/>
            <w:tcBorders>
              <w:top w:val="single" w:color="000000" w:sz="4" w:space="0"/>
              <w:left w:val="single" w:color="000000" w:sz="4" w:space="0"/>
              <w:bottom w:val="nil"/>
              <w:right w:val="single" w:color="000000" w:sz="4" w:space="0"/>
            </w:tcBorders>
            <w:noWrap/>
            <w:vAlign w:val="bottom"/>
          </w:tcPr>
          <w:p w14:paraId="23888C17">
            <w:pPr>
              <w:widowControl/>
              <w:spacing w:line="400" w:lineRule="exact"/>
              <w:rPr>
                <w:rFonts w:eastAsia="宋体"/>
                <w:color w:val="auto"/>
                <w:kern w:val="0"/>
                <w:sz w:val="20"/>
                <w:highlight w:val="none"/>
                <w:lang w:eastAsia="en-US"/>
              </w:rPr>
            </w:pPr>
          </w:p>
        </w:tc>
      </w:tr>
      <w:tr w14:paraId="38D0C985">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7AC80C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E55BF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773D1E8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包含主摩阻机和副摩阻机，摩阻机阻滑力设定为800kN</w:t>
            </w:r>
          </w:p>
        </w:tc>
        <w:tc>
          <w:tcPr>
            <w:tcW w:w="719" w:type="dxa"/>
            <w:tcBorders>
              <w:top w:val="single" w:color="000000" w:sz="4" w:space="0"/>
              <w:left w:val="single" w:color="000000" w:sz="4" w:space="0"/>
              <w:bottom w:val="single" w:color="000000" w:sz="4" w:space="0"/>
              <w:right w:val="single" w:color="000000" w:sz="4" w:space="0"/>
            </w:tcBorders>
            <w:vAlign w:val="center"/>
          </w:tcPr>
          <w:p w14:paraId="4379F9C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464290F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F6D4CA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03B4F5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1322D1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66341A3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2199" w:type="dxa"/>
            <w:tcBorders>
              <w:top w:val="single" w:color="000000" w:sz="4" w:space="0"/>
              <w:left w:val="single" w:color="000000" w:sz="4" w:space="0"/>
              <w:bottom w:val="single" w:color="000000" w:sz="4" w:space="0"/>
              <w:right w:val="single" w:color="000000" w:sz="4" w:space="0"/>
            </w:tcBorders>
            <w:vAlign w:val="center"/>
          </w:tcPr>
          <w:p w14:paraId="30900B42">
            <w:pPr>
              <w:widowControl/>
              <w:spacing w:line="400" w:lineRule="exact"/>
              <w:jc w:val="lef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719" w:type="dxa"/>
            <w:tcBorders>
              <w:top w:val="single" w:color="000000" w:sz="4" w:space="0"/>
              <w:left w:val="single" w:color="000000" w:sz="4" w:space="0"/>
              <w:bottom w:val="single" w:color="000000" w:sz="4" w:space="0"/>
              <w:right w:val="single" w:color="000000" w:sz="4" w:space="0"/>
            </w:tcBorders>
            <w:vAlign w:val="center"/>
          </w:tcPr>
          <w:p w14:paraId="40E7150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052A07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D8FB79D">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7500FF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noWrap/>
            <w:vAlign w:val="bottom"/>
          </w:tcPr>
          <w:p w14:paraId="4843A96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1B4323FE">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2DF12C95">
            <w:pPr>
              <w:widowControl/>
              <w:spacing w:line="400" w:lineRule="exact"/>
              <w:rPr>
                <w:rFonts w:eastAsia="宋体"/>
                <w:color w:val="auto"/>
                <w:kern w:val="0"/>
                <w:sz w:val="20"/>
                <w:highlight w:val="none"/>
                <w:lang w:eastAsia="en-US"/>
              </w:rPr>
            </w:pPr>
          </w:p>
        </w:tc>
      </w:tr>
      <w:tr w14:paraId="4161266D">
        <w:tblPrEx>
          <w:tblCellMar>
            <w:top w:w="0" w:type="dxa"/>
            <w:left w:w="108" w:type="dxa"/>
            <w:bottom w:w="0" w:type="dxa"/>
            <w:right w:w="108" w:type="dxa"/>
          </w:tblCellMar>
        </w:tblPrEx>
        <w:trPr>
          <w:trHeight w:val="127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20834ED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625FF0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394287D4">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4D630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496B3D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54C76B1A">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687CA77D">
        <w:tblPrEx>
          <w:tblCellMar>
            <w:top w:w="0" w:type="dxa"/>
            <w:left w:w="108" w:type="dxa"/>
            <w:bottom w:w="0" w:type="dxa"/>
            <w:right w:w="108" w:type="dxa"/>
          </w:tblCellMar>
        </w:tblPrEx>
        <w:trPr>
          <w:trHeight w:val="204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3676A9F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6568E8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0F0B340F">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0E8EB3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434179B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27D334B">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7A0F445A">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0952A21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1A05BF5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06BE366">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6F55F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3791082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EB6CC16">
            <w:pPr>
              <w:widowControl/>
              <w:spacing w:line="400" w:lineRule="exact"/>
              <w:jc w:val="left"/>
              <w:rPr>
                <w:rFonts w:eastAsia="宋体"/>
                <w:color w:val="auto"/>
                <w:kern w:val="0"/>
                <w:sz w:val="21"/>
                <w:szCs w:val="21"/>
                <w:highlight w:val="none"/>
                <w:lang w:eastAsia="en-US"/>
              </w:rPr>
            </w:pPr>
          </w:p>
        </w:tc>
      </w:tr>
      <w:tr w14:paraId="45894DFD">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4D4B84A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A91773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83449F3">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46AA0E79">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63E742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3ADBB395">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242F2317">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5FC93FB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776392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1A1C92E">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BA59E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74CA8FD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41E2A7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BE6D876">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00AE306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21FC97F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4726CF0">
            <w:pPr>
              <w:widowControl/>
              <w:spacing w:line="400" w:lineRule="exact"/>
              <w:rPr>
                <w:rFonts w:eastAsia="宋体"/>
                <w:color w:val="auto"/>
                <w:kern w:val="0"/>
                <w:sz w:val="20"/>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02A3DDD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3869172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D26A3F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01C1D1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57A791A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11E484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514B9D25">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E8FD9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797D3E7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5F4DF1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4F1E037C">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付款方式、工期、验收</w:t>
      </w:r>
    </w:p>
    <w:p w14:paraId="7E1F719E">
      <w:pPr>
        <w:pStyle w:val="64"/>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（一）付款方式：</w:t>
      </w:r>
    </w:p>
    <w:p w14:paraId="118F5F16">
      <w:pPr>
        <w:pStyle w:val="64"/>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7.1 该项目为江都西闸上游拦船设施改建和万福闸新河、壁虎河尾段增设行洪安全设施合并项目，合同签订主体为江苏省江都水利工程管理处。</w:t>
      </w:r>
    </w:p>
    <w:p w14:paraId="515860F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7.2 </w:t>
      </w:r>
      <w:r>
        <w:rPr>
          <w:rFonts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rPr>
        <w:t>双方签订合同前，乙方需缴纳履约保证金或履约保函（合同金额的10%）；签订合同后，甲方向乙方预付合同总价的30%；现场硬件设施施工安装结束支付至合同总价的9</w:t>
      </w:r>
      <w:r>
        <w:rPr>
          <w:rFonts w:hint="eastAsia" w:ascii="宋体" w:hAnsi="宋体" w:cs="宋体"/>
          <w:b/>
          <w:bCs/>
          <w:color w:val="auto"/>
          <w:sz w:val="24"/>
          <w:szCs w:val="24"/>
          <w:highlight w:val="none"/>
          <w:u w:val="single"/>
        </w:rPr>
        <w:t>0</w:t>
      </w:r>
      <w:r>
        <w:rPr>
          <w:rFonts w:hint="eastAsia" w:ascii="宋体" w:hAnsi="宋体" w:eastAsia="宋体" w:cs="宋体"/>
          <w:b/>
          <w:bCs/>
          <w:color w:val="auto"/>
          <w:sz w:val="24"/>
          <w:szCs w:val="24"/>
          <w:highlight w:val="none"/>
          <w:u w:val="single"/>
        </w:rPr>
        <w:t>%；验收合格、审计结束后甲方向乙方支付剩余款项。其中，江都闸工程部分由江都闸管理所支付，万福闸工程部分由万福闸管理所支付。成交供应商须无条件接受和配合采购人及其上级部门对本项目的审计工作。在行业标准规定的质保期内，采购人保留对成交供应商工程遗留问题的追诉权。</w:t>
      </w:r>
    </w:p>
    <w:p w14:paraId="2F9C5161">
      <w:pPr>
        <w:pStyle w:val="64"/>
        <w:spacing w:line="360" w:lineRule="auto"/>
        <w:ind w:firstLine="480" w:firstLineChars="200"/>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7.3</w:t>
      </w:r>
      <w:r>
        <w:rPr>
          <w:rFonts w:hint="eastAsia" w:ascii="宋体" w:hAnsi="宋体" w:cs="宋体"/>
          <w:b/>
          <w:bCs/>
          <w:color w:val="auto"/>
          <w:sz w:val="24"/>
          <w:szCs w:val="24"/>
          <w:highlight w:val="none"/>
        </w:rPr>
        <w:t xml:space="preserve"> </w:t>
      </w:r>
      <w:r>
        <w:rPr>
          <w:rFonts w:hint="eastAsia" w:ascii="宋体" w:hAnsi="宋体" w:cs="宋体"/>
          <w:color w:val="auto"/>
          <w:kern w:val="0"/>
          <w:sz w:val="24"/>
          <w:szCs w:val="24"/>
          <w:highlight w:val="none"/>
        </w:rPr>
        <w:t>结合本项目各部分实施内容，乙方需分别向江都闸管理所、万福闸管理所开具合法有效的增值税发票，发票开具内容、金额应与对应实施内容匹配，甲方凭合规有效发票办理付款。乙方未按要求开具发票的，甲方有权顺延付款，不承担逾期付款责任。</w:t>
      </w:r>
    </w:p>
    <w:p w14:paraId="6D5C6FEB">
      <w:pPr>
        <w:pStyle w:val="64"/>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（二）工期：</w:t>
      </w:r>
    </w:p>
    <w:p w14:paraId="619C27CA">
      <w:pPr>
        <w:spacing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合同签订后50天内，完成合同约定内容并通过验收，具体安排按照采购人要求。</w:t>
      </w:r>
    </w:p>
    <w:p w14:paraId="73B142AA">
      <w:pPr>
        <w:pStyle w:val="64"/>
        <w:numPr>
          <w:ilvl w:val="0"/>
          <w:numId w:val="3"/>
        </w:numP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验收：</w:t>
      </w:r>
    </w:p>
    <w:p w14:paraId="7642F29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符合国家和行业规定的有关标准，满足采购文件和项目实施方案的要求，通过采购人组织的验收。</w:t>
      </w:r>
      <w:r>
        <w:rPr>
          <w:rFonts w:hint="eastAsia" w:ascii="宋体" w:hAnsi="宋体" w:eastAsia="宋体" w:cs="宋体"/>
          <w:b/>
          <w:bCs/>
          <w:color w:val="auto"/>
          <w:sz w:val="24"/>
          <w:szCs w:val="24"/>
          <w:highlight w:val="none"/>
        </w:rPr>
        <w:t>项目验收相关费用由供应商承担。</w:t>
      </w:r>
    </w:p>
    <w:p w14:paraId="27CD6657">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售后要求</w:t>
      </w:r>
    </w:p>
    <w:p w14:paraId="01AD95BF">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本项目整体免费质保期不少于2年</w:t>
      </w:r>
      <w:r>
        <w:rPr>
          <w:rFonts w:hint="eastAsia" w:ascii="宋体" w:hAnsi="宋体" w:eastAsia="宋体" w:cs="宋体"/>
          <w:color w:val="auto"/>
          <w:sz w:val="24"/>
          <w:szCs w:val="24"/>
          <w:highlight w:val="none"/>
        </w:rPr>
        <w:t>，自项目竣工验收合格签字之日起计算；若设备原厂质保年限高于本要求，按原厂更高质保执行。质保范围包含全部设备、构件、安装施工质量问题，质保期内因材料、制造、施工工艺缺陷产生的损坏、故障，由中标人免费维修、更换配件及上门服务，全部费用由中标人承担；人为损坏、外力船舶撞击、洪水雷击等不可抗力造成损坏不在免费质保范围内。摩阻机、钢丝绳、浮筒、浮标、球形摄像机等关键设备更换部件，新部件重新享有对应质保周期。</w:t>
      </w:r>
    </w:p>
    <w:p w14:paraId="3655358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工程量清单报价表</w:t>
      </w:r>
    </w:p>
    <w:p w14:paraId="641200E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9.1投标人报价时应考虑合同明示或暗示的所有责任、义务和一般风险，并将这部分费用包含在投标报价的综合单价中。除合同另有规定外，投标人所报的综合单价一概不予调整。工程量清单中明示的所有项目的费用，以及其他一切为实现本招标工程目标所需的各项费用均应包含在投标报价中。</w:t>
      </w:r>
    </w:p>
    <w:p w14:paraId="2ED137F8">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9.2投标人应负责办理为执行本招标文件规定义务而投入的机具设备和运输工具的财产保险、人身保险、第三者责任险、设备材料运输险、包装物的保险及其他相关险种，保险费由投标人承担并支付，并包含在投标清单各项的综合单价中，发包人不再单独支付。</w:t>
      </w:r>
    </w:p>
    <w:p w14:paraId="2B7120A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9.3根据国家相关规定，凡要求投标人办理的一切手续（包括投标和中标后的各种手续）均由投标人自行调查并办理，并承担一切费用。</w:t>
      </w:r>
    </w:p>
    <w:p w14:paraId="57804ABA">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9.4清单报价中有计算或汇总中的算术错误时，应按以下原则改正。</w:t>
      </w:r>
    </w:p>
    <w:p w14:paraId="7A01078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（1）投标报价清单中任一项目的单价乘其工程量的乘积与该项目的合价不吻合时，应以单价为准，改正合价。但经合同双方共同核对后认为单价有明显的小数点错位时，则应以合价为准，改正单价。</w:t>
      </w:r>
    </w:p>
    <w:p w14:paraId="65D08ACF">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（2）若投标报价汇总表中的金额与相应的各分组工程量清单中的合计金额不吻合时，应以修正算术错误后的各分组工程量清单中的合计金额为准，改正投标报价汇总表中相应部分的金额和投标总报价。</w:t>
      </w:r>
    </w:p>
    <w:p w14:paraId="1E9C517E">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9.5除合同另有规定外，在投标截止日前28天当时所依据的国家法律、行政法规、国务院有关部门的规章以及工程所在地的省、自治区、直辖市的地方性法规和规章中规定应由承包人缴纳的税金和其它费用均应计入单价、合价和总报价中。</w:t>
      </w:r>
    </w:p>
    <w:p w14:paraId="253D76A5">
      <w:pPr>
        <w:widowControl/>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9.6为实现采购文件中要求的所有设备所具有的功能而需要的其它硬件以及采购文件未提及的其它设备的选择配置等均由供应商自己一并考虑，其费用包含在总报价中，不得要求采购人另外增加费用。</w:t>
      </w:r>
    </w:p>
    <w:p w14:paraId="6BCF3D3F">
      <w:pPr>
        <w:rPr>
          <w:color w:val="auto"/>
          <w:highlight w:val="none"/>
        </w:rPr>
      </w:pPr>
    </w:p>
    <w:p w14:paraId="48570062">
      <w:pPr>
        <w:spacing w:line="360" w:lineRule="auto"/>
        <w:jc w:val="center"/>
        <w:rPr>
          <w:rFonts w:hint="eastAsia" w:ascii="宋体" w:hAnsi="宋体" w:eastAsia="宋体" w:cs="宋体"/>
          <w:b/>
          <w:bCs/>
          <w:i/>
          <w:iCs/>
          <w:color w:val="auto"/>
          <w:sz w:val="28"/>
          <w:szCs w:val="28"/>
          <w:highlight w:val="none"/>
          <w:u w:val="single"/>
        </w:rPr>
      </w:pPr>
      <w:r>
        <w:rPr>
          <w:rFonts w:hint="eastAsia" w:ascii="宋体" w:hAnsi="宋体" w:eastAsia="宋体" w:cs="宋体"/>
          <w:b/>
          <w:bCs/>
          <w:i/>
          <w:iCs/>
          <w:color w:val="auto"/>
          <w:sz w:val="28"/>
          <w:szCs w:val="28"/>
          <w:highlight w:val="none"/>
          <w:u w:val="single"/>
        </w:rPr>
        <w:t>（投标总报价不得高于项目总预算和最高限价，否则做否决投标处理）</w:t>
      </w:r>
    </w:p>
    <w:p w14:paraId="38F04F14">
      <w:pPr>
        <w:spacing w:line="360" w:lineRule="auto"/>
        <w:ind w:firstLine="480" w:firstLineChars="200"/>
        <w:jc w:val="both"/>
        <w:rPr>
          <w:rFonts w:hint="eastAsia" w:ascii="宋体" w:hAnsi="宋体" w:eastAsia="宋体" w:cs="宋体"/>
          <w:b/>
          <w:bCs/>
          <w:color w:val="auto"/>
          <w:sz w:val="24"/>
          <w:szCs w:val="24"/>
          <w:highlight w:val="none"/>
          <w:u w:val="single"/>
        </w:rPr>
      </w:pPr>
      <w:r>
        <w:rPr>
          <w:rFonts w:hint="eastAsia" w:eastAsia="宋体"/>
          <w:color w:val="auto"/>
          <w:sz w:val="24"/>
          <w:szCs w:val="22"/>
          <w:highlight w:val="none"/>
        </w:rPr>
        <w:t>（</w:t>
      </w:r>
      <w:r>
        <w:rPr>
          <w:rFonts w:hint="eastAsia" w:ascii="宋体" w:hAnsi="宋体" w:eastAsia="宋体" w:cs="宋体"/>
          <w:color w:val="auto"/>
          <w:kern w:val="0"/>
          <w:sz w:val="24"/>
          <w:szCs w:val="24"/>
          <w:highlight w:val="none"/>
        </w:rPr>
        <w:t>该项目为江都西闸上游拦船设施改建和万福闸新河、壁虎河尾段增设行洪安全设施合并项目</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其中，江都西闸上游拦船设施改建</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壹佰壹拾柒万叁仟柒佰元整（RMB117.37万元）</w:t>
      </w:r>
      <w:r>
        <w:rPr>
          <w:rFonts w:hint="eastAsia" w:eastAsia="宋体"/>
          <w:color w:val="auto"/>
          <w:sz w:val="24"/>
          <w:szCs w:val="22"/>
          <w:highlight w:val="none"/>
          <w:lang w:eastAsia="zh-CN"/>
        </w:rPr>
        <w:t>；</w:t>
      </w:r>
      <w:r>
        <w:rPr>
          <w:rFonts w:hint="eastAsia" w:ascii="宋体" w:hAnsi="宋体" w:eastAsia="宋体" w:cs="宋体"/>
          <w:color w:val="auto"/>
          <w:kern w:val="0"/>
          <w:sz w:val="24"/>
          <w:szCs w:val="24"/>
          <w:highlight w:val="none"/>
        </w:rPr>
        <w:t>万福闸新河、壁虎河尾段增设行洪安全设施</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玖拾贰万壹仟伍佰元整（RMB92.15万元）</w:t>
      </w:r>
      <w:r>
        <w:rPr>
          <w:rFonts w:hint="eastAsia" w:eastAsia="宋体"/>
          <w:color w:val="auto"/>
          <w:sz w:val="24"/>
          <w:szCs w:val="22"/>
          <w:highlight w:val="none"/>
        </w:rPr>
        <w:t>）。</w:t>
      </w:r>
    </w:p>
    <w:p w14:paraId="462BBC3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江都西闸上游及万福闸上游（新河、壁虎河侧）拦船设施建设项目报价汇总表</w:t>
      </w:r>
    </w:p>
    <w:tbl>
      <w:tblPr>
        <w:tblStyle w:val="28"/>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3727"/>
        <w:gridCol w:w="750"/>
        <w:gridCol w:w="739"/>
        <w:gridCol w:w="2250"/>
        <w:gridCol w:w="1777"/>
      </w:tblGrid>
      <w:tr w14:paraId="6A91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83" w:type="dxa"/>
            <w:vAlign w:val="center"/>
          </w:tcPr>
          <w:p w14:paraId="3F0A09EA">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序号</w:t>
            </w:r>
          </w:p>
        </w:tc>
        <w:tc>
          <w:tcPr>
            <w:tcW w:w="3727" w:type="dxa"/>
            <w:vAlign w:val="center"/>
          </w:tcPr>
          <w:p w14:paraId="1B64ED62">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名称</w:t>
            </w:r>
          </w:p>
        </w:tc>
        <w:tc>
          <w:tcPr>
            <w:tcW w:w="750" w:type="dxa"/>
            <w:vAlign w:val="center"/>
          </w:tcPr>
          <w:p w14:paraId="725C9F36">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单位</w:t>
            </w:r>
          </w:p>
        </w:tc>
        <w:tc>
          <w:tcPr>
            <w:tcW w:w="739" w:type="dxa"/>
            <w:vAlign w:val="center"/>
          </w:tcPr>
          <w:p w14:paraId="717BAE7B">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数量</w:t>
            </w:r>
          </w:p>
        </w:tc>
        <w:tc>
          <w:tcPr>
            <w:tcW w:w="2250" w:type="dxa"/>
            <w:vAlign w:val="center"/>
          </w:tcPr>
          <w:p w14:paraId="718436A7">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报价</w:t>
            </w:r>
          </w:p>
        </w:tc>
        <w:tc>
          <w:tcPr>
            <w:tcW w:w="1777" w:type="dxa"/>
            <w:vAlign w:val="center"/>
          </w:tcPr>
          <w:p w14:paraId="5C2DDCF8">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备注</w:t>
            </w:r>
          </w:p>
        </w:tc>
      </w:tr>
      <w:tr w14:paraId="3803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83" w:type="dxa"/>
            <w:vAlign w:val="center"/>
          </w:tcPr>
          <w:p w14:paraId="1481FE79">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w:t>
            </w:r>
          </w:p>
        </w:tc>
        <w:tc>
          <w:tcPr>
            <w:tcW w:w="3727" w:type="dxa"/>
            <w:vAlign w:val="center"/>
          </w:tcPr>
          <w:p w14:paraId="79D572BB">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江都西闸上游拦船设施改建</w:t>
            </w:r>
          </w:p>
        </w:tc>
        <w:tc>
          <w:tcPr>
            <w:tcW w:w="750" w:type="dxa"/>
            <w:vAlign w:val="center"/>
          </w:tcPr>
          <w:p w14:paraId="78831BBE">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w:t>
            </w:r>
          </w:p>
        </w:tc>
        <w:tc>
          <w:tcPr>
            <w:tcW w:w="739" w:type="dxa"/>
            <w:vAlign w:val="center"/>
          </w:tcPr>
          <w:p w14:paraId="187F4ED4">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250" w:type="dxa"/>
            <w:vAlign w:val="center"/>
          </w:tcPr>
          <w:p w14:paraId="6DF38B81">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6764EAA3">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0"/>
                <w:highlight w:val="none"/>
              </w:rPr>
              <w:t>详见报价明细表1</w:t>
            </w:r>
          </w:p>
        </w:tc>
      </w:tr>
      <w:tr w14:paraId="55F6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83" w:type="dxa"/>
            <w:vAlign w:val="center"/>
          </w:tcPr>
          <w:p w14:paraId="298FD52A">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w:t>
            </w:r>
          </w:p>
        </w:tc>
        <w:tc>
          <w:tcPr>
            <w:tcW w:w="3727" w:type="dxa"/>
            <w:vAlign w:val="center"/>
          </w:tcPr>
          <w:p w14:paraId="7BED39B8">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万福闸新河、壁虎河尾段增设行洪安全设施</w:t>
            </w:r>
          </w:p>
        </w:tc>
        <w:tc>
          <w:tcPr>
            <w:tcW w:w="750" w:type="dxa"/>
            <w:vAlign w:val="center"/>
          </w:tcPr>
          <w:p w14:paraId="6E86CFB6">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w:t>
            </w:r>
          </w:p>
        </w:tc>
        <w:tc>
          <w:tcPr>
            <w:tcW w:w="739" w:type="dxa"/>
            <w:vAlign w:val="center"/>
          </w:tcPr>
          <w:p w14:paraId="45818041">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250" w:type="dxa"/>
            <w:vAlign w:val="center"/>
          </w:tcPr>
          <w:p w14:paraId="61BC11E2">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1D733A82">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0"/>
                <w:highlight w:val="none"/>
              </w:rPr>
              <w:t>详见报价明细表2</w:t>
            </w:r>
          </w:p>
        </w:tc>
      </w:tr>
      <w:tr w14:paraId="094E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83" w:type="dxa"/>
            <w:vAlign w:val="center"/>
          </w:tcPr>
          <w:p w14:paraId="15244422">
            <w:pPr>
              <w:widowControl/>
              <w:jc w:val="center"/>
              <w:textAlignment w:val="bottom"/>
              <w:rPr>
                <w:rFonts w:hint="eastAsia" w:ascii="宋体" w:hAnsi="宋体" w:eastAsia="宋体" w:cs="宋体"/>
                <w:b/>
                <w:bCs/>
                <w:color w:val="auto"/>
                <w:sz w:val="24"/>
                <w:szCs w:val="24"/>
                <w:highlight w:val="none"/>
              </w:rPr>
            </w:pPr>
          </w:p>
        </w:tc>
        <w:tc>
          <w:tcPr>
            <w:tcW w:w="3727" w:type="dxa"/>
            <w:vAlign w:val="center"/>
          </w:tcPr>
          <w:p w14:paraId="4DF9A0F1">
            <w:pPr>
              <w:widowControl/>
              <w:jc w:val="center"/>
              <w:textAlignment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合计</w:t>
            </w:r>
          </w:p>
        </w:tc>
        <w:tc>
          <w:tcPr>
            <w:tcW w:w="750" w:type="dxa"/>
            <w:vAlign w:val="center"/>
          </w:tcPr>
          <w:p w14:paraId="5F676AAD">
            <w:pPr>
              <w:widowControl/>
              <w:jc w:val="center"/>
              <w:textAlignment w:val="bottom"/>
              <w:rPr>
                <w:rFonts w:hint="eastAsia" w:ascii="宋体" w:hAnsi="宋体" w:eastAsia="宋体" w:cs="宋体"/>
                <w:color w:val="auto"/>
                <w:sz w:val="22"/>
                <w:szCs w:val="22"/>
                <w:highlight w:val="none"/>
              </w:rPr>
            </w:pPr>
          </w:p>
        </w:tc>
        <w:tc>
          <w:tcPr>
            <w:tcW w:w="739" w:type="dxa"/>
            <w:vAlign w:val="center"/>
          </w:tcPr>
          <w:p w14:paraId="6253077F">
            <w:pPr>
              <w:widowControl/>
              <w:jc w:val="center"/>
              <w:textAlignment w:val="bottom"/>
              <w:rPr>
                <w:rFonts w:hint="eastAsia" w:ascii="宋体" w:hAnsi="宋体" w:eastAsia="宋体" w:cs="宋体"/>
                <w:color w:val="auto"/>
                <w:sz w:val="22"/>
                <w:szCs w:val="22"/>
                <w:highlight w:val="none"/>
              </w:rPr>
            </w:pPr>
          </w:p>
        </w:tc>
        <w:tc>
          <w:tcPr>
            <w:tcW w:w="2250" w:type="dxa"/>
            <w:vAlign w:val="center"/>
          </w:tcPr>
          <w:p w14:paraId="2464754C">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5738153D">
            <w:pPr>
              <w:widowControl/>
              <w:jc w:val="center"/>
              <w:textAlignment w:val="bottom"/>
              <w:rPr>
                <w:rFonts w:hint="eastAsia" w:ascii="宋体" w:hAnsi="宋体" w:eastAsia="宋体" w:cs="宋体"/>
                <w:color w:val="auto"/>
                <w:sz w:val="22"/>
                <w:szCs w:val="22"/>
                <w:highlight w:val="none"/>
              </w:rPr>
            </w:pPr>
          </w:p>
        </w:tc>
      </w:tr>
    </w:tbl>
    <w:p w14:paraId="670AC68B">
      <w:pPr>
        <w:rPr>
          <w:rFonts w:hint="eastAsia" w:ascii="宋体" w:hAnsi="宋体" w:eastAsia="宋体" w:cs="宋体"/>
          <w:color w:val="auto"/>
          <w:sz w:val="24"/>
          <w:szCs w:val="24"/>
          <w:highlight w:val="none"/>
        </w:rPr>
      </w:pPr>
    </w:p>
    <w:p w14:paraId="6C0E716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报价明细表1（江都西闸上游拦船设施改建）</w:t>
      </w:r>
    </w:p>
    <w:tbl>
      <w:tblPr>
        <w:tblStyle w:val="27"/>
        <w:tblW w:w="4894" w:type="pct"/>
        <w:tblInd w:w="0" w:type="dxa"/>
        <w:tblLayout w:type="fixed"/>
        <w:tblCellMar>
          <w:top w:w="0" w:type="dxa"/>
          <w:left w:w="108" w:type="dxa"/>
          <w:bottom w:w="0" w:type="dxa"/>
          <w:right w:w="108" w:type="dxa"/>
        </w:tblCellMar>
      </w:tblPr>
      <w:tblGrid>
        <w:gridCol w:w="848"/>
        <w:gridCol w:w="1203"/>
        <w:gridCol w:w="2029"/>
        <w:gridCol w:w="706"/>
        <w:gridCol w:w="731"/>
        <w:gridCol w:w="757"/>
        <w:gridCol w:w="821"/>
        <w:gridCol w:w="2340"/>
      </w:tblGrid>
      <w:tr w14:paraId="48F048C5">
        <w:tblPrEx>
          <w:tblCellMar>
            <w:top w:w="0" w:type="dxa"/>
            <w:left w:w="108" w:type="dxa"/>
            <w:bottom w:w="0" w:type="dxa"/>
            <w:right w:w="108" w:type="dxa"/>
          </w:tblCellMar>
        </w:tblPrEx>
        <w:trPr>
          <w:trHeight w:val="510" w:hRule="atLeast"/>
        </w:trPr>
        <w:tc>
          <w:tcPr>
            <w:tcW w:w="449"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1FD24B81">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序号</w:t>
            </w:r>
          </w:p>
        </w:tc>
        <w:tc>
          <w:tcPr>
            <w:tcW w:w="637"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4A007B0B">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项目名称</w:t>
            </w:r>
          </w:p>
        </w:tc>
        <w:tc>
          <w:tcPr>
            <w:tcW w:w="1075"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22FBF32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项目特征描述</w:t>
            </w:r>
          </w:p>
        </w:tc>
        <w:tc>
          <w:tcPr>
            <w:tcW w:w="374"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5921A404">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单位</w:t>
            </w:r>
          </w:p>
        </w:tc>
        <w:tc>
          <w:tcPr>
            <w:tcW w:w="386"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2E20D5E2">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数量</w:t>
            </w:r>
          </w:p>
        </w:tc>
        <w:tc>
          <w:tcPr>
            <w:tcW w:w="401"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748B7990">
            <w:pPr>
              <w:widowControl/>
              <w:jc w:val="center"/>
              <w:textAlignment w:val="center"/>
              <w:rPr>
                <w:rFonts w:eastAsia="黑体"/>
                <w:color w:val="auto"/>
                <w:kern w:val="0"/>
                <w:sz w:val="21"/>
                <w:szCs w:val="21"/>
                <w:highlight w:val="none"/>
                <w:lang w:bidi="ar"/>
              </w:rPr>
            </w:pPr>
            <w:r>
              <w:rPr>
                <w:rFonts w:hint="eastAsia" w:eastAsia="黑体"/>
                <w:color w:val="auto"/>
                <w:kern w:val="0"/>
                <w:sz w:val="21"/>
                <w:szCs w:val="21"/>
                <w:highlight w:val="none"/>
                <w:lang w:bidi="ar"/>
              </w:rPr>
              <w:t>单价</w:t>
            </w:r>
          </w:p>
        </w:tc>
        <w:tc>
          <w:tcPr>
            <w:tcW w:w="435"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0350CD5D">
            <w:pPr>
              <w:widowControl/>
              <w:jc w:val="center"/>
              <w:textAlignment w:val="center"/>
              <w:rPr>
                <w:rFonts w:eastAsia="黑体"/>
                <w:color w:val="auto"/>
                <w:kern w:val="0"/>
                <w:sz w:val="21"/>
                <w:szCs w:val="21"/>
                <w:highlight w:val="none"/>
                <w:lang w:bidi="ar"/>
              </w:rPr>
            </w:pPr>
            <w:r>
              <w:rPr>
                <w:rFonts w:hint="eastAsia" w:eastAsia="黑体"/>
                <w:color w:val="auto"/>
                <w:kern w:val="0"/>
                <w:sz w:val="21"/>
                <w:szCs w:val="21"/>
                <w:highlight w:val="none"/>
                <w:lang w:bidi="ar"/>
              </w:rPr>
              <w:t>合价</w:t>
            </w:r>
          </w:p>
        </w:tc>
        <w:tc>
          <w:tcPr>
            <w:tcW w:w="1240"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01E2E2AE">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备注</w:t>
            </w:r>
          </w:p>
        </w:tc>
      </w:tr>
      <w:tr w14:paraId="2308BB26">
        <w:tblPrEx>
          <w:tblCellMar>
            <w:top w:w="0" w:type="dxa"/>
            <w:left w:w="108" w:type="dxa"/>
            <w:bottom w:w="0" w:type="dxa"/>
            <w:right w:w="108" w:type="dxa"/>
          </w:tblCellMar>
        </w:tblPrEx>
        <w:trPr>
          <w:trHeight w:val="255" w:hRule="atLeast"/>
        </w:trPr>
        <w:tc>
          <w:tcPr>
            <w:tcW w:w="449" w:type="pct"/>
            <w:tcBorders>
              <w:top w:val="nil"/>
              <w:left w:val="single" w:color="000000" w:sz="8" w:space="0"/>
              <w:bottom w:val="single" w:color="000000" w:sz="4" w:space="0"/>
              <w:right w:val="single" w:color="000000" w:sz="4" w:space="0"/>
            </w:tcBorders>
            <w:shd w:val="clear" w:color="auto" w:fill="FFFFFF"/>
            <w:vAlign w:val="center"/>
          </w:tcPr>
          <w:p w14:paraId="01581D16">
            <w:pPr>
              <w:widowControl/>
              <w:jc w:val="center"/>
              <w:textAlignment w:val="center"/>
              <w:rPr>
                <w:rFonts w:eastAsia="宋体"/>
                <w:b/>
                <w:bCs/>
                <w:color w:val="auto"/>
                <w:kern w:val="0"/>
                <w:sz w:val="24"/>
                <w:szCs w:val="24"/>
                <w:highlight w:val="none"/>
                <w:lang w:bidi="ar"/>
              </w:rPr>
            </w:pPr>
          </w:p>
        </w:tc>
        <w:tc>
          <w:tcPr>
            <w:tcW w:w="2473" w:type="pct"/>
            <w:gridSpan w:val="4"/>
            <w:tcBorders>
              <w:top w:val="nil"/>
              <w:left w:val="single" w:color="000000" w:sz="4" w:space="0"/>
              <w:bottom w:val="single" w:color="000000" w:sz="4" w:space="0"/>
              <w:right w:val="single" w:color="000000" w:sz="4" w:space="0"/>
            </w:tcBorders>
            <w:shd w:val="clear" w:color="auto" w:fill="FFFFFF"/>
            <w:vAlign w:val="center"/>
          </w:tcPr>
          <w:p w14:paraId="1ED065C5">
            <w:pPr>
              <w:widowControl/>
              <w:spacing w:line="400" w:lineRule="exact"/>
              <w:jc w:val="left"/>
              <w:rPr>
                <w:rFonts w:eastAsia="黑体"/>
                <w:color w:val="auto"/>
                <w:kern w:val="0"/>
                <w:sz w:val="28"/>
                <w:szCs w:val="28"/>
                <w:highlight w:val="none"/>
              </w:rPr>
            </w:pPr>
            <w:r>
              <w:rPr>
                <w:rFonts w:eastAsia="宋体"/>
                <w:b/>
                <w:bCs/>
                <w:color w:val="auto"/>
                <w:kern w:val="0"/>
                <w:sz w:val="24"/>
                <w:szCs w:val="24"/>
                <w:highlight w:val="none"/>
                <w:lang w:bidi="ar"/>
              </w:rPr>
              <w:t>江都西闸上游拦船设施改建</w:t>
            </w:r>
          </w:p>
        </w:tc>
        <w:tc>
          <w:tcPr>
            <w:tcW w:w="401" w:type="pct"/>
            <w:tcBorders>
              <w:top w:val="nil"/>
              <w:left w:val="single" w:color="000000" w:sz="4" w:space="0"/>
              <w:bottom w:val="single" w:color="000000" w:sz="4" w:space="0"/>
              <w:right w:val="single" w:color="000000" w:sz="8" w:space="0"/>
            </w:tcBorders>
            <w:shd w:val="clear" w:color="auto" w:fill="FFFFFF"/>
            <w:vAlign w:val="center"/>
          </w:tcPr>
          <w:p w14:paraId="3F2345C1">
            <w:pPr>
              <w:widowControl/>
              <w:spacing w:line="400" w:lineRule="exact"/>
              <w:jc w:val="left"/>
              <w:rPr>
                <w:rFonts w:eastAsia="宋体"/>
                <w:b/>
                <w:bCs/>
                <w:color w:val="auto"/>
                <w:kern w:val="0"/>
                <w:sz w:val="24"/>
                <w:szCs w:val="24"/>
                <w:highlight w:val="none"/>
                <w:lang w:bidi="ar"/>
              </w:rPr>
            </w:pPr>
          </w:p>
        </w:tc>
        <w:tc>
          <w:tcPr>
            <w:tcW w:w="435" w:type="pct"/>
            <w:tcBorders>
              <w:top w:val="nil"/>
              <w:left w:val="single" w:color="000000" w:sz="4" w:space="0"/>
              <w:bottom w:val="single" w:color="000000" w:sz="4" w:space="0"/>
              <w:right w:val="single" w:color="000000" w:sz="8" w:space="0"/>
            </w:tcBorders>
            <w:shd w:val="clear" w:color="auto" w:fill="FFFFFF"/>
            <w:vAlign w:val="center"/>
          </w:tcPr>
          <w:p w14:paraId="35BD5F19">
            <w:pPr>
              <w:widowControl/>
              <w:spacing w:line="400" w:lineRule="exact"/>
              <w:jc w:val="left"/>
              <w:rPr>
                <w:rFonts w:eastAsia="宋体"/>
                <w:b/>
                <w:bCs/>
                <w:color w:val="auto"/>
                <w:kern w:val="0"/>
                <w:sz w:val="24"/>
                <w:szCs w:val="24"/>
                <w:highlight w:val="none"/>
                <w:lang w:bidi="ar"/>
              </w:rPr>
            </w:pPr>
          </w:p>
        </w:tc>
        <w:tc>
          <w:tcPr>
            <w:tcW w:w="1240" w:type="pct"/>
            <w:tcBorders>
              <w:top w:val="nil"/>
              <w:left w:val="single" w:color="000000" w:sz="4" w:space="0"/>
              <w:bottom w:val="single" w:color="000000" w:sz="4" w:space="0"/>
              <w:right w:val="single" w:color="000000" w:sz="8" w:space="0"/>
            </w:tcBorders>
            <w:shd w:val="clear" w:color="auto" w:fill="FFFFFF"/>
            <w:vAlign w:val="center"/>
          </w:tcPr>
          <w:p w14:paraId="21FDA848">
            <w:pPr>
              <w:widowControl/>
              <w:spacing w:line="400" w:lineRule="exact"/>
              <w:jc w:val="center"/>
              <w:rPr>
                <w:rFonts w:eastAsia="黑体"/>
                <w:color w:val="auto"/>
                <w:kern w:val="0"/>
                <w:sz w:val="21"/>
                <w:szCs w:val="21"/>
                <w:highlight w:val="none"/>
              </w:rPr>
            </w:pPr>
          </w:p>
        </w:tc>
      </w:tr>
      <w:tr w14:paraId="618B1764">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76838104">
            <w:pPr>
              <w:widowControl/>
              <w:jc w:val="center"/>
              <w:textAlignment w:val="center"/>
              <w:rPr>
                <w:rFonts w:eastAsia="宋体"/>
                <w:b/>
                <w:bCs/>
                <w:color w:val="auto"/>
                <w:kern w:val="0"/>
                <w:sz w:val="20"/>
                <w:highlight w:val="none"/>
                <w:lang w:eastAsia="en-US"/>
              </w:rPr>
            </w:pPr>
            <w:r>
              <w:rPr>
                <w:rFonts w:eastAsia="宋体"/>
                <w:b/>
                <w:bCs/>
                <w:color w:val="auto"/>
                <w:kern w:val="0"/>
                <w:sz w:val="20"/>
                <w:highlight w:val="none"/>
                <w:lang w:bidi="ar"/>
              </w:rPr>
              <w:t>（一）</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2A8286B8">
            <w:pPr>
              <w:widowControl/>
              <w:jc w:val="left"/>
              <w:textAlignment w:val="center"/>
              <w:rPr>
                <w:rFonts w:eastAsia="宋体"/>
                <w:b/>
                <w:bCs/>
                <w:color w:val="auto"/>
                <w:kern w:val="0"/>
                <w:sz w:val="20"/>
                <w:highlight w:val="none"/>
                <w:lang w:eastAsia="en-US"/>
              </w:rPr>
            </w:pPr>
            <w:r>
              <w:rPr>
                <w:rFonts w:eastAsia="宋体"/>
                <w:b/>
                <w:bCs/>
                <w:color w:val="auto"/>
                <w:kern w:val="0"/>
                <w:sz w:val="20"/>
                <w:highlight w:val="none"/>
                <w:lang w:bidi="ar"/>
              </w:rPr>
              <w:t>土方开挖工程</w:t>
            </w:r>
          </w:p>
        </w:tc>
        <w:tc>
          <w:tcPr>
            <w:tcW w:w="401" w:type="pct"/>
            <w:tcBorders>
              <w:top w:val="single" w:color="000000" w:sz="4" w:space="0"/>
              <w:left w:val="single" w:color="000000" w:sz="4" w:space="0"/>
              <w:bottom w:val="single" w:color="000000" w:sz="4" w:space="0"/>
              <w:right w:val="single" w:color="000000" w:sz="8" w:space="0"/>
            </w:tcBorders>
            <w:vAlign w:val="center"/>
          </w:tcPr>
          <w:p w14:paraId="356AF8F2">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35EA0C4C">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7BAF263F">
            <w:pPr>
              <w:widowControl/>
              <w:spacing w:line="400" w:lineRule="exact"/>
              <w:jc w:val="left"/>
              <w:rPr>
                <w:rFonts w:eastAsia="宋体"/>
                <w:color w:val="auto"/>
                <w:kern w:val="0"/>
                <w:sz w:val="21"/>
                <w:szCs w:val="21"/>
                <w:highlight w:val="none"/>
                <w:lang w:eastAsia="en-US"/>
              </w:rPr>
            </w:pPr>
          </w:p>
        </w:tc>
      </w:tr>
      <w:tr w14:paraId="5A34D8B4">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1CF0A95">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EFE6349">
            <w:pPr>
              <w:widowControl/>
              <w:jc w:val="left"/>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一般土方开挖</w:t>
            </w:r>
          </w:p>
        </w:tc>
        <w:tc>
          <w:tcPr>
            <w:tcW w:w="1075" w:type="pct"/>
            <w:tcBorders>
              <w:top w:val="single" w:color="000000" w:sz="4" w:space="0"/>
              <w:left w:val="single" w:color="000000" w:sz="4" w:space="0"/>
              <w:bottom w:val="single" w:color="000000" w:sz="4" w:space="0"/>
              <w:right w:val="single" w:color="000000" w:sz="4" w:space="0"/>
            </w:tcBorders>
            <w:vAlign w:val="center"/>
          </w:tcPr>
          <w:p w14:paraId="6170F530">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粘性土，开挖厚度50cm，土方运距500m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45FB23E0">
            <w:pPr>
              <w:widowControl/>
              <w:jc w:val="center"/>
              <w:textAlignment w:val="center"/>
              <w:rPr>
                <w:rFonts w:eastAsia="宋体"/>
                <w:color w:val="auto"/>
                <w:kern w:val="0"/>
                <w:sz w:val="21"/>
                <w:szCs w:val="21"/>
                <w:highlight w:val="none"/>
                <w:lang w:eastAsia="en-US"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BA438AE">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65.51</w:t>
            </w:r>
          </w:p>
        </w:tc>
        <w:tc>
          <w:tcPr>
            <w:tcW w:w="401" w:type="pct"/>
            <w:tcBorders>
              <w:top w:val="single" w:color="000000" w:sz="4" w:space="0"/>
              <w:left w:val="single" w:color="000000" w:sz="4" w:space="0"/>
              <w:bottom w:val="single" w:color="000000" w:sz="4" w:space="0"/>
              <w:right w:val="single" w:color="000000" w:sz="8" w:space="0"/>
            </w:tcBorders>
            <w:vAlign w:val="center"/>
          </w:tcPr>
          <w:p w14:paraId="3A6EE04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150D905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7787446D">
            <w:pPr>
              <w:widowControl/>
              <w:spacing w:line="400" w:lineRule="exact"/>
              <w:jc w:val="left"/>
              <w:rPr>
                <w:rFonts w:eastAsia="宋体"/>
                <w:color w:val="auto"/>
                <w:kern w:val="0"/>
                <w:sz w:val="21"/>
                <w:szCs w:val="21"/>
                <w:highlight w:val="none"/>
                <w:lang w:eastAsia="en-US"/>
              </w:rPr>
            </w:pPr>
          </w:p>
        </w:tc>
      </w:tr>
      <w:tr w14:paraId="163646D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808A88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365B4A02">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401" w:type="pct"/>
            <w:tcBorders>
              <w:top w:val="single" w:color="000000" w:sz="4" w:space="0"/>
              <w:left w:val="single" w:color="000000" w:sz="4" w:space="0"/>
              <w:bottom w:val="single" w:color="000000" w:sz="4" w:space="0"/>
              <w:right w:val="single" w:color="000000" w:sz="8" w:space="0"/>
            </w:tcBorders>
            <w:vAlign w:val="center"/>
          </w:tcPr>
          <w:p w14:paraId="0CB34341">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11833734">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1AE1C25D">
            <w:pPr>
              <w:widowControl/>
              <w:spacing w:line="400" w:lineRule="exact"/>
              <w:jc w:val="left"/>
              <w:rPr>
                <w:rFonts w:eastAsia="宋体"/>
                <w:color w:val="auto"/>
                <w:kern w:val="0"/>
                <w:sz w:val="21"/>
                <w:szCs w:val="21"/>
                <w:highlight w:val="none"/>
                <w:lang w:eastAsia="en-US"/>
              </w:rPr>
            </w:pPr>
          </w:p>
        </w:tc>
      </w:tr>
      <w:tr w14:paraId="4C6E87D7">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7657FAAC">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0D3FE7DF">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一般土方填筑</w:t>
            </w:r>
          </w:p>
        </w:tc>
        <w:tc>
          <w:tcPr>
            <w:tcW w:w="1075" w:type="pct"/>
            <w:tcBorders>
              <w:top w:val="single" w:color="000000" w:sz="4" w:space="0"/>
              <w:left w:val="single" w:color="000000" w:sz="4" w:space="0"/>
              <w:bottom w:val="single" w:color="000000" w:sz="4" w:space="0"/>
              <w:right w:val="single" w:color="000000" w:sz="4" w:space="0"/>
            </w:tcBorders>
            <w:vAlign w:val="center"/>
          </w:tcPr>
          <w:p w14:paraId="3759236C">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粘性土，压实度不小于0.93，土方运距500m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2F02CE5E">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3D17F2B">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49.99</w:t>
            </w:r>
          </w:p>
        </w:tc>
        <w:tc>
          <w:tcPr>
            <w:tcW w:w="401" w:type="pct"/>
            <w:tcBorders>
              <w:top w:val="single" w:color="000000" w:sz="4" w:space="0"/>
              <w:left w:val="single" w:color="000000" w:sz="4" w:space="0"/>
              <w:bottom w:val="single" w:color="000000" w:sz="4" w:space="0"/>
              <w:right w:val="single" w:color="000000" w:sz="8" w:space="0"/>
            </w:tcBorders>
            <w:vAlign w:val="center"/>
          </w:tcPr>
          <w:p w14:paraId="23A5EE1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4C92ECD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6CF3C1CB">
            <w:pPr>
              <w:widowControl/>
              <w:spacing w:line="400" w:lineRule="exact"/>
              <w:jc w:val="left"/>
              <w:rPr>
                <w:rFonts w:eastAsia="宋体"/>
                <w:color w:val="auto"/>
                <w:kern w:val="0"/>
                <w:sz w:val="21"/>
                <w:szCs w:val="21"/>
                <w:highlight w:val="none"/>
                <w:lang w:eastAsia="en-US"/>
              </w:rPr>
            </w:pPr>
          </w:p>
        </w:tc>
      </w:tr>
      <w:tr w14:paraId="34575D3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3443F74">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4D2FE775">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碎石垫层</w:t>
            </w:r>
          </w:p>
        </w:tc>
        <w:tc>
          <w:tcPr>
            <w:tcW w:w="1075" w:type="pct"/>
            <w:tcBorders>
              <w:top w:val="single" w:color="000000" w:sz="4" w:space="0"/>
              <w:left w:val="single" w:color="000000" w:sz="4" w:space="0"/>
              <w:bottom w:val="single" w:color="000000" w:sz="4" w:space="0"/>
              <w:right w:val="single" w:color="000000" w:sz="4" w:space="0"/>
            </w:tcBorders>
            <w:vAlign w:val="center"/>
          </w:tcPr>
          <w:p w14:paraId="05250603">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w:t>
            </w:r>
          </w:p>
        </w:tc>
        <w:tc>
          <w:tcPr>
            <w:tcW w:w="374" w:type="pct"/>
            <w:tcBorders>
              <w:top w:val="single" w:color="000000" w:sz="4" w:space="0"/>
              <w:left w:val="single" w:color="000000" w:sz="4" w:space="0"/>
              <w:bottom w:val="single" w:color="000000" w:sz="4" w:space="0"/>
              <w:right w:val="single" w:color="000000" w:sz="4" w:space="0"/>
            </w:tcBorders>
            <w:vAlign w:val="center"/>
          </w:tcPr>
          <w:p w14:paraId="498E96D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2405C06">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12.6</w:t>
            </w:r>
          </w:p>
        </w:tc>
        <w:tc>
          <w:tcPr>
            <w:tcW w:w="401" w:type="pct"/>
            <w:tcBorders>
              <w:top w:val="single" w:color="000000" w:sz="4" w:space="0"/>
              <w:left w:val="single" w:color="000000" w:sz="4" w:space="0"/>
              <w:bottom w:val="single" w:color="000000" w:sz="4" w:space="0"/>
              <w:right w:val="single" w:color="000000" w:sz="8" w:space="0"/>
            </w:tcBorders>
            <w:vAlign w:val="center"/>
          </w:tcPr>
          <w:p w14:paraId="0C195FA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61FBE96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045017DA">
            <w:pPr>
              <w:widowControl/>
              <w:spacing w:line="400" w:lineRule="exact"/>
              <w:jc w:val="left"/>
              <w:rPr>
                <w:rFonts w:eastAsia="宋体"/>
                <w:color w:val="auto"/>
                <w:kern w:val="0"/>
                <w:sz w:val="21"/>
                <w:szCs w:val="21"/>
                <w:highlight w:val="none"/>
                <w:lang w:eastAsia="en-US"/>
              </w:rPr>
            </w:pPr>
          </w:p>
        </w:tc>
      </w:tr>
      <w:tr w14:paraId="0592C45D">
        <w:tblPrEx>
          <w:tblCellMar>
            <w:top w:w="0" w:type="dxa"/>
            <w:left w:w="108" w:type="dxa"/>
            <w:bottom w:w="0" w:type="dxa"/>
            <w:right w:w="108" w:type="dxa"/>
          </w:tblCellMar>
        </w:tblPrEx>
        <w:trPr>
          <w:trHeight w:val="234"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B5D366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637" w:type="pct"/>
            <w:tcBorders>
              <w:top w:val="single" w:color="000000" w:sz="4" w:space="0"/>
              <w:left w:val="single" w:color="000000" w:sz="4" w:space="0"/>
              <w:bottom w:val="single" w:color="000000" w:sz="4" w:space="0"/>
              <w:right w:val="single" w:color="000000" w:sz="4" w:space="0"/>
            </w:tcBorders>
            <w:vAlign w:val="center"/>
          </w:tcPr>
          <w:p w14:paraId="1841479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1075" w:type="pct"/>
            <w:tcBorders>
              <w:top w:val="single" w:color="000000" w:sz="4" w:space="0"/>
              <w:left w:val="single" w:color="000000" w:sz="4" w:space="0"/>
              <w:bottom w:val="single" w:color="000000" w:sz="4" w:space="0"/>
              <w:right w:val="single" w:color="000000" w:sz="4" w:space="0"/>
            </w:tcBorders>
            <w:vAlign w:val="center"/>
          </w:tcPr>
          <w:p w14:paraId="64995A30">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20AC7F07">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51006F6B">
            <w:pPr>
              <w:widowControl/>
              <w:spacing w:line="400" w:lineRule="exact"/>
              <w:jc w:val="right"/>
              <w:rPr>
                <w:rFonts w:eastAsia="宋体"/>
                <w:color w:val="auto"/>
                <w:kern w:val="0"/>
                <w:sz w:val="21"/>
                <w:szCs w:val="21"/>
                <w:highlight w:val="none"/>
                <w:lang w:eastAsia="en-US"/>
              </w:rPr>
            </w:pPr>
          </w:p>
        </w:tc>
        <w:tc>
          <w:tcPr>
            <w:tcW w:w="401" w:type="pct"/>
            <w:tcBorders>
              <w:top w:val="single" w:color="000000" w:sz="4" w:space="0"/>
              <w:left w:val="single" w:color="000000" w:sz="4" w:space="0"/>
              <w:bottom w:val="single" w:color="000000" w:sz="4" w:space="0"/>
              <w:right w:val="single" w:color="000000" w:sz="8" w:space="0"/>
            </w:tcBorders>
            <w:vAlign w:val="center"/>
          </w:tcPr>
          <w:p w14:paraId="6427CD10">
            <w:pPr>
              <w:widowControl/>
              <w:spacing w:line="400" w:lineRule="exact"/>
              <w:jc w:val="right"/>
              <w:rPr>
                <w:rFonts w:eastAsia="宋体"/>
                <w:color w:val="auto"/>
                <w:kern w:val="0"/>
                <w:sz w:val="21"/>
                <w:szCs w:val="21"/>
                <w:highlight w:val="none"/>
                <w:lang w:eastAsia="en-US"/>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210AD8B4">
            <w:pPr>
              <w:widowControl/>
              <w:spacing w:line="400" w:lineRule="exact"/>
              <w:jc w:val="right"/>
              <w:rPr>
                <w:rFonts w:eastAsia="宋体"/>
                <w:color w:val="auto"/>
                <w:kern w:val="0"/>
                <w:sz w:val="21"/>
                <w:szCs w:val="21"/>
                <w:highlight w:val="none"/>
                <w:lang w:eastAsia="en-US"/>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3EB05AD3">
            <w:pPr>
              <w:widowControl/>
              <w:spacing w:line="400" w:lineRule="exact"/>
              <w:jc w:val="left"/>
              <w:rPr>
                <w:rFonts w:eastAsia="宋体"/>
                <w:color w:val="auto"/>
                <w:kern w:val="0"/>
                <w:sz w:val="21"/>
                <w:szCs w:val="21"/>
                <w:highlight w:val="none"/>
                <w:lang w:eastAsia="en-US"/>
              </w:rPr>
            </w:pPr>
          </w:p>
        </w:tc>
      </w:tr>
      <w:tr w14:paraId="75253F4C">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4FE251D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1DB6F2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w:t>
            </w:r>
          </w:p>
        </w:tc>
        <w:tc>
          <w:tcPr>
            <w:tcW w:w="1075" w:type="pct"/>
            <w:tcBorders>
              <w:top w:val="single" w:color="000000" w:sz="4" w:space="0"/>
              <w:left w:val="single" w:color="000000" w:sz="4" w:space="0"/>
              <w:bottom w:val="single" w:color="000000" w:sz="4" w:space="0"/>
              <w:right w:val="single" w:color="000000" w:sz="4" w:space="0"/>
            </w:tcBorders>
            <w:vAlign w:val="center"/>
          </w:tcPr>
          <w:p w14:paraId="2BC5A850">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10cm厚浆砌石护坡，M10砂浆勾缝</w:t>
            </w:r>
          </w:p>
        </w:tc>
        <w:tc>
          <w:tcPr>
            <w:tcW w:w="374" w:type="pct"/>
            <w:tcBorders>
              <w:top w:val="single" w:color="000000" w:sz="4" w:space="0"/>
              <w:left w:val="single" w:color="000000" w:sz="4" w:space="0"/>
              <w:bottom w:val="single" w:color="000000" w:sz="4" w:space="0"/>
              <w:right w:val="single" w:color="000000" w:sz="4" w:space="0"/>
            </w:tcBorders>
            <w:vAlign w:val="center"/>
          </w:tcPr>
          <w:p w14:paraId="5E202B0C">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6BA20EF">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401" w:type="pct"/>
            <w:tcBorders>
              <w:top w:val="single" w:color="000000" w:sz="4" w:space="0"/>
              <w:left w:val="single" w:color="000000" w:sz="4" w:space="0"/>
              <w:bottom w:val="single" w:color="000000" w:sz="4" w:space="0"/>
              <w:right w:val="single" w:color="000000" w:sz="8" w:space="0"/>
            </w:tcBorders>
            <w:vAlign w:val="center"/>
          </w:tcPr>
          <w:p w14:paraId="6CE94B4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720BE31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00118960">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w:t>
            </w:r>
          </w:p>
        </w:tc>
      </w:tr>
      <w:tr w14:paraId="45D345F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40561566">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23CA033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砌体拆除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38655E7">
            <w:pPr>
              <w:widowControl/>
              <w:jc w:val="left"/>
              <w:textAlignment w:val="center"/>
              <w:rPr>
                <w:rFonts w:eastAsia="宋体"/>
                <w:color w:val="auto"/>
                <w:kern w:val="0"/>
                <w:sz w:val="21"/>
                <w:szCs w:val="21"/>
                <w:highlight w:val="none"/>
                <w:lang w:bidi="ar"/>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5D18DED4">
            <w:pPr>
              <w:widowControl/>
              <w:jc w:val="center"/>
              <w:textAlignment w:val="center"/>
              <w:rPr>
                <w:rFonts w:eastAsia="宋体"/>
                <w:color w:val="auto"/>
                <w:kern w:val="0"/>
                <w:sz w:val="21"/>
                <w:szCs w:val="21"/>
                <w:highlight w:val="none"/>
                <w:lang w:bidi="ar"/>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4BAD3C9F">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8" w:space="0"/>
            </w:tcBorders>
            <w:vAlign w:val="center"/>
          </w:tcPr>
          <w:p w14:paraId="088EEFA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480DBE17">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536A3FE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0043288E">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nil"/>
            </w:tcBorders>
            <w:vAlign w:val="center"/>
          </w:tcPr>
          <w:p w14:paraId="5D0D9BE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7035FD75">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80F023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6151C17D">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5BDDA8C4">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401" w:type="pct"/>
            <w:tcBorders>
              <w:top w:val="single" w:color="000000" w:sz="4" w:space="0"/>
              <w:left w:val="single" w:color="000000" w:sz="4" w:space="0"/>
              <w:bottom w:val="single" w:color="000000" w:sz="4" w:space="0"/>
              <w:right w:val="single" w:color="000000" w:sz="4" w:space="0"/>
            </w:tcBorders>
            <w:vAlign w:val="center"/>
          </w:tcPr>
          <w:p w14:paraId="7532B2D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11DC63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5F2F057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3CA446E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EBADC5D">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D17B033">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浆砌挡浪墙拆除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DAE73EE">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1C2AAA4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713AC65">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30.84</w:t>
            </w:r>
          </w:p>
        </w:tc>
        <w:tc>
          <w:tcPr>
            <w:tcW w:w="401" w:type="pct"/>
            <w:tcBorders>
              <w:top w:val="single" w:color="000000" w:sz="4" w:space="0"/>
              <w:left w:val="single" w:color="000000" w:sz="4" w:space="0"/>
              <w:bottom w:val="single" w:color="000000" w:sz="4" w:space="0"/>
              <w:right w:val="single" w:color="000000" w:sz="4" w:space="0"/>
            </w:tcBorders>
            <w:vAlign w:val="center"/>
          </w:tcPr>
          <w:p w14:paraId="1849CD2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77F2FF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5B9ECD4">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5B93D23A">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BE8B2ED">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C7A735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386CAEE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8B77F2E">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632597D">
            <w:pPr>
              <w:widowControl/>
              <w:spacing w:line="400" w:lineRule="exact"/>
              <w:jc w:val="left"/>
              <w:rPr>
                <w:rFonts w:eastAsia="宋体"/>
                <w:color w:val="auto"/>
                <w:kern w:val="0"/>
                <w:sz w:val="21"/>
                <w:szCs w:val="21"/>
                <w:highlight w:val="none"/>
              </w:rPr>
            </w:pPr>
          </w:p>
        </w:tc>
      </w:tr>
      <w:tr w14:paraId="4D82EE52">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45CD2A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1015E7A7">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1075" w:type="pct"/>
            <w:tcBorders>
              <w:top w:val="single" w:color="000000" w:sz="4" w:space="0"/>
              <w:left w:val="single" w:color="000000" w:sz="4" w:space="0"/>
              <w:bottom w:val="single" w:color="000000" w:sz="4" w:space="0"/>
              <w:right w:val="single" w:color="000000" w:sz="4" w:space="0"/>
            </w:tcBorders>
            <w:vAlign w:val="center"/>
          </w:tcPr>
          <w:p w14:paraId="2101B2B1">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374" w:type="pct"/>
            <w:tcBorders>
              <w:top w:val="single" w:color="000000" w:sz="4" w:space="0"/>
              <w:left w:val="single" w:color="000000" w:sz="4" w:space="0"/>
              <w:bottom w:val="single" w:color="000000" w:sz="4" w:space="0"/>
              <w:right w:val="single" w:color="000000" w:sz="4" w:space="0"/>
            </w:tcBorders>
            <w:vAlign w:val="center"/>
          </w:tcPr>
          <w:p w14:paraId="39031F2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3B3F18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401" w:type="pct"/>
            <w:tcBorders>
              <w:top w:val="single" w:color="000000" w:sz="4" w:space="0"/>
              <w:left w:val="single" w:color="000000" w:sz="4" w:space="0"/>
              <w:bottom w:val="single" w:color="000000" w:sz="4" w:space="0"/>
              <w:right w:val="single" w:color="000000" w:sz="4" w:space="0"/>
            </w:tcBorders>
            <w:vAlign w:val="center"/>
          </w:tcPr>
          <w:p w14:paraId="3696910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87C448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77E0BD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6617879">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4B48864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5E96197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1075" w:type="pct"/>
            <w:tcBorders>
              <w:top w:val="single" w:color="000000" w:sz="4" w:space="0"/>
              <w:left w:val="single" w:color="000000" w:sz="4" w:space="0"/>
              <w:bottom w:val="single" w:color="000000" w:sz="4" w:space="0"/>
              <w:right w:val="single" w:color="000000" w:sz="4" w:space="0"/>
            </w:tcBorders>
            <w:vAlign w:val="center"/>
          </w:tcPr>
          <w:p w14:paraId="1B65D9C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374" w:type="pct"/>
            <w:tcBorders>
              <w:top w:val="single" w:color="000000" w:sz="4" w:space="0"/>
              <w:left w:val="single" w:color="000000" w:sz="4" w:space="0"/>
              <w:bottom w:val="single" w:color="000000" w:sz="4" w:space="0"/>
              <w:right w:val="single" w:color="000000" w:sz="4" w:space="0"/>
            </w:tcBorders>
            <w:vAlign w:val="center"/>
          </w:tcPr>
          <w:p w14:paraId="5AF379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2E4E1D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9.86</w:t>
            </w:r>
          </w:p>
        </w:tc>
        <w:tc>
          <w:tcPr>
            <w:tcW w:w="401" w:type="pct"/>
            <w:tcBorders>
              <w:top w:val="single" w:color="000000" w:sz="4" w:space="0"/>
              <w:left w:val="single" w:color="000000" w:sz="4" w:space="0"/>
              <w:bottom w:val="single" w:color="000000" w:sz="4" w:space="0"/>
              <w:right w:val="single" w:color="000000" w:sz="4" w:space="0"/>
            </w:tcBorders>
            <w:vAlign w:val="center"/>
          </w:tcPr>
          <w:p w14:paraId="663072D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142A25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A990C7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525ECA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706744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6BB6332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06F2819A">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72FC61B">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7E624E3">
            <w:pPr>
              <w:widowControl/>
              <w:spacing w:line="400" w:lineRule="exact"/>
              <w:jc w:val="left"/>
              <w:rPr>
                <w:rFonts w:eastAsia="宋体"/>
                <w:color w:val="auto"/>
                <w:kern w:val="0"/>
                <w:sz w:val="21"/>
                <w:szCs w:val="21"/>
                <w:highlight w:val="none"/>
                <w:lang w:eastAsia="en-US"/>
              </w:rPr>
            </w:pPr>
          </w:p>
        </w:tc>
      </w:tr>
      <w:tr w14:paraId="43A938C0">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535BA3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F8377E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普通混凝土</w:t>
            </w:r>
          </w:p>
        </w:tc>
        <w:tc>
          <w:tcPr>
            <w:tcW w:w="1075" w:type="pct"/>
            <w:tcBorders>
              <w:top w:val="single" w:color="000000" w:sz="4" w:space="0"/>
              <w:left w:val="single" w:color="000000" w:sz="4" w:space="0"/>
              <w:bottom w:val="single" w:color="000000" w:sz="4" w:space="0"/>
              <w:right w:val="single" w:color="000000" w:sz="4" w:space="0"/>
            </w:tcBorders>
            <w:vAlign w:val="center"/>
          </w:tcPr>
          <w:p w14:paraId="2B073B0F">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616627F">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41AB4389">
            <w:pPr>
              <w:widowControl/>
              <w:spacing w:line="400" w:lineRule="exact"/>
              <w:jc w:val="right"/>
              <w:rPr>
                <w:rFonts w:eastAsia="宋体"/>
                <w:color w:val="auto"/>
                <w:kern w:val="0"/>
                <w:sz w:val="21"/>
                <w:szCs w:val="21"/>
                <w:highlight w:val="none"/>
                <w:lang w:eastAsia="en-US"/>
              </w:rPr>
            </w:pPr>
          </w:p>
        </w:tc>
        <w:tc>
          <w:tcPr>
            <w:tcW w:w="401" w:type="pct"/>
            <w:tcBorders>
              <w:top w:val="single" w:color="000000" w:sz="4" w:space="0"/>
              <w:left w:val="single" w:color="000000" w:sz="4" w:space="0"/>
              <w:bottom w:val="single" w:color="000000" w:sz="4" w:space="0"/>
              <w:right w:val="single" w:color="000000" w:sz="4" w:space="0"/>
            </w:tcBorders>
            <w:vAlign w:val="center"/>
          </w:tcPr>
          <w:p w14:paraId="7447FFCE">
            <w:pPr>
              <w:widowControl/>
              <w:spacing w:line="400" w:lineRule="exact"/>
              <w:jc w:val="right"/>
              <w:rPr>
                <w:rFonts w:eastAsia="宋体"/>
                <w:color w:val="auto"/>
                <w:kern w:val="0"/>
                <w:sz w:val="21"/>
                <w:szCs w:val="21"/>
                <w:highlight w:val="none"/>
                <w:lang w:eastAsia="en-US"/>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7520EAB">
            <w:pPr>
              <w:widowControl/>
              <w:spacing w:line="400" w:lineRule="exact"/>
              <w:jc w:val="right"/>
              <w:rPr>
                <w:rFonts w:eastAsia="宋体"/>
                <w:color w:val="auto"/>
                <w:kern w:val="0"/>
                <w:sz w:val="21"/>
                <w:szCs w:val="21"/>
                <w:highlight w:val="none"/>
                <w:lang w:eastAsia="en-US"/>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142EBD1">
            <w:pPr>
              <w:widowControl/>
              <w:spacing w:line="400" w:lineRule="exact"/>
              <w:jc w:val="left"/>
              <w:rPr>
                <w:rFonts w:eastAsia="宋体"/>
                <w:color w:val="auto"/>
                <w:kern w:val="0"/>
                <w:sz w:val="21"/>
                <w:szCs w:val="21"/>
                <w:highlight w:val="none"/>
                <w:lang w:eastAsia="en-US"/>
              </w:rPr>
            </w:pPr>
          </w:p>
        </w:tc>
      </w:tr>
      <w:tr w14:paraId="165DB2F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2D6B7D4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C527E6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w:t>
            </w:r>
          </w:p>
        </w:tc>
        <w:tc>
          <w:tcPr>
            <w:tcW w:w="1075" w:type="pct"/>
            <w:tcBorders>
              <w:top w:val="single" w:color="000000" w:sz="4" w:space="0"/>
              <w:left w:val="single" w:color="000000" w:sz="4" w:space="0"/>
              <w:bottom w:val="single" w:color="000000" w:sz="4" w:space="0"/>
              <w:right w:val="single" w:color="000000" w:sz="4" w:space="0"/>
            </w:tcBorders>
            <w:vAlign w:val="center"/>
          </w:tcPr>
          <w:p w14:paraId="763F16D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39EC301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21BB96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23.76</w:t>
            </w:r>
          </w:p>
        </w:tc>
        <w:tc>
          <w:tcPr>
            <w:tcW w:w="401" w:type="pct"/>
            <w:tcBorders>
              <w:top w:val="single" w:color="000000" w:sz="4" w:space="0"/>
              <w:left w:val="single" w:color="000000" w:sz="4" w:space="0"/>
              <w:bottom w:val="single" w:color="000000" w:sz="4" w:space="0"/>
              <w:right w:val="single" w:color="000000" w:sz="4" w:space="0"/>
            </w:tcBorders>
            <w:vAlign w:val="center"/>
          </w:tcPr>
          <w:p w14:paraId="49F523E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17754D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1338C0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1969F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457F0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131DA5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C30挡浪墙封底</w:t>
            </w:r>
          </w:p>
        </w:tc>
        <w:tc>
          <w:tcPr>
            <w:tcW w:w="1075" w:type="pct"/>
            <w:tcBorders>
              <w:top w:val="single" w:color="000000" w:sz="4" w:space="0"/>
              <w:left w:val="single" w:color="000000" w:sz="4" w:space="0"/>
              <w:bottom w:val="single" w:color="000000" w:sz="4" w:space="0"/>
              <w:right w:val="single" w:color="000000" w:sz="4" w:space="0"/>
            </w:tcBorders>
            <w:vAlign w:val="center"/>
          </w:tcPr>
          <w:p w14:paraId="367A9EB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142E1EB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2C5929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3.08</w:t>
            </w:r>
          </w:p>
        </w:tc>
        <w:tc>
          <w:tcPr>
            <w:tcW w:w="401" w:type="pct"/>
            <w:tcBorders>
              <w:top w:val="single" w:color="000000" w:sz="4" w:space="0"/>
              <w:left w:val="single" w:color="000000" w:sz="4" w:space="0"/>
              <w:bottom w:val="single" w:color="000000" w:sz="4" w:space="0"/>
              <w:right w:val="single" w:color="000000" w:sz="4" w:space="0"/>
            </w:tcBorders>
            <w:vAlign w:val="center"/>
          </w:tcPr>
          <w:p w14:paraId="4B231E1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1BCEDC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329C463">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DAE1318">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FB4FC1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70A9D35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C30摩阻机封底</w:t>
            </w:r>
          </w:p>
        </w:tc>
        <w:tc>
          <w:tcPr>
            <w:tcW w:w="1075" w:type="pct"/>
            <w:tcBorders>
              <w:top w:val="single" w:color="000000" w:sz="4" w:space="0"/>
              <w:left w:val="single" w:color="000000" w:sz="4" w:space="0"/>
              <w:bottom w:val="single" w:color="000000" w:sz="4" w:space="0"/>
              <w:right w:val="single" w:color="000000" w:sz="4" w:space="0"/>
            </w:tcBorders>
            <w:vAlign w:val="center"/>
          </w:tcPr>
          <w:p w14:paraId="6283E5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2CFF12F3">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51D16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3.4</w:t>
            </w:r>
          </w:p>
        </w:tc>
        <w:tc>
          <w:tcPr>
            <w:tcW w:w="401" w:type="pct"/>
            <w:tcBorders>
              <w:top w:val="single" w:color="000000" w:sz="4" w:space="0"/>
              <w:left w:val="single" w:color="000000" w:sz="4" w:space="0"/>
              <w:bottom w:val="single" w:color="000000" w:sz="4" w:space="0"/>
              <w:right w:val="single" w:color="000000" w:sz="4" w:space="0"/>
            </w:tcBorders>
            <w:vAlign w:val="center"/>
          </w:tcPr>
          <w:p w14:paraId="41F2E27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D79CE8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58D209A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F68825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1278BD0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7BC8188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1075" w:type="pct"/>
            <w:tcBorders>
              <w:top w:val="single" w:color="000000" w:sz="4" w:space="0"/>
              <w:left w:val="single" w:color="000000" w:sz="4" w:space="0"/>
              <w:bottom w:val="single" w:color="000000" w:sz="4" w:space="0"/>
              <w:right w:val="single" w:color="000000" w:sz="4" w:space="0"/>
            </w:tcBorders>
            <w:vAlign w:val="center"/>
          </w:tcPr>
          <w:p w14:paraId="4738625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440921AE">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6887C3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48.97</w:t>
            </w:r>
          </w:p>
        </w:tc>
        <w:tc>
          <w:tcPr>
            <w:tcW w:w="401" w:type="pct"/>
            <w:tcBorders>
              <w:top w:val="single" w:color="000000" w:sz="4" w:space="0"/>
              <w:left w:val="single" w:color="000000" w:sz="4" w:space="0"/>
              <w:bottom w:val="single" w:color="000000" w:sz="4" w:space="0"/>
              <w:right w:val="single" w:color="000000" w:sz="4" w:space="0"/>
            </w:tcBorders>
            <w:vAlign w:val="center"/>
          </w:tcPr>
          <w:p w14:paraId="370EE05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CDF96B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E4425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C4F0CBB">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6A767FC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2C7FC3D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1075" w:type="pct"/>
            <w:tcBorders>
              <w:top w:val="single" w:color="000000" w:sz="4" w:space="0"/>
              <w:left w:val="single" w:color="000000" w:sz="4" w:space="0"/>
              <w:bottom w:val="single" w:color="000000" w:sz="4" w:space="0"/>
              <w:right w:val="single" w:color="000000" w:sz="4" w:space="0"/>
            </w:tcBorders>
            <w:vAlign w:val="center"/>
          </w:tcPr>
          <w:p w14:paraId="605780B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3E3D9F6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BA35B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13.52</w:t>
            </w:r>
          </w:p>
        </w:tc>
        <w:tc>
          <w:tcPr>
            <w:tcW w:w="401" w:type="pct"/>
            <w:tcBorders>
              <w:top w:val="single" w:color="000000" w:sz="4" w:space="0"/>
              <w:left w:val="single" w:color="000000" w:sz="4" w:space="0"/>
              <w:bottom w:val="single" w:color="000000" w:sz="4" w:space="0"/>
              <w:right w:val="single" w:color="000000" w:sz="4" w:space="0"/>
            </w:tcBorders>
            <w:vAlign w:val="center"/>
          </w:tcPr>
          <w:p w14:paraId="2F56249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419420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18ADE2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7FA468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14BEABC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6337700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C30混凝土道路</w:t>
            </w:r>
          </w:p>
        </w:tc>
        <w:tc>
          <w:tcPr>
            <w:tcW w:w="1075" w:type="pct"/>
            <w:tcBorders>
              <w:top w:val="single" w:color="000000" w:sz="4" w:space="0"/>
              <w:left w:val="single" w:color="000000" w:sz="4" w:space="0"/>
              <w:bottom w:val="single" w:color="000000" w:sz="4" w:space="0"/>
              <w:right w:val="single" w:color="000000" w:sz="4" w:space="0"/>
            </w:tcBorders>
            <w:vAlign w:val="center"/>
          </w:tcPr>
          <w:p w14:paraId="356D8AB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65D117F7">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4B0D242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24</w:t>
            </w:r>
          </w:p>
        </w:tc>
        <w:tc>
          <w:tcPr>
            <w:tcW w:w="401" w:type="pct"/>
            <w:tcBorders>
              <w:top w:val="single" w:color="000000" w:sz="4" w:space="0"/>
              <w:left w:val="single" w:color="000000" w:sz="4" w:space="0"/>
              <w:bottom w:val="single" w:color="000000" w:sz="4" w:space="0"/>
              <w:right w:val="single" w:color="000000" w:sz="4" w:space="0"/>
            </w:tcBorders>
            <w:vAlign w:val="center"/>
          </w:tcPr>
          <w:p w14:paraId="2022489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144CFB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05AE89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355975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6E3310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9E3537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伸缩缝聚乙烯闭孔泡沫板</w:t>
            </w:r>
          </w:p>
        </w:tc>
        <w:tc>
          <w:tcPr>
            <w:tcW w:w="1075" w:type="pct"/>
            <w:tcBorders>
              <w:top w:val="single" w:color="000000" w:sz="4" w:space="0"/>
              <w:left w:val="single" w:color="000000" w:sz="4" w:space="0"/>
              <w:bottom w:val="single" w:color="000000" w:sz="4" w:space="0"/>
              <w:right w:val="single" w:color="000000" w:sz="4" w:space="0"/>
            </w:tcBorders>
            <w:vAlign w:val="center"/>
          </w:tcPr>
          <w:p w14:paraId="4DD5729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2cm厚</w:t>
            </w:r>
          </w:p>
        </w:tc>
        <w:tc>
          <w:tcPr>
            <w:tcW w:w="374" w:type="pct"/>
            <w:tcBorders>
              <w:top w:val="single" w:color="000000" w:sz="4" w:space="0"/>
              <w:left w:val="single" w:color="000000" w:sz="4" w:space="0"/>
              <w:bottom w:val="single" w:color="000000" w:sz="4" w:space="0"/>
              <w:right w:val="single" w:color="000000" w:sz="4" w:space="0"/>
            </w:tcBorders>
            <w:vAlign w:val="center"/>
          </w:tcPr>
          <w:p w14:paraId="010649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386" w:type="pct"/>
            <w:tcBorders>
              <w:top w:val="single" w:color="000000" w:sz="4" w:space="0"/>
              <w:left w:val="single" w:color="000000" w:sz="4" w:space="0"/>
              <w:bottom w:val="single" w:color="000000" w:sz="4" w:space="0"/>
              <w:right w:val="single" w:color="000000" w:sz="4" w:space="0"/>
            </w:tcBorders>
            <w:vAlign w:val="center"/>
          </w:tcPr>
          <w:p w14:paraId="22B767C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4.32</w:t>
            </w:r>
          </w:p>
        </w:tc>
        <w:tc>
          <w:tcPr>
            <w:tcW w:w="401" w:type="pct"/>
            <w:tcBorders>
              <w:top w:val="single" w:color="000000" w:sz="4" w:space="0"/>
              <w:left w:val="single" w:color="000000" w:sz="4" w:space="0"/>
              <w:bottom w:val="single" w:color="000000" w:sz="4" w:space="0"/>
              <w:right w:val="single" w:color="000000" w:sz="4" w:space="0"/>
            </w:tcBorders>
            <w:vAlign w:val="center"/>
          </w:tcPr>
          <w:p w14:paraId="07BDEBD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6C87F6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135E73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6346B89">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5AD7A0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0FC61D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混凝土凿除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3316C74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原拦船锁基础凿除，原挡浪墙凿除,运距500m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7D492A5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0458F3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8.4</w:t>
            </w:r>
          </w:p>
        </w:tc>
        <w:tc>
          <w:tcPr>
            <w:tcW w:w="401" w:type="pct"/>
            <w:tcBorders>
              <w:top w:val="single" w:color="000000" w:sz="4" w:space="0"/>
              <w:left w:val="single" w:color="000000" w:sz="4" w:space="0"/>
              <w:bottom w:val="single" w:color="000000" w:sz="4" w:space="0"/>
              <w:right w:val="single" w:color="000000" w:sz="4" w:space="0"/>
            </w:tcBorders>
            <w:vAlign w:val="center"/>
          </w:tcPr>
          <w:p w14:paraId="6D8E1F2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A4D1E78">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6AD9A9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017543D">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nil"/>
            </w:tcBorders>
            <w:vAlign w:val="center"/>
          </w:tcPr>
          <w:p w14:paraId="238433C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668382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34B4830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57EDD4C">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F493136">
            <w:pPr>
              <w:widowControl/>
              <w:spacing w:line="400" w:lineRule="exact"/>
              <w:jc w:val="left"/>
              <w:rPr>
                <w:rFonts w:eastAsia="宋体"/>
                <w:color w:val="auto"/>
                <w:kern w:val="0"/>
                <w:sz w:val="21"/>
                <w:szCs w:val="21"/>
                <w:highlight w:val="none"/>
              </w:rPr>
            </w:pPr>
          </w:p>
        </w:tc>
      </w:tr>
      <w:tr w14:paraId="326AA6F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1F80FE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16E950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1075" w:type="pct"/>
            <w:tcBorders>
              <w:top w:val="single" w:color="000000" w:sz="4" w:space="0"/>
              <w:left w:val="single" w:color="000000" w:sz="4" w:space="0"/>
              <w:bottom w:val="single" w:color="000000" w:sz="4" w:space="0"/>
              <w:right w:val="single" w:color="000000" w:sz="4" w:space="0"/>
            </w:tcBorders>
            <w:vAlign w:val="center"/>
          </w:tcPr>
          <w:p w14:paraId="3E2F330C">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374" w:type="pct"/>
            <w:tcBorders>
              <w:top w:val="single" w:color="000000" w:sz="4" w:space="0"/>
              <w:left w:val="single" w:color="000000" w:sz="4" w:space="0"/>
              <w:bottom w:val="single" w:color="000000" w:sz="4" w:space="0"/>
              <w:right w:val="single" w:color="000000" w:sz="4" w:space="0"/>
            </w:tcBorders>
            <w:vAlign w:val="center"/>
          </w:tcPr>
          <w:p w14:paraId="7AA1FFF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033BAC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8.85</w:t>
            </w:r>
          </w:p>
        </w:tc>
        <w:tc>
          <w:tcPr>
            <w:tcW w:w="401" w:type="pct"/>
            <w:tcBorders>
              <w:top w:val="single" w:color="000000" w:sz="4" w:space="0"/>
              <w:left w:val="single" w:color="000000" w:sz="4" w:space="0"/>
              <w:bottom w:val="single" w:color="000000" w:sz="4" w:space="0"/>
              <w:right w:val="single" w:color="000000" w:sz="4" w:space="0"/>
            </w:tcBorders>
            <w:vAlign w:val="center"/>
          </w:tcPr>
          <w:p w14:paraId="662AC036">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77744C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08AFD59">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4D8651E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6F8432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240D1AE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1075" w:type="pct"/>
            <w:tcBorders>
              <w:top w:val="single" w:color="000000" w:sz="4" w:space="0"/>
              <w:left w:val="single" w:color="000000" w:sz="4" w:space="0"/>
              <w:bottom w:val="single" w:color="000000" w:sz="4" w:space="0"/>
              <w:right w:val="single" w:color="000000" w:sz="4" w:space="0"/>
            </w:tcBorders>
            <w:vAlign w:val="center"/>
          </w:tcPr>
          <w:p w14:paraId="2F124AA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374" w:type="pct"/>
            <w:tcBorders>
              <w:top w:val="single" w:color="000000" w:sz="4" w:space="0"/>
              <w:left w:val="single" w:color="000000" w:sz="4" w:space="0"/>
              <w:bottom w:val="single" w:color="000000" w:sz="4" w:space="0"/>
              <w:right w:val="single" w:color="000000" w:sz="4" w:space="0"/>
            </w:tcBorders>
            <w:vAlign w:val="center"/>
          </w:tcPr>
          <w:p w14:paraId="7DE7E87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62A40C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5.13</w:t>
            </w:r>
          </w:p>
        </w:tc>
        <w:tc>
          <w:tcPr>
            <w:tcW w:w="401" w:type="pct"/>
            <w:tcBorders>
              <w:top w:val="single" w:color="000000" w:sz="4" w:space="0"/>
              <w:left w:val="single" w:color="000000" w:sz="4" w:space="0"/>
              <w:bottom w:val="single" w:color="000000" w:sz="4" w:space="0"/>
              <w:right w:val="single" w:color="000000" w:sz="4" w:space="0"/>
            </w:tcBorders>
            <w:vAlign w:val="center"/>
          </w:tcPr>
          <w:p w14:paraId="1E31C06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7FADE6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B50AB0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4541320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6CD887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56036EA">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67FD197E">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1F77851">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AD343AC">
            <w:pPr>
              <w:widowControl/>
              <w:spacing w:line="400" w:lineRule="exact"/>
              <w:jc w:val="left"/>
              <w:rPr>
                <w:rFonts w:eastAsia="宋体"/>
                <w:color w:val="auto"/>
                <w:kern w:val="0"/>
                <w:sz w:val="21"/>
                <w:szCs w:val="21"/>
                <w:highlight w:val="none"/>
                <w:lang w:eastAsia="en-US"/>
              </w:rPr>
            </w:pPr>
          </w:p>
        </w:tc>
      </w:tr>
      <w:tr w14:paraId="30E3F967">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2079C62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5E8D62B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φ1000×1200聚乙烯浮筒</w:t>
            </w:r>
          </w:p>
        </w:tc>
        <w:tc>
          <w:tcPr>
            <w:tcW w:w="1075" w:type="pct"/>
            <w:tcBorders>
              <w:top w:val="single" w:color="000000" w:sz="4" w:space="0"/>
              <w:left w:val="single" w:color="000000" w:sz="4" w:space="0"/>
              <w:bottom w:val="single" w:color="000000" w:sz="4" w:space="0"/>
              <w:right w:val="single" w:color="000000" w:sz="4" w:space="0"/>
            </w:tcBorders>
            <w:vAlign w:val="center"/>
          </w:tcPr>
          <w:p w14:paraId="45CEDFF8">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374" w:type="pct"/>
            <w:tcBorders>
              <w:top w:val="single" w:color="000000" w:sz="4" w:space="0"/>
              <w:left w:val="single" w:color="000000" w:sz="4" w:space="0"/>
              <w:bottom w:val="single" w:color="000000" w:sz="4" w:space="0"/>
              <w:right w:val="single" w:color="000000" w:sz="4" w:space="0"/>
            </w:tcBorders>
            <w:vAlign w:val="center"/>
          </w:tcPr>
          <w:p w14:paraId="4EBA36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D0E5B2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401" w:type="pct"/>
            <w:tcBorders>
              <w:top w:val="single" w:color="000000" w:sz="4" w:space="0"/>
              <w:left w:val="single" w:color="000000" w:sz="4" w:space="0"/>
              <w:bottom w:val="single" w:color="000000" w:sz="4" w:space="0"/>
              <w:right w:val="single" w:color="000000" w:sz="4" w:space="0"/>
            </w:tcBorders>
            <w:vAlign w:val="center"/>
          </w:tcPr>
          <w:p w14:paraId="18ED8278">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6DA77A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72753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18F77393">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418CCAE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65EDDAB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φ1000×1500聚乙烯浮筒</w:t>
            </w:r>
          </w:p>
        </w:tc>
        <w:tc>
          <w:tcPr>
            <w:tcW w:w="1075" w:type="pct"/>
            <w:tcBorders>
              <w:top w:val="single" w:color="000000" w:sz="4" w:space="0"/>
              <w:left w:val="single" w:color="000000" w:sz="4" w:space="0"/>
              <w:bottom w:val="single" w:color="000000" w:sz="4" w:space="0"/>
              <w:right w:val="single" w:color="000000" w:sz="4" w:space="0"/>
            </w:tcBorders>
            <w:vAlign w:val="center"/>
          </w:tcPr>
          <w:p w14:paraId="6232FD9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374" w:type="pct"/>
            <w:tcBorders>
              <w:top w:val="single" w:color="000000" w:sz="4" w:space="0"/>
              <w:left w:val="single" w:color="000000" w:sz="4" w:space="0"/>
              <w:bottom w:val="single" w:color="000000" w:sz="4" w:space="0"/>
              <w:right w:val="single" w:color="000000" w:sz="4" w:space="0"/>
            </w:tcBorders>
            <w:vAlign w:val="center"/>
          </w:tcPr>
          <w:p w14:paraId="02A442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563042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w:t>
            </w:r>
          </w:p>
        </w:tc>
        <w:tc>
          <w:tcPr>
            <w:tcW w:w="401" w:type="pct"/>
            <w:tcBorders>
              <w:top w:val="single" w:color="000000" w:sz="4" w:space="0"/>
              <w:left w:val="single" w:color="000000" w:sz="4" w:space="0"/>
              <w:bottom w:val="single" w:color="000000" w:sz="4" w:space="0"/>
              <w:right w:val="single" w:color="000000" w:sz="4" w:space="0"/>
            </w:tcBorders>
            <w:vAlign w:val="center"/>
          </w:tcPr>
          <w:p w14:paraId="437517B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973BE6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2C5A11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3499C43">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7A3043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073AB6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φ1200×600聚乙烯浮标</w:t>
            </w:r>
          </w:p>
        </w:tc>
        <w:tc>
          <w:tcPr>
            <w:tcW w:w="1075" w:type="pct"/>
            <w:tcBorders>
              <w:top w:val="single" w:color="000000" w:sz="4" w:space="0"/>
              <w:left w:val="single" w:color="000000" w:sz="4" w:space="0"/>
              <w:bottom w:val="single" w:color="000000" w:sz="4" w:space="0"/>
              <w:right w:val="single" w:color="000000" w:sz="4" w:space="0"/>
            </w:tcBorders>
            <w:vAlign w:val="center"/>
          </w:tcPr>
          <w:p w14:paraId="551E599E">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D1890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6E73D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6642619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1C6C0A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044FA0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79EDB68B">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6BD4BC4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365A335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6×37型Φ36.0不锈钢钢丝绳</w:t>
            </w:r>
          </w:p>
        </w:tc>
        <w:tc>
          <w:tcPr>
            <w:tcW w:w="1075" w:type="pct"/>
            <w:tcBorders>
              <w:top w:val="single" w:color="000000" w:sz="4" w:space="0"/>
              <w:left w:val="single" w:color="000000" w:sz="4" w:space="0"/>
              <w:bottom w:val="single" w:color="000000" w:sz="4" w:space="0"/>
              <w:right w:val="single" w:color="000000" w:sz="4" w:space="0"/>
            </w:tcBorders>
            <w:vAlign w:val="center"/>
          </w:tcPr>
          <w:p w14:paraId="72FE0FE7">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452ECB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03BC150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6.16</w:t>
            </w:r>
          </w:p>
        </w:tc>
        <w:tc>
          <w:tcPr>
            <w:tcW w:w="401" w:type="pct"/>
            <w:tcBorders>
              <w:top w:val="single" w:color="000000" w:sz="4" w:space="0"/>
              <w:left w:val="single" w:color="000000" w:sz="4" w:space="0"/>
              <w:bottom w:val="single" w:color="000000" w:sz="4" w:space="0"/>
              <w:right w:val="single" w:color="000000" w:sz="4" w:space="0"/>
            </w:tcBorders>
            <w:vAlign w:val="center"/>
          </w:tcPr>
          <w:p w14:paraId="1F10D4A2">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3D1F7F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FCAF93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55C65EA">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74C2C5F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0672C4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浮标抗倾覆平衡砣</w:t>
            </w:r>
          </w:p>
        </w:tc>
        <w:tc>
          <w:tcPr>
            <w:tcW w:w="1075" w:type="pct"/>
            <w:tcBorders>
              <w:top w:val="single" w:color="000000" w:sz="4" w:space="0"/>
              <w:left w:val="single" w:color="000000" w:sz="4" w:space="0"/>
              <w:bottom w:val="single" w:color="000000" w:sz="4" w:space="0"/>
              <w:right w:val="single" w:color="000000" w:sz="4" w:space="0"/>
            </w:tcBorders>
            <w:vAlign w:val="center"/>
          </w:tcPr>
          <w:p w14:paraId="171CF44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450×115×100mm平衡铁块，厚度8mm直径80mm不锈钢管连接浮标</w:t>
            </w:r>
          </w:p>
        </w:tc>
        <w:tc>
          <w:tcPr>
            <w:tcW w:w="374" w:type="pct"/>
            <w:tcBorders>
              <w:top w:val="single" w:color="000000" w:sz="4" w:space="0"/>
              <w:left w:val="single" w:color="000000" w:sz="4" w:space="0"/>
              <w:bottom w:val="single" w:color="000000" w:sz="4" w:space="0"/>
              <w:right w:val="single" w:color="000000" w:sz="4" w:space="0"/>
            </w:tcBorders>
            <w:vAlign w:val="center"/>
          </w:tcPr>
          <w:p w14:paraId="21A3687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2FD7081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79EB206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7E4ACC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D8CCF6F">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029A9B8F">
        <w:tblPrEx>
          <w:tblCellMar>
            <w:top w:w="0" w:type="dxa"/>
            <w:left w:w="108" w:type="dxa"/>
            <w:bottom w:w="0" w:type="dxa"/>
            <w:right w:w="108" w:type="dxa"/>
          </w:tblCellMar>
        </w:tblPrEx>
        <w:trPr>
          <w:trHeight w:val="1254" w:hRule="atLeast"/>
        </w:trPr>
        <w:tc>
          <w:tcPr>
            <w:tcW w:w="449" w:type="pct"/>
            <w:tcBorders>
              <w:top w:val="single" w:color="000000" w:sz="4" w:space="0"/>
              <w:left w:val="single" w:color="000000" w:sz="8" w:space="0"/>
              <w:bottom w:val="single" w:color="000000" w:sz="4" w:space="0"/>
              <w:right w:val="nil"/>
            </w:tcBorders>
            <w:vAlign w:val="center"/>
          </w:tcPr>
          <w:p w14:paraId="078355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4480F2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太阳能警示标志</w:t>
            </w:r>
          </w:p>
        </w:tc>
        <w:tc>
          <w:tcPr>
            <w:tcW w:w="1075" w:type="pct"/>
            <w:tcBorders>
              <w:top w:val="single" w:color="000000" w:sz="4" w:space="0"/>
              <w:left w:val="single" w:color="000000" w:sz="4" w:space="0"/>
              <w:bottom w:val="single" w:color="000000" w:sz="4" w:space="0"/>
              <w:right w:val="single" w:color="000000" w:sz="4" w:space="0"/>
            </w:tcBorders>
            <w:vAlign w:val="center"/>
          </w:tcPr>
          <w:p w14:paraId="63D01D34">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F1FB9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05D5380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7F3FA78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E1F270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BD6A8F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79ECB306">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63E5990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637" w:type="pct"/>
            <w:tcBorders>
              <w:top w:val="single" w:color="000000" w:sz="4" w:space="0"/>
              <w:left w:val="single" w:color="000000" w:sz="4" w:space="0"/>
              <w:bottom w:val="single" w:color="000000" w:sz="4" w:space="0"/>
              <w:right w:val="single" w:color="000000" w:sz="4" w:space="0"/>
            </w:tcBorders>
            <w:vAlign w:val="center"/>
          </w:tcPr>
          <w:p w14:paraId="594BD4A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警示标识标牌</w:t>
            </w:r>
          </w:p>
        </w:tc>
        <w:tc>
          <w:tcPr>
            <w:tcW w:w="1075" w:type="pct"/>
            <w:tcBorders>
              <w:top w:val="single" w:color="000000" w:sz="4" w:space="0"/>
              <w:left w:val="single" w:color="000000" w:sz="4" w:space="0"/>
              <w:bottom w:val="single" w:color="000000" w:sz="4" w:space="0"/>
              <w:right w:val="single" w:color="000000" w:sz="4" w:space="0"/>
            </w:tcBorders>
            <w:vAlign w:val="center"/>
          </w:tcPr>
          <w:p w14:paraId="388E190A">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2BFDCA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55F44F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vAlign w:val="center"/>
          </w:tcPr>
          <w:p w14:paraId="33675A1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2EAE75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B957775">
            <w:pPr>
              <w:widowControl/>
              <w:spacing w:line="400" w:lineRule="exact"/>
              <w:jc w:val="left"/>
              <w:rPr>
                <w:rFonts w:eastAsia="宋体"/>
                <w:color w:val="auto"/>
                <w:kern w:val="0"/>
                <w:sz w:val="21"/>
                <w:szCs w:val="21"/>
                <w:highlight w:val="none"/>
                <w:lang w:eastAsia="en-US"/>
              </w:rPr>
            </w:pPr>
          </w:p>
        </w:tc>
      </w:tr>
      <w:tr w14:paraId="047673F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FFADA1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637" w:type="pct"/>
            <w:tcBorders>
              <w:top w:val="single" w:color="000000" w:sz="4" w:space="0"/>
              <w:left w:val="single" w:color="000000" w:sz="4" w:space="0"/>
              <w:bottom w:val="single" w:color="000000" w:sz="4" w:space="0"/>
              <w:right w:val="single" w:color="000000" w:sz="4" w:space="0"/>
            </w:tcBorders>
            <w:vAlign w:val="center"/>
          </w:tcPr>
          <w:p w14:paraId="5D7C4A8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树木移栽</w:t>
            </w:r>
          </w:p>
        </w:tc>
        <w:tc>
          <w:tcPr>
            <w:tcW w:w="1075" w:type="pct"/>
            <w:tcBorders>
              <w:top w:val="single" w:color="000000" w:sz="4" w:space="0"/>
              <w:left w:val="single" w:color="000000" w:sz="4" w:space="0"/>
              <w:bottom w:val="single" w:color="000000" w:sz="4" w:space="0"/>
              <w:right w:val="single" w:color="000000" w:sz="4" w:space="0"/>
            </w:tcBorders>
            <w:vAlign w:val="center"/>
          </w:tcPr>
          <w:p w14:paraId="1446BA37">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8561B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棵</w:t>
            </w:r>
          </w:p>
        </w:tc>
        <w:tc>
          <w:tcPr>
            <w:tcW w:w="386" w:type="pct"/>
            <w:tcBorders>
              <w:top w:val="single" w:color="000000" w:sz="4" w:space="0"/>
              <w:left w:val="single" w:color="000000" w:sz="4" w:space="0"/>
              <w:bottom w:val="single" w:color="000000" w:sz="4" w:space="0"/>
              <w:right w:val="single" w:color="000000" w:sz="4" w:space="0"/>
            </w:tcBorders>
            <w:vAlign w:val="center"/>
          </w:tcPr>
          <w:p w14:paraId="74E3B5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401" w:type="pct"/>
            <w:tcBorders>
              <w:top w:val="single" w:color="000000" w:sz="4" w:space="0"/>
              <w:left w:val="single" w:color="000000" w:sz="4" w:space="0"/>
              <w:bottom w:val="single" w:color="000000" w:sz="4" w:space="0"/>
              <w:right w:val="single" w:color="000000" w:sz="4" w:space="0"/>
            </w:tcBorders>
            <w:vAlign w:val="center"/>
          </w:tcPr>
          <w:p w14:paraId="5DFC0D8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32C051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DEE3DED">
            <w:pPr>
              <w:widowControl/>
              <w:spacing w:line="400" w:lineRule="exact"/>
              <w:jc w:val="left"/>
              <w:rPr>
                <w:rFonts w:eastAsia="宋体"/>
                <w:color w:val="auto"/>
                <w:kern w:val="0"/>
                <w:sz w:val="21"/>
                <w:szCs w:val="21"/>
                <w:highlight w:val="none"/>
                <w:lang w:eastAsia="en-US"/>
              </w:rPr>
            </w:pPr>
          </w:p>
        </w:tc>
      </w:tr>
      <w:tr w14:paraId="19C7D27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3C6249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637" w:type="pct"/>
            <w:tcBorders>
              <w:top w:val="single" w:color="000000" w:sz="4" w:space="0"/>
              <w:left w:val="single" w:color="000000" w:sz="4" w:space="0"/>
              <w:bottom w:val="single" w:color="000000" w:sz="4" w:space="0"/>
              <w:right w:val="single" w:color="000000" w:sz="4" w:space="0"/>
            </w:tcBorders>
            <w:vAlign w:val="center"/>
          </w:tcPr>
          <w:p w14:paraId="1CADA1F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草皮</w:t>
            </w:r>
          </w:p>
        </w:tc>
        <w:tc>
          <w:tcPr>
            <w:tcW w:w="1075" w:type="pct"/>
            <w:tcBorders>
              <w:top w:val="single" w:color="000000" w:sz="4" w:space="0"/>
              <w:left w:val="single" w:color="000000" w:sz="4" w:space="0"/>
              <w:bottom w:val="single" w:color="000000" w:sz="4" w:space="0"/>
              <w:right w:val="single" w:color="000000" w:sz="4" w:space="0"/>
            </w:tcBorders>
            <w:vAlign w:val="center"/>
          </w:tcPr>
          <w:p w14:paraId="17A8D67B">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43A6401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eastAsia="宋体"/>
                <w:color w:val="auto"/>
                <w:kern w:val="0"/>
                <w:sz w:val="21"/>
                <w:szCs w:val="21"/>
                <w:highlight w:val="none"/>
                <w:vertAlign w:val="superscript"/>
                <w:lang w:bidi="ar"/>
              </w:rPr>
              <w:t>2</w:t>
            </w:r>
          </w:p>
        </w:tc>
        <w:tc>
          <w:tcPr>
            <w:tcW w:w="386" w:type="pct"/>
            <w:tcBorders>
              <w:top w:val="single" w:color="000000" w:sz="4" w:space="0"/>
              <w:left w:val="single" w:color="000000" w:sz="4" w:space="0"/>
              <w:bottom w:val="single" w:color="000000" w:sz="4" w:space="0"/>
              <w:right w:val="single" w:color="000000" w:sz="4" w:space="0"/>
            </w:tcBorders>
            <w:vAlign w:val="center"/>
          </w:tcPr>
          <w:p w14:paraId="20D9D41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480</w:t>
            </w:r>
          </w:p>
        </w:tc>
        <w:tc>
          <w:tcPr>
            <w:tcW w:w="401" w:type="pct"/>
            <w:tcBorders>
              <w:top w:val="single" w:color="000000" w:sz="4" w:space="0"/>
              <w:left w:val="single" w:color="000000" w:sz="4" w:space="0"/>
              <w:bottom w:val="single" w:color="000000" w:sz="4" w:space="0"/>
              <w:right w:val="single" w:color="000000" w:sz="4" w:space="0"/>
            </w:tcBorders>
            <w:vAlign w:val="center"/>
          </w:tcPr>
          <w:p w14:paraId="4CAB2A0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FFAB1C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0A8FFD4">
            <w:pPr>
              <w:widowControl/>
              <w:spacing w:line="400" w:lineRule="exact"/>
              <w:jc w:val="left"/>
              <w:rPr>
                <w:rFonts w:eastAsia="宋体"/>
                <w:color w:val="auto"/>
                <w:kern w:val="0"/>
                <w:sz w:val="21"/>
                <w:szCs w:val="21"/>
                <w:highlight w:val="none"/>
                <w:lang w:eastAsia="en-US"/>
              </w:rPr>
            </w:pPr>
          </w:p>
        </w:tc>
      </w:tr>
      <w:tr w14:paraId="2841CDE8">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8" w:space="0"/>
              <w:bottom w:val="single" w:color="000000" w:sz="4" w:space="0"/>
              <w:right w:val="nil"/>
            </w:tcBorders>
            <w:vAlign w:val="center"/>
          </w:tcPr>
          <w:p w14:paraId="3924D6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w:t>
            </w:r>
          </w:p>
        </w:tc>
        <w:tc>
          <w:tcPr>
            <w:tcW w:w="637" w:type="pct"/>
            <w:tcBorders>
              <w:top w:val="single" w:color="000000" w:sz="4" w:space="0"/>
              <w:left w:val="single" w:color="000000" w:sz="4" w:space="0"/>
              <w:bottom w:val="single" w:color="000000" w:sz="4" w:space="0"/>
              <w:right w:val="single" w:color="000000" w:sz="4" w:space="0"/>
            </w:tcBorders>
            <w:vAlign w:val="center"/>
          </w:tcPr>
          <w:p w14:paraId="0F527CD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1075" w:type="pct"/>
            <w:tcBorders>
              <w:top w:val="single" w:color="000000" w:sz="4" w:space="0"/>
              <w:left w:val="single" w:color="000000" w:sz="4" w:space="0"/>
              <w:bottom w:val="single" w:color="000000" w:sz="4" w:space="0"/>
              <w:right w:val="single" w:color="000000" w:sz="4" w:space="0"/>
            </w:tcBorders>
            <w:vAlign w:val="center"/>
          </w:tcPr>
          <w:p w14:paraId="24EF5D12">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374" w:type="pct"/>
            <w:tcBorders>
              <w:top w:val="single" w:color="000000" w:sz="4" w:space="0"/>
              <w:left w:val="single" w:color="000000" w:sz="4" w:space="0"/>
              <w:bottom w:val="single" w:color="000000" w:sz="4" w:space="0"/>
              <w:right w:val="single" w:color="000000" w:sz="4" w:space="0"/>
            </w:tcBorders>
            <w:vAlign w:val="center"/>
          </w:tcPr>
          <w:p w14:paraId="0EEA14F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727396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w:t>
            </w:r>
          </w:p>
        </w:tc>
        <w:tc>
          <w:tcPr>
            <w:tcW w:w="401" w:type="pct"/>
            <w:tcBorders>
              <w:top w:val="single" w:color="000000" w:sz="4" w:space="0"/>
              <w:left w:val="single" w:color="000000" w:sz="4" w:space="0"/>
              <w:bottom w:val="single" w:color="000000" w:sz="4" w:space="0"/>
              <w:right w:val="single" w:color="000000" w:sz="4" w:space="0"/>
            </w:tcBorders>
            <w:vAlign w:val="center"/>
          </w:tcPr>
          <w:p w14:paraId="65F35B7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51A9A24">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AA1260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B7BFDE6">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F37F3D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w:t>
            </w:r>
          </w:p>
        </w:tc>
        <w:tc>
          <w:tcPr>
            <w:tcW w:w="637" w:type="pct"/>
            <w:tcBorders>
              <w:top w:val="single" w:color="000000" w:sz="4" w:space="0"/>
              <w:left w:val="single" w:color="000000" w:sz="4" w:space="0"/>
              <w:bottom w:val="single" w:color="000000" w:sz="4" w:space="0"/>
              <w:right w:val="single" w:color="000000" w:sz="4" w:space="0"/>
            </w:tcBorders>
            <w:vAlign w:val="center"/>
          </w:tcPr>
          <w:p w14:paraId="0B8BE5B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包塑钢梯</w:t>
            </w:r>
          </w:p>
        </w:tc>
        <w:tc>
          <w:tcPr>
            <w:tcW w:w="1075" w:type="pct"/>
            <w:tcBorders>
              <w:top w:val="single" w:color="000000" w:sz="4" w:space="0"/>
              <w:left w:val="single" w:color="000000" w:sz="4" w:space="0"/>
              <w:bottom w:val="single" w:color="000000" w:sz="4" w:space="0"/>
              <w:right w:val="single" w:color="000000" w:sz="4" w:space="0"/>
            </w:tcBorders>
            <w:vAlign w:val="center"/>
          </w:tcPr>
          <w:p w14:paraId="4AB08F6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Q235，1.2m宽</w:t>
            </w:r>
          </w:p>
        </w:tc>
        <w:tc>
          <w:tcPr>
            <w:tcW w:w="374" w:type="pct"/>
            <w:tcBorders>
              <w:top w:val="single" w:color="000000" w:sz="4" w:space="0"/>
              <w:left w:val="single" w:color="000000" w:sz="4" w:space="0"/>
              <w:bottom w:val="single" w:color="000000" w:sz="4" w:space="0"/>
              <w:right w:val="single" w:color="000000" w:sz="4" w:space="0"/>
            </w:tcBorders>
            <w:vAlign w:val="center"/>
          </w:tcPr>
          <w:p w14:paraId="417BAB8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5943B8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vAlign w:val="center"/>
          </w:tcPr>
          <w:p w14:paraId="1C4BE3C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6A6568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274818">
            <w:pPr>
              <w:widowControl/>
              <w:spacing w:line="400" w:lineRule="exact"/>
              <w:jc w:val="left"/>
              <w:rPr>
                <w:rFonts w:eastAsia="宋体"/>
                <w:color w:val="auto"/>
                <w:kern w:val="0"/>
                <w:sz w:val="21"/>
                <w:szCs w:val="21"/>
                <w:highlight w:val="none"/>
                <w:lang w:eastAsia="en-US"/>
              </w:rPr>
            </w:pPr>
          </w:p>
        </w:tc>
      </w:tr>
      <w:tr w14:paraId="0944A2C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01927D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62C8CD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538EFD55">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418A846">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4BBC12B">
            <w:pPr>
              <w:widowControl/>
              <w:spacing w:line="400" w:lineRule="exact"/>
              <w:jc w:val="left"/>
              <w:rPr>
                <w:rFonts w:eastAsia="宋体"/>
                <w:color w:val="auto"/>
                <w:kern w:val="0"/>
                <w:sz w:val="21"/>
                <w:szCs w:val="21"/>
                <w:highlight w:val="none"/>
                <w:lang w:eastAsia="en-US"/>
              </w:rPr>
            </w:pPr>
          </w:p>
        </w:tc>
      </w:tr>
      <w:tr w14:paraId="3340F28A">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4" w:space="0"/>
              <w:bottom w:val="single" w:color="000000" w:sz="4" w:space="0"/>
              <w:right w:val="nil"/>
            </w:tcBorders>
            <w:vAlign w:val="center"/>
          </w:tcPr>
          <w:p w14:paraId="51E5CAE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3A20C43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65CF09B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包含主摩阻机和副摩阻机，摩阻机阻滑力设定为600kN</w:t>
            </w:r>
          </w:p>
        </w:tc>
        <w:tc>
          <w:tcPr>
            <w:tcW w:w="374" w:type="pct"/>
            <w:tcBorders>
              <w:top w:val="single" w:color="000000" w:sz="4" w:space="0"/>
              <w:left w:val="single" w:color="000000" w:sz="4" w:space="0"/>
              <w:bottom w:val="single" w:color="000000" w:sz="4" w:space="0"/>
              <w:right w:val="single" w:color="000000" w:sz="4" w:space="0"/>
            </w:tcBorders>
            <w:vAlign w:val="center"/>
          </w:tcPr>
          <w:p w14:paraId="3CC4FD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1F1C371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vAlign w:val="center"/>
          </w:tcPr>
          <w:p w14:paraId="591B754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F8ABCC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244D461">
            <w:pPr>
              <w:widowControl/>
              <w:spacing w:line="400" w:lineRule="exact"/>
              <w:rPr>
                <w:rFonts w:eastAsia="宋体"/>
                <w:b/>
                <w:bCs/>
                <w:color w:val="auto"/>
                <w:kern w:val="0"/>
                <w:sz w:val="18"/>
                <w:szCs w:val="18"/>
                <w:highlight w:val="none"/>
                <w:lang w:eastAsia="en-US"/>
              </w:rPr>
            </w:pPr>
            <w:r>
              <w:rPr>
                <w:rFonts w:eastAsia="宋体"/>
                <w:color w:val="auto"/>
                <w:kern w:val="0"/>
                <w:sz w:val="21"/>
                <w:szCs w:val="21"/>
                <w:highlight w:val="none"/>
              </w:rPr>
              <w:t>详见图纸和采购需求</w:t>
            </w:r>
          </w:p>
        </w:tc>
      </w:tr>
      <w:tr w14:paraId="09E9318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1E725A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10392AE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1075" w:type="pct"/>
            <w:tcBorders>
              <w:top w:val="single" w:color="000000" w:sz="4" w:space="0"/>
              <w:left w:val="single" w:color="000000" w:sz="4" w:space="0"/>
              <w:bottom w:val="single" w:color="000000" w:sz="4" w:space="0"/>
              <w:right w:val="single" w:color="000000" w:sz="4" w:space="0"/>
            </w:tcBorders>
            <w:vAlign w:val="center"/>
          </w:tcPr>
          <w:p w14:paraId="111288D2">
            <w:pPr>
              <w:widowControl/>
              <w:spacing w:line="400" w:lineRule="exac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374" w:type="pct"/>
            <w:tcBorders>
              <w:top w:val="single" w:color="000000" w:sz="4" w:space="0"/>
              <w:left w:val="single" w:color="000000" w:sz="4" w:space="0"/>
              <w:bottom w:val="single" w:color="000000" w:sz="4" w:space="0"/>
              <w:right w:val="single" w:color="000000" w:sz="4" w:space="0"/>
            </w:tcBorders>
            <w:vAlign w:val="center"/>
          </w:tcPr>
          <w:p w14:paraId="3BA4F5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6549B0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73A0BA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13743D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E386B18">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67E53D9D">
        <w:tblPrEx>
          <w:tblCellMar>
            <w:top w:w="0" w:type="dxa"/>
            <w:left w:w="108" w:type="dxa"/>
            <w:bottom w:w="0" w:type="dxa"/>
            <w:right w:w="108" w:type="dxa"/>
          </w:tblCellMar>
        </w:tblPrEx>
        <w:trPr>
          <w:trHeight w:val="781" w:hRule="atLeast"/>
        </w:trPr>
        <w:tc>
          <w:tcPr>
            <w:tcW w:w="449" w:type="pct"/>
            <w:tcBorders>
              <w:top w:val="single" w:color="000000" w:sz="4" w:space="0"/>
              <w:left w:val="single" w:color="000000" w:sz="4" w:space="0"/>
              <w:bottom w:val="single" w:color="000000" w:sz="4" w:space="0"/>
              <w:right w:val="nil"/>
            </w:tcBorders>
            <w:vAlign w:val="center"/>
          </w:tcPr>
          <w:p w14:paraId="08BF26D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53BDDCF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控制电源箱</w:t>
            </w:r>
          </w:p>
        </w:tc>
        <w:tc>
          <w:tcPr>
            <w:tcW w:w="1075" w:type="pct"/>
            <w:tcBorders>
              <w:top w:val="single" w:color="000000" w:sz="4" w:space="0"/>
              <w:left w:val="single" w:color="000000" w:sz="4" w:space="0"/>
              <w:bottom w:val="single" w:color="000000" w:sz="4" w:space="0"/>
              <w:right w:val="single" w:color="000000" w:sz="4" w:space="0"/>
            </w:tcBorders>
            <w:vAlign w:val="center"/>
          </w:tcPr>
          <w:p w14:paraId="42D501B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IP65</w:t>
            </w:r>
          </w:p>
        </w:tc>
        <w:tc>
          <w:tcPr>
            <w:tcW w:w="374" w:type="pct"/>
            <w:tcBorders>
              <w:top w:val="single" w:color="000000" w:sz="4" w:space="0"/>
              <w:left w:val="single" w:color="000000" w:sz="4" w:space="0"/>
              <w:bottom w:val="single" w:color="000000" w:sz="4" w:space="0"/>
              <w:right w:val="single" w:color="000000" w:sz="4" w:space="0"/>
            </w:tcBorders>
            <w:vAlign w:val="center"/>
          </w:tcPr>
          <w:p w14:paraId="723670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641737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3449D6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CCAF85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58360F9D">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7D7ED62C">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6F6F68C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05CD9054">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摄像机电源电缆采购安装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1B323BE0">
            <w:pPr>
              <w:widowControl/>
              <w:spacing w:line="400" w:lineRule="exact"/>
              <w:jc w:val="left"/>
              <w:rPr>
                <w:rFonts w:eastAsia="宋体"/>
                <w:color w:val="auto"/>
                <w:kern w:val="0"/>
                <w:sz w:val="21"/>
                <w:szCs w:val="21"/>
                <w:highlight w:val="none"/>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DFE802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0F90037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3159680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98169D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667B6073">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49BC1BF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628C0C0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15932F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预埋管道</w:t>
            </w:r>
          </w:p>
        </w:tc>
        <w:tc>
          <w:tcPr>
            <w:tcW w:w="1075" w:type="pct"/>
            <w:tcBorders>
              <w:top w:val="single" w:color="000000" w:sz="4" w:space="0"/>
              <w:left w:val="single" w:color="000000" w:sz="4" w:space="0"/>
              <w:bottom w:val="single" w:color="000000" w:sz="4" w:space="0"/>
              <w:right w:val="single" w:color="000000" w:sz="4" w:space="0"/>
            </w:tcBorders>
            <w:vAlign w:val="center"/>
          </w:tcPr>
          <w:p w14:paraId="1D01A7F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PE30</w:t>
            </w:r>
          </w:p>
        </w:tc>
        <w:tc>
          <w:tcPr>
            <w:tcW w:w="374" w:type="pct"/>
            <w:tcBorders>
              <w:top w:val="single" w:color="000000" w:sz="4" w:space="0"/>
              <w:left w:val="single" w:color="000000" w:sz="4" w:space="0"/>
              <w:bottom w:val="single" w:color="000000" w:sz="4" w:space="0"/>
              <w:right w:val="single" w:color="000000" w:sz="4" w:space="0"/>
            </w:tcBorders>
            <w:vAlign w:val="center"/>
          </w:tcPr>
          <w:p w14:paraId="3DC910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27C7EC9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19C95A4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79475FA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1D496AE">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4F598814">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4" w:space="0"/>
              <w:bottom w:val="single" w:color="000000" w:sz="4" w:space="0"/>
              <w:right w:val="nil"/>
            </w:tcBorders>
            <w:vAlign w:val="center"/>
          </w:tcPr>
          <w:p w14:paraId="53C212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174DB99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黑光摄像机</w:t>
            </w:r>
          </w:p>
        </w:tc>
        <w:tc>
          <w:tcPr>
            <w:tcW w:w="1075" w:type="pct"/>
            <w:tcBorders>
              <w:top w:val="single" w:color="000000" w:sz="4" w:space="0"/>
              <w:left w:val="single" w:color="000000" w:sz="4" w:space="0"/>
              <w:bottom w:val="single" w:color="000000" w:sz="4" w:space="0"/>
              <w:right w:val="single" w:color="000000" w:sz="4" w:space="0"/>
            </w:tcBorders>
            <w:vAlign w:val="center"/>
          </w:tcPr>
          <w:p w14:paraId="6500964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400万像素球形摄像机，含摄像机配件、电源、土建基础、5米镀锌钢管杆</w:t>
            </w:r>
          </w:p>
        </w:tc>
        <w:tc>
          <w:tcPr>
            <w:tcW w:w="374" w:type="pct"/>
            <w:tcBorders>
              <w:top w:val="single" w:color="000000" w:sz="4" w:space="0"/>
              <w:left w:val="single" w:color="000000" w:sz="4" w:space="0"/>
              <w:bottom w:val="single" w:color="000000" w:sz="4" w:space="0"/>
              <w:right w:val="single" w:color="000000" w:sz="4" w:space="0"/>
            </w:tcBorders>
            <w:vAlign w:val="center"/>
          </w:tcPr>
          <w:p w14:paraId="070C35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24E9A83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20BD577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A2C143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28E5F2D0">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173E7119">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4" w:space="0"/>
              <w:bottom w:val="single" w:color="000000" w:sz="4" w:space="0"/>
              <w:right w:val="nil"/>
            </w:tcBorders>
            <w:vAlign w:val="center"/>
          </w:tcPr>
          <w:p w14:paraId="2477792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637" w:type="pct"/>
            <w:tcBorders>
              <w:top w:val="single" w:color="000000" w:sz="4" w:space="0"/>
              <w:left w:val="single" w:color="000000" w:sz="4" w:space="0"/>
              <w:bottom w:val="single" w:color="000000" w:sz="4" w:space="0"/>
              <w:right w:val="single" w:color="000000" w:sz="4" w:space="0"/>
            </w:tcBorders>
            <w:vAlign w:val="center"/>
          </w:tcPr>
          <w:p w14:paraId="524D331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光缆</w:t>
            </w:r>
          </w:p>
        </w:tc>
        <w:tc>
          <w:tcPr>
            <w:tcW w:w="1075" w:type="pct"/>
            <w:tcBorders>
              <w:top w:val="single" w:color="000000" w:sz="4" w:space="0"/>
              <w:left w:val="single" w:color="000000" w:sz="4" w:space="0"/>
              <w:bottom w:val="single" w:color="000000" w:sz="4" w:space="0"/>
              <w:right w:val="single" w:color="000000" w:sz="4" w:space="0"/>
            </w:tcBorders>
            <w:vAlign w:val="center"/>
          </w:tcPr>
          <w:p w14:paraId="1EDFCCCD">
            <w:pPr>
              <w:widowControl/>
              <w:textAlignment w:val="center"/>
              <w:rPr>
                <w:rFonts w:eastAsia="宋体"/>
                <w:color w:val="auto"/>
                <w:kern w:val="0"/>
                <w:sz w:val="21"/>
                <w:szCs w:val="21"/>
                <w:highlight w:val="none"/>
              </w:rPr>
            </w:pPr>
            <w:r>
              <w:rPr>
                <w:rFonts w:hint="eastAsia" w:eastAsia="宋体"/>
                <w:color w:val="auto"/>
                <w:kern w:val="0"/>
                <w:sz w:val="21"/>
                <w:szCs w:val="21"/>
                <w:highlight w:val="none"/>
                <w:lang w:bidi="ar"/>
              </w:rPr>
              <w:t>10</w:t>
            </w:r>
            <w:r>
              <w:rPr>
                <w:rFonts w:eastAsia="宋体"/>
                <w:color w:val="auto"/>
                <w:kern w:val="0"/>
                <w:sz w:val="21"/>
                <w:szCs w:val="21"/>
                <w:highlight w:val="none"/>
                <w:lang w:bidi="ar"/>
              </w:rPr>
              <w:t>芯铠装单模光纤(含光纤全熔、熔接盒、尾纤及附件等)</w:t>
            </w:r>
          </w:p>
        </w:tc>
        <w:tc>
          <w:tcPr>
            <w:tcW w:w="374" w:type="pct"/>
            <w:tcBorders>
              <w:top w:val="single" w:color="000000" w:sz="4" w:space="0"/>
              <w:left w:val="single" w:color="000000" w:sz="4" w:space="0"/>
              <w:bottom w:val="single" w:color="000000" w:sz="4" w:space="0"/>
              <w:right w:val="single" w:color="000000" w:sz="4" w:space="0"/>
            </w:tcBorders>
            <w:vAlign w:val="center"/>
          </w:tcPr>
          <w:p w14:paraId="2F59EC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507C61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3FC8B4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5EB7A18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4F3AFE8">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746C83EE">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4" w:space="0"/>
              <w:bottom w:val="single" w:color="000000" w:sz="4" w:space="0"/>
              <w:right w:val="nil"/>
            </w:tcBorders>
            <w:vAlign w:val="center"/>
          </w:tcPr>
          <w:p w14:paraId="3A49AF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637" w:type="pct"/>
            <w:tcBorders>
              <w:top w:val="single" w:color="000000" w:sz="4" w:space="0"/>
              <w:left w:val="single" w:color="000000" w:sz="4" w:space="0"/>
              <w:bottom w:val="single" w:color="000000" w:sz="4" w:space="0"/>
              <w:right w:val="single" w:color="000000" w:sz="4" w:space="0"/>
            </w:tcBorders>
            <w:vAlign w:val="center"/>
          </w:tcPr>
          <w:p w14:paraId="3F87450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光纤收发器</w:t>
            </w:r>
          </w:p>
        </w:tc>
        <w:tc>
          <w:tcPr>
            <w:tcW w:w="1075" w:type="pct"/>
            <w:tcBorders>
              <w:top w:val="single" w:color="000000" w:sz="4" w:space="0"/>
              <w:left w:val="single" w:color="000000" w:sz="4" w:space="0"/>
              <w:bottom w:val="single" w:color="000000" w:sz="4" w:space="0"/>
              <w:right w:val="single" w:color="000000" w:sz="4" w:space="0"/>
            </w:tcBorders>
            <w:vAlign w:val="center"/>
          </w:tcPr>
          <w:p w14:paraId="2C149703">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1口百兆光纤收发器，1个百兆光口</w:t>
            </w:r>
          </w:p>
        </w:tc>
        <w:tc>
          <w:tcPr>
            <w:tcW w:w="374" w:type="pct"/>
            <w:tcBorders>
              <w:top w:val="single" w:color="000000" w:sz="4" w:space="0"/>
              <w:left w:val="single" w:color="000000" w:sz="4" w:space="0"/>
              <w:bottom w:val="single" w:color="000000" w:sz="4" w:space="0"/>
              <w:right w:val="single" w:color="000000" w:sz="4" w:space="0"/>
            </w:tcBorders>
            <w:vAlign w:val="center"/>
          </w:tcPr>
          <w:p w14:paraId="2693B98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对</w:t>
            </w:r>
          </w:p>
        </w:tc>
        <w:tc>
          <w:tcPr>
            <w:tcW w:w="386" w:type="pct"/>
            <w:tcBorders>
              <w:top w:val="single" w:color="000000" w:sz="4" w:space="0"/>
              <w:left w:val="single" w:color="000000" w:sz="4" w:space="0"/>
              <w:bottom w:val="single" w:color="000000" w:sz="4" w:space="0"/>
              <w:right w:val="single" w:color="000000" w:sz="4" w:space="0"/>
            </w:tcBorders>
            <w:vAlign w:val="center"/>
          </w:tcPr>
          <w:p w14:paraId="1843F51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343414E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62EB1DA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0A04CD71">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6EFF87D1">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733EE6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637" w:type="pct"/>
            <w:tcBorders>
              <w:top w:val="single" w:color="000000" w:sz="4" w:space="0"/>
              <w:left w:val="single" w:color="000000" w:sz="4" w:space="0"/>
              <w:bottom w:val="single" w:color="000000" w:sz="4" w:space="0"/>
              <w:right w:val="single" w:color="000000" w:sz="4" w:space="0"/>
            </w:tcBorders>
            <w:vAlign w:val="center"/>
          </w:tcPr>
          <w:p w14:paraId="17DCA7E0">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摩阻机电源电缆采购安装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7161938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YJV-5*10</w:t>
            </w:r>
          </w:p>
        </w:tc>
        <w:tc>
          <w:tcPr>
            <w:tcW w:w="374" w:type="pct"/>
            <w:tcBorders>
              <w:top w:val="single" w:color="000000" w:sz="4" w:space="0"/>
              <w:left w:val="single" w:color="000000" w:sz="4" w:space="0"/>
              <w:bottom w:val="single" w:color="000000" w:sz="4" w:space="0"/>
              <w:right w:val="single" w:color="000000" w:sz="4" w:space="0"/>
            </w:tcBorders>
            <w:vAlign w:val="center"/>
          </w:tcPr>
          <w:p w14:paraId="145BBB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17ADD3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43A65A5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2E6F81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5C23573">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24EDE3E0">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noWrap/>
            <w:vAlign w:val="bottom"/>
          </w:tcPr>
          <w:p w14:paraId="610D826F">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2473" w:type="pct"/>
            <w:gridSpan w:val="4"/>
            <w:tcBorders>
              <w:top w:val="single" w:color="000000" w:sz="4" w:space="0"/>
              <w:left w:val="single" w:color="000000" w:sz="4" w:space="0"/>
              <w:bottom w:val="single" w:color="000000" w:sz="4" w:space="0"/>
              <w:right w:val="single" w:color="000000" w:sz="4" w:space="0"/>
            </w:tcBorders>
            <w:noWrap/>
            <w:vAlign w:val="bottom"/>
          </w:tcPr>
          <w:p w14:paraId="7BE1665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1AC48C0C">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4DD2C44">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F097D76">
            <w:pPr>
              <w:widowControl/>
              <w:spacing w:line="400" w:lineRule="exact"/>
              <w:rPr>
                <w:rFonts w:eastAsia="宋体"/>
                <w:color w:val="auto"/>
                <w:kern w:val="0"/>
                <w:sz w:val="20"/>
                <w:highlight w:val="none"/>
                <w:lang w:eastAsia="en-US"/>
              </w:rPr>
            </w:pPr>
          </w:p>
        </w:tc>
      </w:tr>
      <w:tr w14:paraId="097053BD">
        <w:tblPrEx>
          <w:tblCellMar>
            <w:top w:w="0" w:type="dxa"/>
            <w:left w:w="108" w:type="dxa"/>
            <w:bottom w:w="0" w:type="dxa"/>
            <w:right w:w="108" w:type="dxa"/>
          </w:tblCellMar>
        </w:tblPrEx>
        <w:trPr>
          <w:trHeight w:val="1275" w:hRule="atLeast"/>
        </w:trPr>
        <w:tc>
          <w:tcPr>
            <w:tcW w:w="449" w:type="pct"/>
            <w:tcBorders>
              <w:top w:val="single" w:color="000000" w:sz="4" w:space="0"/>
              <w:left w:val="single" w:color="000000" w:sz="4" w:space="0"/>
              <w:bottom w:val="single" w:color="000000" w:sz="4" w:space="0"/>
              <w:right w:val="nil"/>
            </w:tcBorders>
            <w:vAlign w:val="center"/>
          </w:tcPr>
          <w:p w14:paraId="7B28CD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47A4E7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3DBAE295">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5820338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68EB0DD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8A15ED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A944C2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3667BD7">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190AC62A">
        <w:tblPrEx>
          <w:tblCellMar>
            <w:top w:w="0" w:type="dxa"/>
            <w:left w:w="108" w:type="dxa"/>
            <w:bottom w:w="0" w:type="dxa"/>
            <w:right w:w="108" w:type="dxa"/>
          </w:tblCellMar>
        </w:tblPrEx>
        <w:trPr>
          <w:trHeight w:val="2040" w:hRule="atLeast"/>
        </w:trPr>
        <w:tc>
          <w:tcPr>
            <w:tcW w:w="449" w:type="pct"/>
            <w:tcBorders>
              <w:top w:val="single" w:color="000000" w:sz="4" w:space="0"/>
              <w:left w:val="single" w:color="000000" w:sz="4" w:space="0"/>
              <w:bottom w:val="single" w:color="000000" w:sz="4" w:space="0"/>
              <w:right w:val="nil"/>
            </w:tcBorders>
            <w:vAlign w:val="center"/>
          </w:tcPr>
          <w:p w14:paraId="6BA30E3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05F06F0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2685D98D">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33A2F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0D01FB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2B6889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2A6CCF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AC8D52F">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150EB79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7F51686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5B4E152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30D2EC1D">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B6AF31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288D75C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07B3355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84E15D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C8DC1AC">
            <w:pPr>
              <w:widowControl/>
              <w:spacing w:line="400" w:lineRule="exact"/>
              <w:jc w:val="left"/>
              <w:rPr>
                <w:rFonts w:eastAsia="宋体"/>
                <w:color w:val="auto"/>
                <w:kern w:val="0"/>
                <w:sz w:val="21"/>
                <w:szCs w:val="21"/>
                <w:highlight w:val="none"/>
                <w:lang w:eastAsia="en-US"/>
              </w:rPr>
            </w:pPr>
          </w:p>
        </w:tc>
      </w:tr>
      <w:tr w14:paraId="70AD6FD5">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1386942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448243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6242C113">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1E7B123E">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3DAF67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29B85A1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3871E3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58733B2">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4AF1265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4EF9C0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9131DC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6B865331">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F4640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17F2E47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C361118">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5C032D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08921D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7DF16F99">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auto" w:sz="4" w:space="0"/>
              <w:right w:val="nil"/>
            </w:tcBorders>
            <w:vAlign w:val="center"/>
          </w:tcPr>
          <w:p w14:paraId="0E90AED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auto" w:sz="4" w:space="0"/>
              <w:right w:val="single" w:color="000000" w:sz="4" w:space="0"/>
            </w:tcBorders>
            <w:vAlign w:val="center"/>
          </w:tcPr>
          <w:p w14:paraId="1E76F5E5">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1075" w:type="pct"/>
            <w:tcBorders>
              <w:top w:val="single" w:color="000000" w:sz="4" w:space="0"/>
              <w:left w:val="single" w:color="000000" w:sz="4" w:space="0"/>
              <w:bottom w:val="single" w:color="auto" w:sz="4" w:space="0"/>
              <w:right w:val="single" w:color="000000" w:sz="4" w:space="0"/>
            </w:tcBorders>
            <w:noWrap/>
            <w:vAlign w:val="bottom"/>
          </w:tcPr>
          <w:p w14:paraId="580B9355">
            <w:pPr>
              <w:widowControl/>
              <w:spacing w:line="400" w:lineRule="exact"/>
              <w:rPr>
                <w:rFonts w:eastAsia="宋体"/>
                <w:color w:val="auto"/>
                <w:kern w:val="0"/>
                <w:sz w:val="20"/>
                <w:highlight w:val="none"/>
              </w:rPr>
            </w:pPr>
          </w:p>
        </w:tc>
        <w:tc>
          <w:tcPr>
            <w:tcW w:w="374" w:type="pct"/>
            <w:tcBorders>
              <w:top w:val="single" w:color="000000" w:sz="4" w:space="0"/>
              <w:left w:val="single" w:color="000000" w:sz="4" w:space="0"/>
              <w:bottom w:val="single" w:color="auto" w:sz="4" w:space="0"/>
              <w:right w:val="single" w:color="000000" w:sz="4" w:space="0"/>
            </w:tcBorders>
            <w:vAlign w:val="center"/>
          </w:tcPr>
          <w:p w14:paraId="711FAF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auto" w:sz="4" w:space="0"/>
              <w:right w:val="single" w:color="000000" w:sz="4" w:space="0"/>
            </w:tcBorders>
            <w:vAlign w:val="center"/>
          </w:tcPr>
          <w:p w14:paraId="585B74C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auto" w:sz="4" w:space="0"/>
              <w:right w:val="single" w:color="000000" w:sz="4" w:space="0"/>
            </w:tcBorders>
            <w:vAlign w:val="center"/>
          </w:tcPr>
          <w:p w14:paraId="7C0A990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auto" w:sz="4" w:space="0"/>
              <w:right w:val="single" w:color="000000" w:sz="4" w:space="0"/>
            </w:tcBorders>
            <w:vAlign w:val="center"/>
          </w:tcPr>
          <w:p w14:paraId="7A19F01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auto" w:sz="4" w:space="0"/>
              <w:right w:val="single" w:color="000000" w:sz="4" w:space="0"/>
            </w:tcBorders>
            <w:vAlign w:val="center"/>
          </w:tcPr>
          <w:p w14:paraId="737975F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14D22E9B">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nil"/>
            </w:tcBorders>
            <w:vAlign w:val="center"/>
          </w:tcPr>
          <w:p w14:paraId="384DB05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auto" w:sz="4" w:space="0"/>
              <w:left w:val="single" w:color="000000" w:sz="4" w:space="0"/>
              <w:bottom w:val="single" w:color="auto" w:sz="4" w:space="0"/>
              <w:right w:val="single" w:color="000000" w:sz="4" w:space="0"/>
            </w:tcBorders>
            <w:vAlign w:val="center"/>
          </w:tcPr>
          <w:p w14:paraId="55B2361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1075" w:type="pct"/>
            <w:tcBorders>
              <w:top w:val="single" w:color="auto" w:sz="4" w:space="0"/>
              <w:left w:val="nil"/>
              <w:bottom w:val="single" w:color="auto" w:sz="4" w:space="0"/>
              <w:right w:val="nil"/>
            </w:tcBorders>
            <w:noWrap/>
            <w:vAlign w:val="bottom"/>
          </w:tcPr>
          <w:p w14:paraId="6061BE36">
            <w:pPr>
              <w:widowControl/>
              <w:spacing w:line="400" w:lineRule="exact"/>
              <w:rPr>
                <w:rFonts w:eastAsia="宋体"/>
                <w:color w:val="auto"/>
                <w:kern w:val="0"/>
                <w:sz w:val="20"/>
                <w:highlight w:val="none"/>
                <w:lang w:eastAsia="en-US"/>
              </w:rPr>
            </w:pPr>
          </w:p>
        </w:tc>
        <w:tc>
          <w:tcPr>
            <w:tcW w:w="374" w:type="pct"/>
            <w:tcBorders>
              <w:top w:val="single" w:color="auto" w:sz="4" w:space="0"/>
              <w:left w:val="single" w:color="000000" w:sz="4" w:space="0"/>
              <w:bottom w:val="single" w:color="auto" w:sz="4" w:space="0"/>
              <w:right w:val="single" w:color="000000" w:sz="4" w:space="0"/>
            </w:tcBorders>
            <w:vAlign w:val="center"/>
          </w:tcPr>
          <w:p w14:paraId="7F39D53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auto" w:sz="4" w:space="0"/>
              <w:left w:val="single" w:color="000000" w:sz="4" w:space="0"/>
              <w:bottom w:val="single" w:color="auto" w:sz="4" w:space="0"/>
              <w:right w:val="single" w:color="000000" w:sz="4" w:space="0"/>
            </w:tcBorders>
            <w:vAlign w:val="center"/>
          </w:tcPr>
          <w:p w14:paraId="0D8C1A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auto" w:sz="4" w:space="0"/>
              <w:left w:val="single" w:color="000000" w:sz="4" w:space="0"/>
              <w:bottom w:val="single" w:color="auto" w:sz="4" w:space="0"/>
              <w:right w:val="single" w:color="000000" w:sz="4" w:space="0"/>
            </w:tcBorders>
            <w:vAlign w:val="center"/>
          </w:tcPr>
          <w:p w14:paraId="4249200F">
            <w:pPr>
              <w:widowControl/>
              <w:jc w:val="center"/>
              <w:textAlignment w:val="center"/>
              <w:rPr>
                <w:rFonts w:eastAsia="宋体"/>
                <w:color w:val="auto"/>
                <w:kern w:val="0"/>
                <w:sz w:val="21"/>
                <w:szCs w:val="21"/>
                <w:highlight w:val="none"/>
                <w:lang w:bidi="ar"/>
              </w:rPr>
            </w:pPr>
          </w:p>
        </w:tc>
        <w:tc>
          <w:tcPr>
            <w:tcW w:w="435" w:type="pct"/>
            <w:tcBorders>
              <w:top w:val="single" w:color="auto" w:sz="4" w:space="0"/>
              <w:left w:val="single" w:color="000000" w:sz="4" w:space="0"/>
              <w:bottom w:val="single" w:color="auto" w:sz="4" w:space="0"/>
              <w:right w:val="single" w:color="000000" w:sz="4" w:space="0"/>
            </w:tcBorders>
            <w:vAlign w:val="center"/>
          </w:tcPr>
          <w:p w14:paraId="7017C31A">
            <w:pPr>
              <w:widowControl/>
              <w:jc w:val="center"/>
              <w:textAlignment w:val="center"/>
              <w:rPr>
                <w:rFonts w:eastAsia="宋体"/>
                <w:color w:val="auto"/>
                <w:kern w:val="0"/>
                <w:sz w:val="21"/>
                <w:szCs w:val="21"/>
                <w:highlight w:val="none"/>
                <w:lang w:bidi="ar"/>
              </w:rPr>
            </w:pPr>
          </w:p>
        </w:tc>
        <w:tc>
          <w:tcPr>
            <w:tcW w:w="1240" w:type="pct"/>
            <w:tcBorders>
              <w:top w:val="single" w:color="auto" w:sz="4" w:space="0"/>
              <w:left w:val="single" w:color="000000" w:sz="4" w:space="0"/>
              <w:bottom w:val="single" w:color="auto" w:sz="4" w:space="0"/>
              <w:right w:val="single" w:color="auto" w:sz="4" w:space="0"/>
            </w:tcBorders>
            <w:vAlign w:val="center"/>
          </w:tcPr>
          <w:p w14:paraId="7A379A2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2E835935">
      <w:pPr>
        <w:rPr>
          <w:color w:val="auto"/>
          <w:highlight w:val="none"/>
        </w:rPr>
      </w:pPr>
    </w:p>
    <w:p w14:paraId="11CE9B19">
      <w:pPr>
        <w:rPr>
          <w:color w:val="auto"/>
          <w:highlight w:val="none"/>
        </w:rPr>
      </w:pPr>
    </w:p>
    <w:p w14:paraId="5CD3485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报价明细表2（万福闸新河、壁虎河尾段增设行洪安全设施）</w:t>
      </w:r>
    </w:p>
    <w:tbl>
      <w:tblPr>
        <w:tblStyle w:val="27"/>
        <w:tblW w:w="4787" w:type="pct"/>
        <w:tblInd w:w="0" w:type="dxa"/>
        <w:tblLayout w:type="fixed"/>
        <w:tblCellMar>
          <w:top w:w="0" w:type="dxa"/>
          <w:left w:w="108" w:type="dxa"/>
          <w:bottom w:w="0" w:type="dxa"/>
          <w:right w:w="108" w:type="dxa"/>
        </w:tblCellMar>
      </w:tblPr>
      <w:tblGrid>
        <w:gridCol w:w="830"/>
        <w:gridCol w:w="1020"/>
        <w:gridCol w:w="123"/>
        <w:gridCol w:w="1140"/>
        <w:gridCol w:w="877"/>
        <w:gridCol w:w="264"/>
        <w:gridCol w:w="426"/>
        <w:gridCol w:w="716"/>
        <w:gridCol w:w="740"/>
        <w:gridCol w:w="803"/>
        <w:gridCol w:w="2288"/>
      </w:tblGrid>
      <w:tr w14:paraId="1384D484">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7F5CAD">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序号</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39EA2AB7">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项目名称</w:t>
            </w:r>
          </w:p>
        </w:tc>
        <w:tc>
          <w:tcPr>
            <w:tcW w:w="618"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3D7D3D52">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项目特征描述</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2FE19C3A">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单位</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6EB68A4B">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数量</w:t>
            </w: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A415A">
            <w:pPr>
              <w:widowControl/>
              <w:jc w:val="center"/>
              <w:textAlignment w:val="bottom"/>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单价</w:t>
            </w:r>
          </w:p>
        </w:tc>
        <w:tc>
          <w:tcPr>
            <w:tcW w:w="4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8444C">
            <w:pPr>
              <w:widowControl/>
              <w:jc w:val="center"/>
              <w:textAlignment w:val="bottom"/>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合价</w:t>
            </w:r>
          </w:p>
        </w:tc>
        <w:tc>
          <w:tcPr>
            <w:tcW w:w="1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5C3DE">
            <w:pPr>
              <w:widowControl/>
              <w:jc w:val="center"/>
              <w:textAlignment w:val="bottom"/>
              <w:rPr>
                <w:rFonts w:hint="eastAsia" w:ascii="宋体" w:hAnsi="宋体" w:eastAsia="宋体" w:cs="宋体"/>
                <w:color w:val="auto"/>
                <w:kern w:val="0"/>
                <w:sz w:val="22"/>
                <w:szCs w:val="22"/>
                <w:highlight w:val="none"/>
                <w:lang w:eastAsia="en-US" w:bidi="ar"/>
              </w:rPr>
            </w:pPr>
            <w:r>
              <w:rPr>
                <w:rFonts w:ascii="宋体" w:hAnsi="宋体" w:eastAsia="宋体" w:cs="宋体"/>
                <w:color w:val="auto"/>
                <w:kern w:val="0"/>
                <w:sz w:val="22"/>
                <w:szCs w:val="22"/>
                <w:highlight w:val="none"/>
                <w:lang w:bidi="ar"/>
              </w:rPr>
              <w:t>备注</w:t>
            </w:r>
          </w:p>
        </w:tc>
      </w:tr>
      <w:tr w14:paraId="7095C1CA">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single" w:color="auto" w:sz="4" w:space="0"/>
            </w:tcBorders>
            <w:noWrap/>
            <w:vAlign w:val="bottom"/>
          </w:tcPr>
          <w:p w14:paraId="0F2139BA">
            <w:pPr>
              <w:widowControl/>
              <w:spacing w:line="400" w:lineRule="exact"/>
              <w:jc w:val="left"/>
              <w:rPr>
                <w:rFonts w:eastAsia="宋体"/>
                <w:b/>
                <w:bCs/>
                <w:color w:val="auto"/>
                <w:kern w:val="0"/>
                <w:sz w:val="24"/>
                <w:szCs w:val="24"/>
                <w:highlight w:val="none"/>
                <w:lang w:bidi="ar"/>
              </w:rPr>
            </w:pPr>
          </w:p>
        </w:tc>
        <w:tc>
          <w:tcPr>
            <w:tcW w:w="2473" w:type="pct"/>
            <w:gridSpan w:val="7"/>
            <w:tcBorders>
              <w:top w:val="single" w:color="000000" w:sz="4" w:space="0"/>
              <w:left w:val="single" w:color="auto" w:sz="4" w:space="0"/>
              <w:bottom w:val="single" w:color="000000" w:sz="4" w:space="0"/>
              <w:right w:val="single" w:color="000000" w:sz="4" w:space="0"/>
            </w:tcBorders>
            <w:noWrap/>
            <w:vAlign w:val="bottom"/>
          </w:tcPr>
          <w:p w14:paraId="46254371">
            <w:pPr>
              <w:widowControl/>
              <w:spacing w:line="400" w:lineRule="exact"/>
              <w:jc w:val="left"/>
              <w:rPr>
                <w:rFonts w:eastAsia="宋体"/>
                <w:b/>
                <w:bCs/>
                <w:color w:val="auto"/>
                <w:kern w:val="0"/>
                <w:sz w:val="24"/>
                <w:szCs w:val="24"/>
                <w:highlight w:val="none"/>
                <w:lang w:bidi="ar"/>
              </w:rPr>
            </w:pPr>
            <w:r>
              <w:rPr>
                <w:rFonts w:eastAsia="宋体"/>
                <w:b/>
                <w:bCs/>
                <w:color w:val="auto"/>
                <w:kern w:val="0"/>
                <w:sz w:val="24"/>
                <w:szCs w:val="24"/>
                <w:highlight w:val="none"/>
                <w:lang w:bidi="ar"/>
              </w:rPr>
              <w:t>万福闸新河、壁虎河尾段增设行洪安全设施</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7AC24A98">
            <w:pPr>
              <w:widowControl/>
              <w:spacing w:line="400" w:lineRule="exact"/>
              <w:jc w:val="left"/>
              <w:rPr>
                <w:rFonts w:eastAsia="宋体"/>
                <w:b/>
                <w:bCs/>
                <w:color w:val="auto"/>
                <w:kern w:val="0"/>
                <w:sz w:val="24"/>
                <w:szCs w:val="24"/>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DC2AF12">
            <w:pPr>
              <w:widowControl/>
              <w:spacing w:line="400" w:lineRule="exact"/>
              <w:jc w:val="left"/>
              <w:rPr>
                <w:rFonts w:eastAsia="宋体"/>
                <w:b/>
                <w:bCs/>
                <w:color w:val="auto"/>
                <w:kern w:val="0"/>
                <w:sz w:val="24"/>
                <w:szCs w:val="24"/>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345DB030">
            <w:pPr>
              <w:widowControl/>
              <w:spacing w:line="400" w:lineRule="exact"/>
              <w:rPr>
                <w:rFonts w:eastAsia="宋体"/>
                <w:color w:val="auto"/>
                <w:kern w:val="0"/>
                <w:sz w:val="20"/>
                <w:highlight w:val="none"/>
              </w:rPr>
            </w:pPr>
          </w:p>
        </w:tc>
      </w:tr>
      <w:tr w14:paraId="729E3E35">
        <w:tblPrEx>
          <w:tblCellMar>
            <w:top w:w="0" w:type="dxa"/>
            <w:left w:w="108" w:type="dxa"/>
            <w:bottom w:w="0" w:type="dxa"/>
            <w:right w:w="108" w:type="dxa"/>
          </w:tblCellMar>
        </w:tblPrEx>
        <w:trPr>
          <w:trHeight w:val="255" w:hRule="atLeast"/>
        </w:trPr>
        <w:tc>
          <w:tcPr>
            <w:tcW w:w="449" w:type="pct"/>
            <w:tcBorders>
              <w:top w:val="single" w:color="auto" w:sz="4" w:space="0"/>
              <w:left w:val="single" w:color="000000" w:sz="8" w:space="0"/>
              <w:bottom w:val="single" w:color="000000" w:sz="4" w:space="0"/>
              <w:right w:val="nil"/>
            </w:tcBorders>
            <w:vAlign w:val="center"/>
          </w:tcPr>
          <w:p w14:paraId="01E1DD1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（一）</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5E8923F1">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土方开挖工程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6DE74B2">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60E9768">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619DF9A2">
            <w:pPr>
              <w:widowControl/>
              <w:spacing w:line="400" w:lineRule="exact"/>
              <w:rPr>
                <w:rFonts w:eastAsia="宋体"/>
                <w:color w:val="auto"/>
                <w:kern w:val="0"/>
                <w:sz w:val="20"/>
                <w:highlight w:val="none"/>
                <w:lang w:eastAsia="en-US"/>
              </w:rPr>
            </w:pPr>
          </w:p>
        </w:tc>
      </w:tr>
      <w:tr w14:paraId="060C2255">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6D1FEDC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66A252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一般土方开挖</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077AA2C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粘性土，开挖厚度50cm，土方运距500m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1007809">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2B472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32.95</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42D9E52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47E12E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9D4D471">
            <w:pPr>
              <w:widowControl/>
              <w:spacing w:line="400" w:lineRule="exact"/>
              <w:rPr>
                <w:rFonts w:eastAsia="宋体"/>
                <w:color w:val="auto"/>
                <w:kern w:val="0"/>
                <w:sz w:val="20"/>
                <w:highlight w:val="none"/>
                <w:lang w:eastAsia="en-US"/>
              </w:rPr>
            </w:pPr>
          </w:p>
        </w:tc>
      </w:tr>
      <w:tr w14:paraId="2863463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5E2DAD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77DF4F97">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1943BBA">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CD5DEF3">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18801BB2">
            <w:pPr>
              <w:widowControl/>
              <w:spacing w:line="400" w:lineRule="exact"/>
              <w:rPr>
                <w:rFonts w:eastAsia="宋体"/>
                <w:color w:val="auto"/>
                <w:kern w:val="0"/>
                <w:sz w:val="20"/>
                <w:highlight w:val="none"/>
                <w:lang w:eastAsia="en-US"/>
              </w:rPr>
            </w:pPr>
          </w:p>
        </w:tc>
      </w:tr>
      <w:tr w14:paraId="4692554D">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05D33E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5733ECB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一般土方填筑</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2638AE95">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粘性土，压实度不小于0.93，土方运距500m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1DE69487">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A73D8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11.83</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577837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0637E5A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308B626C">
            <w:pPr>
              <w:widowControl/>
              <w:spacing w:line="400" w:lineRule="exact"/>
              <w:rPr>
                <w:rFonts w:eastAsia="宋体"/>
                <w:color w:val="auto"/>
                <w:kern w:val="0"/>
                <w:sz w:val="20"/>
                <w:highlight w:val="none"/>
                <w:lang w:eastAsia="en-US"/>
              </w:rPr>
            </w:pPr>
          </w:p>
        </w:tc>
      </w:tr>
      <w:tr w14:paraId="21881F18">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1A3147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1951C32D">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77A0F62">
            <w:pPr>
              <w:widowControl/>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69AE40D">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A537BD7">
            <w:pPr>
              <w:widowControl/>
              <w:spacing w:line="400" w:lineRule="exact"/>
              <w:rPr>
                <w:rFonts w:eastAsia="宋体"/>
                <w:color w:val="auto"/>
                <w:kern w:val="0"/>
                <w:sz w:val="20"/>
                <w:highlight w:val="none"/>
                <w:lang w:eastAsia="en-US"/>
              </w:rPr>
            </w:pPr>
          </w:p>
        </w:tc>
      </w:tr>
      <w:tr w14:paraId="4268314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42C9E9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3113727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CA4FA4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10cm厚浆砌石护坡，M10砂浆勾缝</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7DD5EC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62F76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1.59</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3E194A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5F8E27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7FB0CE58">
            <w:pPr>
              <w:widowControl/>
              <w:spacing w:line="400" w:lineRule="exact"/>
              <w:rPr>
                <w:rFonts w:eastAsia="宋体"/>
                <w:color w:val="auto"/>
                <w:kern w:val="0"/>
                <w:sz w:val="20"/>
                <w:highlight w:val="none"/>
                <w:lang w:eastAsia="en-US"/>
              </w:rPr>
            </w:pPr>
          </w:p>
        </w:tc>
      </w:tr>
      <w:tr w14:paraId="681714F4">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6CD2E6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0D04D89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浆砌块石护坡拆除</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C09C7B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42C3C0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0FF959A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4.25</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5101DFF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2ADFBA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96AF932">
            <w:pPr>
              <w:widowControl/>
              <w:spacing w:line="400" w:lineRule="exact"/>
              <w:rPr>
                <w:rFonts w:eastAsia="宋体"/>
                <w:color w:val="auto"/>
                <w:kern w:val="0"/>
                <w:sz w:val="20"/>
                <w:highlight w:val="none"/>
                <w:lang w:eastAsia="en-US"/>
              </w:rPr>
            </w:pPr>
          </w:p>
        </w:tc>
      </w:tr>
      <w:tr w14:paraId="60BBCC9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90DFD7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26715014">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9AEEBB4">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00D9BDF">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790146E">
            <w:pPr>
              <w:widowControl/>
              <w:spacing w:line="400" w:lineRule="exact"/>
              <w:rPr>
                <w:rFonts w:eastAsia="宋体"/>
                <w:color w:val="auto"/>
                <w:kern w:val="0"/>
                <w:sz w:val="20"/>
                <w:highlight w:val="none"/>
              </w:rPr>
            </w:pPr>
          </w:p>
        </w:tc>
      </w:tr>
      <w:tr w14:paraId="46042061">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2B90E1D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01F68DD8">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4A4CFB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BA61010">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549678D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BD5F76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055EBC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71E4008">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w:t>
            </w:r>
          </w:p>
        </w:tc>
      </w:tr>
      <w:tr w14:paraId="120743A2">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2397D97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538D5E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0B830F4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6AFAB9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3B10CB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12.13</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77F2E9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FBAFA9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1AFD31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92DD25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CD716E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0BB865A2">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D9788A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A97032F">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95502F1">
            <w:pPr>
              <w:widowControl/>
              <w:spacing w:line="400" w:lineRule="exact"/>
              <w:rPr>
                <w:rFonts w:eastAsia="宋体"/>
                <w:color w:val="auto"/>
                <w:kern w:val="0"/>
                <w:sz w:val="20"/>
                <w:highlight w:val="none"/>
                <w:lang w:eastAsia="en-US"/>
              </w:rPr>
            </w:pPr>
          </w:p>
        </w:tc>
      </w:tr>
      <w:tr w14:paraId="7ED8BFF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660804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1B39C89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C30摩阻机基础垫层</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9F1812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40CF20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AB3B1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2.6</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1A7DB99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F27705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59B3583">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569CE3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D23103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014581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7CCEB8C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C4B2346">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3382E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53.5</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2D9265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B50C3A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1958286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4D413D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CCB6B9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552" w:type="pct"/>
            <w:tcBorders>
              <w:top w:val="single" w:color="000000" w:sz="4" w:space="0"/>
              <w:left w:val="single" w:color="000000" w:sz="4" w:space="0"/>
              <w:bottom w:val="single" w:color="000000" w:sz="4" w:space="0"/>
              <w:right w:val="single" w:color="000000" w:sz="4" w:space="0"/>
            </w:tcBorders>
            <w:vAlign w:val="center"/>
          </w:tcPr>
          <w:p w14:paraId="0CAA6D9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530B820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CF6235B">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9F78DE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12.51</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63645A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21B9A25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00F5859">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详见图纸和采购需求</w:t>
            </w:r>
          </w:p>
        </w:tc>
      </w:tr>
      <w:tr w14:paraId="314FD8A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801D5F8">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0EC79A58">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1F3E99B1">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2A15F962">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145F2A3D">
            <w:pPr>
              <w:widowControl/>
              <w:spacing w:line="400" w:lineRule="exact"/>
              <w:rPr>
                <w:rFonts w:eastAsia="宋体"/>
                <w:color w:val="auto"/>
                <w:kern w:val="0"/>
                <w:sz w:val="20"/>
                <w:highlight w:val="none"/>
              </w:rPr>
            </w:pPr>
          </w:p>
        </w:tc>
      </w:tr>
      <w:tr w14:paraId="18F460FB">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DF5DB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1D1BAD4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71B4F15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7BAD0D4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62DF34D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9.65</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571B4E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742DB0D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E4B2346">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1D9C398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0978B9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A8BE6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4BA86E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ABD5D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2B73B86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5.41</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02331A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2A797E8">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6287E6DD">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63973F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4CA303F">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29314E97">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A31DB2D">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000D508">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2049E5F5">
            <w:pPr>
              <w:widowControl/>
              <w:spacing w:line="400" w:lineRule="exact"/>
              <w:rPr>
                <w:rFonts w:eastAsia="宋体"/>
                <w:color w:val="auto"/>
                <w:kern w:val="0"/>
                <w:sz w:val="20"/>
                <w:highlight w:val="none"/>
                <w:lang w:eastAsia="en-US"/>
              </w:rPr>
            </w:pPr>
          </w:p>
        </w:tc>
      </w:tr>
      <w:tr w14:paraId="72152CA6">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342EEB6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48922E2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6×37型Φ44.0不锈钢钢丝绳</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A05D5B3">
            <w:pPr>
              <w:widowControl/>
              <w:spacing w:line="400" w:lineRule="exact"/>
              <w:jc w:val="left"/>
              <w:rPr>
                <w:rFonts w:eastAsia="宋体"/>
                <w:color w:val="auto"/>
                <w:kern w:val="0"/>
                <w:sz w:val="21"/>
                <w:szCs w:val="21"/>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23D92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3FA1F10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9.57</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66AADD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7511AB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1BF5A560">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3292A1F6">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8" w:space="0"/>
              <w:bottom w:val="single" w:color="000000" w:sz="4" w:space="0"/>
              <w:right w:val="nil"/>
            </w:tcBorders>
            <w:vAlign w:val="center"/>
          </w:tcPr>
          <w:p w14:paraId="3D66367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7718E6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39A1684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D8D66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209211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DD0BAC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DA1290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374E6FD">
            <w:pPr>
              <w:widowControl/>
              <w:spacing w:line="400" w:lineRule="exac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51241A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nil"/>
              <w:right w:val="nil"/>
            </w:tcBorders>
            <w:vAlign w:val="center"/>
          </w:tcPr>
          <w:p w14:paraId="6587CCD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2473" w:type="pct"/>
            <w:gridSpan w:val="7"/>
            <w:tcBorders>
              <w:top w:val="single" w:color="000000" w:sz="4" w:space="0"/>
              <w:left w:val="single" w:color="000000" w:sz="4" w:space="0"/>
              <w:bottom w:val="nil"/>
              <w:right w:val="single" w:color="000000" w:sz="4" w:space="0"/>
            </w:tcBorders>
            <w:noWrap/>
            <w:vAlign w:val="center"/>
          </w:tcPr>
          <w:p w14:paraId="6E8CF8A5">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401" w:type="pct"/>
            <w:tcBorders>
              <w:top w:val="single" w:color="000000" w:sz="4" w:space="0"/>
              <w:left w:val="single" w:color="000000" w:sz="4" w:space="0"/>
              <w:bottom w:val="nil"/>
              <w:right w:val="single" w:color="000000" w:sz="4" w:space="0"/>
            </w:tcBorders>
            <w:noWrap/>
            <w:vAlign w:val="bottom"/>
          </w:tcPr>
          <w:p w14:paraId="59487667">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nil"/>
              <w:right w:val="single" w:color="000000" w:sz="4" w:space="0"/>
            </w:tcBorders>
            <w:noWrap/>
            <w:vAlign w:val="bottom"/>
          </w:tcPr>
          <w:p w14:paraId="09737AD7">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nil"/>
              <w:right w:val="single" w:color="000000" w:sz="4" w:space="0"/>
            </w:tcBorders>
            <w:noWrap/>
            <w:vAlign w:val="center"/>
          </w:tcPr>
          <w:p w14:paraId="5D4FF45E">
            <w:pPr>
              <w:widowControl/>
              <w:spacing w:line="400" w:lineRule="exact"/>
              <w:rPr>
                <w:rFonts w:eastAsia="宋体"/>
                <w:color w:val="auto"/>
                <w:kern w:val="0"/>
                <w:sz w:val="20"/>
                <w:highlight w:val="none"/>
                <w:lang w:eastAsia="en-US"/>
              </w:rPr>
            </w:pPr>
          </w:p>
        </w:tc>
      </w:tr>
      <w:tr w14:paraId="7E67A5F1">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3BEAD0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7729C87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4F13B367">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包含主摩阻机和副摩阻机，摩阻机阻滑力设定为800kN</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1C7B22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0E2ED33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41F75F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74352F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08D336B9">
            <w:pPr>
              <w:widowControl/>
              <w:spacing w:line="400" w:lineRule="exac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5C9A5A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DAC0A9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09A335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49261883">
            <w:pPr>
              <w:widowControl/>
              <w:spacing w:line="400" w:lineRule="exact"/>
              <w:jc w:val="lef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1DAC7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A6F28E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42BC881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B12BE5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D8B43B0">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380026F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noWrap/>
            <w:vAlign w:val="center"/>
          </w:tcPr>
          <w:p w14:paraId="6F44460A">
            <w:pPr>
              <w:widowControl/>
              <w:jc w:val="center"/>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76F8C659">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5E330F2B">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5C27A560">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64CA33F">
            <w:pPr>
              <w:widowControl/>
              <w:spacing w:line="400" w:lineRule="exact"/>
              <w:rPr>
                <w:rFonts w:eastAsia="宋体"/>
                <w:color w:val="auto"/>
                <w:kern w:val="0"/>
                <w:sz w:val="20"/>
                <w:highlight w:val="none"/>
                <w:lang w:eastAsia="en-US"/>
              </w:rPr>
            </w:pPr>
          </w:p>
        </w:tc>
      </w:tr>
      <w:tr w14:paraId="5F17C72F">
        <w:tblPrEx>
          <w:tblCellMar>
            <w:top w:w="0" w:type="dxa"/>
            <w:left w:w="108" w:type="dxa"/>
            <w:bottom w:w="0" w:type="dxa"/>
            <w:right w:w="108" w:type="dxa"/>
          </w:tblCellMar>
        </w:tblPrEx>
        <w:trPr>
          <w:trHeight w:val="127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389E67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5B85314">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88281D9">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852C66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4B4D9BC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3C75422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7C8727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B7E47D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47827E96">
        <w:tblPrEx>
          <w:tblCellMar>
            <w:top w:w="0" w:type="dxa"/>
            <w:left w:w="108" w:type="dxa"/>
            <w:bottom w:w="0" w:type="dxa"/>
            <w:right w:w="108" w:type="dxa"/>
          </w:tblCellMar>
        </w:tblPrEx>
        <w:trPr>
          <w:trHeight w:val="204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6E7BC1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32DF7B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D076E38">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709BE4B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21EB6D5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3C7E24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F7610C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0234D0B">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49F68C5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681711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552" w:type="pct"/>
            <w:tcBorders>
              <w:top w:val="single" w:color="000000" w:sz="4" w:space="0"/>
              <w:left w:val="single" w:color="000000" w:sz="4" w:space="0"/>
              <w:bottom w:val="single" w:color="000000" w:sz="4" w:space="0"/>
              <w:right w:val="single" w:color="000000" w:sz="4" w:space="0"/>
            </w:tcBorders>
            <w:vAlign w:val="center"/>
          </w:tcPr>
          <w:p w14:paraId="3355B2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7828FB78">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45215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0E573B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AAD594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81486D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4ED545E">
            <w:pPr>
              <w:widowControl/>
              <w:spacing w:line="400" w:lineRule="exact"/>
              <w:rPr>
                <w:rFonts w:eastAsia="宋体"/>
                <w:color w:val="auto"/>
                <w:kern w:val="0"/>
                <w:sz w:val="21"/>
                <w:szCs w:val="21"/>
                <w:highlight w:val="none"/>
                <w:lang w:eastAsia="en-US"/>
              </w:rPr>
            </w:pPr>
          </w:p>
        </w:tc>
      </w:tr>
      <w:tr w14:paraId="31C230AC">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5EC410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552" w:type="pct"/>
            <w:tcBorders>
              <w:top w:val="single" w:color="000000" w:sz="4" w:space="0"/>
              <w:left w:val="single" w:color="000000" w:sz="4" w:space="0"/>
              <w:bottom w:val="single" w:color="000000" w:sz="4" w:space="0"/>
              <w:right w:val="single" w:color="000000" w:sz="4" w:space="0"/>
            </w:tcBorders>
            <w:vAlign w:val="center"/>
          </w:tcPr>
          <w:p w14:paraId="38F9AD0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04C52D97">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9134906">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6263AFB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56CF478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51758C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784C67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469496C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49FCFD2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67A0E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026D9BC7">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BCC7BB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5C5283F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697B78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44F9DB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01F96C3">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57B5B054">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56FCB31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E62CCF3">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358179F">
            <w:pPr>
              <w:widowControl/>
              <w:spacing w:line="400" w:lineRule="exact"/>
              <w:rPr>
                <w:rFonts w:eastAsia="宋体"/>
                <w:color w:val="auto"/>
                <w:kern w:val="0"/>
                <w:sz w:val="20"/>
                <w:highlight w:val="none"/>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05938D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18DC17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29C6366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06BCAA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F065B5A">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49B30B4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02F38FB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552" w:type="pct"/>
            <w:tcBorders>
              <w:top w:val="single" w:color="000000" w:sz="4" w:space="0"/>
              <w:left w:val="single" w:color="000000" w:sz="4" w:space="0"/>
              <w:bottom w:val="single" w:color="000000" w:sz="4" w:space="0"/>
              <w:right w:val="single" w:color="000000" w:sz="4" w:space="0"/>
            </w:tcBorders>
            <w:vAlign w:val="center"/>
          </w:tcPr>
          <w:p w14:paraId="6BF0B4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5D9FB401">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050FF4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6A38A7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4FFC60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BF98C2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F010A5E">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72607DA9">
      <w:pPr>
        <w:spacing w:line="400" w:lineRule="exact"/>
        <w:rPr>
          <w:rFonts w:eastAsia="宋体"/>
          <w:b/>
          <w:color w:val="auto"/>
          <w:sz w:val="24"/>
          <w:szCs w:val="20"/>
          <w:highlight w:val="none"/>
        </w:rPr>
      </w:pPr>
      <w:r>
        <w:rPr>
          <w:rFonts w:eastAsia="宋体"/>
          <w:b/>
          <w:color w:val="auto"/>
          <w:sz w:val="24"/>
          <w:szCs w:val="20"/>
          <w:highlight w:val="none"/>
        </w:rPr>
        <w:t>注：</w:t>
      </w:r>
    </w:p>
    <w:p w14:paraId="695533B1">
      <w:pPr>
        <w:spacing w:line="360" w:lineRule="auto"/>
        <w:ind w:firstLine="480"/>
        <w:rPr>
          <w:rFonts w:eastAsia="宋体"/>
          <w:b/>
          <w:color w:val="auto"/>
          <w:sz w:val="24"/>
          <w:szCs w:val="20"/>
          <w:highlight w:val="none"/>
        </w:rPr>
      </w:pPr>
      <w:r>
        <w:rPr>
          <w:rFonts w:eastAsia="宋体"/>
          <w:b/>
          <w:color w:val="auto"/>
          <w:sz w:val="24"/>
          <w:szCs w:val="20"/>
          <w:highlight w:val="none"/>
        </w:rPr>
        <w:t>1、所有价格用人民币表示。</w:t>
      </w:r>
    </w:p>
    <w:p w14:paraId="10EF9015">
      <w:pPr>
        <w:spacing w:line="360" w:lineRule="auto"/>
        <w:ind w:firstLine="480"/>
        <w:rPr>
          <w:rFonts w:eastAsia="宋体"/>
          <w:b/>
          <w:color w:val="auto"/>
          <w:sz w:val="24"/>
          <w:szCs w:val="20"/>
          <w:highlight w:val="none"/>
        </w:rPr>
      </w:pPr>
      <w:r>
        <w:rPr>
          <w:rFonts w:eastAsia="宋体"/>
          <w:b/>
          <w:color w:val="auto"/>
          <w:sz w:val="24"/>
          <w:szCs w:val="20"/>
          <w:highlight w:val="none"/>
        </w:rPr>
        <w:t>2、工程量清单报价表中辅材部分，投标人应根据自身所选用的材料，详细列出型号、规格、数量、单价以及合价。结算以工程量清单报价表中单价为准。未报价辅材视同包含在投标总价中。</w:t>
      </w:r>
    </w:p>
    <w:p w14:paraId="4BED6E17">
      <w:pPr>
        <w:spacing w:line="360" w:lineRule="auto"/>
        <w:ind w:firstLine="480"/>
        <w:rPr>
          <w:rFonts w:eastAsia="宋体"/>
          <w:b/>
          <w:color w:val="auto"/>
          <w:sz w:val="24"/>
          <w:szCs w:val="20"/>
          <w:highlight w:val="none"/>
        </w:rPr>
      </w:pPr>
      <w:r>
        <w:rPr>
          <w:rFonts w:eastAsia="宋体"/>
          <w:b/>
          <w:color w:val="auto"/>
          <w:sz w:val="24"/>
          <w:szCs w:val="20"/>
          <w:highlight w:val="none"/>
        </w:rPr>
        <w:t>3、工程量清单报价表中单价为全费用</w:t>
      </w:r>
      <w:r>
        <w:rPr>
          <w:rFonts w:hint="eastAsia" w:eastAsia="宋体"/>
          <w:b/>
          <w:color w:val="auto"/>
          <w:sz w:val="24"/>
          <w:szCs w:val="20"/>
          <w:highlight w:val="none"/>
        </w:rPr>
        <w:t>单价</w:t>
      </w:r>
      <w:r>
        <w:rPr>
          <w:rFonts w:eastAsia="宋体"/>
          <w:b/>
          <w:color w:val="auto"/>
          <w:sz w:val="24"/>
          <w:szCs w:val="20"/>
          <w:highlight w:val="none"/>
        </w:rPr>
        <w:t>；招标清单中所有设备均需按招标方要求发送到指定位置，投标总价中应包括设备购置费、运输、保险、</w:t>
      </w:r>
      <w:r>
        <w:rPr>
          <w:rFonts w:hint="eastAsia" w:eastAsia="宋体"/>
          <w:b/>
          <w:color w:val="auto"/>
          <w:sz w:val="24"/>
          <w:szCs w:val="20"/>
          <w:highlight w:val="none"/>
        </w:rPr>
        <w:t>现场安装、</w:t>
      </w:r>
      <w:r>
        <w:rPr>
          <w:rFonts w:eastAsia="宋体"/>
          <w:b/>
          <w:color w:val="auto"/>
          <w:sz w:val="24"/>
          <w:szCs w:val="20"/>
          <w:highlight w:val="none"/>
        </w:rPr>
        <w:t>系统集成</w:t>
      </w:r>
      <w:r>
        <w:rPr>
          <w:rFonts w:hint="eastAsia" w:eastAsia="宋体"/>
          <w:b/>
          <w:color w:val="auto"/>
          <w:sz w:val="24"/>
          <w:szCs w:val="20"/>
          <w:highlight w:val="none"/>
        </w:rPr>
        <w:t>、</w:t>
      </w:r>
      <w:r>
        <w:rPr>
          <w:rFonts w:eastAsia="宋体"/>
          <w:b/>
          <w:color w:val="auto"/>
          <w:sz w:val="24"/>
          <w:szCs w:val="20"/>
          <w:highlight w:val="none"/>
        </w:rPr>
        <w:t>调试费、现场配合费、测试部门的检定费、培训费</w:t>
      </w:r>
      <w:r>
        <w:rPr>
          <w:rFonts w:hint="eastAsia" w:eastAsia="宋体"/>
          <w:b/>
          <w:color w:val="auto"/>
          <w:sz w:val="24"/>
          <w:szCs w:val="20"/>
          <w:highlight w:val="none"/>
        </w:rPr>
        <w:t>等，以及</w:t>
      </w:r>
      <w:r>
        <w:rPr>
          <w:rFonts w:eastAsia="宋体"/>
          <w:b/>
          <w:color w:val="auto"/>
          <w:sz w:val="24"/>
          <w:szCs w:val="20"/>
          <w:highlight w:val="none"/>
        </w:rPr>
        <w:t>质保期运行维护费、利润及税金等招标文件规定的全部一切费用。</w:t>
      </w:r>
    </w:p>
    <w:p w14:paraId="28077F88">
      <w:pPr>
        <w:spacing w:line="360" w:lineRule="auto"/>
        <w:ind w:firstLine="480"/>
        <w:rPr>
          <w:rFonts w:eastAsia="宋体"/>
          <w:color w:val="auto"/>
          <w:sz w:val="24"/>
          <w:szCs w:val="20"/>
          <w:highlight w:val="none"/>
        </w:rPr>
      </w:pPr>
      <w:r>
        <w:rPr>
          <w:rFonts w:hint="eastAsia" w:eastAsia="宋体"/>
          <w:b/>
          <w:color w:val="auto"/>
          <w:sz w:val="24"/>
          <w:szCs w:val="20"/>
          <w:highlight w:val="none"/>
        </w:rPr>
        <w:t>4、报价以本工程量清单报价表为准，图纸部分仅供参考。</w:t>
      </w:r>
    </w:p>
    <w:p w14:paraId="30353016">
      <w:pPr>
        <w:numPr>
          <w:ilvl w:val="0"/>
          <w:numId w:val="2"/>
        </w:numPr>
        <w:spacing w:line="360" w:lineRule="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注意事项</w:t>
      </w:r>
    </w:p>
    <w:p w14:paraId="10864CB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10.1</w:t>
      </w:r>
      <w:r>
        <w:rPr>
          <w:rFonts w:ascii="宋体" w:hAnsi="宋体" w:eastAsia="宋体" w:cs="宋体"/>
          <w:color w:val="auto"/>
          <w:sz w:val="24"/>
          <w:szCs w:val="24"/>
          <w:highlight w:val="none"/>
          <w:lang w:bidi="ar"/>
        </w:rPr>
        <w:t xml:space="preserve"> 施工通信</w:t>
      </w:r>
    </w:p>
    <w:p w14:paraId="7B06704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乙方必须在现场设置当地的有线或无线通信设施，并保证畅通。</w:t>
      </w:r>
    </w:p>
    <w:p w14:paraId="1BADC52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2</w:t>
      </w:r>
      <w:r>
        <w:rPr>
          <w:rFonts w:ascii="宋体" w:hAnsi="宋体" w:eastAsia="宋体" w:cs="宋体"/>
          <w:color w:val="auto"/>
          <w:sz w:val="24"/>
          <w:szCs w:val="24"/>
          <w:highlight w:val="none"/>
          <w:lang w:bidi="ar"/>
        </w:rPr>
        <w:t xml:space="preserve"> 现场协调 </w:t>
      </w:r>
    </w:p>
    <w:p w14:paraId="552810D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位于管理所内，乙方必须无条件服从甲方（指发包人，以下同）或现场监理的管理协调，做好相关配合工作，在报价时考虑相应的配合费。施工部位为长江侧水上作业，供应商另需考虑施工地长江行船及施工要求，协调好海事部门。</w:t>
      </w:r>
    </w:p>
    <w:p w14:paraId="27F9804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3</w:t>
      </w:r>
      <w:r>
        <w:rPr>
          <w:rFonts w:ascii="宋体" w:hAnsi="宋体" w:eastAsia="宋体" w:cs="宋体"/>
          <w:color w:val="auto"/>
          <w:sz w:val="24"/>
          <w:szCs w:val="24"/>
          <w:highlight w:val="none"/>
          <w:lang w:bidi="ar"/>
        </w:rPr>
        <w:t xml:space="preserve"> 临时设施</w:t>
      </w:r>
    </w:p>
    <w:p w14:paraId="252F0AB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乙方施工所需要的临时设施（包括施工用房），进场后提出修筑方案，经甲方同意后实施，并负责完工时清除；生活、办公用房可在当地租用，甲方不提供任何用房。</w:t>
      </w:r>
    </w:p>
    <w:p w14:paraId="0BD2494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4</w:t>
      </w:r>
      <w:r>
        <w:rPr>
          <w:rFonts w:ascii="宋体" w:hAnsi="宋体" w:eastAsia="宋体" w:cs="宋体"/>
          <w:color w:val="auto"/>
          <w:sz w:val="24"/>
          <w:szCs w:val="24"/>
          <w:highlight w:val="none"/>
          <w:lang w:bidi="ar"/>
        </w:rPr>
        <w:t xml:space="preserve"> 施工安全保护</w:t>
      </w:r>
    </w:p>
    <w:p w14:paraId="593628A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 xml:space="preserve"> 承包人的安全保护责任</w:t>
      </w:r>
    </w:p>
    <w:p w14:paraId="22E2D6F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必须按本合同规定履行其安全保护职责。承包人应在工程开工后5天内编制一份工程施工安全措施文件报送监理人审批，其内容应包括安全机构的设置、专职人员的配备以及防火（工地禁止使用燃气，如需要须报业主同意）、防毒、防噪声、救护、警报、治安管理等的安全措施.</w:t>
      </w:r>
    </w:p>
    <w:p w14:paraId="7ACCB0D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（2）承包人应加强对职工进行施工安全教育，服从业主和监理的监督检查。工人上岗前应进行安全操作的考试和考核合格者才准上岗。</w:t>
      </w:r>
    </w:p>
    <w:p w14:paraId="6ED5B7A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（3）承包人必须遵守国家颁布的有关安全规程。若承包人责任区内发生重大安全事故时，承包人应立即通报发包人，并在事故发生后24h内向发包人提交事故情况的书面报告。</w:t>
      </w:r>
    </w:p>
    <w:p w14:paraId="63B7B9E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（4）承包人应加强对危险作业的安全检查，建立专门检查机构，配备专职的安检人员。</w:t>
      </w:r>
    </w:p>
    <w:p w14:paraId="116E836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（5）承包人应加强安全防护并设立施工安全标志。</w:t>
      </w:r>
    </w:p>
    <w:p w14:paraId="712B20D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 xml:space="preserve"> 劳动保护</w:t>
      </w:r>
    </w:p>
    <w:p w14:paraId="5A5045E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承包人应按照国家劳动保护法的规定，定期发给在现场施工的工作人员必需的劳动保护用品，如安全帽、水鞋、雨衣、手套、手灯、防护面具和安全带等。承包人还应按照劳动保护法的有关规定发给特殊工种作业人员的劳动保护津贴和营养补助。</w:t>
      </w:r>
    </w:p>
    <w:p w14:paraId="2F990E8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照明安全</w:t>
      </w:r>
    </w:p>
    <w:p w14:paraId="0DC13ED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（1）承包人应在施工作业区、施工道路、临时设施、办公区和生活区设置足够的照明。</w:t>
      </w:r>
    </w:p>
    <w:p w14:paraId="23EDB5F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（2）在不便于使用电器照明的工作面应采用特殊照明设施。在潮湿和易触及带电体场所的照明供电电压不应大于36V。</w:t>
      </w:r>
    </w:p>
    <w:p w14:paraId="7D70036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有害气体的控制</w:t>
      </w:r>
    </w:p>
    <w:p w14:paraId="7988EA2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在工程施工中，承包人应配备对有害气体的监测和报警装置以及工人使用的防护面具。一旦发现有毒气体，承包人应立即停止施工和疏散人员，并及时报告监理人。承包人应在经过慎重处理，确认不存在危险，并取得监理人同意后，方可复工。</w:t>
      </w:r>
    </w:p>
    <w:p w14:paraId="723D74E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（五）</w:t>
      </w:r>
      <w:r>
        <w:rPr>
          <w:rFonts w:ascii="宋体" w:hAnsi="宋体" w:eastAsia="宋体" w:cs="宋体"/>
          <w:color w:val="auto"/>
          <w:sz w:val="24"/>
          <w:szCs w:val="24"/>
          <w:highlight w:val="none"/>
          <w:lang w:bidi="ar"/>
        </w:rPr>
        <w:t>消防</w:t>
      </w:r>
    </w:p>
    <w:p w14:paraId="37BCFC7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自己管辖范围内履行其防火安全职责，配备必要的消防设备器材，确保消防水源充足和供水系统工作正常。消防设备的型号和功率应满足消防任务的需要，消防设备器材应经常检查和保养，使其处于良好的待命状态。</w:t>
      </w:r>
    </w:p>
    <w:p w14:paraId="71DEEE1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（2）承包人应对职工进行消防安全训练，并对其辖区内发生的火灾及其造成的人员伤亡和财产损失负责。</w:t>
      </w:r>
    </w:p>
    <w:p w14:paraId="0488E48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（六）</w:t>
      </w:r>
      <w:r>
        <w:rPr>
          <w:rFonts w:ascii="宋体" w:hAnsi="宋体" w:eastAsia="宋体" w:cs="宋体"/>
          <w:color w:val="auto"/>
          <w:sz w:val="24"/>
          <w:szCs w:val="24"/>
          <w:highlight w:val="none"/>
          <w:lang w:bidi="ar"/>
        </w:rPr>
        <w:t>信号</w:t>
      </w:r>
    </w:p>
    <w:p w14:paraId="06ABFCD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（1）承包人应在施工区内设置一切必需的信号装置，包括（但不限于）：</w:t>
      </w:r>
    </w:p>
    <w:p w14:paraId="2AAF92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1）标准道路警示信号、标牌；</w:t>
      </w:r>
    </w:p>
    <w:p w14:paraId="3D7F4AA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2）报警警示信号、标牌；</w:t>
      </w:r>
    </w:p>
    <w:p w14:paraId="74EE7A5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3）危险警示信号、标牌；</w:t>
      </w:r>
    </w:p>
    <w:p w14:paraId="206879A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4）控制警示信号、标牌；</w:t>
      </w:r>
    </w:p>
    <w:p w14:paraId="12FF398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5）安全警示信号、标牌；</w:t>
      </w:r>
    </w:p>
    <w:p w14:paraId="6288693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6）指示警示信号、标牌。</w:t>
      </w:r>
    </w:p>
    <w:p w14:paraId="409493C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（2）承包人应负责维修和保护施工区内自设或发包人设置的所有信号装置（包括发包人现场监控装置），并按监理人的指示，经常补充或更换失效的信号装置。</w:t>
      </w:r>
    </w:p>
    <w:p w14:paraId="1D256EC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10.5 </w:t>
      </w:r>
      <w:r>
        <w:rPr>
          <w:rFonts w:ascii="宋体" w:hAnsi="宋体" w:eastAsia="宋体" w:cs="宋体"/>
          <w:color w:val="auto"/>
          <w:sz w:val="24"/>
          <w:szCs w:val="24"/>
          <w:highlight w:val="none"/>
          <w:lang w:bidi="ar"/>
        </w:rPr>
        <w:t>环境保护</w:t>
      </w:r>
    </w:p>
    <w:p w14:paraId="37BCBA2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遵守环境保护的法律、法规和规章</w:t>
      </w:r>
    </w:p>
    <w:p w14:paraId="435FBF6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承包人必须遵守国家有关环境保护的法律、法规和规章，并按本合同有关规定，做好施工区的环境保护工作，防止由于工程施工造成施工区附近地区的环境污染和破坏。</w:t>
      </w:r>
    </w:p>
    <w:p w14:paraId="65D6B34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环境保护措施计划</w:t>
      </w:r>
    </w:p>
    <w:p w14:paraId="4BCA163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承包人应在编报施工总布置设计文件的同时，编制一份施工区和生活区的环境保护措施计划，报送监理人审批。其内容应包括：</w:t>
      </w:r>
    </w:p>
    <w:p w14:paraId="588280F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（1）施工弃渣的堆放；</w:t>
      </w:r>
    </w:p>
    <w:p w14:paraId="78637BE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（2）防止饮用水污染措施；</w:t>
      </w:r>
    </w:p>
    <w:p w14:paraId="471B634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（3）施工活动中的噪声、粉尘、废气、废水和废油等的治理措施；</w:t>
      </w:r>
    </w:p>
    <w:p w14:paraId="1F0B3EE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（4）施工区和生活区的卫生设施以及粪便、垃圾的治理措施；</w:t>
      </w:r>
    </w:p>
    <w:p w14:paraId="69B2056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（5）完工后的场地清理。</w:t>
      </w:r>
    </w:p>
    <w:p w14:paraId="6C37D1B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施工弃渣的治理</w:t>
      </w:r>
    </w:p>
    <w:p w14:paraId="78A2DAE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承包人应按本合同技术条款的规定和监理人的指示做好施工弃渣的治理措施。</w:t>
      </w:r>
    </w:p>
    <w:p w14:paraId="2A5E786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环境污染的治理</w:t>
      </w:r>
    </w:p>
    <w:p w14:paraId="4002D2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（1）承包人应按国家和地方有关环境保护法规和规章的规定控制工程施工的噪声、粉尘和有毒气体，保障工人的劳动卫生条件。</w:t>
      </w:r>
    </w:p>
    <w:p w14:paraId="59F06AE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（2）承包人应保护施工区和生活区的环境卫生，应定时清除垃圾，并将其运至批准的地点掩埋或焚烧处理。承包人应在现场和生活区设置足够的临时卫生设施，定期清扫处理。</w:t>
      </w:r>
    </w:p>
    <w:p w14:paraId="13FF7F9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（五）</w:t>
      </w:r>
      <w:r>
        <w:rPr>
          <w:rFonts w:ascii="宋体" w:hAnsi="宋体" w:eastAsia="宋体" w:cs="宋体"/>
          <w:color w:val="auto"/>
          <w:sz w:val="24"/>
          <w:szCs w:val="24"/>
          <w:highlight w:val="none"/>
          <w:lang w:bidi="ar"/>
        </w:rPr>
        <w:t>场地清理</w:t>
      </w:r>
    </w:p>
    <w:p w14:paraId="32A2A9E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除合同另有规定外，承包人应在工程完工后的28天内，拆除施工临时设施，清除施工区和生活区及其附近的施工废弃物，并按监理人批准的环境保护措施计划完成环境恢复。</w:t>
      </w:r>
    </w:p>
    <w:p w14:paraId="7509FC1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（六）</w:t>
      </w:r>
      <w:r>
        <w:rPr>
          <w:rFonts w:ascii="宋体" w:hAnsi="宋体" w:eastAsia="宋体" w:cs="宋体"/>
          <w:color w:val="auto"/>
          <w:sz w:val="24"/>
          <w:szCs w:val="24"/>
          <w:highlight w:val="none"/>
          <w:lang w:bidi="ar"/>
        </w:rPr>
        <w:t>文明工地</w:t>
      </w:r>
    </w:p>
    <w:p w14:paraId="5095DA4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承包人应按文明工地建设有关要求，加强精神文明建设，提高工程建设管理水平。</w:t>
      </w:r>
    </w:p>
    <w:p w14:paraId="3FF2875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综合管理：工作计划周密，组织到位，制度完善，措施落实；参建各方信守合同，全体参建人员遵纪守法，爱岗敬业；倡导正确的荣辱观和道德观，学习气氛浓厚，职工文体活动丰富；信息管理规范，参建单位之间关系融洽，能正确协调处理与周边群众关系，营造良好施工环境。</w:t>
      </w:r>
    </w:p>
    <w:p w14:paraId="5025215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质量管理：质量保证体系健全，工程质量得到有效控制，工程内在、外在质量优良，质量缺陷处理及时，质量档案资料真实，归档及时，管理规范。</w:t>
      </w:r>
    </w:p>
    <w:p w14:paraId="75F6586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安全管理：安全生产责任制及规章制度完善，制定针对性和操作性强的事故或紧急情况应急预案，实行定期安全生产检查制度，无重大安全事故。</w:t>
      </w:r>
    </w:p>
    <w:p w14:paraId="21F6857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施工区环境：现场材料堆放、施工机械停放有序、整齐，施工道路布置合理，路面平整、通畅。施工现场做到工完场清，施工现场安全设施及警示提示齐全，办公室。宿舍、食堂等场所整洁、卫生，生态环境保护及职业健康卫生条件符合国家标准要求，防止或减少施工引起的粉尘、废水、废气、固体废弃物、噪声、振动和施工照明对人和环境的危害和污染措施得当。</w:t>
      </w:r>
    </w:p>
    <w:p w14:paraId="4D83DD2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10.6</w:t>
      </w:r>
      <w:r>
        <w:rPr>
          <w:rFonts w:ascii="宋体" w:hAnsi="宋体" w:eastAsia="宋体" w:cs="宋体"/>
          <w:color w:val="auto"/>
          <w:sz w:val="24"/>
          <w:szCs w:val="24"/>
          <w:highlight w:val="none"/>
          <w:lang w:bidi="ar"/>
        </w:rPr>
        <w:t xml:space="preserve"> 保险</w:t>
      </w:r>
    </w:p>
    <w:p w14:paraId="479DDFE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投保险种符合相关政策要求。</w:t>
      </w:r>
    </w:p>
    <w:p w14:paraId="3AC731B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在合同实施期间，除根据采购文件合同条款规定必须保险的险种外，其他由承包人自主确定投保与否，并承担其相应责任。</w:t>
      </w:r>
    </w:p>
    <w:p w14:paraId="53F072E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10.7</w:t>
      </w:r>
      <w:r>
        <w:rPr>
          <w:rFonts w:ascii="宋体" w:hAnsi="宋体" w:eastAsia="宋体" w:cs="宋体"/>
          <w:color w:val="auto"/>
          <w:sz w:val="24"/>
          <w:szCs w:val="24"/>
          <w:highlight w:val="none"/>
          <w:lang w:bidi="ar"/>
        </w:rPr>
        <w:t xml:space="preserve"> 承包人提供的材料</w:t>
      </w:r>
    </w:p>
    <w:p w14:paraId="4A591F9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）材料的采购计划</w:t>
      </w:r>
    </w:p>
    <w:p w14:paraId="4196367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合同进度计划和本技术条款的要求制定材料的采购计划报送监理人（或采购人）审批。并应在每批材料采购前7天通知监理人（或采购人），对有季节性要求的品种需规定采购的具体期限。若施工中发生变更或需要修订合同进度时，则应相应调整材料的采购计划报送监理人（或采购人）审批。</w:t>
      </w:r>
    </w:p>
    <w:p w14:paraId="7B2F0D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）材料的交货验收</w:t>
      </w:r>
    </w:p>
    <w:p w14:paraId="3F80E8B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承包人提供的材料应进行检查和验收，其检查和验收的内容包括：</w:t>
      </w:r>
    </w:p>
    <w:p w14:paraId="4FD8822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1）查验材料的品种和规格是否与工程量清单、设计图纸（如有）规定的品种规格相吻合；查验材料的合格证书、检测报告，并按有关规范规定进行材料的抽样检验。</w:t>
      </w:r>
    </w:p>
    <w:p w14:paraId="423C6B7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承包人应对每批材料是否合格作出鉴定，并将检验结果报送监理人（或采购人）复查。监理人（或采购人）应对承包人报送的检验结果进行抽样检验。</w:t>
      </w:r>
    </w:p>
    <w:p w14:paraId="057D45E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）不合格材料的处理</w:t>
      </w:r>
    </w:p>
    <w:p w14:paraId="3DEF467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使用的所有材料，均应满足本技术条款和施工图纸规定的等级和品种规格，严禁将不合格的材料运往现场，经监理人（或采购人）发现不合格的材料，应严禁使用。承包人违约使用了不合格的材料，监理人（或采购人）可以随时发出指示，要求承包人立即改正，并严禁继续使用这些不合格的材料。</w:t>
      </w:r>
    </w:p>
    <w:p w14:paraId="6108B70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由于承包人使用了这些不合格的材料造成工程损坏，监理人（或采购人）可以随时发出指示，要求承包人立即采取措施进行补救，直至彻底清除工程的不合格部位以及不合格材料，由此增加的费用和工期的延误责任由承包人承担。</w:t>
      </w:r>
    </w:p>
    <w:p w14:paraId="0BA799C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）材料品种的代用</w:t>
      </w:r>
    </w:p>
    <w:p w14:paraId="3907182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承包人申请代用材料、规格，应向监理人（或采购人）报告并和发包人协商同意后，才能采用代用品种和材料。</w:t>
      </w:r>
    </w:p>
    <w:p w14:paraId="389E348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10.8</w:t>
      </w:r>
      <w:r>
        <w:rPr>
          <w:rFonts w:ascii="宋体" w:hAnsi="宋体" w:eastAsia="宋体" w:cs="宋体"/>
          <w:color w:val="auto"/>
          <w:sz w:val="24"/>
          <w:szCs w:val="24"/>
          <w:highlight w:val="none"/>
          <w:lang w:bidi="ar"/>
        </w:rPr>
        <w:t xml:space="preserve"> 工程质量的检查和检验</w:t>
      </w:r>
    </w:p>
    <w:p w14:paraId="2DCB845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承包人的质量自检</w:t>
      </w:r>
    </w:p>
    <w:p w14:paraId="46320E6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建立完善的质量管理体制，配备专职的质量检查人员，严格履行合同规定的质量自检职责。承包人应赋予质检人员对工程使用的材料和规格、品种及其施工工艺过程进行全面检查和随即抽样检验的权利。当发现工程质量不合格时，承包人质检人员应有责任及时纠正。</w:t>
      </w:r>
    </w:p>
    <w:p w14:paraId="1B7F610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遵守本合同《技术条款》的规定和监理人（或采购人）的指示，对工程使用的材料以及工程所有部位及其工艺，进行全过程的质量检查，详细作好质量检查记录，定期提交监理人（或采购人）审查。</w:t>
      </w:r>
    </w:p>
    <w:p w14:paraId="43712B1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监理人（或采购人）的质量检查</w:t>
      </w:r>
    </w:p>
    <w:p w14:paraId="5BFFFFA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（1）监理人（或采购人）有权对工程的所有部位及其任何一项工艺、材料进行检查和检验。</w:t>
      </w:r>
    </w:p>
    <w:p w14:paraId="0B7571A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（2）监理人（或采购人）检验工程材料的性能指标和检查工程质量时，有权要求承包人按规范规定的数量，提供试验和检验材料的样品。</w:t>
      </w:r>
    </w:p>
    <w:p w14:paraId="77279C1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10.9</w:t>
      </w:r>
      <w:r>
        <w:rPr>
          <w:rFonts w:ascii="宋体" w:hAnsi="宋体" w:eastAsia="宋体" w:cs="宋体"/>
          <w:color w:val="auto"/>
          <w:sz w:val="24"/>
          <w:szCs w:val="24"/>
          <w:highlight w:val="none"/>
          <w:lang w:bidi="ar"/>
        </w:rPr>
        <w:t xml:space="preserve"> 监督检查和验收</w:t>
      </w:r>
    </w:p>
    <w:p w14:paraId="4C527AF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分项分部工程验收</w:t>
      </w:r>
    </w:p>
    <w:p w14:paraId="67D4AD6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（1）分项分部工程完工后，承包人应认真按本技术条款的有关规定进行检查和评定，并报请监理人（或采购人）复检和确认。</w:t>
      </w:r>
    </w:p>
    <w:p w14:paraId="7ACAFC6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（2）经监理人（或采购人）复检认为质量不合格的分项分部工程，承包人应按监理人的指示进行返修，直至工程质量各项指标满足要求。由此引起的工期延误和增加费用均由承包人负责。</w:t>
      </w:r>
    </w:p>
    <w:p w14:paraId="1B695F0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完工验收</w:t>
      </w:r>
    </w:p>
    <w:p w14:paraId="2F38926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工程全部完成后，承包人应按本技术条款的要求整理全部工程质检资料、试验资料、竣工图纸、图片资料，作为整个工程完工验收的档案资料，报请监理人（如有）和发包人验收。</w:t>
      </w:r>
    </w:p>
    <w:p w14:paraId="0594A87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质量监督</w:t>
      </w:r>
    </w:p>
    <w:p w14:paraId="5063966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承包人应无条件服从和配合相关质量监督部门的检查、监督。</w:t>
      </w:r>
    </w:p>
    <w:p w14:paraId="708A983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10.10 </w:t>
      </w:r>
      <w:r>
        <w:rPr>
          <w:rFonts w:ascii="宋体" w:hAnsi="宋体" w:eastAsia="宋体" w:cs="宋体"/>
          <w:color w:val="auto"/>
          <w:sz w:val="24"/>
          <w:szCs w:val="24"/>
          <w:highlight w:val="none"/>
          <w:lang w:bidi="ar"/>
        </w:rPr>
        <w:t>计量和支付</w:t>
      </w:r>
    </w:p>
    <w:p w14:paraId="4E229CF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r>
        <w:rPr>
          <w:rFonts w:ascii="宋体" w:hAnsi="宋体" w:eastAsia="宋体" w:cs="宋体"/>
          <w:color w:val="auto"/>
          <w:sz w:val="24"/>
          <w:szCs w:val="24"/>
          <w:highlight w:val="none"/>
          <w:lang w:bidi="ar"/>
        </w:rPr>
        <w:t>工程的计量应按施工图纸所示部位，承包人实际完成并经监理人（或采购人）批准的量测计算的工程量，以《工程量清单》所列单位为单位计量，按《工程量清单》所列项目的综合单价进行支付。</w:t>
      </w:r>
    </w:p>
    <w:p w14:paraId="114C70C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r>
        <w:rPr>
          <w:rFonts w:ascii="宋体" w:hAnsi="宋体" w:eastAsia="宋体" w:cs="宋体"/>
          <w:color w:val="auto"/>
          <w:sz w:val="24"/>
          <w:szCs w:val="24"/>
          <w:highlight w:val="none"/>
          <w:lang w:bidi="ar"/>
        </w:rPr>
        <w:t>除合同另有规定外，完成该项目工程所需的全部材料</w:t>
      </w:r>
      <w:r>
        <w:rPr>
          <w:rFonts w:hint="eastAsia" w:ascii="宋体" w:hAnsi="宋体" w:eastAsia="宋体" w:cs="宋体"/>
          <w:color w:val="auto"/>
          <w:sz w:val="24"/>
          <w:szCs w:val="24"/>
          <w:highlight w:val="none"/>
          <w:lang w:bidi="ar"/>
        </w:rPr>
        <w:t>设备</w:t>
      </w:r>
      <w:r>
        <w:rPr>
          <w:rFonts w:ascii="宋体" w:hAnsi="宋体" w:eastAsia="宋体" w:cs="宋体"/>
          <w:color w:val="auto"/>
          <w:sz w:val="24"/>
          <w:szCs w:val="24"/>
          <w:highlight w:val="none"/>
          <w:lang w:bidi="ar"/>
        </w:rPr>
        <w:t>的采购、运输、贮存、保管、试验检验与验收，以及材料的加工及其损耗等全部费用均已包括在综合单价中，发包人不再另行支付。</w:t>
      </w:r>
    </w:p>
    <w:p w14:paraId="370EDE0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w:t>
      </w:r>
      <w:r>
        <w:rPr>
          <w:rFonts w:ascii="宋体" w:hAnsi="宋体" w:eastAsia="宋体" w:cs="宋体"/>
          <w:color w:val="auto"/>
          <w:sz w:val="24"/>
          <w:szCs w:val="24"/>
          <w:highlight w:val="none"/>
          <w:lang w:bidi="ar"/>
        </w:rPr>
        <w:t>完成该项目工程的全部施工作业以及质量检查、检验和验收等所需的全部人工、材料、使用设备和辅助设施、管理费、利润等全部费用均已包括在综合单价中，发包人不再另行支付。</w:t>
      </w:r>
    </w:p>
    <w:p w14:paraId="075A330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r>
        <w:rPr>
          <w:rFonts w:ascii="宋体" w:hAnsi="宋体" w:eastAsia="宋体" w:cs="宋体"/>
          <w:color w:val="auto"/>
          <w:sz w:val="24"/>
          <w:szCs w:val="24"/>
          <w:highlight w:val="none"/>
          <w:lang w:bidi="ar"/>
        </w:rPr>
        <w:t>除《工程量清单》所列项目所包含的工程项目及其工作内容外，承包人按本章规定进行的各项工作，其费用均应分摊在各项报价中，发包人不再另行支付。</w:t>
      </w:r>
    </w:p>
    <w:p w14:paraId="26E3860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p>
    <w:p w14:paraId="2C346CD7">
      <w:pPr>
        <w:jc w:val="both"/>
        <w:rPr>
          <w:color w:val="auto"/>
          <w:highlight w:val="none"/>
        </w:rPr>
      </w:pPr>
      <w:r>
        <w:rPr>
          <w:rFonts w:hint="eastAsia"/>
          <w:color w:val="auto"/>
          <w:highlight w:val="none"/>
        </w:rPr>
        <w:br w:type="page"/>
      </w:r>
    </w:p>
    <w:p w14:paraId="0BE42E6D">
      <w:pPr>
        <w:pStyle w:val="2"/>
        <w:spacing w:line="360" w:lineRule="auto"/>
        <w:jc w:val="center"/>
        <w:rPr>
          <w:color w:val="auto"/>
          <w:highlight w:val="none"/>
        </w:rPr>
      </w:pPr>
      <w:bookmarkStart w:id="61" w:name="_Toc7964"/>
      <w:r>
        <w:rPr>
          <w:rFonts w:hint="eastAsia"/>
          <w:color w:val="auto"/>
          <w:highlight w:val="none"/>
        </w:rPr>
        <w:t>第四章</w:t>
      </w:r>
      <w:r>
        <w:rPr>
          <w:color w:val="auto"/>
          <w:highlight w:val="none"/>
        </w:rPr>
        <w:t xml:space="preserve"> </w:t>
      </w:r>
      <w:r>
        <w:rPr>
          <w:rFonts w:hint="eastAsia"/>
          <w:color w:val="auto"/>
          <w:highlight w:val="none"/>
        </w:rPr>
        <w:t xml:space="preserve"> </w:t>
      </w:r>
      <w:r>
        <w:rPr>
          <w:color w:val="auto"/>
          <w:highlight w:val="none"/>
        </w:rPr>
        <w:t>合同主要条款及格式</w:t>
      </w:r>
      <w:bookmarkEnd w:id="61"/>
    </w:p>
    <w:p w14:paraId="74E6F5A3">
      <w:pPr>
        <w:spacing w:line="360" w:lineRule="auto"/>
        <w:rPr>
          <w:rFonts w:eastAsia="宋体"/>
          <w:bCs/>
          <w:color w:val="auto"/>
          <w:sz w:val="24"/>
          <w:szCs w:val="24"/>
          <w:highlight w:val="none"/>
        </w:rPr>
      </w:pPr>
      <w:r>
        <w:rPr>
          <w:rFonts w:eastAsia="宋体"/>
          <w:bCs/>
          <w:color w:val="auto"/>
          <w:sz w:val="24"/>
          <w:szCs w:val="24"/>
          <w:highlight w:val="none"/>
          <w:u w:val="single"/>
        </w:rPr>
        <w:t>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w:t>
      </w:r>
    </w:p>
    <w:p w14:paraId="309FEBC6">
      <w:pPr>
        <w:widowControl w:val="0"/>
        <w:jc w:val="center"/>
        <w:rPr>
          <w:rFonts w:ascii="Times New Roman" w:hAnsi="Times New Roman" w:eastAsia="仿宋_GB2312" w:cs="Times New Roman"/>
          <w:bCs/>
          <w:color w:val="auto"/>
          <w:kern w:val="2"/>
          <w:sz w:val="32"/>
          <w:szCs w:val="32"/>
          <w:highlight w:val="none"/>
          <w:lang w:val="en-US" w:eastAsia="zh-CN" w:bidi="ar-SA"/>
        </w:rPr>
      </w:pPr>
      <w:bookmarkStart w:id="62" w:name="_Toc523141252"/>
      <w:r>
        <w:rPr>
          <w:rFonts w:ascii="Times New Roman" w:hAnsi="Times New Roman" w:eastAsia="华文中宋" w:cs="Times New Roman"/>
          <w:color w:val="auto"/>
          <w:kern w:val="2"/>
          <w:sz w:val="32"/>
          <w:szCs w:val="44"/>
          <w:highlight w:val="none"/>
          <w:lang w:val="en-US" w:eastAsia="zh-CN" w:bidi="ar-SA"/>
        </w:rPr>
        <w:t>第一部分 合同协议书</w:t>
      </w:r>
      <w:bookmarkEnd w:id="62"/>
    </w:p>
    <w:p w14:paraId="35AA291C">
      <w:pPr>
        <w:spacing w:line="360" w:lineRule="auto"/>
        <w:rPr>
          <w:rFonts w:hint="eastAsia" w:eastAsia="仿宋_GB2312"/>
          <w:b/>
          <w:color w:val="auto"/>
          <w:szCs w:val="30"/>
          <w:highlight w:val="none"/>
        </w:rPr>
      </w:pPr>
    </w:p>
    <w:p w14:paraId="080A7B37">
      <w:pPr>
        <w:adjustRightInd w:val="0"/>
        <w:snapToGrid w:val="0"/>
        <w:rPr>
          <w:rFonts w:hint="eastAsia" w:ascii="宋体" w:hAnsi="宋体" w:eastAsia="宋体"/>
          <w:color w:val="auto"/>
          <w:sz w:val="24"/>
          <w:szCs w:val="24"/>
          <w:highlight w:val="none"/>
        </w:rPr>
      </w:pPr>
      <w:r>
        <w:rPr>
          <w:rFonts w:hint="eastAsia" w:eastAsia="宋体"/>
          <w:color w:val="auto"/>
          <w:highlight w:val="none"/>
        </w:rPr>
        <w:t xml:space="preserve">   </w:t>
      </w:r>
      <w:r>
        <w:rPr>
          <w:rFonts w:hint="eastAsia" w:ascii="宋体" w:hAnsi="宋体" w:eastAsia="宋体"/>
          <w:color w:val="auto"/>
          <w:sz w:val="24"/>
          <w:szCs w:val="24"/>
          <w:highlight w:val="none"/>
        </w:rPr>
        <w:t xml:space="preserve"> 发包人(全称)：</w:t>
      </w:r>
      <w:r>
        <w:rPr>
          <w:rFonts w:hint="eastAsia" w:ascii="宋体" w:hAnsi="宋体" w:eastAsia="宋体"/>
          <w:b/>
          <w:color w:val="auto"/>
          <w:sz w:val="24"/>
          <w:szCs w:val="24"/>
          <w:highlight w:val="none"/>
          <w:u w:val="single"/>
        </w:rPr>
        <w:t xml:space="preserve">                      </w:t>
      </w:r>
      <w:r>
        <w:rPr>
          <w:rFonts w:hint="eastAsia" w:ascii="宋体" w:hAnsi="宋体" w:eastAsia="宋体"/>
          <w:b/>
          <w:bCs/>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（以下简称甲方）</w:t>
      </w:r>
    </w:p>
    <w:p w14:paraId="2A25EE55">
      <w:pPr>
        <w:adjustRightInd w:val="0"/>
        <w:snapToGrid w:val="0"/>
        <w:ind w:firstLine="46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承包人(全称)：</w:t>
      </w:r>
      <w:r>
        <w:rPr>
          <w:rFonts w:hint="eastAsia"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（以下简称乙方）</w:t>
      </w:r>
    </w:p>
    <w:p w14:paraId="31D35D79">
      <w:pPr>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根据《中华人民共和国民法典》及有关法律规定，遵循平等、自愿、公平和诚实信用的原则，双方就</w:t>
      </w:r>
      <w:r>
        <w:rPr>
          <w:rFonts w:hint="eastAsia"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rPr>
        <w:t>及有关事项协商一致，共同达成如下协议：</w:t>
      </w:r>
    </w:p>
    <w:p w14:paraId="1F19DED7">
      <w:pPr>
        <w:adjustRightInd w:val="0"/>
        <w:snapToGrid w:val="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一、工程概况</w:t>
      </w:r>
    </w:p>
    <w:p w14:paraId="38B7296F">
      <w:pPr>
        <w:adjustRightInd w:val="0"/>
        <w:snapToGrid w:val="0"/>
        <w:ind w:firstLine="480" w:firstLineChars="200"/>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1.工程名称</w:t>
      </w:r>
      <w:r>
        <w:rPr>
          <w:rFonts w:hint="eastAsia" w:ascii="宋体" w:hAnsi="宋体" w:eastAsia="宋体"/>
          <w:color w:val="auto"/>
          <w:sz w:val="24"/>
          <w:szCs w:val="24"/>
          <w:highlight w:val="none"/>
        </w:rPr>
        <w:t>：</w:t>
      </w:r>
      <w:r>
        <w:rPr>
          <w:rFonts w:hint="eastAsia" w:ascii="宋体" w:hAnsi="宋体" w:eastAsia="宋体"/>
          <w:b/>
          <w:color w:val="auto"/>
          <w:sz w:val="24"/>
          <w:szCs w:val="24"/>
          <w:highlight w:val="none"/>
          <w:u w:val="single"/>
        </w:rPr>
        <w:t xml:space="preserve"> </w:t>
      </w:r>
    </w:p>
    <w:p w14:paraId="71B9C68F">
      <w:pPr>
        <w:adjustRightInd w:val="0"/>
        <w:snapToGrid w:val="0"/>
        <w:ind w:firstLine="470" w:firstLineChars="196"/>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2.工程地点：</w:t>
      </w:r>
      <w:r>
        <w:rPr>
          <w:rFonts w:hint="eastAsia" w:ascii="宋体" w:hAnsi="宋体" w:eastAsia="宋体"/>
          <w:b/>
          <w:color w:val="auto"/>
          <w:sz w:val="24"/>
          <w:szCs w:val="24"/>
          <w:highlight w:val="none"/>
          <w:u w:val="single"/>
        </w:rPr>
        <w:t xml:space="preserve"> </w:t>
      </w:r>
    </w:p>
    <w:p w14:paraId="675E7618">
      <w:pPr>
        <w:adjustRightInd w:val="0"/>
        <w:snapToGrid w:val="0"/>
        <w:ind w:firstLine="470" w:firstLineChars="196"/>
        <w:rPr>
          <w:rFonts w:hint="eastAsia" w:ascii="宋体" w:hAnsi="宋体" w:eastAsia="宋体"/>
          <w:b/>
          <w:bCs/>
          <w:color w:val="auto"/>
          <w:sz w:val="24"/>
          <w:szCs w:val="24"/>
          <w:highlight w:val="none"/>
          <w:u w:val="single"/>
        </w:rPr>
      </w:pPr>
      <w:r>
        <w:rPr>
          <w:rFonts w:hint="eastAsia" w:ascii="宋体" w:hAnsi="宋体" w:eastAsia="宋体"/>
          <w:bCs/>
          <w:color w:val="auto"/>
          <w:sz w:val="24"/>
          <w:szCs w:val="24"/>
          <w:highlight w:val="none"/>
        </w:rPr>
        <w:t>3.工程立项批准文号：</w:t>
      </w:r>
    </w:p>
    <w:p w14:paraId="20E4918C">
      <w:pPr>
        <w:adjustRightInd w:val="0"/>
        <w:snapToGrid w:val="0"/>
        <w:ind w:firstLine="470" w:firstLineChars="196"/>
        <w:rPr>
          <w:rFonts w:hint="eastAsia" w:ascii="宋体" w:hAnsi="宋体" w:eastAsia="宋体"/>
          <w:b/>
          <w:bCs/>
          <w:color w:val="auto"/>
          <w:sz w:val="24"/>
          <w:szCs w:val="24"/>
          <w:highlight w:val="none"/>
          <w:u w:val="single"/>
        </w:rPr>
      </w:pPr>
      <w:r>
        <w:rPr>
          <w:rFonts w:hint="eastAsia" w:ascii="宋体" w:hAnsi="宋体" w:eastAsia="宋体"/>
          <w:bCs/>
          <w:color w:val="auto"/>
          <w:sz w:val="24"/>
          <w:szCs w:val="24"/>
          <w:highlight w:val="none"/>
        </w:rPr>
        <w:t>4.资金来源：</w:t>
      </w:r>
      <w:r>
        <w:rPr>
          <w:rFonts w:hint="eastAsia" w:ascii="宋体" w:hAnsi="宋体" w:eastAsia="宋体"/>
          <w:b/>
          <w:bCs w:val="0"/>
          <w:i w:val="0"/>
          <w:iCs w:val="0"/>
          <w:color w:val="auto"/>
          <w:sz w:val="24"/>
          <w:szCs w:val="24"/>
          <w:highlight w:val="none"/>
          <w:u w:val="single"/>
          <w:lang w:val="en-US" w:eastAsia="zh-CN"/>
        </w:rPr>
        <w:t>财政</w:t>
      </w:r>
      <w:r>
        <w:rPr>
          <w:rFonts w:hint="eastAsia" w:ascii="宋体" w:hAnsi="宋体" w:eastAsia="宋体"/>
          <w:b/>
          <w:bCs w:val="0"/>
          <w:i w:val="0"/>
          <w:iCs w:val="0"/>
          <w:color w:val="auto"/>
          <w:sz w:val="24"/>
          <w:szCs w:val="24"/>
          <w:highlight w:val="none"/>
          <w:u w:val="single"/>
        </w:rPr>
        <w:t>资金</w:t>
      </w:r>
    </w:p>
    <w:p w14:paraId="165BEB94">
      <w:pPr>
        <w:adjustRightInd w:val="0"/>
        <w:snapToGrid w:val="0"/>
        <w:ind w:left="750" w:leftChars="196" w:hanging="240" w:hangingChars="100"/>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5.</w:t>
      </w:r>
      <w:r>
        <w:rPr>
          <w:rFonts w:hint="eastAsia" w:ascii="宋体" w:hAnsi="宋体" w:eastAsia="宋体"/>
          <w:color w:val="auto"/>
          <w:sz w:val="24"/>
          <w:szCs w:val="24"/>
          <w:highlight w:val="none"/>
        </w:rPr>
        <w:t>工程内容:</w:t>
      </w:r>
      <w:r>
        <w:rPr>
          <w:rFonts w:hint="eastAsia" w:ascii="宋体" w:hAnsi="宋体" w:eastAsia="宋体"/>
          <w:b/>
          <w:color w:val="auto"/>
          <w:sz w:val="24"/>
          <w:szCs w:val="24"/>
          <w:highlight w:val="none"/>
          <w:u w:val="single"/>
        </w:rPr>
        <w:t>具体详见工程量清单。</w:t>
      </w:r>
    </w:p>
    <w:p w14:paraId="2A09D187">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群体工程应附《承包人承揽工程项目一览表》（附件1）。</w:t>
      </w:r>
    </w:p>
    <w:p w14:paraId="167261BF">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6.工程承包范围：同工程内容  </w:t>
      </w:r>
    </w:p>
    <w:p w14:paraId="185AF2DA">
      <w:pPr>
        <w:adjustRightInd w:val="0"/>
        <w:snapToGrid w:val="0"/>
        <w:rPr>
          <w:rFonts w:hint="eastAsia" w:ascii="宋体" w:hAnsi="宋体" w:eastAsia="宋体"/>
          <w:bCs/>
          <w:color w:val="auto"/>
          <w:sz w:val="24"/>
          <w:szCs w:val="24"/>
          <w:highlight w:val="none"/>
        </w:rPr>
      </w:pPr>
      <w:bookmarkStart w:id="63" w:name="_Toc11924167"/>
      <w:r>
        <w:rPr>
          <w:rFonts w:hint="eastAsia" w:ascii="宋体" w:hAnsi="宋体" w:eastAsia="宋体"/>
          <w:bCs/>
          <w:color w:val="auto"/>
          <w:sz w:val="24"/>
          <w:szCs w:val="24"/>
          <w:highlight w:val="none"/>
        </w:rPr>
        <w:t>二、合同工期</w:t>
      </w:r>
      <w:bookmarkEnd w:id="63"/>
    </w:p>
    <w:p w14:paraId="613B16B5">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计划开工日期：20  年    月  日。</w:t>
      </w:r>
    </w:p>
    <w:p w14:paraId="3A737972">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计划竣工日期：20  年    月    日。</w:t>
      </w:r>
    </w:p>
    <w:p w14:paraId="45E9BF4C">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工期总日历天数：      天。工期总日历天数与根据前述计划开竣工日期计算的工期天数不一致的，以工期总日历天数为准。具体开工日期以发包人签发的书面开工通知为准。</w:t>
      </w:r>
    </w:p>
    <w:p w14:paraId="1C8B8FCD">
      <w:pPr>
        <w:adjustRightInd w:val="0"/>
        <w:snapToGrid w:val="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bookmarkStart w:id="64" w:name="_Toc11924168"/>
      <w:r>
        <w:rPr>
          <w:rFonts w:hint="eastAsia" w:ascii="宋体" w:hAnsi="宋体" w:eastAsia="宋体"/>
          <w:bCs/>
          <w:color w:val="auto"/>
          <w:sz w:val="24"/>
          <w:szCs w:val="24"/>
          <w:highlight w:val="none"/>
        </w:rPr>
        <w:t>三、质量标准</w:t>
      </w:r>
      <w:bookmarkEnd w:id="64"/>
    </w:p>
    <w:p w14:paraId="657BA056">
      <w:pPr>
        <w:adjustRightInd w:val="0"/>
        <w:snapToGrid w:val="0"/>
        <w:ind w:firstLine="459"/>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工程质量标准：</w:t>
      </w:r>
      <w:r>
        <w:rPr>
          <w:rFonts w:hint="eastAsia" w:ascii="宋体" w:hAnsi="宋体" w:eastAsia="宋体"/>
          <w:color w:val="auto"/>
          <w:sz w:val="24"/>
          <w:szCs w:val="24"/>
          <w:highlight w:val="none"/>
          <w:u w:val="single"/>
        </w:rPr>
        <w:t xml:space="preserve">合格。 </w:t>
      </w:r>
    </w:p>
    <w:p w14:paraId="7A2C81AD">
      <w:pPr>
        <w:adjustRightInd w:val="0"/>
        <w:snapToGrid w:val="0"/>
        <w:ind w:firstLine="459"/>
        <w:rPr>
          <w:rFonts w:hint="eastAsia" w:eastAsia="宋体"/>
          <w:color w:val="auto"/>
          <w:highlight w:val="none"/>
        </w:rPr>
      </w:pPr>
      <w:r>
        <w:rPr>
          <w:rFonts w:ascii="宋体" w:hAnsi="宋体" w:eastAsia="宋体"/>
          <w:color w:val="auto"/>
          <w:sz w:val="24"/>
          <w:szCs w:val="24"/>
          <w:highlight w:val="none"/>
        </w:rPr>
        <w:t>工程质保期：除国家规定最低</w:t>
      </w:r>
      <w:r>
        <w:rPr>
          <w:rFonts w:hint="eastAsia" w:ascii="宋体" w:hAnsi="宋体" w:eastAsia="宋体"/>
          <w:color w:val="auto"/>
          <w:sz w:val="24"/>
          <w:szCs w:val="24"/>
          <w:highlight w:val="none"/>
        </w:rPr>
        <w:t>保修年限</w:t>
      </w:r>
      <w:r>
        <w:rPr>
          <w:rFonts w:ascii="宋体" w:hAnsi="宋体" w:eastAsia="宋体"/>
          <w:color w:val="auto"/>
          <w:sz w:val="24"/>
          <w:szCs w:val="24"/>
          <w:highlight w:val="none"/>
        </w:rPr>
        <w:t>外，本工程质保期</w:t>
      </w:r>
      <w:r>
        <w:rPr>
          <w:rFonts w:hint="eastAsia" w:ascii="宋体" w:hAnsi="宋体" w:eastAsia="宋体"/>
          <w:b/>
          <w:bCs/>
          <w:color w:val="auto"/>
          <w:sz w:val="24"/>
          <w:szCs w:val="24"/>
          <w:highlight w:val="none"/>
          <w:u w:val="single"/>
          <w:lang w:val="en-US" w:eastAsia="zh-CN"/>
        </w:rPr>
        <w:t>二</w:t>
      </w:r>
      <w:r>
        <w:rPr>
          <w:rFonts w:ascii="宋体" w:hAnsi="宋体" w:eastAsia="宋体"/>
          <w:b/>
          <w:bCs/>
          <w:color w:val="auto"/>
          <w:sz w:val="24"/>
          <w:szCs w:val="24"/>
          <w:highlight w:val="none"/>
          <w:u w:val="single"/>
        </w:rPr>
        <w:t>年</w:t>
      </w:r>
      <w:r>
        <w:rPr>
          <w:rFonts w:hint="eastAsia" w:ascii="宋体" w:hAnsi="宋体" w:eastAsia="宋体"/>
          <w:color w:val="auto"/>
          <w:sz w:val="24"/>
          <w:szCs w:val="24"/>
          <w:highlight w:val="none"/>
          <w:u w:val="single"/>
        </w:rPr>
        <w:t>，从工程竣工验收合格之日起开始计算</w:t>
      </w:r>
      <w:r>
        <w:rPr>
          <w:rFonts w:ascii="宋体" w:hAnsi="宋体" w:eastAsia="宋体"/>
          <w:color w:val="auto"/>
          <w:sz w:val="24"/>
          <w:szCs w:val="24"/>
          <w:highlight w:val="none"/>
        </w:rPr>
        <w:t>。</w:t>
      </w:r>
    </w:p>
    <w:p w14:paraId="3BDD1C6E">
      <w:pPr>
        <w:bidi w:val="0"/>
        <w:rPr>
          <w:rFonts w:hint="eastAsia" w:ascii="宋体" w:hAnsi="宋体" w:eastAsia="宋体" w:cs="宋体"/>
          <w:b/>
          <w:bCs w:val="0"/>
          <w:color w:val="auto"/>
          <w:kern w:val="2"/>
          <w:sz w:val="24"/>
          <w:szCs w:val="24"/>
          <w:highlight w:val="none"/>
          <w:lang w:val="en-US" w:eastAsia="zh-CN" w:bidi="ar-SA"/>
        </w:rPr>
      </w:pPr>
      <w:bookmarkStart w:id="65" w:name="_Toc11924169"/>
      <w:r>
        <w:rPr>
          <w:rFonts w:hint="eastAsia" w:ascii="宋体" w:hAnsi="宋体" w:eastAsia="宋体" w:cs="宋体"/>
          <w:b w:val="0"/>
          <w:bCs/>
          <w:color w:val="auto"/>
          <w:kern w:val="2"/>
          <w:sz w:val="24"/>
          <w:szCs w:val="24"/>
          <w:highlight w:val="none"/>
          <w:lang w:val="en-US" w:eastAsia="zh-CN" w:bidi="ar-SA"/>
        </w:rPr>
        <w:t>四、签约合同价与合同价格形式</w:t>
      </w:r>
      <w:bookmarkEnd w:id="65"/>
      <w:r>
        <w:rPr>
          <w:rFonts w:hint="eastAsia" w:ascii="宋体" w:hAnsi="宋体" w:eastAsia="宋体" w:cs="宋体"/>
          <w:b w:val="0"/>
          <w:bCs/>
          <w:color w:val="auto"/>
          <w:kern w:val="2"/>
          <w:sz w:val="24"/>
          <w:szCs w:val="24"/>
          <w:highlight w:val="none"/>
          <w:lang w:val="en-US" w:eastAsia="zh-CN" w:bidi="ar-SA"/>
        </w:rPr>
        <w:tab/>
      </w:r>
    </w:p>
    <w:p w14:paraId="60FDFA9A">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0D730A86">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274C5A1">
      <w:pPr>
        <w:adjustRightInd w:val="0"/>
        <w:snapToGrid w:val="0"/>
        <w:ind w:left="425"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合同价格形式：</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C7A42A">
      <w:pPr>
        <w:adjustRightInd w:val="0"/>
        <w:snapToGrid w:val="0"/>
        <w:ind w:left="425"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本工程最终按实际工作量结算，最终按审计结果结算。</w:t>
      </w:r>
    </w:p>
    <w:p w14:paraId="0228D3D1">
      <w:pPr>
        <w:bidi w:val="0"/>
        <w:rPr>
          <w:rFonts w:hint="eastAsia" w:ascii="宋体" w:hAnsi="宋体" w:eastAsia="宋体"/>
          <w:b/>
          <w:color w:val="auto"/>
          <w:sz w:val="24"/>
          <w:highlight w:val="none"/>
          <w:u w:val="single"/>
        </w:rPr>
      </w:pPr>
      <w:r>
        <w:rPr>
          <w:rFonts w:hint="eastAsia" w:ascii="宋体" w:hAnsi="宋体" w:eastAsia="宋体" w:cs="宋体"/>
          <w:color w:val="auto"/>
          <w:sz w:val="24"/>
          <w:szCs w:val="24"/>
          <w:highlight w:val="none"/>
        </w:rPr>
        <w:t>4.付款方式：</w:t>
      </w:r>
      <w:r>
        <w:rPr>
          <w:rFonts w:hint="eastAsia" w:ascii="宋体" w:hAnsi="宋体" w:eastAsia="宋体"/>
          <w:b/>
          <w:color w:val="auto"/>
          <w:sz w:val="24"/>
          <w:highlight w:val="none"/>
          <w:u w:val="single"/>
        </w:rPr>
        <w:t>★双方签订合同前，乙方需缴纳履约保证金或履约保函（合同金额的10%）；签订合同后，甲方向乙方预付合同总价的30%；现场硬件设施施工安装结束支付至合同总价的90%；验收合格、审计结束后甲方向乙方支付剩余款项。成交供应商须无条件接受和配合采购人及其上级部门对本项目的审计工作。在行业标准规定的质保期内，采购人保留对成交供应商工程遗留问题的追诉权。</w:t>
      </w:r>
    </w:p>
    <w:p w14:paraId="33B8A4B6">
      <w:pPr>
        <w:bidi w:val="0"/>
        <w:rPr>
          <w:rFonts w:hint="eastAsia" w:ascii="宋体" w:hAnsi="宋体" w:eastAsia="宋体" w:cs="Times New Roman"/>
          <w:b w:val="0"/>
          <w:bCs/>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6" w:name="_Toc11924170"/>
      <w:r>
        <w:rPr>
          <w:rFonts w:hint="eastAsia" w:ascii="宋体" w:hAnsi="宋体" w:eastAsia="宋体" w:cs="Times New Roman"/>
          <w:b w:val="0"/>
          <w:bCs/>
          <w:color w:val="auto"/>
          <w:kern w:val="2"/>
          <w:sz w:val="24"/>
          <w:szCs w:val="24"/>
          <w:highlight w:val="none"/>
          <w:lang w:val="en-US" w:eastAsia="zh-CN" w:bidi="ar-SA"/>
        </w:rPr>
        <w:t>五、项目经理</w:t>
      </w:r>
      <w:bookmarkEnd w:id="66"/>
    </w:p>
    <w:p w14:paraId="652F0942">
      <w:pPr>
        <w:bidi w:val="0"/>
        <w:rPr>
          <w:rFonts w:hint="eastAsia" w:ascii="宋体" w:hAnsi="宋体" w:eastAsia="宋体" w:cs="Times New Roman"/>
          <w:b w:val="0"/>
          <w:bCs/>
          <w:color w:val="auto"/>
          <w:kern w:val="2"/>
          <w:sz w:val="24"/>
          <w:szCs w:val="24"/>
          <w:highlight w:val="none"/>
          <w:lang w:val="en-US" w:eastAsia="zh-CN" w:bidi="ar-SA"/>
        </w:rPr>
      </w:pPr>
      <w:bookmarkStart w:id="67" w:name="_Toc11924171"/>
      <w:r>
        <w:rPr>
          <w:rFonts w:hint="eastAsia" w:ascii="宋体" w:hAnsi="宋体" w:eastAsia="宋体" w:cs="Times New Roman"/>
          <w:b/>
          <w:bCs/>
          <w:color w:val="auto"/>
          <w:kern w:val="2"/>
          <w:sz w:val="24"/>
          <w:szCs w:val="24"/>
          <w:highlight w:val="none"/>
          <w:lang w:val="en-US" w:eastAsia="zh-CN" w:bidi="ar-SA"/>
        </w:rPr>
        <w:t>承包人项目经理：</w:t>
      </w:r>
      <w:r>
        <w:rPr>
          <w:rFonts w:hint="eastAsia" w:ascii="宋体" w:hAnsi="宋体" w:eastAsia="宋体" w:cs="Times New Roman"/>
          <w:b/>
          <w:bCs/>
          <w:color w:val="auto"/>
          <w:kern w:val="2"/>
          <w:sz w:val="24"/>
          <w:szCs w:val="24"/>
          <w:highlight w:val="none"/>
          <w:u w:val="single"/>
          <w:lang w:val="en-US" w:eastAsia="zh-CN" w:bidi="ar-SA"/>
        </w:rPr>
        <w:t xml:space="preserve">           </w:t>
      </w:r>
      <w:r>
        <w:rPr>
          <w:rFonts w:hint="eastAsia" w:ascii="宋体" w:hAnsi="宋体" w:eastAsia="宋体" w:cs="Times New Roman"/>
          <w:b/>
          <w:bCs/>
          <w:color w:val="auto"/>
          <w:kern w:val="2"/>
          <w:sz w:val="24"/>
          <w:szCs w:val="24"/>
          <w:highlight w:val="none"/>
          <w:lang w:val="en-US" w:eastAsia="zh-CN" w:bidi="ar-SA"/>
        </w:rPr>
        <w:t>。</w:t>
      </w:r>
      <w:bookmarkEnd w:id="67"/>
    </w:p>
    <w:p w14:paraId="3B7CEED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8" w:name="_Toc11924172"/>
      <w:r>
        <w:rPr>
          <w:rFonts w:hint="eastAsia" w:ascii="宋体" w:hAnsi="宋体" w:eastAsia="宋体" w:cs="Times New Roman"/>
          <w:b w:val="0"/>
          <w:bCs/>
          <w:color w:val="auto"/>
          <w:kern w:val="2"/>
          <w:sz w:val="24"/>
          <w:szCs w:val="24"/>
          <w:highlight w:val="none"/>
          <w:lang w:val="en-US" w:eastAsia="zh-CN" w:bidi="ar-SA"/>
        </w:rPr>
        <w:t>六、合同文件构成</w:t>
      </w:r>
      <w:bookmarkEnd w:id="68"/>
    </w:p>
    <w:p w14:paraId="0AC134E1">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本协议书与下列文件一起构成合同文件：</w:t>
      </w:r>
    </w:p>
    <w:p w14:paraId="02C86BA6">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（1）中标通知书（成交通知书）；</w:t>
      </w:r>
    </w:p>
    <w:p w14:paraId="3706F851">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（2）投标函及其附录； </w:t>
      </w:r>
    </w:p>
    <w:p w14:paraId="3DA0261C">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（3）专用合同条款及其附件；</w:t>
      </w:r>
    </w:p>
    <w:p w14:paraId="48306A35">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（4）通用合同条款；</w:t>
      </w:r>
    </w:p>
    <w:p w14:paraId="792BD0CA">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（5）技术标准和要求；</w:t>
      </w:r>
    </w:p>
    <w:p w14:paraId="63FC5832">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（6）图纸；</w:t>
      </w:r>
    </w:p>
    <w:p w14:paraId="005B84FC">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（7）已标价工程量清单或预算书；</w:t>
      </w:r>
    </w:p>
    <w:p w14:paraId="4CDAEE82">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（8）采购文件（磋商文件）</w:t>
      </w:r>
    </w:p>
    <w:p w14:paraId="6E02AB33">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（9）投标文件（响应文件）</w:t>
      </w:r>
    </w:p>
    <w:p w14:paraId="7C9ED4D7">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（10）其他合同文件。</w:t>
      </w:r>
    </w:p>
    <w:p w14:paraId="3C573E6A">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在合同订立及履行过程中形成的与合同有关的文件均构成合同文件组成部分。</w:t>
      </w:r>
    </w:p>
    <w:p w14:paraId="4DCB126D">
      <w:pPr>
        <w:autoSpaceDE w:val="0"/>
        <w:autoSpaceDN w:val="0"/>
        <w:adjustRightInd w:val="0"/>
        <w:snapToGrid w:val="0"/>
        <w:ind w:firstLine="480" w:firstLineChars="200"/>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b/>
          <w:bCs/>
          <w:color w:val="auto"/>
          <w:sz w:val="24"/>
          <w:szCs w:val="24"/>
          <w:highlight w:val="none"/>
        </w:rPr>
        <w:t xml:space="preserve"> </w:t>
      </w:r>
    </w:p>
    <w:p w14:paraId="7275B6D9">
      <w:pPr>
        <w:autoSpaceDE w:val="0"/>
        <w:autoSpaceDN w:val="0"/>
        <w:adjustRightInd w:val="0"/>
        <w:snapToGrid w:val="0"/>
        <w:ind w:firstLine="482" w:firstLineChars="200"/>
        <w:rPr>
          <w:rFonts w:hint="eastAsia" w:ascii="宋体" w:hAnsi="宋体" w:eastAsia="宋体"/>
          <w:b/>
          <w:bCs/>
          <w:color w:val="auto"/>
          <w:sz w:val="24"/>
          <w:szCs w:val="24"/>
          <w:highlight w:val="none"/>
        </w:rPr>
      </w:pPr>
      <w:r>
        <w:rPr>
          <w:rFonts w:hint="eastAsia" w:ascii="宋体" w:hAnsi="宋体" w:eastAsia="宋体"/>
          <w:b/>
          <w:color w:val="auto"/>
          <w:sz w:val="24"/>
          <w:szCs w:val="24"/>
          <w:highlight w:val="none"/>
        </w:rPr>
        <w:t>七、承诺</w:t>
      </w:r>
    </w:p>
    <w:p w14:paraId="520227C8">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1.发包人承诺按照法律规定履行项目审批手续、筹集工程建设资金并按照合同约定的期限和方式支付合同价款。</w:t>
      </w:r>
    </w:p>
    <w:p w14:paraId="0C0F6C9B">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683C21EC">
      <w:pPr>
        <w:adjustRightInd w:val="0"/>
        <w:snapToGrid w:val="0"/>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3.发包人和承包人通过</w:t>
      </w:r>
      <w:r>
        <w:rPr>
          <w:rFonts w:hint="eastAsia" w:ascii="宋体" w:hAnsi="宋体" w:eastAsia="宋体"/>
          <w:b/>
          <w:bCs/>
          <w:color w:val="auto"/>
          <w:sz w:val="24"/>
          <w:szCs w:val="24"/>
          <w:highlight w:val="none"/>
        </w:rPr>
        <w:t>竞争性磋商形式</w:t>
      </w:r>
      <w:r>
        <w:rPr>
          <w:rFonts w:hint="eastAsia" w:ascii="宋体" w:hAnsi="宋体" w:eastAsia="宋体"/>
          <w:bCs/>
          <w:color w:val="auto"/>
          <w:sz w:val="24"/>
          <w:szCs w:val="24"/>
          <w:highlight w:val="none"/>
        </w:rPr>
        <w:t>签订合同的，双方理解并承诺不再就同一工程另行签订与合同实质性内容相背离的协议。</w:t>
      </w:r>
    </w:p>
    <w:p w14:paraId="4486A19B">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4.承包人需无条件配合上级主管部门监督及延伸审计工作。</w:t>
      </w:r>
    </w:p>
    <w:p w14:paraId="5A0D44CC">
      <w:pPr>
        <w:adjustRightInd w:val="0"/>
        <w:snapToGrid w:val="0"/>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    八、词语含义</w:t>
      </w:r>
    </w:p>
    <w:p w14:paraId="258697B2">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本协议书中词语含义与第二部分通用合同条款中赋予的含义相同。</w:t>
      </w:r>
    </w:p>
    <w:p w14:paraId="326F871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9" w:name="_Toc11924173"/>
      <w:r>
        <w:rPr>
          <w:rFonts w:hint="eastAsia" w:ascii="宋体" w:hAnsi="宋体" w:eastAsia="宋体" w:cs="Times New Roman"/>
          <w:b w:val="0"/>
          <w:bCs/>
          <w:color w:val="auto"/>
          <w:kern w:val="2"/>
          <w:sz w:val="24"/>
          <w:szCs w:val="24"/>
          <w:highlight w:val="none"/>
          <w:lang w:val="en-US" w:eastAsia="zh-CN" w:bidi="ar-SA"/>
        </w:rPr>
        <w:t>九、签订时间</w:t>
      </w:r>
      <w:bookmarkEnd w:id="69"/>
    </w:p>
    <w:p w14:paraId="77F76F79">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本合同于</w:t>
      </w:r>
      <w:r>
        <w:rPr>
          <w:rFonts w:hint="eastAsia" w:ascii="宋体" w:hAnsi="宋体" w:eastAsia="宋体"/>
          <w:bCs/>
          <w:color w:val="auto"/>
          <w:sz w:val="24"/>
          <w:szCs w:val="24"/>
          <w:highlight w:val="none"/>
          <w:u w:val="single"/>
        </w:rPr>
        <w:t xml:space="preserve">  20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日签订。</w:t>
      </w:r>
    </w:p>
    <w:p w14:paraId="22AC9CF4">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0" w:name="_Toc11924174"/>
      <w:r>
        <w:rPr>
          <w:rFonts w:hint="eastAsia" w:ascii="宋体" w:hAnsi="宋体" w:eastAsia="宋体" w:cs="Times New Roman"/>
          <w:b w:val="0"/>
          <w:bCs/>
          <w:color w:val="auto"/>
          <w:kern w:val="2"/>
          <w:sz w:val="24"/>
          <w:szCs w:val="24"/>
          <w:highlight w:val="none"/>
          <w:lang w:val="en-US" w:eastAsia="zh-CN" w:bidi="ar-SA"/>
        </w:rPr>
        <w:t>十、签订地点</w:t>
      </w:r>
      <w:bookmarkEnd w:id="70"/>
    </w:p>
    <w:p w14:paraId="1D9F749F">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本合同在</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签订。</w:t>
      </w:r>
    </w:p>
    <w:p w14:paraId="46F4AB27">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1" w:name="_Toc11924175"/>
      <w:r>
        <w:rPr>
          <w:rFonts w:hint="eastAsia" w:ascii="宋体" w:hAnsi="宋体" w:eastAsia="宋体" w:cs="Times New Roman"/>
          <w:b w:val="0"/>
          <w:bCs/>
          <w:color w:val="auto"/>
          <w:kern w:val="2"/>
          <w:sz w:val="24"/>
          <w:szCs w:val="24"/>
          <w:highlight w:val="none"/>
          <w:lang w:val="en-US" w:eastAsia="zh-CN" w:bidi="ar-SA"/>
        </w:rPr>
        <w:t>十一、补充协议</w:t>
      </w:r>
      <w:bookmarkEnd w:id="71"/>
    </w:p>
    <w:p w14:paraId="60CC96DC">
      <w:pPr>
        <w:adjustRightInd w:val="0"/>
        <w:snapToGrid w:val="0"/>
        <w:ind w:firstLine="480" w:firstLineChars="200"/>
        <w:rPr>
          <w:rFonts w:hint="eastAsia" w:ascii="宋体" w:hAnsi="宋体" w:eastAsia="宋体"/>
          <w:b/>
          <w:bCs/>
          <w:color w:val="auto"/>
          <w:sz w:val="24"/>
          <w:szCs w:val="24"/>
          <w:highlight w:val="none"/>
        </w:rPr>
      </w:pPr>
      <w:r>
        <w:rPr>
          <w:rFonts w:hint="eastAsia" w:ascii="宋体" w:hAnsi="宋体" w:eastAsia="宋体"/>
          <w:bCs/>
          <w:color w:val="auto"/>
          <w:sz w:val="24"/>
          <w:szCs w:val="24"/>
          <w:highlight w:val="none"/>
        </w:rPr>
        <w:t>合同未尽事宜，合同当事人另行签订补充协议，补充协议是合同的组成部分。</w:t>
      </w:r>
    </w:p>
    <w:p w14:paraId="3E3F725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2" w:name="_Toc11924176"/>
      <w:r>
        <w:rPr>
          <w:rFonts w:hint="eastAsia" w:ascii="宋体" w:hAnsi="宋体" w:eastAsia="宋体" w:cs="Times New Roman"/>
          <w:b w:val="0"/>
          <w:bCs/>
          <w:color w:val="auto"/>
          <w:kern w:val="2"/>
          <w:sz w:val="24"/>
          <w:szCs w:val="24"/>
          <w:highlight w:val="none"/>
          <w:lang w:val="en-US" w:eastAsia="zh-CN" w:bidi="ar-SA"/>
        </w:rPr>
        <w:t>十二、合同生效</w:t>
      </w:r>
      <w:bookmarkEnd w:id="72"/>
    </w:p>
    <w:p w14:paraId="30217CA1">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本合同自</w:t>
      </w:r>
      <w:r>
        <w:rPr>
          <w:rFonts w:hint="eastAsia" w:ascii="宋体" w:hAnsi="宋体" w:eastAsia="宋体"/>
          <w:b/>
          <w:bCs/>
          <w:color w:val="auto"/>
          <w:sz w:val="24"/>
          <w:szCs w:val="24"/>
          <w:highlight w:val="none"/>
          <w:u w:val="single"/>
        </w:rPr>
        <w:t xml:space="preserve">   双方签字、盖章后</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生效。</w:t>
      </w:r>
    </w:p>
    <w:p w14:paraId="722DF330">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3" w:name="_Toc11924177"/>
      <w:r>
        <w:rPr>
          <w:rFonts w:hint="eastAsia" w:ascii="宋体" w:hAnsi="宋体" w:eastAsia="宋体" w:cs="Times New Roman"/>
          <w:b w:val="0"/>
          <w:bCs/>
          <w:color w:val="auto"/>
          <w:kern w:val="2"/>
          <w:sz w:val="24"/>
          <w:szCs w:val="24"/>
          <w:highlight w:val="none"/>
          <w:lang w:val="en-US" w:eastAsia="zh-CN" w:bidi="ar-SA"/>
        </w:rPr>
        <w:t>十三、合同份数</w:t>
      </w:r>
      <w:bookmarkEnd w:id="73"/>
    </w:p>
    <w:p w14:paraId="2DF53F80">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本合同一式</w:t>
      </w:r>
      <w:r>
        <w:rPr>
          <w:rFonts w:hint="eastAsia" w:ascii="宋体" w:hAnsi="宋体" w:eastAsia="宋体"/>
          <w:bCs/>
          <w:color w:val="auto"/>
          <w:sz w:val="24"/>
          <w:szCs w:val="24"/>
          <w:highlight w:val="none"/>
          <w:u w:val="single"/>
        </w:rPr>
        <w:t xml:space="preserve"> 捌 </w:t>
      </w:r>
      <w:r>
        <w:rPr>
          <w:rFonts w:hint="eastAsia" w:ascii="宋体" w:hAnsi="宋体" w:eastAsia="宋体"/>
          <w:bCs/>
          <w:color w:val="auto"/>
          <w:sz w:val="24"/>
          <w:szCs w:val="24"/>
          <w:highlight w:val="none"/>
        </w:rPr>
        <w:t>份，均具有同等法律效力，发包人执</w:t>
      </w:r>
      <w:r>
        <w:rPr>
          <w:rFonts w:hint="eastAsia" w:ascii="宋体" w:hAnsi="宋体" w:eastAsia="宋体"/>
          <w:bCs/>
          <w:color w:val="auto"/>
          <w:sz w:val="24"/>
          <w:szCs w:val="24"/>
          <w:highlight w:val="none"/>
          <w:u w:val="single"/>
        </w:rPr>
        <w:t xml:space="preserve"> 肆 </w:t>
      </w:r>
      <w:r>
        <w:rPr>
          <w:rFonts w:hint="eastAsia" w:ascii="宋体" w:hAnsi="宋体" w:eastAsia="宋体"/>
          <w:bCs/>
          <w:color w:val="auto"/>
          <w:sz w:val="24"/>
          <w:szCs w:val="24"/>
          <w:highlight w:val="none"/>
        </w:rPr>
        <w:t>份，承包人执</w:t>
      </w:r>
      <w:r>
        <w:rPr>
          <w:rFonts w:hint="eastAsia" w:ascii="宋体" w:hAnsi="宋体" w:eastAsia="宋体"/>
          <w:bCs/>
          <w:color w:val="auto"/>
          <w:sz w:val="24"/>
          <w:szCs w:val="24"/>
          <w:highlight w:val="none"/>
          <w:u w:val="single"/>
        </w:rPr>
        <w:t xml:space="preserve"> 肆 </w:t>
      </w:r>
      <w:r>
        <w:rPr>
          <w:rFonts w:hint="eastAsia" w:ascii="宋体" w:hAnsi="宋体" w:eastAsia="宋体"/>
          <w:bCs/>
          <w:color w:val="auto"/>
          <w:sz w:val="24"/>
          <w:szCs w:val="24"/>
          <w:highlight w:val="none"/>
        </w:rPr>
        <w:t>份。</w:t>
      </w:r>
    </w:p>
    <w:p w14:paraId="25A11C42">
      <w:pPr>
        <w:rPr>
          <w:rFonts w:hint="eastAsia" w:ascii="宋体" w:hAnsi="宋体" w:eastAsia="宋体"/>
          <w:color w:val="auto"/>
          <w:sz w:val="24"/>
          <w:szCs w:val="24"/>
          <w:highlight w:val="none"/>
        </w:rPr>
      </w:pPr>
    </w:p>
    <w:p w14:paraId="7D2045A7">
      <w:pPr>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  (公章)                        承包人：  (公章) </w:t>
      </w:r>
    </w:p>
    <w:p w14:paraId="171DFB75">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法定代表人或其委托代理人：              法定代表人或其委托代理人：</w:t>
      </w:r>
    </w:p>
    <w:p w14:paraId="5AD548FB">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（签字）                               （签字）</w:t>
      </w:r>
    </w:p>
    <w:p w14:paraId="70D73F22">
      <w:pPr>
        <w:tabs>
          <w:tab w:val="left" w:pos="4410"/>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组织机构代码：</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w:t>
      </w:r>
    </w:p>
    <w:p w14:paraId="17703F71">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  址：</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       </w:t>
      </w:r>
    </w:p>
    <w:p w14:paraId="43433413">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邮政编码：</w:t>
      </w:r>
      <w:r>
        <w:rPr>
          <w:rFonts w:hint="eastAsia" w:ascii="宋体" w:hAnsi="宋体" w:eastAsia="宋体"/>
          <w:color w:val="auto"/>
          <w:sz w:val="24"/>
          <w:szCs w:val="24"/>
          <w:highlight w:val="none"/>
          <w:u w:val="single"/>
        </w:rPr>
        <w:t xml:space="preserve">  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p>
    <w:p w14:paraId="483AA9BF">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       </w:t>
      </w:r>
    </w:p>
    <w:p w14:paraId="63CCA289">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p>
    <w:p w14:paraId="3C726120">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p>
    <w:p w14:paraId="7646D3A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   </w:t>
      </w:r>
    </w:p>
    <w:p w14:paraId="253B0DE8">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p>
    <w:p w14:paraId="194DDFA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p>
    <w:p w14:paraId="7528B4D4">
      <w:pPr>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bookmarkStart w:id="74" w:name="_Toc455491118"/>
      <w:r>
        <w:rPr>
          <w:rFonts w:hint="eastAsia" w:ascii="宋体" w:hAnsi="宋体" w:eastAsia="宋体"/>
          <w:color w:val="auto"/>
          <w:sz w:val="24"/>
          <w:szCs w:val="24"/>
          <w:highlight w:val="none"/>
          <w:u w:val="single"/>
        </w:rPr>
        <w:t xml:space="preserve">       </w:t>
      </w:r>
    </w:p>
    <w:p w14:paraId="45C5FBAE">
      <w:pPr>
        <w:spacing w:line="360" w:lineRule="auto"/>
        <w:rPr>
          <w:rFonts w:hint="eastAsia" w:eastAsia="宋体"/>
          <w:color w:val="auto"/>
          <w:highlight w:val="none"/>
        </w:rPr>
      </w:pPr>
    </w:p>
    <w:p w14:paraId="4AE1DF69">
      <w:pPr>
        <w:spacing w:line="360" w:lineRule="auto"/>
        <w:rPr>
          <w:rFonts w:hint="eastAsia" w:eastAsia="宋体"/>
          <w:color w:val="auto"/>
          <w:highlight w:val="none"/>
        </w:rPr>
      </w:pPr>
    </w:p>
    <w:p w14:paraId="45E0BFB3">
      <w:pPr>
        <w:spacing w:line="360" w:lineRule="auto"/>
        <w:jc w:val="center"/>
        <w:rPr>
          <w:rFonts w:hint="eastAsia" w:eastAsia="宋体"/>
          <w:b/>
          <w:bCs/>
          <w:color w:val="auto"/>
          <w:sz w:val="32"/>
          <w:szCs w:val="32"/>
          <w:highlight w:val="none"/>
        </w:rPr>
      </w:pPr>
      <w:r>
        <w:rPr>
          <w:rFonts w:hint="eastAsia" w:eastAsia="宋体"/>
          <w:b/>
          <w:bCs/>
          <w:color w:val="auto"/>
          <w:sz w:val="32"/>
          <w:szCs w:val="32"/>
          <w:highlight w:val="none"/>
        </w:rPr>
        <w:t>第二部分 通用合同条款</w:t>
      </w:r>
      <w:bookmarkEnd w:id="74"/>
    </w:p>
    <w:p w14:paraId="551EE418">
      <w:pPr>
        <w:tabs>
          <w:tab w:val="left" w:pos="4410"/>
        </w:tabs>
        <w:adjustRightInd w:val="0"/>
        <w:snapToGrid w:val="0"/>
        <w:spacing w:line="360" w:lineRule="auto"/>
        <w:rPr>
          <w:rFonts w:hint="eastAsia" w:eastAsia="宋体"/>
          <w:color w:val="auto"/>
          <w:highlight w:val="none"/>
        </w:rPr>
      </w:pPr>
    </w:p>
    <w:p w14:paraId="6D55C4A5">
      <w:pPr>
        <w:tabs>
          <w:tab w:val="left" w:pos="4410"/>
        </w:tabs>
        <w:adjustRightInd w:val="0"/>
        <w:snapToGrid w:val="0"/>
        <w:spacing w:line="360" w:lineRule="auto"/>
        <w:ind w:firstLine="390" w:firstLineChars="150"/>
        <w:rPr>
          <w:rFonts w:hint="eastAsia" w:eastAsia="宋体"/>
          <w:color w:val="auto"/>
          <w:highlight w:val="none"/>
        </w:rPr>
      </w:pPr>
      <w:r>
        <w:rPr>
          <w:rFonts w:hint="eastAsia" w:eastAsia="宋体"/>
          <w:color w:val="auto"/>
          <w:highlight w:val="none"/>
        </w:rPr>
        <w:t>此部分采用《建设工程施工合同》范本（GF-2017-0201）中《第二部分  通用条款》。</w:t>
      </w:r>
    </w:p>
    <w:p w14:paraId="168C3ECA">
      <w:pPr>
        <w:bidi w:val="0"/>
        <w:rPr>
          <w:rFonts w:hint="eastAsia"/>
          <w:color w:val="auto"/>
          <w:highlight w:val="none"/>
          <w:lang w:val="en-US" w:eastAsia="zh-CN"/>
        </w:rPr>
      </w:pPr>
    </w:p>
    <w:p w14:paraId="4CA472F1">
      <w:pPr>
        <w:spacing w:before="340" w:after="320" w:line="576" w:lineRule="auto"/>
        <w:jc w:val="center"/>
        <w:rPr>
          <w:rFonts w:ascii="Calibri" w:hAnsi="Calibri" w:eastAsia="宋体"/>
          <w:b/>
          <w:color w:val="auto"/>
          <w:sz w:val="30"/>
          <w:szCs w:val="44"/>
          <w:highlight w:val="none"/>
        </w:rPr>
      </w:pPr>
      <w:r>
        <w:rPr>
          <w:rFonts w:ascii="Calibri" w:hAnsi="Calibri" w:eastAsia="宋体"/>
          <w:b/>
          <w:color w:val="auto"/>
          <w:sz w:val="30"/>
          <w:szCs w:val="44"/>
          <w:highlight w:val="none"/>
        </w:rPr>
        <w:t xml:space="preserve">第三部分 </w:t>
      </w:r>
      <w:r>
        <w:rPr>
          <w:rFonts w:hint="eastAsia" w:ascii="Calibri" w:hAnsi="Calibri" w:eastAsia="宋体"/>
          <w:b/>
          <w:color w:val="auto"/>
          <w:sz w:val="30"/>
          <w:szCs w:val="44"/>
          <w:highlight w:val="none"/>
        </w:rPr>
        <w:t>专用合同条款</w:t>
      </w:r>
    </w:p>
    <w:p w14:paraId="245FEEB5">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 一般约定</w:t>
      </w:r>
    </w:p>
    <w:p w14:paraId="2BAE1D3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 词语定义</w:t>
      </w:r>
    </w:p>
    <w:p w14:paraId="58EE4498">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1.1.1合同</w:t>
      </w:r>
    </w:p>
    <w:p w14:paraId="2780D89B">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1.1.1.10其他合同文件包括：</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1）明确双方权利义务的纪要或承诺或协议等契约；（2）施工标准、规范等；（3）其他经双方同意视为本合同组成的有关文件</w:t>
      </w:r>
      <w:r>
        <w:rPr>
          <w:rFonts w:ascii="宋体" w:hAnsi="宋体" w:eastAsia="宋体"/>
          <w:color w:val="auto"/>
          <w:sz w:val="21"/>
          <w:szCs w:val="21"/>
          <w:highlight w:val="none"/>
        </w:rPr>
        <w:t>。</w:t>
      </w:r>
    </w:p>
    <w:p w14:paraId="33AF4815">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1.1.2 合同当事人及其他相关方</w:t>
      </w:r>
    </w:p>
    <w:p w14:paraId="3DC1863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1.1.2.4监理人：</w:t>
      </w:r>
    </w:p>
    <w:p w14:paraId="1455DCBA">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名    称：；</w:t>
      </w:r>
    </w:p>
    <w:p w14:paraId="3AD40D6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资质类别和等级：；</w:t>
      </w:r>
    </w:p>
    <w:p w14:paraId="5263F18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3323600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7BF44AF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13F5472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1.1.2.5 设计人：</w:t>
      </w:r>
    </w:p>
    <w:p w14:paraId="2005433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名    称：；</w:t>
      </w:r>
    </w:p>
    <w:p w14:paraId="22ADFB2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资质类别和等级：；</w:t>
      </w:r>
    </w:p>
    <w:p w14:paraId="6509927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3FB893E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36284E1C">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通信地址：。</w:t>
      </w:r>
    </w:p>
    <w:p w14:paraId="0627F369">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1.1.3 工程和设备</w:t>
      </w:r>
    </w:p>
    <w:p w14:paraId="119FFBD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1.1.3.7 作为施工现场组成部分的其他场所：</w:t>
      </w:r>
      <w:r>
        <w:rPr>
          <w:rFonts w:hint="eastAsia" w:ascii="宋体" w:hAnsi="宋体" w:eastAsia="宋体"/>
          <w:bCs/>
          <w:color w:val="auto"/>
          <w:sz w:val="21"/>
          <w:szCs w:val="21"/>
          <w:highlight w:val="none"/>
          <w:u w:val="single"/>
        </w:rPr>
        <w:t>具体由发包人和承包人根据现场条件确定</w:t>
      </w:r>
      <w:r>
        <w:rPr>
          <w:rFonts w:ascii="宋体" w:hAnsi="宋体" w:eastAsia="宋体"/>
          <w:color w:val="auto"/>
          <w:sz w:val="21"/>
          <w:szCs w:val="21"/>
          <w:highlight w:val="none"/>
        </w:rPr>
        <w:t>。</w:t>
      </w:r>
    </w:p>
    <w:p w14:paraId="2FC9978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1.1.3.9 永久占地包括：</w:t>
      </w:r>
      <w:r>
        <w:rPr>
          <w:rFonts w:hint="eastAsia" w:ascii="宋体" w:hAnsi="宋体" w:eastAsia="宋体"/>
          <w:bCs/>
          <w:color w:val="auto"/>
          <w:sz w:val="21"/>
          <w:szCs w:val="21"/>
          <w:highlight w:val="none"/>
          <w:u w:val="single"/>
        </w:rPr>
        <w:t>施工区域</w:t>
      </w:r>
      <w:r>
        <w:rPr>
          <w:rFonts w:ascii="宋体" w:hAnsi="宋体" w:eastAsia="宋体"/>
          <w:color w:val="auto"/>
          <w:kern w:val="0"/>
          <w:sz w:val="21"/>
          <w:szCs w:val="21"/>
          <w:highlight w:val="none"/>
        </w:rPr>
        <w:t>。</w:t>
      </w:r>
    </w:p>
    <w:p w14:paraId="56DDE2D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1.1.3.10 临时占地包括：</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77E73BB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 xml:space="preserve">1.3法律 </w:t>
      </w:r>
    </w:p>
    <w:p w14:paraId="1C1CD762">
      <w:pPr>
        <w:autoSpaceDE w:val="0"/>
        <w:autoSpaceDN w:val="0"/>
        <w:adjustRightInd w:val="0"/>
        <w:spacing w:line="360" w:lineRule="auto"/>
        <w:ind w:left="738" w:leftChars="284"/>
        <w:jc w:val="left"/>
        <w:rPr>
          <w:rFonts w:ascii="宋体" w:hAnsi="宋体" w:eastAsia="宋体"/>
          <w:color w:val="auto"/>
          <w:sz w:val="21"/>
          <w:szCs w:val="21"/>
          <w:highlight w:val="none"/>
        </w:rPr>
      </w:pPr>
      <w:r>
        <w:rPr>
          <w:rFonts w:ascii="宋体" w:hAnsi="宋体" w:eastAsia="宋体"/>
          <w:color w:val="auto"/>
          <w:sz w:val="21"/>
          <w:szCs w:val="21"/>
          <w:highlight w:val="none"/>
        </w:rPr>
        <w:t>适用于合同的其他规范性文件：</w:t>
      </w:r>
      <w:r>
        <w:rPr>
          <w:rFonts w:hint="eastAsia"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现行的规范性文件</w:t>
      </w:r>
      <w:r>
        <w:rPr>
          <w:rFonts w:ascii="宋体" w:hAnsi="宋体" w:eastAsia="宋体"/>
          <w:color w:val="auto"/>
          <w:sz w:val="21"/>
          <w:szCs w:val="21"/>
          <w:highlight w:val="none"/>
        </w:rPr>
        <w:t>。</w:t>
      </w:r>
    </w:p>
    <w:p w14:paraId="0F7337F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 标准和规范</w:t>
      </w:r>
    </w:p>
    <w:p w14:paraId="30FA5BCD">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1.4.1适用于工程的标准规范包括：</w:t>
      </w:r>
      <w:r>
        <w:rPr>
          <w:rFonts w:hint="eastAsia" w:ascii="宋体" w:hAnsi="宋体" w:eastAsia="宋体"/>
          <w:bCs/>
          <w:color w:val="auto"/>
          <w:sz w:val="21"/>
          <w:szCs w:val="21"/>
          <w:highlight w:val="none"/>
          <w:u w:val="single"/>
        </w:rPr>
        <w:t>国家部委颁发的有关施工、验收的标准、规范，以及江苏省、</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建设、消防、节能以及环保等相关主管部门颁布的文件</w:t>
      </w:r>
      <w:r>
        <w:rPr>
          <w:rFonts w:ascii="宋体" w:hAnsi="宋体" w:eastAsia="宋体"/>
          <w:color w:val="auto"/>
          <w:kern w:val="0"/>
          <w:sz w:val="24"/>
          <w:szCs w:val="32"/>
          <w:highlight w:val="none"/>
        </w:rPr>
        <w:t>。</w:t>
      </w:r>
    </w:p>
    <w:p w14:paraId="104DBEE1">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1.4.2 发包人提供国外标准、规范的名称：</w:t>
      </w:r>
      <w:r>
        <w:rPr>
          <w:rFonts w:hint="eastAsia" w:ascii="宋体" w:hAnsi="宋体" w:eastAsia="宋体"/>
          <w:bCs/>
          <w:color w:val="auto"/>
          <w:sz w:val="21"/>
          <w:szCs w:val="21"/>
          <w:highlight w:val="none"/>
          <w:u w:val="single"/>
        </w:rPr>
        <w:t>无</w:t>
      </w:r>
      <w:r>
        <w:rPr>
          <w:rFonts w:ascii="宋体" w:hAnsi="宋体" w:eastAsia="宋体"/>
          <w:color w:val="auto"/>
          <w:kern w:val="0"/>
          <w:sz w:val="24"/>
          <w:szCs w:val="32"/>
          <w:highlight w:val="none"/>
        </w:rPr>
        <w:t>；</w:t>
      </w:r>
    </w:p>
    <w:p w14:paraId="79E46F30">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发包人提供国外标准、规范的份数：</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49BCB24F">
      <w:pPr>
        <w:spacing w:line="360" w:lineRule="auto"/>
        <w:ind w:firstLine="420" w:firstLineChars="200"/>
        <w:rPr>
          <w:rFonts w:ascii="宋体" w:hAnsi="宋体" w:eastAsia="宋体"/>
          <w:color w:val="auto"/>
          <w:sz w:val="21"/>
          <w:szCs w:val="21"/>
          <w:highlight w:val="none"/>
        </w:rPr>
      </w:pPr>
      <w:r>
        <w:rPr>
          <w:rFonts w:ascii="宋体" w:hAnsi="宋体" w:eastAsia="宋体"/>
          <w:color w:val="auto"/>
          <w:kern w:val="0"/>
          <w:sz w:val="21"/>
          <w:szCs w:val="21"/>
          <w:highlight w:val="none"/>
        </w:rPr>
        <w:t>发包人提供国外标准、规范的名称：</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18032AAE">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1.4.3发包人对工程的技术标准和功能要求的特殊要求：</w:t>
      </w:r>
      <w:r>
        <w:rPr>
          <w:rFonts w:hint="eastAsia" w:ascii="宋体" w:hAnsi="宋体" w:eastAsia="宋体"/>
          <w:bCs/>
          <w:color w:val="auto"/>
          <w:sz w:val="21"/>
          <w:szCs w:val="21"/>
          <w:highlight w:val="none"/>
          <w:u w:val="single"/>
        </w:rPr>
        <w:t>无</w:t>
      </w:r>
      <w:r>
        <w:rPr>
          <w:rFonts w:ascii="宋体" w:hAnsi="宋体" w:eastAsia="宋体"/>
          <w:color w:val="auto"/>
          <w:kern w:val="0"/>
          <w:sz w:val="24"/>
          <w:szCs w:val="32"/>
          <w:highlight w:val="none"/>
        </w:rPr>
        <w:t>。</w:t>
      </w:r>
    </w:p>
    <w:p w14:paraId="0B37ED2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 合同文件的优先顺序</w:t>
      </w:r>
    </w:p>
    <w:p w14:paraId="58F94EE1">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合同文件组成及优先顺序为：</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1）本合同协议书；（2）中标通知书；（3）本合同专用条款；（4）明确双方权利义务的纪要或承诺或协议等契约；（5）</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及其附件；（6）本合同通用条款；（7）标准、规范及有关技术文件、技术要求；（8）设计文件以及地勘报告（包括施工图纸、图审意见等）；（9）投标文件、工程报价单或预算书；（10）当对同一问题，国家</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颁布的标准和规范</w:t>
      </w:r>
      <w:r>
        <w:rPr>
          <w:rFonts w:hint="eastAsia" w:ascii="宋体" w:hAnsi="宋体" w:eastAsia="宋体"/>
          <w:bCs/>
          <w:color w:val="auto"/>
          <w:sz w:val="21"/>
          <w:szCs w:val="21"/>
          <w:highlight w:val="none"/>
          <w:u w:val="single"/>
        </w:rPr>
        <w:t>与采购文件</w:t>
      </w:r>
      <w:r>
        <w:rPr>
          <w:rFonts w:ascii="宋体" w:hAnsi="宋体" w:eastAsia="宋体"/>
          <w:bCs/>
          <w:color w:val="auto"/>
          <w:sz w:val="21"/>
          <w:szCs w:val="21"/>
          <w:highlight w:val="none"/>
          <w:u w:val="single"/>
        </w:rPr>
        <w:t>要求不一致时，以国家</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的标准、规范、规定</w:t>
      </w:r>
      <w:r>
        <w:rPr>
          <w:rFonts w:hint="eastAsia" w:ascii="宋体" w:hAnsi="宋体" w:eastAsia="宋体"/>
          <w:bCs/>
          <w:color w:val="auto"/>
          <w:sz w:val="21"/>
          <w:szCs w:val="21"/>
          <w:highlight w:val="none"/>
          <w:u w:val="single"/>
        </w:rPr>
        <w:t>与采购文件</w:t>
      </w:r>
      <w:r>
        <w:rPr>
          <w:rFonts w:ascii="宋体" w:hAnsi="宋体" w:eastAsia="宋体"/>
          <w:bCs/>
          <w:color w:val="auto"/>
          <w:sz w:val="21"/>
          <w:szCs w:val="21"/>
          <w:highlight w:val="none"/>
          <w:u w:val="single"/>
        </w:rPr>
        <w:t>要求的严格者为准；(11)其他经双方同意视为本合同组成的有关文件</w:t>
      </w:r>
      <w:r>
        <w:rPr>
          <w:rFonts w:ascii="宋体" w:hAnsi="宋体" w:eastAsia="宋体"/>
          <w:color w:val="auto"/>
          <w:sz w:val="21"/>
          <w:szCs w:val="21"/>
          <w:highlight w:val="none"/>
        </w:rPr>
        <w:t>。</w:t>
      </w:r>
    </w:p>
    <w:p w14:paraId="38150D57">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 图纸和承包人文件</w:t>
      </w:r>
      <w:r>
        <w:rPr>
          <w:rFonts w:ascii="Calibri" w:hAnsi="Calibri" w:eastAsia="黑体"/>
          <w:color w:val="auto"/>
          <w:sz w:val="24"/>
          <w:szCs w:val="24"/>
          <w:highlight w:val="none"/>
        </w:rPr>
        <w:tab/>
      </w:r>
    </w:p>
    <w:p w14:paraId="1C65ABD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1.6.1 图纸的提供</w:t>
      </w:r>
    </w:p>
    <w:p w14:paraId="2ABB22E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发包人向承包人提供图纸的期限：</w:t>
      </w:r>
      <w:r>
        <w:rPr>
          <w:rFonts w:hint="eastAsia" w:ascii="宋体" w:hAnsi="宋体" w:eastAsia="宋体"/>
          <w:bCs/>
          <w:color w:val="auto"/>
          <w:sz w:val="21"/>
          <w:szCs w:val="21"/>
          <w:highlight w:val="none"/>
          <w:u w:val="single"/>
        </w:rPr>
        <w:t>开工前7日</w:t>
      </w:r>
      <w:r>
        <w:rPr>
          <w:rFonts w:ascii="宋体" w:hAnsi="宋体" w:eastAsia="宋体"/>
          <w:color w:val="auto"/>
          <w:sz w:val="21"/>
          <w:szCs w:val="21"/>
          <w:highlight w:val="none"/>
        </w:rPr>
        <w:t>；</w:t>
      </w:r>
    </w:p>
    <w:p w14:paraId="300F17A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发包人向承包人提供图纸的数量：</w:t>
      </w:r>
      <w:r>
        <w:rPr>
          <w:rFonts w:hint="eastAsia" w:ascii="宋体" w:hAnsi="宋体" w:eastAsia="宋体"/>
          <w:color w:val="auto"/>
          <w:sz w:val="21"/>
          <w:szCs w:val="21"/>
          <w:highlight w:val="none"/>
          <w:u w:val="single"/>
        </w:rPr>
        <w:t>贰</w:t>
      </w:r>
      <w:r>
        <w:rPr>
          <w:rFonts w:hint="eastAsia" w:ascii="宋体" w:hAnsi="宋体" w:eastAsia="宋体"/>
          <w:bCs/>
          <w:color w:val="auto"/>
          <w:sz w:val="21"/>
          <w:szCs w:val="21"/>
          <w:highlight w:val="none"/>
          <w:u w:val="single"/>
        </w:rPr>
        <w:t>套</w:t>
      </w:r>
      <w:r>
        <w:rPr>
          <w:rFonts w:ascii="宋体" w:hAnsi="宋体" w:eastAsia="宋体"/>
          <w:color w:val="auto"/>
          <w:sz w:val="21"/>
          <w:szCs w:val="21"/>
          <w:highlight w:val="none"/>
        </w:rPr>
        <w:t>；</w:t>
      </w:r>
    </w:p>
    <w:p w14:paraId="5C8B465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发包人向承包人提供图纸的内容：</w:t>
      </w:r>
      <w:r>
        <w:rPr>
          <w:rFonts w:hint="eastAsia" w:ascii="宋体" w:hAnsi="宋体" w:eastAsia="宋体"/>
          <w:bCs/>
          <w:color w:val="auto"/>
          <w:sz w:val="21"/>
          <w:szCs w:val="21"/>
          <w:highlight w:val="none"/>
          <w:u w:val="single"/>
        </w:rPr>
        <w:t>与本次</w:t>
      </w:r>
      <w:r>
        <w:rPr>
          <w:rFonts w:hint="eastAsia" w:ascii="宋体" w:hAnsi="宋体" w:eastAsia="宋体"/>
          <w:bCs/>
          <w:color w:val="auto"/>
          <w:sz w:val="21"/>
          <w:szCs w:val="21"/>
          <w:highlight w:val="none"/>
          <w:u w:val="single"/>
          <w:lang w:val="en-US" w:eastAsia="zh-CN"/>
        </w:rPr>
        <w:t>工程</w:t>
      </w:r>
      <w:r>
        <w:rPr>
          <w:rFonts w:hint="eastAsia" w:ascii="宋体" w:hAnsi="宋体" w:eastAsia="宋体"/>
          <w:bCs/>
          <w:color w:val="auto"/>
          <w:sz w:val="21"/>
          <w:szCs w:val="21"/>
          <w:highlight w:val="none"/>
          <w:u w:val="single"/>
        </w:rPr>
        <w:t>相关的内容</w:t>
      </w:r>
      <w:r>
        <w:rPr>
          <w:rFonts w:ascii="宋体" w:hAnsi="宋体" w:eastAsia="宋体"/>
          <w:color w:val="auto"/>
          <w:sz w:val="21"/>
          <w:szCs w:val="21"/>
          <w:highlight w:val="none"/>
        </w:rPr>
        <w:t>。</w:t>
      </w:r>
    </w:p>
    <w:p w14:paraId="75B5473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1.6.4 承包人文件</w:t>
      </w:r>
    </w:p>
    <w:p w14:paraId="1BEF814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需要由承包人提供的文件，包括：</w:t>
      </w:r>
      <w:r>
        <w:rPr>
          <w:rFonts w:hint="eastAsia" w:ascii="宋体" w:hAnsi="宋体" w:eastAsia="宋体"/>
          <w:bCs/>
          <w:color w:val="auto"/>
          <w:sz w:val="21"/>
          <w:szCs w:val="21"/>
          <w:highlight w:val="none"/>
          <w:u w:val="single"/>
        </w:rPr>
        <w:t>施工组织设计和进度计划等</w:t>
      </w:r>
      <w:r>
        <w:rPr>
          <w:rFonts w:ascii="宋体" w:hAnsi="宋体" w:eastAsia="宋体"/>
          <w:color w:val="auto"/>
          <w:sz w:val="21"/>
          <w:szCs w:val="21"/>
          <w:highlight w:val="none"/>
        </w:rPr>
        <w:t>；</w:t>
      </w:r>
    </w:p>
    <w:p w14:paraId="260EC4C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承包人提供的文件的期限为：</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7天</w:t>
      </w:r>
      <w:r>
        <w:rPr>
          <w:rFonts w:ascii="宋体" w:hAnsi="宋体" w:eastAsia="宋体"/>
          <w:color w:val="auto"/>
          <w:sz w:val="21"/>
          <w:szCs w:val="21"/>
          <w:highlight w:val="none"/>
        </w:rPr>
        <w:t>；</w:t>
      </w:r>
    </w:p>
    <w:p w14:paraId="58C808B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承包人提供的文件的数量为：</w:t>
      </w:r>
      <w:r>
        <w:rPr>
          <w:rFonts w:hint="eastAsia" w:ascii="宋体" w:hAnsi="宋体" w:eastAsia="宋体"/>
          <w:bCs/>
          <w:color w:val="auto"/>
          <w:sz w:val="21"/>
          <w:szCs w:val="21"/>
          <w:highlight w:val="none"/>
          <w:u w:val="single"/>
        </w:rPr>
        <w:t>伍份纸质档文件以及电子档文件</w:t>
      </w:r>
      <w:r>
        <w:rPr>
          <w:rFonts w:ascii="宋体" w:hAnsi="宋体" w:eastAsia="宋体"/>
          <w:color w:val="auto"/>
          <w:sz w:val="21"/>
          <w:szCs w:val="21"/>
          <w:highlight w:val="none"/>
        </w:rPr>
        <w:t>；</w:t>
      </w:r>
    </w:p>
    <w:p w14:paraId="0E1946E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承包人提供的文件的形式为：</w:t>
      </w:r>
      <w:r>
        <w:rPr>
          <w:rFonts w:hint="eastAsia" w:ascii="宋体" w:hAnsi="宋体" w:eastAsia="宋体"/>
          <w:bCs/>
          <w:color w:val="auto"/>
          <w:sz w:val="21"/>
          <w:szCs w:val="21"/>
          <w:highlight w:val="none"/>
          <w:u w:val="single"/>
        </w:rPr>
        <w:t>书面形式（包括纸质档和电子档文件）</w:t>
      </w:r>
      <w:r>
        <w:rPr>
          <w:rFonts w:ascii="宋体" w:hAnsi="宋体" w:eastAsia="宋体"/>
          <w:color w:val="auto"/>
          <w:sz w:val="21"/>
          <w:szCs w:val="21"/>
          <w:highlight w:val="none"/>
        </w:rPr>
        <w:t>；</w:t>
      </w:r>
    </w:p>
    <w:p w14:paraId="239CA23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承包人文件的期限：</w:t>
      </w:r>
      <w:r>
        <w:rPr>
          <w:rFonts w:hint="eastAsia" w:ascii="宋体" w:hAnsi="宋体" w:eastAsia="宋体"/>
          <w:bCs/>
          <w:color w:val="auto"/>
          <w:sz w:val="21"/>
          <w:szCs w:val="21"/>
          <w:highlight w:val="none"/>
          <w:u w:val="single"/>
        </w:rPr>
        <w:t>收到承包人提交文件后</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11248A9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1.6.5 现场图纸准备</w:t>
      </w:r>
    </w:p>
    <w:p w14:paraId="07B77FB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关于现场图纸准备的约定：</w:t>
      </w:r>
      <w:r>
        <w:rPr>
          <w:rFonts w:hint="eastAsia"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32E03A7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 联络</w:t>
      </w:r>
    </w:p>
    <w:p w14:paraId="53598D56">
      <w:pPr>
        <w:spacing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1.7.1发包人和承包人应当在</w:t>
      </w:r>
      <w:r>
        <w:rPr>
          <w:rFonts w:ascii="宋体" w:hAnsi="宋体" w:eastAsia="宋体"/>
          <w:bCs/>
          <w:color w:val="auto"/>
          <w:sz w:val="21"/>
          <w:szCs w:val="21"/>
          <w:highlight w:val="none"/>
          <w:u w:val="single"/>
        </w:rPr>
        <w:t>3</w:t>
      </w:r>
      <w:r>
        <w:rPr>
          <w:rFonts w:ascii="宋体" w:hAnsi="宋体" w:eastAsia="宋体"/>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eastAsia="宋体"/>
          <w:color w:val="auto"/>
          <w:kern w:val="0"/>
          <w:sz w:val="21"/>
          <w:szCs w:val="21"/>
          <w:highlight w:val="none"/>
        </w:rPr>
        <w:t>。</w:t>
      </w:r>
    </w:p>
    <w:p w14:paraId="504C510D">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1.7.2 发包人接收文件的地点：；</w:t>
      </w:r>
    </w:p>
    <w:p w14:paraId="064FBB84">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发包人指定的接收人为：</w:t>
      </w:r>
      <w:r>
        <w:rPr>
          <w:rFonts w:hint="eastAsia" w:ascii="宋体" w:hAnsi="宋体" w:eastAsia="宋体"/>
          <w:bCs/>
          <w:color w:val="auto"/>
          <w:sz w:val="21"/>
          <w:szCs w:val="21"/>
          <w:highlight w:val="none"/>
          <w:u w:val="single"/>
        </w:rPr>
        <w:t>甲方代表</w:t>
      </w:r>
      <w:r>
        <w:rPr>
          <w:rFonts w:ascii="宋体" w:hAnsi="宋体" w:eastAsia="宋体"/>
          <w:color w:val="auto"/>
          <w:kern w:val="0"/>
          <w:sz w:val="21"/>
          <w:szCs w:val="21"/>
          <w:highlight w:val="none"/>
        </w:rPr>
        <w:t>。</w:t>
      </w:r>
    </w:p>
    <w:p w14:paraId="1975929F">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承包人接收文件的地点：</w:t>
      </w:r>
      <w:r>
        <w:rPr>
          <w:rFonts w:hint="eastAsia" w:ascii="宋体" w:hAnsi="宋体" w:eastAsia="宋体"/>
          <w:bCs/>
          <w:color w:val="auto"/>
          <w:sz w:val="21"/>
          <w:szCs w:val="21"/>
          <w:highlight w:val="none"/>
          <w:u w:val="single"/>
        </w:rPr>
        <w:t>工地承包人项目部</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5D427AB9">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承包人指定的接收人为：</w:t>
      </w:r>
      <w:r>
        <w:rPr>
          <w:rFonts w:hint="eastAsia" w:ascii="宋体" w:hAnsi="宋体" w:eastAsia="宋体"/>
          <w:bCs/>
          <w:color w:val="auto"/>
          <w:sz w:val="21"/>
          <w:szCs w:val="21"/>
          <w:highlight w:val="none"/>
          <w:u w:val="single"/>
        </w:rPr>
        <w:t>投标项目负责人（项目经理）</w:t>
      </w:r>
      <w:r>
        <w:rPr>
          <w:rFonts w:ascii="宋体" w:hAnsi="宋体" w:eastAsia="宋体"/>
          <w:color w:val="auto"/>
          <w:kern w:val="0"/>
          <w:sz w:val="21"/>
          <w:szCs w:val="21"/>
          <w:highlight w:val="none"/>
        </w:rPr>
        <w:t>。</w:t>
      </w:r>
    </w:p>
    <w:p w14:paraId="394833EE">
      <w:pPr>
        <w:spacing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监理人接收文件的地点：</w:t>
      </w:r>
      <w:r>
        <w:rPr>
          <w:rFonts w:hint="eastAsia" w:ascii="宋体" w:hAnsi="宋体" w:eastAsia="宋体"/>
          <w:bCs/>
          <w:color w:val="auto"/>
          <w:sz w:val="21"/>
          <w:szCs w:val="21"/>
          <w:highlight w:val="none"/>
          <w:u w:val="single"/>
        </w:rPr>
        <w:t>工地监理项目部</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589F100D">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监理人指定的接收人为：</w:t>
      </w:r>
      <w:r>
        <w:rPr>
          <w:rFonts w:hint="eastAsia" w:ascii="宋体" w:hAnsi="宋体" w:eastAsia="宋体"/>
          <w:bCs/>
          <w:color w:val="auto"/>
          <w:sz w:val="21"/>
          <w:szCs w:val="21"/>
          <w:highlight w:val="none"/>
          <w:u w:val="single"/>
        </w:rPr>
        <w:t>总监</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039C1F1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1.10 交通运输</w:t>
      </w:r>
    </w:p>
    <w:p w14:paraId="316A0D3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1.10.1 出入现场的权利</w:t>
      </w:r>
    </w:p>
    <w:p w14:paraId="6FBD76D5">
      <w:pPr>
        <w:spacing w:line="360" w:lineRule="auto"/>
        <w:ind w:left="0" w:leftChars="0" w:firstLine="420"/>
        <w:rPr>
          <w:rFonts w:hint="eastAsia" w:ascii="宋体" w:hAnsi="宋体" w:eastAsia="宋体"/>
          <w:bCs/>
          <w:color w:val="auto"/>
          <w:sz w:val="21"/>
          <w:szCs w:val="21"/>
          <w:highlight w:val="none"/>
          <w:u w:val="single"/>
        </w:rPr>
      </w:pPr>
      <w:r>
        <w:rPr>
          <w:rFonts w:ascii="宋体" w:hAnsi="宋体" w:eastAsia="宋体"/>
          <w:color w:val="auto"/>
          <w:sz w:val="21"/>
          <w:szCs w:val="21"/>
          <w:highlight w:val="none"/>
        </w:rPr>
        <w:t>关于出入现场的权利的约定：</w:t>
      </w:r>
      <w:r>
        <w:rPr>
          <w:rFonts w:hint="eastAsia" w:ascii="宋体" w:hAnsi="宋体" w:eastAsia="宋体"/>
          <w:bCs/>
          <w:color w:val="auto"/>
          <w:sz w:val="21"/>
          <w:szCs w:val="21"/>
          <w:highlight w:val="none"/>
          <w:u w:val="single"/>
        </w:rPr>
        <w:t>除本项目参建单位相关人员外，其他人员未经许可不得进入施</w:t>
      </w:r>
    </w:p>
    <w:p w14:paraId="3B575C65">
      <w:pPr>
        <w:spacing w:line="360" w:lineRule="auto"/>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工现场，承包人应安排专人做好保卫工作，费用含在投标报价中</w:t>
      </w:r>
      <w:r>
        <w:rPr>
          <w:rFonts w:ascii="宋体" w:hAnsi="宋体" w:eastAsia="宋体"/>
          <w:color w:val="auto"/>
          <w:sz w:val="21"/>
          <w:szCs w:val="21"/>
          <w:highlight w:val="none"/>
        </w:rPr>
        <w:t>。</w:t>
      </w:r>
    </w:p>
    <w:p w14:paraId="61BF28C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1.10.3 场内交通</w:t>
      </w:r>
    </w:p>
    <w:p w14:paraId="279F615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关于场外交通和场内交通的边界的约定：</w:t>
      </w:r>
      <w:r>
        <w:rPr>
          <w:rFonts w:hint="eastAsia" w:ascii="宋体" w:hAnsi="宋体" w:eastAsia="宋体"/>
          <w:bCs/>
          <w:color w:val="auto"/>
          <w:sz w:val="21"/>
          <w:szCs w:val="21"/>
          <w:highlight w:val="none"/>
          <w:u w:val="single"/>
        </w:rPr>
        <w:t>以本工程工地围墙（或围档）和入口大门范围为界，以内为场内交通，以外为场外交通</w:t>
      </w:r>
      <w:r>
        <w:rPr>
          <w:rFonts w:ascii="宋体" w:hAnsi="宋体" w:eastAsia="宋体"/>
          <w:color w:val="auto"/>
          <w:sz w:val="21"/>
          <w:szCs w:val="21"/>
          <w:highlight w:val="none"/>
        </w:rPr>
        <w:t>。</w:t>
      </w:r>
    </w:p>
    <w:p w14:paraId="7150348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关于发包人向承包人免费提供满足工程施工需要的场内道路和交通设施的约定：</w:t>
      </w:r>
    </w:p>
    <w:p w14:paraId="1C0CA06E">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eastAsia="宋体"/>
          <w:color w:val="auto"/>
          <w:sz w:val="21"/>
          <w:szCs w:val="21"/>
          <w:highlight w:val="none"/>
        </w:rPr>
        <w:t xml:space="preserve">。  </w:t>
      </w:r>
    </w:p>
    <w:p w14:paraId="2582D95B">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1.11 知识产权</w:t>
      </w:r>
      <w:r>
        <w:rPr>
          <w:rFonts w:hint="eastAsia" w:ascii="Calibri" w:hAnsi="Calibri" w:eastAsia="黑体"/>
          <w:color w:val="auto"/>
          <w:sz w:val="24"/>
          <w:szCs w:val="24"/>
          <w:highlight w:val="none"/>
        </w:rPr>
        <w:t>（如有）</w:t>
      </w:r>
    </w:p>
    <w:p w14:paraId="09E765A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bCs/>
          <w:color w:val="auto"/>
          <w:sz w:val="21"/>
          <w:szCs w:val="21"/>
          <w:highlight w:val="none"/>
          <w:u w:val="single"/>
        </w:rPr>
        <w:t>发包人或按发包人与第三方签订的有关协议执行</w:t>
      </w:r>
      <w:r>
        <w:rPr>
          <w:rFonts w:ascii="宋体" w:hAnsi="宋体" w:eastAsia="宋体"/>
          <w:color w:val="auto"/>
          <w:sz w:val="21"/>
          <w:szCs w:val="21"/>
          <w:highlight w:val="none"/>
        </w:rPr>
        <w:t>。</w:t>
      </w:r>
    </w:p>
    <w:p w14:paraId="5CA79F8A">
      <w:pPr>
        <w:spacing w:line="360" w:lineRule="auto"/>
        <w:ind w:left="0" w:leftChars="0" w:firstLine="420"/>
        <w:rPr>
          <w:rFonts w:ascii="宋体" w:hAnsi="宋体" w:eastAsia="宋体"/>
          <w:color w:val="auto"/>
          <w:sz w:val="21"/>
          <w:szCs w:val="21"/>
          <w:highlight w:val="none"/>
        </w:rPr>
      </w:pPr>
      <w:r>
        <w:rPr>
          <w:rFonts w:ascii="宋体" w:hAnsi="宋体" w:eastAsia="宋体"/>
          <w:color w:val="auto"/>
          <w:sz w:val="21"/>
          <w:szCs w:val="21"/>
          <w:highlight w:val="none"/>
        </w:rPr>
        <w:t>关于发包人提供的上述文件的使用限制的要求：</w:t>
      </w:r>
      <w:r>
        <w:rPr>
          <w:rFonts w:hint="eastAsia" w:ascii="宋体" w:hAnsi="宋体" w:eastAsia="宋体"/>
          <w:bCs/>
          <w:color w:val="auto"/>
          <w:sz w:val="21"/>
          <w:szCs w:val="21"/>
          <w:highlight w:val="none"/>
          <w:u w:val="single"/>
        </w:rPr>
        <w:t>仅限用于本项目</w:t>
      </w:r>
      <w:r>
        <w:rPr>
          <w:rFonts w:ascii="宋体" w:hAnsi="宋体" w:eastAsia="宋体"/>
          <w:color w:val="auto"/>
          <w:sz w:val="21"/>
          <w:szCs w:val="21"/>
          <w:highlight w:val="none"/>
        </w:rPr>
        <w:t>。</w:t>
      </w:r>
    </w:p>
    <w:p w14:paraId="00A376E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1.11.2 关于承包人为实施工程所编制文件的著作权的归属：</w:t>
      </w:r>
      <w:r>
        <w:rPr>
          <w:rFonts w:hint="eastAsia" w:ascii="宋体" w:hAnsi="宋体" w:eastAsia="宋体"/>
          <w:bCs/>
          <w:color w:val="auto"/>
          <w:sz w:val="21"/>
          <w:szCs w:val="21"/>
          <w:highlight w:val="none"/>
          <w:u w:val="single"/>
        </w:rPr>
        <w:t>除署名权以外的著作权属于发包人</w:t>
      </w:r>
      <w:r>
        <w:rPr>
          <w:rFonts w:ascii="宋体" w:hAnsi="宋体" w:eastAsia="宋体"/>
          <w:color w:val="auto"/>
          <w:sz w:val="21"/>
          <w:szCs w:val="21"/>
          <w:highlight w:val="none"/>
        </w:rPr>
        <w:t>。</w:t>
      </w:r>
    </w:p>
    <w:p w14:paraId="3DEC123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关于承包人提供的上述文件的使用限制的要求：</w:t>
      </w:r>
      <w:r>
        <w:rPr>
          <w:rFonts w:hint="eastAsia" w:ascii="宋体" w:hAnsi="宋体" w:eastAsia="宋体"/>
          <w:bCs/>
          <w:color w:val="auto"/>
          <w:sz w:val="21"/>
          <w:szCs w:val="21"/>
          <w:highlight w:val="none"/>
          <w:u w:val="single"/>
        </w:rPr>
        <w:t>仅限用于本项目</w:t>
      </w:r>
      <w:r>
        <w:rPr>
          <w:rFonts w:ascii="宋体" w:hAnsi="宋体" w:eastAsia="宋体"/>
          <w:color w:val="auto"/>
          <w:sz w:val="21"/>
          <w:szCs w:val="21"/>
          <w:highlight w:val="none"/>
        </w:rPr>
        <w:t>。</w:t>
      </w:r>
    </w:p>
    <w:p w14:paraId="056C5BDA">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sz w:val="21"/>
          <w:szCs w:val="21"/>
          <w:highlight w:val="none"/>
        </w:rPr>
        <w:t>1.11.4 承包人在施工过程中所采用的专利、专有技术、技术秘密的使用费的承担方式：</w:t>
      </w:r>
      <w:r>
        <w:rPr>
          <w:rFonts w:hint="eastAsia" w:ascii="宋体" w:hAnsi="宋体" w:eastAsia="宋体"/>
          <w:bCs/>
          <w:color w:val="auto"/>
          <w:sz w:val="21"/>
          <w:szCs w:val="21"/>
          <w:highlight w:val="none"/>
          <w:u w:val="single"/>
        </w:rPr>
        <w:t>已含在合同价款中，由承包人承担</w:t>
      </w:r>
      <w:r>
        <w:rPr>
          <w:rFonts w:ascii="宋体" w:hAnsi="宋体" w:eastAsia="宋体"/>
          <w:color w:val="auto"/>
          <w:kern w:val="0"/>
          <w:sz w:val="21"/>
          <w:szCs w:val="21"/>
          <w:highlight w:val="none"/>
        </w:rPr>
        <w:t>。</w:t>
      </w:r>
    </w:p>
    <w:p w14:paraId="030EB3C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1.13工程量清单错误的修正</w:t>
      </w:r>
    </w:p>
    <w:p w14:paraId="651C32A2">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出现工程量清单错误时，是否调整合同价格：</w:t>
      </w:r>
      <w:r>
        <w:rPr>
          <w:rFonts w:hint="eastAsia" w:ascii="宋体" w:hAnsi="宋体" w:eastAsia="宋体"/>
          <w:bCs/>
          <w:color w:val="auto"/>
          <w:sz w:val="21"/>
          <w:szCs w:val="21"/>
          <w:highlight w:val="none"/>
          <w:u w:val="single"/>
        </w:rPr>
        <w:t>按现行清单计价规范相应条款执行</w:t>
      </w:r>
      <w:r>
        <w:rPr>
          <w:rFonts w:ascii="宋体" w:hAnsi="宋体" w:eastAsia="宋体"/>
          <w:color w:val="auto"/>
          <w:kern w:val="0"/>
          <w:sz w:val="21"/>
          <w:szCs w:val="21"/>
          <w:highlight w:val="none"/>
        </w:rPr>
        <w:t>。</w:t>
      </w:r>
    </w:p>
    <w:p w14:paraId="009AB28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允许调整合同价格的工程量偏差范围：</w:t>
      </w:r>
      <w:r>
        <w:rPr>
          <w:rFonts w:ascii="宋体" w:hAnsi="宋体" w:eastAsia="宋体"/>
          <w:bCs/>
          <w:color w:val="auto"/>
          <w:sz w:val="21"/>
          <w:szCs w:val="21"/>
          <w:highlight w:val="none"/>
          <w:u w:val="single"/>
        </w:rPr>
        <w:t>/</w:t>
      </w:r>
      <w:r>
        <w:rPr>
          <w:rFonts w:ascii="宋体" w:hAnsi="宋体" w:eastAsia="宋体"/>
          <w:color w:val="auto"/>
          <w:kern w:val="0"/>
          <w:sz w:val="21"/>
          <w:szCs w:val="21"/>
          <w:highlight w:val="none"/>
        </w:rPr>
        <w:t>。</w:t>
      </w:r>
    </w:p>
    <w:p w14:paraId="119F1172">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2. 发包人</w:t>
      </w:r>
    </w:p>
    <w:p w14:paraId="5A8796A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2.2 发包人代表</w:t>
      </w:r>
    </w:p>
    <w:p w14:paraId="59566B1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发包人代表：</w:t>
      </w:r>
    </w:p>
    <w:p w14:paraId="1CE3DAC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姓    名：；</w:t>
      </w:r>
    </w:p>
    <w:p w14:paraId="05E1EDA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身份证号：；</w:t>
      </w:r>
    </w:p>
    <w:p w14:paraId="4F60F27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职    务：；</w:t>
      </w:r>
    </w:p>
    <w:p w14:paraId="6191E40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0617C30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6C2B397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61A8D933">
      <w:pPr>
        <w:spacing w:line="360" w:lineRule="auto"/>
        <w:ind w:firstLine="420" w:firstLineChars="200"/>
        <w:rPr>
          <w:rFonts w:ascii="宋体" w:hAnsi="宋体" w:eastAsia="宋体"/>
          <w:b/>
          <w:color w:val="auto"/>
          <w:sz w:val="21"/>
          <w:szCs w:val="21"/>
          <w:highlight w:val="none"/>
        </w:rPr>
      </w:pPr>
      <w:r>
        <w:rPr>
          <w:rFonts w:ascii="宋体" w:hAnsi="宋体" w:eastAsia="宋体"/>
          <w:color w:val="auto"/>
          <w:sz w:val="21"/>
          <w:szCs w:val="21"/>
          <w:highlight w:val="none"/>
        </w:rPr>
        <w:t>发包人对发包人代表的授权范围如下：</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ascii="宋体" w:hAnsi="宋体" w:eastAsia="宋体"/>
          <w:bCs/>
          <w:color w:val="auto"/>
          <w:sz w:val="21"/>
          <w:szCs w:val="21"/>
          <w:highlight w:val="none"/>
          <w:u w:val="single"/>
        </w:rPr>
        <w:t>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bCs/>
          <w:color w:val="auto"/>
          <w:sz w:val="21"/>
          <w:szCs w:val="21"/>
          <w:highlight w:val="none"/>
          <w:u w:val="single"/>
        </w:rPr>
        <w:t>3天内向发包人书面（加盖公章）请求确认</w:t>
      </w:r>
      <w:r>
        <w:rPr>
          <w:rFonts w:ascii="宋体" w:hAnsi="宋体" w:eastAsia="宋体"/>
          <w:color w:val="auto"/>
          <w:sz w:val="21"/>
          <w:szCs w:val="21"/>
          <w:highlight w:val="none"/>
        </w:rPr>
        <w:t>。</w:t>
      </w:r>
    </w:p>
    <w:p w14:paraId="1E4A9A3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2.4 施工现场、施工条件和基础资料的提供</w:t>
      </w:r>
    </w:p>
    <w:p w14:paraId="36BD762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2.4.1 提供施工现场</w:t>
      </w:r>
    </w:p>
    <w:p w14:paraId="35BC8B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关于发包人移交施工现场的期限要求：</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7天</w:t>
      </w:r>
      <w:r>
        <w:rPr>
          <w:rFonts w:ascii="宋体" w:hAnsi="宋体" w:eastAsia="宋体"/>
          <w:color w:val="auto"/>
          <w:sz w:val="21"/>
          <w:szCs w:val="21"/>
          <w:highlight w:val="none"/>
        </w:rPr>
        <w:t>。</w:t>
      </w:r>
    </w:p>
    <w:p w14:paraId="06CA20F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2.4.2 提供施工条件</w:t>
      </w:r>
    </w:p>
    <w:p w14:paraId="2017B69D">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关于发包人应负责提供施工</w:t>
      </w:r>
      <w:r>
        <w:rPr>
          <w:rFonts w:hint="eastAsia" w:ascii="宋体" w:hAnsi="宋体" w:eastAsia="宋体"/>
          <w:color w:val="auto"/>
          <w:sz w:val="21"/>
          <w:szCs w:val="21"/>
          <w:highlight w:val="none"/>
        </w:rPr>
        <w:t>所需要的条件，</w:t>
      </w:r>
      <w:r>
        <w:rPr>
          <w:rFonts w:ascii="宋体" w:hAnsi="宋体" w:eastAsia="宋体"/>
          <w:color w:val="auto"/>
          <w:sz w:val="21"/>
          <w:szCs w:val="21"/>
          <w:highlight w:val="none"/>
        </w:rPr>
        <w:t>包括：</w:t>
      </w:r>
      <w:r>
        <w:rPr>
          <w:rFonts w:hint="eastAsia" w:ascii="宋体" w:hAnsi="宋体" w:eastAsia="宋体"/>
          <w:bCs/>
          <w:color w:val="auto"/>
          <w:sz w:val="21"/>
          <w:szCs w:val="21"/>
          <w:highlight w:val="none"/>
          <w:u w:val="single"/>
        </w:rPr>
        <w:t>承包人在投标前已经充分了解工地位置、邻近建筑物、道路、储存空间、起卸限制及任何其他足以影响投标报价之情况。中标后，承包人不得以不了解现场情况或误解工地情况提出费用或工期索赔</w:t>
      </w:r>
      <w:r>
        <w:rPr>
          <w:rFonts w:ascii="宋体" w:hAnsi="宋体" w:eastAsia="宋体"/>
          <w:color w:val="auto"/>
          <w:sz w:val="21"/>
          <w:szCs w:val="21"/>
          <w:highlight w:val="none"/>
        </w:rPr>
        <w:t>。</w:t>
      </w:r>
    </w:p>
    <w:p w14:paraId="1BD67B2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2.5 资金来源证明及支付担保</w:t>
      </w:r>
    </w:p>
    <w:p w14:paraId="56A95DF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发包人提供资金来源证明的期限要求：</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2ED720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发包人是否提供支付担保：</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43F0F9A0">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发包人提供支付担保的形式：</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2E4D4A9">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3. 承包人</w:t>
      </w:r>
    </w:p>
    <w:p w14:paraId="0AD2326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3.1 承包人的一般义务</w:t>
      </w:r>
    </w:p>
    <w:p w14:paraId="50C1CB2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（5）</w:t>
      </w:r>
      <w:r>
        <w:rPr>
          <w:rFonts w:ascii="宋体" w:hAnsi="宋体" w:eastAsia="宋体"/>
          <w:color w:val="auto"/>
          <w:sz w:val="21"/>
          <w:szCs w:val="21"/>
          <w:highlight w:val="none"/>
        </w:rPr>
        <w:t>承包人提交的竣工资料的内容：</w:t>
      </w:r>
      <w:r>
        <w:rPr>
          <w:rFonts w:hint="eastAsia" w:ascii="宋体" w:hAnsi="宋体" w:eastAsia="宋体"/>
          <w:bCs/>
          <w:color w:val="auto"/>
          <w:sz w:val="21"/>
          <w:szCs w:val="21"/>
          <w:highlight w:val="none"/>
          <w:u w:val="single"/>
        </w:rPr>
        <w:t>按照建设主管部门相关文件要求</w:t>
      </w:r>
      <w:r>
        <w:rPr>
          <w:rFonts w:ascii="宋体" w:hAnsi="宋体" w:eastAsia="宋体"/>
          <w:color w:val="auto"/>
          <w:sz w:val="21"/>
          <w:szCs w:val="21"/>
          <w:highlight w:val="none"/>
        </w:rPr>
        <w:t>。</w:t>
      </w:r>
    </w:p>
    <w:p w14:paraId="55C232A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承包人需要提交的竣工资料套数：</w:t>
      </w:r>
      <w:r>
        <w:rPr>
          <w:rFonts w:hint="eastAsia" w:ascii="宋体" w:hAnsi="宋体" w:eastAsia="宋体"/>
          <w:bCs/>
          <w:color w:val="auto"/>
          <w:sz w:val="21"/>
          <w:szCs w:val="21"/>
          <w:highlight w:val="none"/>
          <w:u w:val="single"/>
        </w:rPr>
        <w:t>叁套</w:t>
      </w:r>
      <w:r>
        <w:rPr>
          <w:rFonts w:ascii="宋体" w:hAnsi="宋体" w:eastAsia="宋体"/>
          <w:color w:val="auto"/>
          <w:sz w:val="21"/>
          <w:szCs w:val="21"/>
          <w:highlight w:val="none"/>
        </w:rPr>
        <w:t>。</w:t>
      </w:r>
    </w:p>
    <w:p w14:paraId="1395359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承包人提交的竣工资料的费用承担：</w:t>
      </w:r>
      <w:r>
        <w:rPr>
          <w:rFonts w:hint="eastAsia" w:ascii="宋体" w:hAnsi="宋体" w:eastAsia="宋体"/>
          <w:bCs/>
          <w:color w:val="auto"/>
          <w:sz w:val="21"/>
          <w:szCs w:val="21"/>
          <w:highlight w:val="none"/>
          <w:u w:val="single"/>
        </w:rPr>
        <w:t>由承包人承担</w:t>
      </w:r>
      <w:r>
        <w:rPr>
          <w:rFonts w:ascii="宋体" w:hAnsi="宋体" w:eastAsia="宋体"/>
          <w:color w:val="auto"/>
          <w:sz w:val="21"/>
          <w:szCs w:val="21"/>
          <w:highlight w:val="none"/>
        </w:rPr>
        <w:t>。</w:t>
      </w:r>
    </w:p>
    <w:p w14:paraId="2405760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承包人提交的竣工资料移交时间：</w:t>
      </w:r>
      <w:r>
        <w:rPr>
          <w:rFonts w:hint="eastAsia" w:ascii="宋体" w:hAnsi="宋体" w:eastAsia="宋体"/>
          <w:bCs/>
          <w:color w:val="auto"/>
          <w:sz w:val="21"/>
          <w:szCs w:val="21"/>
          <w:highlight w:val="none"/>
          <w:u w:val="single"/>
        </w:rPr>
        <w:t>竣工验收合格后</w:t>
      </w:r>
      <w:r>
        <w:rPr>
          <w:rFonts w:ascii="宋体" w:hAnsi="宋体" w:eastAsia="宋体"/>
          <w:bCs/>
          <w:color w:val="auto"/>
          <w:sz w:val="21"/>
          <w:szCs w:val="21"/>
          <w:highlight w:val="none"/>
          <w:u w:val="single"/>
        </w:rPr>
        <w:t>28日内</w:t>
      </w:r>
      <w:r>
        <w:rPr>
          <w:rFonts w:ascii="宋体" w:hAnsi="宋体" w:eastAsia="宋体"/>
          <w:color w:val="auto"/>
          <w:sz w:val="21"/>
          <w:szCs w:val="21"/>
          <w:highlight w:val="none"/>
        </w:rPr>
        <w:t>。</w:t>
      </w:r>
    </w:p>
    <w:p w14:paraId="73DF148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承包人提交的竣工资料形式要求：</w:t>
      </w:r>
      <w:r>
        <w:rPr>
          <w:rFonts w:hint="eastAsia" w:ascii="宋体" w:hAnsi="宋体" w:eastAsia="宋体"/>
          <w:bCs/>
          <w:color w:val="auto"/>
          <w:sz w:val="21"/>
          <w:szCs w:val="21"/>
          <w:highlight w:val="none"/>
          <w:u w:val="single"/>
        </w:rPr>
        <w:t>书面形式（胶装成册）</w:t>
      </w:r>
      <w:r>
        <w:rPr>
          <w:rFonts w:ascii="宋体" w:hAnsi="宋体" w:eastAsia="宋体"/>
          <w:color w:val="auto"/>
          <w:sz w:val="21"/>
          <w:szCs w:val="21"/>
          <w:highlight w:val="none"/>
        </w:rPr>
        <w:t>。</w:t>
      </w:r>
    </w:p>
    <w:p w14:paraId="647AD2B9">
      <w:pPr>
        <w:spacing w:line="360" w:lineRule="auto"/>
        <w:ind w:firstLine="420" w:firstLineChars="200"/>
        <w:rPr>
          <w:rFonts w:ascii="宋体" w:hAnsi="宋体" w:eastAsia="宋体"/>
          <w:color w:val="auto"/>
          <w:sz w:val="21"/>
          <w:szCs w:val="21"/>
          <w:highlight w:val="none"/>
        </w:rPr>
      </w:pPr>
      <w:r>
        <w:rPr>
          <w:rFonts w:ascii="宋体" w:hAnsi="宋体" w:eastAsia="宋体"/>
          <w:color w:val="auto"/>
          <w:kern w:val="0"/>
          <w:sz w:val="21"/>
          <w:szCs w:val="21"/>
          <w:highlight w:val="none"/>
        </w:rPr>
        <w:t>（6）承包人应履行的其他义务：</w:t>
      </w:r>
      <w:r>
        <w:rPr>
          <w:rFonts w:hint="eastAsia" w:ascii="宋体" w:hAnsi="宋体" w:eastAsia="宋体"/>
          <w:bCs/>
          <w:color w:val="auto"/>
          <w:sz w:val="21"/>
          <w:szCs w:val="21"/>
          <w:highlight w:val="none"/>
          <w:u w:val="single"/>
        </w:rPr>
        <w:t>⑴承包人必须积极办理合同备案、质监、安监、施工许可证等开工前手续，发包人予以配合协助，发包人按照</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建设行政主管部门要求，及时提供用于申办本工程备案、报批等手续所需的必要资料，承包人应在发包人提供上述资料后</w:t>
      </w:r>
      <w:r>
        <w:rPr>
          <w:rFonts w:ascii="宋体" w:hAnsi="宋体" w:eastAsia="宋体"/>
          <w:bCs/>
          <w:color w:val="auto"/>
          <w:sz w:val="21"/>
          <w:szCs w:val="21"/>
          <w:highlight w:val="none"/>
          <w:u w:val="single"/>
        </w:rPr>
        <w:t>14天内完成所有备案、报批等开工前必要的手续，因承包人原因逾期未办妥的而导致工期延误，工期不予顺延。⑵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bCs/>
          <w:color w:val="auto"/>
          <w:sz w:val="21"/>
          <w:szCs w:val="21"/>
          <w:highlight w:val="none"/>
          <w:u w:val="single"/>
        </w:rPr>
        <w:t>，承包人应按照要求做出必要的配合，并承担有可能因此而引起工效降低需增加的费用。⑶承包人必须遵守江苏省及</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⑷涉及到的所有交通、环卫、市容、施工噪声及劳务用工管理等各项应办手续及费用，均由承包方自行办理和承担。承包人不得因此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w:t>
      </w:r>
      <w:r>
        <w:rPr>
          <w:rFonts w:ascii="宋体" w:hAnsi="宋体" w:eastAsia="宋体"/>
          <w:bCs/>
          <w:color w:val="auto"/>
          <w:sz w:val="21"/>
          <w:szCs w:val="21"/>
          <w:highlight w:val="none"/>
          <w:u w:val="single"/>
        </w:rPr>
        <w:t>(发包人指定施工用水用电接入点，承包人布管接线并挂表计量)，并接受发包人统一管理，以及全力</w:t>
      </w:r>
      <w:r>
        <w:rPr>
          <w:rFonts w:hint="eastAsia" w:ascii="宋体" w:hAnsi="宋体" w:eastAsia="宋体"/>
          <w:bCs/>
          <w:color w:val="auto"/>
          <w:sz w:val="21"/>
          <w:szCs w:val="21"/>
          <w:highlight w:val="none"/>
          <w:u w:val="single"/>
        </w:rPr>
        <w:t>配合其他专业承包工程施工单位进行施工，确保双方能按照合同规定的工期完成工程，否则造成的损失由承包人承担。⑻施工场地清洁卫生的要求：装饰改造工程的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eastAsia="宋体"/>
          <w:bCs/>
          <w:color w:val="auto"/>
          <w:sz w:val="21"/>
          <w:szCs w:val="21"/>
          <w:highlight w:val="none"/>
          <w:u w:val="single"/>
        </w:rPr>
        <w:t>万元/次的违约金。⑥竣工交付时应将其排污设施全部拆除并清理至发包人满意，承包人承担其相应的费用。⑼在现场施工中，承包人应负责自身施工区域与公共区域的安全设施的搭设与维修管理工作，以及为安全检查所进行的管理、协调、配合工作等。承包人可以使用由发包人修建的道路，承包</w:t>
      </w:r>
      <w:r>
        <w:rPr>
          <w:rFonts w:hint="eastAsia" w:ascii="宋体" w:hAnsi="宋体" w:eastAsia="宋体"/>
          <w:bCs/>
          <w:color w:val="auto"/>
          <w:sz w:val="21"/>
          <w:szCs w:val="21"/>
          <w:highlight w:val="none"/>
          <w:u w:val="single"/>
        </w:rPr>
        <w:t>人提供发包人、监理人办公用房及必要的办公桌椅。⑽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⑾承包人应当服从监理工程师及发包人的现场管理和协调工作，合理调动资源，确保工期、质量目标的实现。⑿承包人必须在规定的时间之内执行发包人现场代表获本合同授权而发出的合理的书面指令。若承包人没有在规定时间之内执行指令，而在收到发包人催促执行的书面通知后</w:t>
      </w:r>
      <w:r>
        <w:rPr>
          <w:rFonts w:ascii="宋体" w:hAnsi="宋体" w:eastAsia="宋体"/>
          <w:bCs/>
          <w:color w:val="auto"/>
          <w:sz w:val="21"/>
          <w:szCs w:val="21"/>
          <w:highlight w:val="none"/>
          <w:u w:val="single"/>
        </w:rPr>
        <w:t>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⒀承包人必须签收监理工程师发出的书面资料，如有异议必须在收文之日起3日内书面回复，否则视同认可。⒁承包人报给监理的所有资料，须同步报发包人并办理签收手续，但发包人不会越过监理直接给承包人回复。⒂对承包人因违约应支付的违约金</w:t>
      </w:r>
      <w:r>
        <w:rPr>
          <w:rFonts w:hint="eastAsia" w:ascii="宋体" w:hAnsi="宋体" w:eastAsia="宋体"/>
          <w:bCs/>
          <w:color w:val="auto"/>
          <w:sz w:val="21"/>
          <w:szCs w:val="21"/>
          <w:highlight w:val="none"/>
          <w:u w:val="single"/>
        </w:rPr>
        <w:t>，发包人有权从当期节点付款时扣除。⒃任何时候、任何人未经发包人和监理同意，施工人员不得住在改造出新建筑内</w:t>
      </w:r>
      <w:r>
        <w:rPr>
          <w:rFonts w:ascii="宋体" w:hAnsi="宋体" w:eastAsia="宋体"/>
          <w:color w:val="auto"/>
          <w:sz w:val="21"/>
          <w:szCs w:val="21"/>
          <w:highlight w:val="none"/>
        </w:rPr>
        <w:t>。</w:t>
      </w:r>
    </w:p>
    <w:p w14:paraId="142BB57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3.2 项目负责人</w:t>
      </w:r>
    </w:p>
    <w:p w14:paraId="19A627A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3.2.1 项目负责人：</w:t>
      </w:r>
    </w:p>
    <w:p w14:paraId="4CC7774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姓    名：；</w:t>
      </w:r>
    </w:p>
    <w:p w14:paraId="3B8E506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身份证号：；</w:t>
      </w:r>
    </w:p>
    <w:p w14:paraId="0685AD0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建造师执业资格等级：；</w:t>
      </w:r>
    </w:p>
    <w:p w14:paraId="2AAAD6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建造师注册证书号：；</w:t>
      </w:r>
    </w:p>
    <w:p w14:paraId="012CDC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建造师执业印章号：；</w:t>
      </w:r>
    </w:p>
    <w:p w14:paraId="5A61551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安全生产考核合格证书号：；</w:t>
      </w:r>
    </w:p>
    <w:p w14:paraId="4C348F8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1293965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28ED771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37831B8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承包人对项目负责人的授权范围如下：</w:t>
      </w:r>
      <w:r>
        <w:rPr>
          <w:rFonts w:hint="eastAsia" w:ascii="宋体" w:hAnsi="宋体" w:eastAsia="宋体"/>
          <w:bCs/>
          <w:color w:val="auto"/>
          <w:sz w:val="21"/>
          <w:szCs w:val="21"/>
          <w:highlight w:val="none"/>
          <w:u w:val="single"/>
        </w:rPr>
        <w:t>组织与协调现场施工管理工作，履行承包人的权利与义务，且该项目经理必须是投标书中明确的项目经理</w:t>
      </w:r>
      <w:r>
        <w:rPr>
          <w:rFonts w:ascii="宋体" w:hAnsi="宋体" w:eastAsia="宋体"/>
          <w:color w:val="auto"/>
          <w:sz w:val="21"/>
          <w:szCs w:val="21"/>
          <w:highlight w:val="none"/>
        </w:rPr>
        <w:t>。</w:t>
      </w:r>
    </w:p>
    <w:p w14:paraId="3C085CA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关于项目负责人每月在施工现场的时间要求：</w:t>
      </w:r>
      <w:r>
        <w:rPr>
          <w:rFonts w:hint="eastAsia" w:ascii="宋体" w:hAnsi="宋体" w:eastAsia="宋体"/>
          <w:bCs/>
          <w:color w:val="auto"/>
          <w:sz w:val="21"/>
          <w:szCs w:val="21"/>
          <w:highlight w:val="none"/>
          <w:u w:val="single"/>
        </w:rPr>
        <w:t>项目经理必须常驻施工现场，要求其本人每周不少于</w:t>
      </w:r>
      <w:r>
        <w:rPr>
          <w:rFonts w:ascii="宋体" w:hAnsi="宋体" w:eastAsia="宋体"/>
          <w:bCs/>
          <w:color w:val="auto"/>
          <w:sz w:val="21"/>
          <w:szCs w:val="21"/>
          <w:highlight w:val="none"/>
          <w:u w:val="single"/>
        </w:rPr>
        <w:t>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eastAsia="宋体"/>
          <w:color w:val="auto"/>
          <w:sz w:val="21"/>
          <w:szCs w:val="21"/>
          <w:highlight w:val="none"/>
        </w:rPr>
        <w:t>。</w:t>
      </w:r>
    </w:p>
    <w:p w14:paraId="1FDB8703">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承包人未提交劳动合同，以及没有为项目负责人缴纳社会保险证明的违约责任：</w:t>
      </w:r>
      <w:r>
        <w:rPr>
          <w:rFonts w:hint="eastAsia" w:ascii="宋体" w:hAnsi="宋体" w:eastAsia="宋体"/>
          <w:bCs/>
          <w:color w:val="auto"/>
          <w:sz w:val="21"/>
          <w:szCs w:val="21"/>
          <w:highlight w:val="none"/>
          <w:u w:val="single"/>
        </w:rPr>
        <w:t>按照通用条款执行</w:t>
      </w:r>
      <w:r>
        <w:rPr>
          <w:rFonts w:ascii="宋体" w:hAnsi="宋体" w:eastAsia="宋体"/>
          <w:color w:val="auto"/>
          <w:sz w:val="21"/>
          <w:szCs w:val="21"/>
          <w:highlight w:val="none"/>
        </w:rPr>
        <w:t>。</w:t>
      </w:r>
    </w:p>
    <w:p w14:paraId="1BACBD90">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kern w:val="0"/>
          <w:sz w:val="21"/>
          <w:szCs w:val="21"/>
          <w:highlight w:val="none"/>
        </w:rPr>
        <w:t>项目负责人未经批准，擅自离开施工现场的违约责任：</w:t>
      </w:r>
      <w:r>
        <w:rPr>
          <w:rFonts w:hint="eastAsia" w:ascii="宋体" w:hAnsi="宋体" w:eastAsia="宋体"/>
          <w:bCs/>
          <w:color w:val="auto"/>
          <w:sz w:val="21"/>
          <w:szCs w:val="21"/>
          <w:highlight w:val="none"/>
          <w:u w:val="single"/>
        </w:rPr>
        <w:t>如项目经理未经发包人批准擅自离开施工现场，每缺席一日或缺席一次例会则向发包人支付违约金</w:t>
      </w:r>
      <w:r>
        <w:rPr>
          <w:rFonts w:ascii="宋体" w:hAnsi="宋体" w:eastAsia="宋体"/>
          <w:bCs/>
          <w:color w:val="auto"/>
          <w:sz w:val="21"/>
          <w:szCs w:val="21"/>
          <w:highlight w:val="none"/>
          <w:u w:val="single"/>
        </w:rPr>
        <w:t>1000元整，如一周有二个工作日或二个月累计10天不在现场或二个月缺席例会三次，为严重违约，发包人有权解除合同，将承包人清退出场，并报建设主管部门备案，解除合同的同时不免除承包人应当承担的上述违约责任</w:t>
      </w:r>
      <w:r>
        <w:rPr>
          <w:rFonts w:ascii="宋体" w:hAnsi="宋体" w:eastAsia="宋体"/>
          <w:color w:val="auto"/>
          <w:sz w:val="21"/>
          <w:szCs w:val="21"/>
          <w:highlight w:val="none"/>
        </w:rPr>
        <w:t>。</w:t>
      </w:r>
    </w:p>
    <w:p w14:paraId="5BB761C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3.2.3 承包人擅自更换项目负责人的违约责任：</w:t>
      </w:r>
      <w:r>
        <w:rPr>
          <w:rFonts w:hint="eastAsia" w:ascii="宋体" w:hAnsi="宋体" w:eastAsia="宋体"/>
          <w:bCs/>
          <w:color w:val="auto"/>
          <w:sz w:val="21"/>
          <w:szCs w:val="21"/>
          <w:highlight w:val="none"/>
          <w:u w:val="single"/>
        </w:rPr>
        <w:t>中标的项目经理不得擅自更换，如有特殊原因确需更换，承包人应向发包人提出书面申请，发包人同意后方可更换，否则将追究承包人违约责任，同时承包人支付违约金2</w:t>
      </w:r>
      <w:r>
        <w:rPr>
          <w:rFonts w:ascii="宋体" w:hAnsi="宋体" w:eastAsia="宋体"/>
          <w:bCs/>
          <w:color w:val="auto"/>
          <w:sz w:val="21"/>
          <w:szCs w:val="21"/>
          <w:highlight w:val="none"/>
          <w:u w:val="single"/>
        </w:rPr>
        <w:t>万元整（从当期进度款中扣除）。项目经理变更还必须符合江苏省、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的相关规定并办理相关手续报发包人</w:t>
      </w:r>
      <w:r>
        <w:rPr>
          <w:rFonts w:ascii="宋体" w:hAnsi="宋体" w:eastAsia="宋体"/>
          <w:color w:val="auto"/>
          <w:sz w:val="21"/>
          <w:szCs w:val="21"/>
          <w:highlight w:val="none"/>
        </w:rPr>
        <w:t>。</w:t>
      </w:r>
    </w:p>
    <w:p w14:paraId="5CF3423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3.2.4 承包人无正当理由拒绝更换项目负责人的违约责任：</w:t>
      </w:r>
      <w:r>
        <w:rPr>
          <w:rFonts w:hint="eastAsia" w:ascii="宋体" w:hAnsi="宋体" w:eastAsia="宋体"/>
          <w:bCs/>
          <w:color w:val="auto"/>
          <w:sz w:val="21"/>
          <w:szCs w:val="21"/>
          <w:highlight w:val="none"/>
          <w:u w:val="single"/>
        </w:rPr>
        <w:t>发包人将给予1</w:t>
      </w:r>
      <w:r>
        <w:rPr>
          <w:rFonts w:ascii="宋体" w:hAnsi="宋体" w:eastAsia="宋体"/>
          <w:bCs/>
          <w:color w:val="auto"/>
          <w:sz w:val="21"/>
          <w:szCs w:val="21"/>
          <w:highlight w:val="none"/>
          <w:u w:val="single"/>
        </w:rPr>
        <w:t>万元整的经济处罚（从当期进度款中扣除），且发包人有权终止本合同，追究承包人的违约责任（包括承担发包人的直接损失和间接损失），并报建设主管部门备案</w:t>
      </w:r>
      <w:r>
        <w:rPr>
          <w:rFonts w:ascii="宋体" w:hAnsi="宋体" w:eastAsia="宋体"/>
          <w:color w:val="auto"/>
          <w:sz w:val="21"/>
          <w:szCs w:val="21"/>
          <w:highlight w:val="none"/>
        </w:rPr>
        <w:t>。</w:t>
      </w:r>
    </w:p>
    <w:p w14:paraId="425C78F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3.3 承包人人员</w:t>
      </w:r>
    </w:p>
    <w:p w14:paraId="78312FF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3.3.1 承包人提交项目管理机构及施工现场管理人员安排报告的期限：</w:t>
      </w:r>
      <w:r>
        <w:rPr>
          <w:rFonts w:hint="eastAsia" w:ascii="宋体" w:hAnsi="宋体" w:eastAsia="宋体"/>
          <w:bCs/>
          <w:color w:val="auto"/>
          <w:sz w:val="21"/>
          <w:szCs w:val="21"/>
          <w:highlight w:val="none"/>
          <w:u w:val="single"/>
        </w:rPr>
        <w:t>接到开工通知</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3B66778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3.3.3 承包人无正当理由拒绝撤换主要施工管理人员的违约责任：</w:t>
      </w:r>
      <w:r>
        <w:rPr>
          <w:rFonts w:hint="eastAsia" w:ascii="宋体" w:hAnsi="宋体" w:eastAsia="宋体"/>
          <w:bCs/>
          <w:color w:val="auto"/>
          <w:sz w:val="21"/>
          <w:szCs w:val="21"/>
          <w:highlight w:val="none"/>
          <w:u w:val="single"/>
        </w:rPr>
        <w:t>承包人按照每人次</w:t>
      </w:r>
      <w:r>
        <w:rPr>
          <w:rFonts w:ascii="宋体" w:hAnsi="宋体" w:eastAsia="宋体"/>
          <w:bCs/>
          <w:color w:val="auto"/>
          <w:sz w:val="21"/>
          <w:szCs w:val="21"/>
          <w:highlight w:val="none"/>
          <w:u w:val="single"/>
        </w:rPr>
        <w:t>5000元向发包人支付违约金（从当期进度款扣除）</w:t>
      </w:r>
      <w:r>
        <w:rPr>
          <w:rFonts w:ascii="宋体" w:hAnsi="宋体" w:eastAsia="宋体"/>
          <w:color w:val="auto"/>
          <w:sz w:val="21"/>
          <w:szCs w:val="21"/>
          <w:highlight w:val="none"/>
        </w:rPr>
        <w:t>。</w:t>
      </w:r>
    </w:p>
    <w:p w14:paraId="0D67FDEC">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3.3.4 承包人主要施工管理人员离开施工现场的批准要求：</w:t>
      </w:r>
      <w:r>
        <w:rPr>
          <w:rFonts w:hint="eastAsia" w:ascii="宋体" w:hAnsi="宋体" w:eastAsia="宋体"/>
          <w:bCs/>
          <w:color w:val="auto"/>
          <w:sz w:val="21"/>
          <w:szCs w:val="21"/>
          <w:highlight w:val="none"/>
          <w:u w:val="single"/>
        </w:rPr>
        <w:t>经发包人或监理单位批准方可离开现场</w:t>
      </w:r>
      <w:r>
        <w:rPr>
          <w:rFonts w:ascii="宋体" w:hAnsi="宋体" w:eastAsia="宋体"/>
          <w:color w:val="auto"/>
          <w:sz w:val="21"/>
          <w:szCs w:val="21"/>
          <w:highlight w:val="none"/>
        </w:rPr>
        <w:t>。</w:t>
      </w:r>
    </w:p>
    <w:p w14:paraId="571979E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3.3.5承包人擅自更换主要施工管理人员的违约责任：</w:t>
      </w:r>
      <w:r>
        <w:rPr>
          <w:rFonts w:hint="eastAsia" w:ascii="宋体" w:hAnsi="宋体" w:eastAsia="宋体"/>
          <w:bCs/>
          <w:color w:val="auto"/>
          <w:sz w:val="21"/>
          <w:szCs w:val="21"/>
          <w:highlight w:val="none"/>
          <w:u w:val="single"/>
        </w:rPr>
        <w:t>投标文件中约定的施工管理人员不得擅自更换，如有特殊原因确需更换，承包人应向发包人提出书面申请，发包人同意后方可更换，否则将追究承包人违约责任，违约金为每人次0.5</w:t>
      </w:r>
      <w:r>
        <w:rPr>
          <w:rFonts w:ascii="宋体" w:hAnsi="宋体" w:eastAsia="宋体"/>
          <w:bCs/>
          <w:color w:val="auto"/>
          <w:sz w:val="21"/>
          <w:szCs w:val="21"/>
          <w:highlight w:val="none"/>
          <w:u w:val="single"/>
        </w:rPr>
        <w:t>万元（从当期进度款中扣除）</w:t>
      </w:r>
      <w:r>
        <w:rPr>
          <w:rFonts w:ascii="宋体" w:hAnsi="宋体" w:eastAsia="宋体"/>
          <w:color w:val="auto"/>
          <w:sz w:val="21"/>
          <w:szCs w:val="21"/>
          <w:highlight w:val="none"/>
        </w:rPr>
        <w:t>。</w:t>
      </w:r>
    </w:p>
    <w:p w14:paraId="70006F3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承包人主要施工管理人员擅自离开施工现场的违约责任：</w:t>
      </w:r>
      <w:r>
        <w:rPr>
          <w:rFonts w:hint="eastAsia" w:ascii="宋体" w:hAnsi="宋体" w:eastAsia="宋体"/>
          <w:bCs/>
          <w:color w:val="auto"/>
          <w:sz w:val="21"/>
          <w:szCs w:val="21"/>
          <w:highlight w:val="none"/>
          <w:u w:val="single"/>
        </w:rPr>
        <w:t>如承包人主要施工管理人员未经发包人批准擅自离开施工现场，每缺勤一天承担违约金</w:t>
      </w:r>
      <w:r>
        <w:rPr>
          <w:rFonts w:ascii="宋体" w:hAnsi="宋体" w:eastAsia="宋体"/>
          <w:bCs/>
          <w:color w:val="auto"/>
          <w:sz w:val="21"/>
          <w:szCs w:val="21"/>
          <w:highlight w:val="none"/>
          <w:u w:val="single"/>
        </w:rPr>
        <w:t>500元/人次</w:t>
      </w:r>
      <w:r>
        <w:rPr>
          <w:rFonts w:ascii="宋体" w:hAnsi="宋体" w:eastAsia="宋体"/>
          <w:color w:val="auto"/>
          <w:sz w:val="21"/>
          <w:szCs w:val="21"/>
          <w:highlight w:val="none"/>
        </w:rPr>
        <w:t>。</w:t>
      </w:r>
    </w:p>
    <w:p w14:paraId="5739F10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3.5 分包</w:t>
      </w:r>
    </w:p>
    <w:p w14:paraId="6665425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3.5.1 分包的一般约定</w:t>
      </w:r>
    </w:p>
    <w:p w14:paraId="7DF3B24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禁止分包的工程包括：</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734234EE">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主体结构、关键性工作的范围：</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5043E30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3.5.2分包的确定</w:t>
      </w:r>
    </w:p>
    <w:p w14:paraId="5EB8FF15">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允许分包的专业工程包括：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51202DC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其他关于分包的约定：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7130C00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3.5.4 分包合同价款</w:t>
      </w:r>
    </w:p>
    <w:p w14:paraId="204076E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关于分包合同价款支付的约定：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FA09BF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3.6 工程照管与成品、半成品保护</w:t>
      </w:r>
    </w:p>
    <w:p w14:paraId="321B9C71">
      <w:pPr>
        <w:spacing w:before="120" w:after="120" w:line="360" w:lineRule="auto"/>
        <w:ind w:firstLine="420" w:firstLineChars="200"/>
        <w:rPr>
          <w:rFonts w:ascii="宋体" w:hAnsi="宋体" w:eastAsia="宋体"/>
          <w:color w:val="auto"/>
          <w:kern w:val="0"/>
          <w:sz w:val="21"/>
          <w:szCs w:val="21"/>
          <w:highlight w:val="none"/>
          <w:u w:val="single"/>
        </w:rPr>
      </w:pPr>
      <w:r>
        <w:rPr>
          <w:rFonts w:ascii="宋体" w:hAnsi="宋体" w:eastAsia="宋体"/>
          <w:color w:val="auto"/>
          <w:kern w:val="0"/>
          <w:sz w:val="21"/>
          <w:szCs w:val="21"/>
          <w:highlight w:val="none"/>
        </w:rPr>
        <w:t>承包人负责照管工程及工程相关的材料、工程设备的起始时间：</w:t>
      </w:r>
      <w:r>
        <w:rPr>
          <w:rFonts w:hint="eastAsia" w:ascii="宋体" w:hAnsi="宋体" w:eastAsia="宋体"/>
          <w:bCs/>
          <w:color w:val="auto"/>
          <w:sz w:val="21"/>
          <w:szCs w:val="21"/>
          <w:highlight w:val="none"/>
          <w:u w:val="single"/>
        </w:rPr>
        <w:t>竣工交付前由承包人负责，由此产生的相关费用由承包人承担，发包人要求采取特殊保护措施所发生的费用由发包人承担</w:t>
      </w:r>
      <w:r>
        <w:rPr>
          <w:rFonts w:ascii="宋体" w:hAnsi="宋体" w:eastAsia="宋体"/>
          <w:color w:val="auto"/>
          <w:kern w:val="0"/>
          <w:sz w:val="21"/>
          <w:szCs w:val="21"/>
          <w:highlight w:val="none"/>
        </w:rPr>
        <w:t>。</w:t>
      </w:r>
    </w:p>
    <w:p w14:paraId="07A3E21F">
      <w:pPr>
        <w:spacing w:after="120" w:line="360" w:lineRule="auto"/>
        <w:ind w:firstLine="480" w:firstLineChars="200"/>
        <w:rPr>
          <w:rFonts w:hint="eastAsia" w:ascii="Calibri" w:hAnsi="Calibri" w:eastAsia="黑体"/>
          <w:color w:val="auto"/>
          <w:sz w:val="24"/>
          <w:szCs w:val="24"/>
          <w:highlight w:val="none"/>
          <w:lang w:eastAsia="zh-CN"/>
        </w:rPr>
      </w:pPr>
      <w:r>
        <w:rPr>
          <w:rFonts w:ascii="Calibri" w:hAnsi="Calibri" w:eastAsia="黑体"/>
          <w:color w:val="auto"/>
          <w:sz w:val="24"/>
          <w:szCs w:val="24"/>
          <w:highlight w:val="none"/>
        </w:rPr>
        <w:t>3.7 履约担保</w:t>
      </w:r>
      <w:r>
        <w:rPr>
          <w:rFonts w:hint="eastAsia" w:ascii="Calibri" w:hAnsi="Calibri" w:eastAsia="黑体"/>
          <w:color w:val="auto"/>
          <w:sz w:val="24"/>
          <w:szCs w:val="24"/>
          <w:highlight w:val="none"/>
          <w:lang w:eastAsia="zh-CN"/>
        </w:rPr>
        <w:t>（</w:t>
      </w:r>
      <w:r>
        <w:rPr>
          <w:rFonts w:hint="eastAsia" w:ascii="Calibri" w:hAnsi="Calibri" w:eastAsia="黑体"/>
          <w:color w:val="auto"/>
          <w:sz w:val="24"/>
          <w:szCs w:val="24"/>
          <w:highlight w:val="none"/>
          <w:lang w:val="en-US" w:eastAsia="zh-CN"/>
        </w:rPr>
        <w:t>本项目不适用</w:t>
      </w:r>
      <w:r>
        <w:rPr>
          <w:rFonts w:hint="eastAsia" w:ascii="Calibri" w:hAnsi="Calibri" w:eastAsia="黑体"/>
          <w:color w:val="auto"/>
          <w:sz w:val="24"/>
          <w:szCs w:val="24"/>
          <w:highlight w:val="none"/>
          <w:lang w:eastAsia="zh-CN"/>
        </w:rPr>
        <w:t>）</w:t>
      </w:r>
    </w:p>
    <w:p w14:paraId="03976D95">
      <w:pPr>
        <w:keepNext/>
        <w:keepLines/>
        <w:spacing w:before="120" w:after="120" w:line="360" w:lineRule="auto"/>
        <w:outlineLvl w:val="3"/>
        <w:rPr>
          <w:rFonts w:hint="eastAsia" w:ascii="Calibri" w:hAnsi="Calibri" w:eastAsia="黑体"/>
          <w:color w:val="auto"/>
          <w:sz w:val="28"/>
          <w:highlight w:val="none"/>
          <w:lang w:eastAsia="zh-CN"/>
        </w:rPr>
      </w:pPr>
      <w:r>
        <w:rPr>
          <w:rFonts w:ascii="Calibri" w:hAnsi="Calibri" w:eastAsia="黑体"/>
          <w:color w:val="auto"/>
          <w:sz w:val="28"/>
          <w:highlight w:val="none"/>
        </w:rPr>
        <w:t>4. 监理人</w:t>
      </w:r>
      <w:r>
        <w:rPr>
          <w:rFonts w:hint="eastAsia" w:ascii="Calibri" w:hAnsi="Calibri" w:eastAsia="黑体"/>
          <w:color w:val="auto"/>
          <w:sz w:val="28"/>
          <w:highlight w:val="none"/>
          <w:lang w:eastAsia="zh-CN"/>
        </w:rPr>
        <w:t>（</w:t>
      </w:r>
      <w:r>
        <w:rPr>
          <w:rFonts w:hint="eastAsia" w:ascii="Calibri" w:hAnsi="Calibri" w:eastAsia="黑体"/>
          <w:color w:val="auto"/>
          <w:sz w:val="28"/>
          <w:highlight w:val="none"/>
          <w:lang w:val="en-US" w:eastAsia="zh-CN"/>
        </w:rPr>
        <w:t>本项目不适用</w:t>
      </w:r>
      <w:r>
        <w:rPr>
          <w:rFonts w:hint="eastAsia" w:ascii="Calibri" w:hAnsi="Calibri" w:eastAsia="黑体"/>
          <w:color w:val="auto"/>
          <w:sz w:val="28"/>
          <w:highlight w:val="none"/>
          <w:lang w:eastAsia="zh-CN"/>
        </w:rPr>
        <w:t>）</w:t>
      </w:r>
    </w:p>
    <w:p w14:paraId="27D13C9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4.1监理人的一般规定</w:t>
      </w:r>
    </w:p>
    <w:p w14:paraId="256D5B2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关于监理人的监理内容：</w:t>
      </w:r>
      <w:r>
        <w:rPr>
          <w:rFonts w:hint="eastAsia" w:ascii="宋体" w:hAnsi="宋体" w:eastAsia="宋体"/>
          <w:bCs/>
          <w:color w:val="auto"/>
          <w:sz w:val="21"/>
          <w:szCs w:val="21"/>
          <w:highlight w:val="none"/>
          <w:u w:val="single"/>
        </w:rPr>
        <w:t>四控两管一协调，即对工程进行进度、质量、投资、安全四控制，合同管理、信息管理，监督安全生产，协调施工现场各方面关系</w:t>
      </w:r>
      <w:r>
        <w:rPr>
          <w:rFonts w:ascii="宋体" w:hAnsi="宋体" w:eastAsia="宋体"/>
          <w:color w:val="auto"/>
          <w:sz w:val="21"/>
          <w:szCs w:val="21"/>
          <w:highlight w:val="none"/>
        </w:rPr>
        <w:t>。</w:t>
      </w:r>
    </w:p>
    <w:p w14:paraId="27C607F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关于监理人的监理权限：</w:t>
      </w:r>
      <w:r>
        <w:rPr>
          <w:rFonts w:hint="eastAsia" w:ascii="宋体" w:hAnsi="宋体" w:eastAsia="宋体"/>
          <w:bCs/>
          <w:color w:val="auto"/>
          <w:sz w:val="21"/>
          <w:szCs w:val="21"/>
          <w:highlight w:val="none"/>
          <w:u w:val="single"/>
        </w:rPr>
        <w:t>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eastAsia="宋体"/>
          <w:color w:val="auto"/>
          <w:sz w:val="21"/>
          <w:szCs w:val="21"/>
          <w:highlight w:val="none"/>
        </w:rPr>
        <w:t xml:space="preserve">。 </w:t>
      </w:r>
    </w:p>
    <w:p w14:paraId="08D8F9FC">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关于监理人在施工现场的办公场所、生活场所的提供和费用承担的约定：</w:t>
      </w:r>
      <w:r>
        <w:rPr>
          <w:rFonts w:hint="eastAsia" w:ascii="宋体" w:hAnsi="宋体" w:eastAsia="宋体"/>
          <w:bCs/>
          <w:color w:val="auto"/>
          <w:sz w:val="21"/>
          <w:szCs w:val="21"/>
          <w:highlight w:val="none"/>
          <w:u w:val="single"/>
        </w:rPr>
        <w:t>承包人提供监理人临时办公用房一间</w:t>
      </w:r>
      <w:r>
        <w:rPr>
          <w:rFonts w:ascii="宋体" w:hAnsi="宋体" w:eastAsia="宋体"/>
          <w:color w:val="auto"/>
          <w:sz w:val="21"/>
          <w:szCs w:val="21"/>
          <w:highlight w:val="none"/>
        </w:rPr>
        <w:t>。</w:t>
      </w:r>
    </w:p>
    <w:p w14:paraId="47CDCC4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4.2 监理人员</w:t>
      </w:r>
    </w:p>
    <w:p w14:paraId="61C87A0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总监理工程师：</w:t>
      </w:r>
    </w:p>
    <w:p w14:paraId="5A6D9B0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姓    名：；</w:t>
      </w:r>
    </w:p>
    <w:p w14:paraId="08F9094A">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职    务：；</w:t>
      </w:r>
    </w:p>
    <w:p w14:paraId="13CE9F7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监理工程师执业资格证书号：；</w:t>
      </w:r>
    </w:p>
    <w:p w14:paraId="39B8918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639FAE5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31DF94C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5755B15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关于监理人的其他约定：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4EB03AC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4.4 商定或确定</w:t>
      </w:r>
    </w:p>
    <w:p w14:paraId="2C6C0F2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在发包人和承包人不能通过协商达成一致意见时，发包人授权监理人对以下事项进行确定：</w:t>
      </w:r>
    </w:p>
    <w:p w14:paraId="76248F78">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w:t>
      </w:r>
      <w:r>
        <w:rPr>
          <w:rFonts w:hint="eastAsia" w:ascii="宋体" w:hAnsi="宋体" w:eastAsia="宋体"/>
          <w:bCs/>
          <w:color w:val="auto"/>
          <w:sz w:val="21"/>
          <w:szCs w:val="21"/>
          <w:highlight w:val="none"/>
          <w:u w:val="single"/>
        </w:rPr>
        <w:t>按监理合同专用条款执行</w:t>
      </w:r>
      <w:r>
        <w:rPr>
          <w:rFonts w:ascii="宋体" w:hAnsi="宋体" w:eastAsia="宋体"/>
          <w:color w:val="auto"/>
          <w:sz w:val="21"/>
          <w:szCs w:val="21"/>
          <w:highlight w:val="none"/>
        </w:rPr>
        <w:t>；</w:t>
      </w:r>
    </w:p>
    <w:p w14:paraId="108540FB">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344FE412">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（3）</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E0A8219">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5. 工程质量</w:t>
      </w:r>
    </w:p>
    <w:p w14:paraId="5CBE4FA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5.1 质量要求</w:t>
      </w:r>
    </w:p>
    <w:p w14:paraId="3D277DCF">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5.1.1 特殊质量标准和要求：</w:t>
      </w:r>
      <w:r>
        <w:rPr>
          <w:rFonts w:hint="eastAsia" w:ascii="宋体" w:hAnsi="宋体" w:eastAsia="宋体"/>
          <w:bCs/>
          <w:color w:val="auto"/>
          <w:sz w:val="21"/>
          <w:szCs w:val="21"/>
          <w:highlight w:val="none"/>
          <w:u w:val="single"/>
        </w:rPr>
        <w:t>工程质量符合国家现行加固工程相关质量标准</w:t>
      </w:r>
      <w:r>
        <w:rPr>
          <w:rFonts w:ascii="宋体" w:hAnsi="宋体" w:eastAsia="宋体"/>
          <w:bCs/>
          <w:color w:val="auto"/>
          <w:sz w:val="21"/>
          <w:szCs w:val="21"/>
          <w:highlight w:val="none"/>
          <w:u w:val="single"/>
        </w:rPr>
        <w:t>，并达到投标承诺的质量标准等级</w:t>
      </w:r>
      <w:r>
        <w:rPr>
          <w:rFonts w:ascii="宋体" w:hAnsi="宋体" w:eastAsia="宋体"/>
          <w:color w:val="auto"/>
          <w:sz w:val="21"/>
          <w:szCs w:val="21"/>
          <w:highlight w:val="none"/>
        </w:rPr>
        <w:t>。</w:t>
      </w:r>
    </w:p>
    <w:p w14:paraId="389B6799">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关于工程奖项的约定：</w:t>
      </w:r>
      <w:r>
        <w:rPr>
          <w:rFonts w:hint="eastAsia" w:ascii="宋体" w:hAnsi="宋体" w:eastAsia="宋体"/>
          <w:bCs/>
          <w:color w:val="auto"/>
          <w:sz w:val="21"/>
          <w:szCs w:val="21"/>
          <w:highlight w:val="none"/>
          <w:u w:val="single"/>
        </w:rPr>
        <w:t>本工程不设优质工程奖</w:t>
      </w:r>
      <w:r>
        <w:rPr>
          <w:rFonts w:ascii="宋体" w:hAnsi="宋体" w:eastAsia="宋体"/>
          <w:color w:val="auto"/>
          <w:sz w:val="21"/>
          <w:szCs w:val="21"/>
          <w:highlight w:val="none"/>
        </w:rPr>
        <w:t>。</w:t>
      </w:r>
    </w:p>
    <w:p w14:paraId="3886F03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5.3 隐蔽工程检查</w:t>
      </w:r>
    </w:p>
    <w:p w14:paraId="59BEC5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5.3.2承包人提前通知监理人隐蔽工程检查的期限的约定：</w:t>
      </w:r>
      <w:r>
        <w:rPr>
          <w:rFonts w:hint="eastAsia" w:ascii="宋体" w:hAnsi="宋体" w:eastAsia="宋体"/>
          <w:bCs/>
          <w:color w:val="auto"/>
          <w:sz w:val="21"/>
          <w:szCs w:val="21"/>
          <w:highlight w:val="none"/>
          <w:u w:val="single"/>
        </w:rPr>
        <w:t>工程具备隐蔽条件或达到中间验收部位，承包人进行自检，并在隐蔽或中间验收前</w:t>
      </w:r>
      <w:r>
        <w:rPr>
          <w:rFonts w:ascii="宋体" w:hAnsi="宋体" w:eastAsia="宋体"/>
          <w:bCs/>
          <w:color w:val="auto"/>
          <w:sz w:val="21"/>
          <w:szCs w:val="21"/>
          <w:highlight w:val="none"/>
          <w:u w:val="single"/>
        </w:rPr>
        <w:t>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olor w:val="auto"/>
          <w:sz w:val="21"/>
          <w:szCs w:val="21"/>
          <w:highlight w:val="none"/>
        </w:rPr>
        <w:t>。</w:t>
      </w:r>
    </w:p>
    <w:p w14:paraId="68B79E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监理人不能按时进行检查时，应提前</w:t>
      </w:r>
      <w:r>
        <w:rPr>
          <w:rFonts w:ascii="宋体" w:hAnsi="宋体" w:eastAsia="宋体"/>
          <w:bCs/>
          <w:color w:val="auto"/>
          <w:sz w:val="21"/>
          <w:szCs w:val="21"/>
          <w:highlight w:val="none"/>
          <w:u w:val="single"/>
        </w:rPr>
        <w:t>24</w:t>
      </w:r>
      <w:r>
        <w:rPr>
          <w:rFonts w:ascii="宋体" w:hAnsi="宋体" w:eastAsia="宋体"/>
          <w:color w:val="auto"/>
          <w:sz w:val="21"/>
          <w:szCs w:val="21"/>
          <w:highlight w:val="none"/>
        </w:rPr>
        <w:t>小时提交书面延期要求。</w:t>
      </w:r>
    </w:p>
    <w:p w14:paraId="10962E1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关于延期最长不得超过：</w:t>
      </w:r>
      <w:r>
        <w:rPr>
          <w:rFonts w:ascii="宋体" w:hAnsi="宋体" w:eastAsia="宋体"/>
          <w:bCs/>
          <w:color w:val="auto"/>
          <w:sz w:val="21"/>
          <w:szCs w:val="21"/>
          <w:highlight w:val="none"/>
          <w:u w:val="single"/>
        </w:rPr>
        <w:t>48</w:t>
      </w:r>
      <w:r>
        <w:rPr>
          <w:rFonts w:ascii="宋体" w:hAnsi="宋体" w:eastAsia="宋体"/>
          <w:color w:val="auto"/>
          <w:sz w:val="21"/>
          <w:szCs w:val="21"/>
          <w:highlight w:val="none"/>
        </w:rPr>
        <w:t>小时。</w:t>
      </w:r>
    </w:p>
    <w:p w14:paraId="168EDA46">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6. 安全文明施工与环境保护</w:t>
      </w:r>
    </w:p>
    <w:p w14:paraId="18631918">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6.1安全文明施工</w:t>
      </w:r>
    </w:p>
    <w:p w14:paraId="0A2AB1A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6.1.1 项目安全生产的达标目标及相应事项的约定：</w:t>
      </w:r>
      <w:r>
        <w:rPr>
          <w:rFonts w:hint="eastAsia" w:ascii="宋体" w:hAnsi="宋体" w:eastAsia="宋体"/>
          <w:bCs/>
          <w:color w:val="auto"/>
          <w:sz w:val="21"/>
          <w:szCs w:val="21"/>
          <w:highlight w:val="none"/>
          <w:u w:val="single"/>
        </w:rPr>
        <w:t>承包人在现场的安全管理、教育和安全事故责任由承包人负责，费用含在安全文明施工费中。承包人负责施工现场的安全及第三方的人身财产安全</w:t>
      </w:r>
      <w:r>
        <w:rPr>
          <w:rFonts w:ascii="宋体" w:hAnsi="宋体" w:eastAsia="宋体"/>
          <w:color w:val="auto"/>
          <w:sz w:val="21"/>
          <w:szCs w:val="21"/>
          <w:highlight w:val="none"/>
        </w:rPr>
        <w:t>。</w:t>
      </w:r>
    </w:p>
    <w:p w14:paraId="42CF1FB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6.1.4 关于治安保卫的特别约定：</w:t>
      </w:r>
      <w:r>
        <w:rPr>
          <w:rFonts w:hint="eastAsia" w:ascii="宋体" w:hAnsi="宋体" w:eastAsia="宋体"/>
          <w:bCs/>
          <w:color w:val="auto"/>
          <w:sz w:val="21"/>
          <w:szCs w:val="21"/>
          <w:highlight w:val="none"/>
          <w:u w:val="single"/>
        </w:rPr>
        <w:t>承担施工安全保卫工作及非夜间施工照明的责任和要求，具体如下：①根据监理、发包人批准的施工方案，在施工现场适当地方设置门卫，并安排专人</w:t>
      </w:r>
      <w:r>
        <w:rPr>
          <w:rFonts w:ascii="宋体" w:hAnsi="宋体" w:eastAsia="宋体"/>
          <w:bCs/>
          <w:color w:val="auto"/>
          <w:sz w:val="21"/>
          <w:szCs w:val="21"/>
          <w:highlight w:val="none"/>
          <w:u w:val="single"/>
        </w:rPr>
        <w:t>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eastAsia="宋体"/>
          <w:bCs/>
          <w:color w:val="auto"/>
          <w:sz w:val="21"/>
          <w:szCs w:val="21"/>
          <w:highlight w:val="none"/>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eastAsia="宋体"/>
          <w:bCs/>
          <w:color w:val="auto"/>
          <w:sz w:val="21"/>
          <w:szCs w:val="21"/>
          <w:highlight w:val="none"/>
          <w:u w:val="single"/>
        </w:rPr>
        <w:t>万元(直接从工程进度款中扣除)；每发生一起人身伤亡事故，承包人除接受政府相关部门处罚、承担处理事故费用外，承包人还将赔偿发包人违约金</w:t>
      </w:r>
      <w:r>
        <w:rPr>
          <w:rFonts w:hint="eastAsia" w:ascii="宋体" w:hAnsi="宋体" w:eastAsia="宋体"/>
          <w:bCs/>
          <w:color w:val="auto"/>
          <w:sz w:val="21"/>
          <w:szCs w:val="21"/>
          <w:highlight w:val="none"/>
          <w:u w:val="single"/>
        </w:rPr>
        <w:t>1</w:t>
      </w:r>
      <w:r>
        <w:rPr>
          <w:rFonts w:ascii="宋体" w:hAnsi="宋体" w:eastAsia="宋体"/>
          <w:bCs/>
          <w:color w:val="auto"/>
          <w:sz w:val="21"/>
          <w:szCs w:val="21"/>
          <w:highlight w:val="none"/>
          <w:u w:val="single"/>
        </w:rPr>
        <w:t>万元(直接从工程进度款中扣除)；每发生一起重大质量安全事故，承包人除接受政府相关部门处</w:t>
      </w:r>
      <w:r>
        <w:rPr>
          <w:rFonts w:hint="eastAsia" w:ascii="宋体" w:hAnsi="宋体" w:eastAsia="宋体"/>
          <w:bCs/>
          <w:color w:val="auto"/>
          <w:sz w:val="21"/>
          <w:szCs w:val="21"/>
          <w:highlight w:val="none"/>
          <w:u w:val="single"/>
        </w:rPr>
        <w:t>罚、承担处理事故费用外，承包人还将赔偿发包人违约金2</w:t>
      </w:r>
      <w:r>
        <w:rPr>
          <w:rFonts w:ascii="宋体" w:hAnsi="宋体" w:eastAsia="宋体"/>
          <w:bCs/>
          <w:color w:val="auto"/>
          <w:sz w:val="21"/>
          <w:szCs w:val="21"/>
          <w:highlight w:val="none"/>
          <w:u w:val="single"/>
        </w:rPr>
        <w:t>万元(直接从工程进度款中扣除)</w:t>
      </w:r>
      <w:r>
        <w:rPr>
          <w:rFonts w:ascii="宋体" w:hAnsi="宋体" w:eastAsia="宋体"/>
          <w:color w:val="auto"/>
          <w:sz w:val="21"/>
          <w:szCs w:val="21"/>
          <w:highlight w:val="none"/>
        </w:rPr>
        <w:t>。</w:t>
      </w:r>
    </w:p>
    <w:p w14:paraId="5C64B18B">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关于编制施工场地治安管理计划的约定：</w:t>
      </w:r>
      <w:r>
        <w:rPr>
          <w:rFonts w:hint="eastAsia" w:ascii="宋体" w:hAnsi="宋体" w:eastAsia="宋体"/>
          <w:bCs/>
          <w:color w:val="auto"/>
          <w:sz w:val="21"/>
          <w:szCs w:val="21"/>
          <w:highlight w:val="none"/>
          <w:u w:val="single"/>
        </w:rPr>
        <w:t>由承包人负责施工现场内治安保卫工作，包括：（</w:t>
      </w:r>
      <w:r>
        <w:rPr>
          <w:rFonts w:ascii="宋体" w:hAnsi="宋体" w:eastAsia="宋体"/>
          <w:bCs/>
          <w:color w:val="auto"/>
          <w:sz w:val="21"/>
          <w:szCs w:val="21"/>
          <w:highlight w:val="none"/>
          <w:u w:val="single"/>
        </w:rPr>
        <w:t>1）对进入到施工现场的参建单位相关人员的管理；（2）配合公安、交警等部门的管理；（3）承担治安管理工作相关费用</w:t>
      </w:r>
      <w:r>
        <w:rPr>
          <w:rFonts w:ascii="宋体" w:hAnsi="宋体" w:eastAsia="宋体"/>
          <w:color w:val="auto"/>
          <w:sz w:val="21"/>
          <w:szCs w:val="21"/>
          <w:highlight w:val="none"/>
        </w:rPr>
        <w:t>。</w:t>
      </w:r>
    </w:p>
    <w:p w14:paraId="2D5098AF">
      <w:pPr>
        <w:spacing w:line="360"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6.1.5 文明施工</w:t>
      </w:r>
    </w:p>
    <w:p w14:paraId="39D0C1E4">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合同当事人对文明施工的要求：</w:t>
      </w:r>
      <w:r>
        <w:rPr>
          <w:rFonts w:hint="eastAsia" w:ascii="宋体" w:hAnsi="宋体" w:eastAsia="宋体"/>
          <w:bCs/>
          <w:color w:val="auto"/>
          <w:sz w:val="21"/>
          <w:szCs w:val="21"/>
          <w:highlight w:val="none"/>
          <w:u w:val="single"/>
        </w:rPr>
        <w:t>本工程不创建市级文明工地。施工场地符合</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有关主管部门规定的标准化施工现场和文明工地要求，同时应满足市政、市容等相关主管部门的有关规定，承包人违反规定造成的损失和罚款由承包人负责</w:t>
      </w:r>
      <w:r>
        <w:rPr>
          <w:rFonts w:hint="eastAsia" w:ascii="宋体" w:hAnsi="宋体" w:eastAsia="宋体"/>
          <w:color w:val="auto"/>
          <w:sz w:val="21"/>
          <w:szCs w:val="21"/>
          <w:highlight w:val="none"/>
        </w:rPr>
        <w:t>。</w:t>
      </w:r>
    </w:p>
    <w:p w14:paraId="57F5B9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6.1.6 关于安全文明施工费支付比例和支付期限的约定：</w:t>
      </w:r>
      <w:r>
        <w:rPr>
          <w:rFonts w:hint="eastAsia" w:ascii="宋体" w:hAnsi="宋体" w:eastAsia="宋体"/>
          <w:bCs/>
          <w:color w:val="auto"/>
          <w:sz w:val="21"/>
          <w:szCs w:val="21"/>
          <w:highlight w:val="none"/>
          <w:u w:val="single"/>
        </w:rPr>
        <w:t>预付款和工程进度款已包含安全文明施工费，承包人对安全文明施工费应专款专用，不得挪作他用，否则发包人有权停止支付工程款并要求承包人限期整改到位</w:t>
      </w:r>
      <w:r>
        <w:rPr>
          <w:rFonts w:ascii="宋体" w:hAnsi="宋体" w:eastAsia="宋体"/>
          <w:color w:val="auto"/>
          <w:sz w:val="21"/>
          <w:szCs w:val="21"/>
          <w:highlight w:val="none"/>
        </w:rPr>
        <w:t>。</w:t>
      </w:r>
    </w:p>
    <w:p w14:paraId="47A82CA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7. 工期和进度</w:t>
      </w:r>
    </w:p>
    <w:p w14:paraId="2DA76CA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7.1 施工组织设计</w:t>
      </w:r>
    </w:p>
    <w:p w14:paraId="40F07A8C">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7.1.</w:t>
      </w:r>
      <w:r>
        <w:rPr>
          <w:rFonts w:hint="eastAsia" w:ascii="宋体" w:hAnsi="宋体" w:eastAsia="宋体"/>
          <w:color w:val="auto"/>
          <w:sz w:val="21"/>
          <w:szCs w:val="21"/>
          <w:highlight w:val="none"/>
        </w:rPr>
        <w:t>1 合</w:t>
      </w:r>
      <w:r>
        <w:rPr>
          <w:rFonts w:hint="eastAsia" w:ascii="宋体" w:hAnsi="宋体" w:eastAsia="宋体"/>
          <w:color w:val="auto"/>
          <w:kern w:val="0"/>
          <w:sz w:val="21"/>
          <w:szCs w:val="21"/>
          <w:highlight w:val="none"/>
        </w:rPr>
        <w:t>同当事人约定的</w:t>
      </w:r>
      <w:r>
        <w:rPr>
          <w:rFonts w:ascii="宋体" w:hAnsi="宋体" w:eastAsia="宋体"/>
          <w:color w:val="auto"/>
          <w:kern w:val="0"/>
          <w:sz w:val="21"/>
          <w:szCs w:val="21"/>
          <w:highlight w:val="none"/>
        </w:rPr>
        <w:t>施工组织设计</w:t>
      </w:r>
      <w:r>
        <w:rPr>
          <w:rFonts w:hint="eastAsia" w:ascii="宋体" w:hAnsi="宋体" w:eastAsia="宋体"/>
          <w:color w:val="auto"/>
          <w:kern w:val="0"/>
          <w:sz w:val="21"/>
          <w:szCs w:val="21"/>
          <w:highlight w:val="none"/>
        </w:rPr>
        <w:t>应包括的其他内容</w:t>
      </w:r>
      <w:r>
        <w:rPr>
          <w:rFonts w:ascii="宋体" w:hAnsi="宋体" w:eastAsia="宋体"/>
          <w:color w:val="auto"/>
          <w:kern w:val="0"/>
          <w:sz w:val="21"/>
          <w:szCs w:val="21"/>
          <w:highlight w:val="none"/>
        </w:rPr>
        <w:t>：</w:t>
      </w:r>
      <w:r>
        <w:rPr>
          <w:rFonts w:hint="eastAsia" w:ascii="宋体" w:hAnsi="宋体" w:eastAsia="宋体"/>
          <w:bCs/>
          <w:color w:val="auto"/>
          <w:sz w:val="21"/>
          <w:szCs w:val="21"/>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eastAsia="宋体"/>
          <w:color w:val="auto"/>
          <w:sz w:val="21"/>
          <w:szCs w:val="21"/>
          <w:highlight w:val="none"/>
        </w:rPr>
        <w:t>。</w:t>
      </w:r>
    </w:p>
    <w:p w14:paraId="76888C39">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 xml:space="preserve">7.1.2 </w:t>
      </w:r>
      <w:r>
        <w:rPr>
          <w:rFonts w:ascii="宋体" w:hAnsi="宋体" w:eastAsia="宋体"/>
          <w:color w:val="auto"/>
          <w:kern w:val="0"/>
          <w:sz w:val="21"/>
          <w:szCs w:val="21"/>
          <w:highlight w:val="none"/>
        </w:rPr>
        <w:t>施工组织设计的提交和修改</w:t>
      </w:r>
    </w:p>
    <w:p w14:paraId="294371D0">
      <w:pPr>
        <w:autoSpaceDE w:val="0"/>
        <w:autoSpaceDN w:val="0"/>
        <w:adjustRightInd w:val="0"/>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kern w:val="0"/>
          <w:sz w:val="21"/>
          <w:szCs w:val="21"/>
          <w:highlight w:val="none"/>
        </w:rPr>
        <w:t>承包人提交详细施工组织设计的期限的约定：</w:t>
      </w:r>
      <w:r>
        <w:rPr>
          <w:rFonts w:hint="eastAsia" w:ascii="宋体" w:hAnsi="宋体" w:eastAsia="宋体"/>
          <w:bCs/>
          <w:color w:val="auto"/>
          <w:sz w:val="21"/>
          <w:szCs w:val="21"/>
          <w:highlight w:val="none"/>
          <w:u w:val="single"/>
        </w:rPr>
        <w:t>承包人于开工前</w:t>
      </w:r>
      <w:r>
        <w:rPr>
          <w:rFonts w:ascii="宋体" w:hAnsi="宋体" w:eastAsia="宋体"/>
          <w:bCs/>
          <w:color w:val="auto"/>
          <w:sz w:val="21"/>
          <w:szCs w:val="21"/>
          <w:highlight w:val="none"/>
          <w:u w:val="single"/>
        </w:rPr>
        <w:t>7日提交施工组织设计，在各专项工程施工至少提前7日提交专项施工方案，有特殊要求的于施工前3日内上报施工方案。每月5日报本月的施工进度计划，每周五报周进度计划</w:t>
      </w:r>
      <w:r>
        <w:rPr>
          <w:rFonts w:ascii="宋体" w:hAnsi="宋体" w:eastAsia="宋体"/>
          <w:color w:val="auto"/>
          <w:sz w:val="21"/>
          <w:szCs w:val="21"/>
          <w:highlight w:val="none"/>
        </w:rPr>
        <w:t>。</w:t>
      </w:r>
    </w:p>
    <w:p w14:paraId="353D634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发包人和监理人在收到</w:t>
      </w:r>
      <w:r>
        <w:rPr>
          <w:rFonts w:hint="eastAsia" w:ascii="宋体" w:hAnsi="宋体" w:eastAsia="宋体"/>
          <w:color w:val="auto"/>
          <w:sz w:val="21"/>
          <w:szCs w:val="21"/>
          <w:highlight w:val="none"/>
        </w:rPr>
        <w:t>详细的施工组织设计</w:t>
      </w:r>
      <w:r>
        <w:rPr>
          <w:rFonts w:ascii="宋体" w:hAnsi="宋体" w:eastAsia="宋体"/>
          <w:color w:val="auto"/>
          <w:sz w:val="21"/>
          <w:szCs w:val="21"/>
          <w:highlight w:val="none"/>
        </w:rPr>
        <w:t>后确认或提出修改意见的期限：</w:t>
      </w:r>
      <w:r>
        <w:rPr>
          <w:rFonts w:ascii="宋体" w:hAnsi="宋体" w:eastAsia="宋体"/>
          <w:bCs/>
          <w:color w:val="auto"/>
          <w:sz w:val="21"/>
          <w:szCs w:val="21"/>
          <w:highlight w:val="none"/>
          <w:u w:val="single"/>
        </w:rPr>
        <w:t>7日内</w:t>
      </w:r>
      <w:r>
        <w:rPr>
          <w:rFonts w:ascii="宋体" w:hAnsi="宋体" w:eastAsia="宋体"/>
          <w:color w:val="auto"/>
          <w:sz w:val="21"/>
          <w:szCs w:val="21"/>
          <w:highlight w:val="none"/>
        </w:rPr>
        <w:t>。</w:t>
      </w:r>
    </w:p>
    <w:p w14:paraId="55C987E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7.2 施工进度计划</w:t>
      </w:r>
    </w:p>
    <w:p w14:paraId="6ECBDE0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7.2.</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 xml:space="preserve"> 施工进度计划的修订</w:t>
      </w:r>
    </w:p>
    <w:p w14:paraId="7F9356D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发包人和监理人在收到修订的施工进度计划后确认或提出修改意见的期限：</w:t>
      </w:r>
      <w:r>
        <w:rPr>
          <w:rFonts w:ascii="宋体" w:hAnsi="宋体" w:eastAsia="宋体"/>
          <w:bCs/>
          <w:color w:val="auto"/>
          <w:sz w:val="21"/>
          <w:szCs w:val="21"/>
          <w:highlight w:val="none"/>
          <w:u w:val="single"/>
        </w:rPr>
        <w:t>7日内</w:t>
      </w:r>
      <w:r>
        <w:rPr>
          <w:rFonts w:ascii="宋体" w:hAnsi="宋体" w:eastAsia="宋体"/>
          <w:color w:val="auto"/>
          <w:sz w:val="21"/>
          <w:szCs w:val="21"/>
          <w:highlight w:val="none"/>
        </w:rPr>
        <w:t>。</w:t>
      </w:r>
    </w:p>
    <w:p w14:paraId="661A269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7.3 开工</w:t>
      </w:r>
    </w:p>
    <w:p w14:paraId="4BC56A9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7.3.1 开工准备</w:t>
      </w:r>
    </w:p>
    <w:p w14:paraId="329B6412">
      <w:pPr>
        <w:spacing w:line="360" w:lineRule="auto"/>
        <w:ind w:firstLine="645"/>
        <w:jc w:val="left"/>
        <w:rPr>
          <w:rFonts w:ascii="宋体" w:hAnsi="宋体" w:eastAsia="宋体"/>
          <w:color w:val="auto"/>
          <w:sz w:val="21"/>
          <w:szCs w:val="21"/>
          <w:highlight w:val="none"/>
          <w:u w:val="single"/>
        </w:rPr>
      </w:pPr>
      <w:r>
        <w:rPr>
          <w:rFonts w:ascii="宋体" w:hAnsi="宋体" w:eastAsia="宋体"/>
          <w:color w:val="auto"/>
          <w:sz w:val="21"/>
          <w:szCs w:val="21"/>
          <w:highlight w:val="none"/>
        </w:rPr>
        <w:t>关于承包人提交</w:t>
      </w:r>
      <w:r>
        <w:rPr>
          <w:rFonts w:ascii="宋体" w:hAnsi="宋体" w:eastAsia="宋体"/>
          <w:color w:val="auto"/>
          <w:kern w:val="0"/>
          <w:sz w:val="21"/>
          <w:szCs w:val="21"/>
          <w:highlight w:val="none"/>
        </w:rPr>
        <w:t>工程开工报审表的期限：</w:t>
      </w:r>
      <w:r>
        <w:rPr>
          <w:rFonts w:hint="eastAsia" w:ascii="宋体" w:hAnsi="宋体" w:eastAsia="宋体"/>
          <w:bCs/>
          <w:color w:val="auto"/>
          <w:sz w:val="21"/>
          <w:szCs w:val="21"/>
          <w:highlight w:val="none"/>
          <w:u w:val="single"/>
        </w:rPr>
        <w:t>接到开工令后</w:t>
      </w:r>
      <w:r>
        <w:rPr>
          <w:rFonts w:ascii="宋体" w:hAnsi="宋体" w:eastAsia="宋体"/>
          <w:bCs/>
          <w:color w:val="auto"/>
          <w:sz w:val="21"/>
          <w:szCs w:val="21"/>
          <w:highlight w:val="none"/>
          <w:u w:val="single"/>
        </w:rPr>
        <w:t>3日内</w:t>
      </w:r>
      <w:r>
        <w:rPr>
          <w:rFonts w:ascii="宋体" w:hAnsi="宋体" w:eastAsia="宋体"/>
          <w:color w:val="auto"/>
          <w:sz w:val="21"/>
          <w:szCs w:val="21"/>
          <w:highlight w:val="none"/>
        </w:rPr>
        <w:t>。</w:t>
      </w:r>
    </w:p>
    <w:p w14:paraId="0C6AEA97">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关于发包人应完成的其他开工准备工作及期限：</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7日</w:t>
      </w:r>
      <w:r>
        <w:rPr>
          <w:rFonts w:ascii="宋体" w:hAnsi="宋体" w:eastAsia="宋体"/>
          <w:color w:val="auto"/>
          <w:sz w:val="21"/>
          <w:szCs w:val="21"/>
          <w:highlight w:val="none"/>
        </w:rPr>
        <w:t>。</w:t>
      </w:r>
    </w:p>
    <w:p w14:paraId="72B65340">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关于承包人应完成的其他开工准备工作及期限：</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7日</w:t>
      </w:r>
      <w:r>
        <w:rPr>
          <w:rFonts w:ascii="宋体" w:hAnsi="宋体" w:eastAsia="宋体"/>
          <w:color w:val="auto"/>
          <w:sz w:val="21"/>
          <w:szCs w:val="21"/>
          <w:highlight w:val="none"/>
        </w:rPr>
        <w:t>。</w:t>
      </w:r>
    </w:p>
    <w:p w14:paraId="1674C4C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7.3.2开工通知</w:t>
      </w:r>
    </w:p>
    <w:p w14:paraId="0776276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因发包人原因造成监理人未能在计划开工日期之日起</w:t>
      </w:r>
      <w:r>
        <w:rPr>
          <w:rFonts w:ascii="宋体" w:hAnsi="宋体" w:eastAsia="宋体"/>
          <w:bCs/>
          <w:color w:val="auto"/>
          <w:sz w:val="21"/>
          <w:szCs w:val="21"/>
          <w:highlight w:val="none"/>
          <w:u w:val="single"/>
        </w:rPr>
        <w:t>90</w:t>
      </w:r>
      <w:r>
        <w:rPr>
          <w:rFonts w:ascii="宋体" w:hAnsi="宋体" w:eastAsia="宋体"/>
          <w:color w:val="auto"/>
          <w:sz w:val="21"/>
          <w:szCs w:val="21"/>
          <w:highlight w:val="none"/>
        </w:rPr>
        <w:t>天内发出开工通知的，承包人有权提出价格调整要求，或者解除合同。</w:t>
      </w:r>
    </w:p>
    <w:p w14:paraId="65ADF26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7.4 测量放线</w:t>
      </w:r>
    </w:p>
    <w:p w14:paraId="02519DCA">
      <w:pPr>
        <w:spacing w:line="360" w:lineRule="auto"/>
        <w:ind w:firstLine="420" w:firstLineChars="200"/>
        <w:jc w:val="left"/>
        <w:rPr>
          <w:rFonts w:hint="eastAsia" w:ascii="宋体" w:hAnsi="宋体" w:eastAsia="宋体"/>
          <w:color w:val="auto"/>
          <w:sz w:val="21"/>
          <w:szCs w:val="21"/>
          <w:highlight w:val="none"/>
          <w:u w:val="single"/>
        </w:rPr>
      </w:pPr>
      <w:r>
        <w:rPr>
          <w:rFonts w:ascii="宋体" w:hAnsi="宋体" w:eastAsia="宋体"/>
          <w:color w:val="auto"/>
          <w:sz w:val="21"/>
          <w:szCs w:val="21"/>
          <w:highlight w:val="none"/>
        </w:rPr>
        <w:t>7.4.1发包人通过监理人向承包人提供测量基准点、基准线和水准点及其书面资料的期限：</w:t>
      </w:r>
      <w:r>
        <w:rPr>
          <w:rFonts w:hint="eastAsia" w:ascii="宋体" w:hAnsi="宋体" w:eastAsia="宋体"/>
          <w:bCs/>
          <w:color w:val="auto"/>
          <w:sz w:val="21"/>
          <w:szCs w:val="21"/>
          <w:highlight w:val="none"/>
          <w:u w:val="single"/>
        </w:rPr>
        <w:t>正式开工前由发包人、承包人在监理单位见证下现场交验，并以书面形式提供给承包人。水准点、</w:t>
      </w:r>
      <w:r>
        <w:rPr>
          <w:rFonts w:hint="eastAsia" w:ascii="宋体" w:hAnsi="宋体" w:eastAsia="宋体"/>
          <w:bCs/>
          <w:color w:val="auto"/>
          <w:sz w:val="21"/>
          <w:szCs w:val="21"/>
          <w:highlight w:val="none"/>
          <w:u w:val="single"/>
          <w:lang w:eastAsia="zh-CN"/>
        </w:rPr>
        <w:t>坐标</w:t>
      </w:r>
      <w:r>
        <w:rPr>
          <w:rFonts w:hint="eastAsia" w:ascii="宋体" w:hAnsi="宋体" w:eastAsia="宋体"/>
          <w:bCs/>
          <w:color w:val="auto"/>
          <w:sz w:val="21"/>
          <w:szCs w:val="21"/>
          <w:highlight w:val="none"/>
          <w:u w:val="single"/>
        </w:rPr>
        <w:t>控制点交验完毕，即由承包人自费负责保护，此后由于破坏或失准带来的重新测量、放点费用及由此造成的其他损失均由承包人承担</w:t>
      </w:r>
      <w:r>
        <w:rPr>
          <w:rFonts w:ascii="宋体" w:hAnsi="宋体" w:eastAsia="宋体"/>
          <w:color w:val="auto"/>
          <w:sz w:val="21"/>
          <w:szCs w:val="21"/>
          <w:highlight w:val="none"/>
        </w:rPr>
        <w:t>。</w:t>
      </w:r>
    </w:p>
    <w:p w14:paraId="0E4D639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7.5 工期延误</w:t>
      </w:r>
    </w:p>
    <w:p w14:paraId="362AD94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7.5.1 因发包人原因导致工期延误</w:t>
      </w:r>
    </w:p>
    <w:p w14:paraId="1E5CB66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）因发包人原因导致工期延误的其他情形：</w:t>
      </w:r>
      <w:r>
        <w:rPr>
          <w:rFonts w:hint="eastAsia" w:ascii="宋体" w:hAnsi="宋体" w:eastAsia="宋体"/>
          <w:bCs/>
          <w:color w:val="auto"/>
          <w:sz w:val="21"/>
          <w:szCs w:val="21"/>
          <w:highlight w:val="none"/>
          <w:u w:val="single"/>
        </w:rPr>
        <w:t>①发包人未能及时提供设计变更修改图；②一周内因发包人原因停水、停电、停气造成停工累计超过</w:t>
      </w:r>
      <w:r>
        <w:rPr>
          <w:rFonts w:ascii="宋体" w:hAnsi="宋体" w:eastAsia="宋体"/>
          <w:bCs/>
          <w:color w:val="auto"/>
          <w:sz w:val="21"/>
          <w:szCs w:val="21"/>
          <w:highlight w:val="none"/>
          <w:u w:val="single"/>
        </w:rPr>
        <w:t>8小时。③不可抗力；④其余按本合同《通用条款》执行。由于发包人原因延误工期的，工期相应顺延，但无费用索赔</w:t>
      </w:r>
      <w:r>
        <w:rPr>
          <w:rFonts w:ascii="宋体" w:hAnsi="宋体" w:eastAsia="宋体"/>
          <w:color w:val="auto"/>
          <w:sz w:val="21"/>
          <w:szCs w:val="21"/>
          <w:highlight w:val="none"/>
        </w:rPr>
        <w:t>。</w:t>
      </w:r>
    </w:p>
    <w:p w14:paraId="5A1A06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7.5.2 因承包人原因导致工期延误</w:t>
      </w:r>
    </w:p>
    <w:p w14:paraId="5ED2DA83">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因承包人原因造成工期延误，逾期竣工违约金的计算方法为：</w:t>
      </w:r>
      <w:r>
        <w:rPr>
          <w:rFonts w:hint="eastAsia" w:ascii="宋体" w:hAnsi="宋体" w:eastAsia="宋体"/>
          <w:bCs/>
          <w:color w:val="auto"/>
          <w:sz w:val="21"/>
          <w:szCs w:val="21"/>
          <w:highlight w:val="none"/>
          <w:u w:val="single"/>
        </w:rPr>
        <w:t>5</w:t>
      </w:r>
      <w:r>
        <w:rPr>
          <w:rFonts w:ascii="宋体" w:hAnsi="宋体" w:eastAsia="宋体"/>
          <w:bCs/>
          <w:color w:val="auto"/>
          <w:sz w:val="21"/>
          <w:szCs w:val="21"/>
          <w:highlight w:val="none"/>
          <w:u w:val="single"/>
        </w:rPr>
        <w:t>000元/天</w:t>
      </w:r>
      <w:r>
        <w:rPr>
          <w:rFonts w:ascii="宋体" w:hAnsi="宋体" w:eastAsia="宋体"/>
          <w:color w:val="auto"/>
          <w:sz w:val="21"/>
          <w:szCs w:val="21"/>
          <w:highlight w:val="none"/>
        </w:rPr>
        <w:t>。</w:t>
      </w:r>
    </w:p>
    <w:p w14:paraId="0217EA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因承包人原因造成工期延误，逾期竣工违约金的上限：</w:t>
      </w:r>
      <w:r>
        <w:rPr>
          <w:rFonts w:hint="eastAsia" w:ascii="宋体" w:hAnsi="宋体" w:eastAsia="宋体"/>
          <w:bCs/>
          <w:color w:val="auto"/>
          <w:sz w:val="21"/>
          <w:szCs w:val="21"/>
          <w:highlight w:val="none"/>
          <w:u w:val="single"/>
        </w:rPr>
        <w:t>合同价款的</w:t>
      </w:r>
      <w:r>
        <w:rPr>
          <w:rFonts w:ascii="宋体" w:hAnsi="宋体" w:eastAsia="宋体"/>
          <w:bCs/>
          <w:color w:val="auto"/>
          <w:sz w:val="21"/>
          <w:szCs w:val="21"/>
          <w:highlight w:val="none"/>
          <w:u w:val="single"/>
        </w:rPr>
        <w:t>2%</w:t>
      </w:r>
      <w:r>
        <w:rPr>
          <w:rFonts w:ascii="宋体" w:hAnsi="宋体" w:eastAsia="宋体"/>
          <w:color w:val="auto"/>
          <w:sz w:val="21"/>
          <w:szCs w:val="21"/>
          <w:highlight w:val="none"/>
        </w:rPr>
        <w:t>。</w:t>
      </w:r>
    </w:p>
    <w:p w14:paraId="1CCA086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7.6 不利物质条件</w:t>
      </w:r>
    </w:p>
    <w:p w14:paraId="1C37902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不利物质条件的其他情形和有关约定：</w:t>
      </w:r>
      <w:r>
        <w:rPr>
          <w:rFonts w:ascii="宋体" w:hAnsi="宋体" w:eastAsia="宋体"/>
          <w:bCs/>
          <w:color w:val="auto"/>
          <w:sz w:val="21"/>
          <w:szCs w:val="21"/>
          <w:highlight w:val="none"/>
          <w:u w:val="single"/>
        </w:rPr>
        <w:t xml:space="preserve"> 按本合同《通用条款》执行</w:t>
      </w:r>
      <w:r>
        <w:rPr>
          <w:rFonts w:ascii="宋体" w:hAnsi="宋体" w:eastAsia="宋体"/>
          <w:color w:val="auto"/>
          <w:sz w:val="21"/>
          <w:szCs w:val="21"/>
          <w:highlight w:val="none"/>
        </w:rPr>
        <w:t>。</w:t>
      </w:r>
    </w:p>
    <w:p w14:paraId="3D7B10C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7.7异常恶劣的气候条件</w:t>
      </w:r>
    </w:p>
    <w:p w14:paraId="75A777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发包人和承包人同意以下情形视为异常恶劣的气候条件：</w:t>
      </w:r>
    </w:p>
    <w:p w14:paraId="160D7C6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w:t>
      </w:r>
      <w:r>
        <w:rPr>
          <w:rFonts w:ascii="宋体" w:hAnsi="宋体" w:eastAsia="宋体"/>
          <w:bCs/>
          <w:color w:val="auto"/>
          <w:sz w:val="21"/>
          <w:szCs w:val="21"/>
          <w:highlight w:val="none"/>
          <w:u w:val="single"/>
        </w:rPr>
        <w:t>11级以上大风</w:t>
      </w:r>
      <w:r>
        <w:rPr>
          <w:rFonts w:ascii="宋体" w:hAnsi="宋体" w:eastAsia="宋体"/>
          <w:color w:val="auto"/>
          <w:sz w:val="21"/>
          <w:szCs w:val="21"/>
          <w:highlight w:val="none"/>
        </w:rPr>
        <w:t>；</w:t>
      </w:r>
    </w:p>
    <w:p w14:paraId="6163645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w:t>
      </w:r>
      <w:r>
        <w:rPr>
          <w:rFonts w:ascii="宋体" w:hAnsi="宋体" w:eastAsia="宋体"/>
          <w:bCs/>
          <w:color w:val="auto"/>
          <w:sz w:val="21"/>
          <w:szCs w:val="21"/>
          <w:highlight w:val="none"/>
          <w:u w:val="single"/>
        </w:rPr>
        <w:t>24小时降雨量超过150mm；24小时积雪厚度大于400mm；当地气象部门认定的50年一遇的雨、雪、洪灾</w:t>
      </w:r>
      <w:r>
        <w:rPr>
          <w:rFonts w:ascii="宋体" w:hAnsi="宋体" w:eastAsia="宋体"/>
          <w:color w:val="auto"/>
          <w:sz w:val="21"/>
          <w:szCs w:val="21"/>
          <w:highlight w:val="none"/>
        </w:rPr>
        <w:t>；</w:t>
      </w:r>
    </w:p>
    <w:p w14:paraId="0281173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bCs/>
          <w:color w:val="auto"/>
          <w:sz w:val="21"/>
          <w:szCs w:val="21"/>
          <w:highlight w:val="none"/>
          <w:u w:val="single"/>
        </w:rPr>
        <w:t>六级及以上地震；非发包人、承包人责任造成的爆炸、火灾</w:t>
      </w:r>
      <w:r>
        <w:rPr>
          <w:rFonts w:ascii="宋体" w:hAnsi="宋体" w:eastAsia="宋体"/>
          <w:color w:val="auto"/>
          <w:sz w:val="21"/>
          <w:szCs w:val="21"/>
          <w:highlight w:val="none"/>
        </w:rPr>
        <w:t>。</w:t>
      </w:r>
    </w:p>
    <w:p w14:paraId="4BB882A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7.9 提前竣工的奖励</w:t>
      </w:r>
    </w:p>
    <w:p w14:paraId="65A8C6D4">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7.9.</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提前竣工的奖励：</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7EAA74C6">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8. 材料与设备</w:t>
      </w:r>
    </w:p>
    <w:p w14:paraId="0E1D8E77">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8.4材料与工程设备的保管与使用</w:t>
      </w:r>
    </w:p>
    <w:p w14:paraId="1B0D305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8.4.1发包人供应的材料设备的保管费用的承担：</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B54B755">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8.6 样品</w:t>
      </w:r>
    </w:p>
    <w:p w14:paraId="7E976B09">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8.6.1</w:t>
      </w:r>
      <w:r>
        <w:rPr>
          <w:rFonts w:ascii="宋体" w:hAnsi="宋体" w:eastAsia="宋体"/>
          <w:color w:val="auto"/>
          <w:kern w:val="0"/>
          <w:sz w:val="21"/>
          <w:szCs w:val="21"/>
          <w:highlight w:val="none"/>
        </w:rPr>
        <w:tab/>
      </w:r>
      <w:r>
        <w:rPr>
          <w:rFonts w:ascii="宋体" w:hAnsi="宋体" w:eastAsia="宋体"/>
          <w:color w:val="auto"/>
          <w:kern w:val="0"/>
          <w:sz w:val="21"/>
          <w:szCs w:val="21"/>
          <w:highlight w:val="none"/>
        </w:rPr>
        <w:t>样品的报送</w:t>
      </w:r>
      <w:r>
        <w:rPr>
          <w:rFonts w:hint="eastAsia" w:ascii="宋体" w:hAnsi="宋体" w:eastAsia="宋体"/>
          <w:color w:val="auto"/>
          <w:kern w:val="0"/>
          <w:sz w:val="21"/>
          <w:szCs w:val="21"/>
          <w:highlight w:val="none"/>
        </w:rPr>
        <w:t>与封存</w:t>
      </w:r>
    </w:p>
    <w:p w14:paraId="619B73EF">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需要承包人报送样品的材料或工程设备，样品的种类、名称、规格、数量要求：</w:t>
      </w:r>
      <w:r>
        <w:rPr>
          <w:rFonts w:hint="eastAsia" w:ascii="宋体" w:hAnsi="宋体" w:eastAsia="宋体"/>
          <w:bCs/>
          <w:color w:val="auto"/>
          <w:sz w:val="21"/>
          <w:szCs w:val="21"/>
          <w:highlight w:val="none"/>
          <w:u w:val="single"/>
        </w:rPr>
        <w:t>用于本工程之任何材料，在使用前必须得到发包人和发包人授权的监理工程师认可或批准，必须符合有关规范、设计图纸、采购文件规定的质量要求，并提供产品合格证明、质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rFonts w:ascii="宋体" w:hAnsi="宋体" w:eastAsia="宋体"/>
          <w:color w:val="auto"/>
          <w:sz w:val="21"/>
          <w:szCs w:val="21"/>
          <w:highlight w:val="none"/>
        </w:rPr>
        <w:t>。</w:t>
      </w:r>
    </w:p>
    <w:p w14:paraId="2610037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8.8 施工设备和临时设施</w:t>
      </w:r>
    </w:p>
    <w:p w14:paraId="57751F2E">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8.8.1 承包人提供的施工设备和临时设施</w:t>
      </w:r>
    </w:p>
    <w:p w14:paraId="3ED6C7A5">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关于修建临时设施费用承担的约定：</w:t>
      </w:r>
      <w:r>
        <w:rPr>
          <w:rFonts w:hint="eastAsia" w:ascii="宋体" w:hAnsi="宋体" w:eastAsia="宋体"/>
          <w:bCs/>
          <w:color w:val="auto"/>
          <w:sz w:val="21"/>
          <w:szCs w:val="21"/>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eastAsia="宋体"/>
          <w:color w:val="auto"/>
          <w:sz w:val="21"/>
          <w:szCs w:val="21"/>
          <w:highlight w:val="none"/>
        </w:rPr>
        <w:t>。</w:t>
      </w:r>
    </w:p>
    <w:p w14:paraId="343E0EA7">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9. 试验与检验</w:t>
      </w:r>
    </w:p>
    <w:p w14:paraId="225FB45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9.1试验设备与试验人员</w:t>
      </w:r>
    </w:p>
    <w:p w14:paraId="157C203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9.1.2 试验设备</w:t>
      </w:r>
    </w:p>
    <w:p w14:paraId="2E77FFC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施工现场需要配置的试验场所：</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 </w:t>
      </w:r>
    </w:p>
    <w:p w14:paraId="6A67486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施工现场需要配备的试验设备：</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6DB00C2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施工现场需要具备的其他试验条件：</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218561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9.4 现场工艺试验</w:t>
      </w:r>
      <w:r>
        <w:rPr>
          <w:rFonts w:hint="eastAsia" w:ascii="Calibri" w:hAnsi="Calibri" w:eastAsia="黑体"/>
          <w:color w:val="auto"/>
          <w:sz w:val="24"/>
          <w:szCs w:val="24"/>
          <w:highlight w:val="none"/>
        </w:rPr>
        <w:t xml:space="preserve"> </w:t>
      </w:r>
    </w:p>
    <w:p w14:paraId="129C85D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现场工艺试验的有关约定：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D7A52E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10. 变更</w:t>
      </w:r>
    </w:p>
    <w:p w14:paraId="7B5F733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10.1变更的范围</w:t>
      </w:r>
    </w:p>
    <w:p w14:paraId="0444A911">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关于变更的范围的约定：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1）施工中发包人需对原工程</w:t>
      </w:r>
      <w:r>
        <w:rPr>
          <w:rFonts w:hint="eastAsia" w:ascii="宋体" w:hAnsi="宋体" w:eastAsia="宋体"/>
          <w:bCs/>
          <w:color w:val="auto"/>
          <w:sz w:val="21"/>
          <w:szCs w:val="21"/>
          <w:highlight w:val="none"/>
          <w:u w:val="single"/>
        </w:rPr>
        <w:t>进行</w:t>
      </w:r>
      <w:r>
        <w:rPr>
          <w:rFonts w:ascii="宋体" w:hAnsi="宋体" w:eastAsia="宋体"/>
          <w:bCs/>
          <w:color w:val="auto"/>
          <w:sz w:val="21"/>
          <w:szCs w:val="21"/>
          <w:highlight w:val="none"/>
          <w:u w:val="single"/>
        </w:rPr>
        <w:t>设计变更，应提前</w:t>
      </w:r>
      <w:r>
        <w:rPr>
          <w:rFonts w:hint="eastAsia" w:ascii="宋体" w:hAnsi="宋体" w:eastAsia="宋体"/>
          <w:bCs/>
          <w:color w:val="auto"/>
          <w:sz w:val="21"/>
          <w:szCs w:val="21"/>
          <w:highlight w:val="none"/>
          <w:u w:val="single"/>
        </w:rPr>
        <w:t>7</w:t>
      </w:r>
      <w:r>
        <w:rPr>
          <w:rFonts w:ascii="宋体" w:hAnsi="宋体" w:eastAsia="宋体"/>
          <w:bCs/>
          <w:color w:val="auto"/>
          <w:sz w:val="21"/>
          <w:szCs w:val="21"/>
          <w:highlight w:val="none"/>
          <w:u w:val="single"/>
        </w:rPr>
        <w:t>天以书面形式向承包人发出变更通知。变更超过原设计标准或批准的建设规模需要重新报批或重新审图时，发包人应报规划管理部门和其他相关部门重新审查，并由原设计单位提供变更的相应图纸及说明。</w:t>
      </w:r>
    </w:p>
    <w:p w14:paraId="26252A3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32141D6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2）承包人不得对原设计</w:t>
      </w:r>
      <w:r>
        <w:rPr>
          <w:rFonts w:hint="eastAsia" w:ascii="宋体" w:hAnsi="宋体" w:eastAsia="宋体"/>
          <w:bCs/>
          <w:color w:val="auto"/>
          <w:sz w:val="21"/>
          <w:szCs w:val="21"/>
          <w:highlight w:val="none"/>
          <w:u w:val="single"/>
        </w:rPr>
        <w:t>擅自</w:t>
      </w:r>
      <w:r>
        <w:rPr>
          <w:rFonts w:ascii="宋体" w:hAnsi="宋体" w:eastAsia="宋体"/>
          <w:bCs/>
          <w:color w:val="auto"/>
          <w:sz w:val="21"/>
          <w:szCs w:val="21"/>
          <w:highlight w:val="none"/>
          <w:u w:val="single"/>
        </w:rPr>
        <w:t>进行变更，由此造成</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经济损失及工期延后由承包人</w:t>
      </w:r>
      <w:r>
        <w:rPr>
          <w:rFonts w:hint="eastAsia" w:ascii="宋体" w:hAnsi="宋体" w:eastAsia="宋体"/>
          <w:bCs/>
          <w:color w:val="auto"/>
          <w:sz w:val="21"/>
          <w:szCs w:val="21"/>
          <w:highlight w:val="none"/>
          <w:u w:val="single"/>
        </w:rPr>
        <w:t>自行</w:t>
      </w:r>
      <w:r>
        <w:rPr>
          <w:rFonts w:ascii="宋体" w:hAnsi="宋体" w:eastAsia="宋体"/>
          <w:bCs/>
          <w:color w:val="auto"/>
          <w:sz w:val="21"/>
          <w:szCs w:val="21"/>
          <w:highlight w:val="none"/>
          <w:u w:val="single"/>
        </w:rPr>
        <w:t>承担，并赔偿发包人有关损失。</w:t>
      </w:r>
    </w:p>
    <w:p w14:paraId="05F1CC4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3）承包人在施工中提出合理化建议及涉及到对设计图纸或施工组织设计的更改及对材料、设备的</w:t>
      </w:r>
      <w:r>
        <w:rPr>
          <w:rFonts w:hint="eastAsia" w:ascii="宋体" w:hAnsi="宋体" w:eastAsia="宋体"/>
          <w:bCs/>
          <w:color w:val="auto"/>
          <w:sz w:val="21"/>
          <w:szCs w:val="21"/>
          <w:highlight w:val="none"/>
          <w:u w:val="single"/>
        </w:rPr>
        <w:t>代换</w:t>
      </w:r>
      <w:r>
        <w:rPr>
          <w:rFonts w:ascii="宋体" w:hAnsi="宋体" w:eastAsia="宋体"/>
          <w:bCs/>
          <w:color w:val="auto"/>
          <w:sz w:val="21"/>
          <w:szCs w:val="21"/>
          <w:highlight w:val="none"/>
          <w:u w:val="single"/>
        </w:rPr>
        <w:t>，须经设计单位、总监理工程师及发包人书面同意。未经同意擅自更改</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，承包人承担由此发生</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费用，并赔偿发包人有关损失，工期不得延后。</w:t>
      </w:r>
    </w:p>
    <w:p w14:paraId="74CA1F4A">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发包人采用承包人合理化建议，所发生的费用和获得的收益，发包人、承包人另行约定分担或分享。</w:t>
      </w:r>
    </w:p>
    <w:p w14:paraId="21E1B1F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4）合同履行中发包人要求变更工程质量标准及发生其他实质性变更，由双方协商解决。</w:t>
      </w:r>
    </w:p>
    <w:p w14:paraId="5A06AE70">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5）发包人保</w:t>
      </w:r>
      <w:r>
        <w:rPr>
          <w:rFonts w:hint="eastAsia" w:ascii="宋体" w:hAnsi="宋体" w:eastAsia="宋体"/>
          <w:bCs/>
          <w:color w:val="auto"/>
          <w:sz w:val="21"/>
          <w:szCs w:val="21"/>
          <w:highlight w:val="none"/>
          <w:u w:val="single"/>
        </w:rPr>
        <w:t>留变更或调整工程量的权力，承包人不得拒绝变更，更不得以变更为由提出不合理的要求。</w:t>
      </w:r>
    </w:p>
    <w:p w14:paraId="5DB4B2E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6）承包人必须按发包人要求完成变更工作，否则发包人有权交由第三方承包人完成，并按第三方承包人报价的双倍作为违约金扣减承包人的合同价款。</w:t>
      </w:r>
    </w:p>
    <w:p w14:paraId="0280204A">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7）因设计变更导致工期的顺延以监理工程师审核、发包人批准为准。</w:t>
      </w:r>
    </w:p>
    <w:p w14:paraId="6F3899CC">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eastAsia="宋体"/>
          <w:color w:val="auto"/>
          <w:sz w:val="21"/>
          <w:szCs w:val="21"/>
          <w:highlight w:val="none"/>
        </w:rPr>
        <w:t>。</w:t>
      </w:r>
    </w:p>
    <w:p w14:paraId="4E77A3F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10.4 变更估价</w:t>
      </w:r>
    </w:p>
    <w:p w14:paraId="2741E4BF">
      <w:pPr>
        <w:spacing w:line="360"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10.4.1 变更估价原则</w:t>
      </w:r>
    </w:p>
    <w:p w14:paraId="0D0CE1E6">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关于变更估价的约定:</w:t>
      </w:r>
      <w:r>
        <w:rPr>
          <w:rFonts w:ascii="宋体" w:hAnsi="宋体" w:eastAsia="宋体"/>
          <w:bCs/>
          <w:color w:val="auto"/>
          <w:sz w:val="21"/>
          <w:szCs w:val="21"/>
          <w:highlight w:val="none"/>
          <w:u w:val="single"/>
        </w:rPr>
        <w:t xml:space="preserve"> </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1）已标价工程量清单中有适用于变更工程的子目，采用该子目的单价。</w:t>
      </w:r>
    </w:p>
    <w:p w14:paraId="0507EB9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2）已标价工程量清单中无适用于变更工程的子目，但有类似子目，可在合理范围内参照类似子目的单价，由监理、</w:t>
      </w:r>
      <w:r>
        <w:rPr>
          <w:rFonts w:hint="eastAsia" w:ascii="宋体" w:hAnsi="宋体" w:eastAsia="宋体"/>
          <w:bCs/>
          <w:color w:val="auto"/>
          <w:sz w:val="21"/>
          <w:szCs w:val="21"/>
          <w:highlight w:val="none"/>
          <w:u w:val="single"/>
        </w:rPr>
        <w:t>跟踪审计</w:t>
      </w:r>
      <w:r>
        <w:rPr>
          <w:rFonts w:ascii="宋体" w:hAnsi="宋体" w:eastAsia="宋体"/>
          <w:bCs/>
          <w:color w:val="auto"/>
          <w:sz w:val="21"/>
          <w:szCs w:val="21"/>
          <w:highlight w:val="none"/>
          <w:u w:val="single"/>
        </w:rPr>
        <w:t>核定综合单价报发包人批准或者由发包人与承包人商定。</w:t>
      </w:r>
    </w:p>
    <w:p w14:paraId="7A35E1A0">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上述“与投标报价中项目类似的”新增项目，指与投标分部分项工程量清单项目编码一至九位完全相同的新增的分部分项工程。</w:t>
      </w:r>
    </w:p>
    <w:p w14:paraId="20997A9A">
      <w:pPr>
        <w:spacing w:line="360" w:lineRule="auto"/>
        <w:ind w:firstLine="420" w:firstLineChars="200"/>
        <w:jc w:val="left"/>
        <w:rPr>
          <w:rFonts w:ascii="宋体" w:hAnsi="宋体" w:eastAsia="宋体"/>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3）已标价工程量清单中无适用或类似子目的单价，由承包人编制变更综合单价，经监理、跟踪审计核定综合单价，并报发包人批准后作为结算依据。计价原则：（1）《</w:t>
      </w:r>
      <w:r>
        <w:rPr>
          <w:rFonts w:hint="eastAsia" w:ascii="宋体" w:hAnsi="宋体" w:eastAsia="宋体"/>
          <w:bCs/>
          <w:color w:val="auto"/>
          <w:sz w:val="21"/>
          <w:szCs w:val="21"/>
          <w:highlight w:val="none"/>
          <w:u w:val="single"/>
        </w:rPr>
        <w:t>建设工程工程量清单计价规范》（</w:t>
      </w:r>
      <w:r>
        <w:rPr>
          <w:rFonts w:ascii="宋体" w:hAnsi="宋体" w:eastAsia="宋体"/>
          <w:bCs/>
          <w:color w:val="auto"/>
          <w:sz w:val="21"/>
          <w:szCs w:val="21"/>
          <w:highlight w:val="none"/>
          <w:u w:val="single"/>
        </w:rPr>
        <w:t>GB50500-2013）、《江苏省建筑与装饰工程计价表》、《江苏省安装工程计价表》（2014）（缺项部分参照相关行业定额），以及省市建设行政主管部门颁布的</w:t>
      </w:r>
      <w:r>
        <w:rPr>
          <w:rFonts w:hint="eastAsia" w:ascii="宋体" w:hAnsi="宋体" w:eastAsia="宋体"/>
          <w:bCs/>
          <w:color w:val="auto"/>
          <w:sz w:val="21"/>
          <w:szCs w:val="21"/>
          <w:highlight w:val="none"/>
          <w:u w:val="single"/>
        </w:rPr>
        <w:t>与加固</w:t>
      </w:r>
      <w:r>
        <w:rPr>
          <w:rFonts w:ascii="宋体" w:hAnsi="宋体" w:eastAsia="宋体"/>
          <w:bCs/>
          <w:color w:val="auto"/>
          <w:sz w:val="21"/>
          <w:szCs w:val="21"/>
          <w:highlight w:val="none"/>
          <w:u w:val="single"/>
        </w:rPr>
        <w:t>工程造价</w:t>
      </w:r>
      <w:r>
        <w:rPr>
          <w:rFonts w:hint="eastAsia" w:ascii="宋体" w:hAnsi="宋体" w:eastAsia="宋体"/>
          <w:bCs/>
          <w:color w:val="auto"/>
          <w:sz w:val="21"/>
          <w:szCs w:val="21"/>
          <w:highlight w:val="none"/>
          <w:u w:val="single"/>
        </w:rPr>
        <w:t>相关的</w:t>
      </w:r>
      <w:r>
        <w:rPr>
          <w:rFonts w:ascii="宋体" w:hAnsi="宋体" w:eastAsia="宋体"/>
          <w:bCs/>
          <w:color w:val="auto"/>
          <w:sz w:val="21"/>
          <w:szCs w:val="21"/>
          <w:highlight w:val="none"/>
          <w:u w:val="single"/>
        </w:rPr>
        <w:t>规范性文件和规定；（2）材料价格按照同期建设主管部门颁布的指导价格执行，缺项部分参照市场价：（3）取费标准（包括人工单价、管理费、利润等）执行原投标报价水平（单价或费率）。新增子目的综合单价及材料单价由承包人提出，经监理、</w:t>
      </w:r>
      <w:r>
        <w:rPr>
          <w:rFonts w:hint="eastAsia" w:ascii="宋体" w:hAnsi="宋体" w:eastAsia="宋体"/>
          <w:bCs/>
          <w:color w:val="auto"/>
          <w:sz w:val="21"/>
          <w:szCs w:val="21"/>
          <w:highlight w:val="none"/>
          <w:u w:val="single"/>
        </w:rPr>
        <w:t>跟踪审计</w:t>
      </w:r>
      <w:r>
        <w:rPr>
          <w:rFonts w:ascii="宋体" w:hAnsi="宋体" w:eastAsia="宋体"/>
          <w:bCs/>
          <w:color w:val="auto"/>
          <w:sz w:val="21"/>
          <w:szCs w:val="21"/>
          <w:highlight w:val="none"/>
          <w:u w:val="single"/>
        </w:rPr>
        <w:t>审核后，报发包人批准作为最终结算依据；（4）措施项目费调整按清单计价规</w:t>
      </w:r>
      <w:r>
        <w:rPr>
          <w:rFonts w:hint="eastAsia" w:ascii="宋体" w:hAnsi="宋体" w:eastAsia="宋体"/>
          <w:bCs/>
          <w:color w:val="auto"/>
          <w:sz w:val="21"/>
          <w:szCs w:val="21"/>
          <w:highlight w:val="none"/>
          <w:u w:val="single"/>
        </w:rPr>
        <w:t>范执行</w:t>
      </w:r>
      <w:r>
        <w:rPr>
          <w:rFonts w:ascii="宋体" w:hAnsi="宋体" w:eastAsia="宋体"/>
          <w:color w:val="auto"/>
          <w:sz w:val="21"/>
          <w:szCs w:val="21"/>
          <w:highlight w:val="none"/>
        </w:rPr>
        <w:t>。</w:t>
      </w:r>
    </w:p>
    <w:p w14:paraId="614EEA5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10.5承包人的合理化建议</w:t>
      </w:r>
    </w:p>
    <w:p w14:paraId="18F1931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监理人审查承包人合理化建议的期限：</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31973CA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发包人审批承包人合理化建议的期限：</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553BA758">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承包人提出的合理化建议降低了合同价格或者提高了工程经济效益的奖励的方法和金额为：</w:t>
      </w:r>
      <w:r>
        <w:rPr>
          <w:rFonts w:hint="eastAsia" w:ascii="宋体" w:hAnsi="宋体" w:eastAsia="宋体"/>
          <w:bCs/>
          <w:color w:val="auto"/>
          <w:sz w:val="21"/>
          <w:szCs w:val="21"/>
          <w:highlight w:val="none"/>
          <w:u w:val="single"/>
        </w:rPr>
        <w:t>无</w:t>
      </w:r>
      <w:r>
        <w:rPr>
          <w:rFonts w:ascii="宋体" w:hAnsi="宋体" w:eastAsia="宋体"/>
          <w:color w:val="auto"/>
          <w:sz w:val="21"/>
          <w:szCs w:val="21"/>
          <w:highlight w:val="none"/>
        </w:rPr>
        <w:t>。</w:t>
      </w:r>
    </w:p>
    <w:p w14:paraId="10EB1D2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10.7 暂估价</w:t>
      </w:r>
      <w:r>
        <w:rPr>
          <w:rFonts w:hint="eastAsia" w:ascii="Calibri" w:hAnsi="Calibri" w:eastAsia="黑体"/>
          <w:color w:val="auto"/>
          <w:sz w:val="24"/>
          <w:szCs w:val="24"/>
          <w:highlight w:val="none"/>
        </w:rPr>
        <w:t>（如有）</w:t>
      </w:r>
    </w:p>
    <w:p w14:paraId="79DE33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暂估价材料和工程设备的明细详见附件</w:t>
      </w:r>
      <w:r>
        <w:rPr>
          <w:rFonts w:hint="eastAsia" w:ascii="宋体" w:hAnsi="宋体" w:eastAsia="宋体"/>
          <w:color w:val="auto"/>
          <w:kern w:val="0"/>
          <w:sz w:val="21"/>
          <w:szCs w:val="21"/>
          <w:highlight w:val="none"/>
        </w:rPr>
        <w:t>11：《</w:t>
      </w:r>
      <w:r>
        <w:rPr>
          <w:rFonts w:ascii="宋体" w:hAnsi="宋体" w:eastAsia="宋体"/>
          <w:color w:val="auto"/>
          <w:sz w:val="21"/>
          <w:szCs w:val="21"/>
          <w:highlight w:val="none"/>
        </w:rPr>
        <w:t>暂估价一览表</w:t>
      </w:r>
      <w:r>
        <w:rPr>
          <w:rFonts w:hint="eastAsia" w:ascii="宋体" w:hAnsi="宋体" w:eastAsia="宋体"/>
          <w:color w:val="auto"/>
          <w:sz w:val="21"/>
          <w:szCs w:val="21"/>
          <w:highlight w:val="none"/>
        </w:rPr>
        <w:t>》</w:t>
      </w:r>
      <w:r>
        <w:rPr>
          <w:rFonts w:hint="eastAsia" w:ascii="宋体" w:hAnsi="宋体" w:eastAsia="宋体"/>
          <w:color w:val="auto"/>
          <w:kern w:val="0"/>
          <w:sz w:val="21"/>
          <w:szCs w:val="21"/>
          <w:highlight w:val="none"/>
        </w:rPr>
        <w:t>。</w:t>
      </w:r>
    </w:p>
    <w:p w14:paraId="78F8424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10.7.1 依法必须招标的暂估价项目</w:t>
      </w:r>
    </w:p>
    <w:p w14:paraId="2B10F43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对于依法必须招标的暂估价项目的确认和批准采取第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种方式确定。</w:t>
      </w:r>
    </w:p>
    <w:p w14:paraId="1F2CA47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10.7.2 不属于依法必须招标的暂估价项目</w:t>
      </w:r>
    </w:p>
    <w:p w14:paraId="2A5D107A">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对于不属于依法必须招标的暂估价项目的确认和批准采取第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种方式确定。</w:t>
      </w:r>
    </w:p>
    <w:p w14:paraId="0DB63D9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第3种方式：</w:t>
      </w:r>
      <w:r>
        <w:rPr>
          <w:rFonts w:ascii="宋体" w:hAnsi="宋体" w:eastAsia="宋体"/>
          <w:color w:val="auto"/>
          <w:kern w:val="0"/>
          <w:sz w:val="21"/>
          <w:szCs w:val="21"/>
          <w:highlight w:val="none"/>
        </w:rPr>
        <w:t>承包人直接实施的暂估价项目</w:t>
      </w:r>
    </w:p>
    <w:p w14:paraId="22B5196C">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承包人直接实施的暂估价项目的约定：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4AD54CAE">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10.8 暂列金额</w:t>
      </w:r>
      <w:r>
        <w:rPr>
          <w:rFonts w:hint="eastAsia" w:ascii="Calibri" w:hAnsi="Calibri" w:eastAsia="黑体"/>
          <w:color w:val="auto"/>
          <w:sz w:val="24"/>
          <w:szCs w:val="24"/>
          <w:highlight w:val="none"/>
        </w:rPr>
        <w:t>（如有）</w:t>
      </w:r>
    </w:p>
    <w:p w14:paraId="51382E2B">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合同当事人关于暂列金额使用的约定：</w:t>
      </w:r>
      <w:r>
        <w:rPr>
          <w:rFonts w:hint="eastAsia" w:ascii="宋体" w:hAnsi="宋体" w:eastAsia="宋体"/>
          <w:bCs/>
          <w:color w:val="auto"/>
          <w:sz w:val="21"/>
          <w:szCs w:val="21"/>
          <w:highlight w:val="none"/>
          <w:u w:val="single"/>
        </w:rPr>
        <w:t>暂列</w:t>
      </w:r>
      <w:r>
        <w:rPr>
          <w:rFonts w:hint="eastAsia" w:ascii="宋体" w:hAnsi="宋体" w:eastAsia="宋体"/>
          <w:bCs/>
          <w:color w:val="auto"/>
          <w:sz w:val="21"/>
          <w:szCs w:val="21"/>
          <w:highlight w:val="none"/>
          <w:u w:val="single"/>
          <w:lang w:eastAsia="zh-CN"/>
        </w:rPr>
        <w:t>金额</w:t>
      </w:r>
      <w:r>
        <w:rPr>
          <w:rFonts w:hint="eastAsia" w:ascii="宋体" w:hAnsi="宋体" w:eastAsia="宋体"/>
          <w:bCs/>
          <w:color w:val="auto"/>
          <w:sz w:val="21"/>
          <w:szCs w:val="21"/>
          <w:highlight w:val="none"/>
          <w:u w:val="single"/>
        </w:rPr>
        <w:t>使用权归发包人所有，若施工期间没有发生额外费用的支出，则从竣工结算款中扣除</w:t>
      </w:r>
      <w:r>
        <w:rPr>
          <w:rFonts w:hint="eastAsia" w:ascii="宋体" w:hAnsi="宋体" w:eastAsia="宋体"/>
          <w:color w:val="auto"/>
          <w:kern w:val="0"/>
          <w:sz w:val="21"/>
          <w:szCs w:val="21"/>
          <w:highlight w:val="none"/>
        </w:rPr>
        <w:t>。</w:t>
      </w:r>
    </w:p>
    <w:p w14:paraId="69933A8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11. 价格调整</w:t>
      </w:r>
    </w:p>
    <w:p w14:paraId="1217BB2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11.1 市场价格波动引起的调整</w:t>
      </w:r>
    </w:p>
    <w:p w14:paraId="6E588BC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市场价格波动是否调整合同价格的约定：</w:t>
      </w:r>
      <w:r>
        <w:rPr>
          <w:rFonts w:ascii="宋体" w:hAnsi="宋体" w:eastAsia="宋体"/>
          <w:color w:val="auto"/>
          <w:sz w:val="21"/>
          <w:szCs w:val="21"/>
          <w:highlight w:val="none"/>
        </w:rPr>
        <w:t>。</w:t>
      </w:r>
    </w:p>
    <w:p w14:paraId="4C80393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因市场价格波动调整合同价格，采用以下第</w:t>
      </w:r>
      <w:r>
        <w:rPr>
          <w:rFonts w:ascii="宋体" w:hAnsi="宋体" w:eastAsia="宋体"/>
          <w:bCs/>
          <w:color w:val="auto"/>
          <w:sz w:val="21"/>
          <w:szCs w:val="21"/>
          <w:highlight w:val="none"/>
          <w:u w:val="single"/>
        </w:rPr>
        <w:t>3</w:t>
      </w:r>
      <w:r>
        <w:rPr>
          <w:rFonts w:ascii="宋体" w:hAnsi="宋体" w:eastAsia="宋体"/>
          <w:color w:val="auto"/>
          <w:sz w:val="21"/>
          <w:szCs w:val="21"/>
          <w:highlight w:val="none"/>
        </w:rPr>
        <w:t>种方式对合同价格进行调整：</w:t>
      </w:r>
    </w:p>
    <w:p w14:paraId="59D9D88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第1种方式：采用价格指数</w:t>
      </w:r>
      <w:r>
        <w:rPr>
          <w:rFonts w:hint="eastAsia" w:ascii="宋体" w:hAnsi="宋体" w:eastAsia="宋体"/>
          <w:color w:val="auto"/>
          <w:sz w:val="21"/>
          <w:szCs w:val="21"/>
          <w:highlight w:val="none"/>
        </w:rPr>
        <w:t>进行价格</w:t>
      </w:r>
      <w:r>
        <w:rPr>
          <w:rFonts w:ascii="宋体" w:hAnsi="宋体" w:eastAsia="宋体"/>
          <w:color w:val="auto"/>
          <w:sz w:val="21"/>
          <w:szCs w:val="21"/>
          <w:highlight w:val="none"/>
        </w:rPr>
        <w:t>调整。</w:t>
      </w:r>
    </w:p>
    <w:p w14:paraId="1B228A73">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关于各可调因子、定值和变值权重，以及基本价格指数及其来源的约定：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 xml:space="preserve">；  </w:t>
      </w:r>
    </w:p>
    <w:p w14:paraId="597BF76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第2种方式：采用造价信息</w:t>
      </w:r>
      <w:r>
        <w:rPr>
          <w:rFonts w:hint="eastAsia" w:ascii="宋体" w:hAnsi="宋体" w:eastAsia="宋体"/>
          <w:color w:val="auto"/>
          <w:sz w:val="21"/>
          <w:szCs w:val="21"/>
          <w:highlight w:val="none"/>
        </w:rPr>
        <w:t>进行价格</w:t>
      </w:r>
      <w:r>
        <w:rPr>
          <w:rFonts w:ascii="宋体" w:hAnsi="宋体" w:eastAsia="宋体"/>
          <w:color w:val="auto"/>
          <w:sz w:val="21"/>
          <w:szCs w:val="21"/>
          <w:highlight w:val="none"/>
        </w:rPr>
        <w:t>调整。</w:t>
      </w:r>
    </w:p>
    <w:p w14:paraId="22B4B00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（2）关于基准价格的约定：</w:t>
      </w:r>
      <w:r>
        <w:rPr>
          <w:rFonts w:hint="eastAsia" w:ascii="宋体" w:hAnsi="宋体" w:eastAsia="宋体"/>
          <w:bCs/>
          <w:color w:val="auto"/>
          <w:sz w:val="21"/>
          <w:szCs w:val="21"/>
          <w:highlight w:val="none"/>
          <w:u w:val="single"/>
        </w:rPr>
        <w:t>合同基准日（投标截止日向前推算</w:t>
      </w:r>
      <w:r>
        <w:rPr>
          <w:rFonts w:ascii="宋体" w:hAnsi="宋体" w:eastAsia="宋体"/>
          <w:bCs/>
          <w:color w:val="auto"/>
          <w:sz w:val="21"/>
          <w:szCs w:val="21"/>
          <w:highlight w:val="none"/>
          <w:u w:val="single"/>
        </w:rPr>
        <w:t>28天）当期《</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工程造价信息》发布的指导价。调价范围仅限：钢材、水泥、商品砼</w:t>
      </w:r>
      <w:r>
        <w:rPr>
          <w:rFonts w:ascii="宋体" w:hAnsi="宋体" w:eastAsia="宋体"/>
          <w:color w:val="auto"/>
          <w:sz w:val="21"/>
          <w:szCs w:val="21"/>
          <w:highlight w:val="none"/>
        </w:rPr>
        <w:t>。</w:t>
      </w:r>
    </w:p>
    <w:p w14:paraId="687F2FD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%时，或材料单价跌幅以已标价工程量清单或预算书中载明材料单价为基础超过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21E860D8">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%时，材料单价涨幅以已标价工程量清单或预算书中载明材料单价为基础超过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58BFA486">
      <w:pPr>
        <w:spacing w:line="360" w:lineRule="auto"/>
        <w:ind w:firstLine="645"/>
        <w:jc w:val="left"/>
        <w:rPr>
          <w:rFonts w:ascii="宋体" w:hAnsi="宋体" w:eastAsia="宋体"/>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131852D0">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第3种方式：其他价格调整方式：</w:t>
      </w:r>
      <w:r>
        <w:rPr>
          <w:rFonts w:hint="eastAsia" w:ascii="宋体" w:hAnsi="宋体" w:eastAsia="宋体"/>
          <w:bCs/>
          <w:color w:val="auto"/>
          <w:sz w:val="21"/>
          <w:szCs w:val="21"/>
          <w:highlight w:val="none"/>
          <w:u w:val="single"/>
        </w:rPr>
        <w:t>综合单价在合同履行期间不做调整，工程量按实结算</w:t>
      </w:r>
      <w:r>
        <w:rPr>
          <w:rFonts w:ascii="宋体" w:hAnsi="宋体" w:eastAsia="宋体"/>
          <w:color w:val="auto"/>
          <w:sz w:val="21"/>
          <w:szCs w:val="21"/>
          <w:highlight w:val="none"/>
        </w:rPr>
        <w:t>。</w:t>
      </w:r>
    </w:p>
    <w:p w14:paraId="60AB240B">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12. 合同价格、计量与支付</w:t>
      </w:r>
    </w:p>
    <w:p w14:paraId="0AD19F7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12.1 合同价格形式</w:t>
      </w:r>
    </w:p>
    <w:p w14:paraId="1F75021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1、单价合同。</w:t>
      </w:r>
    </w:p>
    <w:p w14:paraId="4F8AC59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综合单价包含的风险范围：</w:t>
      </w:r>
      <w:r>
        <w:rPr>
          <w:rFonts w:ascii="宋体" w:hAnsi="宋体" w:eastAsia="宋体"/>
          <w:bCs/>
          <w:color w:val="auto"/>
          <w:sz w:val="21"/>
          <w:szCs w:val="21"/>
          <w:highlight w:val="none"/>
          <w:u w:val="single"/>
        </w:rPr>
        <w:t>(1)各类人工费、机械台班、建材的市场价格波动风险；</w:t>
      </w:r>
    </w:p>
    <w:p w14:paraId="76C3961F">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(2)工程量发生变更时，相同子目综合单价不予调整的风险；</w:t>
      </w:r>
    </w:p>
    <w:p w14:paraId="2AC53A27">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(3)因承包人自身施工管理等原因造成工期、误工费用增加的风险；</w:t>
      </w:r>
    </w:p>
    <w:p w14:paraId="3F4AE4A2">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(4)作为有丰富经验的承包商应该可以预见到的风险；</w:t>
      </w:r>
    </w:p>
    <w:p w14:paraId="2A4328EC">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(5)</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中明示和暗示的风险费用</w:t>
      </w:r>
      <w:r>
        <w:rPr>
          <w:rFonts w:hint="eastAsia" w:ascii="宋体" w:hAnsi="宋体" w:eastAsia="宋体"/>
          <w:bCs/>
          <w:color w:val="auto"/>
          <w:sz w:val="21"/>
          <w:szCs w:val="21"/>
          <w:highlight w:val="none"/>
          <w:u w:val="single"/>
        </w:rPr>
        <w:t>；</w:t>
      </w:r>
    </w:p>
    <w:p w14:paraId="547705C0">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(6)施工组织设计的各项技术、安全措施；</w:t>
      </w:r>
    </w:p>
    <w:p w14:paraId="3DF58FBB">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(7)施工期间的各类政策性调整；</w:t>
      </w:r>
    </w:p>
    <w:p w14:paraId="69112F6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风险费用的计算方法：</w:t>
      </w:r>
      <w:r>
        <w:rPr>
          <w:rFonts w:hint="eastAsia" w:ascii="宋体" w:hAnsi="宋体" w:eastAsia="宋体"/>
          <w:bCs/>
          <w:color w:val="auto"/>
          <w:sz w:val="21"/>
          <w:szCs w:val="21"/>
          <w:highlight w:val="none"/>
          <w:u w:val="single"/>
        </w:rPr>
        <w:t>承包人在投标报价时已经知晓上述风险范围，已经考虑相应的风险费用并计入报价</w:t>
      </w:r>
      <w:r>
        <w:rPr>
          <w:rFonts w:ascii="宋体" w:hAnsi="宋体" w:eastAsia="宋体"/>
          <w:color w:val="auto"/>
          <w:sz w:val="21"/>
          <w:szCs w:val="21"/>
          <w:highlight w:val="none"/>
        </w:rPr>
        <w:t>。</w:t>
      </w:r>
    </w:p>
    <w:p w14:paraId="2533575E">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风险范围以外合同价格的调整方法：</w:t>
      </w:r>
      <w:r>
        <w:rPr>
          <w:rFonts w:hint="eastAsia" w:ascii="宋体" w:hAnsi="宋体" w:eastAsia="宋体"/>
          <w:bCs/>
          <w:color w:val="auto"/>
          <w:sz w:val="21"/>
          <w:szCs w:val="21"/>
          <w:highlight w:val="none"/>
          <w:u w:val="single"/>
        </w:rPr>
        <w:t>▲调整因素：</w:t>
      </w:r>
    </w:p>
    <w:p w14:paraId="2C047B5C">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(1)监理认可、发包人批准的由设计院出具的设计变更及图纸会审记录；</w:t>
      </w:r>
    </w:p>
    <w:p w14:paraId="2C32FC79">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⑵监理、跟踪审计认可、发包人批准的工程签证；</w:t>
      </w:r>
    </w:p>
    <w:p w14:paraId="4BEBABA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⑶采购人提供的工程量清单中数量与招标图纸之间的差异；</w:t>
      </w:r>
    </w:p>
    <w:p w14:paraId="617D476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⑷施工合同条款约定其他可以调整的因素。</w:t>
      </w:r>
    </w:p>
    <w:p w14:paraId="1CA7BCE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▲调整时间：</w:t>
      </w:r>
    </w:p>
    <w:p w14:paraId="2518F43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如发生风险范围以外合同价款调整因素，承包人应在5个工作日内申报，报监理人、跟踪审计计量、审核确认，最终须经发包人批准。</w:t>
      </w:r>
    </w:p>
    <w:p w14:paraId="348992F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▲调整方法：</w:t>
      </w:r>
    </w:p>
    <w:p w14:paraId="745792B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⑴设计变更、工程签证的调整办法见专用条款第</w:t>
      </w:r>
      <w:r>
        <w:rPr>
          <w:rFonts w:ascii="宋体" w:hAnsi="宋体" w:eastAsia="宋体"/>
          <w:bCs/>
          <w:color w:val="auto"/>
          <w:sz w:val="21"/>
          <w:szCs w:val="21"/>
          <w:highlight w:val="none"/>
          <w:u w:val="single"/>
        </w:rPr>
        <w:t>10.4条。</w:t>
      </w:r>
    </w:p>
    <w:p w14:paraId="7FC99C7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⑵</w:t>
      </w:r>
      <w:r>
        <w:rPr>
          <w:rFonts w:ascii="宋体" w:hAnsi="宋体" w:eastAsia="宋体"/>
          <w:bCs/>
          <w:color w:val="auto"/>
          <w:sz w:val="21"/>
          <w:szCs w:val="21"/>
          <w:highlight w:val="none"/>
          <w:u w:val="single"/>
        </w:rPr>
        <w:t>其他说明事项</w:t>
      </w:r>
    </w:p>
    <w:p w14:paraId="010AA2A2">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①按现行规定以及质监部门要求对土建及水电安装材料的送样检测、复试等相关费用均由承包人承担，送检前需报监理、发包人确认。</w:t>
      </w:r>
    </w:p>
    <w:p w14:paraId="6427E24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甲供材送样检测、复试费用由发包人供货商承担，但材料进场后由承包人负责保管、二次搬运，并协助发包人、监理验收，保管、二次搬运等费用由承包人承担，结算时不增加相关费用。</w:t>
      </w:r>
    </w:p>
    <w:p w14:paraId="029D939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所有乙供材的采购保管费、运输费、卸力费、二次搬运费等均由承包人承担。</w:t>
      </w:r>
    </w:p>
    <w:p w14:paraId="5CF6978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②措施项目清单调整按照清单规范执行，中标后承包人提交施工方案报监理、发包人审批，但是不涉及相关费用的调整。</w:t>
      </w:r>
    </w:p>
    <w:p w14:paraId="70C3F2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w:t>
      </w:r>
    </w:p>
    <w:p w14:paraId="5E9B3F6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总价包含的风险范围：</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01FC3576">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风险费用的计算方法：</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359BEA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风险范围以外合同价格的调整方法：</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7B9CEAE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3、其他价格方式：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2E0B202B">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12.2 预付款</w:t>
      </w:r>
    </w:p>
    <w:p w14:paraId="19A8432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12.2.1 预付款的支付</w:t>
      </w:r>
    </w:p>
    <w:p w14:paraId="295083F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olor w:val="auto"/>
          <w:sz w:val="21"/>
          <w:szCs w:val="21"/>
          <w:highlight w:val="none"/>
        </w:rPr>
        <w:t>预付款支付比例或金额：</w:t>
      </w:r>
      <w:r>
        <w:rPr>
          <w:rFonts w:hint="eastAsia" w:ascii="宋体" w:hAnsi="宋体" w:eastAsia="宋体" w:cs="Times New Roman"/>
          <w:bCs/>
          <w:color w:val="auto"/>
          <w:sz w:val="21"/>
          <w:szCs w:val="21"/>
          <w:highlight w:val="none"/>
          <w:u w:val="single"/>
        </w:rPr>
        <w:t>签订合同后，预付合同总价的30%。</w:t>
      </w:r>
    </w:p>
    <w:p w14:paraId="79E80C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预付款支付期限：</w:t>
      </w:r>
      <w:r>
        <w:rPr>
          <w:rFonts w:hint="eastAsia" w:ascii="宋体" w:hAnsi="宋体" w:eastAsia="宋体"/>
          <w:bCs/>
          <w:color w:val="auto"/>
          <w:sz w:val="21"/>
          <w:szCs w:val="21"/>
          <w:highlight w:val="none"/>
          <w:u w:val="single"/>
        </w:rPr>
        <w:t>双方签订施工合同且承包人提供正规有效等额的履约保函后</w:t>
      </w:r>
      <w:r>
        <w:rPr>
          <w:rFonts w:ascii="宋体" w:hAnsi="宋体" w:eastAsia="宋体"/>
          <w:color w:val="auto"/>
          <w:sz w:val="21"/>
          <w:szCs w:val="21"/>
          <w:highlight w:val="none"/>
        </w:rPr>
        <w:t>。</w:t>
      </w:r>
    </w:p>
    <w:p w14:paraId="66F5ED6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预付款扣回的方式：</w:t>
      </w:r>
      <w:r>
        <w:rPr>
          <w:rFonts w:hint="eastAsia" w:ascii="宋体" w:hAnsi="宋体" w:eastAsia="宋体"/>
          <w:bCs/>
          <w:color w:val="auto"/>
          <w:sz w:val="21"/>
          <w:szCs w:val="21"/>
          <w:highlight w:val="none"/>
          <w:u w:val="single"/>
        </w:rPr>
        <w:t>抵充工程款，不扣回</w:t>
      </w:r>
      <w:r>
        <w:rPr>
          <w:rFonts w:ascii="宋体" w:hAnsi="宋体" w:eastAsia="宋体"/>
          <w:color w:val="auto"/>
          <w:sz w:val="21"/>
          <w:szCs w:val="21"/>
          <w:highlight w:val="none"/>
        </w:rPr>
        <w:t>。</w:t>
      </w:r>
    </w:p>
    <w:p w14:paraId="6A474EA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12.2.2 预付款担保</w:t>
      </w:r>
    </w:p>
    <w:p w14:paraId="62A97B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承包人提交预付款担保的期限：</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AF6189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预付款担保的形式为：</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434B9B1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12.3 计量</w:t>
      </w:r>
    </w:p>
    <w:p w14:paraId="17E0C63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12.3.1 计量原则</w:t>
      </w:r>
    </w:p>
    <w:p w14:paraId="7694C67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工程量计算规则：</w:t>
      </w:r>
      <w:r>
        <w:rPr>
          <w:rFonts w:hint="eastAsia" w:ascii="宋体" w:hAnsi="宋体" w:eastAsia="宋体"/>
          <w:bCs/>
          <w:color w:val="auto"/>
          <w:sz w:val="21"/>
          <w:szCs w:val="21"/>
          <w:highlight w:val="none"/>
          <w:u w:val="single"/>
        </w:rPr>
        <w:t>除合同、采购文件、工程量清单有特殊约定外，按照《建设工程工程量清单计价规范》（</w:t>
      </w:r>
      <w:r>
        <w:rPr>
          <w:rFonts w:ascii="宋体" w:hAnsi="宋体" w:eastAsia="宋体"/>
          <w:bCs/>
          <w:color w:val="auto"/>
          <w:sz w:val="21"/>
          <w:szCs w:val="21"/>
          <w:highlight w:val="none"/>
          <w:u w:val="single"/>
        </w:rPr>
        <w:t>2013）、2014年《江苏省建筑装饰工程计价表》、2014年《江苏省安装工程计价表》计量</w:t>
      </w:r>
      <w:r>
        <w:rPr>
          <w:rFonts w:hint="eastAsia" w:ascii="宋体" w:hAnsi="宋体" w:eastAsia="宋体"/>
          <w:bCs/>
          <w:color w:val="auto"/>
          <w:sz w:val="21"/>
          <w:szCs w:val="21"/>
          <w:highlight w:val="none"/>
          <w:u w:val="single"/>
        </w:rPr>
        <w:t>以及</w:t>
      </w:r>
      <w:r>
        <w:rPr>
          <w:rFonts w:ascii="宋体" w:hAnsi="宋体" w:eastAsia="宋体"/>
          <w:bCs/>
          <w:color w:val="auto"/>
          <w:sz w:val="21"/>
          <w:szCs w:val="21"/>
          <w:highlight w:val="none"/>
          <w:u w:val="single"/>
        </w:rPr>
        <w:t>省市建设行政主管部门颁布的</w:t>
      </w:r>
      <w:r>
        <w:rPr>
          <w:rFonts w:hint="eastAsia" w:ascii="宋体" w:hAnsi="宋体" w:eastAsia="宋体"/>
          <w:bCs/>
          <w:color w:val="auto"/>
          <w:sz w:val="21"/>
          <w:szCs w:val="21"/>
          <w:highlight w:val="none"/>
          <w:u w:val="single"/>
        </w:rPr>
        <w:t>与加固</w:t>
      </w:r>
      <w:r>
        <w:rPr>
          <w:rFonts w:ascii="宋体" w:hAnsi="宋体" w:eastAsia="宋体"/>
          <w:bCs/>
          <w:color w:val="auto"/>
          <w:sz w:val="21"/>
          <w:szCs w:val="21"/>
          <w:highlight w:val="none"/>
          <w:u w:val="single"/>
        </w:rPr>
        <w:t>工程造价</w:t>
      </w:r>
      <w:r>
        <w:rPr>
          <w:rFonts w:hint="eastAsia" w:ascii="宋体" w:hAnsi="宋体" w:eastAsia="宋体"/>
          <w:bCs/>
          <w:color w:val="auto"/>
          <w:sz w:val="21"/>
          <w:szCs w:val="21"/>
          <w:highlight w:val="none"/>
          <w:u w:val="single"/>
        </w:rPr>
        <w:t>相关的</w:t>
      </w:r>
      <w:r>
        <w:rPr>
          <w:rFonts w:ascii="宋体" w:hAnsi="宋体" w:eastAsia="宋体"/>
          <w:bCs/>
          <w:color w:val="auto"/>
          <w:sz w:val="21"/>
          <w:szCs w:val="21"/>
          <w:highlight w:val="none"/>
          <w:u w:val="single"/>
        </w:rPr>
        <w:t>规范性文件</w:t>
      </w:r>
      <w:r>
        <w:rPr>
          <w:rFonts w:ascii="宋体" w:hAnsi="宋体" w:eastAsia="宋体"/>
          <w:color w:val="auto"/>
          <w:sz w:val="21"/>
          <w:szCs w:val="21"/>
          <w:highlight w:val="none"/>
        </w:rPr>
        <w:t>。</w:t>
      </w:r>
    </w:p>
    <w:p w14:paraId="35185A4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12.3.2 计量周期</w:t>
      </w:r>
    </w:p>
    <w:p w14:paraId="54E1743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关于计量周期的约定：</w:t>
      </w:r>
      <w:r>
        <w:rPr>
          <w:rFonts w:hint="eastAsia" w:ascii="宋体" w:hAnsi="宋体" w:eastAsia="宋体"/>
          <w:bCs/>
          <w:color w:val="auto"/>
          <w:sz w:val="21"/>
          <w:szCs w:val="21"/>
          <w:highlight w:val="none"/>
          <w:u w:val="single"/>
        </w:rPr>
        <w:t>每月</w:t>
      </w:r>
      <w:r>
        <w:rPr>
          <w:rFonts w:ascii="宋体" w:hAnsi="宋体" w:eastAsia="宋体"/>
          <w:bCs/>
          <w:color w:val="auto"/>
          <w:sz w:val="21"/>
          <w:szCs w:val="21"/>
          <w:highlight w:val="none"/>
          <w:u w:val="single"/>
        </w:rPr>
        <w:t>5日前承包人向发包人、监理、跟踪审计提交上月已</w:t>
      </w:r>
      <w:r>
        <w:rPr>
          <w:rFonts w:hint="eastAsia" w:ascii="宋体" w:hAnsi="宋体" w:eastAsia="宋体"/>
          <w:bCs/>
          <w:color w:val="auto"/>
          <w:sz w:val="21"/>
          <w:szCs w:val="21"/>
          <w:highlight w:val="none"/>
          <w:u w:val="single"/>
          <w:lang w:eastAsia="zh-CN"/>
        </w:rPr>
        <w:t>完成</w:t>
      </w:r>
      <w:r>
        <w:rPr>
          <w:rFonts w:ascii="宋体" w:hAnsi="宋体" w:eastAsia="宋体"/>
          <w:bCs/>
          <w:color w:val="auto"/>
          <w:sz w:val="21"/>
          <w:szCs w:val="21"/>
          <w:highlight w:val="none"/>
          <w:u w:val="single"/>
        </w:rPr>
        <w:t>工程量报告，其他按通用条款执行</w:t>
      </w:r>
      <w:r>
        <w:rPr>
          <w:rFonts w:ascii="宋体" w:hAnsi="宋体" w:eastAsia="宋体"/>
          <w:color w:val="auto"/>
          <w:sz w:val="21"/>
          <w:szCs w:val="21"/>
          <w:highlight w:val="none"/>
        </w:rPr>
        <w:t>。</w:t>
      </w:r>
    </w:p>
    <w:p w14:paraId="138AEE9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12.3.3 单价合同的计量</w:t>
      </w:r>
    </w:p>
    <w:p w14:paraId="182527F5">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关于单价合同计量的约定：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1）计量的范围与要求</w:t>
      </w:r>
    </w:p>
    <w:p w14:paraId="501508C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①只能对工程量清单、变更工程、计日工等合同规定支付的项目计量，此范围以外的不得进行计量；</w:t>
      </w:r>
    </w:p>
    <w:p w14:paraId="02C4796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②计量必须严格按合同规定的方法、范围、内容、单位进行；</w:t>
      </w:r>
    </w:p>
    <w:p w14:paraId="49F339DC">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③工程质量未经检验或检验不合格的，不得计量；因承包人原因造成返工的工程量不予计量；</w:t>
      </w:r>
    </w:p>
    <w:p w14:paraId="418E394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④无论一般的和当地的习惯如何，除合同中另有规定，工程的计量应以净值为准。因此，属于承包人超出设计图纸范围的工程量不予计量；</w:t>
      </w:r>
    </w:p>
    <w:p w14:paraId="6EA5DF8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⑤按合同</w:t>
      </w:r>
      <w:r>
        <w:rPr>
          <w:rFonts w:ascii="宋体" w:hAnsi="宋体" w:eastAsia="宋体"/>
          <w:bCs/>
          <w:color w:val="auto"/>
          <w:sz w:val="21"/>
          <w:szCs w:val="21"/>
          <w:highlight w:val="none"/>
          <w:u w:val="single"/>
        </w:rPr>
        <w:t>5.3[ 隐蔽工程检查]、13.1[分部分项工程验收]条款的约定需计量的中间部位、隐蔽工程、拆除工程。</w:t>
      </w:r>
    </w:p>
    <w:p w14:paraId="3249F14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2）单价合同的计量</w:t>
      </w:r>
      <w:r>
        <w:rPr>
          <w:rFonts w:hint="eastAsia" w:ascii="宋体" w:hAnsi="宋体" w:eastAsia="宋体"/>
          <w:bCs/>
          <w:color w:val="auto"/>
          <w:sz w:val="21"/>
          <w:szCs w:val="21"/>
          <w:highlight w:val="none"/>
          <w:u w:val="single"/>
        </w:rPr>
        <w:t>方法</w:t>
      </w:r>
    </w:p>
    <w:p w14:paraId="0AAE0F9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①已标价工程量清单中的单价子目工程量为估算工程量。结算工程量是以竣工结算审计结论为准的承包人实际完成的，并按合同约定的计量方法进行计量的工程量</w:t>
      </w:r>
      <w:r>
        <w:rPr>
          <w:rFonts w:ascii="宋体" w:hAnsi="宋体" w:eastAsia="宋体"/>
          <w:bCs/>
          <w:color w:val="auto"/>
          <w:sz w:val="21"/>
          <w:szCs w:val="21"/>
          <w:highlight w:val="none"/>
          <w:u w:val="single"/>
        </w:rPr>
        <w:t xml:space="preserve"> 。</w:t>
      </w:r>
    </w:p>
    <w:p w14:paraId="7945920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②承包人对已完成的工程进行计量，向监理人提交进度付款申请单、已完成工程量报表和有关计量资料。</w:t>
      </w:r>
    </w:p>
    <w:p w14:paraId="3CA66D72">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p>
    <w:p w14:paraId="5E2BC36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④监理人认为有必要时，可通知承包人共同进行联合测量、计量，承包人应遵照执行。</w:t>
      </w:r>
    </w:p>
    <w:p w14:paraId="3B366F3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p>
    <w:p w14:paraId="25421AFC">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⑥监理人应在收到承包人提交的工程量报表后的</w:t>
      </w:r>
      <w:r>
        <w:rPr>
          <w:rFonts w:ascii="宋体" w:hAnsi="宋体" w:eastAsia="宋体"/>
          <w:bCs/>
          <w:color w:val="auto"/>
          <w:sz w:val="21"/>
          <w:szCs w:val="21"/>
          <w:highlight w:val="none"/>
          <w:u w:val="single"/>
        </w:rPr>
        <w:t>7天内进行复核，监理人未在约定时间内复核的，承包人提交的工程量报表中的工程量视为</w:t>
      </w:r>
      <w:r>
        <w:rPr>
          <w:rFonts w:hint="eastAsia" w:ascii="宋体" w:hAnsi="宋体" w:eastAsia="宋体"/>
          <w:bCs/>
          <w:color w:val="auto"/>
          <w:sz w:val="21"/>
          <w:szCs w:val="21"/>
          <w:highlight w:val="none"/>
          <w:u w:val="single"/>
        </w:rPr>
        <w:t>承包人实际完成的估算工程量，据此计算工程进度款。</w:t>
      </w:r>
    </w:p>
    <w:p w14:paraId="1B57E09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⑦承包人未在已标价工程量清单中填入单价或总额价的工程子目，将被认为其已包含在本合同的其他子目的单价和总额价中，发包人将不另行支付。</w:t>
      </w:r>
    </w:p>
    <w:p w14:paraId="0F5BE5A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⑧监理人、发包人所确认的工程量只是支付进度款的依据，不能作为竣工结算时承包人实际完成的工程量的依据，结算工程量以竣工结算的审计结论为准</w:t>
      </w:r>
      <w:r>
        <w:rPr>
          <w:rFonts w:ascii="宋体" w:hAnsi="宋体" w:eastAsia="宋体"/>
          <w:color w:val="auto"/>
          <w:sz w:val="21"/>
          <w:szCs w:val="21"/>
          <w:highlight w:val="none"/>
        </w:rPr>
        <w:t>。</w:t>
      </w:r>
    </w:p>
    <w:p w14:paraId="2C3F9D3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12.3.4 总价合同的计量</w:t>
      </w:r>
    </w:p>
    <w:p w14:paraId="0237E9B9">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关于总价合同计量的约定：</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27A6C9B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12.3.5总价合同采用支付分解表计量支付的，是否适用第</w:t>
      </w:r>
      <w:r>
        <w:rPr>
          <w:rFonts w:ascii="宋体" w:hAnsi="宋体" w:eastAsia="宋体"/>
          <w:color w:val="auto"/>
          <w:kern w:val="0"/>
          <w:sz w:val="21"/>
          <w:szCs w:val="21"/>
          <w:highlight w:val="none"/>
        </w:rPr>
        <w:t xml:space="preserve">12.3.4 </w:t>
      </w:r>
      <w:r>
        <w:rPr>
          <w:rFonts w:ascii="宋体" w:hAnsi="宋体" w:eastAsia="宋体"/>
          <w:color w:val="auto"/>
          <w:sz w:val="21"/>
          <w:szCs w:val="21"/>
          <w:highlight w:val="none"/>
        </w:rPr>
        <w:t>项</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总价合同的计量</w:t>
      </w:r>
      <w:r>
        <w:rPr>
          <w:rFonts w:hint="eastAsia" w:ascii="宋体" w:hAnsi="宋体" w:eastAsia="宋体"/>
          <w:color w:val="auto"/>
          <w:kern w:val="0"/>
          <w:sz w:val="21"/>
          <w:szCs w:val="21"/>
          <w:highlight w:val="none"/>
        </w:rPr>
        <w:t>〕</w:t>
      </w:r>
      <w:r>
        <w:rPr>
          <w:rFonts w:ascii="宋体" w:hAnsi="宋体" w:eastAsia="宋体"/>
          <w:color w:val="auto"/>
          <w:sz w:val="21"/>
          <w:szCs w:val="21"/>
          <w:highlight w:val="none"/>
        </w:rPr>
        <w:t>约定</w:t>
      </w:r>
      <w:r>
        <w:rPr>
          <w:rFonts w:hint="eastAsia" w:ascii="宋体" w:hAnsi="宋体" w:eastAsia="宋体"/>
          <w:color w:val="auto"/>
          <w:sz w:val="21"/>
          <w:szCs w:val="21"/>
          <w:highlight w:val="none"/>
        </w:rPr>
        <w:t>进行计量：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45F9D50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12.3.6 其他价格形式合同的计量</w:t>
      </w:r>
    </w:p>
    <w:p w14:paraId="7E29FE9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其他价格形式的计量方式和程序：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5D3750A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12.4 工程进度款支付</w:t>
      </w:r>
    </w:p>
    <w:p w14:paraId="664776B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12.4.1 付款周期</w:t>
      </w:r>
    </w:p>
    <w:p w14:paraId="50990AC6">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关于付款周期的约定：</w:t>
      </w:r>
      <w:r>
        <w:rPr>
          <w:rFonts w:hint="eastAsia" w:ascii="宋体" w:hAnsi="宋体" w:eastAsia="宋体"/>
          <w:bCs/>
          <w:color w:val="auto"/>
          <w:sz w:val="21"/>
          <w:szCs w:val="21"/>
          <w:highlight w:val="none"/>
          <w:u w:val="single"/>
        </w:rPr>
        <w:t>双方约定本工程按照以下工程款</w:t>
      </w:r>
      <w:r>
        <w:rPr>
          <w:rFonts w:ascii="宋体" w:hAnsi="宋体" w:eastAsia="宋体"/>
          <w:bCs/>
          <w:color w:val="auto"/>
          <w:sz w:val="21"/>
          <w:szCs w:val="21"/>
          <w:highlight w:val="none"/>
          <w:u w:val="single"/>
        </w:rPr>
        <w:t>(进度款)支付的方式和时间执行：</w:t>
      </w:r>
    </w:p>
    <w:p w14:paraId="361BBF0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12.4.2 进度付款申请单的编制</w:t>
      </w:r>
    </w:p>
    <w:p w14:paraId="0E5DA73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关于进度付款申请单编制的约定：</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710E8BC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12.4.3 进度付款申请单的提交</w:t>
      </w:r>
    </w:p>
    <w:p w14:paraId="2062B72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（1）单价合同进度付款申请单提交的约定</w:t>
      </w: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F61FCE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（2）总价合同进度付款申请单提交的约定</w:t>
      </w: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18FD4B1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（3）其他价格形式合同进度付款申请单提交的约定：</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1A2C560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12.4.4 进度款审核和支付</w:t>
      </w:r>
    </w:p>
    <w:p w14:paraId="5B754542">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（1）监理人审查并报送发包人的期限：</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54C29B7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发包人完成审批并签发进度款支付证书的期限：</w:t>
      </w:r>
      <w:r>
        <w:rPr>
          <w:rFonts w:ascii="宋体" w:hAnsi="宋体" w:eastAsia="宋体"/>
          <w:bCs/>
          <w:color w:val="auto"/>
          <w:sz w:val="21"/>
          <w:szCs w:val="21"/>
          <w:highlight w:val="none"/>
          <w:u w:val="single"/>
        </w:rPr>
        <w:t>14天内</w:t>
      </w:r>
      <w:r>
        <w:rPr>
          <w:rFonts w:ascii="宋体" w:hAnsi="宋体" w:eastAsia="宋体"/>
          <w:color w:val="auto"/>
          <w:sz w:val="21"/>
          <w:szCs w:val="21"/>
          <w:highlight w:val="none"/>
        </w:rPr>
        <w:t>。</w:t>
      </w:r>
    </w:p>
    <w:p w14:paraId="22A8F66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（2）发包人支付进度款的期限：</w:t>
      </w:r>
      <w:r>
        <w:rPr>
          <w:rFonts w:ascii="宋体" w:hAnsi="宋体" w:eastAsia="宋体"/>
          <w:bCs/>
          <w:color w:val="auto"/>
          <w:sz w:val="21"/>
          <w:szCs w:val="21"/>
          <w:highlight w:val="none"/>
          <w:u w:val="single"/>
        </w:rPr>
        <w:t>14天内</w:t>
      </w:r>
      <w:r>
        <w:rPr>
          <w:rFonts w:ascii="宋体" w:hAnsi="宋体" w:eastAsia="宋体"/>
          <w:color w:val="auto"/>
          <w:sz w:val="21"/>
          <w:szCs w:val="21"/>
          <w:highlight w:val="none"/>
        </w:rPr>
        <w:t>。</w:t>
      </w:r>
    </w:p>
    <w:p w14:paraId="3CD1FB9A">
      <w:pPr>
        <w:spacing w:line="360" w:lineRule="auto"/>
        <w:ind w:firstLine="525" w:firstLineChars="25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发包人逾期支付进度款的违约金的计算方式：</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4A5AACC6">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12.4.6 支付分解表的编制</w:t>
      </w:r>
    </w:p>
    <w:p w14:paraId="1E9ED4E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2、总价合同支付分解表的编制与审批：</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477800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3、单价合同的总价项目支付分解表的编制与审批：</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749B671">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13.</w:t>
      </w:r>
      <w:r>
        <w:rPr>
          <w:rFonts w:hint="eastAsia" w:ascii="Calibri" w:hAnsi="Calibri" w:eastAsia="黑体"/>
          <w:color w:val="auto"/>
          <w:sz w:val="28"/>
          <w:highlight w:val="none"/>
        </w:rPr>
        <w:t xml:space="preserve"> </w:t>
      </w:r>
      <w:r>
        <w:rPr>
          <w:rFonts w:ascii="Calibri" w:hAnsi="Calibri" w:eastAsia="黑体"/>
          <w:color w:val="auto"/>
          <w:sz w:val="28"/>
          <w:highlight w:val="none"/>
        </w:rPr>
        <w:t>验收和工程试车</w:t>
      </w:r>
    </w:p>
    <w:p w14:paraId="2A69FAD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13.1 分部分项工程验收</w:t>
      </w:r>
    </w:p>
    <w:p w14:paraId="744D54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13.1.2监理人不能按时进行验收时，应提前</w:t>
      </w:r>
      <w:r>
        <w:rPr>
          <w:rFonts w:ascii="宋体" w:hAnsi="宋体" w:eastAsia="宋体"/>
          <w:bCs/>
          <w:color w:val="auto"/>
          <w:sz w:val="21"/>
          <w:szCs w:val="21"/>
          <w:highlight w:val="none"/>
          <w:u w:val="single"/>
        </w:rPr>
        <w:t>24</w:t>
      </w:r>
      <w:r>
        <w:rPr>
          <w:rFonts w:ascii="宋体" w:hAnsi="宋体" w:eastAsia="宋体"/>
          <w:color w:val="auto"/>
          <w:sz w:val="21"/>
          <w:szCs w:val="21"/>
          <w:highlight w:val="none"/>
        </w:rPr>
        <w:t>小时提交书面延期要求。</w:t>
      </w:r>
    </w:p>
    <w:p w14:paraId="7D01E7F6">
      <w:pPr>
        <w:spacing w:line="360" w:lineRule="auto"/>
        <w:ind w:firstLine="420" w:firstLineChars="200"/>
        <w:jc w:val="left"/>
        <w:rPr>
          <w:rFonts w:ascii="宋体" w:hAnsi="宋体" w:eastAsia="宋体"/>
          <w:b/>
          <w:color w:val="auto"/>
          <w:sz w:val="21"/>
          <w:szCs w:val="21"/>
          <w:highlight w:val="none"/>
        </w:rPr>
      </w:pPr>
      <w:r>
        <w:rPr>
          <w:rFonts w:ascii="宋体" w:hAnsi="宋体" w:eastAsia="宋体"/>
          <w:color w:val="auto"/>
          <w:sz w:val="21"/>
          <w:szCs w:val="21"/>
          <w:highlight w:val="none"/>
        </w:rPr>
        <w:t>关于延期最长不得超过：</w:t>
      </w:r>
      <w:r>
        <w:rPr>
          <w:rFonts w:ascii="宋体" w:hAnsi="宋体" w:eastAsia="宋体"/>
          <w:bCs/>
          <w:color w:val="auto"/>
          <w:sz w:val="21"/>
          <w:szCs w:val="21"/>
          <w:highlight w:val="none"/>
          <w:u w:val="single"/>
        </w:rPr>
        <w:t>48</w:t>
      </w:r>
      <w:r>
        <w:rPr>
          <w:rFonts w:ascii="宋体" w:hAnsi="宋体" w:eastAsia="宋体"/>
          <w:color w:val="auto"/>
          <w:sz w:val="21"/>
          <w:szCs w:val="21"/>
          <w:highlight w:val="none"/>
        </w:rPr>
        <w:t>小时。</w:t>
      </w:r>
    </w:p>
    <w:p w14:paraId="0A7F3E9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13.2 竣工验收</w:t>
      </w:r>
    </w:p>
    <w:p w14:paraId="229FD4C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13.2.2竣工验收程序</w:t>
      </w:r>
    </w:p>
    <w:p w14:paraId="75DDC26A">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kern w:val="0"/>
          <w:sz w:val="21"/>
          <w:szCs w:val="21"/>
          <w:highlight w:val="none"/>
        </w:rPr>
        <w:t>关于竣工验收程序的约定：</w:t>
      </w:r>
      <w:r>
        <w:rPr>
          <w:rFonts w:hint="eastAsia" w:ascii="宋体" w:hAnsi="宋体" w:eastAsia="宋体"/>
          <w:bCs/>
          <w:color w:val="auto"/>
          <w:sz w:val="21"/>
          <w:szCs w:val="21"/>
          <w:highlight w:val="none"/>
          <w:u w:val="single"/>
        </w:rPr>
        <w:t>按通用条款执行，并符合下列要求：</w:t>
      </w:r>
    </w:p>
    <w:p w14:paraId="315E3231">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p>
    <w:p w14:paraId="6ED8A009">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宋体" w:hAnsi="宋体" w:eastAsia="宋体"/>
          <w:bCs/>
          <w:color w:val="auto"/>
          <w:sz w:val="21"/>
          <w:szCs w:val="21"/>
          <w:highlight w:val="none"/>
          <w:u w:val="single"/>
        </w:rPr>
        <w:t>用，完成后再次申报。</w:t>
      </w:r>
    </w:p>
    <w:p w14:paraId="6176BBFA">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3、承包人提供竣工图的约定：</w:t>
      </w:r>
      <w:r>
        <w:rPr>
          <w:rFonts w:hint="eastAsia" w:ascii="宋体" w:hAnsi="宋体" w:eastAsia="宋体"/>
          <w:bCs/>
          <w:color w:val="auto"/>
          <w:sz w:val="21"/>
          <w:szCs w:val="21"/>
          <w:highlight w:val="none"/>
          <w:u w:val="single"/>
        </w:rPr>
        <w:t>工程竣工验收合格之日起30日内提供能够反映各类变更和工程实际情况的竣工图叁套，包含电子稿</w:t>
      </w:r>
      <w:r>
        <w:rPr>
          <w:rFonts w:ascii="宋体" w:hAnsi="宋体" w:eastAsia="宋体"/>
          <w:bCs/>
          <w:color w:val="auto"/>
          <w:sz w:val="21"/>
          <w:szCs w:val="21"/>
          <w:highlight w:val="none"/>
          <w:u w:val="single"/>
        </w:rPr>
        <w:t>。</w:t>
      </w:r>
    </w:p>
    <w:p w14:paraId="38E4C755">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4、竣工交付使用的过程必须符合下列要求：</w:t>
      </w:r>
    </w:p>
    <w:p w14:paraId="11AF1592">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A、完成设计图和施工合同规定的工作内容，达到国家规定的竣工验收条件。工程质量应符合国家现行的有关法律、法规、技术标准、设计文件及合同规定的要求。</w:t>
      </w:r>
    </w:p>
    <w:p w14:paraId="5F7618F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B、工程所用的设备和主材料、构配件具有产品质量</w:t>
      </w:r>
      <w:r>
        <w:rPr>
          <w:rFonts w:hint="eastAsia" w:ascii="宋体" w:hAnsi="宋体" w:eastAsia="宋体"/>
          <w:bCs/>
          <w:color w:val="auto"/>
          <w:sz w:val="21"/>
          <w:szCs w:val="21"/>
          <w:highlight w:val="none"/>
          <w:u w:val="single"/>
          <w:lang w:eastAsia="zh-CN"/>
        </w:rPr>
        <w:t>出厂</w:t>
      </w:r>
      <w:r>
        <w:rPr>
          <w:rFonts w:ascii="宋体" w:hAnsi="宋体" w:eastAsia="宋体"/>
          <w:bCs/>
          <w:color w:val="auto"/>
          <w:sz w:val="21"/>
          <w:szCs w:val="21"/>
          <w:highlight w:val="none"/>
          <w:u w:val="single"/>
        </w:rPr>
        <w:t>检验</w:t>
      </w:r>
      <w:r>
        <w:rPr>
          <w:rFonts w:hint="eastAsia" w:ascii="宋体" w:hAnsi="宋体" w:eastAsia="宋体"/>
          <w:bCs/>
          <w:color w:val="auto"/>
          <w:sz w:val="21"/>
          <w:szCs w:val="21"/>
          <w:highlight w:val="none"/>
          <w:u w:val="single"/>
        </w:rPr>
        <w:t>合格证明、技术标准、必要的进场试验报告，并达到相应的验收标准。</w:t>
      </w:r>
    </w:p>
    <w:p w14:paraId="1D65C0D7">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C、具有完整的工程技术档案和</w:t>
      </w:r>
      <w:r>
        <w:rPr>
          <w:rFonts w:hint="eastAsia" w:ascii="宋体" w:hAnsi="宋体" w:eastAsia="宋体"/>
          <w:bCs/>
          <w:color w:val="auto"/>
          <w:sz w:val="21"/>
          <w:szCs w:val="21"/>
          <w:highlight w:val="none"/>
          <w:u w:val="single"/>
        </w:rPr>
        <w:t>竣工图</w:t>
      </w:r>
      <w:r>
        <w:rPr>
          <w:rFonts w:ascii="宋体" w:hAnsi="宋体" w:eastAsia="宋体"/>
          <w:bCs/>
          <w:color w:val="auto"/>
          <w:sz w:val="21"/>
          <w:szCs w:val="21"/>
          <w:highlight w:val="none"/>
          <w:u w:val="single"/>
        </w:rPr>
        <w:t>，已办理工程竣工交付使用的有关手续。</w:t>
      </w:r>
    </w:p>
    <w:p w14:paraId="25F7CEC3">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D、已签署工程保修书。</w:t>
      </w:r>
    </w:p>
    <w:p w14:paraId="646D90FD">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5、工程竣工验收一次性通过，承包人送交竣工验收报告的日期为实际竣工日期。工程首次验收</w:t>
      </w:r>
      <w:r>
        <w:rPr>
          <w:rFonts w:hint="eastAsia" w:ascii="宋体" w:hAnsi="宋体" w:eastAsia="宋体"/>
          <w:bCs/>
          <w:color w:val="auto"/>
          <w:sz w:val="21"/>
          <w:szCs w:val="21"/>
          <w:highlight w:val="none"/>
          <w:u w:val="single"/>
        </w:rPr>
        <w:t>未通过</w:t>
      </w:r>
      <w:r>
        <w:rPr>
          <w:rFonts w:ascii="宋体" w:hAnsi="宋体" w:eastAsia="宋体"/>
          <w:bCs/>
          <w:color w:val="auto"/>
          <w:sz w:val="21"/>
          <w:szCs w:val="21"/>
          <w:highlight w:val="none"/>
          <w:u w:val="single"/>
        </w:rPr>
        <w:t>，实际竣工日期为承包人整改后</w:t>
      </w:r>
      <w:r>
        <w:rPr>
          <w:rFonts w:hint="eastAsia" w:ascii="宋体" w:hAnsi="宋体" w:eastAsia="宋体"/>
          <w:bCs/>
          <w:color w:val="auto"/>
          <w:sz w:val="21"/>
          <w:szCs w:val="21"/>
          <w:highlight w:val="none"/>
          <w:u w:val="single"/>
        </w:rPr>
        <w:t>再次验收合格之日</w:t>
      </w:r>
      <w:r>
        <w:rPr>
          <w:rFonts w:ascii="宋体" w:hAnsi="宋体" w:eastAsia="宋体"/>
          <w:bCs/>
          <w:color w:val="auto"/>
          <w:sz w:val="21"/>
          <w:szCs w:val="21"/>
          <w:highlight w:val="none"/>
          <w:u w:val="single"/>
        </w:rPr>
        <w:t>。</w:t>
      </w:r>
    </w:p>
    <w:p w14:paraId="25BF4EF1">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发包人不按照本项约定组织竣工验收、颁发工程</w:t>
      </w:r>
      <w:r>
        <w:rPr>
          <w:rFonts w:hint="eastAsia" w:ascii="宋体" w:hAnsi="宋体" w:eastAsia="宋体"/>
          <w:color w:val="auto"/>
          <w:kern w:val="0"/>
          <w:sz w:val="21"/>
          <w:szCs w:val="21"/>
          <w:highlight w:val="none"/>
          <w:lang w:val="en-US" w:eastAsia="zh-CN"/>
        </w:rPr>
        <w:t>验</w:t>
      </w:r>
      <w:r>
        <w:rPr>
          <w:rFonts w:ascii="宋体" w:hAnsi="宋体" w:eastAsia="宋体"/>
          <w:color w:val="auto"/>
          <w:kern w:val="0"/>
          <w:sz w:val="21"/>
          <w:szCs w:val="21"/>
          <w:highlight w:val="none"/>
        </w:rPr>
        <w:t>收证书的违约金的计算方法：</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7879855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13.2.5移交、接收全部与部分工程</w:t>
      </w:r>
    </w:p>
    <w:p w14:paraId="508602E0">
      <w:pPr>
        <w:spacing w:line="360" w:lineRule="auto"/>
        <w:ind w:firstLine="420" w:firstLineChars="200"/>
        <w:jc w:val="left"/>
        <w:rPr>
          <w:rFonts w:hint="eastAsia" w:ascii="宋体" w:hAnsi="宋体" w:eastAsia="宋体"/>
          <w:color w:val="auto"/>
          <w:kern w:val="0"/>
          <w:sz w:val="21"/>
          <w:szCs w:val="21"/>
          <w:highlight w:val="none"/>
        </w:rPr>
      </w:pPr>
      <w:r>
        <w:rPr>
          <w:rFonts w:hint="eastAsia" w:ascii="宋体" w:hAnsi="宋体" w:eastAsia="宋体"/>
          <w:color w:val="auto"/>
          <w:kern w:val="0"/>
          <w:sz w:val="21"/>
          <w:szCs w:val="21"/>
          <w:highlight w:val="none"/>
        </w:rPr>
        <w:t>承包人向发包人移交工程的期限：</w:t>
      </w:r>
      <w:r>
        <w:rPr>
          <w:rFonts w:hint="eastAsia" w:ascii="宋体" w:hAnsi="宋体" w:eastAsia="宋体"/>
          <w:bCs/>
          <w:color w:val="auto"/>
          <w:sz w:val="21"/>
          <w:szCs w:val="21"/>
          <w:highlight w:val="none"/>
          <w:u w:val="single"/>
        </w:rPr>
        <w:t>按照发包人要求，或竣工验收合格后</w:t>
      </w:r>
      <w:r>
        <w:rPr>
          <w:rFonts w:ascii="宋体" w:hAnsi="宋体" w:eastAsia="宋体"/>
          <w:bCs/>
          <w:color w:val="auto"/>
          <w:sz w:val="21"/>
          <w:szCs w:val="21"/>
          <w:highlight w:val="none"/>
          <w:u w:val="single"/>
        </w:rPr>
        <w:t>28天内</w:t>
      </w:r>
      <w:r>
        <w:rPr>
          <w:rFonts w:hint="eastAsia" w:ascii="宋体" w:hAnsi="宋体" w:eastAsia="宋体"/>
          <w:color w:val="auto"/>
          <w:sz w:val="21"/>
          <w:szCs w:val="21"/>
          <w:highlight w:val="none"/>
        </w:rPr>
        <w:t>。</w:t>
      </w:r>
    </w:p>
    <w:p w14:paraId="23502B87">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kern w:val="0"/>
          <w:sz w:val="21"/>
          <w:szCs w:val="21"/>
          <w:highlight w:val="none"/>
        </w:rPr>
        <w:t>发包人未按本合同约定接收全部或部分工程的，违约金的计算方法为：</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0E9353C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承包人未按时移交工程的，违约金的计算方法为：</w:t>
      </w:r>
      <w:r>
        <w:rPr>
          <w:rFonts w:hint="eastAsia" w:ascii="宋体" w:hAnsi="宋体" w:eastAsia="宋体"/>
          <w:bCs/>
          <w:color w:val="auto"/>
          <w:sz w:val="21"/>
          <w:szCs w:val="21"/>
          <w:highlight w:val="none"/>
          <w:u w:val="single"/>
        </w:rPr>
        <w:t>按</w:t>
      </w:r>
      <w:r>
        <w:rPr>
          <w:rFonts w:ascii="宋体" w:hAnsi="宋体" w:eastAsia="宋体"/>
          <w:bCs/>
          <w:color w:val="auto"/>
          <w:sz w:val="21"/>
          <w:szCs w:val="21"/>
          <w:highlight w:val="none"/>
          <w:u w:val="single"/>
        </w:rPr>
        <w:t>2000元/天支付违约金</w:t>
      </w:r>
      <w:r>
        <w:rPr>
          <w:rFonts w:ascii="宋体" w:hAnsi="宋体" w:eastAsia="宋体"/>
          <w:color w:val="auto"/>
          <w:sz w:val="21"/>
          <w:szCs w:val="21"/>
          <w:highlight w:val="none"/>
        </w:rPr>
        <w:t>。</w:t>
      </w:r>
    </w:p>
    <w:p w14:paraId="0F8A07C5">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13.3 工程试车</w:t>
      </w:r>
      <w:r>
        <w:rPr>
          <w:rFonts w:hint="eastAsia" w:ascii="Calibri" w:hAnsi="Calibri" w:eastAsia="黑体"/>
          <w:color w:val="auto"/>
          <w:sz w:val="24"/>
          <w:szCs w:val="24"/>
          <w:highlight w:val="none"/>
        </w:rPr>
        <w:t>（如有）</w:t>
      </w:r>
    </w:p>
    <w:p w14:paraId="1135AA06">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13.3.1 试车程序</w:t>
      </w:r>
    </w:p>
    <w:p w14:paraId="7E5B639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工程试车内容：</w:t>
      </w:r>
      <w:r>
        <w:rPr>
          <w:rFonts w:hint="eastAsia" w:ascii="宋体" w:hAnsi="宋体" w:eastAsia="宋体"/>
          <w:bCs/>
          <w:color w:val="auto"/>
          <w:sz w:val="21"/>
          <w:szCs w:val="21"/>
          <w:highlight w:val="none"/>
          <w:u w:val="single"/>
        </w:rPr>
        <w:t>按验收要求</w:t>
      </w:r>
      <w:r>
        <w:rPr>
          <w:rFonts w:ascii="宋体" w:hAnsi="宋体" w:eastAsia="宋体"/>
          <w:color w:val="auto"/>
          <w:sz w:val="21"/>
          <w:szCs w:val="21"/>
          <w:highlight w:val="none"/>
        </w:rPr>
        <w:t>。</w:t>
      </w:r>
    </w:p>
    <w:p w14:paraId="1552442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（1）单机无负荷试车费用由</w:t>
      </w:r>
      <w:r>
        <w:rPr>
          <w:rFonts w:hint="eastAsia" w:ascii="宋体" w:hAnsi="宋体" w:eastAsia="宋体"/>
          <w:bCs/>
          <w:color w:val="auto"/>
          <w:sz w:val="21"/>
          <w:szCs w:val="21"/>
          <w:highlight w:val="none"/>
          <w:u w:val="single"/>
        </w:rPr>
        <w:t>承包人</w:t>
      </w:r>
      <w:r>
        <w:rPr>
          <w:rFonts w:ascii="宋体" w:hAnsi="宋体" w:eastAsia="宋体"/>
          <w:color w:val="auto"/>
          <w:kern w:val="0"/>
          <w:sz w:val="21"/>
          <w:szCs w:val="21"/>
          <w:highlight w:val="none"/>
        </w:rPr>
        <w:t>承担；</w:t>
      </w:r>
    </w:p>
    <w:p w14:paraId="615E145D">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（2）无负荷联动试车费用由</w:t>
      </w:r>
      <w:r>
        <w:rPr>
          <w:rFonts w:hint="eastAsia" w:ascii="宋体" w:hAnsi="宋体" w:eastAsia="宋体"/>
          <w:bCs/>
          <w:color w:val="auto"/>
          <w:sz w:val="21"/>
          <w:szCs w:val="21"/>
          <w:highlight w:val="none"/>
          <w:u w:val="single"/>
        </w:rPr>
        <w:t>承包人</w:t>
      </w:r>
      <w:r>
        <w:rPr>
          <w:rFonts w:ascii="宋体" w:hAnsi="宋体" w:eastAsia="宋体"/>
          <w:color w:val="auto"/>
          <w:kern w:val="0"/>
          <w:sz w:val="21"/>
          <w:szCs w:val="21"/>
          <w:highlight w:val="none"/>
        </w:rPr>
        <w:t>承担。</w:t>
      </w:r>
    </w:p>
    <w:p w14:paraId="62C1955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13.3.3 投料试车</w:t>
      </w:r>
    </w:p>
    <w:p w14:paraId="0988C09F">
      <w:pPr>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关于投料试车相关事项的约定：</w:t>
      </w:r>
      <w:r>
        <w:rPr>
          <w:rFonts w:hint="eastAsia" w:ascii="宋体" w:hAnsi="宋体" w:eastAsia="宋体"/>
          <w:bCs/>
          <w:color w:val="auto"/>
          <w:sz w:val="21"/>
          <w:szCs w:val="21"/>
          <w:highlight w:val="none"/>
          <w:u w:val="single"/>
        </w:rPr>
        <w:t>另行协商</w:t>
      </w:r>
      <w:r>
        <w:rPr>
          <w:rFonts w:ascii="宋体" w:hAnsi="宋体" w:eastAsia="宋体"/>
          <w:color w:val="auto"/>
          <w:sz w:val="21"/>
          <w:szCs w:val="21"/>
          <w:highlight w:val="none"/>
        </w:rPr>
        <w:t>。</w:t>
      </w:r>
    </w:p>
    <w:p w14:paraId="138CABA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13.6 竣工退场</w:t>
      </w:r>
    </w:p>
    <w:p w14:paraId="65494425">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13.6.1 竣工退场</w:t>
      </w:r>
    </w:p>
    <w:p w14:paraId="6272189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承包人完成竣工退场的期限：</w:t>
      </w:r>
      <w:r>
        <w:rPr>
          <w:rFonts w:hint="eastAsia" w:ascii="宋体" w:hAnsi="宋体" w:eastAsia="宋体"/>
          <w:bCs/>
          <w:color w:val="auto"/>
          <w:sz w:val="21"/>
          <w:szCs w:val="21"/>
          <w:highlight w:val="none"/>
          <w:u w:val="single"/>
        </w:rPr>
        <w:t>发包人颁发工程接收证书后</w:t>
      </w:r>
      <w:r>
        <w:rPr>
          <w:rFonts w:ascii="宋体" w:hAnsi="宋体" w:eastAsia="宋体"/>
          <w:bCs/>
          <w:color w:val="auto"/>
          <w:sz w:val="21"/>
          <w:szCs w:val="21"/>
          <w:highlight w:val="none"/>
          <w:u w:val="single"/>
        </w:rPr>
        <w:t>30天内</w:t>
      </w:r>
      <w:r>
        <w:rPr>
          <w:rFonts w:ascii="宋体" w:hAnsi="宋体" w:eastAsia="宋体"/>
          <w:color w:val="auto"/>
          <w:kern w:val="0"/>
          <w:sz w:val="21"/>
          <w:szCs w:val="21"/>
          <w:highlight w:val="none"/>
        </w:rPr>
        <w:t>。</w:t>
      </w:r>
    </w:p>
    <w:p w14:paraId="1A71E6CA">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14. 竣工结算</w:t>
      </w:r>
    </w:p>
    <w:p w14:paraId="15D9B52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14.1 竣工付款申请</w:t>
      </w:r>
    </w:p>
    <w:p w14:paraId="1D4B7F4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承包人提交竣工付款申请单的期限：</w:t>
      </w:r>
      <w:r>
        <w:rPr>
          <w:rFonts w:hint="eastAsia" w:ascii="宋体" w:hAnsi="宋体" w:eastAsia="宋体"/>
          <w:bCs/>
          <w:color w:val="auto"/>
          <w:sz w:val="21"/>
          <w:szCs w:val="21"/>
          <w:highlight w:val="none"/>
          <w:u w:val="single"/>
        </w:rPr>
        <w:t>竣工验收合格且承包人向发包人移交工程后</w:t>
      </w:r>
      <w:r>
        <w:rPr>
          <w:rFonts w:ascii="宋体" w:hAnsi="宋体" w:eastAsia="宋体"/>
          <w:bCs/>
          <w:color w:val="auto"/>
          <w:sz w:val="21"/>
          <w:szCs w:val="21"/>
          <w:highlight w:val="none"/>
          <w:u w:val="single"/>
        </w:rPr>
        <w:t>28天内</w:t>
      </w:r>
      <w:r>
        <w:rPr>
          <w:rFonts w:ascii="宋体" w:hAnsi="宋体" w:eastAsia="宋体"/>
          <w:color w:val="auto"/>
          <w:sz w:val="21"/>
          <w:szCs w:val="21"/>
          <w:highlight w:val="none"/>
        </w:rPr>
        <w:t>。</w:t>
      </w:r>
    </w:p>
    <w:p w14:paraId="70CB5E4D">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竣工付款申请单应包括的内容：</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1）竣工结算书原件、工程量计算书。</w:t>
      </w:r>
    </w:p>
    <w:p w14:paraId="0304A42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2）施工合同</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中标通知书复印件。</w:t>
      </w:r>
    </w:p>
    <w:p w14:paraId="01B555E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、招标答疑、投标文件。</w:t>
      </w:r>
    </w:p>
    <w:p w14:paraId="15B87D7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4）竣工图纸；</w:t>
      </w:r>
    </w:p>
    <w:p w14:paraId="70E5EAD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5）竣工资料原件（包括开竣工报告、分部分项工程验收记录以及材料检测等资料，经监理核查装订成册，拟报档案</w:t>
      </w:r>
      <w:r>
        <w:rPr>
          <w:rFonts w:hint="eastAsia" w:ascii="宋体" w:hAnsi="宋体" w:eastAsia="宋体"/>
          <w:bCs/>
          <w:color w:val="auto"/>
          <w:sz w:val="21"/>
          <w:szCs w:val="21"/>
          <w:highlight w:val="none"/>
          <w:u w:val="single"/>
          <w:lang w:val="en-US" w:eastAsia="zh-CN"/>
        </w:rPr>
        <w:t>馆</w:t>
      </w:r>
      <w:r>
        <w:rPr>
          <w:rFonts w:ascii="宋体" w:hAnsi="宋体" w:eastAsia="宋体"/>
          <w:bCs/>
          <w:color w:val="auto"/>
          <w:sz w:val="21"/>
          <w:szCs w:val="21"/>
          <w:highlight w:val="none"/>
          <w:u w:val="single"/>
        </w:rPr>
        <w:t>存档的资料）；</w:t>
      </w:r>
    </w:p>
    <w:p w14:paraId="0FC93FD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6）设计变更、工程签证、图纸会审、会议纪要等结算资料；</w:t>
      </w:r>
    </w:p>
    <w:p w14:paraId="6917E90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7）电子文件（包括投标报价、竣工结算书、施工图纸等）；</w:t>
      </w:r>
    </w:p>
    <w:p w14:paraId="77EDB104">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8）甲供材料结算单、水电费结算单（如有）</w:t>
      </w:r>
      <w:r>
        <w:rPr>
          <w:rFonts w:ascii="宋体" w:hAnsi="宋体" w:eastAsia="宋体"/>
          <w:color w:val="auto"/>
          <w:sz w:val="21"/>
          <w:szCs w:val="21"/>
          <w:highlight w:val="none"/>
        </w:rPr>
        <w:t>。</w:t>
      </w:r>
    </w:p>
    <w:p w14:paraId="0B77DAC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14.2 竣工结算审核</w:t>
      </w:r>
    </w:p>
    <w:p w14:paraId="1A1D9B0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竣工付款申请单的期限：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E571485">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发包人完成竣工付款的期限：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C522E85">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关于竣工付款证书异议部分复核的方式和程序：</w:t>
      </w:r>
      <w:r>
        <w:rPr>
          <w:rFonts w:hint="eastAsia" w:ascii="宋体" w:hAnsi="宋体" w:eastAsia="宋体"/>
          <w:b/>
          <w:color w:val="auto"/>
          <w:sz w:val="24"/>
          <w:highlight w:val="none"/>
          <w:u w:val="single"/>
        </w:rPr>
        <w:t>服务完成，经双方共同验收，合格后支付</w:t>
      </w:r>
      <w:r>
        <w:rPr>
          <w:rFonts w:hint="eastAsia" w:ascii="宋体" w:hAnsi="宋体" w:eastAsia="宋体"/>
          <w:b/>
          <w:color w:val="auto"/>
          <w:sz w:val="24"/>
          <w:highlight w:val="none"/>
          <w:u w:val="single"/>
          <w:lang w:val="en-US" w:eastAsia="zh-CN"/>
        </w:rPr>
        <w:t>剩余款项，</w:t>
      </w:r>
      <w:r>
        <w:rPr>
          <w:rFonts w:hint="eastAsia" w:ascii="宋体" w:hAnsi="宋体" w:eastAsia="宋体"/>
          <w:b/>
          <w:color w:val="auto"/>
          <w:sz w:val="24"/>
          <w:highlight w:val="none"/>
          <w:u w:val="single"/>
        </w:rPr>
        <w:t>以审计结论作为最终结算的依据，经合同双方确认无保修范围内的质量问题，待审计结束后支付。承包人需同意接受项目延伸审计</w:t>
      </w:r>
      <w:r>
        <w:rPr>
          <w:rFonts w:ascii="宋体" w:hAnsi="宋体" w:eastAsia="宋体"/>
          <w:color w:val="auto"/>
          <w:sz w:val="21"/>
          <w:szCs w:val="21"/>
          <w:highlight w:val="none"/>
        </w:rPr>
        <w:t>。</w:t>
      </w:r>
    </w:p>
    <w:p w14:paraId="04F5052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14.4 最终结清</w:t>
      </w:r>
    </w:p>
    <w:p w14:paraId="798189DC">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14.4.1 最终结清申请单</w:t>
      </w:r>
    </w:p>
    <w:p w14:paraId="4E2BC7AE">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承包人提交最终结清申请单的份数：</w:t>
      </w:r>
      <w:r>
        <w:rPr>
          <w:rFonts w:ascii="宋体" w:hAnsi="宋体" w:eastAsia="宋体"/>
          <w:bCs/>
          <w:color w:val="auto"/>
          <w:sz w:val="21"/>
          <w:szCs w:val="21"/>
          <w:highlight w:val="none"/>
          <w:u w:val="single"/>
        </w:rPr>
        <w:t>3</w:t>
      </w:r>
      <w:r>
        <w:rPr>
          <w:rFonts w:ascii="宋体" w:hAnsi="宋体" w:eastAsia="宋体"/>
          <w:color w:val="auto"/>
          <w:sz w:val="21"/>
          <w:szCs w:val="21"/>
          <w:highlight w:val="none"/>
        </w:rPr>
        <w:t>。</w:t>
      </w:r>
    </w:p>
    <w:p w14:paraId="6578A1E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承包人提交最终结算申请单的期限：</w:t>
      </w:r>
      <w:r>
        <w:rPr>
          <w:rFonts w:hint="eastAsia" w:ascii="宋体" w:hAnsi="宋体" w:eastAsia="宋体"/>
          <w:bCs/>
          <w:color w:val="auto"/>
          <w:sz w:val="21"/>
          <w:szCs w:val="21"/>
          <w:highlight w:val="none"/>
          <w:u w:val="single"/>
        </w:rPr>
        <w:t>质量缺陷期满后</w:t>
      </w:r>
      <w:r>
        <w:rPr>
          <w:rFonts w:ascii="宋体" w:hAnsi="宋体" w:eastAsia="宋体"/>
          <w:bCs/>
          <w:color w:val="auto"/>
          <w:sz w:val="21"/>
          <w:szCs w:val="21"/>
          <w:highlight w:val="none"/>
          <w:u w:val="single"/>
        </w:rPr>
        <w:t>56天内</w:t>
      </w:r>
      <w:r>
        <w:rPr>
          <w:rFonts w:ascii="宋体" w:hAnsi="宋体" w:eastAsia="宋体"/>
          <w:color w:val="auto"/>
          <w:sz w:val="21"/>
          <w:szCs w:val="21"/>
          <w:highlight w:val="none"/>
        </w:rPr>
        <w:t xml:space="preserve">。 </w:t>
      </w:r>
    </w:p>
    <w:p w14:paraId="6A2EB6A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14.4.2 最终结清证书和支付</w:t>
      </w:r>
    </w:p>
    <w:p w14:paraId="32DD781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（1）发包人完成最终结清申请单的</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并颁发最终结清证书的期限：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9D6392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（2）发包人完成支付的期限：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33B02AE">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15. 缺陷责任期与保修</w:t>
      </w:r>
    </w:p>
    <w:p w14:paraId="06D26C4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15.2缺陷责任期</w:t>
      </w:r>
    </w:p>
    <w:p w14:paraId="3EECA67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缺陷责任期的具体期限：</w:t>
      </w:r>
      <w:r>
        <w:rPr>
          <w:rFonts w:hint="eastAsia" w:ascii="宋体" w:hAnsi="宋体" w:eastAsia="宋体"/>
          <w:bCs/>
          <w:color w:val="auto"/>
          <w:sz w:val="21"/>
          <w:szCs w:val="21"/>
          <w:highlight w:val="none"/>
          <w:u w:val="single"/>
        </w:rPr>
        <w:t>缺陷责任期自实际竣工日期起</w:t>
      </w:r>
      <w:r>
        <w:rPr>
          <w:rFonts w:ascii="宋体" w:hAnsi="宋体" w:eastAsia="宋体"/>
          <w:bCs/>
          <w:color w:val="auto"/>
          <w:sz w:val="21"/>
          <w:szCs w:val="21"/>
          <w:highlight w:val="none"/>
          <w:u w:val="single"/>
        </w:rPr>
        <w:t>24个月</w:t>
      </w:r>
      <w:r>
        <w:rPr>
          <w:rFonts w:ascii="宋体" w:hAnsi="宋体" w:eastAsia="宋体"/>
          <w:color w:val="auto"/>
          <w:sz w:val="21"/>
          <w:szCs w:val="21"/>
          <w:highlight w:val="none"/>
        </w:rPr>
        <w:t>。</w:t>
      </w:r>
    </w:p>
    <w:p w14:paraId="21B73BD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15.4保修</w:t>
      </w:r>
    </w:p>
    <w:p w14:paraId="013777A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15.4.1 保修责任</w:t>
      </w:r>
    </w:p>
    <w:p w14:paraId="3F583B5D">
      <w:pPr>
        <w:spacing w:line="360" w:lineRule="auto"/>
        <w:ind w:firstLine="409" w:firstLineChars="195"/>
        <w:jc w:val="left"/>
        <w:rPr>
          <w:rFonts w:ascii="宋体" w:hAnsi="宋体" w:eastAsia="宋体"/>
          <w:color w:val="auto"/>
          <w:kern w:val="0"/>
          <w:sz w:val="21"/>
          <w:szCs w:val="21"/>
          <w:highlight w:val="none"/>
        </w:rPr>
      </w:pPr>
      <w:r>
        <w:rPr>
          <w:rFonts w:ascii="宋体" w:hAnsi="宋体" w:eastAsia="宋体"/>
          <w:color w:val="auto"/>
          <w:sz w:val="21"/>
          <w:szCs w:val="21"/>
          <w:highlight w:val="none"/>
        </w:rPr>
        <w:t>工程保修期为：</w:t>
      </w:r>
      <w:r>
        <w:rPr>
          <w:rFonts w:hint="eastAsia" w:ascii="宋体" w:hAnsi="宋体" w:eastAsia="宋体"/>
          <w:bCs/>
          <w:color w:val="auto"/>
          <w:sz w:val="21"/>
          <w:szCs w:val="21"/>
          <w:highlight w:val="none"/>
          <w:u w:val="single"/>
        </w:rPr>
        <w:t>按附件</w:t>
      </w:r>
      <w:r>
        <w:rPr>
          <w:rFonts w:ascii="宋体" w:hAnsi="宋体" w:eastAsia="宋体"/>
          <w:bCs/>
          <w:color w:val="auto"/>
          <w:sz w:val="21"/>
          <w:szCs w:val="21"/>
          <w:highlight w:val="none"/>
          <w:u w:val="single"/>
        </w:rPr>
        <w:t>《工程质量保修书》约定执行</w:t>
      </w:r>
      <w:r>
        <w:rPr>
          <w:rFonts w:ascii="宋体" w:hAnsi="宋体" w:eastAsia="宋体"/>
          <w:color w:val="auto"/>
          <w:kern w:val="0"/>
          <w:sz w:val="21"/>
          <w:szCs w:val="21"/>
          <w:highlight w:val="none"/>
        </w:rPr>
        <w:t>。</w:t>
      </w:r>
    </w:p>
    <w:p w14:paraId="26AD521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15.4.3 修复通知</w:t>
      </w:r>
    </w:p>
    <w:p w14:paraId="072DB97D">
      <w:pPr>
        <w:spacing w:line="360" w:lineRule="auto"/>
        <w:ind w:firstLine="409" w:firstLineChars="195"/>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承包人收到保修通知并到达工程现场的合理时间：</w:t>
      </w:r>
      <w:r>
        <w:rPr>
          <w:rFonts w:ascii="宋体" w:hAnsi="宋体" w:eastAsia="宋体"/>
          <w:bCs/>
          <w:color w:val="auto"/>
          <w:sz w:val="21"/>
          <w:szCs w:val="21"/>
          <w:highlight w:val="none"/>
          <w:u w:val="single"/>
        </w:rPr>
        <w:t>48小时内</w:t>
      </w:r>
      <w:r>
        <w:rPr>
          <w:rFonts w:ascii="宋体" w:hAnsi="宋体" w:eastAsia="宋体"/>
          <w:color w:val="auto"/>
          <w:kern w:val="0"/>
          <w:sz w:val="21"/>
          <w:szCs w:val="21"/>
          <w:highlight w:val="none"/>
        </w:rPr>
        <w:t>。</w:t>
      </w:r>
    </w:p>
    <w:p w14:paraId="06D770ED">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16. 违约</w:t>
      </w:r>
    </w:p>
    <w:p w14:paraId="6FA6BB8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16.1 发包人违约</w:t>
      </w:r>
    </w:p>
    <w:p w14:paraId="09885F7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16.1.1发包人违约的情形</w:t>
      </w:r>
    </w:p>
    <w:p w14:paraId="351B6C2A">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发包人违约的其他情形：</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15AB21D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16.1.2 发包人违约的责任</w:t>
      </w:r>
    </w:p>
    <w:p w14:paraId="6606E342">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发包人违约责任的承担方式和计算方法：</w:t>
      </w:r>
    </w:p>
    <w:p w14:paraId="22CA6FD6">
      <w:pPr>
        <w:spacing w:line="360" w:lineRule="auto"/>
        <w:ind w:firstLine="420" w:firstLineChars="200"/>
        <w:jc w:val="left"/>
        <w:rPr>
          <w:rFonts w:ascii="Calibri" w:hAnsi="Calibri" w:eastAsia="仿宋_GB2312"/>
          <w:color w:val="auto"/>
          <w:kern w:val="0"/>
          <w:sz w:val="21"/>
          <w:szCs w:val="21"/>
          <w:highlight w:val="none"/>
          <w:u w:val="single"/>
        </w:rPr>
      </w:pPr>
      <w:r>
        <w:rPr>
          <w:rFonts w:ascii="宋体" w:hAnsi="宋体" w:eastAsia="宋体"/>
          <w:color w:val="auto"/>
          <w:kern w:val="0"/>
          <w:sz w:val="21"/>
          <w:szCs w:val="21"/>
          <w:highlight w:val="none"/>
        </w:rPr>
        <w:t>（1）因发包人原因未能在计划开工日期前7天内下达开工通知的违约责任：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4260B89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（2）因发包人原因未能按合同约定支付合同价款的违约责任：</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684D6A57">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（3）发包人违反第10.1款</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变更的范围</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第（2）项约定，自行实施被取消的工作或转由他人实施的违约责任：</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0D873C96">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07E2A327">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（5）因发包人违反合同约定造成暂停施工的违约责任：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58336C4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（6）发包人无正当理由没有在约定期限内发出复工指示，导致承包人无法复工的违约责任：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5C1B0A98">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（7）</w:t>
      </w:r>
      <w:r>
        <w:rPr>
          <w:rFonts w:hint="eastAsia" w:ascii="宋体" w:hAnsi="宋体" w:eastAsia="宋体"/>
          <w:color w:val="auto"/>
          <w:kern w:val="0"/>
          <w:sz w:val="21"/>
          <w:szCs w:val="21"/>
          <w:highlight w:val="none"/>
        </w:rPr>
        <w:t>其他：</w:t>
      </w:r>
      <w:r>
        <w:rPr>
          <w:rFonts w:ascii="宋体" w:hAnsi="宋体" w:eastAsia="宋体"/>
          <w:bCs/>
          <w:color w:val="auto"/>
          <w:sz w:val="21"/>
          <w:szCs w:val="21"/>
          <w:highlight w:val="none"/>
          <w:u w:val="single"/>
        </w:rPr>
        <w:t>/</w:t>
      </w:r>
      <w:r>
        <w:rPr>
          <w:rFonts w:ascii="宋体" w:hAnsi="宋体" w:eastAsia="宋体"/>
          <w:color w:val="auto"/>
          <w:kern w:val="0"/>
          <w:sz w:val="21"/>
          <w:szCs w:val="21"/>
          <w:highlight w:val="none"/>
        </w:rPr>
        <w:t>。</w:t>
      </w:r>
    </w:p>
    <w:p w14:paraId="60AAEE5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16.1.3 因发包人违约解除合同</w:t>
      </w:r>
    </w:p>
    <w:p w14:paraId="470C3EC7">
      <w:pPr>
        <w:autoSpaceDE w:val="0"/>
        <w:autoSpaceDN w:val="0"/>
        <w:adjustRightInd w:val="0"/>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承包人按16.1.1项</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发包人违约的情形</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约定暂停施工满</w:t>
      </w:r>
      <w:r>
        <w:rPr>
          <w:rFonts w:ascii="宋体" w:hAnsi="宋体" w:eastAsia="宋体"/>
          <w:bCs/>
          <w:color w:val="auto"/>
          <w:sz w:val="21"/>
          <w:szCs w:val="21"/>
          <w:highlight w:val="none"/>
          <w:u w:val="single"/>
        </w:rPr>
        <w:t>56</w:t>
      </w:r>
      <w:r>
        <w:rPr>
          <w:rFonts w:ascii="宋体" w:hAnsi="宋体" w:eastAsia="宋体"/>
          <w:color w:val="auto"/>
          <w:kern w:val="0"/>
          <w:sz w:val="21"/>
          <w:szCs w:val="21"/>
          <w:highlight w:val="none"/>
        </w:rPr>
        <w:t>天后发包人仍不纠正其违约行为并致使合同目的不能实现的，承包人有权解除合同。</w:t>
      </w:r>
    </w:p>
    <w:p w14:paraId="337599B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16.2 承包人违约</w:t>
      </w:r>
    </w:p>
    <w:p w14:paraId="4E898FB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16.2.1 承包人违约的情形</w:t>
      </w:r>
    </w:p>
    <w:p w14:paraId="5DFD89D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承包人违约的其他情形：</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1）若发现承包人有违反施工图纸及相应技术规范或偷工减料的行为，发包人有权对承包人处以每次</w:t>
      </w:r>
      <w:r>
        <w:rPr>
          <w:rFonts w:hint="eastAsia" w:ascii="宋体" w:hAnsi="宋体" w:eastAsia="宋体"/>
          <w:bCs/>
          <w:color w:val="auto"/>
          <w:sz w:val="21"/>
          <w:szCs w:val="21"/>
          <w:highlight w:val="none"/>
          <w:u w:val="single"/>
        </w:rPr>
        <w:t>1</w:t>
      </w:r>
      <w:r>
        <w:rPr>
          <w:rFonts w:ascii="宋体" w:hAnsi="宋体" w:eastAsia="宋体"/>
          <w:bCs/>
          <w:color w:val="auto"/>
          <w:sz w:val="21"/>
          <w:szCs w:val="21"/>
          <w:highlight w:val="none"/>
          <w:u w:val="single"/>
        </w:rPr>
        <w:t>万元以下的罚款，承包人需无条件返工至设计图纸及相关现行规范要求；（2）若承包人延误提交竣工结算申请单，承包人按照1000元/天支付违约金；</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 xml:space="preserve">3）合同工期按承包人投标文件中的自报工期，如承包人原因延误工期，承包人应承担违约责任并向发包人支付赔偿费，赔偿费支付办法按合同工期延误一天赔偿 </w:t>
      </w:r>
      <w:r>
        <w:rPr>
          <w:rFonts w:hint="eastAsia" w:ascii="宋体" w:hAnsi="宋体" w:eastAsia="宋体"/>
          <w:bCs/>
          <w:color w:val="auto"/>
          <w:sz w:val="21"/>
          <w:szCs w:val="21"/>
          <w:highlight w:val="none"/>
          <w:u w:val="single"/>
        </w:rPr>
        <w:t>5</w:t>
      </w:r>
      <w:r>
        <w:rPr>
          <w:rFonts w:ascii="宋体" w:hAnsi="宋体" w:eastAsia="宋体"/>
          <w:bCs/>
          <w:color w:val="auto"/>
          <w:sz w:val="21"/>
          <w:szCs w:val="21"/>
          <w:highlight w:val="none"/>
          <w:u w:val="single"/>
        </w:rPr>
        <w:t>000元，并以合同总价的2%为限，支付赔偿费不能解除承包人应完成本工程的责任以及合同规定的其他相关责任；</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4）若工程首次</w:t>
      </w:r>
      <w:r>
        <w:rPr>
          <w:rFonts w:hint="eastAsia" w:ascii="宋体" w:hAnsi="宋体" w:eastAsia="宋体"/>
          <w:bCs/>
          <w:color w:val="auto"/>
          <w:sz w:val="21"/>
          <w:szCs w:val="21"/>
          <w:highlight w:val="none"/>
          <w:u w:val="single"/>
        </w:rPr>
        <w:t>竣工验收未通过，承包人必须按照发包人要求及相关规范、标准整改到位并承担合同总价的</w:t>
      </w:r>
      <w:r>
        <w:rPr>
          <w:rFonts w:ascii="宋体" w:hAnsi="宋体" w:eastAsia="宋体"/>
          <w:bCs/>
          <w:color w:val="auto"/>
          <w:sz w:val="21"/>
          <w:szCs w:val="21"/>
          <w:highlight w:val="none"/>
          <w:u w:val="single"/>
        </w:rPr>
        <w:t>0.1%的罚款，从工程竣工结算款中直接扣除</w:t>
      </w:r>
      <w:r>
        <w:rPr>
          <w:rFonts w:ascii="宋体" w:hAnsi="宋体" w:eastAsia="宋体"/>
          <w:color w:val="auto"/>
          <w:kern w:val="0"/>
          <w:sz w:val="21"/>
          <w:szCs w:val="21"/>
          <w:highlight w:val="none"/>
        </w:rPr>
        <w:t>。</w:t>
      </w:r>
    </w:p>
    <w:p w14:paraId="7BD59F51">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16.2.2承包人违约的责任</w:t>
      </w:r>
    </w:p>
    <w:p w14:paraId="0A4C367D">
      <w:pPr>
        <w:spacing w:line="360" w:lineRule="auto"/>
        <w:ind w:firstLine="420" w:firstLineChars="200"/>
        <w:jc w:val="left"/>
        <w:rPr>
          <w:rFonts w:ascii="Calibri" w:hAnsi="Calibri" w:eastAsia="仿宋_GB2312"/>
          <w:color w:val="auto"/>
          <w:kern w:val="0"/>
          <w:sz w:val="21"/>
          <w:szCs w:val="21"/>
          <w:highlight w:val="none"/>
          <w:u w:val="single"/>
        </w:rPr>
      </w:pPr>
      <w:r>
        <w:rPr>
          <w:rFonts w:ascii="宋体" w:hAnsi="宋体" w:eastAsia="宋体"/>
          <w:color w:val="auto"/>
          <w:kern w:val="0"/>
          <w:sz w:val="21"/>
          <w:szCs w:val="21"/>
          <w:highlight w:val="none"/>
        </w:rPr>
        <w:t>承包人违约责任的承担方式和计算方法：</w:t>
      </w:r>
      <w:r>
        <w:rPr>
          <w:rFonts w:hint="eastAsia" w:ascii="宋体" w:hAnsi="宋体" w:eastAsia="宋体"/>
          <w:bCs/>
          <w:color w:val="auto"/>
          <w:sz w:val="21"/>
          <w:szCs w:val="21"/>
          <w:highlight w:val="none"/>
          <w:u w:val="single"/>
        </w:rPr>
        <w:t>承包人承担因其违约行为给发包人造成的实际损失和延误的工期</w:t>
      </w:r>
      <w:r>
        <w:rPr>
          <w:rFonts w:ascii="宋体" w:hAnsi="宋体" w:eastAsia="宋体"/>
          <w:color w:val="auto"/>
          <w:kern w:val="0"/>
          <w:sz w:val="21"/>
          <w:szCs w:val="21"/>
          <w:highlight w:val="none"/>
        </w:rPr>
        <w:t>。</w:t>
      </w:r>
      <w:r>
        <w:rPr>
          <w:rFonts w:ascii="宋体" w:hAnsi="宋体" w:eastAsia="宋体"/>
          <w:color w:val="auto"/>
          <w:sz w:val="21"/>
          <w:szCs w:val="21"/>
          <w:highlight w:val="none"/>
        </w:rPr>
        <w:t xml:space="preserve">    </w:t>
      </w:r>
    </w:p>
    <w:p w14:paraId="741EC01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16.2.3 因承包人违约解除合同</w:t>
      </w:r>
    </w:p>
    <w:p w14:paraId="7FC9713D">
      <w:pPr>
        <w:spacing w:before="120" w:after="120"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关于承包人违约解除合同的特别约定：</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4AA5DFB1">
      <w:pPr>
        <w:spacing w:before="120" w:after="120"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w:t>
      </w:r>
      <w:r>
        <w:rPr>
          <w:rFonts w:hint="eastAsia" w:ascii="宋体" w:hAnsi="宋体" w:eastAsia="宋体"/>
          <w:color w:val="auto"/>
          <w:kern w:val="0"/>
          <w:sz w:val="21"/>
          <w:szCs w:val="21"/>
          <w:highlight w:val="none"/>
        </w:rPr>
        <w:t>继续</w:t>
      </w:r>
      <w:r>
        <w:rPr>
          <w:rFonts w:ascii="宋体" w:hAnsi="宋体" w:eastAsia="宋体"/>
          <w:color w:val="auto"/>
          <w:kern w:val="0"/>
          <w:sz w:val="21"/>
          <w:szCs w:val="21"/>
          <w:highlight w:val="none"/>
        </w:rPr>
        <w:t>使用承包人在施工现场的材料、设备、临时工程、承包人文件和由承包人或以其名义编制的其他文件</w:t>
      </w:r>
      <w:r>
        <w:rPr>
          <w:rFonts w:hint="eastAsia" w:ascii="宋体" w:hAnsi="宋体" w:eastAsia="宋体"/>
          <w:color w:val="auto"/>
          <w:kern w:val="0"/>
          <w:sz w:val="21"/>
          <w:szCs w:val="21"/>
          <w:highlight w:val="none"/>
        </w:rPr>
        <w:t>的费用承担方式</w:t>
      </w:r>
      <w:r>
        <w:rPr>
          <w:rFonts w:ascii="宋体" w:hAnsi="宋体" w:eastAsia="宋体"/>
          <w:color w:val="auto"/>
          <w:kern w:val="0"/>
          <w:sz w:val="21"/>
          <w:szCs w:val="21"/>
          <w:highlight w:val="none"/>
        </w:rPr>
        <w:t>：</w:t>
      </w:r>
      <w:r>
        <w:rPr>
          <w:rFonts w:hint="eastAsia" w:ascii="宋体" w:hAnsi="宋体" w:eastAsia="宋体"/>
          <w:bCs/>
          <w:color w:val="auto"/>
          <w:sz w:val="21"/>
          <w:szCs w:val="21"/>
          <w:highlight w:val="none"/>
          <w:u w:val="single"/>
        </w:rPr>
        <w:t>按通用条款执行</w:t>
      </w:r>
      <w:r>
        <w:rPr>
          <w:rFonts w:hint="eastAsia" w:ascii="宋体" w:hAnsi="宋体" w:eastAsia="宋体"/>
          <w:color w:val="auto"/>
          <w:kern w:val="0"/>
          <w:sz w:val="21"/>
          <w:szCs w:val="21"/>
          <w:highlight w:val="none"/>
        </w:rPr>
        <w:t>。</w:t>
      </w:r>
    </w:p>
    <w:p w14:paraId="666E1837">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 xml:space="preserve">17. 不可抗力 </w:t>
      </w:r>
    </w:p>
    <w:p w14:paraId="3D748838">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17.1 不可抗力的确认</w:t>
      </w:r>
    </w:p>
    <w:p w14:paraId="6F739923">
      <w:pPr>
        <w:spacing w:line="360" w:lineRule="auto"/>
        <w:ind w:firstLine="420" w:firstLineChars="200"/>
        <w:jc w:val="left"/>
        <w:rPr>
          <w:rFonts w:ascii="宋体" w:hAnsi="宋体" w:eastAsia="宋体"/>
          <w:color w:val="auto"/>
          <w:kern w:val="0"/>
          <w:sz w:val="21"/>
          <w:szCs w:val="21"/>
          <w:highlight w:val="none"/>
          <w:u w:val="single"/>
        </w:rPr>
      </w:pPr>
      <w:r>
        <w:rPr>
          <w:rFonts w:ascii="宋体" w:hAnsi="宋体" w:eastAsia="宋体"/>
          <w:color w:val="auto"/>
          <w:sz w:val="21"/>
          <w:szCs w:val="21"/>
          <w:highlight w:val="none"/>
        </w:rPr>
        <w:t>除通用合同条款约定的不可抗力事件之外，视为不可抗力的其他情形：</w:t>
      </w:r>
      <w:r>
        <w:rPr>
          <w:rFonts w:hint="eastAsia" w:ascii="宋体" w:hAnsi="宋体" w:eastAsia="宋体"/>
          <w:bCs/>
          <w:color w:val="auto"/>
          <w:sz w:val="21"/>
          <w:szCs w:val="21"/>
          <w:highlight w:val="none"/>
          <w:u w:val="single"/>
        </w:rPr>
        <w:t>空中飞行物体坠落或其他非发包人、承包人责任造成的爆炸、火灾，以及当地气象部门认定的</w:t>
      </w:r>
      <w:r>
        <w:rPr>
          <w:rFonts w:ascii="宋体" w:hAnsi="宋体" w:eastAsia="宋体"/>
          <w:bCs/>
          <w:color w:val="auto"/>
          <w:sz w:val="21"/>
          <w:szCs w:val="21"/>
          <w:highlight w:val="none"/>
          <w:u w:val="single"/>
        </w:rPr>
        <w:t>50年一遇风、雨、雪、洪</w:t>
      </w:r>
      <w:r>
        <w:rPr>
          <w:rFonts w:hint="eastAsia" w:ascii="宋体" w:hAnsi="宋体" w:eastAsia="宋体"/>
          <w:bCs/>
          <w:color w:val="auto"/>
          <w:sz w:val="21"/>
          <w:szCs w:val="21"/>
          <w:highlight w:val="none"/>
          <w:u w:val="single"/>
        </w:rPr>
        <w:t>水</w:t>
      </w:r>
      <w:r>
        <w:rPr>
          <w:rFonts w:ascii="宋体" w:hAnsi="宋体" w:eastAsia="宋体"/>
          <w:bCs/>
          <w:color w:val="auto"/>
          <w:sz w:val="21"/>
          <w:szCs w:val="21"/>
          <w:highlight w:val="none"/>
          <w:u w:val="single"/>
        </w:rPr>
        <w:t>、</w:t>
      </w:r>
      <w:r>
        <w:rPr>
          <w:rFonts w:hint="eastAsia" w:ascii="宋体" w:hAnsi="宋体" w:eastAsia="宋体"/>
          <w:bCs/>
          <w:color w:val="auto"/>
          <w:sz w:val="21"/>
          <w:szCs w:val="21"/>
          <w:highlight w:val="none"/>
          <w:u w:val="single"/>
        </w:rPr>
        <w:t>地</w:t>
      </w:r>
      <w:r>
        <w:rPr>
          <w:rFonts w:ascii="宋体" w:hAnsi="宋体" w:eastAsia="宋体"/>
          <w:bCs/>
          <w:color w:val="auto"/>
          <w:sz w:val="21"/>
          <w:szCs w:val="21"/>
          <w:highlight w:val="none"/>
          <w:u w:val="single"/>
        </w:rPr>
        <w:t>震等自然灾害</w:t>
      </w:r>
      <w:r>
        <w:rPr>
          <w:rFonts w:ascii="宋体" w:hAnsi="宋体" w:eastAsia="宋体"/>
          <w:color w:val="auto"/>
          <w:kern w:val="0"/>
          <w:sz w:val="21"/>
          <w:szCs w:val="21"/>
          <w:highlight w:val="none"/>
        </w:rPr>
        <w:t>。</w:t>
      </w:r>
    </w:p>
    <w:p w14:paraId="67846F4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17.4 因不可抗力解除合同</w:t>
      </w:r>
    </w:p>
    <w:p w14:paraId="1634FAF5">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合同解除后，发包人应在商定或确定发包人应支付款项后</w:t>
      </w:r>
      <w:r>
        <w:rPr>
          <w:rFonts w:ascii="宋体" w:hAnsi="宋体" w:eastAsia="宋体"/>
          <w:bCs/>
          <w:color w:val="auto"/>
          <w:sz w:val="21"/>
          <w:szCs w:val="21"/>
          <w:highlight w:val="none"/>
          <w:u w:val="single"/>
        </w:rPr>
        <w:t>28</w:t>
      </w:r>
      <w:r>
        <w:rPr>
          <w:rFonts w:ascii="宋体" w:hAnsi="宋体" w:eastAsia="宋体"/>
          <w:color w:val="auto"/>
          <w:sz w:val="21"/>
          <w:szCs w:val="21"/>
          <w:highlight w:val="none"/>
        </w:rPr>
        <w:t>天内完成款项的支付。</w:t>
      </w:r>
    </w:p>
    <w:p w14:paraId="509A6672">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18. 保险</w:t>
      </w:r>
    </w:p>
    <w:p w14:paraId="2EA5144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18.1 工程保险</w:t>
      </w:r>
    </w:p>
    <w:p w14:paraId="3EB9FDB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关于工程保险的特别约定：</w:t>
      </w:r>
      <w:r>
        <w:rPr>
          <w:rFonts w:hint="eastAsia" w:ascii="宋体" w:hAnsi="宋体" w:eastAsia="宋体"/>
          <w:bCs/>
          <w:color w:val="auto"/>
          <w:sz w:val="21"/>
          <w:szCs w:val="21"/>
          <w:highlight w:val="none"/>
          <w:u w:val="single"/>
        </w:rPr>
        <w:t>由承包人办理工程一切险和第三者责任险，并承担相应保费</w:t>
      </w:r>
      <w:r>
        <w:rPr>
          <w:rFonts w:ascii="宋体" w:hAnsi="宋体" w:eastAsia="宋体"/>
          <w:color w:val="auto"/>
          <w:kern w:val="0"/>
          <w:sz w:val="21"/>
          <w:szCs w:val="21"/>
          <w:highlight w:val="none"/>
        </w:rPr>
        <w:t>。</w:t>
      </w:r>
    </w:p>
    <w:p w14:paraId="45C7803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18.3 其他保险</w:t>
      </w:r>
    </w:p>
    <w:p w14:paraId="13BF53C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关于其他保险的约定：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1）承包人须依法对其应投保的人身、财产（包括但不限于对本工程施工作业人员的生命财产和施工机械设备）办理保险，并支付保险费用。</w:t>
      </w:r>
    </w:p>
    <w:p w14:paraId="5166FB8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305524F4">
      <w:pPr>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3）承包人须对本工程进行期间发生的</w:t>
      </w:r>
      <w:r>
        <w:rPr>
          <w:rFonts w:hint="eastAsia" w:ascii="宋体" w:hAnsi="宋体" w:eastAsia="宋体"/>
          <w:bCs/>
          <w:color w:val="auto"/>
          <w:sz w:val="21"/>
          <w:szCs w:val="21"/>
          <w:highlight w:val="none"/>
          <w:u w:val="single"/>
        </w:rPr>
        <w:t>与本工程有关的</w:t>
      </w:r>
      <w:r>
        <w:rPr>
          <w:rFonts w:ascii="宋体" w:hAnsi="宋体" w:eastAsia="宋体"/>
          <w:bCs/>
          <w:color w:val="auto"/>
          <w:sz w:val="21"/>
          <w:szCs w:val="21"/>
          <w:highlight w:val="none"/>
          <w:u w:val="single"/>
        </w:rPr>
        <w:t>人身伤亡及财产损坏负费用、损失、索偿或诉讼等法律责任，并保障发包人免负该等责任，除非有关</w:t>
      </w:r>
      <w:r>
        <w:rPr>
          <w:rFonts w:hint="eastAsia" w:ascii="宋体" w:hAnsi="宋体" w:eastAsia="宋体"/>
          <w:bCs/>
          <w:color w:val="auto"/>
          <w:sz w:val="21"/>
          <w:szCs w:val="21"/>
          <w:highlight w:val="none"/>
          <w:u w:val="single"/>
        </w:rPr>
        <w:t>伤亡是发包人所引致的</w:t>
      </w:r>
      <w:r>
        <w:rPr>
          <w:rFonts w:ascii="宋体" w:hAnsi="宋体" w:eastAsia="宋体"/>
          <w:color w:val="auto"/>
          <w:kern w:val="0"/>
          <w:sz w:val="21"/>
          <w:szCs w:val="21"/>
          <w:highlight w:val="none"/>
        </w:rPr>
        <w:t>。</w:t>
      </w:r>
    </w:p>
    <w:p w14:paraId="09BBF69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承包人是否应为其施工设备等办理财产保险：</w:t>
      </w:r>
      <w:r>
        <w:rPr>
          <w:rFonts w:hint="eastAsia" w:ascii="宋体" w:hAnsi="宋体" w:eastAsia="宋体"/>
          <w:bCs/>
          <w:color w:val="auto"/>
          <w:sz w:val="21"/>
          <w:szCs w:val="21"/>
          <w:highlight w:val="none"/>
          <w:u w:val="single"/>
        </w:rPr>
        <w:t>由承包人承担</w:t>
      </w:r>
      <w:r>
        <w:rPr>
          <w:rFonts w:ascii="宋体" w:hAnsi="宋体" w:eastAsia="宋体"/>
          <w:color w:val="auto"/>
          <w:sz w:val="21"/>
          <w:szCs w:val="21"/>
          <w:highlight w:val="none"/>
        </w:rPr>
        <w:t>。</w:t>
      </w:r>
    </w:p>
    <w:p w14:paraId="0CAF316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18.7 通知义务</w:t>
      </w:r>
    </w:p>
    <w:p w14:paraId="594A356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关于变更保险合同时的通知义务的约定：</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4705EF4">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20. 争议解决</w:t>
      </w:r>
    </w:p>
    <w:p w14:paraId="6437B53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20.3 争议评审</w:t>
      </w:r>
    </w:p>
    <w:p w14:paraId="60FD3923">
      <w:pPr>
        <w:spacing w:line="360" w:lineRule="auto"/>
        <w:ind w:left="185" w:leftChars="71" w:firstLine="315" w:firstLineChars="150"/>
        <w:jc w:val="left"/>
        <w:rPr>
          <w:rFonts w:ascii="宋体" w:hAnsi="宋体" w:eastAsia="宋体"/>
          <w:color w:val="auto"/>
          <w:sz w:val="21"/>
          <w:szCs w:val="21"/>
          <w:highlight w:val="none"/>
        </w:rPr>
      </w:pPr>
      <w:r>
        <w:rPr>
          <w:rFonts w:ascii="宋体" w:hAnsi="宋体" w:eastAsia="宋体"/>
          <w:color w:val="auto"/>
          <w:sz w:val="21"/>
          <w:szCs w:val="21"/>
          <w:highlight w:val="none"/>
        </w:rPr>
        <w:t>合同当事人是否同意将工程争议提交争议评审小组决</w:t>
      </w:r>
      <w:r>
        <w:rPr>
          <w:rFonts w:hint="eastAsia" w:ascii="宋体" w:hAnsi="宋体" w:eastAsia="宋体"/>
          <w:color w:val="auto"/>
          <w:sz w:val="21"/>
          <w:szCs w:val="21"/>
          <w:highlight w:val="none"/>
        </w:rPr>
        <w:t>定：</w:t>
      </w:r>
      <w:r>
        <w:rPr>
          <w:rFonts w:hint="eastAsia" w:ascii="宋体" w:hAnsi="宋体" w:eastAsia="宋体"/>
          <w:bCs/>
          <w:color w:val="auto"/>
          <w:sz w:val="21"/>
          <w:szCs w:val="21"/>
          <w:highlight w:val="none"/>
          <w:u w:val="single"/>
        </w:rPr>
        <w:t>不采用</w:t>
      </w:r>
      <w:r>
        <w:rPr>
          <w:rFonts w:hint="eastAsia" w:ascii="宋体" w:hAnsi="宋体" w:eastAsia="宋体"/>
          <w:color w:val="auto"/>
          <w:sz w:val="21"/>
          <w:szCs w:val="21"/>
          <w:highlight w:val="none"/>
        </w:rPr>
        <w:t xml:space="preserve">。  </w:t>
      </w:r>
    </w:p>
    <w:p w14:paraId="1447565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20.3.1 争议评审小组的确定</w:t>
      </w:r>
    </w:p>
    <w:p w14:paraId="5A729B4D">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争议评审小组成员的确定：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84533A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选定争议评审员的期限：</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629B7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争议评审小组成员的报酬承担方式：</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872DEF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其他事项的约定：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15E8FAC4">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20.3.2 争议评审小组的决定</w:t>
      </w:r>
    </w:p>
    <w:p w14:paraId="796169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合同当事人关于本项的约定：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152A768">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20.4仲裁或诉讼</w:t>
      </w:r>
    </w:p>
    <w:p w14:paraId="5090C255">
      <w:pPr>
        <w:spacing w:after="120"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因合同及合同有关事项发生的争议，按下列第</w:t>
      </w:r>
      <w:r>
        <w:rPr>
          <w:rFonts w:ascii="宋体" w:hAnsi="宋体" w:eastAsia="宋体"/>
          <w:bCs/>
          <w:color w:val="auto"/>
          <w:sz w:val="21"/>
          <w:szCs w:val="21"/>
          <w:highlight w:val="none"/>
          <w:u w:val="single"/>
        </w:rPr>
        <w:t>2</w:t>
      </w:r>
      <w:r>
        <w:rPr>
          <w:rFonts w:ascii="宋体" w:hAnsi="宋体" w:eastAsia="宋体"/>
          <w:color w:val="auto"/>
          <w:sz w:val="21"/>
          <w:szCs w:val="21"/>
          <w:highlight w:val="none"/>
        </w:rPr>
        <w:t>种方式</w:t>
      </w:r>
      <w:r>
        <w:rPr>
          <w:rFonts w:hint="eastAsia" w:ascii="宋体" w:hAnsi="宋体" w:eastAsia="宋体"/>
          <w:color w:val="auto"/>
          <w:sz w:val="21"/>
          <w:szCs w:val="21"/>
          <w:highlight w:val="none"/>
        </w:rPr>
        <w:t>解</w:t>
      </w:r>
      <w:r>
        <w:rPr>
          <w:rFonts w:ascii="宋体" w:hAnsi="宋体" w:eastAsia="宋体"/>
          <w:color w:val="auto"/>
          <w:sz w:val="21"/>
          <w:szCs w:val="21"/>
          <w:highlight w:val="none"/>
        </w:rPr>
        <w:t>决：</w:t>
      </w:r>
    </w:p>
    <w:p w14:paraId="262D8342">
      <w:pPr>
        <w:spacing w:after="120"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1.提交</w:t>
      </w:r>
      <w:r>
        <w:rPr>
          <w:rFonts w:hint="eastAsia" w:ascii="宋体" w:hAnsi="宋体" w:eastAsia="宋体" w:cs="Times New Roman"/>
          <w:color w:val="auto"/>
          <w:sz w:val="21"/>
          <w:szCs w:val="21"/>
          <w:highlight w:val="none"/>
          <w:u w:val="single"/>
        </w:rPr>
        <w:t>当地</w:t>
      </w:r>
      <w:r>
        <w:rPr>
          <w:rFonts w:hint="eastAsia" w:ascii="宋体" w:hAnsi="宋体" w:eastAsia="宋体" w:cs="Times New Roman"/>
          <w:color w:val="auto"/>
          <w:sz w:val="21"/>
          <w:szCs w:val="21"/>
          <w:highlight w:val="none"/>
        </w:rPr>
        <w:t>仲裁委员会仲裁；</w:t>
      </w:r>
    </w:p>
    <w:p w14:paraId="3B1139EB">
      <w:pPr>
        <w:spacing w:after="120"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2.依法向人民法院起诉。</w:t>
      </w:r>
    </w:p>
    <w:p w14:paraId="03D512DF">
      <w:pPr>
        <w:keepNext/>
        <w:keepLines/>
        <w:spacing w:before="120" w:after="120" w:line="360" w:lineRule="auto"/>
        <w:outlineLvl w:val="3"/>
        <w:rPr>
          <w:rFonts w:hint="eastAsia" w:ascii="Calibri" w:hAnsi="Calibri" w:eastAsia="黑体"/>
          <w:color w:val="auto"/>
          <w:sz w:val="28"/>
          <w:highlight w:val="none"/>
        </w:rPr>
      </w:pPr>
      <w:r>
        <w:rPr>
          <w:rFonts w:hint="eastAsia" w:ascii="Calibri" w:hAnsi="Calibri" w:eastAsia="黑体"/>
          <w:color w:val="auto"/>
          <w:sz w:val="28"/>
          <w:highlight w:val="none"/>
        </w:rPr>
        <w:t>21. 其他</w:t>
      </w:r>
    </w:p>
    <w:p w14:paraId="01036607">
      <w:pPr>
        <w:jc w:val="left"/>
        <w:rPr>
          <w:rFonts w:hint="eastAsia" w:ascii="宋体" w:hAnsi="宋体" w:eastAsia="宋体" w:cs="宋体"/>
          <w:b/>
          <w:bCs/>
          <w:color w:val="auto"/>
          <w:sz w:val="24"/>
          <w:szCs w:val="24"/>
          <w:highlight w:val="none"/>
        </w:rPr>
      </w:pPr>
      <w:r>
        <w:rPr>
          <w:rFonts w:hint="eastAsia" w:ascii="Calibri" w:hAnsi="Calibri" w:eastAsia="黑体" w:cs="Times New Roman"/>
          <w:color w:val="auto"/>
          <w:sz w:val="28"/>
          <w:highlight w:val="none"/>
        </w:rPr>
        <w:br w:type="page"/>
      </w:r>
      <w:r>
        <w:rPr>
          <w:rFonts w:hint="eastAsia" w:ascii="宋体" w:hAnsi="宋体" w:eastAsia="宋体" w:cs="宋体"/>
          <w:color w:val="auto"/>
          <w:sz w:val="24"/>
          <w:szCs w:val="24"/>
          <w:highlight w:val="none"/>
        </w:rPr>
        <w:t>附件1</w:t>
      </w:r>
      <w:r>
        <w:rPr>
          <w:rFonts w:hint="eastAsia" w:ascii="宋体" w:hAnsi="宋体" w:eastAsia="宋体" w:cs="宋体"/>
          <w:b/>
          <w:bCs/>
          <w:color w:val="auto"/>
          <w:sz w:val="24"/>
          <w:szCs w:val="24"/>
          <w:highlight w:val="none"/>
        </w:rPr>
        <w:t>工程质量保修书（格式）</w:t>
      </w:r>
    </w:p>
    <w:p w14:paraId="65DC612F">
      <w:pPr>
        <w:rPr>
          <w:rFonts w:hint="eastAsia" w:ascii="宋体" w:hAnsi="宋体" w:eastAsia="宋体" w:cs="宋体"/>
          <w:color w:val="auto"/>
          <w:sz w:val="24"/>
          <w:szCs w:val="24"/>
          <w:highlight w:val="none"/>
        </w:rPr>
      </w:pPr>
    </w:p>
    <w:p w14:paraId="0971A97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7D5AE55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highlight w:val="none"/>
          <w:lang w:val="en-US" w:eastAsia="zh-CN"/>
        </w:rPr>
        <w:t>江苏省江都水利工程管理处</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p>
    <w:p w14:paraId="452F573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   　　</w:t>
      </w:r>
    </w:p>
    <w:p w14:paraId="557FE3F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（工程名称）在合理期限内正常使用，发包人承包人协商一致签订工程质量保修书。承包人在质量保修期内按照有关管理规定及双方约定承担工程质量保修责任  　　</w:t>
      </w:r>
    </w:p>
    <w:p w14:paraId="334937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一、工程质量保修范围和内容：</w:t>
      </w:r>
    </w:p>
    <w:p w14:paraId="5DE4D1F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质量保修范围包括：全部施工内容。</w:t>
      </w:r>
    </w:p>
    <w:p w14:paraId="6A09A3E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具体质量保修内容双方约定如下：承担所承包的全部工程内容。  　　</w:t>
      </w:r>
    </w:p>
    <w:p w14:paraId="7562097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  　　</w:t>
      </w:r>
    </w:p>
    <w:p w14:paraId="3ED40D8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质量保修期从工程实际竣工之日算起。分单项竣工验收的工程，按单项工程分别计算质量保修期。  　　</w:t>
      </w:r>
    </w:p>
    <w:p w14:paraId="6BCAA48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双方根据国家有关规定，结合具体工程约定质量保修期如下：  　　</w:t>
      </w:r>
    </w:p>
    <w:p w14:paraId="33FB42E4">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（一）地基基础工程和主体结构工程，为设计文件规定的该工程的合理使用年限；</w:t>
      </w:r>
    </w:p>
    <w:p w14:paraId="42926353">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（二）屋面防水工程、有防水要求的卫生间、房间和外墙面的防渗漏，为5年；</w:t>
      </w:r>
    </w:p>
    <w:p w14:paraId="026EBEB7">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（三）供热与供冷系统，为2个采暖期、供冷期；</w:t>
      </w:r>
    </w:p>
    <w:p w14:paraId="602AA376">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（四）电气管线、给排水管道、设备安装为2年；</w:t>
      </w:r>
    </w:p>
    <w:p w14:paraId="5ACDEEB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（五）装修工程为2年。　</w:t>
      </w:r>
    </w:p>
    <w:p w14:paraId="5C2B449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（六）其他约定：2年。  　　</w:t>
      </w:r>
    </w:p>
    <w:p w14:paraId="4F3B3BA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三、质量保修责任  　　</w:t>
      </w:r>
    </w:p>
    <w:p w14:paraId="77DF9CB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1、属于保修范围和内容的项目。承包人应在接到修理通知之日后7天派人修理。承包人不在约定期限内派人修理，发包人可委托其他人员修理，修理费从质量保修金内扣除。  　　</w:t>
      </w:r>
    </w:p>
    <w:p w14:paraId="5C842FD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2、发生需紧急抢修的事故，承包人接到事故通知后，应立即到达事故现场抢修。非承包人施工质量引起的事故，抢修费用由发包人承担。  　　</w:t>
      </w:r>
    </w:p>
    <w:p w14:paraId="235FAC4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3、在国家规定的工程合理使用期限内，承包人确保地基基础和主体结构的质量。因承包人原因致使工程在合理使用期限内造成人身和财产损害的，承包人应承担损害赔偿责任。  　　   </w:t>
      </w:r>
    </w:p>
    <w:p w14:paraId="3B0E2E6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四、质量保修金的支付  　　</w:t>
      </w:r>
    </w:p>
    <w:p w14:paraId="4233D20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工程质量保修金一般不超过施工合同价款的</w:t>
      </w: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,工程约定的工程质量保修金为该工程结算价款的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60C5DA0">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本工程双方约定承包人向发包人支付工程质量保修金金额为：以结算价款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核定。质量保修金银行利率为无。  　　</w:t>
      </w:r>
    </w:p>
    <w:p w14:paraId="358A95DF">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质量保修金的返还  　　</w:t>
      </w:r>
    </w:p>
    <w:p w14:paraId="37A8DB1D">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发包人在质量保修期满后15日内，将剩余保修金返还承包人。返还时间和方式（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w:t>
      </w:r>
    </w:p>
    <w:p w14:paraId="67E74978">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  　　</w:t>
      </w:r>
    </w:p>
    <w:p w14:paraId="2B30DF77">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双方约定的其他工程质量保修事项：无  　　</w:t>
      </w:r>
    </w:p>
    <w:p w14:paraId="20F432D8">
      <w:pPr>
        <w:numPr>
          <w:ilvl w:val="0"/>
          <w:numId w:val="4"/>
        </w:numPr>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本工程质量保修书作为施工合同附件，由施工合同发包人承包人双方共同签署。  　　         </w:t>
      </w:r>
    </w:p>
    <w:p w14:paraId="7C9D768F">
      <w:pPr>
        <w:rPr>
          <w:rFonts w:hint="eastAsia" w:ascii="宋体" w:hAnsi="宋体" w:eastAsia="宋体" w:cs="宋体"/>
          <w:color w:val="auto"/>
          <w:sz w:val="24"/>
          <w:szCs w:val="24"/>
          <w:highlight w:val="none"/>
        </w:rPr>
      </w:pPr>
    </w:p>
    <w:p w14:paraId="60F8CD3A">
      <w:pPr>
        <w:rPr>
          <w:rFonts w:hint="eastAsia" w:ascii="宋体" w:hAnsi="宋体" w:eastAsia="宋体" w:cs="宋体"/>
          <w:color w:val="auto"/>
          <w:sz w:val="24"/>
          <w:szCs w:val="24"/>
          <w:highlight w:val="none"/>
        </w:rPr>
      </w:pPr>
    </w:p>
    <w:p w14:paraId="63D5B610">
      <w:pPr>
        <w:ind w:firstLine="1680" w:firstLineChars="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 包 人（公章）                      承 包 人（公章）：  　　</w:t>
      </w:r>
    </w:p>
    <w:p w14:paraId="04914C2D">
      <w:pPr>
        <w:ind w:firstLine="1680" w:firstLineChars="700"/>
        <w:rPr>
          <w:rFonts w:hint="eastAsia" w:ascii="宋体" w:hAnsi="宋体" w:eastAsia="宋体"/>
          <w:color w:val="auto"/>
          <w:sz w:val="21"/>
          <w:szCs w:val="21"/>
          <w:highlight w:val="none"/>
        </w:rPr>
      </w:pPr>
      <w:r>
        <w:rPr>
          <w:rFonts w:hint="eastAsia" w:ascii="宋体" w:hAnsi="宋体" w:eastAsia="宋体" w:cs="宋体"/>
          <w:color w:val="auto"/>
          <w:sz w:val="24"/>
          <w:szCs w:val="24"/>
          <w:highlight w:val="none"/>
        </w:rPr>
        <w:t>法定代表人（签字）：                   法定代表人（签字）：</w:t>
      </w:r>
    </w:p>
    <w:p w14:paraId="506864FA">
      <w:pPr>
        <w:spacing w:line="360" w:lineRule="auto"/>
        <w:ind w:firstLine="420" w:firstLineChars="200"/>
        <w:jc w:val="left"/>
        <w:rPr>
          <w:rFonts w:hint="eastAsia" w:ascii="宋体" w:hAnsi="宋体" w:eastAsia="宋体"/>
          <w:color w:val="auto"/>
          <w:sz w:val="21"/>
          <w:szCs w:val="21"/>
          <w:highlight w:val="none"/>
        </w:rPr>
      </w:pPr>
    </w:p>
    <w:p w14:paraId="71CCE0EC">
      <w:pPr>
        <w:widowControl w:val="0"/>
        <w:spacing w:after="120"/>
        <w:ind w:firstLine="211" w:firstLineChars="100"/>
        <w:jc w:val="both"/>
        <w:rPr>
          <w:rFonts w:hint="eastAsia" w:ascii="宋体" w:hAnsi="宋体" w:eastAsia="楷体_GB2312" w:cs="Times New Roman"/>
          <w:b/>
          <w:bCs/>
          <w:color w:val="auto"/>
          <w:kern w:val="2"/>
          <w:sz w:val="21"/>
          <w:szCs w:val="21"/>
          <w:highlight w:val="none"/>
          <w:lang w:val="en-US" w:eastAsia="zh-CN" w:bidi="ar-SA"/>
        </w:rPr>
      </w:pPr>
    </w:p>
    <w:p w14:paraId="4A704047">
      <w:pPr>
        <w:rPr>
          <w:rFonts w:hint="eastAsia" w:ascii="宋体" w:hAnsi="宋体" w:eastAsia="宋体"/>
          <w:color w:val="auto"/>
          <w:sz w:val="21"/>
          <w:szCs w:val="21"/>
          <w:highlight w:val="none"/>
        </w:rPr>
      </w:pPr>
    </w:p>
    <w:p w14:paraId="26449D33">
      <w:pPr>
        <w:jc w:val="center"/>
        <w:rPr>
          <w:rFonts w:hint="eastAsia" w:eastAsia="宋体"/>
          <w:b/>
          <w:bCs/>
          <w:color w:val="auto"/>
          <w:sz w:val="28"/>
          <w:szCs w:val="36"/>
          <w:highlight w:val="none"/>
        </w:rPr>
      </w:pPr>
      <w:r>
        <w:rPr>
          <w:rFonts w:hint="eastAsia" w:eastAsia="宋体"/>
          <w:b/>
          <w:bCs/>
          <w:color w:val="auto"/>
          <w:sz w:val="28"/>
          <w:szCs w:val="36"/>
          <w:highlight w:val="none"/>
        </w:rPr>
        <w:t>安全生产合同</w:t>
      </w:r>
    </w:p>
    <w:p w14:paraId="2FD53D20">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rPr>
          <w:rFonts w:hint="eastAsia" w:ascii="宋体" w:hAnsi="宋体" w:eastAsia="宋体" w:cs="宋体"/>
          <w:color w:val="auto"/>
          <w:sz w:val="24"/>
          <w:highlight w:val="none"/>
          <w:lang w:val="en-US" w:eastAsia="zh-CN"/>
        </w:rPr>
        <w:t>江苏省江都水利工程管理处</w:t>
      </w:r>
      <w:r>
        <w:rPr>
          <w:rFonts w:hint="eastAsia" w:ascii="宋体" w:hAnsi="宋体" w:eastAsia="宋体" w:cs="宋体"/>
          <w:color w:val="auto"/>
          <w:sz w:val="24"/>
          <w:highlight w:val="none"/>
        </w:rPr>
        <w:t xml:space="preserve"> </w:t>
      </w:r>
    </w:p>
    <w:p w14:paraId="331C36E5">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p>
    <w:p w14:paraId="6B2B441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施工合同的实施过程中创造安全、高效的施工环境，切实搞好本项目的安全管理工作，项目实施过程中达到“零责任事故，无人员重伤、无人员死亡事故”的安全目标，特此签订安全生产合同。具体如下：</w:t>
      </w:r>
    </w:p>
    <w:p w14:paraId="5F534D9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一、甲方职责</w:t>
      </w:r>
    </w:p>
    <w:p w14:paraId="230537A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37C0238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2．按照“安全第一、预防为主”和坚持“管生产</w:t>
      </w:r>
      <w:r>
        <w:rPr>
          <w:rFonts w:hint="eastAsia" w:ascii="宋体" w:hAnsi="宋体" w:eastAsia="宋体" w:cs="宋体"/>
          <w:color w:val="auto"/>
          <w:sz w:val="24"/>
          <w:highlight w:val="none"/>
          <w:lang w:eastAsia="zh-CN"/>
        </w:rPr>
        <w:t>必须</w:t>
      </w:r>
      <w:r>
        <w:rPr>
          <w:rFonts w:hint="eastAsia" w:ascii="宋体" w:hAnsi="宋体" w:eastAsia="宋体" w:cs="宋体"/>
          <w:color w:val="auto"/>
          <w:sz w:val="24"/>
          <w:highlight w:val="none"/>
        </w:rPr>
        <w:t>管安全”的原则进行安全生产管理，做到生产与安全工作同时计划、布置、检查、总结和评比。</w:t>
      </w:r>
    </w:p>
    <w:p w14:paraId="66378013">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3．组织对乙方施工现场安全生产检查，建立安全生产责任制网络、监督乙方及时处理发现的各种安全隐患。</w:t>
      </w:r>
    </w:p>
    <w:p w14:paraId="60BEDDD2">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二、乙方职责</w:t>
      </w:r>
    </w:p>
    <w:p w14:paraId="5AC7CA9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1．严格遵守国家有关安全生产的法律法规、有关安全生产的规定，认真执行工程承包合同中的有关安全要求，接受甲方和监理工程师对安全生产工作的指导。</w:t>
      </w:r>
    </w:p>
    <w:p w14:paraId="2A8B287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932383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022EA5D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4．乙方在任何</w:t>
      </w:r>
      <w:r>
        <w:rPr>
          <w:rFonts w:hint="eastAsia" w:ascii="宋体" w:hAnsi="宋体" w:eastAsia="宋体" w:cs="宋体"/>
          <w:color w:val="auto"/>
          <w:sz w:val="24"/>
          <w:highlight w:val="none"/>
          <w:lang w:val="en-US" w:eastAsia="zh-CN"/>
        </w:rPr>
        <w:t>时候</w:t>
      </w:r>
      <w:r>
        <w:rPr>
          <w:rFonts w:hint="eastAsia" w:ascii="宋体" w:hAnsi="宋体" w:eastAsia="宋体" w:cs="宋体"/>
          <w:color w:val="auto"/>
          <w:sz w:val="24"/>
          <w:highlight w:val="none"/>
        </w:rPr>
        <w:t>都应采取各种合理的预防措施，防止其人员发生任何违法、违禁、暴力、违规或妨碍治安的行为。</w:t>
      </w:r>
    </w:p>
    <w:p w14:paraId="34908D27">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5．乙方参加施工的人员，必须</w:t>
      </w:r>
      <w:r>
        <w:rPr>
          <w:rFonts w:hint="eastAsia" w:ascii="宋体" w:hAnsi="宋体" w:eastAsia="宋体" w:cs="宋体"/>
          <w:color w:val="auto"/>
          <w:sz w:val="24"/>
          <w:highlight w:val="none"/>
          <w:lang w:val="en-US" w:eastAsia="zh-CN"/>
        </w:rPr>
        <w:t>接</w:t>
      </w:r>
      <w:r>
        <w:rPr>
          <w:rFonts w:hint="eastAsia" w:ascii="宋体" w:hAnsi="宋体" w:eastAsia="宋体" w:cs="宋体"/>
          <w:color w:val="auto"/>
          <w:sz w:val="24"/>
          <w:highlight w:val="none"/>
        </w:rPr>
        <w:t>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26DBF4D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6．加强施工中交通运输安全管理，各种运输机械等需划定运输路线行驶。</w:t>
      </w:r>
    </w:p>
    <w:p w14:paraId="287D9FF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7．对于易燃易爆的材料除应专门有效封闭、妥善保管之外，还应配备有足够的消防设施，所有施工人员都应熟悉消防设备的性能和使用方法。</w:t>
      </w:r>
    </w:p>
    <w:p w14:paraId="27B9452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8．操作人员上岗，必须按规定穿戴防护用品。施工负责人和安全检查员应随时检查劳动防护用品的穿戴情况，不按规定穿戴防护用品的人员不得上岗。</w:t>
      </w:r>
    </w:p>
    <w:p w14:paraId="30348C33">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7E2C820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10．施工现场必须具有相关的安全标志牌。</w:t>
      </w:r>
    </w:p>
    <w:p w14:paraId="4268C31D">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11．如果发生安全事故，应按照《国务院关于特大安全事故行政责任追究的规定》以及其它有关规定，及时上报有关部门，并坚持“三不放过”的原则，严肃处理相关责任人。</w:t>
      </w:r>
    </w:p>
    <w:p w14:paraId="7BE9C5E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三、违约责任</w:t>
      </w:r>
    </w:p>
    <w:p w14:paraId="1D6C5F6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如因甲方或乙方违约造成安全事故，将报请有关部门依法追究责任。</w:t>
      </w:r>
    </w:p>
    <w:p w14:paraId="6843A6DC">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本合同一式二份，由双方法定代表人或其授权的代理人签署和加盖公章后生效，全部工程竣工验收后失效。</w:t>
      </w:r>
    </w:p>
    <w:p w14:paraId="0915CAA6">
      <w:pPr>
        <w:rPr>
          <w:rFonts w:hint="eastAsia" w:ascii="宋体" w:hAnsi="宋体" w:eastAsia="宋体" w:cs="宋体"/>
          <w:color w:val="auto"/>
          <w:sz w:val="24"/>
          <w:highlight w:val="none"/>
        </w:rPr>
      </w:pPr>
    </w:p>
    <w:p w14:paraId="3F37E0B8">
      <w:pPr>
        <w:rPr>
          <w:rFonts w:hint="eastAsia" w:ascii="宋体" w:hAnsi="宋体" w:eastAsia="宋体" w:cs="宋体"/>
          <w:color w:val="auto"/>
          <w:sz w:val="24"/>
          <w:highlight w:val="none"/>
        </w:rPr>
      </w:pPr>
    </w:p>
    <w:p w14:paraId="06265B8E">
      <w:pPr>
        <w:rPr>
          <w:rFonts w:hint="eastAsia" w:ascii="宋体" w:hAnsi="宋体" w:eastAsia="宋体" w:cs="宋体"/>
          <w:color w:val="auto"/>
          <w:sz w:val="24"/>
          <w:highlight w:val="none"/>
        </w:rPr>
      </w:pPr>
    </w:p>
    <w:p w14:paraId="519EE57F">
      <w:pPr>
        <w:rPr>
          <w:rFonts w:hint="eastAsia" w:ascii="宋体" w:hAnsi="宋体" w:eastAsia="宋体" w:cs="宋体"/>
          <w:color w:val="auto"/>
          <w:sz w:val="24"/>
          <w:highlight w:val="none"/>
        </w:rPr>
      </w:pPr>
    </w:p>
    <w:p w14:paraId="6EC93559">
      <w:pPr>
        <w:rPr>
          <w:rFonts w:hint="eastAsia" w:ascii="宋体" w:hAnsi="宋体" w:eastAsia="宋体" w:cs="宋体"/>
          <w:color w:val="auto"/>
          <w:sz w:val="24"/>
          <w:highlight w:val="none"/>
        </w:rPr>
      </w:pPr>
    </w:p>
    <w:p w14:paraId="589F2C92">
      <w:pPr>
        <w:rPr>
          <w:rFonts w:hint="eastAsia" w:ascii="宋体" w:hAnsi="宋体" w:eastAsia="宋体" w:cs="宋体"/>
          <w:color w:val="auto"/>
          <w:sz w:val="24"/>
          <w:highlight w:val="none"/>
        </w:rPr>
      </w:pPr>
    </w:p>
    <w:p w14:paraId="0AF66F57">
      <w:pPr>
        <w:rPr>
          <w:rFonts w:hint="eastAsia" w:ascii="宋体" w:hAnsi="宋体" w:eastAsia="宋体" w:cs="宋体"/>
          <w:color w:val="auto"/>
          <w:sz w:val="24"/>
          <w:highlight w:val="none"/>
        </w:rPr>
      </w:pPr>
      <w:r>
        <w:rPr>
          <w:rFonts w:hint="eastAsia" w:ascii="宋体" w:hAnsi="宋体" w:eastAsia="宋体" w:cs="宋体"/>
          <w:color w:val="auto"/>
          <w:sz w:val="24"/>
          <w:highlight w:val="none"/>
        </w:rPr>
        <w:t>甲  方：                         乙  方：</w:t>
      </w:r>
    </w:p>
    <w:p w14:paraId="2B524151">
      <w:pPr>
        <w:rPr>
          <w:rFonts w:hint="eastAsia" w:ascii="宋体" w:hAnsi="宋体" w:eastAsia="宋体" w:cs="宋体"/>
          <w:color w:val="auto"/>
          <w:sz w:val="24"/>
          <w:highlight w:val="none"/>
        </w:rPr>
      </w:pPr>
    </w:p>
    <w:p w14:paraId="54E3F32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       法定代表人（或授权代理人）：</w:t>
      </w:r>
    </w:p>
    <w:p w14:paraId="72E8FE58">
      <w:pPr>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                         地  址：</w:t>
      </w:r>
    </w:p>
    <w:p w14:paraId="11415CBB">
      <w:pP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                         电  话：</w:t>
      </w:r>
    </w:p>
    <w:p w14:paraId="39DF0ADD">
      <w:pP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日  期：</w:t>
      </w:r>
    </w:p>
    <w:p w14:paraId="3FD1ABA3">
      <w:pPr>
        <w:rPr>
          <w:color w:val="auto"/>
          <w:highlight w:val="none"/>
        </w:rPr>
      </w:pPr>
    </w:p>
    <w:p w14:paraId="1D2AED57">
      <w:pPr>
        <w:bidi w:val="0"/>
        <w:rPr>
          <w:color w:val="auto"/>
          <w:highlight w:val="none"/>
        </w:rPr>
      </w:pPr>
    </w:p>
    <w:p w14:paraId="14D092CD">
      <w:pPr>
        <w:bidi w:val="0"/>
        <w:rPr>
          <w:color w:val="auto"/>
          <w:highlight w:val="none"/>
        </w:rPr>
      </w:pPr>
    </w:p>
    <w:p w14:paraId="0B179DB1">
      <w:pPr>
        <w:rPr>
          <w:rFonts w:hint="eastAsia"/>
          <w:color w:val="auto"/>
          <w:highlight w:val="none"/>
        </w:rPr>
      </w:pPr>
      <w:r>
        <w:rPr>
          <w:rFonts w:hint="eastAsia"/>
          <w:color w:val="auto"/>
          <w:highlight w:val="none"/>
        </w:rPr>
        <w:br w:type="page"/>
      </w:r>
    </w:p>
    <w:p w14:paraId="002E1EB5">
      <w:pPr>
        <w:pStyle w:val="2"/>
        <w:spacing w:line="360" w:lineRule="auto"/>
        <w:jc w:val="center"/>
        <w:rPr>
          <w:color w:val="auto"/>
          <w:highlight w:val="none"/>
        </w:rPr>
      </w:pPr>
      <w:bookmarkStart w:id="75" w:name="_Toc32687"/>
      <w:r>
        <w:rPr>
          <w:rFonts w:hint="eastAsia"/>
          <w:color w:val="auto"/>
          <w:highlight w:val="none"/>
        </w:rPr>
        <w:t>第五章  响应文件格式</w:t>
      </w:r>
      <w:bookmarkEnd w:id="75"/>
    </w:p>
    <w:p w14:paraId="63F60DBA">
      <w:pPr>
        <w:rPr>
          <w:color w:val="auto"/>
          <w:highlight w:val="none"/>
        </w:rPr>
      </w:pPr>
      <w:r>
        <w:rPr>
          <w:rFonts w:hint="eastAsia" w:ascii="楷体" w:hAnsi="楷体" w:eastAsia="楷体" w:cs="楷体"/>
          <w:b/>
          <w:bCs/>
          <w:color w:val="auto"/>
          <w:sz w:val="36"/>
          <w:szCs w:val="24"/>
          <w:highlight w:val="none"/>
          <w:u w:val="single"/>
          <w:lang w:val="zh-CN"/>
        </w:rPr>
        <w:t>注：</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所提交的</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响应文件资料文件的完整与否，将直接影响对</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是否实质性响应</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采购文件要求的评判或评分。</w:t>
      </w:r>
    </w:p>
    <w:p w14:paraId="27BAA40B">
      <w:pPr>
        <w:tabs>
          <w:tab w:val="left" w:pos="0"/>
        </w:tabs>
        <w:autoSpaceDE w:val="0"/>
        <w:autoSpaceDN w:val="0"/>
        <w:adjustRightInd w:val="0"/>
        <w:snapToGrid w:val="0"/>
        <w:spacing w:line="450" w:lineRule="exact"/>
        <w:ind w:firstLine="502"/>
        <w:jc w:val="center"/>
        <w:rPr>
          <w:rFonts w:eastAsia="宋体"/>
          <w:color w:val="auto"/>
          <w:sz w:val="24"/>
          <w:szCs w:val="24"/>
          <w:highlight w:val="none"/>
          <w:u w:val="single"/>
        </w:rPr>
      </w:pPr>
      <w:bookmarkStart w:id="76" w:name="_Toc514856788"/>
      <w:bookmarkStart w:id="77" w:name="_Toc6385490"/>
    </w:p>
    <w:p w14:paraId="1A7F3B9A">
      <w:pPr>
        <w:rPr>
          <w:color w:val="auto"/>
          <w:sz w:val="44"/>
          <w:highlight w:val="none"/>
        </w:rPr>
      </w:pPr>
    </w:p>
    <w:p w14:paraId="60063178">
      <w:pPr>
        <w:jc w:val="center"/>
        <w:rPr>
          <w:color w:val="auto"/>
          <w:sz w:val="44"/>
          <w:highlight w:val="none"/>
        </w:rPr>
      </w:pPr>
      <w:r>
        <w:rPr>
          <w:rFonts w:eastAsia="宋体"/>
          <w:b/>
          <w:color w:val="auto"/>
          <w:sz w:val="56"/>
          <w:highlight w:val="none"/>
        </w:rPr>
        <w:t>磋</w:t>
      </w:r>
      <w:r>
        <w:rPr>
          <w:rFonts w:hint="eastAsia" w:eastAsia="宋体"/>
          <w:b/>
          <w:color w:val="auto"/>
          <w:sz w:val="56"/>
          <w:highlight w:val="none"/>
        </w:rPr>
        <w:t xml:space="preserve"> </w:t>
      </w:r>
      <w:r>
        <w:rPr>
          <w:rFonts w:eastAsia="宋体"/>
          <w:b/>
          <w:color w:val="auto"/>
          <w:sz w:val="56"/>
          <w:highlight w:val="none"/>
        </w:rPr>
        <w:t>商</w:t>
      </w:r>
      <w:r>
        <w:rPr>
          <w:rFonts w:hint="eastAsia" w:eastAsia="宋体"/>
          <w:b/>
          <w:color w:val="auto"/>
          <w:sz w:val="56"/>
          <w:highlight w:val="none"/>
        </w:rPr>
        <w:t xml:space="preserve"> </w:t>
      </w:r>
      <w:r>
        <w:rPr>
          <w:rFonts w:eastAsia="宋体"/>
          <w:b/>
          <w:color w:val="auto"/>
          <w:sz w:val="56"/>
          <w:highlight w:val="none"/>
        </w:rPr>
        <w:t>响</w:t>
      </w:r>
      <w:r>
        <w:rPr>
          <w:rFonts w:hint="eastAsia" w:eastAsia="宋体"/>
          <w:b/>
          <w:color w:val="auto"/>
          <w:sz w:val="56"/>
          <w:highlight w:val="none"/>
        </w:rPr>
        <w:t xml:space="preserve"> </w:t>
      </w:r>
      <w:r>
        <w:rPr>
          <w:rFonts w:eastAsia="宋体"/>
          <w:b/>
          <w:color w:val="auto"/>
          <w:sz w:val="56"/>
          <w:highlight w:val="none"/>
        </w:rPr>
        <w:t>应</w:t>
      </w:r>
      <w:r>
        <w:rPr>
          <w:rFonts w:hint="eastAsia" w:eastAsia="宋体"/>
          <w:b/>
          <w:color w:val="auto"/>
          <w:sz w:val="56"/>
          <w:highlight w:val="none"/>
        </w:rPr>
        <w:t xml:space="preserve"> </w:t>
      </w:r>
      <w:r>
        <w:rPr>
          <w:rFonts w:eastAsia="宋体"/>
          <w:b/>
          <w:color w:val="auto"/>
          <w:sz w:val="56"/>
          <w:highlight w:val="none"/>
        </w:rPr>
        <w:t>文</w:t>
      </w:r>
      <w:r>
        <w:rPr>
          <w:rFonts w:hint="eastAsia" w:eastAsia="宋体"/>
          <w:b/>
          <w:color w:val="auto"/>
          <w:sz w:val="56"/>
          <w:highlight w:val="none"/>
        </w:rPr>
        <w:t xml:space="preserve"> </w:t>
      </w:r>
      <w:r>
        <w:rPr>
          <w:rFonts w:eastAsia="宋体"/>
          <w:b/>
          <w:color w:val="auto"/>
          <w:sz w:val="56"/>
          <w:highlight w:val="none"/>
        </w:rPr>
        <w:t>件</w:t>
      </w:r>
    </w:p>
    <w:p w14:paraId="6029FBB6">
      <w:pPr>
        <w:ind w:firstLine="1446"/>
        <w:rPr>
          <w:rFonts w:eastAsia="宋体"/>
          <w:b/>
          <w:color w:val="auto"/>
          <w:sz w:val="36"/>
          <w:highlight w:val="none"/>
        </w:rPr>
      </w:pPr>
    </w:p>
    <w:p w14:paraId="6E7B7E12">
      <w:pPr>
        <w:ind w:firstLine="1446"/>
        <w:rPr>
          <w:rFonts w:eastAsia="宋体"/>
          <w:b/>
          <w:color w:val="auto"/>
          <w:sz w:val="36"/>
          <w:highlight w:val="none"/>
        </w:rPr>
      </w:pPr>
    </w:p>
    <w:p w14:paraId="04B541B3">
      <w:pPr>
        <w:ind w:firstLine="1446"/>
        <w:rPr>
          <w:rFonts w:eastAsia="宋体"/>
          <w:b/>
          <w:color w:val="auto"/>
          <w:sz w:val="36"/>
          <w:highlight w:val="none"/>
        </w:rPr>
      </w:pPr>
    </w:p>
    <w:p w14:paraId="34E1F989">
      <w:pPr>
        <w:ind w:firstLine="1446"/>
        <w:rPr>
          <w:rFonts w:eastAsia="宋体"/>
          <w:b/>
          <w:color w:val="auto"/>
          <w:sz w:val="36"/>
          <w:highlight w:val="none"/>
        </w:rPr>
      </w:pPr>
    </w:p>
    <w:p w14:paraId="7491CD4D">
      <w:pPr>
        <w:ind w:firstLine="1446"/>
        <w:rPr>
          <w:rFonts w:eastAsia="宋体"/>
          <w:b/>
          <w:color w:val="auto"/>
          <w:sz w:val="36"/>
          <w:highlight w:val="none"/>
        </w:rPr>
      </w:pPr>
    </w:p>
    <w:p w14:paraId="580272EB">
      <w:pPr>
        <w:ind w:firstLine="1446"/>
        <w:rPr>
          <w:rFonts w:eastAsia="宋体"/>
          <w:b/>
          <w:color w:val="auto"/>
          <w:sz w:val="36"/>
          <w:highlight w:val="none"/>
        </w:rPr>
      </w:pPr>
    </w:p>
    <w:p w14:paraId="5FD59E5E">
      <w:pPr>
        <w:ind w:firstLine="1446"/>
        <w:rPr>
          <w:rFonts w:eastAsia="宋体"/>
          <w:b/>
          <w:color w:val="auto"/>
          <w:sz w:val="36"/>
          <w:highlight w:val="none"/>
        </w:rPr>
      </w:pPr>
    </w:p>
    <w:p w14:paraId="66366481">
      <w:pPr>
        <w:ind w:firstLine="1446"/>
        <w:rPr>
          <w:rFonts w:eastAsia="宋体"/>
          <w:b/>
          <w:color w:val="auto"/>
          <w:sz w:val="36"/>
          <w:highlight w:val="none"/>
        </w:rPr>
      </w:pPr>
    </w:p>
    <w:p w14:paraId="360D88B5">
      <w:pPr>
        <w:ind w:firstLine="1446"/>
        <w:rPr>
          <w:rFonts w:eastAsia="宋体"/>
          <w:b/>
          <w:color w:val="auto"/>
          <w:sz w:val="36"/>
          <w:highlight w:val="none"/>
        </w:rPr>
      </w:pPr>
    </w:p>
    <w:p w14:paraId="06452AA5">
      <w:pPr>
        <w:ind w:firstLine="1446"/>
        <w:jc w:val="left"/>
        <w:rPr>
          <w:rFonts w:eastAsia="宋体"/>
          <w:b/>
          <w:color w:val="auto"/>
          <w:sz w:val="36"/>
          <w:highlight w:val="none"/>
        </w:rPr>
      </w:pPr>
      <w:r>
        <w:rPr>
          <w:rFonts w:hint="eastAsia" w:eastAsia="宋体"/>
          <w:b/>
          <w:color w:val="auto"/>
          <w:sz w:val="36"/>
          <w:highlight w:val="none"/>
        </w:rPr>
        <w:t>项 目 名 称：</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7546F43E">
      <w:pPr>
        <w:ind w:firstLine="1446"/>
        <w:jc w:val="left"/>
        <w:rPr>
          <w:rFonts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43040EEA">
      <w:pPr>
        <w:ind w:firstLine="1446"/>
        <w:jc w:val="left"/>
        <w:rPr>
          <w:rFonts w:eastAsia="宋体"/>
          <w:b/>
          <w:color w:val="auto"/>
          <w:sz w:val="36"/>
          <w:highlight w:val="none"/>
        </w:rPr>
      </w:pPr>
      <w:r>
        <w:rPr>
          <w:rFonts w:hint="eastAsia" w:eastAsia="宋体"/>
          <w:b/>
          <w:color w:val="auto"/>
          <w:sz w:val="36"/>
          <w:highlight w:val="none"/>
        </w:rPr>
        <w:t>供应商名称 ：</w:t>
      </w:r>
      <w:r>
        <w:rPr>
          <w:rFonts w:hint="eastAsia" w:eastAsia="宋体"/>
          <w:b/>
          <w:color w:val="auto"/>
          <w:sz w:val="36"/>
          <w:highlight w:val="none"/>
          <w:u w:val="single"/>
        </w:rPr>
        <w:t>（加盖CA电子公章）</w:t>
      </w:r>
    </w:p>
    <w:p w14:paraId="519C12CE">
      <w:pPr>
        <w:ind w:firstLine="1446"/>
        <w:jc w:val="left"/>
        <w:rPr>
          <w:rFonts w:eastAsia="宋体"/>
          <w:b/>
          <w:color w:val="auto"/>
          <w:sz w:val="36"/>
          <w:highlight w:val="none"/>
          <w:u w:val="single"/>
        </w:rPr>
      </w:pPr>
      <w:r>
        <w:rPr>
          <w:rFonts w:hint="eastAsia" w:eastAsia="宋体"/>
          <w:b/>
          <w:color w:val="auto"/>
          <w:sz w:val="36"/>
          <w:highlight w:val="none"/>
        </w:rPr>
        <w:t>日      期 ：</w:t>
      </w:r>
      <w:r>
        <w:rPr>
          <w:rFonts w:hint="eastAsia" w:eastAsia="宋体"/>
          <w:b/>
          <w:color w:val="auto"/>
          <w:sz w:val="36"/>
          <w:highlight w:val="none"/>
          <w:u w:val="single"/>
        </w:rPr>
        <w:t xml:space="preserve">               </w:t>
      </w:r>
    </w:p>
    <w:p w14:paraId="295D1089">
      <w:pPr>
        <w:ind w:firstLine="1446"/>
        <w:rPr>
          <w:rFonts w:eastAsia="宋体"/>
          <w:b/>
          <w:color w:val="auto"/>
          <w:sz w:val="36"/>
          <w:highlight w:val="none"/>
          <w:u w:val="single"/>
        </w:rPr>
      </w:pPr>
    </w:p>
    <w:p w14:paraId="2B8CB1E0">
      <w:pPr>
        <w:rPr>
          <w:color w:val="auto"/>
          <w:highlight w:val="none"/>
        </w:rPr>
      </w:pPr>
    </w:p>
    <w:p w14:paraId="5CEF2CB0">
      <w:pPr>
        <w:adjustRightInd w:val="0"/>
        <w:snapToGrid w:val="0"/>
        <w:jc w:val="center"/>
        <w:rPr>
          <w:b/>
          <w:color w:val="auto"/>
          <w:sz w:val="22"/>
          <w:szCs w:val="22"/>
          <w:highlight w:val="none"/>
        </w:rPr>
      </w:pPr>
      <w:r>
        <w:rPr>
          <w:b/>
          <w:color w:val="auto"/>
          <w:sz w:val="22"/>
          <w:szCs w:val="22"/>
          <w:highlight w:val="none"/>
        </w:rPr>
        <w:br w:type="page"/>
      </w:r>
    </w:p>
    <w:p w14:paraId="134DB6F2">
      <w:pPr>
        <w:adjustRightInd w:val="0"/>
        <w:snapToGrid w:val="0"/>
        <w:ind w:firstLine="482" w:firstLineChars="200"/>
        <w:jc w:val="center"/>
        <w:rPr>
          <w:rFonts w:eastAsia="宋体"/>
          <w:b/>
          <w:color w:val="auto"/>
          <w:sz w:val="24"/>
          <w:szCs w:val="24"/>
          <w:highlight w:val="none"/>
        </w:rPr>
      </w:pPr>
      <w:r>
        <w:rPr>
          <w:rFonts w:eastAsia="宋体"/>
          <w:b/>
          <w:color w:val="auto"/>
          <w:sz w:val="24"/>
          <w:szCs w:val="24"/>
          <w:highlight w:val="none"/>
        </w:rPr>
        <w:t>评审要素索引表</w:t>
      </w:r>
    </w:p>
    <w:p w14:paraId="1708522B">
      <w:pPr>
        <w:adjustRightInd w:val="0"/>
        <w:snapToGrid w:val="0"/>
        <w:jc w:val="center"/>
        <w:rPr>
          <w:b/>
          <w:color w:val="auto"/>
          <w:sz w:val="22"/>
          <w:szCs w:val="22"/>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14:paraId="37D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594F9C1">
            <w:pPr>
              <w:adjustRightInd w:val="0"/>
              <w:snapToGrid w:val="0"/>
              <w:jc w:val="center"/>
              <w:rPr>
                <w:b/>
                <w:color w:val="auto"/>
                <w:sz w:val="22"/>
                <w:szCs w:val="22"/>
                <w:highlight w:val="none"/>
              </w:rPr>
            </w:pPr>
            <w:r>
              <w:rPr>
                <w:b/>
                <w:color w:val="auto"/>
                <w:sz w:val="22"/>
                <w:szCs w:val="22"/>
                <w:highlight w:val="none"/>
              </w:rPr>
              <w:t>序号</w:t>
            </w:r>
          </w:p>
        </w:tc>
        <w:tc>
          <w:tcPr>
            <w:tcW w:w="6067" w:type="dxa"/>
            <w:tcBorders>
              <w:top w:val="single" w:color="auto" w:sz="4" w:space="0"/>
              <w:left w:val="single" w:color="auto" w:sz="4" w:space="0"/>
              <w:bottom w:val="single" w:color="auto" w:sz="4" w:space="0"/>
              <w:right w:val="single" w:color="auto" w:sz="4" w:space="0"/>
            </w:tcBorders>
            <w:vAlign w:val="center"/>
          </w:tcPr>
          <w:p w14:paraId="6382B6EE">
            <w:pPr>
              <w:adjustRightInd w:val="0"/>
              <w:snapToGrid w:val="0"/>
              <w:jc w:val="center"/>
              <w:rPr>
                <w:b/>
                <w:color w:val="auto"/>
                <w:sz w:val="22"/>
                <w:szCs w:val="22"/>
                <w:highlight w:val="none"/>
              </w:rPr>
            </w:pPr>
            <w:r>
              <w:rPr>
                <w:b/>
                <w:color w:val="auto"/>
                <w:sz w:val="22"/>
                <w:szCs w:val="22"/>
                <w:highlight w:val="none"/>
              </w:rPr>
              <w:t>评审内容</w:t>
            </w:r>
          </w:p>
        </w:tc>
        <w:tc>
          <w:tcPr>
            <w:tcW w:w="1633" w:type="dxa"/>
            <w:tcBorders>
              <w:top w:val="single" w:color="auto" w:sz="4" w:space="0"/>
              <w:left w:val="single" w:color="auto" w:sz="4" w:space="0"/>
              <w:bottom w:val="single" w:color="auto" w:sz="4" w:space="0"/>
              <w:right w:val="single" w:color="auto" w:sz="4" w:space="0"/>
            </w:tcBorders>
            <w:vAlign w:val="center"/>
          </w:tcPr>
          <w:p w14:paraId="692F9289">
            <w:pPr>
              <w:adjustRightInd w:val="0"/>
              <w:snapToGrid w:val="0"/>
              <w:jc w:val="center"/>
              <w:rPr>
                <w:b/>
                <w:color w:val="auto"/>
                <w:sz w:val="22"/>
                <w:szCs w:val="22"/>
                <w:highlight w:val="none"/>
              </w:rPr>
            </w:pPr>
            <w:r>
              <w:rPr>
                <w:b/>
                <w:color w:val="auto"/>
                <w:sz w:val="22"/>
                <w:szCs w:val="22"/>
                <w:highlight w:val="none"/>
              </w:rPr>
              <w:t>响应文件</w:t>
            </w:r>
          </w:p>
          <w:p w14:paraId="6609DC5C">
            <w:pPr>
              <w:adjustRightInd w:val="0"/>
              <w:snapToGrid w:val="0"/>
              <w:jc w:val="center"/>
              <w:rPr>
                <w:b/>
                <w:color w:val="auto"/>
                <w:sz w:val="22"/>
                <w:szCs w:val="22"/>
                <w:highlight w:val="none"/>
              </w:rPr>
            </w:pPr>
            <w:r>
              <w:rPr>
                <w:b/>
                <w:color w:val="auto"/>
                <w:sz w:val="22"/>
                <w:szCs w:val="22"/>
                <w:highlight w:val="none"/>
              </w:rPr>
              <w:t>页码范围</w:t>
            </w:r>
          </w:p>
        </w:tc>
      </w:tr>
      <w:tr w14:paraId="2133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4ED1E164">
            <w:pPr>
              <w:pStyle w:val="44"/>
              <w:widowControl w:val="0"/>
              <w:pBdr>
                <w:bottom w:val="none" w:color="auto" w:sz="0" w:space="0"/>
                <w:right w:val="none" w:color="auto" w:sz="0" w:space="0"/>
              </w:pBdr>
              <w:adjustRightInd w:val="0"/>
              <w:snapToGrid w:val="0"/>
              <w:spacing w:before="0" w:beforeAutospacing="0" w:after="0" w:afterAutospacing="0"/>
              <w:rPr>
                <w:b/>
                <w:color w:val="auto"/>
                <w:kern w:val="2"/>
                <w:sz w:val="20"/>
                <w:szCs w:val="28"/>
                <w:highlight w:val="none"/>
              </w:rPr>
            </w:pPr>
            <w:r>
              <w:rPr>
                <w:b/>
                <w:color w:val="auto"/>
                <w:kern w:val="2"/>
                <w:sz w:val="20"/>
                <w:szCs w:val="28"/>
                <w:highlight w:val="none"/>
              </w:rPr>
              <w:t>一</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CDEBE6B">
            <w:pPr>
              <w:adjustRightInd w:val="0"/>
              <w:snapToGrid w:val="0"/>
              <w:jc w:val="center"/>
              <w:rPr>
                <w:b/>
                <w:color w:val="auto"/>
                <w:sz w:val="20"/>
                <w:szCs w:val="28"/>
                <w:highlight w:val="none"/>
              </w:rPr>
            </w:pPr>
            <w:r>
              <w:rPr>
                <w:b/>
                <w:color w:val="auto"/>
                <w:sz w:val="20"/>
                <w:szCs w:val="28"/>
                <w:highlight w:val="none"/>
              </w:rPr>
              <w:t>商务</w:t>
            </w:r>
          </w:p>
        </w:tc>
      </w:tr>
      <w:tr w14:paraId="7B8C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5A1375B">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5301927F">
            <w:pPr>
              <w:adjustRightInd w:val="0"/>
              <w:snapToGrid w:val="0"/>
              <w:jc w:val="center"/>
              <w:rPr>
                <w:bCs/>
                <w:color w:val="auto"/>
                <w:sz w:val="20"/>
                <w:szCs w:val="28"/>
                <w:highlight w:val="none"/>
                <w:u w:val="singl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4D669A1C">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BA0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C63898E">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1B1D6865">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A30F7E9">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796E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47B3A5">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DDD935D">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65E318C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E13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06B685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5EB314D8">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07230AAE">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52E9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1B7E26B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687B6331">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55E2CFB">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5637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23871BD">
            <w:pPr>
              <w:adjustRightInd w:val="0"/>
              <w:snapToGrid w:val="0"/>
              <w:jc w:val="center"/>
              <w:rPr>
                <w:b/>
                <w:color w:val="auto"/>
                <w:sz w:val="20"/>
                <w:szCs w:val="28"/>
                <w:highlight w:val="none"/>
              </w:rPr>
            </w:pPr>
            <w:r>
              <w:rPr>
                <w:b/>
                <w:color w:val="auto"/>
                <w:sz w:val="20"/>
                <w:szCs w:val="28"/>
                <w:highlight w:val="none"/>
              </w:rPr>
              <w:t>二</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5644EFA7">
            <w:pPr>
              <w:adjustRightInd w:val="0"/>
              <w:snapToGrid w:val="0"/>
              <w:jc w:val="center"/>
              <w:rPr>
                <w:b/>
                <w:color w:val="auto"/>
                <w:sz w:val="20"/>
                <w:szCs w:val="28"/>
                <w:highlight w:val="none"/>
              </w:rPr>
            </w:pPr>
            <w:r>
              <w:rPr>
                <w:b/>
                <w:color w:val="auto"/>
                <w:sz w:val="20"/>
                <w:szCs w:val="28"/>
                <w:highlight w:val="none"/>
              </w:rPr>
              <w:t>技术</w:t>
            </w:r>
          </w:p>
        </w:tc>
      </w:tr>
      <w:tr w14:paraId="00E5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DB885B2">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6C9D1B7D">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6F911109">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1313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CEE7B7">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4649D011">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ACF36FD">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2926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374302C0">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98CED48">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52933BC">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F0F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3E7EC4F">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28E2BD83">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5F39A98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1847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DC520A1">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0E6AED9C">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EC139F3">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324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097AC45">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420B5A4C">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0A556DA">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bl>
    <w:p w14:paraId="0ECF0909">
      <w:pPr>
        <w:adjustRightInd w:val="0"/>
        <w:snapToGrid w:val="0"/>
        <w:rPr>
          <w:rFonts w:eastAsia="宋体"/>
          <w:color w:val="auto"/>
          <w:sz w:val="28"/>
          <w:szCs w:val="24"/>
          <w:highlight w:val="none"/>
        </w:rPr>
      </w:pPr>
    </w:p>
    <w:p w14:paraId="36819A20">
      <w:pPr>
        <w:adjustRightInd w:val="0"/>
        <w:snapToGrid w:val="0"/>
        <w:rPr>
          <w:rFonts w:eastAsia="宋体"/>
          <w:b/>
          <w:color w:val="auto"/>
          <w:sz w:val="24"/>
          <w:szCs w:val="24"/>
          <w:highlight w:val="none"/>
        </w:rPr>
      </w:pPr>
      <w:r>
        <w:rPr>
          <w:rFonts w:eastAsia="宋体"/>
          <w:color w:val="auto"/>
          <w:sz w:val="24"/>
          <w:szCs w:val="24"/>
          <w:highlight w:val="none"/>
        </w:rPr>
        <w:t>注：</w:t>
      </w:r>
      <w:r>
        <w:rPr>
          <w:rFonts w:eastAsia="宋体"/>
          <w:b/>
          <w:color w:val="auto"/>
          <w:sz w:val="24"/>
          <w:szCs w:val="24"/>
          <w:highlight w:val="none"/>
        </w:rPr>
        <w:t>1. 磋商响应人应对提交的响应文件逐页标注页码。</w:t>
      </w:r>
    </w:p>
    <w:p w14:paraId="2BD1F947">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2. 评审要素索引表的位置应布置在响应文件前面（顺序：磋商响应文件封面后、磋商响应文件目录前）。</w:t>
      </w:r>
    </w:p>
    <w:p w14:paraId="67B859BC">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3. 供应商应按上表的格式，对照竞争性磋商文件中评审办法的评审内容，建立起磋商响应文件相关评审内容与页码之间的索引。</w:t>
      </w:r>
    </w:p>
    <w:p w14:paraId="7F332456">
      <w:pPr>
        <w:adjustRightInd w:val="0"/>
        <w:snapToGrid w:val="0"/>
        <w:rPr>
          <w:rFonts w:eastAsia="宋体"/>
          <w:color w:val="auto"/>
          <w:sz w:val="24"/>
          <w:szCs w:val="24"/>
          <w:highlight w:val="none"/>
        </w:rPr>
      </w:pPr>
      <w:r>
        <w:rPr>
          <w:rFonts w:eastAsia="宋体"/>
          <w:color w:val="auto"/>
          <w:sz w:val="24"/>
          <w:szCs w:val="24"/>
          <w:highlight w:val="none"/>
        </w:rPr>
        <w:br w:type="page"/>
      </w:r>
    </w:p>
    <w:p w14:paraId="5E8D3D58">
      <w:pPr>
        <w:adjustRightInd w:val="0"/>
        <w:snapToGrid w:val="0"/>
        <w:rPr>
          <w:rFonts w:eastAsia="宋体"/>
          <w:color w:val="auto"/>
          <w:sz w:val="24"/>
          <w:szCs w:val="24"/>
          <w:highlight w:val="none"/>
        </w:rPr>
      </w:pPr>
      <w:r>
        <w:rPr>
          <w:rFonts w:eastAsia="宋体"/>
          <w:color w:val="auto"/>
          <w:sz w:val="24"/>
          <w:szCs w:val="24"/>
          <w:highlight w:val="none"/>
        </w:rPr>
        <w:t>格式1：</w:t>
      </w:r>
      <w:r>
        <w:rPr>
          <w:rFonts w:eastAsia="宋体"/>
          <w:color w:val="auto"/>
          <w:sz w:val="24"/>
          <w:szCs w:val="24"/>
          <w:highlight w:val="none"/>
          <w:lang w:val="zh-CN"/>
        </w:rPr>
        <w:t>磋商响应函</w:t>
      </w:r>
    </w:p>
    <w:p w14:paraId="6FF70F0D">
      <w:pPr>
        <w:autoSpaceDE w:val="0"/>
        <w:autoSpaceDN w:val="0"/>
        <w:adjustRightInd w:val="0"/>
        <w:snapToGrid w:val="0"/>
        <w:jc w:val="center"/>
        <w:rPr>
          <w:rFonts w:eastAsia="宋体"/>
          <w:b/>
          <w:color w:val="auto"/>
          <w:sz w:val="24"/>
          <w:szCs w:val="24"/>
          <w:highlight w:val="none"/>
        </w:rPr>
      </w:pPr>
      <w:r>
        <w:rPr>
          <w:rFonts w:eastAsia="宋体"/>
          <w:b/>
          <w:color w:val="auto"/>
          <w:sz w:val="24"/>
          <w:szCs w:val="24"/>
          <w:highlight w:val="none"/>
          <w:lang w:val="zh-CN"/>
        </w:rPr>
        <w:t>磋商响应函</w:t>
      </w:r>
    </w:p>
    <w:p w14:paraId="3ED41203">
      <w:pPr>
        <w:autoSpaceDE w:val="0"/>
        <w:autoSpaceDN w:val="0"/>
        <w:adjustRightInd w:val="0"/>
        <w:snapToGrid w:val="0"/>
        <w:ind w:firstLine="240" w:firstLineChars="10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w:t>
      </w:r>
    </w:p>
    <w:p w14:paraId="37BFBA2A">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lang w:val="zh-CN"/>
        </w:rPr>
        <w:t>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竞争性磋商文件，经仔细阅读和研究，我方决定参加磋商，并向贵公司承诺：</w:t>
      </w:r>
    </w:p>
    <w:p w14:paraId="6BE95CFD">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1</w:t>
      </w:r>
      <w:r>
        <w:rPr>
          <w:rFonts w:eastAsia="宋体"/>
          <w:b/>
          <w:color w:val="auto"/>
          <w:sz w:val="24"/>
          <w:szCs w:val="24"/>
          <w:highlight w:val="none"/>
          <w:lang w:val="zh-CN"/>
        </w:rPr>
        <w:t>.</w:t>
      </w:r>
      <w:r>
        <w:rPr>
          <w:rFonts w:eastAsia="宋体"/>
          <w:color w:val="auto"/>
          <w:sz w:val="24"/>
          <w:szCs w:val="24"/>
          <w:highlight w:val="none"/>
        </w:rPr>
        <w:t>愿意按照磋商采购文件的一切要求，提供以上所有服务，总价格及明细见《磋商响应报价表》。</w:t>
      </w:r>
    </w:p>
    <w:p w14:paraId="0B6AFB75">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2</w:t>
      </w:r>
      <w:r>
        <w:rPr>
          <w:rFonts w:eastAsia="宋体"/>
          <w:b/>
          <w:color w:val="auto"/>
          <w:sz w:val="24"/>
          <w:szCs w:val="24"/>
          <w:highlight w:val="none"/>
          <w:lang w:val="zh-CN"/>
        </w:rPr>
        <w:t>.</w:t>
      </w:r>
      <w:r>
        <w:rPr>
          <w:rFonts w:eastAsia="宋体"/>
          <w:color w:val="auto"/>
          <w:sz w:val="24"/>
          <w:szCs w:val="24"/>
          <w:highlight w:val="none"/>
        </w:rPr>
        <w:t>如果我们的响应文件被接受，我们将严格履行磋商采购文件中规定的每一项要求，按期、按质、按量履行服务义务。</w:t>
      </w:r>
    </w:p>
    <w:p w14:paraId="6D36511D">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3</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天。</w:t>
      </w:r>
    </w:p>
    <w:p w14:paraId="5BFE8028">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4</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42D116E8">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5</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我方认为贵方有权决定成交者，还认为贵方有权接受或拒绝所有的供应商成交。</w:t>
      </w:r>
    </w:p>
    <w:p w14:paraId="5FBBD23F">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6</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我方愿意遵守磋商采购文件中所列的收费标准。</w:t>
      </w:r>
    </w:p>
    <w:p w14:paraId="7D2522B7">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7</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我方承诺该项磋商开始后的全过程中保持有效，不作任何更改和变动。我方同意被确定成交后若不履行我方响应文件的内容要求和各项承诺及义务的即被视为违约，我方成交资格将被取消。</w:t>
      </w:r>
    </w:p>
    <w:p w14:paraId="25BBEE6D">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8</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我方同意我方若无法按约定条款履行义务等行为，采购</w:t>
      </w:r>
      <w:r>
        <w:rPr>
          <w:rFonts w:ascii="Times New Roman" w:hAnsi="Times New Roman" w:eastAsia="宋体"/>
          <w:color w:val="auto"/>
          <w:sz w:val="24"/>
          <w:szCs w:val="24"/>
          <w:highlight w:val="none"/>
        </w:rPr>
        <w:t>人</w:t>
      </w:r>
      <w:r>
        <w:rPr>
          <w:rFonts w:ascii="Times New Roman" w:hAnsi="Times New Roman" w:eastAsia="宋体"/>
          <w:color w:val="auto"/>
          <w:sz w:val="24"/>
          <w:szCs w:val="24"/>
          <w:highlight w:val="none"/>
          <w:lang w:val="zh-CN"/>
        </w:rPr>
        <w:t>有权取消我方的成交资格。</w:t>
      </w:r>
    </w:p>
    <w:p w14:paraId="5E2C2413">
      <w:pPr>
        <w:pStyle w:val="45"/>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9</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rPr>
        <w:t>与本磋商有关的通讯地址：</w:t>
      </w:r>
    </w:p>
    <w:p w14:paraId="170FA077">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联 系 人：</w:t>
      </w:r>
      <w:r>
        <w:rPr>
          <w:rFonts w:ascii="Times New Roman" w:hAnsi="Times New Roman" w:eastAsia="宋体"/>
          <w:color w:val="auto"/>
          <w:sz w:val="24"/>
          <w:szCs w:val="24"/>
          <w:highlight w:val="none"/>
          <w:u w:val="single"/>
        </w:rPr>
        <w:t xml:space="preserve">                   </w:t>
      </w:r>
    </w:p>
    <w:p w14:paraId="7828E212">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p>
    <w:p w14:paraId="5481A6A5">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p>
    <w:p w14:paraId="35BD81C3">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供应商名称：</w:t>
      </w:r>
      <w:r>
        <w:rPr>
          <w:rFonts w:hint="eastAsia" w:ascii="Times New Roman" w:hAnsi="Times New Roman" w:eastAsia="宋体"/>
          <w:color w:val="auto"/>
          <w:sz w:val="24"/>
          <w:szCs w:val="24"/>
          <w:highlight w:val="none"/>
          <w:u w:val="single"/>
          <w:lang w:val="zh-CN"/>
        </w:rPr>
        <w:t>（加盖CA电子公章）</w:t>
      </w:r>
    </w:p>
    <w:p w14:paraId="2A3DCAF1">
      <w:pPr>
        <w:pStyle w:val="45"/>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p>
    <w:p w14:paraId="0A0B27C3">
      <w:pPr>
        <w:adjustRightInd w:val="0"/>
        <w:snapToGrid w:val="0"/>
        <w:spacing w:line="450" w:lineRule="exact"/>
        <w:ind w:firstLine="7200" w:firstLineChars="3000"/>
        <w:rPr>
          <w:rFonts w:eastAsia="宋体"/>
          <w:b/>
          <w:bCs/>
          <w:color w:val="auto"/>
          <w:sz w:val="24"/>
          <w:szCs w:val="24"/>
          <w:highlight w:val="none"/>
        </w:rPr>
      </w:pPr>
      <w:r>
        <w:rPr>
          <w:rFonts w:eastAsia="宋体"/>
          <w:color w:val="auto"/>
          <w:sz w:val="24"/>
          <w:szCs w:val="24"/>
          <w:highlight w:val="none"/>
        </w:rPr>
        <w:t>年     月     日</w:t>
      </w:r>
    </w:p>
    <w:p w14:paraId="28D557E7">
      <w:pPr>
        <w:autoSpaceDE w:val="0"/>
        <w:autoSpaceDN w:val="0"/>
        <w:adjustRightInd w:val="0"/>
        <w:snapToGrid w:val="0"/>
        <w:spacing w:line="450" w:lineRule="exact"/>
        <w:rPr>
          <w:rFonts w:eastAsia="宋体"/>
          <w:b/>
          <w:bCs/>
          <w:color w:val="auto"/>
          <w:sz w:val="24"/>
          <w:szCs w:val="24"/>
          <w:highlight w:val="none"/>
        </w:rPr>
      </w:pPr>
    </w:p>
    <w:p w14:paraId="234BA402">
      <w:pPr>
        <w:adjustRightInd w:val="0"/>
        <w:snapToGrid w:val="0"/>
        <w:rPr>
          <w:rFonts w:eastAsia="宋体"/>
          <w:color w:val="auto"/>
          <w:sz w:val="24"/>
          <w:szCs w:val="24"/>
          <w:highlight w:val="none"/>
        </w:rPr>
      </w:pPr>
    </w:p>
    <w:p w14:paraId="3A4AD83C">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格式2：磋商响应报价表</w:t>
      </w:r>
      <w:bookmarkEnd w:id="76"/>
      <w:bookmarkEnd w:id="77"/>
    </w:p>
    <w:p w14:paraId="51BC3026">
      <w:pPr>
        <w:adjustRightInd w:val="0"/>
        <w:snapToGrid w:val="0"/>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磋商响应报价表</w:t>
      </w:r>
    </w:p>
    <w:p w14:paraId="7AEE755E">
      <w:pPr>
        <w:adjustRightInd w:val="0"/>
        <w:snapToGrid w:val="0"/>
        <w:rPr>
          <w:rFonts w:eastAsia="宋体"/>
          <w:color w:val="auto"/>
          <w:sz w:val="24"/>
          <w:szCs w:val="24"/>
          <w:highlight w:val="none"/>
          <w:u w:val="single"/>
        </w:rPr>
      </w:pPr>
      <w:r>
        <w:rPr>
          <w:rFonts w:eastAsia="宋体"/>
          <w:color w:val="auto"/>
          <w:sz w:val="24"/>
          <w:szCs w:val="24"/>
          <w:highlight w:val="none"/>
        </w:rPr>
        <w:t>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p>
    <w:p w14:paraId="6AFE980F">
      <w:pPr>
        <w:adjustRightInd w:val="0"/>
        <w:snapToGrid w:val="0"/>
        <w:rPr>
          <w:rFonts w:eastAsia="宋体"/>
          <w:color w:val="auto"/>
          <w:sz w:val="24"/>
          <w:szCs w:val="24"/>
          <w:highlight w:val="none"/>
        </w:rPr>
      </w:pPr>
      <w:r>
        <w:rPr>
          <w:rFonts w:eastAsia="宋体"/>
          <w:color w:val="auto"/>
          <w:sz w:val="24"/>
          <w:szCs w:val="24"/>
          <w:highlight w:val="none"/>
        </w:rPr>
        <w:t>供应商（盖章）：</w:t>
      </w:r>
    </w:p>
    <w:p w14:paraId="535AB45A">
      <w:pPr>
        <w:adjustRightInd w:val="0"/>
        <w:snapToGrid w:val="0"/>
        <w:rPr>
          <w:rFonts w:eastAsia="宋体"/>
          <w:color w:val="auto"/>
          <w:sz w:val="24"/>
          <w:szCs w:val="24"/>
          <w:highlight w:val="none"/>
          <w:u w:val="single"/>
        </w:rPr>
      </w:pPr>
    </w:p>
    <w:tbl>
      <w:tblPr>
        <w:tblStyle w:val="27"/>
        <w:tblW w:w="10055" w:type="dxa"/>
        <w:tblInd w:w="3" w:type="dxa"/>
        <w:tblLayout w:type="fixed"/>
        <w:tblCellMar>
          <w:top w:w="0" w:type="dxa"/>
          <w:left w:w="108" w:type="dxa"/>
          <w:bottom w:w="0" w:type="dxa"/>
          <w:right w:w="108" w:type="dxa"/>
        </w:tblCellMar>
      </w:tblPr>
      <w:tblGrid>
        <w:gridCol w:w="623"/>
        <w:gridCol w:w="2002"/>
        <w:gridCol w:w="2158"/>
        <w:gridCol w:w="1276"/>
        <w:gridCol w:w="1512"/>
        <w:gridCol w:w="2484"/>
      </w:tblGrid>
      <w:tr w14:paraId="014777E0">
        <w:tblPrEx>
          <w:tblCellMar>
            <w:top w:w="0" w:type="dxa"/>
            <w:left w:w="108" w:type="dxa"/>
            <w:bottom w:w="0" w:type="dxa"/>
            <w:right w:w="108" w:type="dxa"/>
          </w:tblCellMar>
        </w:tblPrEx>
        <w:trPr>
          <w:trHeight w:val="957" w:hRule="atLeast"/>
        </w:trPr>
        <w:tc>
          <w:tcPr>
            <w:tcW w:w="623" w:type="dxa"/>
            <w:tcBorders>
              <w:top w:val="single" w:color="auto" w:sz="6" w:space="0"/>
              <w:left w:val="single" w:color="auto" w:sz="6" w:space="0"/>
              <w:bottom w:val="single" w:color="auto" w:sz="6" w:space="0"/>
              <w:right w:val="single" w:color="auto" w:sz="6" w:space="0"/>
            </w:tcBorders>
            <w:vAlign w:val="center"/>
          </w:tcPr>
          <w:p w14:paraId="490334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序号</w:t>
            </w:r>
          </w:p>
        </w:tc>
        <w:tc>
          <w:tcPr>
            <w:tcW w:w="2002" w:type="dxa"/>
            <w:tcBorders>
              <w:top w:val="single" w:color="auto" w:sz="6" w:space="0"/>
              <w:left w:val="single" w:color="auto" w:sz="6" w:space="0"/>
              <w:bottom w:val="single" w:color="auto" w:sz="6" w:space="0"/>
              <w:right w:val="single" w:color="auto" w:sz="6" w:space="0"/>
            </w:tcBorders>
            <w:vAlign w:val="center"/>
          </w:tcPr>
          <w:p w14:paraId="13EBCD0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项目名称</w:t>
            </w:r>
          </w:p>
        </w:tc>
        <w:tc>
          <w:tcPr>
            <w:tcW w:w="2158" w:type="dxa"/>
            <w:tcBorders>
              <w:top w:val="single" w:color="auto" w:sz="6" w:space="0"/>
              <w:left w:val="single" w:color="auto" w:sz="6" w:space="0"/>
              <w:bottom w:val="single" w:color="auto" w:sz="6" w:space="0"/>
              <w:right w:val="single" w:color="auto" w:sz="6" w:space="0"/>
            </w:tcBorders>
            <w:vAlign w:val="center"/>
          </w:tcPr>
          <w:p w14:paraId="433BB3C0">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报价（元）</w:t>
            </w:r>
          </w:p>
        </w:tc>
        <w:tc>
          <w:tcPr>
            <w:tcW w:w="1276" w:type="dxa"/>
            <w:tcBorders>
              <w:top w:val="single" w:color="auto" w:sz="6" w:space="0"/>
              <w:left w:val="single" w:color="auto" w:sz="6" w:space="0"/>
              <w:bottom w:val="single" w:color="auto" w:sz="6" w:space="0"/>
              <w:right w:val="single" w:color="auto" w:sz="6" w:space="0"/>
            </w:tcBorders>
            <w:vAlign w:val="center"/>
          </w:tcPr>
          <w:p w14:paraId="364293CF">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服务期限</w:t>
            </w:r>
          </w:p>
          <w:p w14:paraId="4D3D2AD1">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（工期）</w:t>
            </w:r>
          </w:p>
        </w:tc>
        <w:tc>
          <w:tcPr>
            <w:tcW w:w="1512" w:type="dxa"/>
            <w:tcBorders>
              <w:top w:val="single" w:color="auto" w:sz="6" w:space="0"/>
              <w:left w:val="single" w:color="auto" w:sz="6" w:space="0"/>
              <w:bottom w:val="single" w:color="auto" w:sz="6" w:space="0"/>
              <w:right w:val="single" w:color="auto" w:sz="6" w:space="0"/>
            </w:tcBorders>
            <w:vAlign w:val="center"/>
          </w:tcPr>
          <w:p w14:paraId="6B6B9CF3">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项目负责人</w:t>
            </w:r>
          </w:p>
        </w:tc>
        <w:tc>
          <w:tcPr>
            <w:tcW w:w="2484" w:type="dxa"/>
            <w:tcBorders>
              <w:top w:val="single" w:color="auto" w:sz="6" w:space="0"/>
              <w:left w:val="single" w:color="auto" w:sz="6" w:space="0"/>
              <w:bottom w:val="single" w:color="auto" w:sz="6" w:space="0"/>
              <w:right w:val="single" w:color="auto" w:sz="6" w:space="0"/>
            </w:tcBorders>
            <w:vAlign w:val="center"/>
          </w:tcPr>
          <w:p w14:paraId="5AD0ED16">
            <w:pPr>
              <w:autoSpaceDE w:val="0"/>
              <w:autoSpaceDN w:val="0"/>
              <w:adjustRightInd w:val="0"/>
              <w:snapToGrid w:val="0"/>
              <w:jc w:val="center"/>
              <w:rPr>
                <w:color w:val="auto"/>
                <w:highlight w:val="none"/>
              </w:rPr>
            </w:pPr>
            <w:r>
              <w:rPr>
                <w:rFonts w:eastAsia="宋体"/>
                <w:color w:val="auto"/>
                <w:sz w:val="24"/>
                <w:szCs w:val="24"/>
                <w:highlight w:val="none"/>
              </w:rPr>
              <w:t>是否中小微企业（注：填入</w:t>
            </w:r>
            <w:r>
              <w:rPr>
                <w:rFonts w:eastAsia="宋体"/>
                <w:b/>
                <w:bCs/>
                <w:color w:val="auto"/>
                <w:sz w:val="24"/>
                <w:szCs w:val="24"/>
                <w:highlight w:val="none"/>
                <w:u w:val="single"/>
              </w:rPr>
              <w:t>中型</w:t>
            </w:r>
            <w:r>
              <w:rPr>
                <w:rFonts w:eastAsia="宋体"/>
                <w:b/>
                <w:bCs/>
                <w:color w:val="auto"/>
                <w:sz w:val="24"/>
                <w:szCs w:val="24"/>
                <w:highlight w:val="none"/>
              </w:rPr>
              <w:t>/</w:t>
            </w:r>
            <w:r>
              <w:rPr>
                <w:rFonts w:eastAsia="宋体"/>
                <w:b/>
                <w:bCs/>
                <w:color w:val="auto"/>
                <w:sz w:val="24"/>
                <w:szCs w:val="24"/>
                <w:highlight w:val="none"/>
                <w:u w:val="single"/>
              </w:rPr>
              <w:t>小型</w:t>
            </w:r>
            <w:r>
              <w:rPr>
                <w:rFonts w:eastAsia="宋体"/>
                <w:b/>
                <w:bCs/>
                <w:color w:val="auto"/>
                <w:sz w:val="24"/>
                <w:szCs w:val="24"/>
                <w:highlight w:val="none"/>
              </w:rPr>
              <w:t>/</w:t>
            </w:r>
            <w:r>
              <w:rPr>
                <w:rFonts w:eastAsia="宋体"/>
                <w:b/>
                <w:bCs/>
                <w:color w:val="auto"/>
                <w:sz w:val="24"/>
                <w:szCs w:val="24"/>
                <w:highlight w:val="none"/>
                <w:u w:val="single"/>
              </w:rPr>
              <w:t>微型</w:t>
            </w:r>
            <w:r>
              <w:rPr>
                <w:rFonts w:eastAsia="宋体"/>
                <w:b/>
                <w:bCs/>
                <w:color w:val="auto"/>
                <w:sz w:val="24"/>
                <w:szCs w:val="24"/>
                <w:highlight w:val="none"/>
              </w:rPr>
              <w:t>或</w:t>
            </w:r>
            <w:r>
              <w:rPr>
                <w:rFonts w:eastAsia="宋体"/>
                <w:b/>
                <w:bCs/>
                <w:color w:val="auto"/>
                <w:sz w:val="24"/>
                <w:szCs w:val="24"/>
                <w:highlight w:val="none"/>
                <w:u w:val="single"/>
              </w:rPr>
              <w:t>否</w:t>
            </w:r>
            <w:r>
              <w:rPr>
                <w:rFonts w:eastAsia="宋体"/>
                <w:color w:val="auto"/>
                <w:sz w:val="24"/>
                <w:szCs w:val="24"/>
                <w:highlight w:val="none"/>
              </w:rPr>
              <w:t>）</w:t>
            </w:r>
          </w:p>
        </w:tc>
      </w:tr>
      <w:tr w14:paraId="6ECA6642">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4D3116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1</w:t>
            </w:r>
          </w:p>
        </w:tc>
        <w:tc>
          <w:tcPr>
            <w:tcW w:w="2002" w:type="dxa"/>
            <w:tcBorders>
              <w:top w:val="single" w:color="auto" w:sz="6" w:space="0"/>
              <w:left w:val="single" w:color="auto" w:sz="6" w:space="0"/>
              <w:bottom w:val="single" w:color="auto" w:sz="6" w:space="0"/>
              <w:right w:val="single" w:color="auto" w:sz="6" w:space="0"/>
            </w:tcBorders>
            <w:vAlign w:val="center"/>
          </w:tcPr>
          <w:p w14:paraId="20D5BA2F">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586D969F">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464D1C4C">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33AA9DE2">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CE18BCC">
            <w:pPr>
              <w:autoSpaceDE w:val="0"/>
              <w:autoSpaceDN w:val="0"/>
              <w:adjustRightInd w:val="0"/>
              <w:snapToGrid w:val="0"/>
              <w:jc w:val="center"/>
              <w:rPr>
                <w:rFonts w:eastAsia="宋体"/>
                <w:color w:val="auto"/>
                <w:sz w:val="24"/>
                <w:szCs w:val="24"/>
                <w:highlight w:val="none"/>
                <w:lang w:val="zh-CN"/>
              </w:rPr>
            </w:pPr>
          </w:p>
        </w:tc>
      </w:tr>
      <w:tr w14:paraId="18CE9B3B">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37942B7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w:t>
            </w:r>
          </w:p>
        </w:tc>
        <w:tc>
          <w:tcPr>
            <w:tcW w:w="2002" w:type="dxa"/>
            <w:tcBorders>
              <w:top w:val="single" w:color="auto" w:sz="6" w:space="0"/>
              <w:left w:val="single" w:color="auto" w:sz="6" w:space="0"/>
              <w:bottom w:val="single" w:color="auto" w:sz="6" w:space="0"/>
              <w:right w:val="single" w:color="auto" w:sz="6" w:space="0"/>
            </w:tcBorders>
            <w:vAlign w:val="center"/>
          </w:tcPr>
          <w:p w14:paraId="3E3C3BD1">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2619ED1B">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0DC6ACCE">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6A23802D">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1F5C357">
            <w:pPr>
              <w:autoSpaceDE w:val="0"/>
              <w:autoSpaceDN w:val="0"/>
              <w:adjustRightInd w:val="0"/>
              <w:snapToGrid w:val="0"/>
              <w:jc w:val="center"/>
              <w:rPr>
                <w:rFonts w:eastAsia="宋体"/>
                <w:color w:val="auto"/>
                <w:sz w:val="24"/>
                <w:szCs w:val="24"/>
                <w:highlight w:val="none"/>
                <w:lang w:val="zh-CN"/>
              </w:rPr>
            </w:pPr>
          </w:p>
        </w:tc>
      </w:tr>
      <w:tr w14:paraId="0E8B21F0">
        <w:tblPrEx>
          <w:tblCellMar>
            <w:top w:w="0" w:type="dxa"/>
            <w:left w:w="108" w:type="dxa"/>
            <w:bottom w:w="0" w:type="dxa"/>
            <w:right w:w="108" w:type="dxa"/>
          </w:tblCellMar>
        </w:tblPrEx>
        <w:trPr>
          <w:trHeight w:val="951" w:hRule="atLeast"/>
        </w:trPr>
        <w:tc>
          <w:tcPr>
            <w:tcW w:w="2625" w:type="dxa"/>
            <w:gridSpan w:val="2"/>
            <w:tcBorders>
              <w:top w:val="single" w:color="auto" w:sz="6" w:space="0"/>
              <w:left w:val="single" w:color="auto" w:sz="6" w:space="0"/>
              <w:bottom w:val="single" w:color="auto" w:sz="6" w:space="0"/>
              <w:right w:val="single" w:color="auto" w:sz="6" w:space="0"/>
            </w:tcBorders>
            <w:vAlign w:val="center"/>
          </w:tcPr>
          <w:p w14:paraId="1FF1A9FD">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总报价</w:t>
            </w:r>
          </w:p>
        </w:tc>
        <w:tc>
          <w:tcPr>
            <w:tcW w:w="2158" w:type="dxa"/>
            <w:tcBorders>
              <w:top w:val="single" w:color="auto" w:sz="6" w:space="0"/>
              <w:left w:val="single" w:color="auto" w:sz="6" w:space="0"/>
              <w:bottom w:val="single" w:color="auto" w:sz="4" w:space="0"/>
              <w:right w:val="single" w:color="auto" w:sz="6" w:space="0"/>
            </w:tcBorders>
            <w:vAlign w:val="center"/>
          </w:tcPr>
          <w:p w14:paraId="3695B909">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7129520D">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7F356E21">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7CB24A6C">
            <w:pPr>
              <w:autoSpaceDE w:val="0"/>
              <w:autoSpaceDN w:val="0"/>
              <w:adjustRightInd w:val="0"/>
              <w:snapToGrid w:val="0"/>
              <w:jc w:val="center"/>
              <w:rPr>
                <w:rFonts w:eastAsia="宋体"/>
                <w:color w:val="auto"/>
                <w:sz w:val="24"/>
                <w:szCs w:val="24"/>
                <w:highlight w:val="none"/>
                <w:lang w:val="zh-CN"/>
              </w:rPr>
            </w:pPr>
          </w:p>
        </w:tc>
      </w:tr>
      <w:tr w14:paraId="7D1DF4F2">
        <w:tblPrEx>
          <w:tblCellMar>
            <w:top w:w="0" w:type="dxa"/>
            <w:left w:w="108" w:type="dxa"/>
            <w:bottom w:w="0" w:type="dxa"/>
            <w:right w:w="108" w:type="dxa"/>
          </w:tblCellMar>
        </w:tblPrEx>
        <w:trPr>
          <w:trHeight w:val="857" w:hRule="atLeast"/>
        </w:trPr>
        <w:tc>
          <w:tcPr>
            <w:tcW w:w="10055" w:type="dxa"/>
            <w:gridSpan w:val="6"/>
            <w:tcBorders>
              <w:top w:val="nil"/>
              <w:left w:val="single" w:color="auto" w:sz="6" w:space="0"/>
              <w:bottom w:val="single" w:color="auto" w:sz="6" w:space="0"/>
              <w:right w:val="single" w:color="auto" w:sz="6" w:space="0"/>
            </w:tcBorders>
            <w:vAlign w:val="center"/>
          </w:tcPr>
          <w:p w14:paraId="2978E289">
            <w:pPr>
              <w:autoSpaceDE w:val="0"/>
              <w:autoSpaceDN w:val="0"/>
              <w:adjustRightInd w:val="0"/>
              <w:snapToGrid w:val="0"/>
              <w:rPr>
                <w:rFonts w:eastAsia="宋体"/>
                <w:color w:val="auto"/>
                <w:sz w:val="24"/>
                <w:szCs w:val="24"/>
                <w:highlight w:val="none"/>
                <w:lang w:val="zh-CN"/>
              </w:rPr>
            </w:pPr>
            <w:r>
              <w:rPr>
                <w:rFonts w:eastAsia="宋体"/>
                <w:color w:val="auto"/>
                <w:sz w:val="24"/>
                <w:szCs w:val="24"/>
                <w:highlight w:val="none"/>
                <w:lang w:val="zh-CN"/>
              </w:rPr>
              <w:t>报价（人民币大写）：                    ￥：</w:t>
            </w:r>
          </w:p>
        </w:tc>
      </w:tr>
    </w:tbl>
    <w:p w14:paraId="5B78CFDA">
      <w:pPr>
        <w:adjustRightInd w:val="0"/>
        <w:snapToGrid w:val="0"/>
        <w:rPr>
          <w:rFonts w:eastAsia="宋体"/>
          <w:color w:val="auto"/>
          <w:spacing w:val="20"/>
          <w:sz w:val="24"/>
          <w:szCs w:val="24"/>
          <w:highlight w:val="none"/>
        </w:rPr>
      </w:pPr>
      <w:r>
        <w:rPr>
          <w:rFonts w:hint="eastAsia" w:eastAsia="宋体"/>
          <w:color w:val="auto"/>
          <w:sz w:val="24"/>
          <w:szCs w:val="24"/>
          <w:highlight w:val="none"/>
        </w:rPr>
        <w:t xml:space="preserve">供应商名称：（加盖CA电子公章）  </w:t>
      </w:r>
      <w:r>
        <w:rPr>
          <w:rFonts w:eastAsia="宋体"/>
          <w:color w:val="auto"/>
          <w:spacing w:val="20"/>
          <w:sz w:val="24"/>
          <w:szCs w:val="24"/>
          <w:highlight w:val="none"/>
        </w:rPr>
        <w:t xml:space="preserve">       日期：</w:t>
      </w:r>
    </w:p>
    <w:p w14:paraId="7051F283">
      <w:pPr>
        <w:adjustRightInd w:val="0"/>
        <w:snapToGrid w:val="0"/>
        <w:rPr>
          <w:rFonts w:eastAsia="宋体"/>
          <w:color w:val="auto"/>
          <w:spacing w:val="20"/>
          <w:sz w:val="24"/>
          <w:szCs w:val="24"/>
          <w:highlight w:val="none"/>
        </w:rPr>
      </w:pPr>
    </w:p>
    <w:p w14:paraId="5666774D">
      <w:pPr>
        <w:adjustRightInd w:val="0"/>
        <w:snapToGrid w:val="0"/>
        <w:rPr>
          <w:rFonts w:eastAsia="宋体"/>
          <w:color w:val="auto"/>
          <w:spacing w:val="20"/>
          <w:sz w:val="24"/>
          <w:szCs w:val="24"/>
          <w:highlight w:val="none"/>
        </w:rPr>
      </w:pPr>
    </w:p>
    <w:p w14:paraId="0A466065">
      <w:pPr>
        <w:adjustRightInd w:val="0"/>
        <w:snapToGrid w:val="0"/>
        <w:rPr>
          <w:rFonts w:eastAsia="宋体"/>
          <w:color w:val="auto"/>
          <w:spacing w:val="20"/>
          <w:sz w:val="24"/>
          <w:szCs w:val="24"/>
          <w:highlight w:val="none"/>
        </w:rPr>
      </w:pPr>
      <w:r>
        <w:rPr>
          <w:rFonts w:eastAsia="宋体"/>
          <w:color w:val="auto"/>
          <w:spacing w:val="20"/>
          <w:sz w:val="24"/>
          <w:szCs w:val="24"/>
          <w:highlight w:val="none"/>
        </w:rPr>
        <w:t>注：</w:t>
      </w:r>
    </w:p>
    <w:p w14:paraId="6C41476C">
      <w:pPr>
        <w:spacing w:line="360" w:lineRule="auto"/>
        <w:rPr>
          <w:rFonts w:eastAsia="宋体"/>
          <w:bCs/>
          <w:color w:val="auto"/>
          <w:spacing w:val="20"/>
          <w:sz w:val="24"/>
          <w:szCs w:val="24"/>
          <w:highlight w:val="none"/>
        </w:rPr>
      </w:pPr>
      <w:r>
        <w:rPr>
          <w:rFonts w:eastAsia="宋体"/>
          <w:bCs/>
          <w:color w:val="auto"/>
          <w:spacing w:val="20"/>
          <w:sz w:val="24"/>
          <w:szCs w:val="24"/>
          <w:highlight w:val="none"/>
        </w:rPr>
        <w:t>1、上述报价包含一切由服务方承担的费用（包含人、材、机、规费、税金等在内的一切费用）。</w:t>
      </w:r>
    </w:p>
    <w:p w14:paraId="3B1E3C24">
      <w:pPr>
        <w:spacing w:line="360" w:lineRule="auto"/>
        <w:rPr>
          <w:rFonts w:eastAsia="宋体"/>
          <w:b/>
          <w:color w:val="auto"/>
          <w:spacing w:val="20"/>
          <w:sz w:val="24"/>
          <w:szCs w:val="24"/>
          <w:highlight w:val="none"/>
        </w:rPr>
      </w:pPr>
      <w:r>
        <w:rPr>
          <w:rFonts w:eastAsia="宋体"/>
          <w:b/>
          <w:color w:val="auto"/>
          <w:spacing w:val="20"/>
          <w:sz w:val="24"/>
          <w:szCs w:val="24"/>
          <w:highlight w:val="none"/>
        </w:rPr>
        <w:t>2、供应商需附详细报价表。（</w:t>
      </w:r>
      <w:r>
        <w:rPr>
          <w:rFonts w:hint="eastAsia" w:eastAsia="宋体"/>
          <w:b/>
          <w:color w:val="auto"/>
          <w:spacing w:val="20"/>
          <w:sz w:val="24"/>
          <w:szCs w:val="24"/>
          <w:highlight w:val="none"/>
          <w:u w:val="single"/>
        </w:rPr>
        <w:t>依据“第三章采购需求及其工程量清单和报价明细表”自行编制详细报价表，否则视为不实质性响应采购文件</w:t>
      </w:r>
      <w:r>
        <w:rPr>
          <w:rFonts w:eastAsia="宋体"/>
          <w:b/>
          <w:color w:val="auto"/>
          <w:spacing w:val="20"/>
          <w:sz w:val="24"/>
          <w:szCs w:val="24"/>
          <w:highlight w:val="none"/>
        </w:rPr>
        <w:t>）。</w:t>
      </w:r>
    </w:p>
    <w:p w14:paraId="2B8A38B9">
      <w:pPr>
        <w:spacing w:line="360" w:lineRule="auto"/>
        <w:rPr>
          <w:rFonts w:eastAsia="宋体"/>
          <w:bCs/>
          <w:color w:val="auto"/>
          <w:spacing w:val="20"/>
          <w:sz w:val="24"/>
          <w:szCs w:val="24"/>
          <w:highlight w:val="none"/>
        </w:rPr>
      </w:pPr>
      <w:r>
        <w:rPr>
          <w:rFonts w:eastAsia="宋体"/>
          <w:b/>
          <w:color w:val="auto"/>
          <w:spacing w:val="20"/>
          <w:sz w:val="24"/>
          <w:szCs w:val="24"/>
          <w:highlight w:val="none"/>
        </w:rPr>
        <w:t>3、供应商需对应第二章“供应商须知”中“</w:t>
      </w:r>
      <w:r>
        <w:rPr>
          <w:rFonts w:hint="eastAsia" w:eastAsia="宋体"/>
          <w:b/>
          <w:color w:val="auto"/>
          <w:spacing w:val="20"/>
          <w:sz w:val="24"/>
          <w:szCs w:val="24"/>
          <w:highlight w:val="none"/>
        </w:rPr>
        <w:t>28</w:t>
      </w:r>
      <w:r>
        <w:rPr>
          <w:rFonts w:eastAsia="宋体"/>
          <w:b/>
          <w:color w:val="auto"/>
          <w:spacing w:val="20"/>
          <w:sz w:val="24"/>
          <w:szCs w:val="24"/>
          <w:highlight w:val="none"/>
        </w:rPr>
        <w:t>.政策功能”中要求，相关报价一一对应列出，并提供详细证明文件。如未提供，或相关内容表述不清前后矛盾的，不享受价格扣除或加分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w:t>
      </w:r>
    </w:p>
    <w:p w14:paraId="7456EF3C">
      <w:pPr>
        <w:bidi w:val="0"/>
        <w:rPr>
          <w:color w:val="auto"/>
          <w:highlight w:val="none"/>
        </w:rPr>
      </w:pPr>
    </w:p>
    <w:p w14:paraId="240B2FC9">
      <w:pPr>
        <w:bidi w:val="0"/>
        <w:rPr>
          <w:color w:val="auto"/>
          <w:highlight w:val="none"/>
        </w:rPr>
      </w:pPr>
    </w:p>
    <w:p w14:paraId="72CEB1B0">
      <w:pPr>
        <w:adjustRightInd w:val="0"/>
        <w:snapToGrid w:val="0"/>
        <w:rPr>
          <w:rFonts w:eastAsia="宋体"/>
          <w:color w:val="auto"/>
          <w:sz w:val="24"/>
          <w:szCs w:val="24"/>
          <w:highlight w:val="none"/>
        </w:rPr>
      </w:pPr>
      <w:bookmarkStart w:id="78" w:name="_Toc469305419"/>
      <w:bookmarkStart w:id="79" w:name="_Toc514856790"/>
      <w:bookmarkStart w:id="80" w:name="_Toc6385492"/>
      <w:r>
        <w:rPr>
          <w:rFonts w:eastAsia="宋体"/>
          <w:color w:val="auto"/>
          <w:sz w:val="24"/>
          <w:szCs w:val="24"/>
          <w:highlight w:val="none"/>
        </w:rPr>
        <w:br w:type="page"/>
      </w:r>
    </w:p>
    <w:p w14:paraId="2B598C2A">
      <w:pPr>
        <w:adjustRightInd w:val="0"/>
        <w:snapToGrid w:val="0"/>
        <w:rPr>
          <w:rFonts w:eastAsia="宋体"/>
          <w:b/>
          <w:bCs/>
          <w:color w:val="auto"/>
          <w:sz w:val="24"/>
          <w:szCs w:val="24"/>
          <w:highlight w:val="none"/>
        </w:rPr>
      </w:pPr>
      <w:r>
        <w:rPr>
          <w:rFonts w:eastAsia="宋体"/>
          <w:color w:val="auto"/>
          <w:sz w:val="24"/>
          <w:szCs w:val="24"/>
          <w:highlight w:val="none"/>
        </w:rPr>
        <w:t>格式3：</w:t>
      </w:r>
      <w:r>
        <w:rPr>
          <w:rFonts w:eastAsia="宋体"/>
          <w:bCs/>
          <w:color w:val="auto"/>
          <w:sz w:val="24"/>
          <w:szCs w:val="24"/>
          <w:highlight w:val="none"/>
        </w:rPr>
        <w:t>法定代表人授权委托书</w:t>
      </w:r>
    </w:p>
    <w:p w14:paraId="3E54055A">
      <w:pPr>
        <w:adjustRightInd w:val="0"/>
        <w:snapToGrid w:val="0"/>
        <w:rPr>
          <w:rFonts w:eastAsia="宋体"/>
          <w:color w:val="auto"/>
          <w:sz w:val="24"/>
          <w:szCs w:val="24"/>
          <w:highlight w:val="none"/>
        </w:rPr>
      </w:pPr>
    </w:p>
    <w:p w14:paraId="705B6BB5">
      <w:pPr>
        <w:adjustRightInd w:val="0"/>
        <w:snapToGrid w:val="0"/>
        <w:jc w:val="center"/>
        <w:rPr>
          <w:rFonts w:eastAsia="宋体"/>
          <w:b/>
          <w:bCs/>
          <w:color w:val="auto"/>
          <w:sz w:val="24"/>
          <w:szCs w:val="24"/>
          <w:highlight w:val="none"/>
        </w:rPr>
      </w:pPr>
      <w:r>
        <w:rPr>
          <w:rFonts w:eastAsia="宋体"/>
          <w:b/>
          <w:bCs/>
          <w:color w:val="auto"/>
          <w:sz w:val="24"/>
          <w:szCs w:val="24"/>
          <w:highlight w:val="none"/>
        </w:rPr>
        <w:t>法定代表人授权委托书</w:t>
      </w:r>
    </w:p>
    <w:p w14:paraId="64744E94">
      <w:pPr>
        <w:adjustRightInd w:val="0"/>
        <w:snapToGrid w:val="0"/>
        <w:jc w:val="center"/>
        <w:rPr>
          <w:rFonts w:eastAsia="宋体"/>
          <w:b/>
          <w:bCs/>
          <w:color w:val="auto"/>
          <w:sz w:val="24"/>
          <w:szCs w:val="24"/>
          <w:highlight w:val="none"/>
        </w:rPr>
      </w:pPr>
    </w:p>
    <w:p w14:paraId="25F06796">
      <w:pPr>
        <w:adjustRightInd w:val="0"/>
        <w:snapToGrid w:val="0"/>
        <w:jc w:val="center"/>
        <w:rPr>
          <w:rFonts w:eastAsia="宋体"/>
          <w:b/>
          <w:bCs/>
          <w:color w:val="auto"/>
          <w:sz w:val="24"/>
          <w:szCs w:val="24"/>
          <w:highlight w:val="none"/>
        </w:rPr>
      </w:pPr>
    </w:p>
    <w:p w14:paraId="277AD6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rPr>
        <w:t>（采购人或代理机构）</w:t>
      </w:r>
      <w:r>
        <w:rPr>
          <w:rFonts w:hint="eastAsia" w:ascii="宋体" w:hAnsi="宋体" w:eastAsia="宋体" w:cs="宋体"/>
          <w:color w:val="auto"/>
          <w:sz w:val="24"/>
          <w:szCs w:val="24"/>
          <w:highlight w:val="none"/>
        </w:rPr>
        <w:t>：</w:t>
      </w:r>
    </w:p>
    <w:p w14:paraId="2819B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p>
    <w:p w14:paraId="770D345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u w:val="single"/>
        </w:rPr>
        <w:t xml:space="preserve">                                            </w:t>
      </w:r>
    </w:p>
    <w:p w14:paraId="10733C8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p>
    <w:p w14:paraId="35EE3E7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F5A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C5F2C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B85D9E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代表我参加</w:t>
      </w:r>
      <w:r>
        <w:rPr>
          <w:rFonts w:hint="eastAsia" w:ascii="宋体" w:hAnsi="宋体" w:eastAsia="宋体" w:cs="宋体"/>
          <w:b/>
          <w:color w:val="auto"/>
          <w:sz w:val="24"/>
          <w:szCs w:val="24"/>
          <w:highlight w:val="none"/>
          <w:u w:val="single"/>
        </w:rPr>
        <w:t>江苏省鸿源招标代理股份有限公司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采购活动，受托人有权在该采购活动中，以我单位的名义签署报价函和报价文件，与贵单位协商、澄清、解释，签订合同书并执行一切与此有关的事项。</w:t>
      </w:r>
    </w:p>
    <w:p w14:paraId="542E317E">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受托人在办理上述事宜过程中以其自己的名义所签署的所有文件我均予以承认。受托人无转委托权。</w:t>
      </w:r>
    </w:p>
    <w:p w14:paraId="22AD4D1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667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170C1C57">
            <w:pPr>
              <w:rPr>
                <w:rFonts w:ascii="MingLiU_HKSCS" w:hAnsi="Courier New" w:eastAsia="MingLiU_HKSCS" w:cs="MingLiU_HKSCS"/>
                <w:color w:val="auto"/>
                <w:sz w:val="21"/>
                <w:szCs w:val="21"/>
                <w:highlight w:val="none"/>
              </w:rPr>
            </w:pPr>
          </w:p>
          <w:p w14:paraId="12DAB566">
            <w:pPr>
              <w:rPr>
                <w:rFonts w:ascii="MingLiU_HKSCS" w:hAnsi="Courier New" w:eastAsia="宋体" w:cs="MingLiU_HKSCS"/>
                <w:color w:val="auto"/>
                <w:sz w:val="21"/>
                <w:szCs w:val="21"/>
                <w:highlight w:val="none"/>
              </w:rPr>
            </w:pPr>
          </w:p>
          <w:p w14:paraId="5F9F138D">
            <w:pPr>
              <w:rPr>
                <w:rFonts w:ascii="MingLiU_HKSCS" w:hAnsi="Courier New" w:eastAsia="宋体" w:cs="MingLiU_HKSCS"/>
                <w:color w:val="auto"/>
                <w:sz w:val="21"/>
                <w:szCs w:val="21"/>
                <w:highlight w:val="none"/>
              </w:rPr>
            </w:pPr>
          </w:p>
          <w:p w14:paraId="22A1EB40">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法定代表人及授权代表身份证正反面复印件</w:t>
            </w:r>
          </w:p>
          <w:p w14:paraId="68ED8EB1">
            <w:pPr>
              <w:rPr>
                <w:rFonts w:ascii="MingLiU_HKSCS" w:hAnsi="Courier New" w:eastAsia="MingLiU_HKSCS" w:cs="MingLiU_HKSCS"/>
                <w:color w:val="auto"/>
                <w:sz w:val="21"/>
                <w:szCs w:val="21"/>
                <w:highlight w:val="none"/>
              </w:rPr>
            </w:pPr>
          </w:p>
          <w:p w14:paraId="04EBA369">
            <w:pPr>
              <w:rPr>
                <w:rFonts w:ascii="MingLiU_HKSCS" w:hAnsi="Courier New" w:eastAsia="MingLiU_HKSCS" w:cs="MingLiU_HKSCS"/>
                <w:color w:val="auto"/>
                <w:sz w:val="21"/>
                <w:szCs w:val="21"/>
                <w:highlight w:val="none"/>
              </w:rPr>
            </w:pPr>
          </w:p>
          <w:p w14:paraId="10ECDB13">
            <w:pPr>
              <w:rPr>
                <w:rFonts w:ascii="MingLiU_HKSCS" w:hAnsi="Courier New" w:eastAsia="宋体" w:cs="MingLiU_HKSCS"/>
                <w:color w:val="auto"/>
                <w:sz w:val="21"/>
                <w:szCs w:val="21"/>
                <w:highlight w:val="none"/>
              </w:rPr>
            </w:pPr>
          </w:p>
        </w:tc>
      </w:tr>
    </w:tbl>
    <w:p w14:paraId="39F01670">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附件：（授权代表须为本单位正式员工，提供近半年内任一个月本单位为其缴纳的社会保险缴费证明材料，否则视为不实质性响应。）</w:t>
      </w:r>
    </w:p>
    <w:p w14:paraId="7B066D37">
      <w:pPr>
        <w:snapToGrid w:val="0"/>
        <w:spacing w:line="360" w:lineRule="auto"/>
        <w:rPr>
          <w:rFonts w:hint="eastAsia" w:ascii="宋体" w:hAnsi="宋体" w:eastAsia="宋体" w:cs="宋体"/>
          <w:color w:val="auto"/>
          <w:sz w:val="24"/>
          <w:szCs w:val="24"/>
          <w:highlight w:val="none"/>
        </w:rPr>
      </w:pPr>
    </w:p>
    <w:p w14:paraId="5F66BFF5">
      <w:pPr>
        <w:snapToGrid w:val="0"/>
        <w:spacing w:line="360" w:lineRule="auto"/>
        <w:ind w:firstLine="2400" w:firstLineChars="100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委托单位：</w:t>
      </w:r>
      <w:r>
        <w:rPr>
          <w:rFonts w:hint="eastAsia" w:ascii="宋体" w:hAnsi="宋体" w:eastAsia="宋体" w:cs="宋体"/>
          <w:color w:val="auto"/>
          <w:sz w:val="24"/>
          <w:szCs w:val="24"/>
          <w:highlight w:val="none"/>
          <w:u w:val="single"/>
        </w:rPr>
        <w:t xml:space="preserve"> 加盖CA电子公章</w:t>
      </w:r>
    </w:p>
    <w:p w14:paraId="424FF929">
      <w:pPr>
        <w:snapToGrid w:val="0"/>
        <w:spacing w:line="360" w:lineRule="auto"/>
        <w:ind w:firstLine="4560" w:firstLineChars="19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 </w:t>
      </w:r>
      <w:r>
        <w:rPr>
          <w:rFonts w:hint="eastAsia" w:ascii="宋体" w:hAnsi="宋体" w:eastAsia="宋体" w:cs="宋体"/>
          <w:color w:val="auto"/>
          <w:sz w:val="24"/>
          <w:szCs w:val="24"/>
          <w:highlight w:val="none"/>
          <w:u w:val="single"/>
        </w:rPr>
        <w:t xml:space="preserve">（签字）      </w:t>
      </w:r>
    </w:p>
    <w:p w14:paraId="38231EC2">
      <w:pPr>
        <w:snapToGrid w:val="0"/>
        <w:spacing w:line="360" w:lineRule="auto"/>
        <w:ind w:firstLine="2400" w:firstLineChars="10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2E7F56">
      <w:pPr>
        <w:tabs>
          <w:tab w:val="left" w:pos="720"/>
          <w:tab w:val="left" w:pos="900"/>
        </w:tabs>
        <w:adjustRightInd w:val="0"/>
        <w:snapToGrid w:val="0"/>
        <w:rPr>
          <w:rFonts w:eastAsia="宋体"/>
          <w:color w:val="auto"/>
          <w:sz w:val="24"/>
          <w:szCs w:val="24"/>
          <w:highlight w:val="none"/>
        </w:rPr>
      </w:pPr>
    </w:p>
    <w:p w14:paraId="7FCA6A3E">
      <w:pPr>
        <w:tabs>
          <w:tab w:val="left" w:pos="720"/>
          <w:tab w:val="left" w:pos="900"/>
        </w:tabs>
        <w:adjustRightInd w:val="0"/>
        <w:snapToGrid w:val="0"/>
        <w:ind w:firstLine="4080" w:firstLineChars="1700"/>
        <w:rPr>
          <w:rFonts w:eastAsia="宋体"/>
          <w:color w:val="auto"/>
          <w:sz w:val="24"/>
          <w:szCs w:val="24"/>
          <w:highlight w:val="none"/>
        </w:rPr>
      </w:pPr>
    </w:p>
    <w:p w14:paraId="6ABAB3F2">
      <w:pPr>
        <w:adjustRightInd w:val="0"/>
        <w:snapToGrid w:val="0"/>
        <w:rPr>
          <w:rFonts w:eastAsia="宋体"/>
          <w:bCs/>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格式4：</w:t>
      </w:r>
      <w:r>
        <w:rPr>
          <w:rFonts w:eastAsia="宋体"/>
          <w:bCs/>
          <w:color w:val="auto"/>
          <w:sz w:val="24"/>
          <w:szCs w:val="24"/>
          <w:highlight w:val="none"/>
        </w:rPr>
        <w:t>供应商关于资格的声明函</w:t>
      </w:r>
    </w:p>
    <w:p w14:paraId="2B723B90">
      <w:pPr>
        <w:adjustRightInd w:val="0"/>
        <w:snapToGrid w:val="0"/>
        <w:rPr>
          <w:rFonts w:eastAsia="宋体"/>
          <w:b/>
          <w:color w:val="auto"/>
          <w:sz w:val="24"/>
          <w:szCs w:val="24"/>
          <w:highlight w:val="none"/>
        </w:rPr>
      </w:pPr>
    </w:p>
    <w:p w14:paraId="76356DB8">
      <w:pPr>
        <w:adjustRightInd w:val="0"/>
        <w:snapToGrid w:val="0"/>
        <w:jc w:val="center"/>
        <w:rPr>
          <w:rFonts w:eastAsia="宋体"/>
          <w:b/>
          <w:bCs/>
          <w:color w:val="auto"/>
          <w:sz w:val="24"/>
          <w:szCs w:val="24"/>
          <w:highlight w:val="none"/>
        </w:rPr>
      </w:pPr>
      <w:r>
        <w:rPr>
          <w:rFonts w:eastAsia="宋体"/>
          <w:b/>
          <w:bCs/>
          <w:color w:val="auto"/>
          <w:sz w:val="24"/>
          <w:szCs w:val="24"/>
          <w:highlight w:val="none"/>
        </w:rPr>
        <w:t>供应商关于资格的声明函</w:t>
      </w:r>
    </w:p>
    <w:p w14:paraId="4CA746AB">
      <w:pPr>
        <w:adjustRightInd w:val="0"/>
        <w:snapToGrid w:val="0"/>
        <w:rPr>
          <w:rFonts w:eastAsia="宋体"/>
          <w:color w:val="auto"/>
          <w:sz w:val="24"/>
          <w:szCs w:val="24"/>
          <w:highlight w:val="none"/>
        </w:rPr>
      </w:pPr>
    </w:p>
    <w:p w14:paraId="1417C037">
      <w:pPr>
        <w:adjustRightInd w:val="0"/>
        <w:snapToGrid w:val="0"/>
        <w:spacing w:line="360" w:lineRule="auto"/>
        <w:rPr>
          <w:rFonts w:eastAsia="宋体"/>
          <w:color w:val="auto"/>
          <w:sz w:val="24"/>
          <w:szCs w:val="24"/>
          <w:highlight w:val="none"/>
        </w:rPr>
      </w:pPr>
      <w:r>
        <w:rPr>
          <w:rFonts w:eastAsia="宋体"/>
          <w:color w:val="auto"/>
          <w:sz w:val="24"/>
          <w:szCs w:val="24"/>
          <w:highlight w:val="none"/>
        </w:rPr>
        <w:t>采购编号：</w:t>
      </w:r>
    </w:p>
    <w:p w14:paraId="4EDFF55C">
      <w:pPr>
        <w:adjustRightInd w:val="0"/>
        <w:snapToGrid w:val="0"/>
        <w:spacing w:line="360" w:lineRule="auto"/>
        <w:rPr>
          <w:rFonts w:eastAsia="宋体"/>
          <w:color w:val="auto"/>
          <w:sz w:val="24"/>
          <w:szCs w:val="24"/>
          <w:highlight w:val="none"/>
        </w:rPr>
      </w:pPr>
      <w:r>
        <w:rPr>
          <w:rFonts w:eastAsia="宋体"/>
          <w:color w:val="auto"/>
          <w:sz w:val="24"/>
          <w:szCs w:val="24"/>
          <w:highlight w:val="none"/>
        </w:rPr>
        <w:t>日    期：</w:t>
      </w:r>
    </w:p>
    <w:p w14:paraId="16E27BC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p>
    <w:p w14:paraId="603ACCB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我公司愿参加本次</w:t>
      </w:r>
      <w:r>
        <w:rPr>
          <w:rFonts w:eastAsia="宋体"/>
          <w:color w:val="auto"/>
          <w:sz w:val="24"/>
          <w:szCs w:val="24"/>
          <w:highlight w:val="none"/>
          <w:u w:val="single"/>
        </w:rPr>
        <w:t xml:space="preserve">                    </w:t>
      </w:r>
      <w:r>
        <w:rPr>
          <w:rFonts w:eastAsia="宋体"/>
          <w:color w:val="auto"/>
          <w:sz w:val="24"/>
          <w:szCs w:val="24"/>
          <w:highlight w:val="none"/>
        </w:rPr>
        <w:t>竞争性磋商采购活动。我公司在响应文件中所有关于磋商资格的文件，证明与陈述均是真实的、准确的、有效的。若有违背，我公司愿意承担由此而产生的一切后果。</w:t>
      </w:r>
    </w:p>
    <w:p w14:paraId="5E5FD60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 xml:space="preserve">                                </w:t>
      </w:r>
    </w:p>
    <w:p w14:paraId="09714A38">
      <w:pPr>
        <w:adjustRightInd w:val="0"/>
        <w:snapToGrid w:val="0"/>
        <w:spacing w:line="360" w:lineRule="auto"/>
        <w:ind w:firstLine="480" w:firstLineChars="200"/>
        <w:rPr>
          <w:rFonts w:eastAsia="宋体"/>
          <w:color w:val="auto"/>
          <w:sz w:val="24"/>
          <w:szCs w:val="24"/>
          <w:highlight w:val="none"/>
        </w:rPr>
      </w:pPr>
    </w:p>
    <w:p w14:paraId="15B2E51F">
      <w:pPr>
        <w:adjustRightInd w:val="0"/>
        <w:snapToGrid w:val="0"/>
        <w:spacing w:line="360" w:lineRule="auto"/>
        <w:ind w:firstLine="480" w:firstLineChars="200"/>
        <w:rPr>
          <w:rFonts w:eastAsia="宋体"/>
          <w:color w:val="auto"/>
          <w:sz w:val="24"/>
          <w:szCs w:val="24"/>
          <w:highlight w:val="none"/>
        </w:rPr>
      </w:pPr>
    </w:p>
    <w:p w14:paraId="5041C5B1">
      <w:pPr>
        <w:adjustRightInd w:val="0"/>
        <w:snapToGrid w:val="0"/>
        <w:spacing w:line="360" w:lineRule="auto"/>
        <w:rPr>
          <w:rFonts w:eastAsia="宋体"/>
          <w:color w:val="auto"/>
          <w:sz w:val="24"/>
          <w:szCs w:val="24"/>
          <w:highlight w:val="non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225E280D">
      <w:pPr>
        <w:adjustRightInd w:val="0"/>
        <w:snapToGrid w:val="0"/>
        <w:spacing w:line="360" w:lineRule="auto"/>
        <w:rPr>
          <w:rFonts w:eastAsia="宋体"/>
          <w:color w:val="auto"/>
          <w:sz w:val="24"/>
          <w:szCs w:val="24"/>
          <w:highlight w:val="none"/>
        </w:rPr>
      </w:pPr>
      <w:r>
        <w:rPr>
          <w:rFonts w:eastAsia="宋体"/>
          <w:color w:val="auto"/>
          <w:sz w:val="24"/>
          <w:szCs w:val="24"/>
          <w:highlight w:val="none"/>
        </w:rPr>
        <w:t>日期：</w:t>
      </w:r>
    </w:p>
    <w:p w14:paraId="4ED47812">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格式5：服务质量承诺书</w:t>
      </w:r>
    </w:p>
    <w:p w14:paraId="4A39E32F">
      <w:pPr>
        <w:adjustRightInd w:val="0"/>
        <w:snapToGrid w:val="0"/>
        <w:rPr>
          <w:rFonts w:eastAsia="宋体"/>
          <w:color w:val="auto"/>
          <w:sz w:val="24"/>
          <w:szCs w:val="24"/>
          <w:highlight w:val="none"/>
        </w:rPr>
      </w:pPr>
    </w:p>
    <w:p w14:paraId="509F6E10">
      <w:pPr>
        <w:adjustRightInd w:val="0"/>
        <w:snapToGrid w:val="0"/>
        <w:spacing w:line="360" w:lineRule="auto"/>
        <w:jc w:val="center"/>
        <w:rPr>
          <w:rFonts w:eastAsia="宋体"/>
          <w:color w:val="auto"/>
          <w:sz w:val="24"/>
          <w:szCs w:val="24"/>
          <w:highlight w:val="none"/>
        </w:rPr>
      </w:pPr>
      <w:r>
        <w:rPr>
          <w:rFonts w:eastAsia="宋体"/>
          <w:color w:val="auto"/>
          <w:sz w:val="24"/>
          <w:szCs w:val="24"/>
          <w:highlight w:val="none"/>
        </w:rPr>
        <w:t>服务质量承诺书</w:t>
      </w:r>
    </w:p>
    <w:p w14:paraId="015D525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26C3ECA4">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首先衷心感谢贵方对我单位的信任，我们将以积极热情的态度、认真负责的精神，急用户所急、想用户所想，与贵方共同努力，为项目的早日完成奉献全部力量。</w:t>
      </w:r>
    </w:p>
    <w:p w14:paraId="149407C0">
      <w:pPr>
        <w:adjustRightInd w:val="0"/>
        <w:snapToGrid w:val="0"/>
        <w:spacing w:line="360" w:lineRule="auto"/>
        <w:rPr>
          <w:rFonts w:eastAsia="宋体"/>
          <w:color w:val="auto"/>
          <w:sz w:val="24"/>
          <w:szCs w:val="24"/>
          <w:highlight w:val="none"/>
        </w:rPr>
      </w:pPr>
      <w:r>
        <w:rPr>
          <w:rFonts w:eastAsia="宋体"/>
          <w:color w:val="auto"/>
          <w:sz w:val="24"/>
          <w:szCs w:val="24"/>
          <w:highlight w:val="none"/>
        </w:rPr>
        <w:t>对总体规划服务质量我单位谨此郑重承诺：</w:t>
      </w:r>
    </w:p>
    <w:p w14:paraId="543C19DD">
      <w:pPr>
        <w:adjustRightInd w:val="0"/>
        <w:snapToGrid w:val="0"/>
        <w:spacing w:line="360" w:lineRule="auto"/>
        <w:rPr>
          <w:rFonts w:eastAsia="宋体"/>
          <w:color w:val="auto"/>
          <w:sz w:val="24"/>
          <w:szCs w:val="24"/>
          <w:highlight w:val="none"/>
        </w:rPr>
      </w:pPr>
      <w:r>
        <w:rPr>
          <w:rFonts w:eastAsia="宋体"/>
          <w:color w:val="auto"/>
          <w:sz w:val="24"/>
          <w:szCs w:val="24"/>
          <w:highlight w:val="none"/>
        </w:rPr>
        <w:t>1.我单位将组织以</w:t>
      </w:r>
      <w:r>
        <w:rPr>
          <w:rFonts w:eastAsia="宋体"/>
          <w:color w:val="auto"/>
          <w:sz w:val="24"/>
          <w:szCs w:val="24"/>
          <w:highlight w:val="none"/>
          <w:u w:val="single"/>
        </w:rPr>
        <w:t xml:space="preserve">               </w:t>
      </w:r>
      <w:r>
        <w:rPr>
          <w:rFonts w:eastAsia="宋体"/>
          <w:color w:val="auto"/>
          <w:sz w:val="24"/>
          <w:szCs w:val="24"/>
          <w:highlight w:val="none"/>
        </w:rPr>
        <w:t>（项目负责人）为核心的类似项目经验丰富的项目组，负责本项目的实施。拟派项目班子具体成员名单及工作简历详见附件。</w:t>
      </w:r>
    </w:p>
    <w:p w14:paraId="68D7DCC0">
      <w:pPr>
        <w:adjustRightInd w:val="0"/>
        <w:snapToGrid w:val="0"/>
        <w:spacing w:line="360" w:lineRule="auto"/>
        <w:rPr>
          <w:rFonts w:eastAsia="宋体"/>
          <w:color w:val="auto"/>
          <w:sz w:val="24"/>
          <w:szCs w:val="24"/>
          <w:highlight w:val="none"/>
        </w:rPr>
      </w:pPr>
      <w:r>
        <w:rPr>
          <w:rFonts w:eastAsia="宋体"/>
          <w:color w:val="auto"/>
          <w:sz w:val="24"/>
          <w:szCs w:val="24"/>
          <w:highlight w:val="none"/>
        </w:rPr>
        <w:t>2.如由我单位中标（成交），我们将派项目组人员认真对项目组织实施，按照采购人的意见、结合本工作项目的具体情况，精心布置、总体规划。</w:t>
      </w:r>
    </w:p>
    <w:p w14:paraId="77F0A916">
      <w:pPr>
        <w:adjustRightInd w:val="0"/>
        <w:snapToGrid w:val="0"/>
        <w:spacing w:line="360" w:lineRule="auto"/>
        <w:rPr>
          <w:rFonts w:eastAsia="宋体"/>
          <w:color w:val="auto"/>
          <w:sz w:val="24"/>
          <w:szCs w:val="24"/>
          <w:highlight w:val="none"/>
        </w:rPr>
      </w:pPr>
    </w:p>
    <w:p w14:paraId="612926DC">
      <w:pPr>
        <w:adjustRightInd w:val="0"/>
        <w:snapToGrid w:val="0"/>
        <w:spacing w:line="360" w:lineRule="auto"/>
        <w:rPr>
          <w:rFonts w:eastAsia="宋体"/>
          <w:color w:val="auto"/>
          <w:sz w:val="24"/>
          <w:szCs w:val="24"/>
          <w:highlight w:val="none"/>
        </w:rPr>
      </w:pPr>
    </w:p>
    <w:p w14:paraId="7061DBA0">
      <w:pPr>
        <w:adjustRightInd w:val="0"/>
        <w:snapToGrid w:val="0"/>
        <w:spacing w:line="360" w:lineRule="auto"/>
        <w:rPr>
          <w:rFonts w:eastAsia="宋体"/>
          <w:color w:val="auto"/>
          <w:sz w:val="24"/>
          <w:szCs w:val="24"/>
          <w:highlight w:val="none"/>
        </w:rPr>
      </w:pPr>
    </w:p>
    <w:p w14:paraId="3E3A5E33">
      <w:pPr>
        <w:adjustRightInd w:val="0"/>
        <w:snapToGrid w:val="0"/>
        <w:spacing w:line="360" w:lineRule="auto"/>
        <w:rPr>
          <w:rFonts w:eastAsia="宋体"/>
          <w:color w:val="auto"/>
          <w:sz w:val="24"/>
          <w:szCs w:val="24"/>
          <w:highlight w:val="none"/>
        </w:rPr>
      </w:pPr>
    </w:p>
    <w:p w14:paraId="1761FB46">
      <w:pPr>
        <w:adjustRightInd w:val="0"/>
        <w:snapToGrid w:val="0"/>
        <w:spacing w:line="360" w:lineRule="auto"/>
        <w:rPr>
          <w:rFonts w:eastAsia="宋体"/>
          <w:color w:val="auto"/>
          <w:sz w:val="24"/>
          <w:szCs w:val="24"/>
          <w:highlight w:val="none"/>
        </w:rPr>
      </w:pPr>
    </w:p>
    <w:p w14:paraId="7D66DA2E">
      <w:pPr>
        <w:adjustRightInd w:val="0"/>
        <w:snapToGrid w:val="0"/>
        <w:spacing w:line="360" w:lineRule="auto"/>
        <w:jc w:val="left"/>
        <w:rPr>
          <w:rFonts w:eastAsia="宋体"/>
          <w:color w:val="auto"/>
          <w:kern w:val="0"/>
          <w:sz w:val="24"/>
          <w:szCs w:val="24"/>
          <w:highlight w:val="none"/>
        </w:rPr>
      </w:pPr>
      <w:r>
        <w:rPr>
          <w:rFonts w:eastAsia="宋体"/>
          <w:color w:val="auto"/>
          <w:sz w:val="24"/>
          <w:szCs w:val="24"/>
          <w:highlight w:val="none"/>
        </w:rPr>
        <w:t xml:space="preserve">                        </w:t>
      </w:r>
      <w:r>
        <w:rPr>
          <w:rFonts w:eastAsia="宋体"/>
          <w:color w:val="auto"/>
          <w:kern w:val="0"/>
          <w:sz w:val="24"/>
          <w:szCs w:val="24"/>
          <w:highlight w:val="none"/>
        </w:rPr>
        <w:t>供应商：（</w:t>
      </w:r>
      <w:r>
        <w:rPr>
          <w:rFonts w:hint="eastAsia" w:eastAsia="宋体"/>
          <w:color w:val="auto"/>
          <w:kern w:val="0"/>
          <w:sz w:val="24"/>
          <w:szCs w:val="24"/>
          <w:highlight w:val="none"/>
        </w:rPr>
        <w:t>加盖CA电子公章</w:t>
      </w:r>
      <w:r>
        <w:rPr>
          <w:rFonts w:eastAsia="宋体"/>
          <w:color w:val="auto"/>
          <w:kern w:val="0"/>
          <w:sz w:val="24"/>
          <w:szCs w:val="24"/>
          <w:highlight w:val="none"/>
        </w:rPr>
        <w:t>）</w:t>
      </w:r>
    </w:p>
    <w:p w14:paraId="4050CA74">
      <w:pPr>
        <w:adjustRightInd w:val="0"/>
        <w:snapToGrid w:val="0"/>
        <w:spacing w:line="360" w:lineRule="auto"/>
        <w:jc w:val="left"/>
        <w:rPr>
          <w:rFonts w:eastAsia="宋体"/>
          <w:color w:val="auto"/>
          <w:sz w:val="24"/>
          <w:szCs w:val="24"/>
          <w:highlight w:val="none"/>
        </w:rPr>
      </w:pPr>
    </w:p>
    <w:p w14:paraId="19374A1E">
      <w:pPr>
        <w:adjustRightInd w:val="0"/>
        <w:snapToGrid w:val="0"/>
        <w:spacing w:line="360" w:lineRule="auto"/>
        <w:jc w:val="left"/>
        <w:rPr>
          <w:rFonts w:eastAsia="宋体"/>
          <w:color w:val="auto"/>
          <w:sz w:val="24"/>
          <w:szCs w:val="24"/>
          <w:highlight w:val="none"/>
        </w:rPr>
      </w:pPr>
      <w:r>
        <w:rPr>
          <w:rFonts w:eastAsia="宋体"/>
          <w:color w:val="auto"/>
          <w:sz w:val="24"/>
          <w:szCs w:val="24"/>
          <w:highlight w:val="none"/>
        </w:rPr>
        <w:t xml:space="preserve">                              日期：     年    月    日</w:t>
      </w:r>
    </w:p>
    <w:p w14:paraId="04AE4A89">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p>
    <w:p w14:paraId="0EE7C772">
      <w:pPr>
        <w:adjustRightInd w:val="0"/>
        <w:snapToGrid w:val="0"/>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格式6：</w:t>
      </w:r>
      <w:r>
        <w:rPr>
          <w:rFonts w:hint="eastAsia" w:ascii="宋体" w:hAnsi="宋体" w:eastAsia="宋体" w:cs="宋体"/>
          <w:b/>
          <w:bCs/>
          <w:color w:val="auto"/>
          <w:spacing w:val="20"/>
          <w:sz w:val="24"/>
          <w:szCs w:val="24"/>
          <w:highlight w:val="none"/>
        </w:rPr>
        <w:t>竞争性磋商文件磋商公告中供应商资格条件全部证明材料</w:t>
      </w:r>
    </w:p>
    <w:p w14:paraId="36CC39D8">
      <w:pPr>
        <w:widowControl/>
        <w:shd w:val="clear" w:color="auto" w:fill="FFFFFF"/>
        <w:spacing w:line="360" w:lineRule="auto"/>
        <w:ind w:firstLine="420"/>
        <w:rPr>
          <w:rFonts w:eastAsia="宋体"/>
          <w:color w:val="auto"/>
          <w:kern w:val="0"/>
          <w:sz w:val="24"/>
          <w:szCs w:val="24"/>
          <w:highlight w:val="none"/>
          <w:u w:val="single"/>
        </w:rPr>
      </w:pPr>
      <w:r>
        <w:rPr>
          <w:rFonts w:eastAsia="宋体"/>
          <w:color w:val="auto"/>
          <w:kern w:val="0"/>
          <w:sz w:val="24"/>
          <w:szCs w:val="24"/>
          <w:highlight w:val="none"/>
          <w:u w:val="single"/>
        </w:rPr>
        <w:t>（一）应具备《中华人民共和国政府采购法</w:t>
      </w:r>
      <w:r>
        <w:rPr>
          <w:rFonts w:hint="eastAsia" w:eastAsia="宋体"/>
          <w:color w:val="auto"/>
          <w:kern w:val="0"/>
          <w:sz w:val="24"/>
          <w:szCs w:val="24"/>
          <w:highlight w:val="none"/>
          <w:u w:val="single"/>
        </w:rPr>
        <w:t>》《</w:t>
      </w:r>
      <w:r>
        <w:rPr>
          <w:rFonts w:eastAsia="宋体"/>
          <w:color w:val="auto"/>
          <w:kern w:val="0"/>
          <w:sz w:val="24"/>
          <w:szCs w:val="24"/>
          <w:highlight w:val="none"/>
          <w:u w:val="single"/>
        </w:rPr>
        <w:t>中华人民共和国政府采购法实施条例》规定的条件：</w:t>
      </w:r>
    </w:p>
    <w:p w14:paraId="4C4D6FD6">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1、具有独立承担民事责任的能力（提供法人或者其他组织的营业执照等；供应商为自然人的，提供其身份证）；</w:t>
      </w:r>
    </w:p>
    <w:p w14:paraId="0E4E499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2、具有良好的商业信誉和健全的财务会计制度（提供最近的财务报告或会计报表，成立不足一年的无需提供）；</w:t>
      </w:r>
    </w:p>
    <w:p w14:paraId="524BE55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3、具有履行合同所必需的设备和专业技术能力（提供书面声明）；</w:t>
      </w:r>
    </w:p>
    <w:p w14:paraId="508EF56D">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4、有依法缴纳税收和社会保障资金的良好记录（提供参加本次政府采购活动前半年内至少一个月缴税的凭据；以及提供参加本次政府采购活动前半年内至少一个月缴纳社会保险的凭据（专用收据或社会保险缴纳清单））；</w:t>
      </w:r>
    </w:p>
    <w:p w14:paraId="4DDEC36B">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5、参加政府采购活动前三年内，在经营活动中没有重大违法记录（提供书面声明）；</w:t>
      </w:r>
    </w:p>
    <w:p w14:paraId="1416EDC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6、法律、行政法规规定的其他条件（提供书面声明）</w:t>
      </w:r>
      <w:r>
        <w:rPr>
          <w:rFonts w:eastAsia="宋体"/>
          <w:color w:val="auto"/>
          <w:kern w:val="0"/>
          <w:sz w:val="24"/>
          <w:szCs w:val="24"/>
          <w:highlight w:val="none"/>
          <w:u w:val="single"/>
        </w:rPr>
        <w:t>；</w:t>
      </w:r>
    </w:p>
    <w:p w14:paraId="53CBDD2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p>
    <w:p w14:paraId="42C0E0C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gov.cn)列入政府采购严重违法失信行为记录名单中被财政部门禁止参加政府采购活动的供应商且正在处罚期内的，无资格参加本项目的采购活动（无须提供材料）。</w:t>
      </w:r>
    </w:p>
    <w:p w14:paraId="2AAA7C0C">
      <w:pPr>
        <w:spacing w:line="360" w:lineRule="auto"/>
        <w:ind w:firstLine="480" w:firstLineChars="200"/>
        <w:jc w:val="left"/>
        <w:rPr>
          <w:rFonts w:eastAsia="宋体"/>
          <w:b/>
          <w:bCs/>
          <w:color w:val="auto"/>
          <w:kern w:val="0"/>
          <w:sz w:val="24"/>
          <w:szCs w:val="24"/>
          <w:highlight w:val="none"/>
          <w:u w:val="single"/>
        </w:rPr>
      </w:pPr>
      <w:r>
        <w:rPr>
          <w:rFonts w:hint="eastAsia" w:eastAsia="宋体"/>
          <w:color w:val="auto"/>
          <w:kern w:val="0"/>
          <w:sz w:val="24"/>
          <w:szCs w:val="24"/>
          <w:highlight w:val="none"/>
          <w:u w:val="single"/>
        </w:rPr>
        <w:t>（二）采购人根据采购项目的特殊要求规定的特定条件：</w:t>
      </w:r>
      <w:r>
        <w:rPr>
          <w:rFonts w:hint="eastAsia" w:eastAsia="宋体"/>
          <w:b/>
          <w:bCs/>
          <w:color w:val="auto"/>
          <w:sz w:val="24"/>
          <w:szCs w:val="22"/>
          <w:highlight w:val="none"/>
          <w:u w:val="single"/>
        </w:rPr>
        <w:t>供应商具有水利水电施工总承包</w:t>
      </w:r>
      <w:r>
        <w:rPr>
          <w:rFonts w:hint="eastAsia" w:eastAsia="宋体"/>
          <w:b/>
          <w:bCs/>
          <w:color w:val="auto"/>
          <w:sz w:val="24"/>
          <w:szCs w:val="22"/>
          <w:highlight w:val="none"/>
          <w:u w:val="single"/>
          <w:lang w:val="en-US" w:eastAsia="zh-CN"/>
        </w:rPr>
        <w:t>贰</w:t>
      </w:r>
      <w:r>
        <w:rPr>
          <w:rFonts w:hint="eastAsia" w:eastAsia="宋体"/>
          <w:b/>
          <w:bCs/>
          <w:color w:val="auto"/>
          <w:sz w:val="24"/>
          <w:szCs w:val="22"/>
          <w:highlight w:val="none"/>
          <w:u w:val="single"/>
        </w:rPr>
        <w:t>级及以上资质；具有建设行政主管部门颁发的安全生产许可证；企业主要负责人、项目经理、专职安全员均应具有与其行业施工资质相应的行业主管部门颁发的安全生产考核合格证（分别为A、B、C类）；拟任的项目经理具有水利水电专业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p>
    <w:p w14:paraId="08B2126E">
      <w:pPr>
        <w:widowControl/>
        <w:shd w:val="clear" w:color="auto" w:fill="FFFFFF"/>
        <w:spacing w:line="360" w:lineRule="auto"/>
        <w:ind w:firstLine="420"/>
        <w:rPr>
          <w:rFonts w:eastAsia="宋体"/>
          <w:b/>
          <w:bCs/>
          <w:color w:val="auto"/>
          <w:kern w:val="0"/>
          <w:sz w:val="24"/>
          <w:szCs w:val="24"/>
          <w:highlight w:val="none"/>
          <w:u w:val="single"/>
        </w:rPr>
      </w:pPr>
      <w:r>
        <w:rPr>
          <w:rFonts w:hint="eastAsia" w:eastAsia="宋体"/>
          <w:b/>
          <w:bCs/>
          <w:color w:val="auto"/>
          <w:kern w:val="0"/>
          <w:sz w:val="24"/>
          <w:szCs w:val="24"/>
          <w:highlight w:val="none"/>
          <w:u w:val="single"/>
        </w:rPr>
        <w:t>（三）</w:t>
      </w:r>
      <w:r>
        <w:rPr>
          <w:rFonts w:hint="eastAsia" w:eastAsia="宋体"/>
          <w:b/>
          <w:bCs/>
          <w:color w:val="auto"/>
          <w:sz w:val="24"/>
          <w:szCs w:val="22"/>
          <w:highlight w:val="none"/>
          <w:u w:val="single"/>
        </w:rPr>
        <w:t>本项目专门面向中小企业，须提供《中小企业声明函》。本项目属于行业：建筑业。</w:t>
      </w:r>
    </w:p>
    <w:p w14:paraId="61180E3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b/>
          <w:bCs/>
          <w:color w:val="auto"/>
          <w:kern w:val="0"/>
          <w:sz w:val="24"/>
          <w:szCs w:val="24"/>
          <w:highlight w:val="none"/>
          <w:u w:val="single"/>
        </w:rPr>
        <w:t>（四）</w:t>
      </w:r>
      <w:r>
        <w:rPr>
          <w:rFonts w:hint="eastAsia" w:eastAsia="宋体"/>
          <w:color w:val="auto"/>
          <w:kern w:val="0"/>
          <w:sz w:val="24"/>
          <w:szCs w:val="24"/>
          <w:highlight w:val="none"/>
          <w:u w:val="single"/>
        </w:rPr>
        <w:t>联合体协议（如有，明确约定联合体各方承担的工作和相应的责任）</w:t>
      </w:r>
    </w:p>
    <w:p w14:paraId="001D3FD2">
      <w:pPr>
        <w:adjustRightInd w:val="0"/>
        <w:snapToGrid w:val="0"/>
        <w:rPr>
          <w:rFonts w:eastAsia="宋体"/>
          <w:bCs/>
          <w:color w:val="auto"/>
          <w:spacing w:val="20"/>
          <w:sz w:val="24"/>
          <w:szCs w:val="24"/>
          <w:highlight w:val="none"/>
        </w:rPr>
      </w:pPr>
    </w:p>
    <w:p w14:paraId="0C519D8E">
      <w:pPr>
        <w:adjustRightInd w:val="0"/>
        <w:snapToGrid w:val="0"/>
        <w:rPr>
          <w:rFonts w:eastAsia="宋体"/>
          <w:bCs/>
          <w:color w:val="auto"/>
          <w:spacing w:val="20"/>
          <w:sz w:val="24"/>
          <w:szCs w:val="24"/>
          <w:highlight w:val="none"/>
        </w:rPr>
      </w:pPr>
      <w:r>
        <w:rPr>
          <w:rFonts w:eastAsia="宋体"/>
          <w:b/>
          <w:bCs/>
          <w:color w:val="auto"/>
          <w:spacing w:val="20"/>
          <w:sz w:val="24"/>
          <w:szCs w:val="24"/>
          <w:highlight w:val="none"/>
          <w:u w:val="single"/>
        </w:rPr>
        <w:t>注：以上资质条件要求请逐一提供相关证明文件，否则视为不实质性响应。</w:t>
      </w:r>
      <w:r>
        <w:rPr>
          <w:rFonts w:eastAsia="宋体"/>
          <w:bCs/>
          <w:color w:val="auto"/>
          <w:spacing w:val="20"/>
          <w:sz w:val="24"/>
          <w:szCs w:val="24"/>
          <w:highlight w:val="none"/>
        </w:rPr>
        <w:br w:type="page"/>
      </w:r>
      <w:r>
        <w:rPr>
          <w:rFonts w:eastAsia="宋体"/>
          <w:bCs/>
          <w:color w:val="auto"/>
          <w:spacing w:val="20"/>
          <w:sz w:val="24"/>
          <w:szCs w:val="24"/>
          <w:highlight w:val="none"/>
        </w:rPr>
        <w:t xml:space="preserve">其中： </w:t>
      </w:r>
    </w:p>
    <w:p w14:paraId="4B3F0BAF">
      <w:pPr>
        <w:adjustRightInd w:val="0"/>
        <w:snapToGrid w:val="0"/>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I</w:t>
      </w:r>
      <w:r>
        <w:rPr>
          <w:rFonts w:hint="eastAsia" w:eastAsia="宋体"/>
          <w:color w:val="auto"/>
          <w:sz w:val="24"/>
          <w:szCs w:val="24"/>
          <w:highlight w:val="none"/>
        </w:rPr>
        <w:fldChar w:fldCharType="end"/>
      </w:r>
      <w:r>
        <w:rPr>
          <w:rFonts w:hint="eastAsia" w:eastAsia="宋体"/>
          <w:color w:val="auto"/>
          <w:sz w:val="24"/>
          <w:szCs w:val="24"/>
          <w:highlight w:val="none"/>
        </w:rPr>
        <w:t>.具有履行合同所必需的设备和专业技术能力声明格式</w:t>
      </w:r>
    </w:p>
    <w:p w14:paraId="432611E1">
      <w:pPr>
        <w:spacing w:line="440" w:lineRule="exact"/>
        <w:jc w:val="center"/>
        <w:rPr>
          <w:rFonts w:eastAsia="宋体"/>
          <w:color w:val="auto"/>
          <w:sz w:val="24"/>
          <w:szCs w:val="24"/>
          <w:highlight w:val="none"/>
        </w:rPr>
      </w:pPr>
    </w:p>
    <w:p w14:paraId="176738D8">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具有履行合同所必需的设备和专业技术能力声明</w:t>
      </w:r>
    </w:p>
    <w:p w14:paraId="195B2D9D">
      <w:pPr>
        <w:spacing w:line="440" w:lineRule="exact"/>
        <w:jc w:val="left"/>
        <w:rPr>
          <w:rFonts w:eastAsia="宋体"/>
          <w:color w:val="auto"/>
          <w:sz w:val="24"/>
          <w:szCs w:val="24"/>
          <w:highlight w:val="none"/>
        </w:rPr>
      </w:pPr>
      <w:r>
        <w:rPr>
          <w:rFonts w:eastAsia="宋体"/>
          <w:color w:val="auto"/>
          <w:sz w:val="24"/>
          <w:szCs w:val="24"/>
          <w:highlight w:val="none"/>
        </w:rPr>
        <w:t>致：</w:t>
      </w:r>
    </w:p>
    <w:p w14:paraId="0C1C3C20">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05C6D95">
      <w:pPr>
        <w:spacing w:line="440" w:lineRule="exact"/>
        <w:ind w:firstLine="480" w:firstLineChars="200"/>
        <w:rPr>
          <w:rFonts w:eastAsia="宋体"/>
          <w:color w:val="auto"/>
          <w:sz w:val="24"/>
          <w:szCs w:val="24"/>
          <w:highlight w:val="none"/>
        </w:rPr>
      </w:pPr>
      <w:r>
        <w:rPr>
          <w:rFonts w:eastAsia="宋体"/>
          <w:color w:val="auto"/>
          <w:sz w:val="24"/>
          <w:szCs w:val="24"/>
          <w:highlight w:val="none"/>
        </w:rPr>
        <w:t>本</w:t>
      </w:r>
      <w:r>
        <w:rPr>
          <w:rFonts w:hint="eastAsia" w:eastAsia="宋体"/>
          <w:color w:val="auto"/>
          <w:sz w:val="24"/>
          <w:szCs w:val="24"/>
          <w:highlight w:val="none"/>
        </w:rPr>
        <w:t>单位具有履行合同所必需的设备和专业技术能力</w:t>
      </w:r>
      <w:r>
        <w:rPr>
          <w:rFonts w:eastAsia="宋体"/>
          <w:color w:val="auto"/>
          <w:sz w:val="24"/>
          <w:szCs w:val="24"/>
          <w:highlight w:val="none"/>
        </w:rPr>
        <w:t>。</w:t>
      </w:r>
    </w:p>
    <w:p w14:paraId="77040E65">
      <w:pPr>
        <w:spacing w:line="440" w:lineRule="exact"/>
        <w:ind w:firstLine="480" w:firstLineChars="200"/>
        <w:rPr>
          <w:rFonts w:eastAsia="宋体"/>
          <w:color w:val="auto"/>
          <w:sz w:val="24"/>
          <w:szCs w:val="24"/>
          <w:highlight w:val="none"/>
        </w:rPr>
      </w:pPr>
    </w:p>
    <w:p w14:paraId="1D367D2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507BB9E7">
      <w:pPr>
        <w:ind w:firstLine="480"/>
        <w:rPr>
          <w:rFonts w:eastAsia="宋体"/>
          <w:color w:val="auto"/>
          <w:sz w:val="24"/>
          <w:szCs w:val="24"/>
          <w:highlight w:val="none"/>
        </w:rPr>
      </w:pPr>
      <w:r>
        <w:rPr>
          <w:rFonts w:eastAsia="宋体"/>
          <w:color w:val="auto"/>
          <w:sz w:val="24"/>
          <w:szCs w:val="24"/>
          <w:highlight w:val="none"/>
        </w:rPr>
        <w:t>日   期  ：        年      月      日</w:t>
      </w:r>
    </w:p>
    <w:p w14:paraId="3D435393">
      <w:pPr>
        <w:adjustRightInd w:val="0"/>
        <w:snapToGrid w:val="0"/>
        <w:ind w:firstLine="480" w:firstLineChars="200"/>
        <w:rPr>
          <w:rFonts w:eastAsia="宋体"/>
          <w:color w:val="auto"/>
          <w:sz w:val="24"/>
          <w:szCs w:val="24"/>
          <w:highlight w:val="none"/>
        </w:rPr>
      </w:pPr>
    </w:p>
    <w:p w14:paraId="4B52766A">
      <w:pPr>
        <w:adjustRightInd w:val="0"/>
        <w:snapToGrid w:val="0"/>
        <w:rPr>
          <w:rFonts w:eastAsia="宋体"/>
          <w:color w:val="auto"/>
          <w:sz w:val="24"/>
          <w:szCs w:val="24"/>
          <w:highlight w:val="none"/>
        </w:rPr>
      </w:pPr>
    </w:p>
    <w:p w14:paraId="2BD91EE7">
      <w:pPr>
        <w:adjustRightInd w:val="0"/>
        <w:snapToGrid w:val="0"/>
        <w:rPr>
          <w:rFonts w:eastAsia="宋体"/>
          <w:color w:val="auto"/>
          <w:sz w:val="24"/>
          <w:szCs w:val="24"/>
          <w:highlight w:val="none"/>
        </w:rPr>
      </w:pPr>
    </w:p>
    <w:p w14:paraId="06B5093E">
      <w:pPr>
        <w:adjustRightInd w:val="0"/>
        <w:snapToGrid w:val="0"/>
        <w:rPr>
          <w:rFonts w:eastAsia="宋体"/>
          <w:color w:val="auto"/>
          <w:sz w:val="24"/>
          <w:szCs w:val="24"/>
          <w:highlight w:val="none"/>
        </w:rPr>
      </w:pPr>
    </w:p>
    <w:p w14:paraId="6CB1CB44">
      <w:pPr>
        <w:adjustRightInd w:val="0"/>
        <w:snapToGrid w:val="0"/>
        <w:rPr>
          <w:rFonts w:eastAsia="宋体"/>
          <w:color w:val="auto"/>
          <w:sz w:val="24"/>
          <w:szCs w:val="24"/>
          <w:highlight w:val="none"/>
        </w:rPr>
      </w:pPr>
    </w:p>
    <w:p w14:paraId="512478B3">
      <w:pPr>
        <w:adjustRightInd w:val="0"/>
        <w:snapToGrid w:val="0"/>
        <w:rPr>
          <w:rFonts w:eastAsia="宋体"/>
          <w:color w:val="auto"/>
          <w:sz w:val="24"/>
          <w:szCs w:val="24"/>
          <w:highlight w:val="none"/>
        </w:rPr>
      </w:pPr>
    </w:p>
    <w:p w14:paraId="73F907CC">
      <w:pPr>
        <w:adjustRightInd w:val="0"/>
        <w:snapToGrid w:val="0"/>
        <w:rPr>
          <w:rFonts w:eastAsia="宋体"/>
          <w:color w:val="auto"/>
          <w:sz w:val="24"/>
          <w:szCs w:val="24"/>
          <w:highlight w:val="none"/>
        </w:rPr>
      </w:pPr>
    </w:p>
    <w:p w14:paraId="5514EFC6">
      <w:pPr>
        <w:adjustRightInd w:val="0"/>
        <w:snapToGrid w:val="0"/>
        <w:rPr>
          <w:rFonts w:eastAsia="宋体"/>
          <w:color w:val="auto"/>
          <w:sz w:val="24"/>
          <w:szCs w:val="24"/>
          <w:highlight w:val="none"/>
        </w:rPr>
      </w:pPr>
    </w:p>
    <w:p w14:paraId="5BE0E633">
      <w:pPr>
        <w:adjustRightInd w:val="0"/>
        <w:snapToGrid w:val="0"/>
        <w:rPr>
          <w:rFonts w:eastAsia="宋体"/>
          <w:color w:val="auto"/>
          <w:sz w:val="24"/>
          <w:szCs w:val="24"/>
          <w:highlight w:val="none"/>
        </w:rPr>
      </w:pPr>
    </w:p>
    <w:p w14:paraId="256338C3">
      <w:pPr>
        <w:adjustRightInd w:val="0"/>
        <w:snapToGrid w:val="0"/>
        <w:rPr>
          <w:rFonts w:eastAsia="宋体"/>
          <w:color w:val="auto"/>
          <w:sz w:val="24"/>
          <w:szCs w:val="24"/>
          <w:highlight w:val="none"/>
        </w:rPr>
      </w:pPr>
    </w:p>
    <w:p w14:paraId="777B2FE0">
      <w:pPr>
        <w:adjustRightInd w:val="0"/>
        <w:snapToGrid w:val="0"/>
        <w:rPr>
          <w:rFonts w:eastAsia="宋体"/>
          <w:color w:val="auto"/>
          <w:sz w:val="24"/>
          <w:szCs w:val="24"/>
          <w:highlight w:val="none"/>
        </w:rPr>
      </w:pPr>
    </w:p>
    <w:p w14:paraId="1249FCFA">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II</w:t>
      </w:r>
      <w:r>
        <w:rPr>
          <w:rFonts w:hint="eastAsia" w:eastAsia="宋体"/>
          <w:color w:val="auto"/>
          <w:sz w:val="24"/>
          <w:szCs w:val="24"/>
          <w:highlight w:val="none"/>
        </w:rPr>
        <w:fldChar w:fldCharType="end"/>
      </w:r>
      <w:r>
        <w:rPr>
          <w:rFonts w:hint="eastAsia" w:eastAsia="宋体"/>
          <w:color w:val="auto"/>
          <w:sz w:val="24"/>
          <w:szCs w:val="24"/>
          <w:highlight w:val="none"/>
        </w:rPr>
        <w:t>.</w:t>
      </w:r>
      <w:r>
        <w:rPr>
          <w:rFonts w:eastAsia="宋体"/>
          <w:color w:val="auto"/>
          <w:sz w:val="24"/>
          <w:szCs w:val="24"/>
          <w:highlight w:val="none"/>
        </w:rPr>
        <w:t>无重大违法记录声明格式</w:t>
      </w:r>
    </w:p>
    <w:p w14:paraId="5C140B26">
      <w:pPr>
        <w:spacing w:line="440" w:lineRule="exact"/>
        <w:jc w:val="center"/>
        <w:rPr>
          <w:rFonts w:eastAsia="宋体"/>
          <w:b/>
          <w:bCs/>
          <w:color w:val="auto"/>
          <w:sz w:val="24"/>
          <w:szCs w:val="24"/>
          <w:highlight w:val="none"/>
        </w:rPr>
      </w:pPr>
      <w:r>
        <w:rPr>
          <w:rFonts w:eastAsia="宋体"/>
          <w:b/>
          <w:bCs/>
          <w:color w:val="auto"/>
          <w:sz w:val="24"/>
          <w:szCs w:val="24"/>
          <w:highlight w:val="none"/>
        </w:rPr>
        <w:t>无重大违法记录声明</w:t>
      </w:r>
    </w:p>
    <w:p w14:paraId="3564B5E0">
      <w:pPr>
        <w:spacing w:line="440" w:lineRule="exact"/>
        <w:rPr>
          <w:rFonts w:eastAsia="宋体"/>
          <w:color w:val="auto"/>
          <w:sz w:val="24"/>
          <w:szCs w:val="24"/>
          <w:highlight w:val="none"/>
        </w:rPr>
      </w:pPr>
      <w:r>
        <w:rPr>
          <w:rFonts w:eastAsia="宋体"/>
          <w:color w:val="auto"/>
          <w:sz w:val="24"/>
          <w:szCs w:val="24"/>
          <w:highlight w:val="none"/>
        </w:rPr>
        <w:t xml:space="preserve">致： </w:t>
      </w:r>
    </w:p>
    <w:p w14:paraId="1CDBCD04">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460AF12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本单位参加</w:t>
      </w:r>
      <w:r>
        <w:rPr>
          <w:rFonts w:hint="eastAsia" w:eastAsia="宋体"/>
          <w:color w:val="auto"/>
          <w:sz w:val="24"/>
          <w:szCs w:val="24"/>
          <w:highlight w:val="none"/>
        </w:rPr>
        <w:t>此次</w:t>
      </w:r>
      <w:r>
        <w:rPr>
          <w:rFonts w:eastAsia="宋体"/>
          <w:color w:val="auto"/>
          <w:sz w:val="24"/>
          <w:szCs w:val="24"/>
          <w:highlight w:val="none"/>
        </w:rPr>
        <w:t>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（在下划线上如实填写：有或没有）重大违法记录。</w:t>
      </w:r>
    </w:p>
    <w:p w14:paraId="36395750">
      <w:pPr>
        <w:spacing w:line="440" w:lineRule="exact"/>
        <w:ind w:firstLine="480" w:firstLineChars="200"/>
        <w:rPr>
          <w:rFonts w:eastAsia="宋体"/>
          <w:color w:val="auto"/>
          <w:sz w:val="24"/>
          <w:szCs w:val="24"/>
          <w:highlight w:val="none"/>
        </w:rPr>
      </w:pPr>
      <w:r>
        <w:rPr>
          <w:rFonts w:eastAsia="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CE0F2C9">
      <w:pPr>
        <w:spacing w:line="440" w:lineRule="exact"/>
        <w:ind w:firstLine="480" w:firstLineChars="200"/>
        <w:rPr>
          <w:rFonts w:eastAsia="宋体"/>
          <w:color w:val="auto"/>
          <w:sz w:val="24"/>
          <w:szCs w:val="24"/>
          <w:highlight w:val="none"/>
        </w:rPr>
      </w:pPr>
    </w:p>
    <w:p w14:paraId="3F5A3C9A">
      <w:pPr>
        <w:spacing w:line="440" w:lineRule="exact"/>
        <w:ind w:firstLine="480" w:firstLineChars="200"/>
        <w:rPr>
          <w:rFonts w:eastAsia="宋体"/>
          <w:color w:val="auto"/>
          <w:sz w:val="24"/>
          <w:szCs w:val="24"/>
          <w:highlight w:val="none"/>
        </w:rPr>
      </w:pPr>
    </w:p>
    <w:p w14:paraId="7AF910AF">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CB5359F">
      <w:pPr>
        <w:ind w:firstLine="480"/>
        <w:rPr>
          <w:rFonts w:eastAsia="宋体"/>
          <w:color w:val="auto"/>
          <w:sz w:val="24"/>
          <w:szCs w:val="24"/>
          <w:highlight w:val="none"/>
        </w:rPr>
      </w:pPr>
      <w:r>
        <w:rPr>
          <w:rFonts w:eastAsia="宋体"/>
          <w:color w:val="auto"/>
          <w:sz w:val="24"/>
          <w:szCs w:val="24"/>
          <w:highlight w:val="none"/>
        </w:rPr>
        <w:t>日   期  ：        年      月      日</w:t>
      </w:r>
    </w:p>
    <w:p w14:paraId="7CD035E9">
      <w:pPr>
        <w:adjustRightInd w:val="0"/>
        <w:snapToGrid w:val="0"/>
        <w:ind w:firstLine="480" w:firstLineChars="200"/>
        <w:rPr>
          <w:rFonts w:eastAsia="宋体"/>
          <w:color w:val="auto"/>
          <w:sz w:val="24"/>
          <w:szCs w:val="24"/>
          <w:highlight w:val="none"/>
        </w:rPr>
      </w:pPr>
    </w:p>
    <w:p w14:paraId="21091C4E">
      <w:pPr>
        <w:adjustRightInd w:val="0"/>
        <w:snapToGrid w:val="0"/>
        <w:ind w:firstLine="480" w:firstLineChars="200"/>
        <w:rPr>
          <w:rFonts w:eastAsia="宋体"/>
          <w:color w:val="auto"/>
          <w:sz w:val="24"/>
          <w:szCs w:val="24"/>
          <w:highlight w:val="none"/>
        </w:rPr>
      </w:pPr>
    </w:p>
    <w:p w14:paraId="0F4CE337">
      <w:pPr>
        <w:adjustRightInd w:val="0"/>
        <w:snapToGrid w:val="0"/>
        <w:ind w:firstLine="480" w:firstLineChars="200"/>
        <w:rPr>
          <w:rFonts w:eastAsia="宋体"/>
          <w:color w:val="auto"/>
          <w:sz w:val="24"/>
          <w:szCs w:val="24"/>
          <w:highlight w:val="none"/>
        </w:rPr>
      </w:pPr>
    </w:p>
    <w:p w14:paraId="65AFC4B9">
      <w:pPr>
        <w:adjustRightInd w:val="0"/>
        <w:snapToGrid w:val="0"/>
        <w:ind w:firstLine="482" w:firstLineChars="200"/>
        <w:rPr>
          <w:rFonts w:eastAsia="宋体"/>
          <w:b/>
          <w:color w:val="auto"/>
          <w:sz w:val="24"/>
          <w:szCs w:val="24"/>
          <w:highlight w:val="none"/>
          <w:u w:val="single"/>
        </w:rPr>
      </w:pPr>
    </w:p>
    <w:p w14:paraId="0084B268">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Ⅲ</w:t>
      </w:r>
      <w:r>
        <w:rPr>
          <w:rFonts w:hint="eastAsia" w:eastAsia="宋体"/>
          <w:color w:val="auto"/>
          <w:sz w:val="24"/>
          <w:szCs w:val="24"/>
          <w:highlight w:val="none"/>
        </w:rPr>
        <w:fldChar w:fldCharType="end"/>
      </w:r>
      <w:r>
        <w:rPr>
          <w:rFonts w:hint="eastAsia" w:eastAsia="宋体"/>
          <w:color w:val="auto"/>
          <w:sz w:val="24"/>
          <w:szCs w:val="24"/>
          <w:highlight w:val="none"/>
        </w:rPr>
        <w:t>.法律、行政法规规定的其他条件</w:t>
      </w:r>
      <w:r>
        <w:rPr>
          <w:rFonts w:eastAsia="宋体"/>
          <w:color w:val="auto"/>
          <w:sz w:val="24"/>
          <w:szCs w:val="24"/>
          <w:highlight w:val="none"/>
        </w:rPr>
        <w:t>格式</w:t>
      </w:r>
    </w:p>
    <w:p w14:paraId="3F4E36EC">
      <w:pPr>
        <w:spacing w:line="440" w:lineRule="exact"/>
        <w:jc w:val="center"/>
        <w:rPr>
          <w:rFonts w:eastAsia="宋体"/>
          <w:color w:val="auto"/>
          <w:sz w:val="24"/>
          <w:szCs w:val="24"/>
          <w:highlight w:val="none"/>
        </w:rPr>
      </w:pPr>
    </w:p>
    <w:p w14:paraId="481A9D49">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法律、行政法规规定的其他条件</w:t>
      </w:r>
      <w:r>
        <w:rPr>
          <w:rFonts w:eastAsia="宋体"/>
          <w:b/>
          <w:bCs/>
          <w:color w:val="auto"/>
          <w:sz w:val="24"/>
          <w:szCs w:val="24"/>
          <w:highlight w:val="none"/>
        </w:rPr>
        <w:t>声明</w:t>
      </w:r>
    </w:p>
    <w:p w14:paraId="7691EC3D">
      <w:pPr>
        <w:spacing w:line="440" w:lineRule="exact"/>
        <w:rPr>
          <w:rFonts w:eastAsia="宋体"/>
          <w:color w:val="auto"/>
          <w:sz w:val="24"/>
          <w:szCs w:val="24"/>
          <w:highlight w:val="none"/>
        </w:rPr>
      </w:pPr>
      <w:r>
        <w:rPr>
          <w:rFonts w:eastAsia="宋体"/>
          <w:color w:val="auto"/>
          <w:sz w:val="24"/>
          <w:szCs w:val="24"/>
          <w:highlight w:val="none"/>
        </w:rPr>
        <w:t xml:space="preserve">致： </w:t>
      </w:r>
    </w:p>
    <w:p w14:paraId="33476468">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1B9640C3">
      <w:pPr>
        <w:spacing w:line="440" w:lineRule="exact"/>
        <w:ind w:firstLine="480" w:firstLineChars="200"/>
        <w:rPr>
          <w:rFonts w:eastAsia="宋体"/>
          <w:color w:val="auto"/>
          <w:sz w:val="21"/>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违反法律、行政法规规定的其他条件</w:t>
      </w:r>
      <w:r>
        <w:rPr>
          <w:rFonts w:eastAsia="宋体"/>
          <w:color w:val="auto"/>
          <w:sz w:val="24"/>
          <w:szCs w:val="24"/>
          <w:highlight w:val="none"/>
        </w:rPr>
        <w:t>。</w:t>
      </w:r>
    </w:p>
    <w:p w14:paraId="290B0F6C">
      <w:pPr>
        <w:spacing w:line="440" w:lineRule="exact"/>
        <w:ind w:firstLine="482" w:firstLineChars="200"/>
        <w:rPr>
          <w:rFonts w:eastAsia="宋体"/>
          <w:b/>
          <w:bCs/>
          <w:color w:val="auto"/>
          <w:sz w:val="24"/>
          <w:szCs w:val="24"/>
          <w:highlight w:val="none"/>
        </w:rPr>
      </w:pPr>
      <w:r>
        <w:rPr>
          <w:rFonts w:hint="eastAsia" w:eastAsia="宋体"/>
          <w:b/>
          <w:bCs/>
          <w:color w:val="auto"/>
          <w:sz w:val="24"/>
          <w:szCs w:val="24"/>
          <w:highlight w:val="none"/>
        </w:rPr>
        <w:t>注：如为事业单位须说明其公益类型（未明确的提供说明）。</w:t>
      </w:r>
    </w:p>
    <w:p w14:paraId="31B0831A">
      <w:pPr>
        <w:spacing w:before="240" w:beforeLines="100"/>
        <w:ind w:firstLine="482"/>
        <w:rPr>
          <w:rFonts w:eastAsia="宋体"/>
          <w:color w:val="auto"/>
          <w:sz w:val="24"/>
          <w:szCs w:val="24"/>
          <w:highlight w:val="none"/>
        </w:rPr>
      </w:pPr>
    </w:p>
    <w:p w14:paraId="017520D1">
      <w:pPr>
        <w:spacing w:before="240" w:beforeLines="100"/>
        <w:ind w:firstLine="482"/>
        <w:rPr>
          <w:rFonts w:eastAsia="宋体"/>
          <w:color w:val="auto"/>
          <w:sz w:val="24"/>
          <w:szCs w:val="24"/>
          <w:highlight w:val="none"/>
        </w:rPr>
      </w:pPr>
    </w:p>
    <w:p w14:paraId="72FED4E6">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A399E15">
      <w:pPr>
        <w:ind w:firstLine="480"/>
        <w:rPr>
          <w:rFonts w:eastAsia="宋体"/>
          <w:color w:val="auto"/>
          <w:sz w:val="24"/>
          <w:szCs w:val="24"/>
          <w:highlight w:val="none"/>
        </w:rPr>
      </w:pPr>
      <w:r>
        <w:rPr>
          <w:rFonts w:eastAsia="宋体"/>
          <w:color w:val="auto"/>
          <w:sz w:val="24"/>
          <w:szCs w:val="24"/>
          <w:highlight w:val="none"/>
        </w:rPr>
        <w:t>日   期  ：        年      月      日</w:t>
      </w:r>
    </w:p>
    <w:p w14:paraId="266B9644">
      <w:pPr>
        <w:adjustRightInd w:val="0"/>
        <w:snapToGrid w:val="0"/>
        <w:ind w:firstLine="482" w:firstLineChars="200"/>
        <w:rPr>
          <w:rFonts w:eastAsia="宋体"/>
          <w:b/>
          <w:color w:val="auto"/>
          <w:sz w:val="24"/>
          <w:szCs w:val="24"/>
          <w:highlight w:val="none"/>
          <w:u w:val="single"/>
        </w:rPr>
      </w:pPr>
    </w:p>
    <w:p w14:paraId="4252EBEF">
      <w:pPr>
        <w:adjustRightInd w:val="0"/>
        <w:snapToGrid w:val="0"/>
        <w:ind w:firstLine="482" w:firstLineChars="200"/>
        <w:rPr>
          <w:rFonts w:eastAsia="宋体"/>
          <w:b/>
          <w:color w:val="auto"/>
          <w:sz w:val="24"/>
          <w:szCs w:val="24"/>
          <w:highlight w:val="none"/>
          <w:u w:val="single"/>
        </w:rPr>
      </w:pPr>
    </w:p>
    <w:p w14:paraId="63FDEE64">
      <w:pPr>
        <w:adjustRightInd w:val="0"/>
        <w:snapToGrid w:val="0"/>
        <w:ind w:firstLine="482" w:firstLineChars="200"/>
        <w:rPr>
          <w:rFonts w:eastAsia="宋体"/>
          <w:b/>
          <w:color w:val="auto"/>
          <w:sz w:val="24"/>
          <w:szCs w:val="24"/>
          <w:highlight w:val="none"/>
          <w:u w:val="single"/>
        </w:rPr>
      </w:pPr>
    </w:p>
    <w:p w14:paraId="19AC8916">
      <w:pPr>
        <w:adjustRightInd w:val="0"/>
        <w:snapToGrid w:val="0"/>
        <w:ind w:firstLine="482" w:firstLineChars="200"/>
        <w:rPr>
          <w:rFonts w:eastAsia="宋体"/>
          <w:b/>
          <w:color w:val="auto"/>
          <w:sz w:val="24"/>
          <w:szCs w:val="24"/>
          <w:highlight w:val="none"/>
          <w:u w:val="single"/>
        </w:rPr>
      </w:pPr>
    </w:p>
    <w:p w14:paraId="70826065">
      <w:pPr>
        <w:adjustRightInd w:val="0"/>
        <w:snapToGrid w:val="0"/>
        <w:ind w:firstLine="482" w:firstLineChars="200"/>
        <w:rPr>
          <w:rFonts w:eastAsia="宋体"/>
          <w:b/>
          <w:color w:val="auto"/>
          <w:sz w:val="24"/>
          <w:szCs w:val="24"/>
          <w:highlight w:val="none"/>
          <w:u w:val="single"/>
        </w:rPr>
      </w:pPr>
    </w:p>
    <w:p w14:paraId="0CC59C67">
      <w:pPr>
        <w:adjustRightInd w:val="0"/>
        <w:snapToGrid w:val="0"/>
        <w:ind w:firstLine="482" w:firstLineChars="200"/>
        <w:rPr>
          <w:rFonts w:eastAsia="宋体"/>
          <w:b/>
          <w:color w:val="auto"/>
          <w:sz w:val="24"/>
          <w:szCs w:val="24"/>
          <w:highlight w:val="none"/>
          <w:u w:val="single"/>
        </w:rPr>
      </w:pPr>
    </w:p>
    <w:p w14:paraId="37062244">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IV</w:t>
      </w:r>
      <w:r>
        <w:rPr>
          <w:rFonts w:hint="eastAsia" w:eastAsia="宋体"/>
          <w:color w:val="auto"/>
          <w:sz w:val="24"/>
          <w:szCs w:val="24"/>
          <w:highlight w:val="none"/>
        </w:rPr>
        <w:fldChar w:fldCharType="end"/>
      </w:r>
      <w:r>
        <w:rPr>
          <w:rFonts w:hint="eastAsia" w:eastAsia="宋体"/>
          <w:color w:val="auto"/>
          <w:sz w:val="24"/>
          <w:szCs w:val="24"/>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格式</w:t>
      </w:r>
    </w:p>
    <w:p w14:paraId="5E4548CB">
      <w:pPr>
        <w:spacing w:line="440" w:lineRule="exact"/>
        <w:jc w:val="center"/>
        <w:rPr>
          <w:rFonts w:eastAsia="宋体"/>
          <w:color w:val="auto"/>
          <w:sz w:val="24"/>
          <w:szCs w:val="24"/>
          <w:highlight w:val="none"/>
        </w:rPr>
      </w:pPr>
    </w:p>
    <w:p w14:paraId="7F55C04C">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拒绝下述供应商参加本次采购活动</w:t>
      </w:r>
      <w:r>
        <w:rPr>
          <w:rFonts w:eastAsia="宋体"/>
          <w:b/>
          <w:bCs/>
          <w:color w:val="auto"/>
          <w:sz w:val="24"/>
          <w:szCs w:val="24"/>
          <w:highlight w:val="none"/>
        </w:rPr>
        <w:t>声明</w:t>
      </w:r>
    </w:p>
    <w:p w14:paraId="6EE65F92">
      <w:pPr>
        <w:spacing w:line="440" w:lineRule="exact"/>
        <w:rPr>
          <w:rFonts w:eastAsia="宋体"/>
          <w:color w:val="auto"/>
          <w:sz w:val="24"/>
          <w:szCs w:val="24"/>
          <w:highlight w:val="none"/>
        </w:rPr>
      </w:pPr>
      <w:r>
        <w:rPr>
          <w:rFonts w:eastAsia="宋体"/>
          <w:color w:val="auto"/>
          <w:sz w:val="24"/>
          <w:szCs w:val="24"/>
          <w:highlight w:val="none"/>
        </w:rPr>
        <w:t xml:space="preserve">致： </w:t>
      </w:r>
    </w:p>
    <w:p w14:paraId="23DACC8F">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A46BB0B">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w:t>
      </w:r>
    </w:p>
    <w:p w14:paraId="1D1A9E4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4242DD73">
      <w:pPr>
        <w:adjustRightInd w:val="0"/>
        <w:snapToGrid w:val="0"/>
        <w:ind w:firstLine="480" w:firstLineChars="200"/>
        <w:rPr>
          <w:rFonts w:eastAsia="宋体"/>
          <w:b/>
          <w:color w:val="auto"/>
          <w:sz w:val="24"/>
          <w:szCs w:val="24"/>
          <w:highlight w:val="none"/>
          <w:u w:val="single"/>
        </w:rPr>
      </w:pPr>
      <w:r>
        <w:rPr>
          <w:rFonts w:eastAsia="宋体"/>
          <w:color w:val="auto"/>
          <w:sz w:val="24"/>
          <w:szCs w:val="24"/>
          <w:highlight w:val="none"/>
        </w:rPr>
        <w:t>日   期  ：        年      月      日</w:t>
      </w:r>
    </w:p>
    <w:p w14:paraId="36124146">
      <w:pPr>
        <w:adjustRightInd w:val="0"/>
        <w:snapToGrid w:val="0"/>
        <w:rPr>
          <w:rFonts w:eastAsia="宋体"/>
          <w:b/>
          <w:color w:val="auto"/>
          <w:sz w:val="24"/>
          <w:szCs w:val="24"/>
          <w:highlight w:val="none"/>
          <w:u w:val="single"/>
        </w:rPr>
      </w:pPr>
    </w:p>
    <w:p w14:paraId="62AA5F27">
      <w:pPr>
        <w:adjustRightInd w:val="0"/>
        <w:snapToGrid w:val="0"/>
        <w:ind w:firstLine="482" w:firstLineChars="200"/>
        <w:rPr>
          <w:rFonts w:eastAsia="宋体"/>
          <w:b/>
          <w:color w:val="auto"/>
          <w:sz w:val="24"/>
          <w:szCs w:val="24"/>
          <w:highlight w:val="none"/>
          <w:u w:val="single"/>
        </w:rPr>
      </w:pPr>
    </w:p>
    <w:p w14:paraId="464DDF42">
      <w:pPr>
        <w:adjustRightInd w:val="0"/>
        <w:snapToGrid w:val="0"/>
        <w:ind w:firstLine="482" w:firstLineChars="200"/>
        <w:rPr>
          <w:rFonts w:eastAsia="宋体"/>
          <w:color w:val="auto"/>
          <w:sz w:val="24"/>
          <w:szCs w:val="24"/>
          <w:highlight w:val="none"/>
        </w:rPr>
      </w:pPr>
      <w:r>
        <w:rPr>
          <w:rFonts w:eastAsia="宋体"/>
          <w:b/>
          <w:color w:val="auto"/>
          <w:sz w:val="24"/>
          <w:szCs w:val="24"/>
          <w:highlight w:val="none"/>
          <w:u w:val="single"/>
        </w:rPr>
        <w:t>（其他材料自行编辑并逐一提供</w:t>
      </w:r>
      <w:r>
        <w:rPr>
          <w:rFonts w:hint="eastAsia" w:eastAsia="宋体"/>
          <w:b/>
          <w:color w:val="auto"/>
          <w:sz w:val="24"/>
          <w:szCs w:val="24"/>
          <w:highlight w:val="none"/>
          <w:u w:val="single"/>
        </w:rPr>
        <w:t>，未提供格式的自拟</w:t>
      </w:r>
      <w:r>
        <w:rPr>
          <w:rFonts w:eastAsia="宋体"/>
          <w:b/>
          <w:color w:val="auto"/>
          <w:sz w:val="24"/>
          <w:szCs w:val="24"/>
          <w:highlight w:val="none"/>
          <w:u w:val="single"/>
        </w:rPr>
        <w:t>）</w:t>
      </w:r>
    </w:p>
    <w:p w14:paraId="1768860F">
      <w:pPr>
        <w:adjustRightInd w:val="0"/>
        <w:snapToGrid w:val="0"/>
        <w:rPr>
          <w:rFonts w:eastAsia="宋体"/>
          <w:bCs/>
          <w:color w:val="auto"/>
          <w:spacing w:val="20"/>
          <w:sz w:val="24"/>
          <w:szCs w:val="24"/>
          <w:highlight w:val="none"/>
        </w:rPr>
      </w:pPr>
      <w:r>
        <w:rPr>
          <w:rFonts w:eastAsia="宋体"/>
          <w:color w:val="auto"/>
          <w:sz w:val="24"/>
          <w:szCs w:val="24"/>
          <w:highlight w:val="none"/>
          <w:u w:val="single"/>
        </w:rPr>
        <w:br w:type="page"/>
      </w:r>
      <w:r>
        <w:rPr>
          <w:rFonts w:eastAsia="宋体"/>
          <w:bCs/>
          <w:color w:val="auto"/>
          <w:spacing w:val="20"/>
          <w:sz w:val="24"/>
          <w:szCs w:val="24"/>
          <w:highlight w:val="none"/>
        </w:rPr>
        <w:t>格式7：拟分包情况表及委托承担意向合同；（如有）</w:t>
      </w:r>
    </w:p>
    <w:p w14:paraId="06724287">
      <w:pPr>
        <w:adjustRightInd w:val="0"/>
        <w:snapToGrid w:val="0"/>
        <w:jc w:val="center"/>
        <w:rPr>
          <w:rFonts w:eastAsia="宋体"/>
          <w:bCs/>
          <w:color w:val="auto"/>
          <w:spacing w:val="20"/>
          <w:sz w:val="24"/>
          <w:szCs w:val="24"/>
          <w:highlight w:val="none"/>
        </w:rPr>
      </w:pPr>
    </w:p>
    <w:p w14:paraId="0A2927E7">
      <w:pPr>
        <w:adjustRightInd w:val="0"/>
        <w:snapToGrid w:val="0"/>
        <w:jc w:val="center"/>
        <w:rPr>
          <w:rFonts w:eastAsia="宋体"/>
          <w:color w:val="auto"/>
          <w:sz w:val="24"/>
          <w:szCs w:val="24"/>
          <w:highlight w:val="none"/>
          <w:u w:val="single"/>
        </w:rPr>
      </w:pPr>
      <w:r>
        <w:rPr>
          <w:rFonts w:eastAsia="宋体"/>
          <w:bCs/>
          <w:color w:val="auto"/>
          <w:spacing w:val="20"/>
          <w:sz w:val="24"/>
          <w:szCs w:val="24"/>
          <w:highlight w:val="none"/>
        </w:rPr>
        <w:t>（1）拟分包情况表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71"/>
        <w:gridCol w:w="2297"/>
        <w:gridCol w:w="2176"/>
      </w:tblGrid>
      <w:tr w14:paraId="5FB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17A4410">
            <w:pPr>
              <w:spacing w:before="100" w:beforeAutospacing="1" w:after="100" w:afterAutospacing="1"/>
              <w:jc w:val="center"/>
              <w:rPr>
                <w:rFonts w:eastAsia="宋体"/>
                <w:bCs/>
                <w:color w:val="auto"/>
                <w:szCs w:val="21"/>
                <w:highlight w:val="none"/>
              </w:rPr>
            </w:pPr>
            <w:r>
              <w:rPr>
                <w:rFonts w:eastAsia="宋体"/>
                <w:bCs/>
                <w:color w:val="auto"/>
                <w:szCs w:val="21"/>
                <w:highlight w:val="none"/>
              </w:rPr>
              <w:t>分包人名称</w:t>
            </w:r>
          </w:p>
        </w:tc>
        <w:tc>
          <w:tcPr>
            <w:tcW w:w="2471" w:type="dxa"/>
            <w:vAlign w:val="center"/>
          </w:tcPr>
          <w:p w14:paraId="4B8D8FF0">
            <w:pPr>
              <w:spacing w:before="100" w:beforeAutospacing="1" w:after="100" w:afterAutospacing="1"/>
              <w:jc w:val="center"/>
              <w:rPr>
                <w:rFonts w:eastAsia="宋体"/>
                <w:bCs/>
                <w:color w:val="auto"/>
                <w:szCs w:val="21"/>
                <w:highlight w:val="none"/>
              </w:rPr>
            </w:pPr>
          </w:p>
        </w:tc>
        <w:tc>
          <w:tcPr>
            <w:tcW w:w="2297" w:type="dxa"/>
            <w:vAlign w:val="center"/>
          </w:tcPr>
          <w:p w14:paraId="09B1FDA4">
            <w:pPr>
              <w:spacing w:before="100" w:beforeAutospacing="1" w:after="100" w:afterAutospacing="1"/>
              <w:jc w:val="center"/>
              <w:rPr>
                <w:rFonts w:eastAsia="宋体"/>
                <w:bCs/>
                <w:color w:val="auto"/>
                <w:szCs w:val="21"/>
                <w:highlight w:val="none"/>
              </w:rPr>
            </w:pPr>
            <w:r>
              <w:rPr>
                <w:rFonts w:eastAsia="宋体"/>
                <w:bCs/>
                <w:color w:val="auto"/>
                <w:szCs w:val="21"/>
                <w:highlight w:val="none"/>
              </w:rPr>
              <w:t>地 址</w:t>
            </w:r>
          </w:p>
        </w:tc>
        <w:tc>
          <w:tcPr>
            <w:tcW w:w="2176" w:type="dxa"/>
            <w:vAlign w:val="center"/>
          </w:tcPr>
          <w:p w14:paraId="4FEAC86C">
            <w:pPr>
              <w:spacing w:before="100" w:beforeAutospacing="1" w:after="100" w:afterAutospacing="1"/>
              <w:jc w:val="center"/>
              <w:rPr>
                <w:rFonts w:eastAsia="宋体"/>
                <w:bCs/>
                <w:color w:val="auto"/>
                <w:szCs w:val="21"/>
                <w:highlight w:val="none"/>
              </w:rPr>
            </w:pPr>
          </w:p>
        </w:tc>
      </w:tr>
      <w:tr w14:paraId="2C6B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E41EE95">
            <w:pPr>
              <w:spacing w:before="100" w:beforeAutospacing="1" w:after="100" w:afterAutospacing="1"/>
              <w:jc w:val="center"/>
              <w:rPr>
                <w:rFonts w:eastAsia="宋体"/>
                <w:bCs/>
                <w:color w:val="auto"/>
                <w:szCs w:val="21"/>
                <w:highlight w:val="none"/>
              </w:rPr>
            </w:pPr>
            <w:r>
              <w:rPr>
                <w:rFonts w:eastAsia="宋体"/>
                <w:bCs/>
                <w:color w:val="auto"/>
                <w:szCs w:val="21"/>
                <w:highlight w:val="none"/>
              </w:rPr>
              <w:t>法定代表人</w:t>
            </w:r>
          </w:p>
        </w:tc>
        <w:tc>
          <w:tcPr>
            <w:tcW w:w="2471" w:type="dxa"/>
            <w:vAlign w:val="center"/>
          </w:tcPr>
          <w:p w14:paraId="5BB37D56">
            <w:pPr>
              <w:spacing w:before="100" w:beforeAutospacing="1" w:after="100" w:afterAutospacing="1"/>
              <w:jc w:val="center"/>
              <w:rPr>
                <w:rFonts w:eastAsia="宋体"/>
                <w:bCs/>
                <w:color w:val="auto"/>
                <w:szCs w:val="21"/>
                <w:highlight w:val="none"/>
              </w:rPr>
            </w:pPr>
          </w:p>
        </w:tc>
        <w:tc>
          <w:tcPr>
            <w:tcW w:w="2297" w:type="dxa"/>
            <w:vAlign w:val="center"/>
          </w:tcPr>
          <w:p w14:paraId="265ACDF8">
            <w:pPr>
              <w:spacing w:before="100" w:beforeAutospacing="1" w:after="100" w:afterAutospacing="1"/>
              <w:jc w:val="center"/>
              <w:rPr>
                <w:rFonts w:eastAsia="宋体"/>
                <w:bCs/>
                <w:color w:val="auto"/>
                <w:szCs w:val="21"/>
                <w:highlight w:val="none"/>
              </w:rPr>
            </w:pPr>
            <w:r>
              <w:rPr>
                <w:rFonts w:eastAsia="宋体"/>
                <w:bCs/>
                <w:color w:val="auto"/>
                <w:szCs w:val="21"/>
                <w:highlight w:val="none"/>
              </w:rPr>
              <w:t>电话</w:t>
            </w:r>
          </w:p>
        </w:tc>
        <w:tc>
          <w:tcPr>
            <w:tcW w:w="2176" w:type="dxa"/>
            <w:vAlign w:val="center"/>
          </w:tcPr>
          <w:p w14:paraId="1AC0A7C4">
            <w:pPr>
              <w:spacing w:before="100" w:beforeAutospacing="1" w:after="100" w:afterAutospacing="1"/>
              <w:jc w:val="center"/>
              <w:rPr>
                <w:rFonts w:eastAsia="宋体"/>
                <w:bCs/>
                <w:color w:val="auto"/>
                <w:szCs w:val="21"/>
                <w:highlight w:val="none"/>
              </w:rPr>
            </w:pPr>
          </w:p>
        </w:tc>
      </w:tr>
      <w:tr w14:paraId="4FA6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3ABD8D7E">
            <w:pPr>
              <w:spacing w:before="100" w:beforeAutospacing="1" w:after="100" w:afterAutospacing="1"/>
              <w:jc w:val="center"/>
              <w:rPr>
                <w:rFonts w:eastAsia="宋体"/>
                <w:bCs/>
                <w:color w:val="auto"/>
                <w:szCs w:val="21"/>
                <w:highlight w:val="none"/>
              </w:rPr>
            </w:pPr>
            <w:r>
              <w:rPr>
                <w:rFonts w:eastAsia="宋体"/>
                <w:bCs/>
                <w:color w:val="auto"/>
                <w:szCs w:val="21"/>
                <w:highlight w:val="none"/>
              </w:rPr>
              <w:t>营业执照号码</w:t>
            </w:r>
          </w:p>
        </w:tc>
        <w:tc>
          <w:tcPr>
            <w:tcW w:w="2471" w:type="dxa"/>
            <w:vAlign w:val="center"/>
          </w:tcPr>
          <w:p w14:paraId="27598564">
            <w:pPr>
              <w:spacing w:before="100" w:beforeAutospacing="1" w:after="100" w:afterAutospacing="1"/>
              <w:jc w:val="center"/>
              <w:rPr>
                <w:rFonts w:eastAsia="宋体"/>
                <w:bCs/>
                <w:color w:val="auto"/>
                <w:szCs w:val="21"/>
                <w:highlight w:val="none"/>
              </w:rPr>
            </w:pPr>
          </w:p>
        </w:tc>
        <w:tc>
          <w:tcPr>
            <w:tcW w:w="2297" w:type="dxa"/>
            <w:vAlign w:val="center"/>
          </w:tcPr>
          <w:p w14:paraId="37B25E6D">
            <w:pPr>
              <w:spacing w:before="100" w:beforeAutospacing="1" w:after="100" w:afterAutospacing="1"/>
              <w:jc w:val="center"/>
              <w:rPr>
                <w:rFonts w:eastAsia="宋体"/>
                <w:bCs/>
                <w:color w:val="auto"/>
                <w:szCs w:val="21"/>
                <w:highlight w:val="none"/>
              </w:rPr>
            </w:pPr>
            <w:r>
              <w:rPr>
                <w:rFonts w:eastAsia="宋体"/>
                <w:bCs/>
                <w:color w:val="auto"/>
                <w:szCs w:val="21"/>
                <w:highlight w:val="none"/>
              </w:rPr>
              <w:t>资质等级（如有）</w:t>
            </w:r>
          </w:p>
        </w:tc>
        <w:tc>
          <w:tcPr>
            <w:tcW w:w="2176" w:type="dxa"/>
            <w:vAlign w:val="center"/>
          </w:tcPr>
          <w:p w14:paraId="675F06D9">
            <w:pPr>
              <w:spacing w:before="100" w:beforeAutospacing="1" w:after="100" w:afterAutospacing="1"/>
              <w:jc w:val="center"/>
              <w:rPr>
                <w:rFonts w:eastAsia="宋体"/>
                <w:bCs/>
                <w:color w:val="auto"/>
                <w:szCs w:val="21"/>
                <w:highlight w:val="none"/>
              </w:rPr>
            </w:pPr>
          </w:p>
        </w:tc>
      </w:tr>
      <w:tr w14:paraId="4F49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0C406D20">
            <w:pPr>
              <w:spacing w:before="100" w:beforeAutospacing="1" w:after="100" w:afterAutospacing="1"/>
              <w:jc w:val="center"/>
              <w:rPr>
                <w:rFonts w:eastAsia="宋体"/>
                <w:bCs/>
                <w:color w:val="auto"/>
                <w:szCs w:val="21"/>
                <w:highlight w:val="none"/>
              </w:rPr>
            </w:pPr>
            <w:r>
              <w:rPr>
                <w:rFonts w:eastAsia="宋体"/>
                <w:bCs/>
                <w:color w:val="auto"/>
                <w:szCs w:val="21"/>
                <w:highlight w:val="none"/>
              </w:rPr>
              <w:t>拟分包的项目</w:t>
            </w:r>
          </w:p>
        </w:tc>
        <w:tc>
          <w:tcPr>
            <w:tcW w:w="2471" w:type="dxa"/>
            <w:vAlign w:val="center"/>
          </w:tcPr>
          <w:p w14:paraId="70041A65">
            <w:pPr>
              <w:spacing w:before="100" w:beforeAutospacing="1" w:after="100" w:afterAutospacing="1"/>
              <w:jc w:val="center"/>
              <w:rPr>
                <w:rFonts w:eastAsia="宋体"/>
                <w:bCs/>
                <w:color w:val="auto"/>
                <w:szCs w:val="21"/>
                <w:highlight w:val="none"/>
              </w:rPr>
            </w:pPr>
            <w:r>
              <w:rPr>
                <w:rFonts w:eastAsia="宋体"/>
                <w:bCs/>
                <w:color w:val="auto"/>
                <w:szCs w:val="21"/>
                <w:highlight w:val="none"/>
              </w:rPr>
              <w:t>主 要 内 容</w:t>
            </w:r>
          </w:p>
        </w:tc>
        <w:tc>
          <w:tcPr>
            <w:tcW w:w="2297" w:type="dxa"/>
            <w:vAlign w:val="center"/>
          </w:tcPr>
          <w:p w14:paraId="035BEE3A">
            <w:pPr>
              <w:spacing w:before="100" w:beforeAutospacing="1" w:after="100" w:afterAutospacing="1"/>
              <w:jc w:val="center"/>
              <w:rPr>
                <w:rFonts w:eastAsia="宋体"/>
                <w:bCs/>
                <w:color w:val="auto"/>
                <w:szCs w:val="21"/>
                <w:highlight w:val="none"/>
              </w:rPr>
            </w:pPr>
            <w:r>
              <w:rPr>
                <w:rFonts w:eastAsia="宋体"/>
                <w:bCs/>
                <w:color w:val="auto"/>
                <w:szCs w:val="21"/>
                <w:highlight w:val="none"/>
              </w:rPr>
              <w:t>预计金额（万元）</w:t>
            </w:r>
          </w:p>
        </w:tc>
        <w:tc>
          <w:tcPr>
            <w:tcW w:w="2176" w:type="dxa"/>
            <w:vAlign w:val="center"/>
          </w:tcPr>
          <w:p w14:paraId="76680C39">
            <w:pPr>
              <w:spacing w:before="100" w:beforeAutospacing="1" w:after="100" w:afterAutospacing="1"/>
              <w:jc w:val="center"/>
              <w:rPr>
                <w:rFonts w:eastAsia="宋体"/>
                <w:bCs/>
                <w:color w:val="auto"/>
                <w:szCs w:val="21"/>
                <w:highlight w:val="none"/>
              </w:rPr>
            </w:pPr>
            <w:r>
              <w:rPr>
                <w:rFonts w:eastAsia="宋体"/>
                <w:bCs/>
                <w:color w:val="auto"/>
                <w:szCs w:val="21"/>
                <w:highlight w:val="none"/>
              </w:rPr>
              <w:t>已经做过的类似项目</w:t>
            </w:r>
          </w:p>
        </w:tc>
      </w:tr>
      <w:tr w14:paraId="724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DC93B0">
            <w:pPr>
              <w:spacing w:before="100" w:beforeAutospacing="1" w:after="100" w:afterAutospacing="1"/>
              <w:jc w:val="center"/>
              <w:rPr>
                <w:rFonts w:eastAsia="宋体"/>
                <w:bCs/>
                <w:color w:val="auto"/>
                <w:szCs w:val="21"/>
                <w:highlight w:val="none"/>
              </w:rPr>
            </w:pPr>
          </w:p>
        </w:tc>
        <w:tc>
          <w:tcPr>
            <w:tcW w:w="2471" w:type="dxa"/>
            <w:vAlign w:val="center"/>
          </w:tcPr>
          <w:p w14:paraId="2A1BE94A">
            <w:pPr>
              <w:spacing w:before="100" w:beforeAutospacing="1" w:after="100" w:afterAutospacing="1"/>
              <w:jc w:val="center"/>
              <w:rPr>
                <w:rFonts w:eastAsia="宋体"/>
                <w:bCs/>
                <w:color w:val="auto"/>
                <w:szCs w:val="21"/>
                <w:highlight w:val="none"/>
              </w:rPr>
            </w:pPr>
          </w:p>
        </w:tc>
        <w:tc>
          <w:tcPr>
            <w:tcW w:w="2297" w:type="dxa"/>
            <w:vAlign w:val="center"/>
          </w:tcPr>
          <w:p w14:paraId="1854CFBB">
            <w:pPr>
              <w:spacing w:before="100" w:beforeAutospacing="1" w:after="100" w:afterAutospacing="1"/>
              <w:jc w:val="center"/>
              <w:rPr>
                <w:rFonts w:eastAsia="宋体"/>
                <w:bCs/>
                <w:color w:val="auto"/>
                <w:szCs w:val="21"/>
                <w:highlight w:val="none"/>
              </w:rPr>
            </w:pPr>
          </w:p>
        </w:tc>
        <w:tc>
          <w:tcPr>
            <w:tcW w:w="2176" w:type="dxa"/>
            <w:vMerge w:val="restart"/>
            <w:vAlign w:val="center"/>
          </w:tcPr>
          <w:p w14:paraId="6C6B442F">
            <w:pPr>
              <w:spacing w:before="100" w:beforeAutospacing="1" w:after="100" w:afterAutospacing="1"/>
              <w:jc w:val="center"/>
              <w:rPr>
                <w:rFonts w:eastAsia="宋体"/>
                <w:bCs/>
                <w:color w:val="auto"/>
                <w:szCs w:val="21"/>
                <w:highlight w:val="none"/>
              </w:rPr>
            </w:pPr>
          </w:p>
        </w:tc>
      </w:tr>
      <w:tr w14:paraId="2CEB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328C6B">
            <w:pPr>
              <w:spacing w:before="100" w:beforeAutospacing="1" w:after="100" w:afterAutospacing="1"/>
              <w:jc w:val="center"/>
              <w:rPr>
                <w:rFonts w:eastAsia="宋体"/>
                <w:bCs/>
                <w:color w:val="auto"/>
                <w:szCs w:val="21"/>
                <w:highlight w:val="none"/>
              </w:rPr>
            </w:pPr>
          </w:p>
        </w:tc>
        <w:tc>
          <w:tcPr>
            <w:tcW w:w="2471" w:type="dxa"/>
            <w:vAlign w:val="center"/>
          </w:tcPr>
          <w:p w14:paraId="1259A2F3">
            <w:pPr>
              <w:spacing w:before="100" w:beforeAutospacing="1" w:after="100" w:afterAutospacing="1"/>
              <w:jc w:val="center"/>
              <w:rPr>
                <w:rFonts w:eastAsia="宋体"/>
                <w:bCs/>
                <w:color w:val="auto"/>
                <w:szCs w:val="21"/>
                <w:highlight w:val="none"/>
              </w:rPr>
            </w:pPr>
          </w:p>
        </w:tc>
        <w:tc>
          <w:tcPr>
            <w:tcW w:w="2297" w:type="dxa"/>
            <w:vAlign w:val="center"/>
          </w:tcPr>
          <w:p w14:paraId="3679F07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5C0B4C4C">
            <w:pPr>
              <w:spacing w:before="100" w:beforeAutospacing="1" w:after="100" w:afterAutospacing="1" w:line="440" w:lineRule="exact"/>
              <w:jc w:val="center"/>
              <w:rPr>
                <w:rFonts w:eastAsia="宋体"/>
                <w:color w:val="auto"/>
                <w:szCs w:val="21"/>
                <w:highlight w:val="none"/>
              </w:rPr>
            </w:pPr>
          </w:p>
        </w:tc>
      </w:tr>
      <w:tr w14:paraId="1D88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BA655E3">
            <w:pPr>
              <w:spacing w:before="100" w:beforeAutospacing="1" w:after="100" w:afterAutospacing="1"/>
              <w:jc w:val="center"/>
              <w:rPr>
                <w:rFonts w:eastAsia="宋体"/>
                <w:bCs/>
                <w:color w:val="auto"/>
                <w:szCs w:val="21"/>
                <w:highlight w:val="none"/>
              </w:rPr>
            </w:pPr>
          </w:p>
        </w:tc>
        <w:tc>
          <w:tcPr>
            <w:tcW w:w="2471" w:type="dxa"/>
            <w:vAlign w:val="center"/>
          </w:tcPr>
          <w:p w14:paraId="2C793642">
            <w:pPr>
              <w:spacing w:before="100" w:beforeAutospacing="1" w:after="100" w:afterAutospacing="1"/>
              <w:jc w:val="center"/>
              <w:rPr>
                <w:rFonts w:eastAsia="宋体"/>
                <w:bCs/>
                <w:color w:val="auto"/>
                <w:szCs w:val="21"/>
                <w:highlight w:val="none"/>
              </w:rPr>
            </w:pPr>
          </w:p>
        </w:tc>
        <w:tc>
          <w:tcPr>
            <w:tcW w:w="2297" w:type="dxa"/>
            <w:vAlign w:val="center"/>
          </w:tcPr>
          <w:p w14:paraId="22D725DF">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3A863D5">
            <w:pPr>
              <w:spacing w:before="100" w:beforeAutospacing="1" w:after="100" w:afterAutospacing="1" w:line="440" w:lineRule="exact"/>
              <w:jc w:val="center"/>
              <w:rPr>
                <w:rFonts w:eastAsia="宋体"/>
                <w:color w:val="auto"/>
                <w:szCs w:val="21"/>
                <w:highlight w:val="none"/>
              </w:rPr>
            </w:pPr>
          </w:p>
        </w:tc>
      </w:tr>
      <w:tr w14:paraId="225D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C00B1F2">
            <w:pPr>
              <w:spacing w:before="100" w:beforeAutospacing="1" w:after="100" w:afterAutospacing="1"/>
              <w:jc w:val="center"/>
              <w:rPr>
                <w:rFonts w:eastAsia="宋体"/>
                <w:bCs/>
                <w:color w:val="auto"/>
                <w:szCs w:val="21"/>
                <w:highlight w:val="none"/>
              </w:rPr>
            </w:pPr>
          </w:p>
        </w:tc>
        <w:tc>
          <w:tcPr>
            <w:tcW w:w="2471" w:type="dxa"/>
            <w:vAlign w:val="center"/>
          </w:tcPr>
          <w:p w14:paraId="5E5CE0D0">
            <w:pPr>
              <w:spacing w:before="100" w:beforeAutospacing="1" w:after="100" w:afterAutospacing="1"/>
              <w:jc w:val="center"/>
              <w:rPr>
                <w:rFonts w:eastAsia="宋体"/>
                <w:bCs/>
                <w:color w:val="auto"/>
                <w:szCs w:val="21"/>
                <w:highlight w:val="none"/>
              </w:rPr>
            </w:pPr>
          </w:p>
        </w:tc>
        <w:tc>
          <w:tcPr>
            <w:tcW w:w="2297" w:type="dxa"/>
            <w:vAlign w:val="center"/>
          </w:tcPr>
          <w:p w14:paraId="7AC6F81E">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D730A8A">
            <w:pPr>
              <w:spacing w:before="100" w:beforeAutospacing="1" w:after="100" w:afterAutospacing="1" w:line="440" w:lineRule="exact"/>
              <w:jc w:val="center"/>
              <w:rPr>
                <w:rFonts w:eastAsia="宋体"/>
                <w:color w:val="auto"/>
                <w:szCs w:val="21"/>
                <w:highlight w:val="none"/>
              </w:rPr>
            </w:pPr>
          </w:p>
        </w:tc>
      </w:tr>
      <w:tr w14:paraId="56A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16AD0BB">
            <w:pPr>
              <w:spacing w:before="100" w:beforeAutospacing="1" w:after="100" w:afterAutospacing="1"/>
              <w:jc w:val="center"/>
              <w:rPr>
                <w:rFonts w:eastAsia="宋体"/>
                <w:bCs/>
                <w:color w:val="auto"/>
                <w:szCs w:val="21"/>
                <w:highlight w:val="none"/>
              </w:rPr>
            </w:pPr>
          </w:p>
        </w:tc>
        <w:tc>
          <w:tcPr>
            <w:tcW w:w="2471" w:type="dxa"/>
            <w:vAlign w:val="center"/>
          </w:tcPr>
          <w:p w14:paraId="6237D410">
            <w:pPr>
              <w:spacing w:before="100" w:beforeAutospacing="1" w:after="100" w:afterAutospacing="1"/>
              <w:jc w:val="center"/>
              <w:rPr>
                <w:rFonts w:eastAsia="宋体"/>
                <w:bCs/>
                <w:color w:val="auto"/>
                <w:szCs w:val="21"/>
                <w:highlight w:val="none"/>
              </w:rPr>
            </w:pPr>
          </w:p>
        </w:tc>
        <w:tc>
          <w:tcPr>
            <w:tcW w:w="2297" w:type="dxa"/>
            <w:vAlign w:val="center"/>
          </w:tcPr>
          <w:p w14:paraId="1A12184D">
            <w:pPr>
              <w:spacing w:before="100" w:beforeAutospacing="1" w:after="100" w:afterAutospacing="1"/>
              <w:jc w:val="center"/>
              <w:rPr>
                <w:rFonts w:eastAsia="宋体"/>
                <w:bCs/>
                <w:color w:val="auto"/>
                <w:szCs w:val="21"/>
                <w:highlight w:val="none"/>
              </w:rPr>
            </w:pPr>
          </w:p>
        </w:tc>
        <w:tc>
          <w:tcPr>
            <w:tcW w:w="2176" w:type="dxa"/>
            <w:vMerge w:val="continue"/>
            <w:vAlign w:val="center"/>
          </w:tcPr>
          <w:p w14:paraId="285B3602">
            <w:pPr>
              <w:spacing w:before="100" w:beforeAutospacing="1" w:after="100" w:afterAutospacing="1" w:line="440" w:lineRule="exact"/>
              <w:jc w:val="center"/>
              <w:rPr>
                <w:rFonts w:eastAsia="宋体"/>
                <w:color w:val="auto"/>
                <w:szCs w:val="21"/>
                <w:highlight w:val="none"/>
              </w:rPr>
            </w:pPr>
          </w:p>
        </w:tc>
      </w:tr>
      <w:tr w14:paraId="2E7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98BE7DD">
            <w:pPr>
              <w:spacing w:before="100" w:beforeAutospacing="1" w:after="100" w:afterAutospacing="1"/>
              <w:jc w:val="center"/>
              <w:rPr>
                <w:rFonts w:eastAsia="宋体"/>
                <w:bCs/>
                <w:color w:val="auto"/>
                <w:szCs w:val="21"/>
                <w:highlight w:val="none"/>
              </w:rPr>
            </w:pPr>
          </w:p>
        </w:tc>
        <w:tc>
          <w:tcPr>
            <w:tcW w:w="2471" w:type="dxa"/>
            <w:vAlign w:val="center"/>
          </w:tcPr>
          <w:p w14:paraId="1DD314D8">
            <w:pPr>
              <w:spacing w:before="100" w:beforeAutospacing="1" w:after="100" w:afterAutospacing="1"/>
              <w:jc w:val="center"/>
              <w:rPr>
                <w:rFonts w:eastAsia="宋体"/>
                <w:bCs/>
                <w:color w:val="auto"/>
                <w:szCs w:val="21"/>
                <w:highlight w:val="none"/>
              </w:rPr>
            </w:pPr>
          </w:p>
        </w:tc>
        <w:tc>
          <w:tcPr>
            <w:tcW w:w="2297" w:type="dxa"/>
            <w:vAlign w:val="center"/>
          </w:tcPr>
          <w:p w14:paraId="59FE4B0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3A0B26E1">
            <w:pPr>
              <w:spacing w:before="100" w:beforeAutospacing="1" w:after="100" w:afterAutospacing="1" w:line="440" w:lineRule="exact"/>
              <w:jc w:val="center"/>
              <w:rPr>
                <w:rFonts w:eastAsia="宋体"/>
                <w:color w:val="auto"/>
                <w:szCs w:val="21"/>
                <w:highlight w:val="none"/>
              </w:rPr>
            </w:pPr>
          </w:p>
        </w:tc>
      </w:tr>
    </w:tbl>
    <w:p w14:paraId="7C690005">
      <w:pPr>
        <w:spacing w:line="440" w:lineRule="exact"/>
        <w:jc w:val="left"/>
        <w:rPr>
          <w:rFonts w:eastAsia="宋体"/>
          <w:color w:val="auto"/>
          <w:sz w:val="27"/>
          <w:szCs w:val="27"/>
          <w:highlight w:val="none"/>
        </w:rPr>
      </w:pPr>
      <w:r>
        <w:rPr>
          <w:rFonts w:eastAsia="宋体"/>
          <w:color w:val="auto"/>
          <w:szCs w:val="27"/>
          <w:highlight w:val="none"/>
        </w:rPr>
        <w:t>备注：每项分包单独填写。主体工程项目不允许分包。</w:t>
      </w:r>
    </w:p>
    <w:p w14:paraId="0E000329">
      <w:pPr>
        <w:adjustRightInd w:val="0"/>
        <w:snapToGrid w:val="0"/>
        <w:ind w:firstLine="560" w:firstLineChars="200"/>
        <w:jc w:val="center"/>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bCs/>
          <w:color w:val="auto"/>
          <w:spacing w:val="20"/>
          <w:sz w:val="24"/>
          <w:szCs w:val="24"/>
          <w:highlight w:val="none"/>
        </w:rPr>
        <w:t>（2）委托承担意向合同（如有）</w:t>
      </w:r>
    </w:p>
    <w:p w14:paraId="4623D286">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7</w:t>
      </w:r>
      <w:r>
        <w:rPr>
          <w:rFonts w:eastAsia="宋体"/>
          <w:color w:val="auto"/>
          <w:sz w:val="24"/>
          <w:szCs w:val="24"/>
          <w:highlight w:val="none"/>
        </w:rPr>
        <w:t>：</w:t>
      </w:r>
      <w:r>
        <w:rPr>
          <w:rFonts w:eastAsia="宋体"/>
          <w:bCs/>
          <w:color w:val="auto"/>
          <w:spacing w:val="20"/>
          <w:sz w:val="24"/>
          <w:szCs w:val="24"/>
          <w:highlight w:val="none"/>
        </w:rPr>
        <w:t>供应商情况表</w:t>
      </w:r>
    </w:p>
    <w:p w14:paraId="74A935CB">
      <w:pPr>
        <w:autoSpaceDE w:val="0"/>
        <w:autoSpaceDN w:val="0"/>
        <w:adjustRightInd w:val="0"/>
        <w:snapToGrid w:val="0"/>
        <w:jc w:val="center"/>
        <w:rPr>
          <w:rFonts w:eastAsia="宋体"/>
          <w:bCs/>
          <w:color w:val="auto"/>
          <w:sz w:val="24"/>
          <w:szCs w:val="24"/>
          <w:highlight w:val="none"/>
          <w:lang w:val="zh-CN"/>
        </w:rPr>
      </w:pPr>
      <w:r>
        <w:rPr>
          <w:rFonts w:eastAsia="宋体"/>
          <w:bCs/>
          <w:color w:val="auto"/>
          <w:sz w:val="24"/>
          <w:szCs w:val="24"/>
          <w:highlight w:val="none"/>
          <w:lang w:val="zh-CN"/>
        </w:rPr>
        <w:t>供应商情况表</w:t>
      </w:r>
    </w:p>
    <w:p w14:paraId="2A614838">
      <w:pPr>
        <w:autoSpaceDE w:val="0"/>
        <w:autoSpaceDN w:val="0"/>
        <w:adjustRightInd w:val="0"/>
        <w:snapToGrid w:val="0"/>
        <w:ind w:firstLine="472" w:firstLineChars="196"/>
        <w:rPr>
          <w:rFonts w:eastAsia="宋体"/>
          <w:color w:val="auto"/>
          <w:sz w:val="24"/>
          <w:szCs w:val="24"/>
          <w:highlight w:val="none"/>
          <w:lang w:val="zh-CN"/>
        </w:rPr>
      </w:pPr>
      <w:r>
        <w:rPr>
          <w:rFonts w:eastAsia="宋体"/>
          <w:b/>
          <w:bCs/>
          <w:color w:val="auto"/>
          <w:sz w:val="24"/>
          <w:szCs w:val="24"/>
          <w:highlight w:val="none"/>
          <w:lang w:val="zh-CN"/>
        </w:rPr>
        <w:t>供应商</w:t>
      </w:r>
      <w:r>
        <w:rPr>
          <w:rFonts w:eastAsia="宋体"/>
          <w:color w:val="auto"/>
          <w:kern w:val="0"/>
          <w:sz w:val="24"/>
          <w:szCs w:val="24"/>
          <w:highlight w:val="none"/>
          <w:lang w:val="zh-CN"/>
        </w:rPr>
        <w:t>：（公章）</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470"/>
        <w:gridCol w:w="1287"/>
        <w:gridCol w:w="28"/>
        <w:gridCol w:w="1625"/>
        <w:gridCol w:w="1260"/>
        <w:gridCol w:w="1785"/>
      </w:tblGrid>
      <w:tr w14:paraId="7915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473" w:type="dxa"/>
            <w:tcBorders>
              <w:top w:val="single" w:color="auto" w:sz="12" w:space="0"/>
              <w:left w:val="single" w:color="auto" w:sz="12" w:space="0"/>
            </w:tcBorders>
            <w:vAlign w:val="center"/>
          </w:tcPr>
          <w:p w14:paraId="31660C5B">
            <w:pPr>
              <w:adjustRightInd w:val="0"/>
              <w:snapToGrid w:val="0"/>
              <w:jc w:val="center"/>
              <w:rPr>
                <w:rFonts w:eastAsia="宋体"/>
                <w:color w:val="auto"/>
                <w:sz w:val="24"/>
                <w:szCs w:val="24"/>
                <w:highlight w:val="none"/>
              </w:rPr>
            </w:pPr>
            <w:r>
              <w:rPr>
                <w:rFonts w:eastAsia="宋体"/>
                <w:color w:val="auto"/>
                <w:sz w:val="24"/>
                <w:szCs w:val="24"/>
                <w:highlight w:val="none"/>
              </w:rPr>
              <w:t>单位名称</w:t>
            </w:r>
          </w:p>
        </w:tc>
        <w:tc>
          <w:tcPr>
            <w:tcW w:w="4410" w:type="dxa"/>
            <w:gridSpan w:val="4"/>
            <w:tcBorders>
              <w:top w:val="single" w:color="auto" w:sz="12" w:space="0"/>
            </w:tcBorders>
            <w:vAlign w:val="center"/>
          </w:tcPr>
          <w:p w14:paraId="6EE01EE6">
            <w:pPr>
              <w:adjustRightInd w:val="0"/>
              <w:snapToGrid w:val="0"/>
              <w:jc w:val="center"/>
              <w:rPr>
                <w:rFonts w:eastAsia="宋体"/>
                <w:color w:val="auto"/>
                <w:sz w:val="24"/>
                <w:szCs w:val="24"/>
                <w:highlight w:val="none"/>
              </w:rPr>
            </w:pPr>
          </w:p>
        </w:tc>
        <w:tc>
          <w:tcPr>
            <w:tcW w:w="1260" w:type="dxa"/>
            <w:tcBorders>
              <w:top w:val="single" w:color="auto" w:sz="12" w:space="0"/>
            </w:tcBorders>
            <w:vAlign w:val="center"/>
          </w:tcPr>
          <w:p w14:paraId="0C2EE10F">
            <w:pPr>
              <w:adjustRightInd w:val="0"/>
              <w:snapToGrid w:val="0"/>
              <w:jc w:val="center"/>
              <w:rPr>
                <w:rFonts w:eastAsia="宋体"/>
                <w:color w:val="auto"/>
                <w:sz w:val="24"/>
                <w:szCs w:val="24"/>
                <w:highlight w:val="none"/>
              </w:rPr>
            </w:pPr>
            <w:r>
              <w:rPr>
                <w:rFonts w:eastAsia="宋体"/>
                <w:color w:val="auto"/>
                <w:sz w:val="24"/>
                <w:szCs w:val="24"/>
                <w:highlight w:val="none"/>
              </w:rPr>
              <w:t>单位性质</w:t>
            </w:r>
          </w:p>
        </w:tc>
        <w:tc>
          <w:tcPr>
            <w:tcW w:w="1785" w:type="dxa"/>
            <w:tcBorders>
              <w:top w:val="single" w:color="auto" w:sz="12" w:space="0"/>
              <w:right w:val="single" w:color="auto" w:sz="12" w:space="0"/>
            </w:tcBorders>
            <w:vAlign w:val="center"/>
          </w:tcPr>
          <w:p w14:paraId="2598FF66">
            <w:pPr>
              <w:adjustRightInd w:val="0"/>
              <w:snapToGrid w:val="0"/>
              <w:jc w:val="center"/>
              <w:rPr>
                <w:rFonts w:eastAsia="宋体"/>
                <w:color w:val="auto"/>
                <w:sz w:val="24"/>
                <w:szCs w:val="24"/>
                <w:highlight w:val="none"/>
              </w:rPr>
            </w:pPr>
          </w:p>
        </w:tc>
      </w:tr>
      <w:tr w14:paraId="0968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73" w:type="dxa"/>
            <w:tcBorders>
              <w:left w:val="single" w:color="auto" w:sz="12" w:space="0"/>
              <w:right w:val="single" w:color="auto" w:sz="4" w:space="0"/>
            </w:tcBorders>
            <w:vAlign w:val="center"/>
          </w:tcPr>
          <w:p w14:paraId="225B05DE">
            <w:pPr>
              <w:adjustRightInd w:val="0"/>
              <w:snapToGrid w:val="0"/>
              <w:jc w:val="center"/>
              <w:rPr>
                <w:rFonts w:eastAsia="宋体"/>
                <w:color w:val="auto"/>
                <w:sz w:val="24"/>
                <w:szCs w:val="24"/>
                <w:highlight w:val="none"/>
              </w:rPr>
            </w:pPr>
            <w:r>
              <w:rPr>
                <w:rFonts w:eastAsia="宋体"/>
                <w:color w:val="auto"/>
                <w:sz w:val="24"/>
                <w:szCs w:val="24"/>
                <w:highlight w:val="none"/>
              </w:rPr>
              <w:t>注册时间</w:t>
            </w:r>
          </w:p>
        </w:tc>
        <w:tc>
          <w:tcPr>
            <w:tcW w:w="1470" w:type="dxa"/>
            <w:tcBorders>
              <w:left w:val="single" w:color="auto" w:sz="4" w:space="0"/>
              <w:right w:val="single" w:color="auto" w:sz="4" w:space="0"/>
            </w:tcBorders>
            <w:vAlign w:val="center"/>
          </w:tcPr>
          <w:p w14:paraId="5036C74B">
            <w:pPr>
              <w:adjustRightInd w:val="0"/>
              <w:snapToGrid w:val="0"/>
              <w:jc w:val="center"/>
              <w:rPr>
                <w:rFonts w:eastAsia="宋体"/>
                <w:color w:val="auto"/>
                <w:sz w:val="24"/>
                <w:szCs w:val="24"/>
                <w:highlight w:val="none"/>
              </w:rPr>
            </w:pPr>
          </w:p>
        </w:tc>
        <w:tc>
          <w:tcPr>
            <w:tcW w:w="1315" w:type="dxa"/>
            <w:gridSpan w:val="2"/>
            <w:tcBorders>
              <w:left w:val="single" w:color="auto" w:sz="4" w:space="0"/>
              <w:right w:val="single" w:color="auto" w:sz="4" w:space="0"/>
            </w:tcBorders>
            <w:vAlign w:val="center"/>
          </w:tcPr>
          <w:p w14:paraId="6C0919AD">
            <w:pPr>
              <w:adjustRightInd w:val="0"/>
              <w:snapToGrid w:val="0"/>
              <w:jc w:val="center"/>
              <w:rPr>
                <w:rFonts w:eastAsia="宋体"/>
                <w:color w:val="auto"/>
                <w:sz w:val="24"/>
                <w:szCs w:val="24"/>
                <w:highlight w:val="none"/>
              </w:rPr>
            </w:pPr>
            <w:r>
              <w:rPr>
                <w:rFonts w:eastAsia="宋体"/>
                <w:color w:val="auto"/>
                <w:sz w:val="24"/>
                <w:szCs w:val="24"/>
                <w:highlight w:val="none"/>
              </w:rPr>
              <w:t>注册资金</w:t>
            </w:r>
          </w:p>
        </w:tc>
        <w:tc>
          <w:tcPr>
            <w:tcW w:w="1625" w:type="dxa"/>
            <w:tcBorders>
              <w:left w:val="single" w:color="auto" w:sz="4" w:space="0"/>
              <w:right w:val="single" w:color="auto" w:sz="4" w:space="0"/>
            </w:tcBorders>
            <w:vAlign w:val="center"/>
          </w:tcPr>
          <w:p w14:paraId="0AA706CA">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5CB7C07A">
            <w:pPr>
              <w:adjustRightInd w:val="0"/>
              <w:snapToGrid w:val="0"/>
              <w:jc w:val="center"/>
              <w:rPr>
                <w:rFonts w:eastAsia="宋体"/>
                <w:color w:val="auto"/>
                <w:sz w:val="24"/>
                <w:szCs w:val="24"/>
                <w:highlight w:val="none"/>
              </w:rPr>
            </w:pPr>
            <w:r>
              <w:rPr>
                <w:rFonts w:eastAsia="宋体"/>
                <w:color w:val="auto"/>
                <w:sz w:val="24"/>
                <w:szCs w:val="24"/>
                <w:highlight w:val="none"/>
              </w:rPr>
              <w:t>法人代表</w:t>
            </w:r>
          </w:p>
        </w:tc>
        <w:tc>
          <w:tcPr>
            <w:tcW w:w="1785" w:type="dxa"/>
            <w:tcBorders>
              <w:left w:val="single" w:color="auto" w:sz="4" w:space="0"/>
              <w:right w:val="single" w:color="auto" w:sz="12" w:space="0"/>
            </w:tcBorders>
            <w:vAlign w:val="center"/>
          </w:tcPr>
          <w:p w14:paraId="2587B480">
            <w:pPr>
              <w:adjustRightInd w:val="0"/>
              <w:snapToGrid w:val="0"/>
              <w:jc w:val="center"/>
              <w:rPr>
                <w:rFonts w:eastAsia="宋体"/>
                <w:color w:val="auto"/>
                <w:sz w:val="24"/>
                <w:szCs w:val="24"/>
                <w:highlight w:val="none"/>
              </w:rPr>
            </w:pPr>
          </w:p>
        </w:tc>
      </w:tr>
      <w:tr w14:paraId="58EF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7" w:hRule="atLeast"/>
          <w:jc w:val="center"/>
        </w:trPr>
        <w:tc>
          <w:tcPr>
            <w:tcW w:w="1473" w:type="dxa"/>
            <w:tcBorders>
              <w:left w:val="single" w:color="auto" w:sz="12" w:space="0"/>
            </w:tcBorders>
            <w:vAlign w:val="center"/>
          </w:tcPr>
          <w:p w14:paraId="1748D329">
            <w:pPr>
              <w:adjustRightInd w:val="0"/>
              <w:snapToGrid w:val="0"/>
              <w:jc w:val="center"/>
              <w:rPr>
                <w:rFonts w:eastAsia="宋体"/>
                <w:color w:val="auto"/>
                <w:sz w:val="24"/>
                <w:szCs w:val="24"/>
                <w:highlight w:val="none"/>
              </w:rPr>
            </w:pPr>
            <w:r>
              <w:rPr>
                <w:rFonts w:eastAsia="宋体"/>
                <w:color w:val="auto"/>
                <w:sz w:val="24"/>
                <w:szCs w:val="24"/>
                <w:highlight w:val="none"/>
              </w:rPr>
              <w:t>地址</w:t>
            </w:r>
          </w:p>
        </w:tc>
        <w:tc>
          <w:tcPr>
            <w:tcW w:w="4410" w:type="dxa"/>
            <w:gridSpan w:val="4"/>
            <w:vAlign w:val="center"/>
          </w:tcPr>
          <w:p w14:paraId="55974366">
            <w:pPr>
              <w:adjustRightInd w:val="0"/>
              <w:snapToGrid w:val="0"/>
              <w:jc w:val="center"/>
              <w:rPr>
                <w:rFonts w:eastAsia="宋体"/>
                <w:color w:val="auto"/>
                <w:sz w:val="24"/>
                <w:szCs w:val="24"/>
                <w:highlight w:val="none"/>
              </w:rPr>
            </w:pPr>
          </w:p>
        </w:tc>
        <w:tc>
          <w:tcPr>
            <w:tcW w:w="1260" w:type="dxa"/>
            <w:vAlign w:val="center"/>
          </w:tcPr>
          <w:p w14:paraId="7863F421">
            <w:pPr>
              <w:adjustRightInd w:val="0"/>
              <w:snapToGrid w:val="0"/>
              <w:jc w:val="center"/>
              <w:rPr>
                <w:rFonts w:eastAsia="宋体"/>
                <w:color w:val="auto"/>
                <w:sz w:val="24"/>
                <w:szCs w:val="24"/>
                <w:highlight w:val="none"/>
              </w:rPr>
            </w:pPr>
            <w:r>
              <w:rPr>
                <w:rFonts w:eastAsia="宋体"/>
                <w:color w:val="auto"/>
                <w:sz w:val="24"/>
                <w:szCs w:val="24"/>
                <w:highlight w:val="none"/>
              </w:rPr>
              <w:t>邮政编码</w:t>
            </w:r>
          </w:p>
        </w:tc>
        <w:tc>
          <w:tcPr>
            <w:tcW w:w="1785" w:type="dxa"/>
            <w:tcBorders>
              <w:right w:val="single" w:color="auto" w:sz="12" w:space="0"/>
            </w:tcBorders>
            <w:vAlign w:val="center"/>
          </w:tcPr>
          <w:p w14:paraId="2B2170EA">
            <w:pPr>
              <w:adjustRightInd w:val="0"/>
              <w:snapToGrid w:val="0"/>
              <w:jc w:val="center"/>
              <w:rPr>
                <w:rFonts w:eastAsia="宋体"/>
                <w:color w:val="auto"/>
                <w:sz w:val="24"/>
                <w:szCs w:val="24"/>
                <w:highlight w:val="none"/>
              </w:rPr>
            </w:pPr>
          </w:p>
        </w:tc>
      </w:tr>
      <w:tr w14:paraId="031E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1473" w:type="dxa"/>
            <w:tcBorders>
              <w:left w:val="single" w:color="auto" w:sz="12" w:space="0"/>
              <w:right w:val="single" w:color="auto" w:sz="4" w:space="0"/>
            </w:tcBorders>
            <w:vAlign w:val="center"/>
          </w:tcPr>
          <w:p w14:paraId="52418E84">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470" w:type="dxa"/>
            <w:tcBorders>
              <w:left w:val="single" w:color="auto" w:sz="4" w:space="0"/>
              <w:right w:val="single" w:color="auto" w:sz="4" w:space="0"/>
            </w:tcBorders>
            <w:vAlign w:val="center"/>
          </w:tcPr>
          <w:p w14:paraId="554EB1BC">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0E811D9D">
            <w:pPr>
              <w:adjustRightInd w:val="0"/>
              <w:snapToGrid w:val="0"/>
              <w:jc w:val="center"/>
              <w:rPr>
                <w:rFonts w:eastAsia="宋体"/>
                <w:color w:val="auto"/>
                <w:sz w:val="24"/>
                <w:szCs w:val="24"/>
                <w:highlight w:val="none"/>
              </w:rPr>
            </w:pPr>
            <w:r>
              <w:rPr>
                <w:rFonts w:eastAsia="宋体"/>
                <w:color w:val="auto"/>
                <w:sz w:val="24"/>
                <w:szCs w:val="24"/>
                <w:highlight w:val="none"/>
              </w:rPr>
              <w:t>传真</w:t>
            </w:r>
          </w:p>
        </w:tc>
        <w:tc>
          <w:tcPr>
            <w:tcW w:w="1653" w:type="dxa"/>
            <w:gridSpan w:val="2"/>
            <w:tcBorders>
              <w:left w:val="single" w:color="auto" w:sz="4" w:space="0"/>
              <w:right w:val="single" w:color="auto" w:sz="4" w:space="0"/>
            </w:tcBorders>
            <w:vAlign w:val="center"/>
          </w:tcPr>
          <w:p w14:paraId="6739557C">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46B811A">
            <w:pPr>
              <w:adjustRightInd w:val="0"/>
              <w:snapToGrid w:val="0"/>
              <w:jc w:val="center"/>
              <w:rPr>
                <w:rFonts w:eastAsia="宋体"/>
                <w:color w:val="auto"/>
                <w:sz w:val="24"/>
                <w:szCs w:val="24"/>
                <w:highlight w:val="none"/>
              </w:rPr>
            </w:pPr>
            <w:r>
              <w:rPr>
                <w:rFonts w:eastAsia="宋体"/>
                <w:color w:val="auto"/>
                <w:sz w:val="24"/>
                <w:szCs w:val="24"/>
                <w:highlight w:val="none"/>
              </w:rPr>
              <w:t>E-Mail</w:t>
            </w:r>
          </w:p>
        </w:tc>
        <w:tc>
          <w:tcPr>
            <w:tcW w:w="1785" w:type="dxa"/>
            <w:tcBorders>
              <w:left w:val="single" w:color="auto" w:sz="4" w:space="0"/>
              <w:right w:val="single" w:color="auto" w:sz="12" w:space="0"/>
            </w:tcBorders>
            <w:vAlign w:val="center"/>
          </w:tcPr>
          <w:p w14:paraId="1E611745">
            <w:pPr>
              <w:adjustRightInd w:val="0"/>
              <w:snapToGrid w:val="0"/>
              <w:jc w:val="center"/>
              <w:rPr>
                <w:rFonts w:eastAsia="宋体"/>
                <w:color w:val="auto"/>
                <w:sz w:val="24"/>
                <w:szCs w:val="24"/>
                <w:highlight w:val="none"/>
              </w:rPr>
            </w:pPr>
          </w:p>
        </w:tc>
      </w:tr>
      <w:tr w14:paraId="2C84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473" w:type="dxa"/>
            <w:tcBorders>
              <w:left w:val="single" w:color="auto" w:sz="12" w:space="0"/>
              <w:right w:val="single" w:color="auto" w:sz="4" w:space="0"/>
            </w:tcBorders>
            <w:vAlign w:val="center"/>
          </w:tcPr>
          <w:p w14:paraId="7DC4980D">
            <w:pPr>
              <w:adjustRightInd w:val="0"/>
              <w:snapToGrid w:val="0"/>
              <w:jc w:val="center"/>
              <w:rPr>
                <w:rFonts w:eastAsia="宋体"/>
                <w:color w:val="auto"/>
                <w:sz w:val="24"/>
                <w:szCs w:val="24"/>
                <w:highlight w:val="none"/>
              </w:rPr>
            </w:pPr>
            <w:r>
              <w:rPr>
                <w:rFonts w:eastAsia="宋体"/>
                <w:color w:val="auto"/>
                <w:sz w:val="24"/>
                <w:szCs w:val="24"/>
                <w:highlight w:val="none"/>
              </w:rPr>
              <w:t>联系人</w:t>
            </w:r>
          </w:p>
        </w:tc>
        <w:tc>
          <w:tcPr>
            <w:tcW w:w="1470" w:type="dxa"/>
            <w:tcBorders>
              <w:left w:val="single" w:color="auto" w:sz="4" w:space="0"/>
              <w:right w:val="single" w:color="auto" w:sz="4" w:space="0"/>
            </w:tcBorders>
            <w:vAlign w:val="center"/>
          </w:tcPr>
          <w:p w14:paraId="17D5138A">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7E22AE4E">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653" w:type="dxa"/>
            <w:gridSpan w:val="2"/>
            <w:tcBorders>
              <w:left w:val="single" w:color="auto" w:sz="4" w:space="0"/>
              <w:right w:val="single" w:color="auto" w:sz="4" w:space="0"/>
            </w:tcBorders>
            <w:vAlign w:val="center"/>
          </w:tcPr>
          <w:p w14:paraId="1B1C0C10">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193965EC">
            <w:pPr>
              <w:adjustRightInd w:val="0"/>
              <w:snapToGrid w:val="0"/>
              <w:jc w:val="center"/>
              <w:rPr>
                <w:rFonts w:eastAsia="宋体"/>
                <w:color w:val="auto"/>
                <w:sz w:val="24"/>
                <w:szCs w:val="24"/>
                <w:highlight w:val="none"/>
              </w:rPr>
            </w:pPr>
            <w:r>
              <w:rPr>
                <w:rFonts w:eastAsia="宋体"/>
                <w:color w:val="auto"/>
                <w:sz w:val="24"/>
                <w:szCs w:val="24"/>
                <w:highlight w:val="none"/>
              </w:rPr>
              <w:t>手机</w:t>
            </w:r>
          </w:p>
        </w:tc>
        <w:tc>
          <w:tcPr>
            <w:tcW w:w="1785" w:type="dxa"/>
            <w:tcBorders>
              <w:left w:val="single" w:color="auto" w:sz="4" w:space="0"/>
              <w:right w:val="single" w:color="auto" w:sz="12" w:space="0"/>
            </w:tcBorders>
            <w:vAlign w:val="center"/>
          </w:tcPr>
          <w:p w14:paraId="61ECC247">
            <w:pPr>
              <w:adjustRightInd w:val="0"/>
              <w:snapToGrid w:val="0"/>
              <w:jc w:val="center"/>
              <w:rPr>
                <w:rFonts w:eastAsia="宋体"/>
                <w:color w:val="auto"/>
                <w:sz w:val="24"/>
                <w:szCs w:val="24"/>
                <w:highlight w:val="none"/>
              </w:rPr>
            </w:pPr>
          </w:p>
        </w:tc>
      </w:tr>
      <w:tr w14:paraId="37D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473" w:type="dxa"/>
            <w:tcBorders>
              <w:left w:val="single" w:color="auto" w:sz="12" w:space="0"/>
            </w:tcBorders>
            <w:vAlign w:val="center"/>
          </w:tcPr>
          <w:p w14:paraId="45E033DA">
            <w:pPr>
              <w:adjustRightInd w:val="0"/>
              <w:snapToGrid w:val="0"/>
              <w:jc w:val="center"/>
              <w:rPr>
                <w:rFonts w:eastAsia="宋体"/>
                <w:color w:val="auto"/>
                <w:sz w:val="24"/>
                <w:szCs w:val="24"/>
                <w:highlight w:val="none"/>
              </w:rPr>
            </w:pPr>
            <w:r>
              <w:rPr>
                <w:rFonts w:eastAsia="宋体"/>
                <w:color w:val="auto"/>
                <w:sz w:val="24"/>
                <w:szCs w:val="24"/>
                <w:highlight w:val="none"/>
              </w:rPr>
              <w:t>营业执照</w:t>
            </w:r>
          </w:p>
          <w:p w14:paraId="221F1636">
            <w:pPr>
              <w:adjustRightInd w:val="0"/>
              <w:snapToGrid w:val="0"/>
              <w:jc w:val="center"/>
              <w:rPr>
                <w:rFonts w:eastAsia="宋体"/>
                <w:color w:val="auto"/>
                <w:sz w:val="24"/>
                <w:szCs w:val="24"/>
                <w:highlight w:val="none"/>
              </w:rPr>
            </w:pPr>
            <w:r>
              <w:rPr>
                <w:rFonts w:eastAsia="宋体"/>
                <w:color w:val="auto"/>
                <w:sz w:val="24"/>
                <w:szCs w:val="24"/>
                <w:highlight w:val="none"/>
              </w:rPr>
              <w:t>号码</w:t>
            </w:r>
          </w:p>
        </w:tc>
        <w:tc>
          <w:tcPr>
            <w:tcW w:w="2757" w:type="dxa"/>
            <w:gridSpan w:val="2"/>
            <w:vAlign w:val="center"/>
          </w:tcPr>
          <w:p w14:paraId="0A6A2F61">
            <w:pPr>
              <w:adjustRightInd w:val="0"/>
              <w:snapToGrid w:val="0"/>
              <w:jc w:val="center"/>
              <w:rPr>
                <w:rFonts w:eastAsia="宋体"/>
                <w:color w:val="auto"/>
                <w:sz w:val="24"/>
                <w:szCs w:val="24"/>
                <w:highlight w:val="none"/>
              </w:rPr>
            </w:pPr>
          </w:p>
        </w:tc>
        <w:tc>
          <w:tcPr>
            <w:tcW w:w="1653" w:type="dxa"/>
            <w:gridSpan w:val="2"/>
            <w:vAlign w:val="center"/>
          </w:tcPr>
          <w:p w14:paraId="48D9A25D">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3045" w:type="dxa"/>
            <w:gridSpan w:val="2"/>
            <w:tcBorders>
              <w:right w:val="single" w:color="auto" w:sz="12" w:space="0"/>
            </w:tcBorders>
            <w:vAlign w:val="center"/>
          </w:tcPr>
          <w:p w14:paraId="22F36024">
            <w:pPr>
              <w:adjustRightInd w:val="0"/>
              <w:snapToGrid w:val="0"/>
              <w:jc w:val="center"/>
              <w:rPr>
                <w:rFonts w:eastAsia="宋体"/>
                <w:color w:val="auto"/>
                <w:sz w:val="24"/>
                <w:szCs w:val="24"/>
                <w:highlight w:val="none"/>
              </w:rPr>
            </w:pPr>
          </w:p>
        </w:tc>
      </w:tr>
      <w:tr w14:paraId="5A45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3" w:type="dxa"/>
            <w:tcBorders>
              <w:left w:val="single" w:color="auto" w:sz="12" w:space="0"/>
            </w:tcBorders>
            <w:vAlign w:val="center"/>
          </w:tcPr>
          <w:p w14:paraId="5C664FBE">
            <w:pPr>
              <w:adjustRightInd w:val="0"/>
              <w:snapToGrid w:val="0"/>
              <w:jc w:val="center"/>
              <w:rPr>
                <w:rFonts w:eastAsia="宋体"/>
                <w:color w:val="auto"/>
                <w:sz w:val="24"/>
                <w:szCs w:val="24"/>
                <w:highlight w:val="none"/>
              </w:rPr>
            </w:pPr>
            <w:r>
              <w:rPr>
                <w:rFonts w:eastAsia="宋体"/>
                <w:color w:val="auto"/>
                <w:sz w:val="24"/>
                <w:szCs w:val="24"/>
                <w:highlight w:val="none"/>
              </w:rPr>
              <w:t>开户行名称</w:t>
            </w:r>
          </w:p>
        </w:tc>
        <w:tc>
          <w:tcPr>
            <w:tcW w:w="2757" w:type="dxa"/>
            <w:gridSpan w:val="2"/>
            <w:vAlign w:val="center"/>
          </w:tcPr>
          <w:p w14:paraId="0AA1CA20">
            <w:pPr>
              <w:adjustRightInd w:val="0"/>
              <w:snapToGrid w:val="0"/>
              <w:jc w:val="center"/>
              <w:rPr>
                <w:rFonts w:eastAsia="宋体"/>
                <w:color w:val="auto"/>
                <w:sz w:val="24"/>
                <w:szCs w:val="24"/>
                <w:highlight w:val="none"/>
              </w:rPr>
            </w:pPr>
          </w:p>
        </w:tc>
        <w:tc>
          <w:tcPr>
            <w:tcW w:w="1653" w:type="dxa"/>
            <w:gridSpan w:val="2"/>
            <w:vAlign w:val="center"/>
          </w:tcPr>
          <w:p w14:paraId="699DFD4D">
            <w:pPr>
              <w:adjustRightInd w:val="0"/>
              <w:snapToGrid w:val="0"/>
              <w:jc w:val="center"/>
              <w:rPr>
                <w:rFonts w:eastAsia="宋体"/>
                <w:color w:val="auto"/>
                <w:sz w:val="24"/>
                <w:szCs w:val="24"/>
                <w:highlight w:val="none"/>
              </w:rPr>
            </w:pPr>
            <w:r>
              <w:rPr>
                <w:rFonts w:eastAsia="宋体"/>
                <w:color w:val="auto"/>
                <w:sz w:val="24"/>
                <w:szCs w:val="24"/>
                <w:highlight w:val="none"/>
              </w:rPr>
              <w:t>账户名称</w:t>
            </w:r>
          </w:p>
        </w:tc>
        <w:tc>
          <w:tcPr>
            <w:tcW w:w="3045" w:type="dxa"/>
            <w:gridSpan w:val="2"/>
            <w:tcBorders>
              <w:right w:val="single" w:color="auto" w:sz="12" w:space="0"/>
            </w:tcBorders>
            <w:vAlign w:val="center"/>
          </w:tcPr>
          <w:p w14:paraId="18C4B988">
            <w:pPr>
              <w:adjustRightInd w:val="0"/>
              <w:snapToGrid w:val="0"/>
              <w:jc w:val="center"/>
              <w:rPr>
                <w:rFonts w:eastAsia="宋体"/>
                <w:color w:val="auto"/>
                <w:sz w:val="24"/>
                <w:szCs w:val="24"/>
                <w:highlight w:val="none"/>
              </w:rPr>
            </w:pPr>
          </w:p>
        </w:tc>
      </w:tr>
      <w:tr w14:paraId="323B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473" w:type="dxa"/>
            <w:tcBorders>
              <w:left w:val="single" w:color="auto" w:sz="12" w:space="0"/>
            </w:tcBorders>
            <w:vAlign w:val="center"/>
          </w:tcPr>
          <w:p w14:paraId="64E0F566">
            <w:pPr>
              <w:adjustRightInd w:val="0"/>
              <w:snapToGrid w:val="0"/>
              <w:jc w:val="center"/>
              <w:rPr>
                <w:rFonts w:eastAsia="宋体"/>
                <w:color w:val="auto"/>
                <w:sz w:val="24"/>
                <w:szCs w:val="24"/>
                <w:highlight w:val="none"/>
              </w:rPr>
            </w:pPr>
            <w:r>
              <w:rPr>
                <w:rFonts w:eastAsia="宋体"/>
                <w:color w:val="auto"/>
                <w:sz w:val="24"/>
                <w:szCs w:val="24"/>
                <w:highlight w:val="none"/>
              </w:rPr>
              <w:t>账号</w:t>
            </w:r>
          </w:p>
        </w:tc>
        <w:tc>
          <w:tcPr>
            <w:tcW w:w="7455" w:type="dxa"/>
            <w:gridSpan w:val="6"/>
            <w:tcBorders>
              <w:right w:val="single" w:color="auto" w:sz="12" w:space="0"/>
            </w:tcBorders>
            <w:vAlign w:val="center"/>
          </w:tcPr>
          <w:p w14:paraId="36E2A5A4">
            <w:pPr>
              <w:adjustRightInd w:val="0"/>
              <w:snapToGrid w:val="0"/>
              <w:jc w:val="center"/>
              <w:rPr>
                <w:rFonts w:eastAsia="宋体"/>
                <w:color w:val="auto"/>
                <w:sz w:val="24"/>
                <w:szCs w:val="24"/>
                <w:highlight w:val="none"/>
              </w:rPr>
            </w:pPr>
          </w:p>
        </w:tc>
      </w:tr>
      <w:tr w14:paraId="471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jc w:val="center"/>
        </w:trPr>
        <w:tc>
          <w:tcPr>
            <w:tcW w:w="1473" w:type="dxa"/>
            <w:tcBorders>
              <w:left w:val="single" w:color="auto" w:sz="12" w:space="0"/>
              <w:right w:val="single" w:color="auto" w:sz="4" w:space="0"/>
            </w:tcBorders>
            <w:vAlign w:val="center"/>
          </w:tcPr>
          <w:p w14:paraId="380358C0">
            <w:pPr>
              <w:adjustRightInd w:val="0"/>
              <w:snapToGrid w:val="0"/>
              <w:jc w:val="center"/>
              <w:rPr>
                <w:rFonts w:eastAsia="宋体"/>
                <w:color w:val="auto"/>
                <w:sz w:val="24"/>
                <w:szCs w:val="24"/>
                <w:highlight w:val="none"/>
              </w:rPr>
            </w:pPr>
            <w:r>
              <w:rPr>
                <w:rFonts w:eastAsia="宋体"/>
                <w:color w:val="auto"/>
                <w:sz w:val="24"/>
                <w:szCs w:val="24"/>
                <w:highlight w:val="none"/>
              </w:rPr>
              <w:t>资质</w:t>
            </w:r>
          </w:p>
        </w:tc>
        <w:tc>
          <w:tcPr>
            <w:tcW w:w="1470" w:type="dxa"/>
            <w:tcBorders>
              <w:left w:val="single" w:color="auto" w:sz="4" w:space="0"/>
            </w:tcBorders>
            <w:vAlign w:val="center"/>
          </w:tcPr>
          <w:p w14:paraId="63E2FF78">
            <w:pPr>
              <w:adjustRightInd w:val="0"/>
              <w:snapToGrid w:val="0"/>
              <w:jc w:val="center"/>
              <w:rPr>
                <w:rFonts w:eastAsia="宋体"/>
                <w:color w:val="auto"/>
                <w:sz w:val="24"/>
                <w:szCs w:val="24"/>
                <w:highlight w:val="none"/>
              </w:rPr>
            </w:pPr>
          </w:p>
        </w:tc>
        <w:tc>
          <w:tcPr>
            <w:tcW w:w="1315" w:type="dxa"/>
            <w:gridSpan w:val="2"/>
            <w:tcBorders>
              <w:right w:val="single" w:color="auto" w:sz="4" w:space="0"/>
            </w:tcBorders>
            <w:vAlign w:val="center"/>
          </w:tcPr>
          <w:p w14:paraId="6BB9135E">
            <w:pPr>
              <w:adjustRightInd w:val="0"/>
              <w:snapToGrid w:val="0"/>
              <w:jc w:val="center"/>
              <w:rPr>
                <w:rFonts w:eastAsia="宋体"/>
                <w:color w:val="auto"/>
                <w:sz w:val="24"/>
                <w:szCs w:val="24"/>
                <w:highlight w:val="none"/>
              </w:rPr>
            </w:pPr>
            <w:r>
              <w:rPr>
                <w:rFonts w:eastAsia="宋体"/>
                <w:color w:val="auto"/>
                <w:sz w:val="24"/>
                <w:szCs w:val="24"/>
                <w:highlight w:val="none"/>
              </w:rPr>
              <w:t>证书编号</w:t>
            </w:r>
          </w:p>
        </w:tc>
        <w:tc>
          <w:tcPr>
            <w:tcW w:w="1625" w:type="dxa"/>
            <w:tcBorders>
              <w:right w:val="single" w:color="auto" w:sz="4" w:space="0"/>
            </w:tcBorders>
            <w:vAlign w:val="center"/>
          </w:tcPr>
          <w:p w14:paraId="3FF9AB1F">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6F7E0B0">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1785" w:type="dxa"/>
            <w:tcBorders>
              <w:left w:val="single" w:color="auto" w:sz="4" w:space="0"/>
              <w:right w:val="single" w:color="auto" w:sz="12" w:space="0"/>
            </w:tcBorders>
            <w:vAlign w:val="center"/>
          </w:tcPr>
          <w:p w14:paraId="0C7CBA7D">
            <w:pPr>
              <w:adjustRightInd w:val="0"/>
              <w:snapToGrid w:val="0"/>
              <w:jc w:val="center"/>
              <w:rPr>
                <w:rFonts w:eastAsia="宋体"/>
                <w:color w:val="auto"/>
                <w:sz w:val="24"/>
                <w:szCs w:val="24"/>
                <w:highlight w:val="none"/>
              </w:rPr>
            </w:pPr>
          </w:p>
        </w:tc>
      </w:tr>
      <w:tr w14:paraId="6BB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1473" w:type="dxa"/>
            <w:tcBorders>
              <w:left w:val="single" w:color="auto" w:sz="12" w:space="0"/>
            </w:tcBorders>
            <w:vAlign w:val="center"/>
          </w:tcPr>
          <w:p w14:paraId="7734AA36">
            <w:pPr>
              <w:adjustRightInd w:val="0"/>
              <w:snapToGrid w:val="0"/>
              <w:jc w:val="center"/>
              <w:rPr>
                <w:rFonts w:eastAsia="宋体"/>
                <w:color w:val="auto"/>
                <w:sz w:val="24"/>
                <w:szCs w:val="24"/>
                <w:highlight w:val="none"/>
              </w:rPr>
            </w:pPr>
            <w:r>
              <w:rPr>
                <w:rFonts w:eastAsia="宋体"/>
                <w:color w:val="auto"/>
                <w:sz w:val="24"/>
                <w:szCs w:val="24"/>
                <w:highlight w:val="none"/>
              </w:rPr>
              <w:t>下属单位、</w:t>
            </w:r>
          </w:p>
          <w:p w14:paraId="628B0A47">
            <w:pPr>
              <w:adjustRightInd w:val="0"/>
              <w:snapToGrid w:val="0"/>
              <w:jc w:val="center"/>
              <w:rPr>
                <w:rFonts w:eastAsia="宋体"/>
                <w:color w:val="auto"/>
                <w:sz w:val="24"/>
                <w:szCs w:val="24"/>
                <w:highlight w:val="none"/>
              </w:rPr>
            </w:pPr>
            <w:r>
              <w:rPr>
                <w:rFonts w:eastAsia="宋体"/>
                <w:color w:val="auto"/>
                <w:sz w:val="24"/>
                <w:szCs w:val="24"/>
                <w:highlight w:val="none"/>
              </w:rPr>
              <w:t>机构名称</w:t>
            </w:r>
          </w:p>
        </w:tc>
        <w:tc>
          <w:tcPr>
            <w:tcW w:w="7455" w:type="dxa"/>
            <w:gridSpan w:val="6"/>
            <w:tcBorders>
              <w:right w:val="single" w:color="auto" w:sz="12" w:space="0"/>
            </w:tcBorders>
            <w:vAlign w:val="center"/>
          </w:tcPr>
          <w:p w14:paraId="6F3B0FD5">
            <w:pPr>
              <w:adjustRightInd w:val="0"/>
              <w:snapToGrid w:val="0"/>
              <w:jc w:val="center"/>
              <w:rPr>
                <w:rFonts w:eastAsia="宋体"/>
                <w:color w:val="auto"/>
                <w:sz w:val="24"/>
                <w:szCs w:val="24"/>
                <w:highlight w:val="none"/>
              </w:rPr>
            </w:pPr>
          </w:p>
        </w:tc>
      </w:tr>
      <w:tr w14:paraId="29B0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928" w:type="dxa"/>
            <w:gridSpan w:val="7"/>
            <w:tcBorders>
              <w:left w:val="single" w:color="auto" w:sz="12" w:space="0"/>
              <w:right w:val="single" w:color="auto" w:sz="12" w:space="0"/>
            </w:tcBorders>
            <w:vAlign w:val="center"/>
          </w:tcPr>
          <w:p w14:paraId="5749403E">
            <w:pPr>
              <w:adjustRightInd w:val="0"/>
              <w:snapToGrid w:val="0"/>
              <w:jc w:val="center"/>
              <w:rPr>
                <w:rFonts w:eastAsia="宋体"/>
                <w:color w:val="auto"/>
                <w:sz w:val="24"/>
                <w:szCs w:val="24"/>
                <w:highlight w:val="none"/>
              </w:rPr>
            </w:pPr>
            <w:r>
              <w:rPr>
                <w:rFonts w:eastAsia="宋体"/>
                <w:color w:val="auto"/>
                <w:sz w:val="24"/>
                <w:szCs w:val="24"/>
                <w:highlight w:val="none"/>
              </w:rPr>
              <w:t>组织机构框图</w:t>
            </w:r>
          </w:p>
        </w:tc>
      </w:tr>
      <w:tr w14:paraId="1B23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jc w:val="center"/>
        </w:trPr>
        <w:tc>
          <w:tcPr>
            <w:tcW w:w="8928" w:type="dxa"/>
            <w:gridSpan w:val="7"/>
            <w:tcBorders>
              <w:left w:val="single" w:color="auto" w:sz="12" w:space="0"/>
              <w:bottom w:val="single" w:color="auto" w:sz="12" w:space="0"/>
              <w:right w:val="single" w:color="auto" w:sz="12" w:space="0"/>
            </w:tcBorders>
            <w:vAlign w:val="center"/>
          </w:tcPr>
          <w:p w14:paraId="326E7A4F">
            <w:pPr>
              <w:adjustRightInd w:val="0"/>
              <w:snapToGrid w:val="0"/>
              <w:jc w:val="center"/>
              <w:rPr>
                <w:rFonts w:eastAsia="宋体"/>
                <w:color w:val="auto"/>
                <w:sz w:val="24"/>
                <w:szCs w:val="24"/>
                <w:highlight w:val="none"/>
              </w:rPr>
            </w:pPr>
          </w:p>
        </w:tc>
      </w:tr>
    </w:tbl>
    <w:p w14:paraId="564F5D20">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8</w:t>
      </w:r>
      <w:r>
        <w:rPr>
          <w:rFonts w:eastAsia="宋体"/>
          <w:color w:val="auto"/>
          <w:sz w:val="24"/>
          <w:szCs w:val="24"/>
          <w:highlight w:val="none"/>
        </w:rPr>
        <w:t>：项目组人员一览表</w:t>
      </w:r>
      <w:bookmarkEnd w:id="78"/>
      <w:bookmarkEnd w:id="79"/>
      <w:bookmarkEnd w:id="80"/>
    </w:p>
    <w:p w14:paraId="06FB981F">
      <w:pPr>
        <w:autoSpaceDE w:val="0"/>
        <w:autoSpaceDN w:val="0"/>
        <w:adjustRightInd w:val="0"/>
        <w:snapToGrid w:val="0"/>
        <w:rPr>
          <w:rFonts w:eastAsia="宋体"/>
          <w:b/>
          <w:color w:val="auto"/>
          <w:sz w:val="24"/>
          <w:szCs w:val="24"/>
          <w:highlight w:val="none"/>
        </w:rPr>
      </w:pPr>
    </w:p>
    <w:p w14:paraId="2F257EDA">
      <w:pPr>
        <w:autoSpaceDE w:val="0"/>
        <w:autoSpaceDN w:val="0"/>
        <w:adjustRightInd w:val="0"/>
        <w:snapToGrid w:val="0"/>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项目组人员一览表</w:t>
      </w:r>
    </w:p>
    <w:p w14:paraId="0886688D">
      <w:pPr>
        <w:adjustRightInd w:val="0"/>
        <w:snapToGrid w:val="0"/>
        <w:ind w:firstLine="480" w:firstLineChars="200"/>
        <w:rPr>
          <w:rFonts w:eastAsia="宋体"/>
          <w:color w:val="auto"/>
          <w:kern w:val="0"/>
          <w:sz w:val="24"/>
          <w:szCs w:val="24"/>
          <w:highlight w:val="none"/>
        </w:rPr>
      </w:pPr>
      <w:r>
        <w:rPr>
          <w:rFonts w:eastAsia="宋体"/>
          <w:color w:val="auto"/>
          <w:kern w:val="0"/>
          <w:sz w:val="24"/>
          <w:szCs w:val="24"/>
          <w:highlight w:val="none"/>
        </w:rPr>
        <w:t xml:space="preserve">采购编号：                       </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D41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4" w:hRule="atLeast"/>
          <w:jc w:val="center"/>
        </w:trPr>
        <w:tc>
          <w:tcPr>
            <w:tcW w:w="1806" w:type="dxa"/>
            <w:vAlign w:val="center"/>
          </w:tcPr>
          <w:p w14:paraId="3FEE369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专业分工</w:t>
            </w:r>
          </w:p>
        </w:tc>
        <w:tc>
          <w:tcPr>
            <w:tcW w:w="2413" w:type="dxa"/>
            <w:vAlign w:val="center"/>
          </w:tcPr>
          <w:p w14:paraId="22B38DA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姓名</w:t>
            </w:r>
          </w:p>
        </w:tc>
        <w:tc>
          <w:tcPr>
            <w:tcW w:w="1403" w:type="dxa"/>
            <w:tcBorders>
              <w:top w:val="single" w:color="auto" w:sz="4" w:space="0"/>
              <w:right w:val="single" w:color="auto" w:sz="4" w:space="0"/>
            </w:tcBorders>
            <w:vAlign w:val="center"/>
          </w:tcPr>
          <w:p w14:paraId="65EBEA2C">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w:t>
            </w:r>
          </w:p>
        </w:tc>
        <w:tc>
          <w:tcPr>
            <w:tcW w:w="1857" w:type="dxa"/>
            <w:tcBorders>
              <w:left w:val="single" w:color="auto" w:sz="4" w:space="0"/>
            </w:tcBorders>
            <w:vAlign w:val="center"/>
          </w:tcPr>
          <w:p w14:paraId="6431AE01">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职称</w:t>
            </w:r>
          </w:p>
        </w:tc>
        <w:tc>
          <w:tcPr>
            <w:tcW w:w="1418" w:type="dxa"/>
            <w:vAlign w:val="center"/>
          </w:tcPr>
          <w:p w14:paraId="2AC7A7D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备注</w:t>
            </w:r>
          </w:p>
        </w:tc>
      </w:tr>
      <w:tr w14:paraId="7874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vAlign w:val="center"/>
          </w:tcPr>
          <w:p w14:paraId="7FE201AF">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项目负责人</w:t>
            </w:r>
          </w:p>
        </w:tc>
        <w:tc>
          <w:tcPr>
            <w:tcW w:w="2413" w:type="dxa"/>
          </w:tcPr>
          <w:p w14:paraId="10B89C1F">
            <w:pPr>
              <w:adjustRightInd w:val="0"/>
              <w:snapToGrid w:val="0"/>
              <w:rPr>
                <w:rFonts w:eastAsia="宋体"/>
                <w:color w:val="auto"/>
                <w:kern w:val="0"/>
                <w:sz w:val="24"/>
                <w:szCs w:val="24"/>
                <w:highlight w:val="none"/>
              </w:rPr>
            </w:pPr>
          </w:p>
        </w:tc>
        <w:tc>
          <w:tcPr>
            <w:tcW w:w="1403" w:type="dxa"/>
            <w:tcBorders>
              <w:right w:val="single" w:color="auto" w:sz="4" w:space="0"/>
            </w:tcBorders>
          </w:tcPr>
          <w:p w14:paraId="2EB5B424">
            <w:pPr>
              <w:adjustRightInd w:val="0"/>
              <w:snapToGrid w:val="0"/>
              <w:rPr>
                <w:rFonts w:eastAsia="宋体"/>
                <w:color w:val="auto"/>
                <w:kern w:val="0"/>
                <w:sz w:val="24"/>
                <w:szCs w:val="24"/>
                <w:highlight w:val="none"/>
              </w:rPr>
            </w:pPr>
          </w:p>
        </w:tc>
        <w:tc>
          <w:tcPr>
            <w:tcW w:w="1857" w:type="dxa"/>
            <w:tcBorders>
              <w:left w:val="single" w:color="auto" w:sz="4" w:space="0"/>
            </w:tcBorders>
          </w:tcPr>
          <w:p w14:paraId="3E7F05F8">
            <w:pPr>
              <w:adjustRightInd w:val="0"/>
              <w:snapToGrid w:val="0"/>
              <w:rPr>
                <w:rFonts w:eastAsia="宋体"/>
                <w:color w:val="auto"/>
                <w:kern w:val="0"/>
                <w:sz w:val="24"/>
                <w:szCs w:val="24"/>
                <w:highlight w:val="none"/>
              </w:rPr>
            </w:pPr>
          </w:p>
        </w:tc>
        <w:tc>
          <w:tcPr>
            <w:tcW w:w="1418" w:type="dxa"/>
          </w:tcPr>
          <w:p w14:paraId="62CD3E0F">
            <w:pPr>
              <w:adjustRightInd w:val="0"/>
              <w:snapToGrid w:val="0"/>
              <w:rPr>
                <w:rFonts w:eastAsia="宋体"/>
                <w:color w:val="auto"/>
                <w:kern w:val="0"/>
                <w:sz w:val="24"/>
                <w:szCs w:val="24"/>
                <w:highlight w:val="none"/>
              </w:rPr>
            </w:pPr>
          </w:p>
        </w:tc>
      </w:tr>
      <w:tr w14:paraId="7083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vAlign w:val="center"/>
          </w:tcPr>
          <w:p w14:paraId="407D387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项目组成员</w:t>
            </w:r>
          </w:p>
        </w:tc>
        <w:tc>
          <w:tcPr>
            <w:tcW w:w="2413" w:type="dxa"/>
          </w:tcPr>
          <w:p w14:paraId="00CFBA6E">
            <w:pPr>
              <w:adjustRightInd w:val="0"/>
              <w:snapToGrid w:val="0"/>
              <w:rPr>
                <w:rFonts w:eastAsia="宋体"/>
                <w:color w:val="auto"/>
                <w:kern w:val="0"/>
                <w:sz w:val="24"/>
                <w:szCs w:val="24"/>
                <w:highlight w:val="none"/>
              </w:rPr>
            </w:pPr>
          </w:p>
        </w:tc>
        <w:tc>
          <w:tcPr>
            <w:tcW w:w="1403" w:type="dxa"/>
            <w:tcBorders>
              <w:right w:val="single" w:color="auto" w:sz="4" w:space="0"/>
            </w:tcBorders>
          </w:tcPr>
          <w:p w14:paraId="3C9CD272">
            <w:pPr>
              <w:adjustRightInd w:val="0"/>
              <w:snapToGrid w:val="0"/>
              <w:rPr>
                <w:rFonts w:eastAsia="宋体"/>
                <w:color w:val="auto"/>
                <w:kern w:val="0"/>
                <w:sz w:val="24"/>
                <w:szCs w:val="24"/>
                <w:highlight w:val="none"/>
              </w:rPr>
            </w:pPr>
          </w:p>
        </w:tc>
        <w:tc>
          <w:tcPr>
            <w:tcW w:w="1857" w:type="dxa"/>
            <w:tcBorders>
              <w:left w:val="single" w:color="auto" w:sz="4" w:space="0"/>
            </w:tcBorders>
          </w:tcPr>
          <w:p w14:paraId="04EE585A">
            <w:pPr>
              <w:adjustRightInd w:val="0"/>
              <w:snapToGrid w:val="0"/>
              <w:rPr>
                <w:rFonts w:eastAsia="宋体"/>
                <w:color w:val="auto"/>
                <w:kern w:val="0"/>
                <w:sz w:val="24"/>
                <w:szCs w:val="24"/>
                <w:highlight w:val="none"/>
              </w:rPr>
            </w:pPr>
          </w:p>
        </w:tc>
        <w:tc>
          <w:tcPr>
            <w:tcW w:w="1418" w:type="dxa"/>
          </w:tcPr>
          <w:p w14:paraId="113BA0EB">
            <w:pPr>
              <w:adjustRightInd w:val="0"/>
              <w:snapToGrid w:val="0"/>
              <w:rPr>
                <w:rFonts w:eastAsia="宋体"/>
                <w:color w:val="auto"/>
                <w:kern w:val="0"/>
                <w:sz w:val="24"/>
                <w:szCs w:val="24"/>
                <w:highlight w:val="none"/>
              </w:rPr>
            </w:pPr>
          </w:p>
        </w:tc>
      </w:tr>
      <w:tr w14:paraId="0387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CA69246">
            <w:pPr>
              <w:adjustRightInd w:val="0"/>
              <w:snapToGrid w:val="0"/>
              <w:rPr>
                <w:rFonts w:eastAsia="宋体"/>
                <w:color w:val="auto"/>
                <w:kern w:val="0"/>
                <w:sz w:val="24"/>
                <w:szCs w:val="24"/>
                <w:highlight w:val="none"/>
              </w:rPr>
            </w:pPr>
          </w:p>
        </w:tc>
        <w:tc>
          <w:tcPr>
            <w:tcW w:w="2413" w:type="dxa"/>
          </w:tcPr>
          <w:p w14:paraId="6FF0937B">
            <w:pPr>
              <w:adjustRightInd w:val="0"/>
              <w:snapToGrid w:val="0"/>
              <w:rPr>
                <w:rFonts w:eastAsia="宋体"/>
                <w:color w:val="auto"/>
                <w:kern w:val="0"/>
                <w:sz w:val="24"/>
                <w:szCs w:val="24"/>
                <w:highlight w:val="none"/>
              </w:rPr>
            </w:pPr>
          </w:p>
        </w:tc>
        <w:tc>
          <w:tcPr>
            <w:tcW w:w="1403" w:type="dxa"/>
            <w:tcBorders>
              <w:right w:val="single" w:color="auto" w:sz="4" w:space="0"/>
            </w:tcBorders>
          </w:tcPr>
          <w:p w14:paraId="26C6D707">
            <w:pPr>
              <w:adjustRightInd w:val="0"/>
              <w:snapToGrid w:val="0"/>
              <w:rPr>
                <w:rFonts w:eastAsia="宋体"/>
                <w:color w:val="auto"/>
                <w:kern w:val="0"/>
                <w:sz w:val="24"/>
                <w:szCs w:val="24"/>
                <w:highlight w:val="none"/>
              </w:rPr>
            </w:pPr>
          </w:p>
        </w:tc>
        <w:tc>
          <w:tcPr>
            <w:tcW w:w="1857" w:type="dxa"/>
            <w:tcBorders>
              <w:left w:val="single" w:color="auto" w:sz="4" w:space="0"/>
            </w:tcBorders>
          </w:tcPr>
          <w:p w14:paraId="0164FA6D">
            <w:pPr>
              <w:adjustRightInd w:val="0"/>
              <w:snapToGrid w:val="0"/>
              <w:rPr>
                <w:rFonts w:eastAsia="宋体"/>
                <w:color w:val="auto"/>
                <w:kern w:val="0"/>
                <w:sz w:val="24"/>
                <w:szCs w:val="24"/>
                <w:highlight w:val="none"/>
              </w:rPr>
            </w:pPr>
          </w:p>
        </w:tc>
        <w:tc>
          <w:tcPr>
            <w:tcW w:w="1418" w:type="dxa"/>
          </w:tcPr>
          <w:p w14:paraId="02E96315">
            <w:pPr>
              <w:adjustRightInd w:val="0"/>
              <w:snapToGrid w:val="0"/>
              <w:rPr>
                <w:rFonts w:eastAsia="宋体"/>
                <w:color w:val="auto"/>
                <w:kern w:val="0"/>
                <w:sz w:val="24"/>
                <w:szCs w:val="24"/>
                <w:highlight w:val="none"/>
              </w:rPr>
            </w:pPr>
          </w:p>
        </w:tc>
      </w:tr>
      <w:tr w14:paraId="0D55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46800DC8">
            <w:pPr>
              <w:adjustRightInd w:val="0"/>
              <w:snapToGrid w:val="0"/>
              <w:rPr>
                <w:rFonts w:eastAsia="宋体"/>
                <w:color w:val="auto"/>
                <w:kern w:val="0"/>
                <w:sz w:val="24"/>
                <w:szCs w:val="24"/>
                <w:highlight w:val="none"/>
              </w:rPr>
            </w:pPr>
          </w:p>
        </w:tc>
        <w:tc>
          <w:tcPr>
            <w:tcW w:w="2413" w:type="dxa"/>
          </w:tcPr>
          <w:p w14:paraId="5E197444">
            <w:pPr>
              <w:adjustRightInd w:val="0"/>
              <w:snapToGrid w:val="0"/>
              <w:rPr>
                <w:rFonts w:eastAsia="宋体"/>
                <w:color w:val="auto"/>
                <w:kern w:val="0"/>
                <w:sz w:val="24"/>
                <w:szCs w:val="24"/>
                <w:highlight w:val="none"/>
              </w:rPr>
            </w:pPr>
          </w:p>
        </w:tc>
        <w:tc>
          <w:tcPr>
            <w:tcW w:w="1403" w:type="dxa"/>
            <w:tcBorders>
              <w:right w:val="single" w:color="auto" w:sz="4" w:space="0"/>
            </w:tcBorders>
          </w:tcPr>
          <w:p w14:paraId="1FBA80DF">
            <w:pPr>
              <w:adjustRightInd w:val="0"/>
              <w:snapToGrid w:val="0"/>
              <w:rPr>
                <w:rFonts w:eastAsia="宋体"/>
                <w:color w:val="auto"/>
                <w:kern w:val="0"/>
                <w:sz w:val="24"/>
                <w:szCs w:val="24"/>
                <w:highlight w:val="none"/>
              </w:rPr>
            </w:pPr>
          </w:p>
        </w:tc>
        <w:tc>
          <w:tcPr>
            <w:tcW w:w="1857" w:type="dxa"/>
            <w:tcBorders>
              <w:left w:val="single" w:color="auto" w:sz="4" w:space="0"/>
            </w:tcBorders>
          </w:tcPr>
          <w:p w14:paraId="1D857EFA">
            <w:pPr>
              <w:adjustRightInd w:val="0"/>
              <w:snapToGrid w:val="0"/>
              <w:rPr>
                <w:rFonts w:eastAsia="宋体"/>
                <w:color w:val="auto"/>
                <w:kern w:val="0"/>
                <w:sz w:val="24"/>
                <w:szCs w:val="24"/>
                <w:highlight w:val="none"/>
              </w:rPr>
            </w:pPr>
          </w:p>
        </w:tc>
        <w:tc>
          <w:tcPr>
            <w:tcW w:w="1418" w:type="dxa"/>
          </w:tcPr>
          <w:p w14:paraId="5BBE99AC">
            <w:pPr>
              <w:adjustRightInd w:val="0"/>
              <w:snapToGrid w:val="0"/>
              <w:rPr>
                <w:rFonts w:eastAsia="宋体"/>
                <w:color w:val="auto"/>
                <w:kern w:val="0"/>
                <w:sz w:val="24"/>
                <w:szCs w:val="24"/>
                <w:highlight w:val="none"/>
              </w:rPr>
            </w:pPr>
          </w:p>
        </w:tc>
      </w:tr>
      <w:tr w14:paraId="3BE5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504667C4">
            <w:pPr>
              <w:adjustRightInd w:val="0"/>
              <w:snapToGrid w:val="0"/>
              <w:rPr>
                <w:rFonts w:eastAsia="宋体"/>
                <w:color w:val="auto"/>
                <w:kern w:val="0"/>
                <w:sz w:val="24"/>
                <w:szCs w:val="24"/>
                <w:highlight w:val="none"/>
              </w:rPr>
            </w:pPr>
          </w:p>
        </w:tc>
        <w:tc>
          <w:tcPr>
            <w:tcW w:w="2413" w:type="dxa"/>
          </w:tcPr>
          <w:p w14:paraId="14E274D7">
            <w:pPr>
              <w:adjustRightInd w:val="0"/>
              <w:snapToGrid w:val="0"/>
              <w:rPr>
                <w:rFonts w:eastAsia="宋体"/>
                <w:color w:val="auto"/>
                <w:kern w:val="0"/>
                <w:sz w:val="24"/>
                <w:szCs w:val="24"/>
                <w:highlight w:val="none"/>
              </w:rPr>
            </w:pPr>
          </w:p>
        </w:tc>
        <w:tc>
          <w:tcPr>
            <w:tcW w:w="1403" w:type="dxa"/>
            <w:tcBorders>
              <w:right w:val="single" w:color="auto" w:sz="4" w:space="0"/>
            </w:tcBorders>
          </w:tcPr>
          <w:p w14:paraId="54FB1DFB">
            <w:pPr>
              <w:adjustRightInd w:val="0"/>
              <w:snapToGrid w:val="0"/>
              <w:rPr>
                <w:rFonts w:eastAsia="宋体"/>
                <w:color w:val="auto"/>
                <w:kern w:val="0"/>
                <w:sz w:val="24"/>
                <w:szCs w:val="24"/>
                <w:highlight w:val="none"/>
              </w:rPr>
            </w:pPr>
          </w:p>
        </w:tc>
        <w:tc>
          <w:tcPr>
            <w:tcW w:w="1857" w:type="dxa"/>
            <w:tcBorders>
              <w:left w:val="single" w:color="auto" w:sz="4" w:space="0"/>
            </w:tcBorders>
          </w:tcPr>
          <w:p w14:paraId="0862693A">
            <w:pPr>
              <w:adjustRightInd w:val="0"/>
              <w:snapToGrid w:val="0"/>
              <w:rPr>
                <w:rFonts w:eastAsia="宋体"/>
                <w:color w:val="auto"/>
                <w:kern w:val="0"/>
                <w:sz w:val="24"/>
                <w:szCs w:val="24"/>
                <w:highlight w:val="none"/>
              </w:rPr>
            </w:pPr>
          </w:p>
        </w:tc>
        <w:tc>
          <w:tcPr>
            <w:tcW w:w="1418" w:type="dxa"/>
          </w:tcPr>
          <w:p w14:paraId="53CD3F4D">
            <w:pPr>
              <w:adjustRightInd w:val="0"/>
              <w:snapToGrid w:val="0"/>
              <w:rPr>
                <w:rFonts w:eastAsia="宋体"/>
                <w:color w:val="auto"/>
                <w:kern w:val="0"/>
                <w:sz w:val="24"/>
                <w:szCs w:val="24"/>
                <w:highlight w:val="none"/>
              </w:rPr>
            </w:pPr>
          </w:p>
        </w:tc>
      </w:tr>
      <w:tr w14:paraId="14BF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5399BE8">
            <w:pPr>
              <w:adjustRightInd w:val="0"/>
              <w:snapToGrid w:val="0"/>
              <w:rPr>
                <w:rFonts w:eastAsia="宋体"/>
                <w:color w:val="auto"/>
                <w:kern w:val="0"/>
                <w:sz w:val="24"/>
                <w:szCs w:val="24"/>
                <w:highlight w:val="none"/>
              </w:rPr>
            </w:pPr>
          </w:p>
        </w:tc>
        <w:tc>
          <w:tcPr>
            <w:tcW w:w="2413" w:type="dxa"/>
          </w:tcPr>
          <w:p w14:paraId="4C5181CF">
            <w:pPr>
              <w:adjustRightInd w:val="0"/>
              <w:snapToGrid w:val="0"/>
              <w:rPr>
                <w:rFonts w:eastAsia="宋体"/>
                <w:color w:val="auto"/>
                <w:kern w:val="0"/>
                <w:sz w:val="24"/>
                <w:szCs w:val="24"/>
                <w:highlight w:val="none"/>
              </w:rPr>
            </w:pPr>
          </w:p>
        </w:tc>
        <w:tc>
          <w:tcPr>
            <w:tcW w:w="1403" w:type="dxa"/>
            <w:tcBorders>
              <w:right w:val="single" w:color="auto" w:sz="4" w:space="0"/>
            </w:tcBorders>
          </w:tcPr>
          <w:p w14:paraId="31AD3772">
            <w:pPr>
              <w:adjustRightInd w:val="0"/>
              <w:snapToGrid w:val="0"/>
              <w:rPr>
                <w:rFonts w:eastAsia="宋体"/>
                <w:color w:val="auto"/>
                <w:kern w:val="0"/>
                <w:sz w:val="24"/>
                <w:szCs w:val="24"/>
                <w:highlight w:val="none"/>
              </w:rPr>
            </w:pPr>
          </w:p>
        </w:tc>
        <w:tc>
          <w:tcPr>
            <w:tcW w:w="1857" w:type="dxa"/>
            <w:tcBorders>
              <w:left w:val="single" w:color="auto" w:sz="4" w:space="0"/>
            </w:tcBorders>
          </w:tcPr>
          <w:p w14:paraId="49F5B3E1">
            <w:pPr>
              <w:adjustRightInd w:val="0"/>
              <w:snapToGrid w:val="0"/>
              <w:rPr>
                <w:rFonts w:eastAsia="宋体"/>
                <w:color w:val="auto"/>
                <w:kern w:val="0"/>
                <w:sz w:val="24"/>
                <w:szCs w:val="24"/>
                <w:highlight w:val="none"/>
              </w:rPr>
            </w:pPr>
          </w:p>
        </w:tc>
        <w:tc>
          <w:tcPr>
            <w:tcW w:w="1418" w:type="dxa"/>
          </w:tcPr>
          <w:p w14:paraId="1BD646CD">
            <w:pPr>
              <w:adjustRightInd w:val="0"/>
              <w:snapToGrid w:val="0"/>
              <w:rPr>
                <w:rFonts w:eastAsia="宋体"/>
                <w:color w:val="auto"/>
                <w:kern w:val="0"/>
                <w:sz w:val="24"/>
                <w:szCs w:val="24"/>
                <w:highlight w:val="none"/>
              </w:rPr>
            </w:pPr>
          </w:p>
        </w:tc>
      </w:tr>
      <w:tr w14:paraId="313A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3E89AACE">
            <w:pPr>
              <w:adjustRightInd w:val="0"/>
              <w:snapToGrid w:val="0"/>
              <w:jc w:val="center"/>
              <w:rPr>
                <w:rFonts w:eastAsia="宋体"/>
                <w:color w:val="auto"/>
                <w:kern w:val="0"/>
                <w:sz w:val="24"/>
                <w:szCs w:val="24"/>
                <w:highlight w:val="none"/>
              </w:rPr>
            </w:pPr>
          </w:p>
        </w:tc>
        <w:tc>
          <w:tcPr>
            <w:tcW w:w="2413" w:type="dxa"/>
          </w:tcPr>
          <w:p w14:paraId="6405EC72">
            <w:pPr>
              <w:adjustRightInd w:val="0"/>
              <w:snapToGrid w:val="0"/>
              <w:rPr>
                <w:rFonts w:eastAsia="宋体"/>
                <w:color w:val="auto"/>
                <w:kern w:val="0"/>
                <w:sz w:val="24"/>
                <w:szCs w:val="24"/>
                <w:highlight w:val="none"/>
              </w:rPr>
            </w:pPr>
          </w:p>
        </w:tc>
        <w:tc>
          <w:tcPr>
            <w:tcW w:w="1403" w:type="dxa"/>
            <w:tcBorders>
              <w:right w:val="single" w:color="auto" w:sz="4" w:space="0"/>
            </w:tcBorders>
          </w:tcPr>
          <w:p w14:paraId="1AB36B14">
            <w:pPr>
              <w:adjustRightInd w:val="0"/>
              <w:snapToGrid w:val="0"/>
              <w:rPr>
                <w:rFonts w:eastAsia="宋体"/>
                <w:color w:val="auto"/>
                <w:kern w:val="0"/>
                <w:sz w:val="24"/>
                <w:szCs w:val="24"/>
                <w:highlight w:val="none"/>
              </w:rPr>
            </w:pPr>
          </w:p>
        </w:tc>
        <w:tc>
          <w:tcPr>
            <w:tcW w:w="1857" w:type="dxa"/>
            <w:tcBorders>
              <w:left w:val="single" w:color="auto" w:sz="4" w:space="0"/>
            </w:tcBorders>
          </w:tcPr>
          <w:p w14:paraId="4A459762">
            <w:pPr>
              <w:adjustRightInd w:val="0"/>
              <w:snapToGrid w:val="0"/>
              <w:rPr>
                <w:rFonts w:eastAsia="宋体"/>
                <w:color w:val="auto"/>
                <w:kern w:val="0"/>
                <w:sz w:val="24"/>
                <w:szCs w:val="24"/>
                <w:highlight w:val="none"/>
              </w:rPr>
            </w:pPr>
          </w:p>
        </w:tc>
        <w:tc>
          <w:tcPr>
            <w:tcW w:w="1418" w:type="dxa"/>
          </w:tcPr>
          <w:p w14:paraId="10CB8CD9">
            <w:pPr>
              <w:adjustRightInd w:val="0"/>
              <w:snapToGrid w:val="0"/>
              <w:rPr>
                <w:rFonts w:eastAsia="宋体"/>
                <w:color w:val="auto"/>
                <w:kern w:val="0"/>
                <w:sz w:val="24"/>
                <w:szCs w:val="24"/>
                <w:highlight w:val="none"/>
              </w:rPr>
            </w:pPr>
          </w:p>
        </w:tc>
      </w:tr>
      <w:tr w14:paraId="71B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4F352922">
            <w:pPr>
              <w:adjustRightInd w:val="0"/>
              <w:snapToGrid w:val="0"/>
              <w:jc w:val="center"/>
              <w:rPr>
                <w:rFonts w:eastAsia="宋体"/>
                <w:color w:val="auto"/>
                <w:kern w:val="0"/>
                <w:sz w:val="24"/>
                <w:szCs w:val="24"/>
                <w:highlight w:val="none"/>
              </w:rPr>
            </w:pPr>
          </w:p>
        </w:tc>
        <w:tc>
          <w:tcPr>
            <w:tcW w:w="2413" w:type="dxa"/>
          </w:tcPr>
          <w:p w14:paraId="14C80735">
            <w:pPr>
              <w:adjustRightInd w:val="0"/>
              <w:snapToGrid w:val="0"/>
              <w:rPr>
                <w:rFonts w:eastAsia="宋体"/>
                <w:color w:val="auto"/>
                <w:kern w:val="0"/>
                <w:sz w:val="24"/>
                <w:szCs w:val="24"/>
                <w:highlight w:val="none"/>
              </w:rPr>
            </w:pPr>
          </w:p>
        </w:tc>
        <w:tc>
          <w:tcPr>
            <w:tcW w:w="1403" w:type="dxa"/>
            <w:tcBorders>
              <w:right w:val="single" w:color="auto" w:sz="4" w:space="0"/>
            </w:tcBorders>
          </w:tcPr>
          <w:p w14:paraId="206C18E8">
            <w:pPr>
              <w:adjustRightInd w:val="0"/>
              <w:snapToGrid w:val="0"/>
              <w:rPr>
                <w:rFonts w:eastAsia="宋体"/>
                <w:color w:val="auto"/>
                <w:kern w:val="0"/>
                <w:sz w:val="24"/>
                <w:szCs w:val="24"/>
                <w:highlight w:val="none"/>
              </w:rPr>
            </w:pPr>
          </w:p>
        </w:tc>
        <w:tc>
          <w:tcPr>
            <w:tcW w:w="1857" w:type="dxa"/>
            <w:tcBorders>
              <w:left w:val="single" w:color="auto" w:sz="4" w:space="0"/>
            </w:tcBorders>
          </w:tcPr>
          <w:p w14:paraId="5C0CC145">
            <w:pPr>
              <w:adjustRightInd w:val="0"/>
              <w:snapToGrid w:val="0"/>
              <w:rPr>
                <w:rFonts w:eastAsia="宋体"/>
                <w:color w:val="auto"/>
                <w:kern w:val="0"/>
                <w:sz w:val="24"/>
                <w:szCs w:val="24"/>
                <w:highlight w:val="none"/>
              </w:rPr>
            </w:pPr>
          </w:p>
        </w:tc>
        <w:tc>
          <w:tcPr>
            <w:tcW w:w="1418" w:type="dxa"/>
          </w:tcPr>
          <w:p w14:paraId="4AE88F12">
            <w:pPr>
              <w:adjustRightInd w:val="0"/>
              <w:snapToGrid w:val="0"/>
              <w:rPr>
                <w:rFonts w:eastAsia="宋体"/>
                <w:color w:val="auto"/>
                <w:kern w:val="0"/>
                <w:sz w:val="24"/>
                <w:szCs w:val="24"/>
                <w:highlight w:val="none"/>
              </w:rPr>
            </w:pPr>
          </w:p>
        </w:tc>
      </w:tr>
      <w:tr w14:paraId="39827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646B5ACE">
            <w:pPr>
              <w:adjustRightInd w:val="0"/>
              <w:snapToGrid w:val="0"/>
              <w:jc w:val="center"/>
              <w:rPr>
                <w:rFonts w:eastAsia="宋体"/>
                <w:color w:val="auto"/>
                <w:kern w:val="0"/>
                <w:sz w:val="24"/>
                <w:szCs w:val="24"/>
                <w:highlight w:val="none"/>
              </w:rPr>
            </w:pPr>
          </w:p>
        </w:tc>
        <w:tc>
          <w:tcPr>
            <w:tcW w:w="2413" w:type="dxa"/>
          </w:tcPr>
          <w:p w14:paraId="64A8AB23">
            <w:pPr>
              <w:adjustRightInd w:val="0"/>
              <w:snapToGrid w:val="0"/>
              <w:rPr>
                <w:rFonts w:eastAsia="宋体"/>
                <w:color w:val="auto"/>
                <w:kern w:val="0"/>
                <w:sz w:val="24"/>
                <w:szCs w:val="24"/>
                <w:highlight w:val="none"/>
              </w:rPr>
            </w:pPr>
          </w:p>
        </w:tc>
        <w:tc>
          <w:tcPr>
            <w:tcW w:w="1403" w:type="dxa"/>
            <w:tcBorders>
              <w:right w:val="single" w:color="auto" w:sz="4" w:space="0"/>
            </w:tcBorders>
          </w:tcPr>
          <w:p w14:paraId="19E5D8BF">
            <w:pPr>
              <w:adjustRightInd w:val="0"/>
              <w:snapToGrid w:val="0"/>
              <w:rPr>
                <w:rFonts w:eastAsia="宋体"/>
                <w:color w:val="auto"/>
                <w:kern w:val="0"/>
                <w:sz w:val="24"/>
                <w:szCs w:val="24"/>
                <w:highlight w:val="none"/>
              </w:rPr>
            </w:pPr>
          </w:p>
        </w:tc>
        <w:tc>
          <w:tcPr>
            <w:tcW w:w="1857" w:type="dxa"/>
            <w:tcBorders>
              <w:left w:val="single" w:color="auto" w:sz="4" w:space="0"/>
            </w:tcBorders>
          </w:tcPr>
          <w:p w14:paraId="5A35D611">
            <w:pPr>
              <w:adjustRightInd w:val="0"/>
              <w:snapToGrid w:val="0"/>
              <w:rPr>
                <w:rFonts w:eastAsia="宋体"/>
                <w:color w:val="auto"/>
                <w:kern w:val="0"/>
                <w:sz w:val="24"/>
                <w:szCs w:val="24"/>
                <w:highlight w:val="none"/>
              </w:rPr>
            </w:pPr>
          </w:p>
        </w:tc>
        <w:tc>
          <w:tcPr>
            <w:tcW w:w="1418" w:type="dxa"/>
          </w:tcPr>
          <w:p w14:paraId="55A2D100">
            <w:pPr>
              <w:adjustRightInd w:val="0"/>
              <w:snapToGrid w:val="0"/>
              <w:rPr>
                <w:rFonts w:eastAsia="宋体"/>
                <w:color w:val="auto"/>
                <w:kern w:val="0"/>
                <w:sz w:val="24"/>
                <w:szCs w:val="24"/>
                <w:highlight w:val="none"/>
              </w:rPr>
            </w:pPr>
          </w:p>
        </w:tc>
      </w:tr>
      <w:tr w14:paraId="067C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90" w:hRule="atLeast"/>
          <w:jc w:val="center"/>
        </w:trPr>
        <w:tc>
          <w:tcPr>
            <w:tcW w:w="8897" w:type="dxa"/>
            <w:gridSpan w:val="5"/>
            <w:vAlign w:val="center"/>
          </w:tcPr>
          <w:p w14:paraId="7986BB2A">
            <w:pPr>
              <w:adjustRightInd w:val="0"/>
              <w:snapToGrid w:val="0"/>
              <w:rPr>
                <w:rFonts w:eastAsia="宋体"/>
                <w:color w:val="auto"/>
                <w:kern w:val="0"/>
                <w:sz w:val="24"/>
                <w:szCs w:val="24"/>
                <w:highlight w:val="none"/>
              </w:rPr>
            </w:pPr>
            <w:r>
              <w:rPr>
                <w:rFonts w:eastAsia="宋体"/>
                <w:color w:val="auto"/>
                <w:kern w:val="0"/>
                <w:sz w:val="24"/>
                <w:szCs w:val="24"/>
                <w:highlight w:val="none"/>
              </w:rPr>
              <w:t>上述表格填写均已核对，确信没有疏漏或差错。</w:t>
            </w:r>
          </w:p>
          <w:p w14:paraId="64FE555F">
            <w:pPr>
              <w:adjustRightInd w:val="0"/>
              <w:snapToGrid w:val="0"/>
              <w:rPr>
                <w:rFonts w:eastAsia="宋体"/>
                <w:color w:val="auto"/>
                <w:kern w:val="0"/>
                <w:sz w:val="24"/>
                <w:szCs w:val="24"/>
                <w:highlight w:val="none"/>
              </w:rPr>
            </w:pPr>
            <w:r>
              <w:rPr>
                <w:rFonts w:eastAsia="宋体"/>
                <w:color w:val="auto"/>
                <w:kern w:val="0"/>
                <w:sz w:val="24"/>
                <w:szCs w:val="24"/>
                <w:highlight w:val="none"/>
              </w:rPr>
              <w:t xml:space="preserve"> 磋商供应商：                     </w:t>
            </w:r>
            <w:r>
              <w:rPr>
                <w:rFonts w:hint="eastAsia" w:eastAsia="宋体"/>
                <w:color w:val="auto"/>
                <w:kern w:val="0"/>
                <w:sz w:val="24"/>
                <w:szCs w:val="24"/>
                <w:highlight w:val="none"/>
              </w:rPr>
              <w:t>（加盖CA电子公章）</w:t>
            </w:r>
          </w:p>
          <w:p w14:paraId="79630736">
            <w:pPr>
              <w:adjustRightInd w:val="0"/>
              <w:snapToGrid w:val="0"/>
              <w:rPr>
                <w:rFonts w:eastAsia="宋体"/>
                <w:color w:val="auto"/>
                <w:kern w:val="0"/>
                <w:sz w:val="24"/>
                <w:szCs w:val="24"/>
                <w:highlight w:val="none"/>
              </w:rPr>
            </w:pPr>
            <w:r>
              <w:rPr>
                <w:rFonts w:eastAsia="宋体"/>
                <w:color w:val="auto"/>
                <w:kern w:val="0"/>
                <w:sz w:val="24"/>
                <w:szCs w:val="24"/>
                <w:highlight w:val="none"/>
              </w:rPr>
              <w:t>日期：               年    月   日</w:t>
            </w:r>
          </w:p>
        </w:tc>
      </w:tr>
    </w:tbl>
    <w:p w14:paraId="15A13BE9">
      <w:pPr>
        <w:adjustRightInd w:val="0"/>
        <w:snapToGrid w:val="0"/>
        <w:rPr>
          <w:rFonts w:eastAsia="宋体"/>
          <w:color w:val="auto"/>
          <w:kern w:val="0"/>
          <w:sz w:val="24"/>
          <w:szCs w:val="24"/>
          <w:highlight w:val="none"/>
        </w:rPr>
      </w:pPr>
      <w:r>
        <w:rPr>
          <w:rFonts w:eastAsia="宋体"/>
          <w:color w:val="auto"/>
          <w:kern w:val="0"/>
          <w:sz w:val="24"/>
          <w:szCs w:val="24"/>
          <w:highlight w:val="none"/>
        </w:rPr>
        <w:t>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6661EAE">
      <w:pPr>
        <w:adjustRightInd w:val="0"/>
        <w:snapToGrid w:val="0"/>
        <w:rPr>
          <w:rFonts w:eastAsia="宋体"/>
          <w:color w:val="auto"/>
          <w:kern w:val="0"/>
          <w:sz w:val="24"/>
          <w:szCs w:val="24"/>
          <w:highlight w:val="none"/>
        </w:rPr>
      </w:pPr>
      <w:r>
        <w:rPr>
          <w:rFonts w:eastAsia="宋体"/>
          <w:color w:val="auto"/>
          <w:kern w:val="0"/>
          <w:sz w:val="24"/>
          <w:szCs w:val="24"/>
          <w:highlight w:val="none"/>
        </w:rPr>
        <w:t>2.附各专业人员简历及相关证明材料复印件，如主要人员姓名及履历简介包括学历﹑职称﹑曾担任职务﹑现任职务、专业、从业年限、完成类似项目实例、人员资质证书等。</w:t>
      </w:r>
    </w:p>
    <w:p w14:paraId="2949D89A">
      <w:pPr>
        <w:adjustRightInd w:val="0"/>
        <w:snapToGrid w:val="0"/>
        <w:rPr>
          <w:rFonts w:eastAsia="宋体"/>
          <w:color w:val="auto"/>
          <w:kern w:val="0"/>
          <w:sz w:val="24"/>
          <w:szCs w:val="24"/>
          <w:highlight w:val="none"/>
        </w:rPr>
      </w:pPr>
      <w:r>
        <w:rPr>
          <w:rFonts w:eastAsia="宋体"/>
          <w:color w:val="auto"/>
          <w:kern w:val="0"/>
          <w:sz w:val="24"/>
          <w:szCs w:val="24"/>
          <w:highlight w:val="none"/>
        </w:rPr>
        <w:t>3.供应商可参照上述格式自行设计表格。</w:t>
      </w:r>
    </w:p>
    <w:p w14:paraId="35E30852">
      <w:pPr>
        <w:adjustRightInd w:val="0"/>
        <w:snapToGrid w:val="0"/>
        <w:rPr>
          <w:rFonts w:eastAsia="宋体"/>
          <w:b/>
          <w:color w:val="auto"/>
          <w:kern w:val="0"/>
          <w:sz w:val="24"/>
          <w:szCs w:val="24"/>
          <w:highlight w:val="none"/>
        </w:rPr>
      </w:pPr>
      <w:r>
        <w:rPr>
          <w:rFonts w:eastAsia="宋体"/>
          <w:b/>
          <w:color w:val="auto"/>
          <w:kern w:val="0"/>
          <w:sz w:val="24"/>
          <w:szCs w:val="24"/>
          <w:highlight w:val="none"/>
        </w:rPr>
        <w:t>4.如有分包，分包单位项目参与人员也一并填入。</w:t>
      </w:r>
    </w:p>
    <w:p w14:paraId="2C87B0EC">
      <w:pPr>
        <w:adjustRightInd w:val="0"/>
        <w:snapToGrid w:val="0"/>
        <w:rPr>
          <w:rFonts w:eastAsia="宋体"/>
          <w:color w:val="auto"/>
          <w:kern w:val="0"/>
          <w:sz w:val="24"/>
          <w:szCs w:val="24"/>
          <w:highlight w:val="none"/>
        </w:rPr>
      </w:pPr>
    </w:p>
    <w:p w14:paraId="5CD583E6">
      <w:pPr>
        <w:adjustRightInd w:val="0"/>
        <w:snapToGrid w:val="0"/>
        <w:rPr>
          <w:rFonts w:eastAsia="宋体"/>
          <w:color w:val="auto"/>
          <w:kern w:val="0"/>
          <w:sz w:val="24"/>
          <w:szCs w:val="24"/>
          <w:highlight w:val="none"/>
        </w:rPr>
      </w:pPr>
    </w:p>
    <w:p w14:paraId="048E6ABD">
      <w:pPr>
        <w:adjustRightInd w:val="0"/>
        <w:snapToGrid w:val="0"/>
        <w:rPr>
          <w:rFonts w:eastAsia="宋体"/>
          <w:b/>
          <w:color w:val="auto"/>
          <w:sz w:val="24"/>
          <w:szCs w:val="24"/>
          <w:highlight w:val="none"/>
        </w:rPr>
      </w:pPr>
      <w:bookmarkStart w:id="81" w:name="_Toc348784828"/>
      <w:bookmarkStart w:id="82" w:name="_Toc377652978"/>
      <w:bookmarkStart w:id="83" w:name="_Toc348785014"/>
    </w:p>
    <w:p w14:paraId="41518A1A">
      <w:pPr>
        <w:adjustRightInd w:val="0"/>
        <w:snapToGrid w:val="0"/>
        <w:rPr>
          <w:rFonts w:eastAsia="宋体"/>
          <w:b/>
          <w:color w:val="auto"/>
          <w:sz w:val="24"/>
          <w:szCs w:val="24"/>
          <w:highlight w:val="none"/>
        </w:rPr>
      </w:pPr>
    </w:p>
    <w:p w14:paraId="630B0831">
      <w:pPr>
        <w:adjustRightInd w:val="0"/>
        <w:snapToGrid w:val="0"/>
        <w:jc w:val="center"/>
        <w:rPr>
          <w:rFonts w:eastAsia="宋体"/>
          <w:b/>
          <w:color w:val="auto"/>
          <w:sz w:val="24"/>
          <w:szCs w:val="24"/>
          <w:highlight w:val="none"/>
        </w:rPr>
      </w:pPr>
      <w:r>
        <w:rPr>
          <w:rFonts w:eastAsia="宋体"/>
          <w:b/>
          <w:color w:val="auto"/>
          <w:sz w:val="24"/>
          <w:szCs w:val="24"/>
          <w:highlight w:val="none"/>
        </w:rPr>
        <w:br w:type="page"/>
      </w:r>
      <w:r>
        <w:rPr>
          <w:rFonts w:eastAsia="宋体"/>
          <w:b/>
          <w:color w:val="auto"/>
          <w:sz w:val="24"/>
          <w:szCs w:val="24"/>
          <w:highlight w:val="none"/>
        </w:rPr>
        <w:t>2.项目负责人的法人授权书</w:t>
      </w:r>
    </w:p>
    <w:p w14:paraId="722CC4F3">
      <w:pPr>
        <w:adjustRightInd w:val="0"/>
        <w:snapToGrid w:val="0"/>
        <w:rPr>
          <w:rFonts w:eastAsia="宋体"/>
          <w:color w:val="auto"/>
          <w:sz w:val="24"/>
          <w:szCs w:val="24"/>
          <w:highlight w:val="none"/>
        </w:rPr>
      </w:pPr>
      <w:r>
        <w:rPr>
          <w:rFonts w:eastAsia="宋体"/>
          <w:color w:val="auto"/>
          <w:sz w:val="24"/>
          <w:szCs w:val="24"/>
          <w:highlight w:val="none"/>
        </w:rPr>
        <w:t>采购编号：</w:t>
      </w:r>
    </w:p>
    <w:p w14:paraId="69FDAB93">
      <w:pPr>
        <w:adjustRightInd w:val="0"/>
        <w:snapToGrid w:val="0"/>
        <w:rPr>
          <w:rFonts w:eastAsia="宋体"/>
          <w:color w:val="auto"/>
          <w:sz w:val="24"/>
          <w:szCs w:val="24"/>
          <w:highlight w:val="none"/>
        </w:rPr>
      </w:pPr>
      <w:r>
        <w:rPr>
          <w:rFonts w:eastAsia="宋体"/>
          <w:color w:val="auto"/>
          <w:sz w:val="24"/>
          <w:szCs w:val="24"/>
          <w:highlight w:val="none"/>
        </w:rPr>
        <w:t>日    期：</w:t>
      </w:r>
    </w:p>
    <w:p w14:paraId="52FF2F30">
      <w:pPr>
        <w:adjustRightInd w:val="0"/>
        <w:snapToGrid w:val="0"/>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6072132D">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我单位</w:t>
      </w:r>
      <w:r>
        <w:rPr>
          <w:rFonts w:eastAsia="宋体"/>
          <w:color w:val="auto"/>
          <w:sz w:val="24"/>
          <w:szCs w:val="24"/>
          <w:highlight w:val="none"/>
          <w:u w:val="single"/>
        </w:rPr>
        <w:t xml:space="preserve">                      </w:t>
      </w:r>
      <w:r>
        <w:rPr>
          <w:rFonts w:eastAsia="宋体"/>
          <w:color w:val="auto"/>
          <w:sz w:val="24"/>
          <w:szCs w:val="24"/>
          <w:highlight w:val="none"/>
        </w:rPr>
        <w:t>系中华人民共和国合法企</w:t>
      </w:r>
      <w:r>
        <w:rPr>
          <w:rFonts w:hint="eastAsia" w:eastAsia="宋体"/>
          <w:color w:val="auto"/>
          <w:sz w:val="24"/>
          <w:szCs w:val="24"/>
          <w:highlight w:val="none"/>
        </w:rPr>
        <w:t>事</w:t>
      </w:r>
      <w:r>
        <w:rPr>
          <w:rFonts w:eastAsia="宋体"/>
          <w:color w:val="auto"/>
          <w:sz w:val="24"/>
          <w:szCs w:val="24"/>
          <w:highlight w:val="none"/>
        </w:rPr>
        <w:t>业</w:t>
      </w:r>
      <w:r>
        <w:rPr>
          <w:rFonts w:hint="eastAsia" w:eastAsia="宋体"/>
          <w:color w:val="auto"/>
          <w:sz w:val="24"/>
          <w:szCs w:val="24"/>
          <w:highlight w:val="none"/>
        </w:rPr>
        <w:t>单位</w:t>
      </w:r>
      <w:r>
        <w:rPr>
          <w:rFonts w:eastAsia="宋体"/>
          <w:color w:val="auto"/>
          <w:sz w:val="24"/>
          <w:szCs w:val="24"/>
          <w:highlight w:val="none"/>
        </w:rPr>
        <w:t>，具有承接本项目服务的能力，公司法定地址：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，现特授权</w:t>
      </w:r>
      <w:r>
        <w:rPr>
          <w:rFonts w:eastAsia="宋体"/>
          <w:color w:val="auto"/>
          <w:sz w:val="24"/>
          <w:szCs w:val="24"/>
          <w:highlight w:val="none"/>
          <w:u w:val="single"/>
        </w:rPr>
        <w:t xml:space="preserve">             （</w:t>
      </w:r>
      <w:r>
        <w:rPr>
          <w:rFonts w:eastAsia="宋体"/>
          <w:color w:val="auto"/>
          <w:sz w:val="24"/>
          <w:szCs w:val="24"/>
          <w:highlight w:val="none"/>
        </w:rPr>
        <w:t>身份证号：</w:t>
      </w:r>
      <w:r>
        <w:rPr>
          <w:rFonts w:eastAsia="宋体"/>
          <w:color w:val="auto"/>
          <w:sz w:val="24"/>
          <w:szCs w:val="24"/>
          <w:highlight w:val="none"/>
          <w:u w:val="single"/>
        </w:rPr>
        <w:t xml:space="preserve">      </w:t>
      </w:r>
      <w:r>
        <w:rPr>
          <w:rFonts w:eastAsia="宋体"/>
          <w:color w:val="auto"/>
          <w:sz w:val="24"/>
          <w:szCs w:val="24"/>
          <w:highlight w:val="none"/>
        </w:rPr>
        <w:t>）为本次采购编号：</w:t>
      </w:r>
      <w:r>
        <w:rPr>
          <w:rFonts w:eastAsia="宋体"/>
          <w:color w:val="auto"/>
          <w:sz w:val="24"/>
          <w:szCs w:val="24"/>
          <w:highlight w:val="none"/>
          <w:u w:val="single"/>
        </w:rPr>
        <w:t xml:space="preserve">           </w:t>
      </w:r>
      <w:r>
        <w:rPr>
          <w:rFonts w:eastAsia="宋体"/>
          <w:color w:val="auto"/>
          <w:sz w:val="24"/>
          <w:szCs w:val="24"/>
          <w:highlight w:val="none"/>
        </w:rPr>
        <w:t>号</w:t>
      </w:r>
      <w:r>
        <w:rPr>
          <w:rFonts w:eastAsia="宋体"/>
          <w:color w:val="auto"/>
          <w:sz w:val="24"/>
          <w:szCs w:val="24"/>
          <w:highlight w:val="none"/>
          <w:u w:val="single"/>
        </w:rPr>
        <w:t xml:space="preserve">                    </w:t>
      </w:r>
      <w:r>
        <w:rPr>
          <w:rFonts w:eastAsia="宋体"/>
          <w:color w:val="auto"/>
          <w:sz w:val="24"/>
          <w:szCs w:val="24"/>
          <w:highlight w:val="none"/>
        </w:rPr>
        <w:t>项目的项目组负责人，全面负责本项目执行中的有关管理咨询服务、进度、质量、结算与支付等方面工作，本授权书自授权之日开始至合同全部履行完毕止。</w:t>
      </w:r>
    </w:p>
    <w:p w14:paraId="0802F285">
      <w:pPr>
        <w:adjustRightInd w:val="0"/>
        <w:snapToGrid w:val="0"/>
        <w:rPr>
          <w:rFonts w:eastAsia="宋体"/>
          <w:color w:val="auto"/>
          <w:sz w:val="24"/>
          <w:szCs w:val="24"/>
          <w:highlight w:val="none"/>
        </w:rPr>
      </w:pPr>
    </w:p>
    <w:p w14:paraId="5BC24A0E">
      <w:pPr>
        <w:adjustRightInd w:val="0"/>
        <w:snapToGrid w:val="0"/>
        <w:rPr>
          <w:rFonts w:eastAsia="宋体"/>
          <w:color w:val="auto"/>
          <w:sz w:val="24"/>
          <w:szCs w:val="24"/>
          <w:highlight w:val="none"/>
        </w:rPr>
      </w:pPr>
      <w:r>
        <w:rPr>
          <w:rFonts w:eastAsia="宋体"/>
          <w:color w:val="auto"/>
          <w:sz w:val="24"/>
          <w:szCs w:val="24"/>
          <w:highlight w:val="none"/>
        </w:rPr>
        <w:t>项目组负责人</w:t>
      </w:r>
      <w:r>
        <w:rPr>
          <w:rFonts w:hint="eastAsia" w:eastAsia="宋体"/>
          <w:color w:val="auto"/>
          <w:sz w:val="24"/>
          <w:szCs w:val="24"/>
          <w:highlight w:val="none"/>
        </w:rPr>
        <w:t>（签字或签章）</w:t>
      </w:r>
      <w:r>
        <w:rPr>
          <w:rFonts w:eastAsia="宋体"/>
          <w:color w:val="auto"/>
          <w:sz w:val="24"/>
          <w:szCs w:val="24"/>
          <w:highlight w:val="none"/>
        </w:rPr>
        <w:t xml:space="preserve">：                       </w:t>
      </w:r>
    </w:p>
    <w:p w14:paraId="2E6F86D0">
      <w:pPr>
        <w:adjustRightInd w:val="0"/>
        <w:snapToGrid w:val="0"/>
        <w:rPr>
          <w:rFonts w:eastAsia="宋体"/>
          <w:color w:val="auto"/>
          <w:sz w:val="24"/>
          <w:szCs w:val="24"/>
          <w:highlight w:val="none"/>
        </w:rPr>
      </w:pPr>
      <w:r>
        <w:rPr>
          <w:rFonts w:eastAsia="宋体"/>
          <w:color w:val="auto"/>
          <w:sz w:val="24"/>
          <w:szCs w:val="24"/>
          <w:highlight w:val="none"/>
        </w:rPr>
        <w:t xml:space="preserve">职务：                 </w:t>
      </w:r>
    </w:p>
    <w:p w14:paraId="38357E46">
      <w:pPr>
        <w:adjustRightInd w:val="0"/>
        <w:snapToGrid w:val="0"/>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（加盖CA电子公章）</w:t>
      </w:r>
    </w:p>
    <w:p w14:paraId="0B4ED298">
      <w:pPr>
        <w:adjustRightInd w:val="0"/>
        <w:snapToGrid w:val="0"/>
        <w:rPr>
          <w:rFonts w:eastAsia="宋体"/>
          <w:b/>
          <w:color w:val="auto"/>
          <w:sz w:val="24"/>
          <w:szCs w:val="24"/>
          <w:highlight w:val="none"/>
        </w:rPr>
      </w:pPr>
    </w:p>
    <w:p w14:paraId="0333FAB0">
      <w:pPr>
        <w:adjustRightInd w:val="0"/>
        <w:snapToGrid w:val="0"/>
        <w:rPr>
          <w:rFonts w:eastAsia="宋体"/>
          <w:b/>
          <w:color w:val="auto"/>
          <w:sz w:val="24"/>
          <w:szCs w:val="24"/>
          <w:highlight w:val="none"/>
        </w:rPr>
      </w:pPr>
    </w:p>
    <w:p w14:paraId="461B92A6">
      <w:pPr>
        <w:adjustRightInd w:val="0"/>
        <w:snapToGrid w:val="0"/>
        <w:rPr>
          <w:rFonts w:eastAsia="宋体"/>
          <w:b/>
          <w:color w:val="auto"/>
          <w:sz w:val="24"/>
          <w:szCs w:val="24"/>
          <w:highlight w:val="none"/>
        </w:rPr>
      </w:pPr>
    </w:p>
    <w:p w14:paraId="08EEE8F4">
      <w:pPr>
        <w:adjustRightInd w:val="0"/>
        <w:snapToGrid w:val="0"/>
        <w:jc w:val="center"/>
        <w:rPr>
          <w:rFonts w:eastAsia="宋体"/>
          <w:b/>
          <w:color w:val="auto"/>
          <w:sz w:val="24"/>
          <w:szCs w:val="24"/>
          <w:highlight w:val="none"/>
        </w:rPr>
      </w:pPr>
      <w:r>
        <w:rPr>
          <w:rFonts w:eastAsia="宋体"/>
          <w:b/>
          <w:color w:val="auto"/>
          <w:sz w:val="24"/>
          <w:szCs w:val="24"/>
          <w:highlight w:val="none"/>
        </w:rPr>
        <w:t>3.项目负责人情况表</w:t>
      </w:r>
    </w:p>
    <w:p w14:paraId="73294D7E">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 xml:space="preserve">采购编号：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38"/>
        <w:gridCol w:w="762"/>
        <w:gridCol w:w="900"/>
        <w:gridCol w:w="181"/>
        <w:gridCol w:w="1275"/>
        <w:gridCol w:w="344"/>
        <w:gridCol w:w="790"/>
        <w:gridCol w:w="1418"/>
        <w:gridCol w:w="112"/>
        <w:gridCol w:w="1440"/>
      </w:tblGrid>
      <w:tr w14:paraId="5989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60" w:type="dxa"/>
          </w:tcPr>
          <w:p w14:paraId="5FE3DC32">
            <w:pPr>
              <w:adjustRightInd w:val="0"/>
              <w:snapToGrid w:val="0"/>
              <w:rPr>
                <w:rFonts w:eastAsia="宋体"/>
                <w:color w:val="auto"/>
                <w:sz w:val="24"/>
                <w:szCs w:val="24"/>
                <w:highlight w:val="none"/>
              </w:rPr>
            </w:pPr>
            <w:r>
              <w:rPr>
                <w:rFonts w:eastAsia="宋体"/>
                <w:color w:val="auto"/>
                <w:sz w:val="24"/>
                <w:szCs w:val="24"/>
                <w:highlight w:val="none"/>
              </w:rPr>
              <w:t>姓名</w:t>
            </w:r>
          </w:p>
        </w:tc>
        <w:tc>
          <w:tcPr>
            <w:tcW w:w="1100" w:type="dxa"/>
            <w:gridSpan w:val="2"/>
          </w:tcPr>
          <w:p w14:paraId="0CEC5E5A">
            <w:pPr>
              <w:adjustRightInd w:val="0"/>
              <w:snapToGrid w:val="0"/>
              <w:rPr>
                <w:rFonts w:eastAsia="宋体"/>
                <w:color w:val="auto"/>
                <w:sz w:val="24"/>
                <w:szCs w:val="24"/>
                <w:highlight w:val="none"/>
              </w:rPr>
            </w:pPr>
          </w:p>
        </w:tc>
        <w:tc>
          <w:tcPr>
            <w:tcW w:w="900" w:type="dxa"/>
          </w:tcPr>
          <w:p w14:paraId="54DC509C">
            <w:pPr>
              <w:adjustRightInd w:val="0"/>
              <w:snapToGrid w:val="0"/>
              <w:rPr>
                <w:rFonts w:eastAsia="宋体"/>
                <w:color w:val="auto"/>
                <w:sz w:val="24"/>
                <w:szCs w:val="24"/>
                <w:highlight w:val="none"/>
              </w:rPr>
            </w:pPr>
            <w:r>
              <w:rPr>
                <w:rFonts w:eastAsia="宋体"/>
                <w:color w:val="auto"/>
                <w:sz w:val="24"/>
                <w:szCs w:val="24"/>
                <w:highlight w:val="none"/>
              </w:rPr>
              <w:t>性别</w:t>
            </w:r>
          </w:p>
        </w:tc>
        <w:tc>
          <w:tcPr>
            <w:tcW w:w="1800" w:type="dxa"/>
            <w:gridSpan w:val="3"/>
          </w:tcPr>
          <w:p w14:paraId="7FB2411A">
            <w:pPr>
              <w:adjustRightInd w:val="0"/>
              <w:snapToGrid w:val="0"/>
              <w:rPr>
                <w:rFonts w:eastAsia="宋体"/>
                <w:color w:val="auto"/>
                <w:sz w:val="24"/>
                <w:szCs w:val="24"/>
                <w:highlight w:val="none"/>
              </w:rPr>
            </w:pPr>
          </w:p>
        </w:tc>
        <w:tc>
          <w:tcPr>
            <w:tcW w:w="2320" w:type="dxa"/>
            <w:gridSpan w:val="3"/>
          </w:tcPr>
          <w:p w14:paraId="38D508B2">
            <w:pPr>
              <w:adjustRightInd w:val="0"/>
              <w:snapToGrid w:val="0"/>
              <w:rPr>
                <w:rFonts w:eastAsia="宋体"/>
                <w:color w:val="auto"/>
                <w:sz w:val="24"/>
                <w:szCs w:val="24"/>
                <w:highlight w:val="none"/>
              </w:rPr>
            </w:pPr>
            <w:r>
              <w:rPr>
                <w:rFonts w:eastAsia="宋体"/>
                <w:color w:val="auto"/>
                <w:sz w:val="24"/>
                <w:szCs w:val="24"/>
                <w:highlight w:val="none"/>
              </w:rPr>
              <w:t>年龄</w:t>
            </w:r>
          </w:p>
        </w:tc>
        <w:tc>
          <w:tcPr>
            <w:tcW w:w="1440" w:type="dxa"/>
          </w:tcPr>
          <w:p w14:paraId="5FA897E6">
            <w:pPr>
              <w:adjustRightInd w:val="0"/>
              <w:snapToGrid w:val="0"/>
              <w:rPr>
                <w:rFonts w:eastAsia="宋体"/>
                <w:color w:val="auto"/>
                <w:sz w:val="24"/>
                <w:szCs w:val="24"/>
                <w:highlight w:val="none"/>
              </w:rPr>
            </w:pPr>
          </w:p>
        </w:tc>
      </w:tr>
      <w:tr w14:paraId="287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60" w:type="dxa"/>
          </w:tcPr>
          <w:p w14:paraId="744476D8">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100" w:type="dxa"/>
            <w:gridSpan w:val="2"/>
          </w:tcPr>
          <w:p w14:paraId="70012C3E">
            <w:pPr>
              <w:adjustRightInd w:val="0"/>
              <w:snapToGrid w:val="0"/>
              <w:rPr>
                <w:rFonts w:eastAsia="宋体"/>
                <w:color w:val="auto"/>
                <w:sz w:val="24"/>
                <w:szCs w:val="24"/>
                <w:highlight w:val="none"/>
              </w:rPr>
            </w:pPr>
          </w:p>
        </w:tc>
        <w:tc>
          <w:tcPr>
            <w:tcW w:w="900" w:type="dxa"/>
          </w:tcPr>
          <w:p w14:paraId="1F5BB330">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1800" w:type="dxa"/>
            <w:gridSpan w:val="3"/>
          </w:tcPr>
          <w:p w14:paraId="03AEAB1B">
            <w:pPr>
              <w:adjustRightInd w:val="0"/>
              <w:snapToGrid w:val="0"/>
              <w:rPr>
                <w:rFonts w:eastAsia="宋体"/>
                <w:color w:val="auto"/>
                <w:sz w:val="24"/>
                <w:szCs w:val="24"/>
                <w:highlight w:val="none"/>
              </w:rPr>
            </w:pPr>
          </w:p>
        </w:tc>
        <w:tc>
          <w:tcPr>
            <w:tcW w:w="2320" w:type="dxa"/>
            <w:gridSpan w:val="3"/>
          </w:tcPr>
          <w:p w14:paraId="6D109037">
            <w:pPr>
              <w:adjustRightInd w:val="0"/>
              <w:snapToGrid w:val="0"/>
              <w:rPr>
                <w:rFonts w:eastAsia="宋体"/>
                <w:color w:val="auto"/>
                <w:sz w:val="24"/>
                <w:szCs w:val="24"/>
                <w:highlight w:val="none"/>
              </w:rPr>
            </w:pPr>
            <w:r>
              <w:rPr>
                <w:rFonts w:eastAsia="宋体"/>
                <w:color w:val="auto"/>
                <w:sz w:val="24"/>
                <w:szCs w:val="24"/>
                <w:highlight w:val="none"/>
              </w:rPr>
              <w:t>学历</w:t>
            </w:r>
          </w:p>
        </w:tc>
        <w:tc>
          <w:tcPr>
            <w:tcW w:w="1440" w:type="dxa"/>
          </w:tcPr>
          <w:p w14:paraId="38491680">
            <w:pPr>
              <w:adjustRightInd w:val="0"/>
              <w:snapToGrid w:val="0"/>
              <w:rPr>
                <w:rFonts w:eastAsia="宋体"/>
                <w:color w:val="auto"/>
                <w:sz w:val="24"/>
                <w:szCs w:val="24"/>
                <w:highlight w:val="none"/>
              </w:rPr>
            </w:pPr>
          </w:p>
        </w:tc>
      </w:tr>
      <w:tr w14:paraId="37E4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1260" w:type="dxa"/>
          </w:tcPr>
          <w:p w14:paraId="659FDE59">
            <w:pPr>
              <w:adjustRightInd w:val="0"/>
              <w:snapToGrid w:val="0"/>
              <w:rPr>
                <w:rFonts w:eastAsia="宋体"/>
                <w:color w:val="auto"/>
                <w:sz w:val="24"/>
                <w:szCs w:val="24"/>
                <w:highlight w:val="none"/>
              </w:rPr>
            </w:pPr>
            <w:r>
              <w:rPr>
                <w:rFonts w:eastAsia="宋体"/>
                <w:color w:val="auto"/>
                <w:sz w:val="24"/>
                <w:szCs w:val="24"/>
                <w:highlight w:val="none"/>
              </w:rPr>
              <w:t>毕业院校</w:t>
            </w:r>
          </w:p>
        </w:tc>
        <w:tc>
          <w:tcPr>
            <w:tcW w:w="3800" w:type="dxa"/>
            <w:gridSpan w:val="6"/>
          </w:tcPr>
          <w:p w14:paraId="77CA4D72">
            <w:pPr>
              <w:adjustRightInd w:val="0"/>
              <w:snapToGrid w:val="0"/>
              <w:rPr>
                <w:rFonts w:eastAsia="宋体"/>
                <w:color w:val="auto"/>
                <w:sz w:val="24"/>
                <w:szCs w:val="24"/>
                <w:highlight w:val="none"/>
              </w:rPr>
            </w:pPr>
          </w:p>
        </w:tc>
        <w:tc>
          <w:tcPr>
            <w:tcW w:w="2320" w:type="dxa"/>
            <w:gridSpan w:val="3"/>
          </w:tcPr>
          <w:p w14:paraId="49024FCB">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440" w:type="dxa"/>
          </w:tcPr>
          <w:p w14:paraId="6EE3357E">
            <w:pPr>
              <w:adjustRightInd w:val="0"/>
              <w:snapToGrid w:val="0"/>
              <w:rPr>
                <w:rFonts w:eastAsia="宋体"/>
                <w:color w:val="auto"/>
                <w:sz w:val="24"/>
                <w:szCs w:val="24"/>
                <w:highlight w:val="none"/>
              </w:rPr>
            </w:pPr>
          </w:p>
        </w:tc>
      </w:tr>
      <w:tr w14:paraId="03E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360" w:type="dxa"/>
            <w:gridSpan w:val="3"/>
          </w:tcPr>
          <w:p w14:paraId="7907CBCB">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2700" w:type="dxa"/>
            <w:gridSpan w:val="4"/>
          </w:tcPr>
          <w:p w14:paraId="799200F3">
            <w:pPr>
              <w:adjustRightInd w:val="0"/>
              <w:snapToGrid w:val="0"/>
              <w:rPr>
                <w:rFonts w:eastAsia="宋体"/>
                <w:color w:val="auto"/>
                <w:sz w:val="24"/>
                <w:szCs w:val="24"/>
                <w:highlight w:val="none"/>
              </w:rPr>
            </w:pPr>
          </w:p>
        </w:tc>
        <w:tc>
          <w:tcPr>
            <w:tcW w:w="2320" w:type="dxa"/>
            <w:gridSpan w:val="3"/>
          </w:tcPr>
          <w:p w14:paraId="4920BE9F">
            <w:pPr>
              <w:adjustRightInd w:val="0"/>
              <w:snapToGrid w:val="0"/>
              <w:rPr>
                <w:rFonts w:eastAsia="宋体"/>
                <w:color w:val="auto"/>
                <w:sz w:val="24"/>
                <w:szCs w:val="24"/>
                <w:highlight w:val="none"/>
              </w:rPr>
            </w:pPr>
          </w:p>
        </w:tc>
        <w:tc>
          <w:tcPr>
            <w:tcW w:w="1440" w:type="dxa"/>
          </w:tcPr>
          <w:p w14:paraId="5EBC6F47">
            <w:pPr>
              <w:adjustRightInd w:val="0"/>
              <w:snapToGrid w:val="0"/>
              <w:rPr>
                <w:rFonts w:eastAsia="宋体"/>
                <w:color w:val="auto"/>
                <w:sz w:val="24"/>
                <w:szCs w:val="24"/>
                <w:highlight w:val="none"/>
              </w:rPr>
            </w:pPr>
          </w:p>
        </w:tc>
      </w:tr>
      <w:tr w14:paraId="7F64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8820" w:type="dxa"/>
            <w:gridSpan w:val="11"/>
          </w:tcPr>
          <w:p w14:paraId="169110EC">
            <w:pPr>
              <w:adjustRightInd w:val="0"/>
              <w:snapToGrid w:val="0"/>
              <w:rPr>
                <w:rFonts w:eastAsia="宋体"/>
                <w:color w:val="auto"/>
                <w:sz w:val="24"/>
                <w:szCs w:val="24"/>
                <w:highlight w:val="none"/>
              </w:rPr>
            </w:pPr>
            <w:r>
              <w:rPr>
                <w:rFonts w:eastAsia="宋体"/>
                <w:color w:val="auto"/>
                <w:sz w:val="24"/>
                <w:szCs w:val="24"/>
                <w:highlight w:val="none"/>
              </w:rPr>
              <w:t>已完成同类项目情况</w:t>
            </w:r>
          </w:p>
        </w:tc>
      </w:tr>
      <w:tr w14:paraId="63AD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98" w:type="dxa"/>
            <w:gridSpan w:val="2"/>
          </w:tcPr>
          <w:p w14:paraId="39CF7542">
            <w:pPr>
              <w:adjustRightInd w:val="0"/>
              <w:snapToGrid w:val="0"/>
              <w:rPr>
                <w:rFonts w:eastAsia="宋体"/>
                <w:color w:val="auto"/>
                <w:sz w:val="24"/>
                <w:szCs w:val="24"/>
                <w:highlight w:val="none"/>
              </w:rPr>
            </w:pPr>
            <w:r>
              <w:rPr>
                <w:rFonts w:eastAsia="宋体"/>
                <w:color w:val="auto"/>
                <w:sz w:val="24"/>
                <w:szCs w:val="24"/>
                <w:highlight w:val="none"/>
              </w:rPr>
              <w:t>业主单位</w:t>
            </w:r>
          </w:p>
        </w:tc>
        <w:tc>
          <w:tcPr>
            <w:tcW w:w="1843" w:type="dxa"/>
            <w:gridSpan w:val="3"/>
            <w:tcBorders>
              <w:top w:val="nil"/>
            </w:tcBorders>
          </w:tcPr>
          <w:p w14:paraId="1E318054">
            <w:pPr>
              <w:adjustRightInd w:val="0"/>
              <w:snapToGrid w:val="0"/>
              <w:rPr>
                <w:rFonts w:eastAsia="宋体"/>
                <w:color w:val="auto"/>
                <w:sz w:val="24"/>
                <w:szCs w:val="24"/>
                <w:highlight w:val="none"/>
              </w:rPr>
            </w:pPr>
            <w:r>
              <w:rPr>
                <w:rFonts w:eastAsia="宋体"/>
                <w:color w:val="auto"/>
                <w:sz w:val="24"/>
                <w:szCs w:val="24"/>
                <w:highlight w:val="none"/>
              </w:rPr>
              <w:t>同类项目名称</w:t>
            </w:r>
          </w:p>
        </w:tc>
        <w:tc>
          <w:tcPr>
            <w:tcW w:w="1275" w:type="dxa"/>
            <w:tcBorders>
              <w:top w:val="nil"/>
            </w:tcBorders>
          </w:tcPr>
          <w:p w14:paraId="6548FFAD">
            <w:pPr>
              <w:adjustRightInd w:val="0"/>
              <w:snapToGrid w:val="0"/>
              <w:rPr>
                <w:rFonts w:eastAsia="宋体"/>
                <w:color w:val="auto"/>
                <w:sz w:val="24"/>
                <w:szCs w:val="24"/>
                <w:highlight w:val="none"/>
              </w:rPr>
            </w:pPr>
            <w:r>
              <w:rPr>
                <w:rFonts w:eastAsia="宋体"/>
                <w:color w:val="auto"/>
                <w:sz w:val="24"/>
                <w:szCs w:val="24"/>
                <w:highlight w:val="none"/>
              </w:rPr>
              <w:t>规模</w:t>
            </w:r>
          </w:p>
        </w:tc>
        <w:tc>
          <w:tcPr>
            <w:tcW w:w="1134" w:type="dxa"/>
            <w:gridSpan w:val="2"/>
            <w:tcBorders>
              <w:top w:val="nil"/>
            </w:tcBorders>
          </w:tcPr>
          <w:p w14:paraId="6F4AF92B">
            <w:pPr>
              <w:adjustRightInd w:val="0"/>
              <w:snapToGrid w:val="0"/>
              <w:rPr>
                <w:rFonts w:eastAsia="宋体"/>
                <w:color w:val="auto"/>
                <w:sz w:val="24"/>
                <w:szCs w:val="24"/>
                <w:highlight w:val="none"/>
              </w:rPr>
            </w:pPr>
            <w:r>
              <w:rPr>
                <w:rFonts w:eastAsia="宋体"/>
                <w:color w:val="auto"/>
                <w:sz w:val="24"/>
                <w:szCs w:val="24"/>
                <w:highlight w:val="none"/>
              </w:rPr>
              <w:t>金额</w:t>
            </w:r>
          </w:p>
        </w:tc>
        <w:tc>
          <w:tcPr>
            <w:tcW w:w="1418" w:type="dxa"/>
            <w:tcBorders>
              <w:top w:val="nil"/>
            </w:tcBorders>
          </w:tcPr>
          <w:p w14:paraId="6FC9D9C6">
            <w:pPr>
              <w:adjustRightInd w:val="0"/>
              <w:snapToGrid w:val="0"/>
              <w:rPr>
                <w:rFonts w:eastAsia="宋体"/>
                <w:color w:val="auto"/>
                <w:sz w:val="24"/>
                <w:szCs w:val="24"/>
                <w:highlight w:val="none"/>
              </w:rPr>
            </w:pPr>
            <w:r>
              <w:rPr>
                <w:rFonts w:eastAsia="宋体"/>
                <w:color w:val="auto"/>
                <w:sz w:val="24"/>
                <w:szCs w:val="24"/>
                <w:highlight w:val="none"/>
              </w:rPr>
              <w:t>完成时间</w:t>
            </w:r>
          </w:p>
        </w:tc>
        <w:tc>
          <w:tcPr>
            <w:tcW w:w="1552" w:type="dxa"/>
            <w:gridSpan w:val="2"/>
            <w:tcBorders>
              <w:top w:val="nil"/>
            </w:tcBorders>
          </w:tcPr>
          <w:p w14:paraId="5BED9FED">
            <w:pPr>
              <w:adjustRightInd w:val="0"/>
              <w:snapToGrid w:val="0"/>
              <w:rPr>
                <w:rFonts w:eastAsia="宋体"/>
                <w:color w:val="auto"/>
                <w:sz w:val="24"/>
                <w:szCs w:val="24"/>
                <w:highlight w:val="none"/>
              </w:rPr>
            </w:pPr>
            <w:r>
              <w:rPr>
                <w:rFonts w:eastAsia="宋体"/>
                <w:color w:val="auto"/>
                <w:sz w:val="24"/>
                <w:szCs w:val="24"/>
                <w:highlight w:val="none"/>
              </w:rPr>
              <w:t>证明人</w:t>
            </w:r>
          </w:p>
        </w:tc>
      </w:tr>
      <w:tr w14:paraId="75A7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457EE694">
            <w:pPr>
              <w:adjustRightInd w:val="0"/>
              <w:snapToGrid w:val="0"/>
              <w:rPr>
                <w:rFonts w:eastAsia="宋体"/>
                <w:color w:val="auto"/>
                <w:sz w:val="24"/>
                <w:szCs w:val="24"/>
                <w:highlight w:val="none"/>
              </w:rPr>
            </w:pPr>
          </w:p>
        </w:tc>
        <w:tc>
          <w:tcPr>
            <w:tcW w:w="1843" w:type="dxa"/>
            <w:gridSpan w:val="3"/>
          </w:tcPr>
          <w:p w14:paraId="08E04798">
            <w:pPr>
              <w:adjustRightInd w:val="0"/>
              <w:snapToGrid w:val="0"/>
              <w:rPr>
                <w:rFonts w:eastAsia="宋体"/>
                <w:color w:val="auto"/>
                <w:sz w:val="24"/>
                <w:szCs w:val="24"/>
                <w:highlight w:val="none"/>
              </w:rPr>
            </w:pPr>
          </w:p>
        </w:tc>
        <w:tc>
          <w:tcPr>
            <w:tcW w:w="1275" w:type="dxa"/>
          </w:tcPr>
          <w:p w14:paraId="44F3B936">
            <w:pPr>
              <w:adjustRightInd w:val="0"/>
              <w:snapToGrid w:val="0"/>
              <w:rPr>
                <w:rFonts w:eastAsia="宋体"/>
                <w:color w:val="auto"/>
                <w:sz w:val="24"/>
                <w:szCs w:val="24"/>
                <w:highlight w:val="none"/>
              </w:rPr>
            </w:pPr>
          </w:p>
        </w:tc>
        <w:tc>
          <w:tcPr>
            <w:tcW w:w="1134" w:type="dxa"/>
            <w:gridSpan w:val="2"/>
          </w:tcPr>
          <w:p w14:paraId="202C944F">
            <w:pPr>
              <w:adjustRightInd w:val="0"/>
              <w:snapToGrid w:val="0"/>
              <w:rPr>
                <w:rFonts w:eastAsia="宋体"/>
                <w:color w:val="auto"/>
                <w:sz w:val="24"/>
                <w:szCs w:val="24"/>
                <w:highlight w:val="none"/>
              </w:rPr>
            </w:pPr>
          </w:p>
        </w:tc>
        <w:tc>
          <w:tcPr>
            <w:tcW w:w="1418" w:type="dxa"/>
          </w:tcPr>
          <w:p w14:paraId="3320EBCD">
            <w:pPr>
              <w:adjustRightInd w:val="0"/>
              <w:snapToGrid w:val="0"/>
              <w:rPr>
                <w:rFonts w:eastAsia="宋体"/>
                <w:color w:val="auto"/>
                <w:sz w:val="24"/>
                <w:szCs w:val="24"/>
                <w:highlight w:val="none"/>
              </w:rPr>
            </w:pPr>
          </w:p>
        </w:tc>
        <w:tc>
          <w:tcPr>
            <w:tcW w:w="1552" w:type="dxa"/>
            <w:gridSpan w:val="2"/>
          </w:tcPr>
          <w:p w14:paraId="0AE6BA05">
            <w:pPr>
              <w:adjustRightInd w:val="0"/>
              <w:snapToGrid w:val="0"/>
              <w:rPr>
                <w:rFonts w:eastAsia="宋体"/>
                <w:color w:val="auto"/>
                <w:sz w:val="24"/>
                <w:szCs w:val="24"/>
                <w:highlight w:val="none"/>
              </w:rPr>
            </w:pPr>
          </w:p>
        </w:tc>
      </w:tr>
      <w:tr w14:paraId="1304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65D29FFD">
            <w:pPr>
              <w:adjustRightInd w:val="0"/>
              <w:snapToGrid w:val="0"/>
              <w:rPr>
                <w:rFonts w:eastAsia="宋体"/>
                <w:color w:val="auto"/>
                <w:sz w:val="24"/>
                <w:szCs w:val="24"/>
                <w:highlight w:val="none"/>
              </w:rPr>
            </w:pPr>
          </w:p>
        </w:tc>
        <w:tc>
          <w:tcPr>
            <w:tcW w:w="1843" w:type="dxa"/>
            <w:gridSpan w:val="3"/>
          </w:tcPr>
          <w:p w14:paraId="7A1EF939">
            <w:pPr>
              <w:adjustRightInd w:val="0"/>
              <w:snapToGrid w:val="0"/>
              <w:rPr>
                <w:rFonts w:eastAsia="宋体"/>
                <w:color w:val="auto"/>
                <w:sz w:val="24"/>
                <w:szCs w:val="24"/>
                <w:highlight w:val="none"/>
              </w:rPr>
            </w:pPr>
          </w:p>
        </w:tc>
        <w:tc>
          <w:tcPr>
            <w:tcW w:w="1275" w:type="dxa"/>
          </w:tcPr>
          <w:p w14:paraId="563509A0">
            <w:pPr>
              <w:adjustRightInd w:val="0"/>
              <w:snapToGrid w:val="0"/>
              <w:rPr>
                <w:rFonts w:eastAsia="宋体"/>
                <w:color w:val="auto"/>
                <w:sz w:val="24"/>
                <w:szCs w:val="24"/>
                <w:highlight w:val="none"/>
              </w:rPr>
            </w:pPr>
          </w:p>
        </w:tc>
        <w:tc>
          <w:tcPr>
            <w:tcW w:w="1134" w:type="dxa"/>
            <w:gridSpan w:val="2"/>
          </w:tcPr>
          <w:p w14:paraId="56FB1999">
            <w:pPr>
              <w:adjustRightInd w:val="0"/>
              <w:snapToGrid w:val="0"/>
              <w:rPr>
                <w:rFonts w:eastAsia="宋体"/>
                <w:color w:val="auto"/>
                <w:sz w:val="24"/>
                <w:szCs w:val="24"/>
                <w:highlight w:val="none"/>
              </w:rPr>
            </w:pPr>
          </w:p>
        </w:tc>
        <w:tc>
          <w:tcPr>
            <w:tcW w:w="1418" w:type="dxa"/>
          </w:tcPr>
          <w:p w14:paraId="3ED13096">
            <w:pPr>
              <w:adjustRightInd w:val="0"/>
              <w:snapToGrid w:val="0"/>
              <w:rPr>
                <w:rFonts w:eastAsia="宋体"/>
                <w:color w:val="auto"/>
                <w:sz w:val="24"/>
                <w:szCs w:val="24"/>
                <w:highlight w:val="none"/>
              </w:rPr>
            </w:pPr>
          </w:p>
        </w:tc>
        <w:tc>
          <w:tcPr>
            <w:tcW w:w="1552" w:type="dxa"/>
            <w:gridSpan w:val="2"/>
          </w:tcPr>
          <w:p w14:paraId="5315F562">
            <w:pPr>
              <w:adjustRightInd w:val="0"/>
              <w:snapToGrid w:val="0"/>
              <w:rPr>
                <w:rFonts w:eastAsia="宋体"/>
                <w:color w:val="auto"/>
                <w:sz w:val="24"/>
                <w:szCs w:val="24"/>
                <w:highlight w:val="none"/>
              </w:rPr>
            </w:pPr>
          </w:p>
        </w:tc>
      </w:tr>
      <w:tr w14:paraId="13D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043A2FBB">
            <w:pPr>
              <w:adjustRightInd w:val="0"/>
              <w:snapToGrid w:val="0"/>
              <w:rPr>
                <w:rFonts w:eastAsia="宋体"/>
                <w:color w:val="auto"/>
                <w:sz w:val="24"/>
                <w:szCs w:val="24"/>
                <w:highlight w:val="none"/>
              </w:rPr>
            </w:pPr>
          </w:p>
        </w:tc>
        <w:tc>
          <w:tcPr>
            <w:tcW w:w="1843" w:type="dxa"/>
            <w:gridSpan w:val="3"/>
          </w:tcPr>
          <w:p w14:paraId="526C60B8">
            <w:pPr>
              <w:adjustRightInd w:val="0"/>
              <w:snapToGrid w:val="0"/>
              <w:rPr>
                <w:rFonts w:eastAsia="宋体"/>
                <w:color w:val="auto"/>
                <w:sz w:val="24"/>
                <w:szCs w:val="24"/>
                <w:highlight w:val="none"/>
              </w:rPr>
            </w:pPr>
          </w:p>
        </w:tc>
        <w:tc>
          <w:tcPr>
            <w:tcW w:w="1275" w:type="dxa"/>
          </w:tcPr>
          <w:p w14:paraId="745C6325">
            <w:pPr>
              <w:adjustRightInd w:val="0"/>
              <w:snapToGrid w:val="0"/>
              <w:rPr>
                <w:rFonts w:eastAsia="宋体"/>
                <w:color w:val="auto"/>
                <w:sz w:val="24"/>
                <w:szCs w:val="24"/>
                <w:highlight w:val="none"/>
              </w:rPr>
            </w:pPr>
          </w:p>
        </w:tc>
        <w:tc>
          <w:tcPr>
            <w:tcW w:w="1134" w:type="dxa"/>
            <w:gridSpan w:val="2"/>
          </w:tcPr>
          <w:p w14:paraId="78FB25C7">
            <w:pPr>
              <w:adjustRightInd w:val="0"/>
              <w:snapToGrid w:val="0"/>
              <w:rPr>
                <w:rFonts w:eastAsia="宋体"/>
                <w:color w:val="auto"/>
                <w:sz w:val="24"/>
                <w:szCs w:val="24"/>
                <w:highlight w:val="none"/>
              </w:rPr>
            </w:pPr>
          </w:p>
        </w:tc>
        <w:tc>
          <w:tcPr>
            <w:tcW w:w="1418" w:type="dxa"/>
          </w:tcPr>
          <w:p w14:paraId="54CD9074">
            <w:pPr>
              <w:adjustRightInd w:val="0"/>
              <w:snapToGrid w:val="0"/>
              <w:rPr>
                <w:rFonts w:eastAsia="宋体"/>
                <w:color w:val="auto"/>
                <w:sz w:val="24"/>
                <w:szCs w:val="24"/>
                <w:highlight w:val="none"/>
              </w:rPr>
            </w:pPr>
          </w:p>
        </w:tc>
        <w:tc>
          <w:tcPr>
            <w:tcW w:w="1552" w:type="dxa"/>
            <w:gridSpan w:val="2"/>
          </w:tcPr>
          <w:p w14:paraId="6DD8A739">
            <w:pPr>
              <w:adjustRightInd w:val="0"/>
              <w:snapToGrid w:val="0"/>
              <w:rPr>
                <w:rFonts w:eastAsia="宋体"/>
                <w:color w:val="auto"/>
                <w:sz w:val="24"/>
                <w:szCs w:val="24"/>
                <w:highlight w:val="none"/>
              </w:rPr>
            </w:pPr>
          </w:p>
        </w:tc>
      </w:tr>
    </w:tbl>
    <w:p w14:paraId="3F92DA84">
      <w:pPr>
        <w:adjustRightInd w:val="0"/>
        <w:snapToGrid w:val="0"/>
        <w:rPr>
          <w:rFonts w:eastAsia="宋体"/>
          <w:b/>
          <w:color w:val="auto"/>
          <w:sz w:val="24"/>
          <w:szCs w:val="24"/>
          <w:highlight w:val="none"/>
        </w:rPr>
      </w:pPr>
    </w:p>
    <w:p w14:paraId="71A033BC">
      <w:pPr>
        <w:adjustRightInd w:val="0"/>
        <w:snapToGrid w:val="0"/>
        <w:jc w:val="center"/>
        <w:rPr>
          <w:rFonts w:eastAsia="宋体"/>
          <w:b/>
          <w:color w:val="auto"/>
          <w:sz w:val="24"/>
          <w:szCs w:val="24"/>
          <w:highlight w:val="none"/>
        </w:rPr>
      </w:pPr>
    </w:p>
    <w:p w14:paraId="38AD51DC">
      <w:pPr>
        <w:adjustRightInd w:val="0"/>
        <w:snapToGrid w:val="0"/>
        <w:jc w:val="center"/>
        <w:rPr>
          <w:rFonts w:eastAsia="宋体"/>
          <w:b/>
          <w:color w:val="auto"/>
          <w:sz w:val="24"/>
          <w:szCs w:val="24"/>
          <w:highlight w:val="none"/>
        </w:rPr>
      </w:pPr>
      <w:r>
        <w:rPr>
          <w:rFonts w:eastAsia="宋体"/>
          <w:b/>
          <w:color w:val="auto"/>
          <w:sz w:val="24"/>
          <w:szCs w:val="24"/>
          <w:highlight w:val="none"/>
        </w:rPr>
        <w:t>4.拟投入本项目的相关人员简历表</w:t>
      </w:r>
      <w:bookmarkEnd w:id="81"/>
      <w:bookmarkEnd w:id="82"/>
      <w:bookmarkEnd w:id="83"/>
    </w:p>
    <w:p w14:paraId="15CCA40C">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采购编号：</w:t>
      </w:r>
      <w:r>
        <w:rPr>
          <w:rFonts w:eastAsia="宋体"/>
          <w:b/>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5"/>
        <w:gridCol w:w="1065"/>
        <w:gridCol w:w="615"/>
        <w:gridCol w:w="330"/>
        <w:gridCol w:w="945"/>
        <w:gridCol w:w="1035"/>
        <w:gridCol w:w="315"/>
        <w:gridCol w:w="2340"/>
      </w:tblGrid>
      <w:tr w14:paraId="1C18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160" w:type="dxa"/>
            <w:vAlign w:val="center"/>
          </w:tcPr>
          <w:p w14:paraId="410F0479">
            <w:pPr>
              <w:adjustRightInd w:val="0"/>
              <w:snapToGrid w:val="0"/>
              <w:rPr>
                <w:rFonts w:eastAsia="宋体"/>
                <w:color w:val="auto"/>
                <w:sz w:val="24"/>
                <w:szCs w:val="24"/>
                <w:highlight w:val="none"/>
              </w:rPr>
            </w:pPr>
            <w:r>
              <w:rPr>
                <w:rFonts w:eastAsia="宋体"/>
                <w:color w:val="auto"/>
                <w:sz w:val="24"/>
                <w:szCs w:val="24"/>
                <w:highlight w:val="none"/>
              </w:rPr>
              <w:t>姓  名</w:t>
            </w:r>
          </w:p>
        </w:tc>
        <w:tc>
          <w:tcPr>
            <w:tcW w:w="1080" w:type="dxa"/>
            <w:gridSpan w:val="2"/>
            <w:vAlign w:val="center"/>
          </w:tcPr>
          <w:p w14:paraId="73D5CA31">
            <w:pPr>
              <w:adjustRightInd w:val="0"/>
              <w:snapToGrid w:val="0"/>
              <w:rPr>
                <w:rFonts w:eastAsia="宋体"/>
                <w:color w:val="auto"/>
                <w:sz w:val="24"/>
                <w:szCs w:val="24"/>
                <w:highlight w:val="none"/>
              </w:rPr>
            </w:pPr>
          </w:p>
        </w:tc>
        <w:tc>
          <w:tcPr>
            <w:tcW w:w="945" w:type="dxa"/>
            <w:gridSpan w:val="2"/>
            <w:vAlign w:val="center"/>
          </w:tcPr>
          <w:p w14:paraId="53D53835">
            <w:pPr>
              <w:adjustRightInd w:val="0"/>
              <w:snapToGrid w:val="0"/>
              <w:rPr>
                <w:rFonts w:eastAsia="宋体"/>
                <w:color w:val="auto"/>
                <w:sz w:val="24"/>
                <w:szCs w:val="24"/>
                <w:highlight w:val="none"/>
              </w:rPr>
            </w:pPr>
            <w:r>
              <w:rPr>
                <w:rFonts w:eastAsia="宋体"/>
                <w:color w:val="auto"/>
                <w:sz w:val="24"/>
                <w:szCs w:val="24"/>
                <w:highlight w:val="none"/>
              </w:rPr>
              <w:t>性 别</w:t>
            </w:r>
          </w:p>
        </w:tc>
        <w:tc>
          <w:tcPr>
            <w:tcW w:w="945" w:type="dxa"/>
            <w:vAlign w:val="center"/>
          </w:tcPr>
          <w:p w14:paraId="0BC8C7F1">
            <w:pPr>
              <w:adjustRightInd w:val="0"/>
              <w:snapToGrid w:val="0"/>
              <w:rPr>
                <w:rFonts w:eastAsia="宋体"/>
                <w:color w:val="auto"/>
                <w:sz w:val="24"/>
                <w:szCs w:val="24"/>
                <w:highlight w:val="none"/>
              </w:rPr>
            </w:pPr>
          </w:p>
        </w:tc>
        <w:tc>
          <w:tcPr>
            <w:tcW w:w="1350" w:type="dxa"/>
            <w:gridSpan w:val="2"/>
            <w:vAlign w:val="center"/>
          </w:tcPr>
          <w:p w14:paraId="22EEAD73">
            <w:pPr>
              <w:adjustRightInd w:val="0"/>
              <w:snapToGrid w:val="0"/>
              <w:rPr>
                <w:rFonts w:eastAsia="宋体"/>
                <w:color w:val="auto"/>
                <w:sz w:val="24"/>
                <w:szCs w:val="24"/>
                <w:highlight w:val="none"/>
              </w:rPr>
            </w:pPr>
            <w:r>
              <w:rPr>
                <w:rFonts w:eastAsia="宋体"/>
                <w:color w:val="auto"/>
                <w:sz w:val="24"/>
                <w:szCs w:val="24"/>
                <w:highlight w:val="none"/>
              </w:rPr>
              <w:t>出生日期</w:t>
            </w:r>
          </w:p>
        </w:tc>
        <w:tc>
          <w:tcPr>
            <w:tcW w:w="2340" w:type="dxa"/>
            <w:vAlign w:val="center"/>
          </w:tcPr>
          <w:p w14:paraId="6981D5F1">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086F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2160" w:type="dxa"/>
            <w:vAlign w:val="center"/>
          </w:tcPr>
          <w:p w14:paraId="28F2AF8F">
            <w:pPr>
              <w:adjustRightInd w:val="0"/>
              <w:snapToGrid w:val="0"/>
              <w:jc w:val="left"/>
              <w:rPr>
                <w:rFonts w:eastAsia="宋体"/>
                <w:color w:val="auto"/>
                <w:sz w:val="24"/>
                <w:szCs w:val="24"/>
                <w:highlight w:val="none"/>
              </w:rPr>
            </w:pPr>
            <w:r>
              <w:rPr>
                <w:rFonts w:eastAsia="宋体"/>
                <w:color w:val="auto"/>
                <w:sz w:val="24"/>
                <w:szCs w:val="24"/>
                <w:highlight w:val="none"/>
              </w:rPr>
              <w:t>毕业院校</w:t>
            </w:r>
          </w:p>
        </w:tc>
        <w:tc>
          <w:tcPr>
            <w:tcW w:w="2970" w:type="dxa"/>
            <w:gridSpan w:val="5"/>
            <w:vAlign w:val="center"/>
          </w:tcPr>
          <w:p w14:paraId="1A4E216F">
            <w:pPr>
              <w:adjustRightInd w:val="0"/>
              <w:snapToGrid w:val="0"/>
              <w:rPr>
                <w:rFonts w:eastAsia="宋体"/>
                <w:color w:val="auto"/>
                <w:sz w:val="24"/>
                <w:szCs w:val="24"/>
                <w:highlight w:val="none"/>
              </w:rPr>
            </w:pPr>
          </w:p>
        </w:tc>
        <w:tc>
          <w:tcPr>
            <w:tcW w:w="1350" w:type="dxa"/>
            <w:gridSpan w:val="2"/>
            <w:vAlign w:val="center"/>
          </w:tcPr>
          <w:p w14:paraId="611A69E7">
            <w:pPr>
              <w:adjustRightInd w:val="0"/>
              <w:snapToGrid w:val="0"/>
              <w:rPr>
                <w:rFonts w:eastAsia="宋体"/>
                <w:color w:val="auto"/>
                <w:sz w:val="24"/>
                <w:szCs w:val="24"/>
                <w:highlight w:val="none"/>
              </w:rPr>
            </w:pPr>
            <w:r>
              <w:rPr>
                <w:rFonts w:eastAsia="宋体"/>
                <w:color w:val="auto"/>
                <w:sz w:val="24"/>
                <w:szCs w:val="24"/>
                <w:highlight w:val="none"/>
              </w:rPr>
              <w:t>毕业时间</w:t>
            </w:r>
          </w:p>
        </w:tc>
        <w:tc>
          <w:tcPr>
            <w:tcW w:w="2340" w:type="dxa"/>
            <w:vAlign w:val="center"/>
          </w:tcPr>
          <w:p w14:paraId="6F7F7657">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5779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60" w:type="dxa"/>
            <w:vAlign w:val="center"/>
          </w:tcPr>
          <w:p w14:paraId="62603332">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695" w:type="dxa"/>
            <w:gridSpan w:val="3"/>
            <w:vAlign w:val="center"/>
          </w:tcPr>
          <w:p w14:paraId="0ADB3F87">
            <w:pPr>
              <w:adjustRightInd w:val="0"/>
              <w:snapToGrid w:val="0"/>
              <w:rPr>
                <w:rFonts w:eastAsia="宋体"/>
                <w:color w:val="auto"/>
                <w:sz w:val="24"/>
                <w:szCs w:val="24"/>
                <w:highlight w:val="none"/>
              </w:rPr>
            </w:pPr>
          </w:p>
        </w:tc>
        <w:tc>
          <w:tcPr>
            <w:tcW w:w="2625" w:type="dxa"/>
            <w:gridSpan w:val="4"/>
            <w:vAlign w:val="center"/>
          </w:tcPr>
          <w:p w14:paraId="0230CFF1">
            <w:pPr>
              <w:adjustRightInd w:val="0"/>
              <w:snapToGrid w:val="0"/>
              <w:rPr>
                <w:rFonts w:eastAsia="宋体"/>
                <w:color w:val="auto"/>
                <w:sz w:val="24"/>
                <w:szCs w:val="24"/>
                <w:highlight w:val="none"/>
              </w:rPr>
            </w:pPr>
            <w:r>
              <w:rPr>
                <w:rFonts w:eastAsia="宋体"/>
                <w:color w:val="auto"/>
                <w:sz w:val="24"/>
                <w:szCs w:val="24"/>
                <w:highlight w:val="none"/>
              </w:rPr>
              <w:t>从事本专业时间</w:t>
            </w:r>
          </w:p>
        </w:tc>
        <w:tc>
          <w:tcPr>
            <w:tcW w:w="2340" w:type="dxa"/>
            <w:vAlign w:val="center"/>
          </w:tcPr>
          <w:p w14:paraId="2B06F8F5">
            <w:pPr>
              <w:adjustRightInd w:val="0"/>
              <w:snapToGrid w:val="0"/>
              <w:rPr>
                <w:rFonts w:eastAsia="宋体"/>
                <w:color w:val="auto"/>
                <w:sz w:val="24"/>
                <w:szCs w:val="24"/>
                <w:highlight w:val="none"/>
              </w:rPr>
            </w:pPr>
          </w:p>
        </w:tc>
      </w:tr>
      <w:tr w14:paraId="0F29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3B27CB1C">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695" w:type="dxa"/>
            <w:gridSpan w:val="3"/>
            <w:vAlign w:val="center"/>
          </w:tcPr>
          <w:p w14:paraId="1A87DAC7">
            <w:pPr>
              <w:adjustRightInd w:val="0"/>
              <w:snapToGrid w:val="0"/>
              <w:rPr>
                <w:rFonts w:eastAsia="宋体"/>
                <w:color w:val="auto"/>
                <w:sz w:val="24"/>
                <w:szCs w:val="24"/>
                <w:highlight w:val="none"/>
              </w:rPr>
            </w:pPr>
          </w:p>
        </w:tc>
        <w:tc>
          <w:tcPr>
            <w:tcW w:w="2625" w:type="dxa"/>
            <w:gridSpan w:val="4"/>
            <w:vAlign w:val="center"/>
          </w:tcPr>
          <w:p w14:paraId="0086F43A">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2340" w:type="dxa"/>
            <w:vAlign w:val="center"/>
          </w:tcPr>
          <w:p w14:paraId="6F3A9E83">
            <w:pPr>
              <w:adjustRightInd w:val="0"/>
              <w:snapToGrid w:val="0"/>
              <w:rPr>
                <w:rFonts w:eastAsia="宋体"/>
                <w:color w:val="auto"/>
                <w:sz w:val="24"/>
                <w:szCs w:val="24"/>
                <w:highlight w:val="none"/>
              </w:rPr>
            </w:pPr>
          </w:p>
        </w:tc>
      </w:tr>
      <w:tr w14:paraId="774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20EC1899">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6660" w:type="dxa"/>
            <w:gridSpan w:val="8"/>
            <w:vAlign w:val="center"/>
          </w:tcPr>
          <w:p w14:paraId="2F806F2A">
            <w:pPr>
              <w:adjustRightInd w:val="0"/>
              <w:snapToGrid w:val="0"/>
              <w:rPr>
                <w:rFonts w:eastAsia="宋体"/>
                <w:color w:val="auto"/>
                <w:sz w:val="24"/>
                <w:szCs w:val="24"/>
                <w:highlight w:val="none"/>
              </w:rPr>
            </w:pPr>
          </w:p>
        </w:tc>
      </w:tr>
      <w:tr w14:paraId="08B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820" w:type="dxa"/>
            <w:gridSpan w:val="9"/>
            <w:vAlign w:val="center"/>
          </w:tcPr>
          <w:p w14:paraId="451F6B37">
            <w:pPr>
              <w:adjustRightInd w:val="0"/>
              <w:snapToGrid w:val="0"/>
              <w:rPr>
                <w:rFonts w:eastAsia="宋体"/>
                <w:color w:val="auto"/>
                <w:sz w:val="24"/>
                <w:szCs w:val="24"/>
                <w:highlight w:val="none"/>
              </w:rPr>
            </w:pPr>
            <w:r>
              <w:rPr>
                <w:rFonts w:eastAsia="宋体"/>
                <w:color w:val="auto"/>
                <w:sz w:val="24"/>
                <w:szCs w:val="24"/>
                <w:highlight w:val="none"/>
              </w:rPr>
              <w:t xml:space="preserve">                          主  要  经  历</w:t>
            </w:r>
          </w:p>
        </w:tc>
      </w:tr>
      <w:tr w14:paraId="3CF7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175" w:type="dxa"/>
            <w:gridSpan w:val="2"/>
            <w:vAlign w:val="center"/>
          </w:tcPr>
          <w:p w14:paraId="53B2C3BC">
            <w:pPr>
              <w:adjustRightInd w:val="0"/>
              <w:snapToGrid w:val="0"/>
              <w:rPr>
                <w:rFonts w:eastAsia="宋体"/>
                <w:color w:val="auto"/>
                <w:sz w:val="24"/>
                <w:szCs w:val="24"/>
                <w:highlight w:val="none"/>
              </w:rPr>
            </w:pPr>
            <w:r>
              <w:rPr>
                <w:rFonts w:eastAsia="宋体"/>
                <w:color w:val="auto"/>
                <w:sz w:val="24"/>
                <w:szCs w:val="24"/>
                <w:highlight w:val="none"/>
              </w:rPr>
              <w:t>时   间</w:t>
            </w:r>
          </w:p>
        </w:tc>
        <w:tc>
          <w:tcPr>
            <w:tcW w:w="3990" w:type="dxa"/>
            <w:gridSpan w:val="5"/>
            <w:vAlign w:val="center"/>
          </w:tcPr>
          <w:p w14:paraId="0F6A8D5E">
            <w:pPr>
              <w:adjustRightInd w:val="0"/>
              <w:snapToGrid w:val="0"/>
              <w:rPr>
                <w:rFonts w:eastAsia="宋体"/>
                <w:color w:val="auto"/>
                <w:sz w:val="24"/>
                <w:szCs w:val="24"/>
                <w:highlight w:val="none"/>
              </w:rPr>
            </w:pPr>
            <w:r>
              <w:rPr>
                <w:rFonts w:eastAsia="宋体"/>
                <w:color w:val="auto"/>
                <w:sz w:val="24"/>
                <w:szCs w:val="24"/>
                <w:highlight w:val="none"/>
              </w:rPr>
              <w:t xml:space="preserve">    参加过的项目名称及规模</w:t>
            </w:r>
          </w:p>
        </w:tc>
        <w:tc>
          <w:tcPr>
            <w:tcW w:w="2655" w:type="dxa"/>
            <w:gridSpan w:val="2"/>
            <w:vAlign w:val="center"/>
          </w:tcPr>
          <w:p w14:paraId="0D894138">
            <w:pPr>
              <w:adjustRightInd w:val="0"/>
              <w:snapToGrid w:val="0"/>
              <w:rPr>
                <w:rFonts w:eastAsia="宋体"/>
                <w:color w:val="auto"/>
                <w:sz w:val="24"/>
                <w:szCs w:val="24"/>
                <w:highlight w:val="none"/>
              </w:rPr>
            </w:pPr>
            <w:r>
              <w:rPr>
                <w:rFonts w:eastAsia="宋体"/>
                <w:color w:val="auto"/>
                <w:sz w:val="24"/>
                <w:szCs w:val="24"/>
                <w:highlight w:val="none"/>
              </w:rPr>
              <w:t xml:space="preserve"> 该项目中任职</w:t>
            </w:r>
          </w:p>
        </w:tc>
      </w:tr>
      <w:tr w14:paraId="1252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175" w:type="dxa"/>
            <w:gridSpan w:val="2"/>
          </w:tcPr>
          <w:p w14:paraId="467C2369">
            <w:pPr>
              <w:adjustRightInd w:val="0"/>
              <w:snapToGrid w:val="0"/>
              <w:rPr>
                <w:rFonts w:eastAsia="宋体"/>
                <w:color w:val="auto"/>
                <w:sz w:val="24"/>
                <w:szCs w:val="24"/>
                <w:highlight w:val="none"/>
              </w:rPr>
            </w:pPr>
          </w:p>
        </w:tc>
        <w:tc>
          <w:tcPr>
            <w:tcW w:w="3990" w:type="dxa"/>
            <w:gridSpan w:val="5"/>
          </w:tcPr>
          <w:p w14:paraId="477905A2">
            <w:pPr>
              <w:adjustRightInd w:val="0"/>
              <w:snapToGrid w:val="0"/>
              <w:rPr>
                <w:rFonts w:eastAsia="宋体"/>
                <w:color w:val="auto"/>
                <w:sz w:val="24"/>
                <w:szCs w:val="24"/>
                <w:highlight w:val="none"/>
              </w:rPr>
            </w:pPr>
          </w:p>
        </w:tc>
        <w:tc>
          <w:tcPr>
            <w:tcW w:w="2655" w:type="dxa"/>
            <w:gridSpan w:val="2"/>
          </w:tcPr>
          <w:p w14:paraId="4423C89D">
            <w:pPr>
              <w:adjustRightInd w:val="0"/>
              <w:snapToGrid w:val="0"/>
              <w:rPr>
                <w:rFonts w:eastAsia="宋体"/>
                <w:color w:val="auto"/>
                <w:sz w:val="24"/>
                <w:szCs w:val="24"/>
                <w:highlight w:val="none"/>
              </w:rPr>
            </w:pPr>
          </w:p>
        </w:tc>
      </w:tr>
    </w:tbl>
    <w:p w14:paraId="5FC54BBB">
      <w:pPr>
        <w:adjustRightInd w:val="0"/>
        <w:snapToGrid w:val="0"/>
        <w:rPr>
          <w:rFonts w:eastAsia="宋体"/>
          <w:b/>
          <w:bCs/>
          <w:color w:val="auto"/>
          <w:sz w:val="24"/>
          <w:szCs w:val="24"/>
          <w:highlight w:val="none"/>
        </w:rPr>
      </w:pPr>
    </w:p>
    <w:p w14:paraId="3E86729B">
      <w:pPr>
        <w:adjustRightInd w:val="0"/>
        <w:snapToGrid w:val="0"/>
        <w:rPr>
          <w:rFonts w:eastAsia="宋体"/>
          <w:color w:val="auto"/>
          <w:sz w:val="24"/>
          <w:szCs w:val="24"/>
          <w:highlight w:val="none"/>
        </w:rPr>
      </w:pPr>
      <w:r>
        <w:rPr>
          <w:rFonts w:eastAsia="宋体"/>
          <w:b/>
          <w:bCs/>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9</w:t>
      </w:r>
      <w:r>
        <w:rPr>
          <w:rFonts w:eastAsia="宋体"/>
          <w:color w:val="auto"/>
          <w:sz w:val="24"/>
          <w:szCs w:val="24"/>
          <w:highlight w:val="none"/>
        </w:rPr>
        <w:t>：组织实施工作方案（施工组织设计或设计方案</w:t>
      </w:r>
      <w:r>
        <w:rPr>
          <w:rFonts w:hint="eastAsia" w:eastAsia="宋体"/>
          <w:color w:val="auto"/>
          <w:sz w:val="24"/>
          <w:szCs w:val="24"/>
          <w:highlight w:val="none"/>
        </w:rPr>
        <w:t>或实施方案</w:t>
      </w:r>
      <w:r>
        <w:rPr>
          <w:rFonts w:eastAsia="宋体"/>
          <w:color w:val="auto"/>
          <w:sz w:val="24"/>
          <w:szCs w:val="24"/>
          <w:highlight w:val="none"/>
        </w:rPr>
        <w:t>）</w:t>
      </w:r>
    </w:p>
    <w:p w14:paraId="6308882D">
      <w:pPr>
        <w:adjustRightInd w:val="0"/>
        <w:snapToGrid w:val="0"/>
        <w:rPr>
          <w:rFonts w:eastAsia="宋体"/>
          <w:color w:val="auto"/>
          <w:sz w:val="24"/>
          <w:szCs w:val="24"/>
          <w:highlight w:val="none"/>
        </w:rPr>
      </w:pPr>
      <w:r>
        <w:rPr>
          <w:rFonts w:eastAsia="宋体"/>
          <w:color w:val="auto"/>
          <w:sz w:val="24"/>
          <w:szCs w:val="24"/>
          <w:highlight w:val="none"/>
        </w:rPr>
        <w:t>（格式自拟）</w:t>
      </w:r>
    </w:p>
    <w:p w14:paraId="44FE2457">
      <w:pPr>
        <w:adjustRightInd w:val="0"/>
        <w:snapToGrid w:val="0"/>
        <w:spacing w:line="450" w:lineRule="exact"/>
        <w:ind w:right="-161"/>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0</w:t>
      </w:r>
      <w:r>
        <w:rPr>
          <w:rFonts w:eastAsia="宋体"/>
          <w:color w:val="auto"/>
          <w:sz w:val="24"/>
          <w:szCs w:val="24"/>
          <w:highlight w:val="none"/>
        </w:rPr>
        <w:t>：商务条款偏离表与技术条款偏离表；</w:t>
      </w:r>
    </w:p>
    <w:p w14:paraId="3E36B443">
      <w:pPr>
        <w:adjustRightInd w:val="0"/>
        <w:snapToGrid w:val="0"/>
        <w:jc w:val="center"/>
        <w:rPr>
          <w:rFonts w:eastAsia="宋体"/>
          <w:color w:val="auto"/>
          <w:sz w:val="24"/>
          <w:szCs w:val="24"/>
          <w:highlight w:val="none"/>
        </w:rPr>
      </w:pPr>
      <w:r>
        <w:rPr>
          <w:rFonts w:eastAsia="宋体"/>
          <w:color w:val="auto"/>
          <w:sz w:val="24"/>
          <w:szCs w:val="24"/>
          <w:highlight w:val="none"/>
        </w:rPr>
        <w:t>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52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DD54196">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16CFA245">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2C4C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CC334D9">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4A2B309E">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6CA5C271">
            <w:pPr>
              <w:adjustRightInd w:val="0"/>
              <w:snapToGrid w:val="0"/>
              <w:rPr>
                <w:rFonts w:eastAsia="宋体"/>
                <w:color w:val="auto"/>
                <w:sz w:val="24"/>
                <w:szCs w:val="24"/>
                <w:highlight w:val="none"/>
              </w:rPr>
            </w:pPr>
            <w:r>
              <w:rPr>
                <w:rFonts w:eastAsia="宋体"/>
                <w:color w:val="auto"/>
                <w:sz w:val="24"/>
                <w:szCs w:val="24"/>
                <w:highlight w:val="none"/>
              </w:rPr>
              <w:t>磋商文件要求的商务条款</w:t>
            </w:r>
          </w:p>
        </w:tc>
        <w:tc>
          <w:tcPr>
            <w:tcW w:w="3225" w:type="dxa"/>
            <w:gridSpan w:val="2"/>
            <w:vAlign w:val="center"/>
          </w:tcPr>
          <w:p w14:paraId="07C82116">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594B47AE">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653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A8FCE37">
            <w:pPr>
              <w:adjustRightInd w:val="0"/>
              <w:snapToGrid w:val="0"/>
              <w:rPr>
                <w:rFonts w:eastAsia="宋体"/>
                <w:color w:val="auto"/>
                <w:sz w:val="24"/>
                <w:szCs w:val="24"/>
                <w:highlight w:val="none"/>
              </w:rPr>
            </w:pPr>
          </w:p>
        </w:tc>
        <w:tc>
          <w:tcPr>
            <w:tcW w:w="1620" w:type="dxa"/>
            <w:vAlign w:val="center"/>
          </w:tcPr>
          <w:p w14:paraId="5222D82A">
            <w:pPr>
              <w:adjustRightInd w:val="0"/>
              <w:snapToGrid w:val="0"/>
              <w:rPr>
                <w:rFonts w:eastAsia="宋体"/>
                <w:color w:val="auto"/>
                <w:sz w:val="24"/>
                <w:szCs w:val="24"/>
                <w:highlight w:val="none"/>
              </w:rPr>
            </w:pPr>
          </w:p>
        </w:tc>
        <w:tc>
          <w:tcPr>
            <w:tcW w:w="2700" w:type="dxa"/>
            <w:vAlign w:val="center"/>
          </w:tcPr>
          <w:p w14:paraId="33866AB4">
            <w:pPr>
              <w:adjustRightInd w:val="0"/>
              <w:snapToGrid w:val="0"/>
              <w:rPr>
                <w:rFonts w:eastAsia="宋体"/>
                <w:color w:val="auto"/>
                <w:sz w:val="24"/>
                <w:szCs w:val="24"/>
                <w:highlight w:val="none"/>
              </w:rPr>
            </w:pPr>
          </w:p>
        </w:tc>
        <w:tc>
          <w:tcPr>
            <w:tcW w:w="3225" w:type="dxa"/>
            <w:gridSpan w:val="2"/>
            <w:vAlign w:val="center"/>
          </w:tcPr>
          <w:p w14:paraId="5718F05E">
            <w:pPr>
              <w:adjustRightInd w:val="0"/>
              <w:snapToGrid w:val="0"/>
              <w:rPr>
                <w:rFonts w:eastAsia="宋体"/>
                <w:color w:val="auto"/>
                <w:sz w:val="24"/>
                <w:szCs w:val="24"/>
                <w:highlight w:val="none"/>
              </w:rPr>
            </w:pPr>
          </w:p>
        </w:tc>
        <w:tc>
          <w:tcPr>
            <w:tcW w:w="1020" w:type="dxa"/>
            <w:vAlign w:val="center"/>
          </w:tcPr>
          <w:p w14:paraId="6FE0D611">
            <w:pPr>
              <w:adjustRightInd w:val="0"/>
              <w:snapToGrid w:val="0"/>
              <w:rPr>
                <w:rFonts w:eastAsia="宋体"/>
                <w:color w:val="auto"/>
                <w:sz w:val="24"/>
                <w:szCs w:val="24"/>
                <w:highlight w:val="none"/>
              </w:rPr>
            </w:pPr>
          </w:p>
        </w:tc>
      </w:tr>
      <w:tr w14:paraId="325C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D772CA1">
            <w:pPr>
              <w:adjustRightInd w:val="0"/>
              <w:snapToGrid w:val="0"/>
              <w:rPr>
                <w:rFonts w:eastAsia="宋体"/>
                <w:color w:val="auto"/>
                <w:sz w:val="24"/>
                <w:szCs w:val="24"/>
                <w:highlight w:val="none"/>
              </w:rPr>
            </w:pPr>
          </w:p>
        </w:tc>
        <w:tc>
          <w:tcPr>
            <w:tcW w:w="1620" w:type="dxa"/>
            <w:vAlign w:val="center"/>
          </w:tcPr>
          <w:p w14:paraId="6B255FCD">
            <w:pPr>
              <w:adjustRightInd w:val="0"/>
              <w:snapToGrid w:val="0"/>
              <w:rPr>
                <w:rFonts w:eastAsia="宋体"/>
                <w:color w:val="auto"/>
                <w:sz w:val="24"/>
                <w:szCs w:val="24"/>
                <w:highlight w:val="none"/>
              </w:rPr>
            </w:pPr>
          </w:p>
        </w:tc>
        <w:tc>
          <w:tcPr>
            <w:tcW w:w="2700" w:type="dxa"/>
            <w:vAlign w:val="center"/>
          </w:tcPr>
          <w:p w14:paraId="6BB8C842">
            <w:pPr>
              <w:adjustRightInd w:val="0"/>
              <w:snapToGrid w:val="0"/>
              <w:rPr>
                <w:rFonts w:eastAsia="宋体"/>
                <w:color w:val="auto"/>
                <w:sz w:val="24"/>
                <w:szCs w:val="24"/>
                <w:highlight w:val="none"/>
              </w:rPr>
            </w:pPr>
          </w:p>
        </w:tc>
        <w:tc>
          <w:tcPr>
            <w:tcW w:w="3225" w:type="dxa"/>
            <w:gridSpan w:val="2"/>
            <w:vAlign w:val="center"/>
          </w:tcPr>
          <w:p w14:paraId="326A9B3E">
            <w:pPr>
              <w:adjustRightInd w:val="0"/>
              <w:snapToGrid w:val="0"/>
              <w:rPr>
                <w:rFonts w:eastAsia="宋体"/>
                <w:color w:val="auto"/>
                <w:sz w:val="24"/>
                <w:szCs w:val="24"/>
                <w:highlight w:val="none"/>
              </w:rPr>
            </w:pPr>
          </w:p>
        </w:tc>
        <w:tc>
          <w:tcPr>
            <w:tcW w:w="1020" w:type="dxa"/>
            <w:vAlign w:val="center"/>
          </w:tcPr>
          <w:p w14:paraId="16033B53">
            <w:pPr>
              <w:adjustRightInd w:val="0"/>
              <w:snapToGrid w:val="0"/>
              <w:rPr>
                <w:rFonts w:eastAsia="宋体"/>
                <w:color w:val="auto"/>
                <w:sz w:val="24"/>
                <w:szCs w:val="24"/>
                <w:highlight w:val="none"/>
              </w:rPr>
            </w:pPr>
          </w:p>
        </w:tc>
      </w:tr>
      <w:tr w14:paraId="06C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1B0979">
            <w:pPr>
              <w:adjustRightInd w:val="0"/>
              <w:snapToGrid w:val="0"/>
              <w:rPr>
                <w:rFonts w:eastAsia="宋体"/>
                <w:color w:val="auto"/>
                <w:sz w:val="24"/>
                <w:szCs w:val="24"/>
                <w:highlight w:val="none"/>
              </w:rPr>
            </w:pPr>
          </w:p>
        </w:tc>
        <w:tc>
          <w:tcPr>
            <w:tcW w:w="1620" w:type="dxa"/>
            <w:vAlign w:val="center"/>
          </w:tcPr>
          <w:p w14:paraId="14229504">
            <w:pPr>
              <w:adjustRightInd w:val="0"/>
              <w:snapToGrid w:val="0"/>
              <w:rPr>
                <w:rFonts w:eastAsia="宋体"/>
                <w:color w:val="auto"/>
                <w:sz w:val="24"/>
                <w:szCs w:val="24"/>
                <w:highlight w:val="none"/>
              </w:rPr>
            </w:pPr>
          </w:p>
        </w:tc>
        <w:tc>
          <w:tcPr>
            <w:tcW w:w="2700" w:type="dxa"/>
            <w:vAlign w:val="center"/>
          </w:tcPr>
          <w:p w14:paraId="04811F85">
            <w:pPr>
              <w:adjustRightInd w:val="0"/>
              <w:snapToGrid w:val="0"/>
              <w:rPr>
                <w:rFonts w:eastAsia="宋体"/>
                <w:color w:val="auto"/>
                <w:sz w:val="24"/>
                <w:szCs w:val="24"/>
                <w:highlight w:val="none"/>
              </w:rPr>
            </w:pPr>
          </w:p>
        </w:tc>
        <w:tc>
          <w:tcPr>
            <w:tcW w:w="3225" w:type="dxa"/>
            <w:gridSpan w:val="2"/>
            <w:vAlign w:val="center"/>
          </w:tcPr>
          <w:p w14:paraId="0958B416">
            <w:pPr>
              <w:adjustRightInd w:val="0"/>
              <w:snapToGrid w:val="0"/>
              <w:rPr>
                <w:rFonts w:eastAsia="宋体"/>
                <w:color w:val="auto"/>
                <w:sz w:val="24"/>
                <w:szCs w:val="24"/>
                <w:highlight w:val="none"/>
              </w:rPr>
            </w:pPr>
          </w:p>
        </w:tc>
        <w:tc>
          <w:tcPr>
            <w:tcW w:w="1020" w:type="dxa"/>
            <w:vAlign w:val="center"/>
          </w:tcPr>
          <w:p w14:paraId="527D52F2">
            <w:pPr>
              <w:adjustRightInd w:val="0"/>
              <w:snapToGrid w:val="0"/>
              <w:rPr>
                <w:rFonts w:eastAsia="宋体"/>
                <w:color w:val="auto"/>
                <w:sz w:val="24"/>
                <w:szCs w:val="24"/>
                <w:highlight w:val="none"/>
              </w:rPr>
            </w:pPr>
          </w:p>
        </w:tc>
      </w:tr>
      <w:tr w14:paraId="4537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7A4FCE">
            <w:pPr>
              <w:adjustRightInd w:val="0"/>
              <w:snapToGrid w:val="0"/>
              <w:rPr>
                <w:rFonts w:eastAsia="宋体"/>
                <w:color w:val="auto"/>
                <w:sz w:val="24"/>
                <w:szCs w:val="24"/>
                <w:highlight w:val="none"/>
              </w:rPr>
            </w:pPr>
          </w:p>
        </w:tc>
        <w:tc>
          <w:tcPr>
            <w:tcW w:w="1620" w:type="dxa"/>
            <w:vAlign w:val="center"/>
          </w:tcPr>
          <w:p w14:paraId="65851A26">
            <w:pPr>
              <w:adjustRightInd w:val="0"/>
              <w:snapToGrid w:val="0"/>
              <w:rPr>
                <w:rFonts w:eastAsia="宋体"/>
                <w:color w:val="auto"/>
                <w:sz w:val="24"/>
                <w:szCs w:val="24"/>
                <w:highlight w:val="none"/>
              </w:rPr>
            </w:pPr>
          </w:p>
        </w:tc>
        <w:tc>
          <w:tcPr>
            <w:tcW w:w="2700" w:type="dxa"/>
            <w:vAlign w:val="center"/>
          </w:tcPr>
          <w:p w14:paraId="742B473F">
            <w:pPr>
              <w:adjustRightInd w:val="0"/>
              <w:snapToGrid w:val="0"/>
              <w:rPr>
                <w:rFonts w:eastAsia="宋体"/>
                <w:color w:val="auto"/>
                <w:sz w:val="24"/>
                <w:szCs w:val="24"/>
                <w:highlight w:val="none"/>
              </w:rPr>
            </w:pPr>
          </w:p>
        </w:tc>
        <w:tc>
          <w:tcPr>
            <w:tcW w:w="3225" w:type="dxa"/>
            <w:gridSpan w:val="2"/>
            <w:vAlign w:val="center"/>
          </w:tcPr>
          <w:p w14:paraId="36FE17BA">
            <w:pPr>
              <w:adjustRightInd w:val="0"/>
              <w:snapToGrid w:val="0"/>
              <w:rPr>
                <w:rFonts w:eastAsia="宋体"/>
                <w:color w:val="auto"/>
                <w:sz w:val="24"/>
                <w:szCs w:val="24"/>
                <w:highlight w:val="none"/>
              </w:rPr>
            </w:pPr>
          </w:p>
        </w:tc>
        <w:tc>
          <w:tcPr>
            <w:tcW w:w="1020" w:type="dxa"/>
            <w:vAlign w:val="center"/>
          </w:tcPr>
          <w:p w14:paraId="34B2E329">
            <w:pPr>
              <w:adjustRightInd w:val="0"/>
              <w:snapToGrid w:val="0"/>
              <w:rPr>
                <w:rFonts w:eastAsia="宋体"/>
                <w:color w:val="auto"/>
                <w:sz w:val="24"/>
                <w:szCs w:val="24"/>
                <w:highlight w:val="none"/>
              </w:rPr>
            </w:pPr>
          </w:p>
        </w:tc>
      </w:tr>
      <w:tr w14:paraId="72EE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3CB6BC6">
            <w:pPr>
              <w:adjustRightInd w:val="0"/>
              <w:snapToGrid w:val="0"/>
              <w:rPr>
                <w:rFonts w:eastAsia="宋体"/>
                <w:color w:val="auto"/>
                <w:sz w:val="24"/>
                <w:szCs w:val="24"/>
                <w:highlight w:val="none"/>
              </w:rPr>
            </w:pPr>
          </w:p>
        </w:tc>
        <w:tc>
          <w:tcPr>
            <w:tcW w:w="1620" w:type="dxa"/>
            <w:vAlign w:val="center"/>
          </w:tcPr>
          <w:p w14:paraId="6701EC52">
            <w:pPr>
              <w:adjustRightInd w:val="0"/>
              <w:snapToGrid w:val="0"/>
              <w:rPr>
                <w:rFonts w:eastAsia="宋体"/>
                <w:color w:val="auto"/>
                <w:sz w:val="24"/>
                <w:szCs w:val="24"/>
                <w:highlight w:val="none"/>
              </w:rPr>
            </w:pPr>
          </w:p>
        </w:tc>
        <w:tc>
          <w:tcPr>
            <w:tcW w:w="2700" w:type="dxa"/>
            <w:vAlign w:val="center"/>
          </w:tcPr>
          <w:p w14:paraId="6C67C60D">
            <w:pPr>
              <w:adjustRightInd w:val="0"/>
              <w:snapToGrid w:val="0"/>
              <w:rPr>
                <w:rFonts w:eastAsia="宋体"/>
                <w:color w:val="auto"/>
                <w:sz w:val="24"/>
                <w:szCs w:val="24"/>
                <w:highlight w:val="none"/>
              </w:rPr>
            </w:pPr>
          </w:p>
        </w:tc>
        <w:tc>
          <w:tcPr>
            <w:tcW w:w="3225" w:type="dxa"/>
            <w:gridSpan w:val="2"/>
            <w:vAlign w:val="center"/>
          </w:tcPr>
          <w:p w14:paraId="37AFB740">
            <w:pPr>
              <w:adjustRightInd w:val="0"/>
              <w:snapToGrid w:val="0"/>
              <w:rPr>
                <w:rFonts w:eastAsia="宋体"/>
                <w:color w:val="auto"/>
                <w:sz w:val="24"/>
                <w:szCs w:val="24"/>
                <w:highlight w:val="none"/>
              </w:rPr>
            </w:pPr>
          </w:p>
        </w:tc>
        <w:tc>
          <w:tcPr>
            <w:tcW w:w="1020" w:type="dxa"/>
            <w:vAlign w:val="center"/>
          </w:tcPr>
          <w:p w14:paraId="0C327111">
            <w:pPr>
              <w:adjustRightInd w:val="0"/>
              <w:snapToGrid w:val="0"/>
              <w:rPr>
                <w:rFonts w:eastAsia="宋体"/>
                <w:color w:val="auto"/>
                <w:sz w:val="24"/>
                <w:szCs w:val="24"/>
                <w:highlight w:val="none"/>
              </w:rPr>
            </w:pPr>
          </w:p>
        </w:tc>
      </w:tr>
      <w:tr w14:paraId="6637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BA6BD95">
            <w:pPr>
              <w:adjustRightInd w:val="0"/>
              <w:snapToGrid w:val="0"/>
              <w:rPr>
                <w:rFonts w:eastAsia="宋体"/>
                <w:color w:val="auto"/>
                <w:sz w:val="24"/>
                <w:szCs w:val="24"/>
                <w:highlight w:val="none"/>
              </w:rPr>
            </w:pPr>
          </w:p>
        </w:tc>
        <w:tc>
          <w:tcPr>
            <w:tcW w:w="1620" w:type="dxa"/>
            <w:vAlign w:val="center"/>
          </w:tcPr>
          <w:p w14:paraId="39B67ACE">
            <w:pPr>
              <w:adjustRightInd w:val="0"/>
              <w:snapToGrid w:val="0"/>
              <w:rPr>
                <w:rFonts w:eastAsia="宋体"/>
                <w:color w:val="auto"/>
                <w:sz w:val="24"/>
                <w:szCs w:val="24"/>
                <w:highlight w:val="none"/>
              </w:rPr>
            </w:pPr>
          </w:p>
        </w:tc>
        <w:tc>
          <w:tcPr>
            <w:tcW w:w="2700" w:type="dxa"/>
            <w:vAlign w:val="center"/>
          </w:tcPr>
          <w:p w14:paraId="67E436A6">
            <w:pPr>
              <w:adjustRightInd w:val="0"/>
              <w:snapToGrid w:val="0"/>
              <w:rPr>
                <w:rFonts w:eastAsia="宋体"/>
                <w:color w:val="auto"/>
                <w:sz w:val="24"/>
                <w:szCs w:val="24"/>
                <w:highlight w:val="none"/>
              </w:rPr>
            </w:pPr>
          </w:p>
        </w:tc>
        <w:tc>
          <w:tcPr>
            <w:tcW w:w="3225" w:type="dxa"/>
            <w:gridSpan w:val="2"/>
            <w:vAlign w:val="center"/>
          </w:tcPr>
          <w:p w14:paraId="1D30F18B">
            <w:pPr>
              <w:adjustRightInd w:val="0"/>
              <w:snapToGrid w:val="0"/>
              <w:rPr>
                <w:rFonts w:eastAsia="宋体"/>
                <w:color w:val="auto"/>
                <w:sz w:val="24"/>
                <w:szCs w:val="24"/>
                <w:highlight w:val="none"/>
              </w:rPr>
            </w:pPr>
          </w:p>
        </w:tc>
        <w:tc>
          <w:tcPr>
            <w:tcW w:w="1020" w:type="dxa"/>
            <w:vAlign w:val="center"/>
          </w:tcPr>
          <w:p w14:paraId="5DEF94A5">
            <w:pPr>
              <w:adjustRightInd w:val="0"/>
              <w:snapToGrid w:val="0"/>
              <w:rPr>
                <w:rFonts w:eastAsia="宋体"/>
                <w:color w:val="auto"/>
                <w:sz w:val="24"/>
                <w:szCs w:val="24"/>
                <w:highlight w:val="none"/>
              </w:rPr>
            </w:pPr>
          </w:p>
        </w:tc>
      </w:tr>
      <w:tr w14:paraId="7B12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0A04062">
            <w:pPr>
              <w:adjustRightInd w:val="0"/>
              <w:snapToGrid w:val="0"/>
              <w:rPr>
                <w:rFonts w:eastAsia="宋体"/>
                <w:color w:val="auto"/>
                <w:sz w:val="24"/>
                <w:szCs w:val="24"/>
                <w:highlight w:val="none"/>
              </w:rPr>
            </w:pPr>
          </w:p>
        </w:tc>
        <w:tc>
          <w:tcPr>
            <w:tcW w:w="1620" w:type="dxa"/>
            <w:vAlign w:val="center"/>
          </w:tcPr>
          <w:p w14:paraId="24C80D72">
            <w:pPr>
              <w:adjustRightInd w:val="0"/>
              <w:snapToGrid w:val="0"/>
              <w:rPr>
                <w:rFonts w:eastAsia="宋体"/>
                <w:color w:val="auto"/>
                <w:sz w:val="24"/>
                <w:szCs w:val="24"/>
                <w:highlight w:val="none"/>
              </w:rPr>
            </w:pPr>
          </w:p>
        </w:tc>
        <w:tc>
          <w:tcPr>
            <w:tcW w:w="2700" w:type="dxa"/>
            <w:vAlign w:val="center"/>
          </w:tcPr>
          <w:p w14:paraId="496F5047">
            <w:pPr>
              <w:adjustRightInd w:val="0"/>
              <w:snapToGrid w:val="0"/>
              <w:rPr>
                <w:rFonts w:eastAsia="宋体"/>
                <w:color w:val="auto"/>
                <w:sz w:val="24"/>
                <w:szCs w:val="24"/>
                <w:highlight w:val="none"/>
              </w:rPr>
            </w:pPr>
          </w:p>
        </w:tc>
        <w:tc>
          <w:tcPr>
            <w:tcW w:w="3225" w:type="dxa"/>
            <w:gridSpan w:val="2"/>
            <w:vAlign w:val="center"/>
          </w:tcPr>
          <w:p w14:paraId="6D34457B">
            <w:pPr>
              <w:adjustRightInd w:val="0"/>
              <w:snapToGrid w:val="0"/>
              <w:rPr>
                <w:rFonts w:eastAsia="宋体"/>
                <w:color w:val="auto"/>
                <w:sz w:val="24"/>
                <w:szCs w:val="24"/>
                <w:highlight w:val="none"/>
              </w:rPr>
            </w:pPr>
          </w:p>
        </w:tc>
        <w:tc>
          <w:tcPr>
            <w:tcW w:w="1020" w:type="dxa"/>
            <w:vAlign w:val="center"/>
          </w:tcPr>
          <w:p w14:paraId="462663DB">
            <w:pPr>
              <w:adjustRightInd w:val="0"/>
              <w:snapToGrid w:val="0"/>
              <w:rPr>
                <w:rFonts w:eastAsia="宋体"/>
                <w:color w:val="auto"/>
                <w:sz w:val="24"/>
                <w:szCs w:val="24"/>
                <w:highlight w:val="none"/>
              </w:rPr>
            </w:pPr>
          </w:p>
        </w:tc>
      </w:tr>
      <w:tr w14:paraId="6FA6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E70F3D">
            <w:pPr>
              <w:adjustRightInd w:val="0"/>
              <w:snapToGrid w:val="0"/>
              <w:rPr>
                <w:rFonts w:eastAsia="宋体"/>
                <w:color w:val="auto"/>
                <w:sz w:val="24"/>
                <w:szCs w:val="24"/>
                <w:highlight w:val="none"/>
              </w:rPr>
            </w:pPr>
          </w:p>
        </w:tc>
        <w:tc>
          <w:tcPr>
            <w:tcW w:w="1620" w:type="dxa"/>
            <w:vAlign w:val="center"/>
          </w:tcPr>
          <w:p w14:paraId="3F7FABD2">
            <w:pPr>
              <w:adjustRightInd w:val="0"/>
              <w:snapToGrid w:val="0"/>
              <w:rPr>
                <w:rFonts w:eastAsia="宋体"/>
                <w:color w:val="auto"/>
                <w:sz w:val="24"/>
                <w:szCs w:val="24"/>
                <w:highlight w:val="none"/>
              </w:rPr>
            </w:pPr>
          </w:p>
        </w:tc>
        <w:tc>
          <w:tcPr>
            <w:tcW w:w="2700" w:type="dxa"/>
            <w:vAlign w:val="center"/>
          </w:tcPr>
          <w:p w14:paraId="39FF976C">
            <w:pPr>
              <w:adjustRightInd w:val="0"/>
              <w:snapToGrid w:val="0"/>
              <w:rPr>
                <w:rFonts w:eastAsia="宋体"/>
                <w:color w:val="auto"/>
                <w:sz w:val="24"/>
                <w:szCs w:val="24"/>
                <w:highlight w:val="none"/>
              </w:rPr>
            </w:pPr>
          </w:p>
        </w:tc>
        <w:tc>
          <w:tcPr>
            <w:tcW w:w="3225" w:type="dxa"/>
            <w:gridSpan w:val="2"/>
            <w:vAlign w:val="center"/>
          </w:tcPr>
          <w:p w14:paraId="78007438">
            <w:pPr>
              <w:adjustRightInd w:val="0"/>
              <w:snapToGrid w:val="0"/>
              <w:rPr>
                <w:rFonts w:eastAsia="宋体"/>
                <w:color w:val="auto"/>
                <w:sz w:val="24"/>
                <w:szCs w:val="24"/>
                <w:highlight w:val="none"/>
              </w:rPr>
            </w:pPr>
          </w:p>
        </w:tc>
        <w:tc>
          <w:tcPr>
            <w:tcW w:w="1020" w:type="dxa"/>
            <w:vAlign w:val="center"/>
          </w:tcPr>
          <w:p w14:paraId="130D8249">
            <w:pPr>
              <w:adjustRightInd w:val="0"/>
              <w:snapToGrid w:val="0"/>
              <w:rPr>
                <w:rFonts w:eastAsia="宋体"/>
                <w:color w:val="auto"/>
                <w:sz w:val="24"/>
                <w:szCs w:val="24"/>
                <w:highlight w:val="none"/>
              </w:rPr>
            </w:pPr>
          </w:p>
        </w:tc>
      </w:tr>
      <w:tr w14:paraId="0972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3E7EECD">
            <w:pPr>
              <w:adjustRightInd w:val="0"/>
              <w:snapToGrid w:val="0"/>
              <w:rPr>
                <w:rFonts w:eastAsia="宋体"/>
                <w:color w:val="auto"/>
                <w:sz w:val="24"/>
                <w:szCs w:val="24"/>
                <w:highlight w:val="none"/>
              </w:rPr>
            </w:pPr>
          </w:p>
        </w:tc>
        <w:tc>
          <w:tcPr>
            <w:tcW w:w="1620" w:type="dxa"/>
            <w:vAlign w:val="center"/>
          </w:tcPr>
          <w:p w14:paraId="1EF71809">
            <w:pPr>
              <w:adjustRightInd w:val="0"/>
              <w:snapToGrid w:val="0"/>
              <w:rPr>
                <w:rFonts w:eastAsia="宋体"/>
                <w:color w:val="auto"/>
                <w:sz w:val="24"/>
                <w:szCs w:val="24"/>
                <w:highlight w:val="none"/>
              </w:rPr>
            </w:pPr>
          </w:p>
        </w:tc>
        <w:tc>
          <w:tcPr>
            <w:tcW w:w="2700" w:type="dxa"/>
            <w:vAlign w:val="center"/>
          </w:tcPr>
          <w:p w14:paraId="64118B14">
            <w:pPr>
              <w:adjustRightInd w:val="0"/>
              <w:snapToGrid w:val="0"/>
              <w:rPr>
                <w:rFonts w:eastAsia="宋体"/>
                <w:color w:val="auto"/>
                <w:sz w:val="24"/>
                <w:szCs w:val="24"/>
                <w:highlight w:val="none"/>
              </w:rPr>
            </w:pPr>
          </w:p>
        </w:tc>
        <w:tc>
          <w:tcPr>
            <w:tcW w:w="3225" w:type="dxa"/>
            <w:gridSpan w:val="2"/>
            <w:vAlign w:val="center"/>
          </w:tcPr>
          <w:p w14:paraId="495BD8D5">
            <w:pPr>
              <w:adjustRightInd w:val="0"/>
              <w:snapToGrid w:val="0"/>
              <w:rPr>
                <w:rFonts w:eastAsia="宋体"/>
                <w:color w:val="auto"/>
                <w:sz w:val="24"/>
                <w:szCs w:val="24"/>
                <w:highlight w:val="none"/>
              </w:rPr>
            </w:pPr>
          </w:p>
        </w:tc>
        <w:tc>
          <w:tcPr>
            <w:tcW w:w="1020" w:type="dxa"/>
            <w:vAlign w:val="center"/>
          </w:tcPr>
          <w:p w14:paraId="2C4C1D8D">
            <w:pPr>
              <w:adjustRightInd w:val="0"/>
              <w:snapToGrid w:val="0"/>
              <w:rPr>
                <w:rFonts w:eastAsia="宋体"/>
                <w:color w:val="auto"/>
                <w:sz w:val="24"/>
                <w:szCs w:val="24"/>
                <w:highlight w:val="none"/>
              </w:rPr>
            </w:pPr>
          </w:p>
        </w:tc>
      </w:tr>
      <w:tr w14:paraId="239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AAD8369">
            <w:pPr>
              <w:adjustRightInd w:val="0"/>
              <w:snapToGrid w:val="0"/>
              <w:rPr>
                <w:rFonts w:eastAsia="宋体"/>
                <w:color w:val="auto"/>
                <w:sz w:val="24"/>
                <w:szCs w:val="24"/>
                <w:highlight w:val="none"/>
              </w:rPr>
            </w:pPr>
          </w:p>
        </w:tc>
        <w:tc>
          <w:tcPr>
            <w:tcW w:w="1620" w:type="dxa"/>
            <w:vAlign w:val="center"/>
          </w:tcPr>
          <w:p w14:paraId="712406E7">
            <w:pPr>
              <w:adjustRightInd w:val="0"/>
              <w:snapToGrid w:val="0"/>
              <w:rPr>
                <w:rFonts w:eastAsia="宋体"/>
                <w:color w:val="auto"/>
                <w:sz w:val="24"/>
                <w:szCs w:val="24"/>
                <w:highlight w:val="none"/>
              </w:rPr>
            </w:pPr>
          </w:p>
        </w:tc>
        <w:tc>
          <w:tcPr>
            <w:tcW w:w="2700" w:type="dxa"/>
            <w:vAlign w:val="center"/>
          </w:tcPr>
          <w:p w14:paraId="6DE0F001">
            <w:pPr>
              <w:adjustRightInd w:val="0"/>
              <w:snapToGrid w:val="0"/>
              <w:rPr>
                <w:rFonts w:eastAsia="宋体"/>
                <w:color w:val="auto"/>
                <w:sz w:val="24"/>
                <w:szCs w:val="24"/>
                <w:highlight w:val="none"/>
              </w:rPr>
            </w:pPr>
          </w:p>
        </w:tc>
        <w:tc>
          <w:tcPr>
            <w:tcW w:w="3225" w:type="dxa"/>
            <w:gridSpan w:val="2"/>
            <w:vAlign w:val="center"/>
          </w:tcPr>
          <w:p w14:paraId="318ADA41">
            <w:pPr>
              <w:adjustRightInd w:val="0"/>
              <w:snapToGrid w:val="0"/>
              <w:rPr>
                <w:rFonts w:eastAsia="宋体"/>
                <w:color w:val="auto"/>
                <w:sz w:val="24"/>
                <w:szCs w:val="24"/>
                <w:highlight w:val="none"/>
              </w:rPr>
            </w:pPr>
          </w:p>
        </w:tc>
        <w:tc>
          <w:tcPr>
            <w:tcW w:w="1020" w:type="dxa"/>
            <w:vAlign w:val="center"/>
          </w:tcPr>
          <w:p w14:paraId="45ABE572">
            <w:pPr>
              <w:adjustRightInd w:val="0"/>
              <w:snapToGrid w:val="0"/>
              <w:rPr>
                <w:rFonts w:eastAsia="宋体"/>
                <w:color w:val="auto"/>
                <w:sz w:val="24"/>
                <w:szCs w:val="24"/>
                <w:highlight w:val="none"/>
              </w:rPr>
            </w:pPr>
          </w:p>
        </w:tc>
      </w:tr>
    </w:tbl>
    <w:p w14:paraId="494572FB">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4D8D2B63">
      <w:pPr>
        <w:adjustRightInd w:val="0"/>
        <w:snapToGrid w:val="0"/>
        <w:rPr>
          <w:rFonts w:eastAsia="宋体"/>
          <w:color w:val="auto"/>
          <w:sz w:val="24"/>
          <w:szCs w:val="24"/>
          <w:highlight w:val="none"/>
        </w:rPr>
      </w:pPr>
      <w:r>
        <w:rPr>
          <w:rFonts w:eastAsia="宋体"/>
          <w:color w:val="auto"/>
          <w:sz w:val="24"/>
          <w:szCs w:val="24"/>
          <w:highlight w:val="none"/>
        </w:rPr>
        <w:t>1.说明：如果行数不够，请自行增加。</w:t>
      </w:r>
    </w:p>
    <w:p w14:paraId="6DA93229">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2.响应人应对照磋商文件的相关要求，将自身响应的偏离情况（与磋商文件要求不一致的地方）详细填入上表，并注明“正偏离/负偏离”；若未填写上表，视为完全响应。</w:t>
      </w:r>
    </w:p>
    <w:p w14:paraId="66D9975C">
      <w:pPr>
        <w:adjustRightInd w:val="0"/>
        <w:snapToGrid w:val="0"/>
        <w:rPr>
          <w:rFonts w:eastAsia="宋体"/>
          <w:bCs/>
          <w:color w:val="auto"/>
          <w:spacing w:val="20"/>
          <w:sz w:val="24"/>
          <w:szCs w:val="24"/>
          <w:highlight w:val="none"/>
        </w:rPr>
      </w:pPr>
    </w:p>
    <w:p w14:paraId="449E4CBE">
      <w:pPr>
        <w:adjustRightInd w:val="0"/>
        <w:snapToGrid w:val="0"/>
        <w:jc w:val="center"/>
        <w:rPr>
          <w:rFonts w:eastAsia="宋体"/>
          <w:color w:val="auto"/>
          <w:sz w:val="24"/>
          <w:szCs w:val="24"/>
          <w:highlight w:val="none"/>
        </w:rPr>
      </w:pPr>
      <w:r>
        <w:rPr>
          <w:rFonts w:eastAsia="宋体"/>
          <w:color w:val="auto"/>
          <w:sz w:val="24"/>
          <w:szCs w:val="24"/>
          <w:highlight w:val="none"/>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40D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3120124">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3E1B00BF">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5C39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0DA2BCB">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3EA8DBE8">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4148A3BF">
            <w:pPr>
              <w:adjustRightInd w:val="0"/>
              <w:snapToGrid w:val="0"/>
              <w:rPr>
                <w:rFonts w:eastAsia="宋体"/>
                <w:color w:val="auto"/>
                <w:sz w:val="24"/>
                <w:szCs w:val="24"/>
                <w:highlight w:val="none"/>
              </w:rPr>
            </w:pPr>
            <w:r>
              <w:rPr>
                <w:rFonts w:eastAsia="宋体"/>
                <w:color w:val="auto"/>
                <w:sz w:val="24"/>
                <w:szCs w:val="24"/>
                <w:highlight w:val="none"/>
              </w:rPr>
              <w:t>磋商文件要求的技术条款</w:t>
            </w:r>
          </w:p>
        </w:tc>
        <w:tc>
          <w:tcPr>
            <w:tcW w:w="3225" w:type="dxa"/>
            <w:gridSpan w:val="2"/>
            <w:vAlign w:val="center"/>
          </w:tcPr>
          <w:p w14:paraId="594918EF">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6C1CDE97">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7012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C3F7104">
            <w:pPr>
              <w:adjustRightInd w:val="0"/>
              <w:snapToGrid w:val="0"/>
              <w:rPr>
                <w:rFonts w:eastAsia="宋体"/>
                <w:color w:val="auto"/>
                <w:sz w:val="24"/>
                <w:szCs w:val="24"/>
                <w:highlight w:val="none"/>
              </w:rPr>
            </w:pPr>
          </w:p>
        </w:tc>
        <w:tc>
          <w:tcPr>
            <w:tcW w:w="1620" w:type="dxa"/>
            <w:vAlign w:val="center"/>
          </w:tcPr>
          <w:p w14:paraId="18DE5D56">
            <w:pPr>
              <w:adjustRightInd w:val="0"/>
              <w:snapToGrid w:val="0"/>
              <w:rPr>
                <w:rFonts w:eastAsia="宋体"/>
                <w:color w:val="auto"/>
                <w:sz w:val="24"/>
                <w:szCs w:val="24"/>
                <w:highlight w:val="none"/>
              </w:rPr>
            </w:pPr>
          </w:p>
        </w:tc>
        <w:tc>
          <w:tcPr>
            <w:tcW w:w="2700" w:type="dxa"/>
            <w:vAlign w:val="center"/>
          </w:tcPr>
          <w:p w14:paraId="3FDB90E5">
            <w:pPr>
              <w:adjustRightInd w:val="0"/>
              <w:snapToGrid w:val="0"/>
              <w:rPr>
                <w:rFonts w:eastAsia="宋体"/>
                <w:color w:val="auto"/>
                <w:sz w:val="24"/>
                <w:szCs w:val="24"/>
                <w:highlight w:val="none"/>
              </w:rPr>
            </w:pPr>
          </w:p>
        </w:tc>
        <w:tc>
          <w:tcPr>
            <w:tcW w:w="3225" w:type="dxa"/>
            <w:gridSpan w:val="2"/>
            <w:vAlign w:val="center"/>
          </w:tcPr>
          <w:p w14:paraId="18DD5209">
            <w:pPr>
              <w:adjustRightInd w:val="0"/>
              <w:snapToGrid w:val="0"/>
              <w:rPr>
                <w:rFonts w:eastAsia="宋体"/>
                <w:color w:val="auto"/>
                <w:sz w:val="24"/>
                <w:szCs w:val="24"/>
                <w:highlight w:val="none"/>
              </w:rPr>
            </w:pPr>
          </w:p>
        </w:tc>
        <w:tc>
          <w:tcPr>
            <w:tcW w:w="1020" w:type="dxa"/>
            <w:vAlign w:val="center"/>
          </w:tcPr>
          <w:p w14:paraId="68386891">
            <w:pPr>
              <w:adjustRightInd w:val="0"/>
              <w:snapToGrid w:val="0"/>
              <w:rPr>
                <w:rFonts w:eastAsia="宋体"/>
                <w:color w:val="auto"/>
                <w:sz w:val="24"/>
                <w:szCs w:val="24"/>
                <w:highlight w:val="none"/>
              </w:rPr>
            </w:pPr>
          </w:p>
        </w:tc>
      </w:tr>
      <w:tr w14:paraId="3BB7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18092DF">
            <w:pPr>
              <w:adjustRightInd w:val="0"/>
              <w:snapToGrid w:val="0"/>
              <w:rPr>
                <w:rFonts w:eastAsia="宋体"/>
                <w:color w:val="auto"/>
                <w:sz w:val="24"/>
                <w:szCs w:val="24"/>
                <w:highlight w:val="none"/>
              </w:rPr>
            </w:pPr>
          </w:p>
        </w:tc>
        <w:tc>
          <w:tcPr>
            <w:tcW w:w="1620" w:type="dxa"/>
            <w:vAlign w:val="center"/>
          </w:tcPr>
          <w:p w14:paraId="2506E9EF">
            <w:pPr>
              <w:adjustRightInd w:val="0"/>
              <w:snapToGrid w:val="0"/>
              <w:rPr>
                <w:rFonts w:eastAsia="宋体"/>
                <w:color w:val="auto"/>
                <w:sz w:val="24"/>
                <w:szCs w:val="24"/>
                <w:highlight w:val="none"/>
              </w:rPr>
            </w:pPr>
          </w:p>
        </w:tc>
        <w:tc>
          <w:tcPr>
            <w:tcW w:w="2700" w:type="dxa"/>
            <w:vAlign w:val="center"/>
          </w:tcPr>
          <w:p w14:paraId="5E8123AA">
            <w:pPr>
              <w:adjustRightInd w:val="0"/>
              <w:snapToGrid w:val="0"/>
              <w:rPr>
                <w:rFonts w:eastAsia="宋体"/>
                <w:color w:val="auto"/>
                <w:sz w:val="24"/>
                <w:szCs w:val="24"/>
                <w:highlight w:val="none"/>
              </w:rPr>
            </w:pPr>
          </w:p>
        </w:tc>
        <w:tc>
          <w:tcPr>
            <w:tcW w:w="3225" w:type="dxa"/>
            <w:gridSpan w:val="2"/>
            <w:vAlign w:val="center"/>
          </w:tcPr>
          <w:p w14:paraId="2EE0EBDA">
            <w:pPr>
              <w:adjustRightInd w:val="0"/>
              <w:snapToGrid w:val="0"/>
              <w:rPr>
                <w:rFonts w:eastAsia="宋体"/>
                <w:color w:val="auto"/>
                <w:sz w:val="24"/>
                <w:szCs w:val="24"/>
                <w:highlight w:val="none"/>
              </w:rPr>
            </w:pPr>
          </w:p>
        </w:tc>
        <w:tc>
          <w:tcPr>
            <w:tcW w:w="1020" w:type="dxa"/>
            <w:vAlign w:val="center"/>
          </w:tcPr>
          <w:p w14:paraId="685F78AC">
            <w:pPr>
              <w:adjustRightInd w:val="0"/>
              <w:snapToGrid w:val="0"/>
              <w:rPr>
                <w:rFonts w:eastAsia="宋体"/>
                <w:color w:val="auto"/>
                <w:sz w:val="24"/>
                <w:szCs w:val="24"/>
                <w:highlight w:val="none"/>
              </w:rPr>
            </w:pPr>
          </w:p>
        </w:tc>
      </w:tr>
      <w:tr w14:paraId="69CC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385B76">
            <w:pPr>
              <w:adjustRightInd w:val="0"/>
              <w:snapToGrid w:val="0"/>
              <w:rPr>
                <w:rFonts w:eastAsia="宋体"/>
                <w:color w:val="auto"/>
                <w:sz w:val="24"/>
                <w:szCs w:val="24"/>
                <w:highlight w:val="none"/>
              </w:rPr>
            </w:pPr>
          </w:p>
        </w:tc>
        <w:tc>
          <w:tcPr>
            <w:tcW w:w="1620" w:type="dxa"/>
            <w:vAlign w:val="center"/>
          </w:tcPr>
          <w:p w14:paraId="302744D3">
            <w:pPr>
              <w:adjustRightInd w:val="0"/>
              <w:snapToGrid w:val="0"/>
              <w:rPr>
                <w:rFonts w:eastAsia="宋体"/>
                <w:color w:val="auto"/>
                <w:sz w:val="24"/>
                <w:szCs w:val="24"/>
                <w:highlight w:val="none"/>
              </w:rPr>
            </w:pPr>
          </w:p>
        </w:tc>
        <w:tc>
          <w:tcPr>
            <w:tcW w:w="2700" w:type="dxa"/>
            <w:vAlign w:val="center"/>
          </w:tcPr>
          <w:p w14:paraId="572D9947">
            <w:pPr>
              <w:adjustRightInd w:val="0"/>
              <w:snapToGrid w:val="0"/>
              <w:rPr>
                <w:rFonts w:eastAsia="宋体"/>
                <w:color w:val="auto"/>
                <w:sz w:val="24"/>
                <w:szCs w:val="24"/>
                <w:highlight w:val="none"/>
              </w:rPr>
            </w:pPr>
          </w:p>
        </w:tc>
        <w:tc>
          <w:tcPr>
            <w:tcW w:w="3225" w:type="dxa"/>
            <w:gridSpan w:val="2"/>
            <w:vAlign w:val="center"/>
          </w:tcPr>
          <w:p w14:paraId="2B13BA17">
            <w:pPr>
              <w:adjustRightInd w:val="0"/>
              <w:snapToGrid w:val="0"/>
              <w:rPr>
                <w:rFonts w:eastAsia="宋体"/>
                <w:color w:val="auto"/>
                <w:sz w:val="24"/>
                <w:szCs w:val="24"/>
                <w:highlight w:val="none"/>
              </w:rPr>
            </w:pPr>
          </w:p>
        </w:tc>
        <w:tc>
          <w:tcPr>
            <w:tcW w:w="1020" w:type="dxa"/>
            <w:vAlign w:val="center"/>
          </w:tcPr>
          <w:p w14:paraId="7C41F0A6">
            <w:pPr>
              <w:adjustRightInd w:val="0"/>
              <w:snapToGrid w:val="0"/>
              <w:rPr>
                <w:rFonts w:eastAsia="宋体"/>
                <w:color w:val="auto"/>
                <w:sz w:val="24"/>
                <w:szCs w:val="24"/>
                <w:highlight w:val="none"/>
              </w:rPr>
            </w:pPr>
          </w:p>
        </w:tc>
      </w:tr>
      <w:tr w14:paraId="098C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8571C0">
            <w:pPr>
              <w:adjustRightInd w:val="0"/>
              <w:snapToGrid w:val="0"/>
              <w:rPr>
                <w:rFonts w:eastAsia="宋体"/>
                <w:color w:val="auto"/>
                <w:sz w:val="24"/>
                <w:szCs w:val="24"/>
                <w:highlight w:val="none"/>
              </w:rPr>
            </w:pPr>
          </w:p>
        </w:tc>
        <w:tc>
          <w:tcPr>
            <w:tcW w:w="1620" w:type="dxa"/>
            <w:vAlign w:val="center"/>
          </w:tcPr>
          <w:p w14:paraId="1DFB1BCE">
            <w:pPr>
              <w:adjustRightInd w:val="0"/>
              <w:snapToGrid w:val="0"/>
              <w:rPr>
                <w:rFonts w:eastAsia="宋体"/>
                <w:color w:val="auto"/>
                <w:sz w:val="24"/>
                <w:szCs w:val="24"/>
                <w:highlight w:val="none"/>
              </w:rPr>
            </w:pPr>
          </w:p>
        </w:tc>
        <w:tc>
          <w:tcPr>
            <w:tcW w:w="2700" w:type="dxa"/>
            <w:vAlign w:val="center"/>
          </w:tcPr>
          <w:p w14:paraId="2DCF36A3">
            <w:pPr>
              <w:adjustRightInd w:val="0"/>
              <w:snapToGrid w:val="0"/>
              <w:rPr>
                <w:rFonts w:eastAsia="宋体"/>
                <w:color w:val="auto"/>
                <w:sz w:val="24"/>
                <w:szCs w:val="24"/>
                <w:highlight w:val="none"/>
              </w:rPr>
            </w:pPr>
          </w:p>
        </w:tc>
        <w:tc>
          <w:tcPr>
            <w:tcW w:w="3225" w:type="dxa"/>
            <w:gridSpan w:val="2"/>
            <w:vAlign w:val="center"/>
          </w:tcPr>
          <w:p w14:paraId="49709584">
            <w:pPr>
              <w:adjustRightInd w:val="0"/>
              <w:snapToGrid w:val="0"/>
              <w:rPr>
                <w:rFonts w:eastAsia="宋体"/>
                <w:color w:val="auto"/>
                <w:sz w:val="24"/>
                <w:szCs w:val="24"/>
                <w:highlight w:val="none"/>
              </w:rPr>
            </w:pPr>
          </w:p>
        </w:tc>
        <w:tc>
          <w:tcPr>
            <w:tcW w:w="1020" w:type="dxa"/>
            <w:vAlign w:val="center"/>
          </w:tcPr>
          <w:p w14:paraId="44835BC7">
            <w:pPr>
              <w:adjustRightInd w:val="0"/>
              <w:snapToGrid w:val="0"/>
              <w:rPr>
                <w:rFonts w:eastAsia="宋体"/>
                <w:color w:val="auto"/>
                <w:sz w:val="24"/>
                <w:szCs w:val="24"/>
                <w:highlight w:val="none"/>
              </w:rPr>
            </w:pPr>
          </w:p>
        </w:tc>
      </w:tr>
      <w:tr w14:paraId="0F13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A351174">
            <w:pPr>
              <w:adjustRightInd w:val="0"/>
              <w:snapToGrid w:val="0"/>
              <w:rPr>
                <w:rFonts w:eastAsia="宋体"/>
                <w:color w:val="auto"/>
                <w:sz w:val="24"/>
                <w:szCs w:val="24"/>
                <w:highlight w:val="none"/>
              </w:rPr>
            </w:pPr>
          </w:p>
        </w:tc>
        <w:tc>
          <w:tcPr>
            <w:tcW w:w="1620" w:type="dxa"/>
            <w:vAlign w:val="center"/>
          </w:tcPr>
          <w:p w14:paraId="3421E6E1">
            <w:pPr>
              <w:adjustRightInd w:val="0"/>
              <w:snapToGrid w:val="0"/>
              <w:rPr>
                <w:rFonts w:eastAsia="宋体"/>
                <w:color w:val="auto"/>
                <w:sz w:val="24"/>
                <w:szCs w:val="24"/>
                <w:highlight w:val="none"/>
              </w:rPr>
            </w:pPr>
          </w:p>
        </w:tc>
        <w:tc>
          <w:tcPr>
            <w:tcW w:w="2700" w:type="dxa"/>
            <w:vAlign w:val="center"/>
          </w:tcPr>
          <w:p w14:paraId="11119856">
            <w:pPr>
              <w:adjustRightInd w:val="0"/>
              <w:snapToGrid w:val="0"/>
              <w:rPr>
                <w:rFonts w:eastAsia="宋体"/>
                <w:color w:val="auto"/>
                <w:sz w:val="24"/>
                <w:szCs w:val="24"/>
                <w:highlight w:val="none"/>
              </w:rPr>
            </w:pPr>
          </w:p>
        </w:tc>
        <w:tc>
          <w:tcPr>
            <w:tcW w:w="3225" w:type="dxa"/>
            <w:gridSpan w:val="2"/>
            <w:vAlign w:val="center"/>
          </w:tcPr>
          <w:p w14:paraId="05FF4C9F">
            <w:pPr>
              <w:adjustRightInd w:val="0"/>
              <w:snapToGrid w:val="0"/>
              <w:rPr>
                <w:rFonts w:eastAsia="宋体"/>
                <w:color w:val="auto"/>
                <w:sz w:val="24"/>
                <w:szCs w:val="24"/>
                <w:highlight w:val="none"/>
              </w:rPr>
            </w:pPr>
          </w:p>
        </w:tc>
        <w:tc>
          <w:tcPr>
            <w:tcW w:w="1020" w:type="dxa"/>
            <w:vAlign w:val="center"/>
          </w:tcPr>
          <w:p w14:paraId="77507B28">
            <w:pPr>
              <w:adjustRightInd w:val="0"/>
              <w:snapToGrid w:val="0"/>
              <w:rPr>
                <w:rFonts w:eastAsia="宋体"/>
                <w:color w:val="auto"/>
                <w:sz w:val="24"/>
                <w:szCs w:val="24"/>
                <w:highlight w:val="none"/>
              </w:rPr>
            </w:pPr>
          </w:p>
        </w:tc>
      </w:tr>
      <w:tr w14:paraId="408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9526FF">
            <w:pPr>
              <w:adjustRightInd w:val="0"/>
              <w:snapToGrid w:val="0"/>
              <w:rPr>
                <w:rFonts w:eastAsia="宋体"/>
                <w:color w:val="auto"/>
                <w:sz w:val="24"/>
                <w:szCs w:val="24"/>
                <w:highlight w:val="none"/>
              </w:rPr>
            </w:pPr>
          </w:p>
        </w:tc>
        <w:tc>
          <w:tcPr>
            <w:tcW w:w="1620" w:type="dxa"/>
            <w:vAlign w:val="center"/>
          </w:tcPr>
          <w:p w14:paraId="415AF3B6">
            <w:pPr>
              <w:adjustRightInd w:val="0"/>
              <w:snapToGrid w:val="0"/>
              <w:rPr>
                <w:rFonts w:eastAsia="宋体"/>
                <w:color w:val="auto"/>
                <w:sz w:val="24"/>
                <w:szCs w:val="24"/>
                <w:highlight w:val="none"/>
              </w:rPr>
            </w:pPr>
          </w:p>
        </w:tc>
        <w:tc>
          <w:tcPr>
            <w:tcW w:w="2700" w:type="dxa"/>
            <w:vAlign w:val="center"/>
          </w:tcPr>
          <w:p w14:paraId="7BFD4A46">
            <w:pPr>
              <w:adjustRightInd w:val="0"/>
              <w:snapToGrid w:val="0"/>
              <w:rPr>
                <w:rFonts w:eastAsia="宋体"/>
                <w:color w:val="auto"/>
                <w:sz w:val="24"/>
                <w:szCs w:val="24"/>
                <w:highlight w:val="none"/>
              </w:rPr>
            </w:pPr>
          </w:p>
        </w:tc>
        <w:tc>
          <w:tcPr>
            <w:tcW w:w="3225" w:type="dxa"/>
            <w:gridSpan w:val="2"/>
            <w:vAlign w:val="center"/>
          </w:tcPr>
          <w:p w14:paraId="4A1143EA">
            <w:pPr>
              <w:adjustRightInd w:val="0"/>
              <w:snapToGrid w:val="0"/>
              <w:rPr>
                <w:rFonts w:eastAsia="宋体"/>
                <w:color w:val="auto"/>
                <w:sz w:val="24"/>
                <w:szCs w:val="24"/>
                <w:highlight w:val="none"/>
              </w:rPr>
            </w:pPr>
          </w:p>
        </w:tc>
        <w:tc>
          <w:tcPr>
            <w:tcW w:w="1020" w:type="dxa"/>
            <w:vAlign w:val="center"/>
          </w:tcPr>
          <w:p w14:paraId="47145F73">
            <w:pPr>
              <w:adjustRightInd w:val="0"/>
              <w:snapToGrid w:val="0"/>
              <w:rPr>
                <w:rFonts w:eastAsia="宋体"/>
                <w:color w:val="auto"/>
                <w:sz w:val="24"/>
                <w:szCs w:val="24"/>
                <w:highlight w:val="none"/>
              </w:rPr>
            </w:pPr>
          </w:p>
        </w:tc>
      </w:tr>
      <w:tr w14:paraId="20A4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2A67971">
            <w:pPr>
              <w:adjustRightInd w:val="0"/>
              <w:snapToGrid w:val="0"/>
              <w:rPr>
                <w:rFonts w:eastAsia="宋体"/>
                <w:color w:val="auto"/>
                <w:sz w:val="24"/>
                <w:szCs w:val="24"/>
                <w:highlight w:val="none"/>
              </w:rPr>
            </w:pPr>
          </w:p>
        </w:tc>
        <w:tc>
          <w:tcPr>
            <w:tcW w:w="1620" w:type="dxa"/>
            <w:vAlign w:val="center"/>
          </w:tcPr>
          <w:p w14:paraId="6F0A9B33">
            <w:pPr>
              <w:adjustRightInd w:val="0"/>
              <w:snapToGrid w:val="0"/>
              <w:rPr>
                <w:rFonts w:eastAsia="宋体"/>
                <w:color w:val="auto"/>
                <w:sz w:val="24"/>
                <w:szCs w:val="24"/>
                <w:highlight w:val="none"/>
              </w:rPr>
            </w:pPr>
          </w:p>
        </w:tc>
        <w:tc>
          <w:tcPr>
            <w:tcW w:w="2700" w:type="dxa"/>
            <w:vAlign w:val="center"/>
          </w:tcPr>
          <w:p w14:paraId="6779EC3C">
            <w:pPr>
              <w:adjustRightInd w:val="0"/>
              <w:snapToGrid w:val="0"/>
              <w:rPr>
                <w:rFonts w:eastAsia="宋体"/>
                <w:color w:val="auto"/>
                <w:sz w:val="24"/>
                <w:szCs w:val="24"/>
                <w:highlight w:val="none"/>
              </w:rPr>
            </w:pPr>
          </w:p>
        </w:tc>
        <w:tc>
          <w:tcPr>
            <w:tcW w:w="3225" w:type="dxa"/>
            <w:gridSpan w:val="2"/>
            <w:vAlign w:val="center"/>
          </w:tcPr>
          <w:p w14:paraId="7CF9E34E">
            <w:pPr>
              <w:adjustRightInd w:val="0"/>
              <w:snapToGrid w:val="0"/>
              <w:rPr>
                <w:rFonts w:eastAsia="宋体"/>
                <w:color w:val="auto"/>
                <w:sz w:val="24"/>
                <w:szCs w:val="24"/>
                <w:highlight w:val="none"/>
              </w:rPr>
            </w:pPr>
          </w:p>
        </w:tc>
        <w:tc>
          <w:tcPr>
            <w:tcW w:w="1020" w:type="dxa"/>
            <w:vAlign w:val="center"/>
          </w:tcPr>
          <w:p w14:paraId="20BAEAE7">
            <w:pPr>
              <w:adjustRightInd w:val="0"/>
              <w:snapToGrid w:val="0"/>
              <w:rPr>
                <w:rFonts w:eastAsia="宋体"/>
                <w:color w:val="auto"/>
                <w:sz w:val="24"/>
                <w:szCs w:val="24"/>
                <w:highlight w:val="none"/>
              </w:rPr>
            </w:pPr>
          </w:p>
        </w:tc>
      </w:tr>
      <w:tr w14:paraId="57CE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061800">
            <w:pPr>
              <w:adjustRightInd w:val="0"/>
              <w:snapToGrid w:val="0"/>
              <w:rPr>
                <w:rFonts w:eastAsia="宋体"/>
                <w:color w:val="auto"/>
                <w:sz w:val="24"/>
                <w:szCs w:val="24"/>
                <w:highlight w:val="none"/>
              </w:rPr>
            </w:pPr>
          </w:p>
        </w:tc>
        <w:tc>
          <w:tcPr>
            <w:tcW w:w="1620" w:type="dxa"/>
            <w:vAlign w:val="center"/>
          </w:tcPr>
          <w:p w14:paraId="27094454">
            <w:pPr>
              <w:adjustRightInd w:val="0"/>
              <w:snapToGrid w:val="0"/>
              <w:rPr>
                <w:rFonts w:eastAsia="宋体"/>
                <w:color w:val="auto"/>
                <w:sz w:val="24"/>
                <w:szCs w:val="24"/>
                <w:highlight w:val="none"/>
              </w:rPr>
            </w:pPr>
          </w:p>
        </w:tc>
        <w:tc>
          <w:tcPr>
            <w:tcW w:w="2700" w:type="dxa"/>
            <w:vAlign w:val="center"/>
          </w:tcPr>
          <w:p w14:paraId="55338934">
            <w:pPr>
              <w:adjustRightInd w:val="0"/>
              <w:snapToGrid w:val="0"/>
              <w:rPr>
                <w:rFonts w:eastAsia="宋体"/>
                <w:color w:val="auto"/>
                <w:sz w:val="24"/>
                <w:szCs w:val="24"/>
                <w:highlight w:val="none"/>
              </w:rPr>
            </w:pPr>
          </w:p>
        </w:tc>
        <w:tc>
          <w:tcPr>
            <w:tcW w:w="3225" w:type="dxa"/>
            <w:gridSpan w:val="2"/>
            <w:vAlign w:val="center"/>
          </w:tcPr>
          <w:p w14:paraId="72922E49">
            <w:pPr>
              <w:adjustRightInd w:val="0"/>
              <w:snapToGrid w:val="0"/>
              <w:rPr>
                <w:rFonts w:eastAsia="宋体"/>
                <w:color w:val="auto"/>
                <w:sz w:val="24"/>
                <w:szCs w:val="24"/>
                <w:highlight w:val="none"/>
              </w:rPr>
            </w:pPr>
          </w:p>
        </w:tc>
        <w:tc>
          <w:tcPr>
            <w:tcW w:w="1020" w:type="dxa"/>
            <w:vAlign w:val="center"/>
          </w:tcPr>
          <w:p w14:paraId="091037A7">
            <w:pPr>
              <w:adjustRightInd w:val="0"/>
              <w:snapToGrid w:val="0"/>
              <w:rPr>
                <w:rFonts w:eastAsia="宋体"/>
                <w:color w:val="auto"/>
                <w:sz w:val="24"/>
                <w:szCs w:val="24"/>
                <w:highlight w:val="none"/>
              </w:rPr>
            </w:pPr>
          </w:p>
        </w:tc>
      </w:tr>
      <w:tr w14:paraId="461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EB20D6">
            <w:pPr>
              <w:adjustRightInd w:val="0"/>
              <w:snapToGrid w:val="0"/>
              <w:rPr>
                <w:rFonts w:eastAsia="宋体"/>
                <w:color w:val="auto"/>
                <w:sz w:val="24"/>
                <w:szCs w:val="24"/>
                <w:highlight w:val="none"/>
              </w:rPr>
            </w:pPr>
          </w:p>
        </w:tc>
        <w:tc>
          <w:tcPr>
            <w:tcW w:w="1620" w:type="dxa"/>
            <w:vAlign w:val="center"/>
          </w:tcPr>
          <w:p w14:paraId="7081B6E1">
            <w:pPr>
              <w:adjustRightInd w:val="0"/>
              <w:snapToGrid w:val="0"/>
              <w:rPr>
                <w:rFonts w:eastAsia="宋体"/>
                <w:color w:val="auto"/>
                <w:sz w:val="24"/>
                <w:szCs w:val="24"/>
                <w:highlight w:val="none"/>
              </w:rPr>
            </w:pPr>
          </w:p>
        </w:tc>
        <w:tc>
          <w:tcPr>
            <w:tcW w:w="2700" w:type="dxa"/>
            <w:vAlign w:val="center"/>
          </w:tcPr>
          <w:p w14:paraId="6430E6F8">
            <w:pPr>
              <w:adjustRightInd w:val="0"/>
              <w:snapToGrid w:val="0"/>
              <w:rPr>
                <w:rFonts w:eastAsia="宋体"/>
                <w:color w:val="auto"/>
                <w:sz w:val="24"/>
                <w:szCs w:val="24"/>
                <w:highlight w:val="none"/>
              </w:rPr>
            </w:pPr>
          </w:p>
        </w:tc>
        <w:tc>
          <w:tcPr>
            <w:tcW w:w="3225" w:type="dxa"/>
            <w:gridSpan w:val="2"/>
            <w:vAlign w:val="center"/>
          </w:tcPr>
          <w:p w14:paraId="0E2E3FD0">
            <w:pPr>
              <w:adjustRightInd w:val="0"/>
              <w:snapToGrid w:val="0"/>
              <w:rPr>
                <w:rFonts w:eastAsia="宋体"/>
                <w:color w:val="auto"/>
                <w:sz w:val="24"/>
                <w:szCs w:val="24"/>
                <w:highlight w:val="none"/>
              </w:rPr>
            </w:pPr>
          </w:p>
        </w:tc>
        <w:tc>
          <w:tcPr>
            <w:tcW w:w="1020" w:type="dxa"/>
            <w:vAlign w:val="center"/>
          </w:tcPr>
          <w:p w14:paraId="40821417">
            <w:pPr>
              <w:adjustRightInd w:val="0"/>
              <w:snapToGrid w:val="0"/>
              <w:rPr>
                <w:rFonts w:eastAsia="宋体"/>
                <w:color w:val="auto"/>
                <w:sz w:val="24"/>
                <w:szCs w:val="24"/>
                <w:highlight w:val="none"/>
              </w:rPr>
            </w:pPr>
          </w:p>
        </w:tc>
      </w:tr>
      <w:tr w14:paraId="260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1C07A8CC">
            <w:pPr>
              <w:adjustRightInd w:val="0"/>
              <w:snapToGrid w:val="0"/>
              <w:rPr>
                <w:rFonts w:eastAsia="宋体"/>
                <w:color w:val="auto"/>
                <w:sz w:val="24"/>
                <w:szCs w:val="24"/>
                <w:highlight w:val="none"/>
              </w:rPr>
            </w:pPr>
          </w:p>
        </w:tc>
        <w:tc>
          <w:tcPr>
            <w:tcW w:w="1620" w:type="dxa"/>
            <w:vAlign w:val="center"/>
          </w:tcPr>
          <w:p w14:paraId="6BE5B337">
            <w:pPr>
              <w:adjustRightInd w:val="0"/>
              <w:snapToGrid w:val="0"/>
              <w:rPr>
                <w:rFonts w:eastAsia="宋体"/>
                <w:color w:val="auto"/>
                <w:sz w:val="24"/>
                <w:szCs w:val="24"/>
                <w:highlight w:val="none"/>
              </w:rPr>
            </w:pPr>
          </w:p>
        </w:tc>
        <w:tc>
          <w:tcPr>
            <w:tcW w:w="2700" w:type="dxa"/>
            <w:vAlign w:val="center"/>
          </w:tcPr>
          <w:p w14:paraId="27DDA27C">
            <w:pPr>
              <w:adjustRightInd w:val="0"/>
              <w:snapToGrid w:val="0"/>
              <w:rPr>
                <w:rFonts w:eastAsia="宋体"/>
                <w:color w:val="auto"/>
                <w:sz w:val="24"/>
                <w:szCs w:val="24"/>
                <w:highlight w:val="none"/>
              </w:rPr>
            </w:pPr>
          </w:p>
        </w:tc>
        <w:tc>
          <w:tcPr>
            <w:tcW w:w="3225" w:type="dxa"/>
            <w:gridSpan w:val="2"/>
            <w:vAlign w:val="center"/>
          </w:tcPr>
          <w:p w14:paraId="1BF64446">
            <w:pPr>
              <w:adjustRightInd w:val="0"/>
              <w:snapToGrid w:val="0"/>
              <w:rPr>
                <w:rFonts w:eastAsia="宋体"/>
                <w:color w:val="auto"/>
                <w:sz w:val="24"/>
                <w:szCs w:val="24"/>
                <w:highlight w:val="none"/>
              </w:rPr>
            </w:pPr>
          </w:p>
        </w:tc>
        <w:tc>
          <w:tcPr>
            <w:tcW w:w="1020" w:type="dxa"/>
            <w:vAlign w:val="center"/>
          </w:tcPr>
          <w:p w14:paraId="4E07DB7B">
            <w:pPr>
              <w:adjustRightInd w:val="0"/>
              <w:snapToGrid w:val="0"/>
              <w:rPr>
                <w:rFonts w:eastAsia="宋体"/>
                <w:color w:val="auto"/>
                <w:sz w:val="24"/>
                <w:szCs w:val="24"/>
                <w:highlight w:val="none"/>
              </w:rPr>
            </w:pPr>
          </w:p>
        </w:tc>
      </w:tr>
    </w:tbl>
    <w:p w14:paraId="22AA5F1C">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5F3CF2D7">
      <w:pPr>
        <w:adjustRightInd w:val="0"/>
        <w:snapToGrid w:val="0"/>
        <w:rPr>
          <w:rFonts w:eastAsia="宋体"/>
          <w:color w:val="auto"/>
          <w:sz w:val="24"/>
          <w:szCs w:val="24"/>
          <w:highlight w:val="none"/>
        </w:rPr>
      </w:pPr>
      <w:r>
        <w:rPr>
          <w:rFonts w:eastAsia="宋体"/>
          <w:color w:val="auto"/>
          <w:sz w:val="24"/>
          <w:szCs w:val="24"/>
          <w:highlight w:val="none"/>
        </w:rPr>
        <w:t>说明：</w:t>
      </w:r>
    </w:p>
    <w:p w14:paraId="1D4A9C9B">
      <w:pPr>
        <w:adjustRightInd w:val="0"/>
        <w:snapToGrid w:val="0"/>
        <w:rPr>
          <w:rFonts w:eastAsia="宋体"/>
          <w:color w:val="auto"/>
          <w:sz w:val="24"/>
          <w:szCs w:val="24"/>
          <w:highlight w:val="none"/>
        </w:rPr>
      </w:pPr>
      <w:r>
        <w:rPr>
          <w:rFonts w:eastAsia="宋体"/>
          <w:color w:val="auto"/>
          <w:sz w:val="24"/>
          <w:szCs w:val="24"/>
          <w:highlight w:val="none"/>
        </w:rPr>
        <w:t>1.如果行数不够，请自行增加。</w:t>
      </w:r>
    </w:p>
    <w:p w14:paraId="46F4E8DC">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2.响应人应对照磋商文件“第三章 采购需求”的相关要求，将自身响应的偏离情况（与磋商文件要求不一致的地方）详细填入上表，并注明“正偏离/负偏离”；若未填写上表，视为完全响应。</w:t>
      </w:r>
    </w:p>
    <w:p w14:paraId="5C10F5E2">
      <w:pPr>
        <w:adjustRightInd w:val="0"/>
        <w:snapToGrid w:val="0"/>
        <w:spacing w:line="450" w:lineRule="exact"/>
        <w:ind w:right="-161" w:firstLine="520" w:firstLineChars="200"/>
        <w:rPr>
          <w:rFonts w:eastAsia="宋体"/>
          <w:color w:val="auto"/>
          <w:sz w:val="24"/>
          <w:szCs w:val="24"/>
          <w:highlight w:val="none"/>
        </w:rPr>
      </w:pPr>
      <w:r>
        <w:rPr>
          <w:color w:val="auto"/>
          <w:highlight w:val="none"/>
        </w:rPr>
        <w:br w:type="page"/>
      </w:r>
    </w:p>
    <w:p w14:paraId="02992A05">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1</w:t>
      </w:r>
      <w:r>
        <w:rPr>
          <w:rFonts w:eastAsia="宋体"/>
          <w:color w:val="auto"/>
          <w:sz w:val="24"/>
          <w:szCs w:val="24"/>
          <w:highlight w:val="none"/>
        </w:rPr>
        <w:t>：磋商供应商针对本项目提供的后续服务承诺及服务条款，针对本项目提供的日常技术服务支持、服务沟通、项目工作进度保障措施等具体内容及方案；</w:t>
      </w:r>
    </w:p>
    <w:p w14:paraId="0862096A">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（格式自拟）</w:t>
      </w:r>
    </w:p>
    <w:p w14:paraId="13723F80">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2</w:t>
      </w:r>
      <w:r>
        <w:rPr>
          <w:rFonts w:eastAsia="宋体"/>
          <w:color w:val="auto"/>
          <w:sz w:val="24"/>
          <w:szCs w:val="24"/>
          <w:highlight w:val="none"/>
        </w:rPr>
        <w:t>：评审标准中所涉及的其他材料，以及供应商认为有必要的其他证明资料；</w:t>
      </w:r>
    </w:p>
    <w:p w14:paraId="1106EFA4">
      <w:pPr>
        <w:tabs>
          <w:tab w:val="left" w:pos="0"/>
        </w:tabs>
        <w:autoSpaceDE w:val="0"/>
        <w:autoSpaceDN w:val="0"/>
        <w:adjustRightInd w:val="0"/>
        <w:snapToGrid w:val="0"/>
        <w:spacing w:line="450" w:lineRule="exact"/>
        <w:ind w:firstLine="502"/>
        <w:rPr>
          <w:rFonts w:eastAsia="宋体"/>
          <w:color w:val="auto"/>
          <w:sz w:val="24"/>
          <w:szCs w:val="24"/>
          <w:highlight w:val="none"/>
        </w:rPr>
      </w:pPr>
      <w:r>
        <w:rPr>
          <w:rFonts w:eastAsia="宋体"/>
          <w:b/>
          <w:bCs/>
          <w:color w:val="auto"/>
          <w:sz w:val="24"/>
          <w:szCs w:val="24"/>
          <w:highlight w:val="none"/>
          <w:lang w:val="zh-CN"/>
        </w:rPr>
        <w:t>注：供应商所提交的其他资料文件的完整与否，将直接影响对供应商是否实质性响应采购文件要求的评判或评分。</w:t>
      </w:r>
    </w:p>
    <w:p w14:paraId="543DF4A9">
      <w:pPr>
        <w:adjustRightInd w:val="0"/>
        <w:snapToGrid w:val="0"/>
        <w:rPr>
          <w:rFonts w:eastAsia="宋体"/>
          <w:color w:val="auto"/>
          <w:sz w:val="24"/>
          <w:szCs w:val="24"/>
          <w:highlight w:val="none"/>
        </w:rPr>
      </w:pPr>
    </w:p>
    <w:p w14:paraId="314EC895">
      <w:pPr>
        <w:adjustRightInd w:val="0"/>
        <w:snapToGrid w:val="0"/>
        <w:jc w:val="center"/>
        <w:rPr>
          <w:rFonts w:eastAsia="宋体"/>
          <w:color w:val="auto"/>
          <w:sz w:val="24"/>
          <w:szCs w:val="24"/>
          <w:highlight w:val="none"/>
        </w:rPr>
      </w:pPr>
      <w:r>
        <w:rPr>
          <w:rFonts w:eastAsia="宋体"/>
          <w:color w:val="auto"/>
          <w:sz w:val="24"/>
          <w:szCs w:val="24"/>
          <w:highlight w:val="none"/>
        </w:rPr>
        <w:t>（格式自拟）</w:t>
      </w:r>
    </w:p>
    <w:p w14:paraId="6D6369F1">
      <w:pPr>
        <w:adjustRightInd w:val="0"/>
        <w:snapToGrid w:val="0"/>
        <w:rPr>
          <w:rFonts w:eastAsia="宋体"/>
          <w:b/>
          <w:bCs/>
          <w:color w:val="auto"/>
          <w:sz w:val="24"/>
          <w:szCs w:val="24"/>
          <w:highlight w:val="none"/>
        </w:rPr>
      </w:pPr>
    </w:p>
    <w:p w14:paraId="4A69865A">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r>
      <w:r>
        <w:rPr>
          <w:rFonts w:eastAsia="宋体"/>
          <w:b/>
          <w:bCs/>
          <w:color w:val="auto"/>
          <w:spacing w:val="20"/>
          <w:sz w:val="24"/>
          <w:szCs w:val="24"/>
          <w:highlight w:val="none"/>
        </w:rPr>
        <w:t>格式1</w:t>
      </w:r>
      <w:r>
        <w:rPr>
          <w:rFonts w:hint="eastAsia" w:eastAsia="宋体"/>
          <w:b/>
          <w:bCs/>
          <w:color w:val="auto"/>
          <w:spacing w:val="20"/>
          <w:sz w:val="24"/>
          <w:szCs w:val="24"/>
          <w:highlight w:val="none"/>
        </w:rPr>
        <w:t>3</w:t>
      </w:r>
      <w:r>
        <w:rPr>
          <w:rFonts w:eastAsia="宋体"/>
          <w:b/>
          <w:bCs/>
          <w:color w:val="auto"/>
          <w:spacing w:val="20"/>
          <w:sz w:val="24"/>
          <w:szCs w:val="24"/>
          <w:highlight w:val="none"/>
        </w:rPr>
        <w:t>：</w:t>
      </w:r>
      <w:r>
        <w:rPr>
          <w:rFonts w:eastAsia="宋体"/>
          <w:b/>
          <w:bCs/>
          <w:color w:val="auto"/>
          <w:spacing w:val="20"/>
          <w:sz w:val="24"/>
          <w:szCs w:val="24"/>
          <w:highlight w:val="none"/>
          <w:u w:val="single"/>
        </w:rPr>
        <w:t>政策功能声明格式（请务必谨慎如实填报，如享受相关评审政策，需在报价函详细清单中一一对应，否则不予认可。）</w:t>
      </w:r>
    </w:p>
    <w:p w14:paraId="175F169A">
      <w:pPr>
        <w:spacing w:line="440" w:lineRule="exact"/>
        <w:rPr>
          <w:rFonts w:eastAsia="宋体"/>
          <w:color w:val="auto"/>
          <w:sz w:val="24"/>
          <w:szCs w:val="24"/>
          <w:highlight w:val="none"/>
        </w:rPr>
      </w:pPr>
      <w:r>
        <w:rPr>
          <w:rFonts w:eastAsia="宋体"/>
          <w:color w:val="auto"/>
          <w:sz w:val="24"/>
          <w:szCs w:val="24"/>
          <w:highlight w:val="none"/>
        </w:rPr>
        <w:t>企业声明函格式</w:t>
      </w:r>
    </w:p>
    <w:p w14:paraId="01EAC4F3">
      <w:pPr>
        <w:spacing w:line="360" w:lineRule="auto"/>
        <w:jc w:val="center"/>
        <w:rPr>
          <w:rFonts w:hint="eastAsia" w:ascii="宋体" w:hAnsi="宋体" w:eastAsia="宋体" w:cs="宋体"/>
          <w:b/>
          <w:bCs/>
          <w:color w:val="auto"/>
          <w:sz w:val="24"/>
          <w:szCs w:val="24"/>
          <w:highlight w:val="none"/>
        </w:rPr>
      </w:pPr>
      <w:bookmarkStart w:id="84" w:name="OLE_LINK14"/>
      <w:bookmarkStart w:id="85" w:name="OLE_LINK13"/>
      <w:r>
        <w:rPr>
          <w:rFonts w:hint="eastAsia" w:ascii="宋体" w:hAnsi="宋体" w:eastAsia="宋体" w:cs="宋体"/>
          <w:b/>
          <w:bCs/>
          <w:color w:val="auto"/>
          <w:sz w:val="24"/>
          <w:szCs w:val="24"/>
          <w:highlight w:val="none"/>
        </w:rPr>
        <w:t>中小企业声明函（工程）</w:t>
      </w:r>
    </w:p>
    <w:p w14:paraId="29563845">
      <w:pPr>
        <w:spacing w:line="360" w:lineRule="auto"/>
        <w:ind w:firstLine="360" w:firstLineChars="15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 xml:space="preserve">  </w:t>
      </w:r>
      <w:r>
        <w:rPr>
          <w:rFonts w:hint="eastAsia" w:ascii="宋体" w:hAnsi="宋体" w:eastAsia="宋体" w:cs="宋体"/>
          <w:color w:val="auto"/>
          <w:sz w:val="24"/>
          <w:szCs w:val="24"/>
          <w:highlight w:val="none"/>
        </w:rPr>
        <w:t>本公司郑重声明，根据《政府采购促进中小企业发展管理办法》(财库〔2020〕46号)的规定，本公司（联合体）参加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组织的</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i/>
          <w:color w:val="auto"/>
          <w:sz w:val="24"/>
          <w:szCs w:val="24"/>
          <w:highlight w:val="none"/>
          <w:u w:val="single"/>
        </w:rPr>
        <w:t>* * *</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的采购活动</w:t>
      </w:r>
      <w:r>
        <w:rPr>
          <w:rFonts w:hint="eastAsia" w:ascii="宋体" w:hAnsi="宋体" w:eastAsia="宋体" w:cs="宋体"/>
          <w:snapToGrid w:val="0"/>
          <w:color w:val="auto"/>
          <w:kern w:val="0"/>
          <w:sz w:val="24"/>
          <w:szCs w:val="24"/>
          <w:highlight w:val="none"/>
        </w:rPr>
        <w:t>，提供的服务全部由符合政策要求的中小企业承接。</w:t>
      </w:r>
      <w:r>
        <w:rPr>
          <w:rFonts w:hint="eastAsia" w:ascii="宋体" w:hAnsi="宋体" w:eastAsia="宋体" w:cs="宋体"/>
          <w:color w:val="auto"/>
          <w:sz w:val="24"/>
          <w:szCs w:val="24"/>
          <w:highlight w:val="none"/>
        </w:rPr>
        <w:t>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009ACBE2">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[标的名称] ，属于</w:t>
      </w:r>
      <w:r>
        <w:rPr>
          <w:rFonts w:hint="eastAsia" w:ascii="宋体" w:hAnsi="宋体" w:eastAsia="宋体" w:cs="宋体"/>
          <w:b/>
          <w:bCs/>
          <w:snapToGrid w:val="0"/>
          <w:color w:val="auto"/>
          <w:kern w:val="0"/>
          <w:sz w:val="24"/>
          <w:szCs w:val="24"/>
          <w:highlight w:val="none"/>
          <w:u w:val="single"/>
        </w:rPr>
        <w:t xml:space="preserve">（需填入采购文件明确的所属行业） </w:t>
      </w:r>
      <w:r>
        <w:rPr>
          <w:rFonts w:hint="eastAsia" w:ascii="宋体" w:hAnsi="宋体" w:eastAsia="宋体" w:cs="宋体"/>
          <w:snapToGrid w:val="0"/>
          <w:color w:val="auto"/>
          <w:kern w:val="0"/>
          <w:sz w:val="24"/>
          <w:szCs w:val="24"/>
          <w:highlight w:val="none"/>
        </w:rPr>
        <w:t>行业；承接企业为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2615B397">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 [标的名称] ，属于</w:t>
      </w:r>
      <w:r>
        <w:rPr>
          <w:rFonts w:hint="eastAsia" w:ascii="宋体" w:hAnsi="宋体" w:eastAsia="宋体" w:cs="宋体"/>
          <w:b/>
          <w:bCs/>
          <w:snapToGrid w:val="0"/>
          <w:color w:val="auto"/>
          <w:kern w:val="0"/>
          <w:sz w:val="24"/>
          <w:szCs w:val="24"/>
          <w:highlight w:val="none"/>
          <w:u w:val="single"/>
        </w:rPr>
        <w:t>（需填入采购文件明确的所属行业）</w:t>
      </w:r>
      <w:r>
        <w:rPr>
          <w:rFonts w:hint="eastAsia" w:ascii="宋体" w:hAnsi="宋体" w:eastAsia="宋体" w:cs="宋体"/>
          <w:snapToGrid w:val="0"/>
          <w:color w:val="auto"/>
          <w:kern w:val="0"/>
          <w:sz w:val="24"/>
          <w:szCs w:val="24"/>
          <w:highlight w:val="none"/>
          <w:u w:val="single"/>
        </w:rPr>
        <w:t>行</w:t>
      </w:r>
      <w:r>
        <w:rPr>
          <w:rFonts w:hint="eastAsia" w:ascii="宋体" w:hAnsi="宋体" w:eastAsia="宋体" w:cs="宋体"/>
          <w:snapToGrid w:val="0"/>
          <w:color w:val="auto"/>
          <w:kern w:val="0"/>
          <w:sz w:val="24"/>
          <w:szCs w:val="24"/>
          <w:highlight w:val="none"/>
        </w:rPr>
        <w:t>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0F76CFD3">
      <w:pPr>
        <w:spacing w:line="360" w:lineRule="auto"/>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p>
    <w:p w14:paraId="03FF0909">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以上企业，不属于大企业的分支机构，不存在控股股东为大企业的情形，也不存在与大企业的负责人为同一人的情形。</w:t>
      </w:r>
    </w:p>
    <w:p w14:paraId="2BEF146C">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如组成联合体或者接受分包合同的中小企业与联合体内的其他企业，分包企业之间不存在直接控制、管理关系；</w:t>
      </w:r>
    </w:p>
    <w:p w14:paraId="5979D7D0">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本企业对上述声明内容的真实性负责。如有虚假，将依法承担相应责任。</w:t>
      </w:r>
    </w:p>
    <w:p w14:paraId="1A7E85BB">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备注：</w:t>
      </w:r>
    </w:p>
    <w:p w14:paraId="19AF427E">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(1)从业人员、营业收入、资产总额填报上一年度数据，无上一年度数据的新成立企业可不填报。</w:t>
      </w:r>
    </w:p>
    <w:p w14:paraId="18143F13">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(2)上述“相关企业”包括：拟承接本项目全部服务的中小企业、联合体中的中小企业、签订分包意向协议的中小企业；</w:t>
      </w:r>
    </w:p>
    <w:p w14:paraId="2C15EF93">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(3)供应商如未按要求提供此声明函，报价将不做相应扣除；中标（成交）供应商如享受本项目中小企业扶持政策的，其《中小企业声明函》将随本项目的中标（成交）结果同时公告，接受社会监督；</w:t>
      </w:r>
    </w:p>
    <w:p w14:paraId="3528FFC6">
      <w:pPr>
        <w:spacing w:line="360" w:lineRule="auto"/>
        <w:jc w:val="center"/>
        <w:rPr>
          <w:rFonts w:eastAsia="宋体"/>
          <w:color w:val="auto"/>
          <w:sz w:val="24"/>
          <w:szCs w:val="24"/>
          <w:highlight w:val="none"/>
        </w:rPr>
      </w:pPr>
      <w:r>
        <w:rPr>
          <w:rFonts w:hint="eastAsia" w:ascii="宋体" w:hAnsi="宋体" w:eastAsia="宋体" w:cs="宋体"/>
          <w:snapToGrid w:val="0"/>
          <w:color w:val="auto"/>
          <w:kern w:val="0"/>
          <w:sz w:val="24"/>
          <w:szCs w:val="24"/>
          <w:highlight w:val="none"/>
        </w:rPr>
        <w:t xml:space="preserve">                          企业名称（加盖CA电子公章）：         日 期：</w:t>
      </w:r>
    </w:p>
    <w:p w14:paraId="7580C601">
      <w:pPr>
        <w:spacing w:line="440" w:lineRule="exact"/>
        <w:jc w:val="center"/>
        <w:rPr>
          <w:rFonts w:eastAsia="宋体"/>
          <w:color w:val="auto"/>
          <w:sz w:val="24"/>
          <w:szCs w:val="24"/>
          <w:highlight w:val="none"/>
        </w:rPr>
      </w:pPr>
      <w:r>
        <w:rPr>
          <w:rFonts w:eastAsia="宋体"/>
          <w:color w:val="auto"/>
          <w:sz w:val="24"/>
          <w:szCs w:val="24"/>
          <w:highlight w:val="none"/>
        </w:rPr>
        <w:t>残疾人福利性单位声明函</w:t>
      </w:r>
    </w:p>
    <w:bookmarkEnd w:id="84"/>
    <w:bookmarkEnd w:id="85"/>
    <w:p w14:paraId="2942C45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本单位郑重声明，根据《财政部 民政部 中国残疾人联合会关于促进残疾人就业政府采购政策的通知》（财库</w:t>
      </w:r>
      <w:r>
        <w:rPr>
          <w:rFonts w:hint="eastAsia" w:eastAsia="宋体"/>
          <w:color w:val="auto"/>
          <w:sz w:val="24"/>
          <w:szCs w:val="24"/>
          <w:highlight w:val="none"/>
        </w:rPr>
        <w:t>〔2017〕141号</w:t>
      </w:r>
      <w:r>
        <w:rPr>
          <w:rFonts w:eastAsia="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44F51">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本单位对上述声明的真实性负责。如有虚假，将依法承担相应责任。</w:t>
      </w:r>
    </w:p>
    <w:p w14:paraId="64BF42F9">
      <w:pPr>
        <w:spacing w:line="440" w:lineRule="exact"/>
        <w:ind w:firstLine="480" w:firstLineChars="200"/>
        <w:rPr>
          <w:rFonts w:eastAsia="宋体"/>
          <w:color w:val="auto"/>
          <w:sz w:val="24"/>
          <w:szCs w:val="24"/>
          <w:highlight w:val="none"/>
        </w:rPr>
      </w:pPr>
      <w:r>
        <w:rPr>
          <w:rFonts w:eastAsia="宋体"/>
          <w:color w:val="auto"/>
          <w:sz w:val="24"/>
          <w:szCs w:val="24"/>
          <w:highlight w:val="none"/>
        </w:rPr>
        <w:t>单位名称（</w:t>
      </w:r>
      <w:r>
        <w:rPr>
          <w:rFonts w:hint="eastAsia" w:eastAsia="宋体"/>
          <w:color w:val="auto"/>
          <w:sz w:val="24"/>
          <w:szCs w:val="24"/>
          <w:highlight w:val="none"/>
        </w:rPr>
        <w:t>加盖CA电子公章</w:t>
      </w:r>
      <w:r>
        <w:rPr>
          <w:rFonts w:eastAsia="宋体"/>
          <w:color w:val="auto"/>
          <w:sz w:val="24"/>
          <w:szCs w:val="24"/>
          <w:highlight w:val="none"/>
        </w:rPr>
        <w:t>）：</w:t>
      </w:r>
    </w:p>
    <w:p w14:paraId="5F5EF37E">
      <w:pPr>
        <w:spacing w:line="440" w:lineRule="exact"/>
        <w:ind w:firstLine="480" w:firstLineChars="200"/>
        <w:rPr>
          <w:rFonts w:eastAsia="宋体"/>
          <w:color w:val="auto"/>
          <w:sz w:val="24"/>
          <w:szCs w:val="24"/>
          <w:highlight w:val="none"/>
        </w:rPr>
      </w:pPr>
      <w:r>
        <w:rPr>
          <w:rFonts w:eastAsia="宋体"/>
          <w:color w:val="auto"/>
          <w:sz w:val="24"/>
          <w:szCs w:val="24"/>
          <w:highlight w:val="none"/>
        </w:rPr>
        <w:t>日  期：</w:t>
      </w:r>
    </w:p>
    <w:p w14:paraId="652AEABF">
      <w:pPr>
        <w:spacing w:line="440" w:lineRule="exact"/>
        <w:ind w:firstLine="480" w:firstLineChars="200"/>
        <w:rPr>
          <w:rFonts w:eastAsia="宋体"/>
          <w:color w:val="auto"/>
          <w:sz w:val="24"/>
          <w:szCs w:val="24"/>
          <w:highlight w:val="none"/>
        </w:rPr>
      </w:pPr>
    </w:p>
    <w:p w14:paraId="550D6F41">
      <w:pPr>
        <w:spacing w:line="440" w:lineRule="exact"/>
        <w:ind w:firstLine="480" w:firstLineChars="200"/>
        <w:rPr>
          <w:rFonts w:eastAsia="宋体"/>
          <w:color w:val="auto"/>
          <w:sz w:val="24"/>
          <w:szCs w:val="24"/>
          <w:highlight w:val="none"/>
        </w:rPr>
      </w:pPr>
    </w:p>
    <w:p w14:paraId="40255F86">
      <w:pPr>
        <w:spacing w:line="440" w:lineRule="exact"/>
        <w:ind w:firstLine="480" w:firstLineChars="200"/>
        <w:rPr>
          <w:rFonts w:eastAsia="宋体"/>
          <w:color w:val="auto"/>
          <w:sz w:val="24"/>
          <w:szCs w:val="24"/>
          <w:highlight w:val="none"/>
        </w:rPr>
      </w:pPr>
    </w:p>
    <w:p w14:paraId="68096B0C">
      <w:pPr>
        <w:spacing w:line="440" w:lineRule="exact"/>
        <w:ind w:firstLine="480" w:firstLineChars="200"/>
        <w:rPr>
          <w:rFonts w:eastAsia="宋体"/>
          <w:color w:val="auto"/>
          <w:sz w:val="24"/>
          <w:szCs w:val="24"/>
          <w:highlight w:val="none"/>
        </w:rPr>
      </w:pPr>
      <w:r>
        <w:rPr>
          <w:rFonts w:eastAsia="宋体"/>
          <w:color w:val="auto"/>
          <w:sz w:val="24"/>
          <w:szCs w:val="24"/>
          <w:highlight w:val="none"/>
        </w:rPr>
        <w:t>属于监狱企业的证明文件</w:t>
      </w:r>
    </w:p>
    <w:p w14:paraId="3AEAE18C">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（提供由省级以上监狱管理局、戒毒管理局（含新疆生产建设兵团）出具的属于监狱企业的证明文件）</w:t>
      </w:r>
    </w:p>
    <w:p w14:paraId="73C2958F">
      <w:pPr>
        <w:spacing w:line="440" w:lineRule="exact"/>
        <w:rPr>
          <w:rFonts w:eastAsia="宋体"/>
          <w:color w:val="auto"/>
          <w:sz w:val="24"/>
          <w:szCs w:val="24"/>
          <w:highlight w:val="none"/>
        </w:rPr>
      </w:pPr>
    </w:p>
    <w:p w14:paraId="15F66160">
      <w:pPr>
        <w:spacing w:line="440" w:lineRule="exact"/>
        <w:ind w:firstLine="480" w:firstLineChars="200"/>
        <w:rPr>
          <w:rFonts w:eastAsia="宋体"/>
          <w:color w:val="auto"/>
          <w:sz w:val="24"/>
          <w:szCs w:val="24"/>
          <w:highlight w:val="none"/>
        </w:rPr>
      </w:pPr>
    </w:p>
    <w:p w14:paraId="2B68E273">
      <w:pPr>
        <w:spacing w:line="440" w:lineRule="exact"/>
        <w:ind w:firstLine="480" w:firstLineChars="200"/>
        <w:rPr>
          <w:rFonts w:eastAsia="宋体"/>
          <w:color w:val="auto"/>
          <w:sz w:val="24"/>
          <w:szCs w:val="24"/>
          <w:highlight w:val="none"/>
        </w:rPr>
      </w:pPr>
    </w:p>
    <w:p w14:paraId="7730125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节能产品认证证书</w:t>
      </w:r>
    </w:p>
    <w:p w14:paraId="36F1E598">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0C7401C9">
      <w:pPr>
        <w:spacing w:line="440" w:lineRule="exact"/>
        <w:ind w:firstLine="480" w:firstLineChars="200"/>
        <w:rPr>
          <w:rFonts w:eastAsia="宋体"/>
          <w:color w:val="auto"/>
          <w:sz w:val="24"/>
          <w:szCs w:val="24"/>
          <w:highlight w:val="none"/>
        </w:rPr>
      </w:pPr>
    </w:p>
    <w:p w14:paraId="4B2EE962">
      <w:pPr>
        <w:spacing w:line="440" w:lineRule="exact"/>
        <w:rPr>
          <w:rFonts w:eastAsia="宋体"/>
          <w:color w:val="auto"/>
          <w:sz w:val="24"/>
          <w:szCs w:val="24"/>
          <w:highlight w:val="none"/>
        </w:rPr>
      </w:pPr>
    </w:p>
    <w:p w14:paraId="35D8401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环境标志产品认证证书</w:t>
      </w:r>
    </w:p>
    <w:p w14:paraId="73838D65">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27E099C4">
      <w:pPr>
        <w:spacing w:line="440" w:lineRule="exact"/>
        <w:ind w:firstLine="480" w:firstLineChars="200"/>
        <w:rPr>
          <w:rFonts w:eastAsia="宋体"/>
          <w:color w:val="auto"/>
          <w:sz w:val="24"/>
          <w:szCs w:val="24"/>
          <w:highlight w:val="none"/>
        </w:rPr>
      </w:pPr>
    </w:p>
    <w:p w14:paraId="426E21B6">
      <w:pPr>
        <w:spacing w:line="440" w:lineRule="exact"/>
        <w:rPr>
          <w:rFonts w:eastAsia="宋体"/>
          <w:color w:val="auto"/>
          <w:sz w:val="24"/>
          <w:szCs w:val="24"/>
          <w:highlight w:val="none"/>
        </w:rPr>
      </w:pPr>
    </w:p>
    <w:p w14:paraId="7E2FF2D1">
      <w:pPr>
        <w:spacing w:line="440" w:lineRule="exact"/>
        <w:rPr>
          <w:rFonts w:eastAsia="宋体"/>
          <w:color w:val="auto"/>
          <w:sz w:val="24"/>
          <w:szCs w:val="24"/>
          <w:highlight w:val="none"/>
        </w:rPr>
      </w:pPr>
    </w:p>
    <w:p w14:paraId="25CBE84E">
      <w:pPr>
        <w:spacing w:line="440" w:lineRule="exact"/>
        <w:ind w:firstLine="480" w:firstLineChars="200"/>
        <w:rPr>
          <w:rFonts w:eastAsia="宋体"/>
          <w:color w:val="auto"/>
          <w:sz w:val="24"/>
          <w:szCs w:val="24"/>
          <w:highlight w:val="none"/>
        </w:rPr>
      </w:pPr>
      <w:r>
        <w:rPr>
          <w:rFonts w:eastAsia="宋体"/>
          <w:color w:val="auto"/>
          <w:sz w:val="24"/>
          <w:szCs w:val="24"/>
          <w:highlight w:val="none"/>
        </w:rPr>
        <w:t>进口产品转让技术、消化吸收再创新方案</w:t>
      </w:r>
    </w:p>
    <w:p w14:paraId="27E31973">
      <w:pPr>
        <w:spacing w:line="440" w:lineRule="exact"/>
        <w:ind w:firstLine="480" w:firstLineChars="200"/>
        <w:rPr>
          <w:rFonts w:eastAsia="宋体"/>
          <w:color w:val="auto"/>
          <w:sz w:val="24"/>
          <w:szCs w:val="24"/>
          <w:highlight w:val="none"/>
        </w:rPr>
      </w:pPr>
      <w:r>
        <w:rPr>
          <w:rFonts w:eastAsia="宋体"/>
          <w:color w:val="auto"/>
          <w:sz w:val="24"/>
          <w:szCs w:val="24"/>
          <w:highlight w:val="none"/>
        </w:rPr>
        <w:t>（对于允许进口产品参加的项目）</w:t>
      </w:r>
    </w:p>
    <w:p w14:paraId="4E00D30F">
      <w:pPr>
        <w:spacing w:line="440" w:lineRule="exact"/>
        <w:rPr>
          <w:rFonts w:eastAsia="宋体"/>
          <w:color w:val="auto"/>
          <w:sz w:val="24"/>
          <w:szCs w:val="24"/>
          <w:highlight w:val="none"/>
        </w:rPr>
      </w:pPr>
    </w:p>
    <w:p w14:paraId="15E74A29">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eastAsia="楷体"/>
          <w:color w:val="auto"/>
          <w:highlight w:val="none"/>
        </w:rPr>
      </w:pPr>
      <w:r>
        <w:rPr>
          <w:color w:val="auto"/>
          <w:highlight w:val="none"/>
        </w:rPr>
        <w:br w:type="page"/>
      </w:r>
      <w:bookmarkStart w:id="86" w:name="_Toc12959"/>
      <w:r>
        <w:rPr>
          <w:rFonts w:hint="eastAsia" w:eastAsia="楷体"/>
          <w:color w:val="auto"/>
          <w:highlight w:val="none"/>
        </w:rPr>
        <w:t>第六章  评审方法</w:t>
      </w:r>
      <w:bookmarkEnd w:id="86"/>
    </w:p>
    <w:p w14:paraId="72C6F0B8">
      <w:pPr>
        <w:adjustRightInd w:val="0"/>
        <w:snapToGrid w:val="0"/>
        <w:spacing w:line="450" w:lineRule="exact"/>
        <w:outlineLvl w:val="1"/>
        <w:rPr>
          <w:rFonts w:eastAsia="宋体"/>
          <w:b/>
          <w:bCs/>
          <w:color w:val="auto"/>
          <w:sz w:val="24"/>
          <w:szCs w:val="24"/>
          <w:highlight w:val="none"/>
        </w:rPr>
      </w:pPr>
      <w:r>
        <w:rPr>
          <w:rFonts w:eastAsia="宋体"/>
          <w:b/>
          <w:bCs/>
          <w:color w:val="auto"/>
          <w:sz w:val="24"/>
          <w:szCs w:val="24"/>
          <w:highlight w:val="none"/>
        </w:rPr>
        <w:t>1、综合说明</w:t>
      </w:r>
    </w:p>
    <w:p w14:paraId="1751EF90">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1.1报价包括：完成本项目的全部费用不限于包含人、材、机费、管理费、利润、税金等。在合同期内不做任何调整。</w:t>
      </w:r>
    </w:p>
    <w:p w14:paraId="5BEB5EB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w:t>
      </w:r>
      <w:r>
        <w:rPr>
          <w:rFonts w:eastAsia="宋体"/>
          <w:bCs/>
          <w:color w:val="auto"/>
          <w:sz w:val="24"/>
          <w:szCs w:val="24"/>
          <w:highlight w:val="none"/>
        </w:rPr>
        <w:t>条款为实质性条款不得负偏离），应在文件中逐条列出，未列出的视同响应。</w:t>
      </w:r>
    </w:p>
    <w:p w14:paraId="548470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1.3磋商说明：</w:t>
      </w:r>
    </w:p>
    <w:p w14:paraId="1A36C7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1.3.1不符合供应商资格要求的响应文件将被拒绝；</w:t>
      </w:r>
    </w:p>
    <w:p w14:paraId="2930CD89">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1.3.2参加磋商的供应商必须提供磋商代表的身份证明和法人授权委托书（法定代表人（负责人）为磋商代表的可不提供）；</w:t>
      </w:r>
    </w:p>
    <w:p w14:paraId="079C84F1">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1.3.3响应文件密封和签署不符合要求的，响应文件将被拒绝；</w:t>
      </w:r>
    </w:p>
    <w:p w14:paraId="0915B37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1.3.4最后报价超过采购</w:t>
      </w:r>
      <w:r>
        <w:rPr>
          <w:rFonts w:eastAsia="宋体"/>
          <w:b/>
          <w:bCs/>
          <w:color w:val="auto"/>
          <w:sz w:val="24"/>
          <w:szCs w:val="24"/>
          <w:highlight w:val="none"/>
        </w:rPr>
        <w:t>预算</w:t>
      </w:r>
      <w:r>
        <w:rPr>
          <w:rFonts w:eastAsia="宋体"/>
          <w:bCs/>
          <w:color w:val="auto"/>
          <w:sz w:val="24"/>
          <w:szCs w:val="24"/>
          <w:highlight w:val="none"/>
        </w:rPr>
        <w:t>的，不能成交；</w:t>
      </w:r>
    </w:p>
    <w:p w14:paraId="5C99C958">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1.3.5不实质性响应磋商文件的不能成交；</w:t>
      </w:r>
    </w:p>
    <w:p w14:paraId="56310F65">
      <w:pPr>
        <w:adjustRightInd w:val="0"/>
        <w:snapToGrid w:val="0"/>
        <w:spacing w:line="450" w:lineRule="exact"/>
        <w:ind w:right="260" w:rightChars="100" w:firstLine="480" w:firstLineChars="200"/>
        <w:rPr>
          <w:rFonts w:eastAsia="宋体"/>
          <w:color w:val="auto"/>
          <w:sz w:val="24"/>
          <w:szCs w:val="24"/>
          <w:highlight w:val="none"/>
        </w:rPr>
      </w:pPr>
      <w:r>
        <w:rPr>
          <w:rFonts w:eastAsia="宋体"/>
          <w:bCs/>
          <w:color w:val="auto"/>
          <w:sz w:val="24"/>
          <w:szCs w:val="24"/>
          <w:highlight w:val="none"/>
        </w:rPr>
        <w:t>1.3.6实质性响应磋商文件</w:t>
      </w:r>
      <w:r>
        <w:rPr>
          <w:rFonts w:eastAsia="宋体"/>
          <w:b/>
          <w:bCs/>
          <w:color w:val="auto"/>
          <w:sz w:val="24"/>
          <w:szCs w:val="24"/>
          <w:highlight w:val="none"/>
        </w:rPr>
        <w:t>不满三家</w:t>
      </w:r>
      <w:r>
        <w:rPr>
          <w:rFonts w:eastAsia="宋体"/>
          <w:bCs/>
          <w:color w:val="auto"/>
          <w:sz w:val="24"/>
          <w:szCs w:val="24"/>
          <w:highlight w:val="none"/>
        </w:rPr>
        <w:t>或进入二次报价的</w:t>
      </w:r>
      <w:r>
        <w:rPr>
          <w:rFonts w:eastAsia="宋体"/>
          <w:b/>
          <w:bCs/>
          <w:color w:val="auto"/>
          <w:sz w:val="24"/>
          <w:szCs w:val="24"/>
          <w:highlight w:val="none"/>
        </w:rPr>
        <w:t>不满三家</w:t>
      </w:r>
      <w:r>
        <w:rPr>
          <w:rFonts w:eastAsia="宋体"/>
          <w:bCs/>
          <w:color w:val="auto"/>
          <w:sz w:val="24"/>
          <w:szCs w:val="24"/>
          <w:highlight w:val="none"/>
        </w:rPr>
        <w:t>或二次报价在采购</w:t>
      </w:r>
      <w:r>
        <w:rPr>
          <w:rFonts w:eastAsia="宋体"/>
          <w:b/>
          <w:color w:val="auto"/>
          <w:sz w:val="24"/>
          <w:highlight w:val="none"/>
        </w:rPr>
        <w:t>预算</w:t>
      </w:r>
      <w:r>
        <w:rPr>
          <w:rFonts w:hint="eastAsia" w:eastAsia="宋体"/>
          <w:b/>
          <w:color w:val="auto"/>
          <w:sz w:val="24"/>
          <w:highlight w:val="none"/>
        </w:rPr>
        <w:t>和最高限价</w:t>
      </w:r>
      <w:r>
        <w:rPr>
          <w:rFonts w:eastAsia="宋体"/>
          <w:bCs/>
          <w:color w:val="auto"/>
          <w:sz w:val="24"/>
          <w:szCs w:val="24"/>
          <w:highlight w:val="none"/>
        </w:rPr>
        <w:t>内</w:t>
      </w:r>
      <w:r>
        <w:rPr>
          <w:rFonts w:eastAsia="宋体"/>
          <w:b/>
          <w:bCs/>
          <w:color w:val="auto"/>
          <w:sz w:val="24"/>
          <w:szCs w:val="24"/>
          <w:highlight w:val="none"/>
        </w:rPr>
        <w:t>不满三家</w:t>
      </w:r>
      <w:r>
        <w:rPr>
          <w:rFonts w:eastAsia="宋体"/>
          <w:bCs/>
          <w:color w:val="auto"/>
          <w:sz w:val="24"/>
          <w:szCs w:val="24"/>
          <w:highlight w:val="none"/>
        </w:rPr>
        <w:t>的，采购人（或采购代理机构）应当终止竞争性磋商采购活动，重新开展采购活动</w:t>
      </w:r>
      <w:r>
        <w:rPr>
          <w:rFonts w:eastAsia="宋体"/>
          <w:color w:val="auto"/>
          <w:sz w:val="24"/>
          <w:szCs w:val="24"/>
          <w:highlight w:val="none"/>
        </w:rPr>
        <w:t>（</w:t>
      </w:r>
      <w:r>
        <w:rPr>
          <w:rFonts w:eastAsia="宋体"/>
          <w:b/>
          <w:color w:val="auto"/>
          <w:sz w:val="24"/>
          <w:szCs w:val="24"/>
          <w:highlight w:val="none"/>
        </w:rPr>
        <w:t xml:space="preserve">其中满足财库 </w:t>
      </w:r>
      <w:r>
        <w:rPr>
          <w:rFonts w:hint="eastAsia" w:eastAsia="宋体"/>
          <w:b/>
          <w:color w:val="auto"/>
          <w:sz w:val="24"/>
          <w:szCs w:val="24"/>
          <w:highlight w:val="none"/>
        </w:rPr>
        <w:t>〔2015〕124号</w:t>
      </w:r>
      <w:r>
        <w:rPr>
          <w:rFonts w:eastAsia="宋体"/>
          <w:b/>
          <w:color w:val="auto"/>
          <w:sz w:val="24"/>
          <w:szCs w:val="24"/>
          <w:highlight w:val="none"/>
        </w:rPr>
        <w:t>文规定，2家即可继续进行</w:t>
      </w:r>
      <w:r>
        <w:rPr>
          <w:rFonts w:eastAsia="宋体"/>
          <w:color w:val="auto"/>
          <w:sz w:val="24"/>
          <w:szCs w:val="24"/>
          <w:highlight w:val="none"/>
        </w:rPr>
        <w:t>）。</w:t>
      </w:r>
    </w:p>
    <w:p w14:paraId="5501FAFA">
      <w:pPr>
        <w:adjustRightInd w:val="0"/>
        <w:snapToGrid w:val="0"/>
        <w:spacing w:line="450" w:lineRule="exact"/>
        <w:ind w:firstLine="480" w:firstLineChars="200"/>
        <w:jc w:val="left"/>
        <w:rPr>
          <w:rFonts w:eastAsia="宋体"/>
          <w:bCs/>
          <w:color w:val="auto"/>
          <w:sz w:val="24"/>
          <w:szCs w:val="24"/>
          <w:highlight w:val="none"/>
        </w:rPr>
      </w:pPr>
      <w:r>
        <w:rPr>
          <w:rFonts w:eastAsia="宋体"/>
          <w:bCs/>
          <w:color w:val="auto"/>
          <w:sz w:val="24"/>
          <w:szCs w:val="24"/>
          <w:highlight w:val="none"/>
        </w:rPr>
        <w:t>1.3.7</w:t>
      </w:r>
      <w:r>
        <w:rPr>
          <w:rFonts w:eastAsia="宋体"/>
          <w:color w:val="auto"/>
          <w:sz w:val="24"/>
          <w:szCs w:val="24"/>
          <w:highlight w:val="none"/>
        </w:rPr>
        <w:t>最终合同单价按最终总报价同比例下（上）浮。（磋商过程中特殊说明除外）</w:t>
      </w:r>
    </w:p>
    <w:p w14:paraId="034F94C1">
      <w:pPr>
        <w:adjustRightInd w:val="0"/>
        <w:snapToGrid w:val="0"/>
        <w:spacing w:line="450" w:lineRule="exact"/>
        <w:outlineLvl w:val="1"/>
        <w:rPr>
          <w:rFonts w:eastAsia="宋体"/>
          <w:b/>
          <w:color w:val="auto"/>
          <w:sz w:val="24"/>
          <w:szCs w:val="24"/>
          <w:highlight w:val="none"/>
        </w:rPr>
      </w:pPr>
      <w:r>
        <w:rPr>
          <w:rFonts w:eastAsia="宋体"/>
          <w:b/>
          <w:color w:val="auto"/>
          <w:sz w:val="24"/>
          <w:szCs w:val="24"/>
          <w:highlight w:val="none"/>
        </w:rPr>
        <w:t>2、磋商成交原则及评审方法、标准</w:t>
      </w:r>
    </w:p>
    <w:p w14:paraId="17760C98">
      <w:pPr>
        <w:autoSpaceDE w:val="0"/>
        <w:autoSpaceDN w:val="0"/>
        <w:adjustRightInd w:val="0"/>
        <w:spacing w:line="450" w:lineRule="exact"/>
        <w:ind w:firstLine="480" w:firstLineChars="200"/>
        <w:outlineLvl w:val="2"/>
        <w:rPr>
          <w:rFonts w:eastAsia="宋体"/>
          <w:b/>
          <w:color w:val="auto"/>
          <w:kern w:val="0"/>
          <w:sz w:val="24"/>
          <w:szCs w:val="24"/>
          <w:highlight w:val="none"/>
        </w:rPr>
      </w:pPr>
      <w:r>
        <w:rPr>
          <w:rFonts w:eastAsia="宋体"/>
          <w:color w:val="auto"/>
          <w:kern w:val="0"/>
          <w:sz w:val="24"/>
          <w:szCs w:val="24"/>
          <w:highlight w:val="none"/>
        </w:rPr>
        <w:t>2.1</w:t>
      </w:r>
      <w:r>
        <w:rPr>
          <w:rFonts w:eastAsia="宋体"/>
          <w:b/>
          <w:color w:val="auto"/>
          <w:kern w:val="0"/>
          <w:sz w:val="24"/>
          <w:szCs w:val="24"/>
          <w:highlight w:val="none"/>
        </w:rPr>
        <w:t xml:space="preserve"> 评审方法采用综合评分法。</w:t>
      </w:r>
    </w:p>
    <w:p w14:paraId="0169760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即在最大限度地满足竞争性磋商文件实质性要求前提下，按照竞争性磋商文件中规定的各项因素进行综合评审。</w:t>
      </w:r>
    </w:p>
    <w:p w14:paraId="24858568">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评审时，磋商小组分别对每个有效供应商的响应文件进行评价、打分并汇总；所有评审专家打分的算术平均值为供应商的最终评审得分，评审得分最高者为第一成交候选人。（四舍五入，保留小数点后2位）</w:t>
      </w:r>
    </w:p>
    <w:p w14:paraId="7B20D29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p>
    <w:p w14:paraId="152072A5">
      <w:pPr>
        <w:adjustRightInd w:val="0"/>
        <w:snapToGrid w:val="0"/>
        <w:spacing w:line="450" w:lineRule="exact"/>
        <w:ind w:firstLine="482" w:firstLineChars="200"/>
        <w:outlineLvl w:val="2"/>
        <w:rPr>
          <w:rFonts w:eastAsia="宋体"/>
          <w:b/>
          <w:color w:val="auto"/>
          <w:sz w:val="24"/>
          <w:szCs w:val="24"/>
          <w:highlight w:val="none"/>
        </w:rPr>
      </w:pPr>
      <w:bookmarkStart w:id="87" w:name="_Hlk170897029"/>
      <w:r>
        <w:rPr>
          <w:rFonts w:eastAsia="宋体"/>
          <w:b/>
          <w:color w:val="auto"/>
          <w:sz w:val="24"/>
          <w:szCs w:val="24"/>
          <w:highlight w:val="none"/>
        </w:rPr>
        <w:t>2.2 综合评分标准</w:t>
      </w:r>
    </w:p>
    <w:p w14:paraId="21A2FEEF">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p>
    <w:p w14:paraId="16AA09B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A.价格部分（</w:t>
      </w:r>
      <w:r>
        <w:rPr>
          <w:rFonts w:hint="eastAsia" w:eastAsia="宋体"/>
          <w:b/>
          <w:color w:val="auto"/>
          <w:kern w:val="0"/>
          <w:sz w:val="24"/>
          <w:szCs w:val="24"/>
          <w:highlight w:val="none"/>
        </w:rPr>
        <w:t>30</w:t>
      </w:r>
      <w:r>
        <w:rPr>
          <w:rFonts w:eastAsia="宋体"/>
          <w:b/>
          <w:color w:val="auto"/>
          <w:kern w:val="0"/>
          <w:sz w:val="24"/>
          <w:szCs w:val="24"/>
          <w:highlight w:val="none"/>
        </w:rPr>
        <w:t>分）</w:t>
      </w:r>
    </w:p>
    <w:p w14:paraId="47C7BCF0">
      <w:pPr>
        <w:autoSpaceDE w:val="0"/>
        <w:autoSpaceDN w:val="0"/>
        <w:adjustRightInd w:val="0"/>
        <w:spacing w:line="450" w:lineRule="exact"/>
        <w:ind w:firstLine="480" w:firstLineChars="200"/>
        <w:rPr>
          <w:rFonts w:eastAsia="宋体"/>
          <w:color w:val="auto"/>
          <w:kern w:val="0"/>
          <w:sz w:val="24"/>
          <w:szCs w:val="24"/>
          <w:highlight w:val="none"/>
        </w:rPr>
      </w:pPr>
      <w:bookmarkStart w:id="88" w:name="_Toc15851"/>
      <w:bookmarkStart w:id="89" w:name="_Toc8349"/>
      <w:r>
        <w:rPr>
          <w:rFonts w:eastAsia="宋体"/>
          <w:color w:val="auto"/>
          <w:kern w:val="0"/>
          <w:sz w:val="24"/>
          <w:szCs w:val="24"/>
          <w:highlight w:val="none"/>
        </w:rPr>
        <w:t>磋商报价不高于采购预算</w:t>
      </w:r>
      <w:r>
        <w:rPr>
          <w:rFonts w:hint="eastAsia" w:eastAsia="宋体"/>
          <w:color w:val="auto"/>
          <w:kern w:val="0"/>
          <w:sz w:val="24"/>
          <w:szCs w:val="24"/>
          <w:highlight w:val="none"/>
        </w:rPr>
        <w:t>和最高限价</w:t>
      </w:r>
      <w:r>
        <w:rPr>
          <w:rFonts w:eastAsia="宋体"/>
          <w:color w:val="auto"/>
          <w:kern w:val="0"/>
          <w:sz w:val="24"/>
          <w:szCs w:val="24"/>
          <w:highlight w:val="none"/>
        </w:rPr>
        <w:t>的，为有效磋商报价。高于采购预算</w:t>
      </w:r>
      <w:r>
        <w:rPr>
          <w:rFonts w:hint="eastAsia" w:eastAsia="宋体"/>
          <w:color w:val="auto"/>
          <w:kern w:val="0"/>
          <w:sz w:val="24"/>
          <w:szCs w:val="24"/>
          <w:highlight w:val="none"/>
        </w:rPr>
        <w:t>和最高限价</w:t>
      </w:r>
      <w:r>
        <w:rPr>
          <w:rFonts w:eastAsia="宋体"/>
          <w:color w:val="auto"/>
          <w:kern w:val="0"/>
          <w:sz w:val="24"/>
          <w:szCs w:val="24"/>
          <w:highlight w:val="none"/>
        </w:rPr>
        <w:t>的磋商报价为无效报价，无效报价的响应文件不参与评审，也不得成交。以满足采购文件实质性要求且最后磋商价格最低的有效报价为磋商基准价，该供应商报价得分为满分，即</w:t>
      </w:r>
      <w:r>
        <w:rPr>
          <w:rFonts w:hint="eastAsia" w:eastAsia="宋体"/>
          <w:color w:val="auto"/>
          <w:kern w:val="0"/>
          <w:sz w:val="24"/>
          <w:szCs w:val="24"/>
          <w:highlight w:val="none"/>
        </w:rPr>
        <w:t>30</w:t>
      </w:r>
      <w:r>
        <w:rPr>
          <w:rFonts w:eastAsia="宋体"/>
          <w:color w:val="auto"/>
          <w:kern w:val="0"/>
          <w:sz w:val="24"/>
          <w:szCs w:val="24"/>
          <w:highlight w:val="none"/>
        </w:rPr>
        <w:t>分。其他供应商有效磋商报价得分统一按照下列公式计算：</w:t>
      </w:r>
    </w:p>
    <w:p w14:paraId="30634F07">
      <w:pPr>
        <w:tabs>
          <w:tab w:val="left" w:pos="7920"/>
        </w:tabs>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磋商报价得分＝（磋商基准价/最后磋商报价）×</w:t>
      </w:r>
      <w:r>
        <w:rPr>
          <w:rFonts w:hint="eastAsia" w:eastAsia="宋体"/>
          <w:color w:val="auto"/>
          <w:kern w:val="0"/>
          <w:sz w:val="24"/>
          <w:szCs w:val="24"/>
          <w:highlight w:val="none"/>
        </w:rPr>
        <w:t>30</w:t>
      </w:r>
      <w:r>
        <w:rPr>
          <w:rFonts w:eastAsia="宋体"/>
          <w:color w:val="auto"/>
          <w:kern w:val="0"/>
          <w:sz w:val="24"/>
          <w:szCs w:val="24"/>
          <w:highlight w:val="none"/>
        </w:rPr>
        <w:t>%×100</w:t>
      </w:r>
      <w:r>
        <w:rPr>
          <w:rFonts w:hint="eastAsia" w:eastAsia="宋体"/>
          <w:color w:val="auto"/>
          <w:kern w:val="0"/>
          <w:sz w:val="24"/>
          <w:szCs w:val="24"/>
          <w:highlight w:val="none"/>
        </w:rPr>
        <w:t>（小数点保留2位）</w:t>
      </w:r>
      <w:r>
        <w:rPr>
          <w:rFonts w:eastAsia="宋体"/>
          <w:color w:val="auto"/>
          <w:kern w:val="0"/>
          <w:sz w:val="24"/>
          <w:szCs w:val="24"/>
          <w:highlight w:val="none"/>
        </w:rPr>
        <w:tab/>
      </w:r>
    </w:p>
    <w:p w14:paraId="2F71DD5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B.技术及资信等部分（</w:t>
      </w:r>
      <w:r>
        <w:rPr>
          <w:rFonts w:hint="eastAsia" w:eastAsia="宋体"/>
          <w:b/>
          <w:color w:val="auto"/>
          <w:kern w:val="0"/>
          <w:sz w:val="24"/>
          <w:szCs w:val="24"/>
          <w:highlight w:val="none"/>
        </w:rPr>
        <w:t>70</w:t>
      </w:r>
      <w:r>
        <w:rPr>
          <w:rFonts w:eastAsia="宋体"/>
          <w:b/>
          <w:color w:val="auto"/>
          <w:kern w:val="0"/>
          <w:sz w:val="24"/>
          <w:szCs w:val="24"/>
          <w:highlight w:val="none"/>
        </w:rPr>
        <w:t>分）</w:t>
      </w:r>
      <w:bookmarkEnd w:id="88"/>
      <w:bookmarkEnd w:id="89"/>
    </w:p>
    <w:tbl>
      <w:tblPr>
        <w:tblStyle w:val="27"/>
        <w:tblW w:w="48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077"/>
        <w:gridCol w:w="6211"/>
        <w:gridCol w:w="1167"/>
      </w:tblGrid>
      <w:tr w14:paraId="43619B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1107012C">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序号</w:t>
            </w:r>
          </w:p>
        </w:tc>
        <w:tc>
          <w:tcPr>
            <w:tcW w:w="572" w:type="pct"/>
            <w:tcBorders>
              <w:top w:val="single" w:color="auto" w:sz="12" w:space="0"/>
              <w:left w:val="nil"/>
              <w:bottom w:val="single" w:color="auto" w:sz="4" w:space="0"/>
              <w:right w:val="single" w:color="auto" w:sz="4" w:space="0"/>
            </w:tcBorders>
            <w:vAlign w:val="center"/>
          </w:tcPr>
          <w:p w14:paraId="2BDFA4FE">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赋分项目</w:t>
            </w:r>
          </w:p>
        </w:tc>
        <w:tc>
          <w:tcPr>
            <w:tcW w:w="3300" w:type="pct"/>
            <w:tcBorders>
              <w:top w:val="single" w:color="auto" w:sz="12" w:space="0"/>
              <w:left w:val="nil"/>
              <w:bottom w:val="single" w:color="auto" w:sz="4" w:space="0"/>
              <w:right w:val="single" w:color="auto" w:sz="4" w:space="0"/>
            </w:tcBorders>
            <w:vAlign w:val="center"/>
          </w:tcPr>
          <w:p w14:paraId="11920D33">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赋分依据</w:t>
            </w:r>
          </w:p>
        </w:tc>
        <w:tc>
          <w:tcPr>
            <w:tcW w:w="620" w:type="pct"/>
            <w:tcBorders>
              <w:top w:val="single" w:color="auto" w:sz="12" w:space="0"/>
              <w:left w:val="nil"/>
              <w:bottom w:val="single" w:color="auto" w:sz="4" w:space="0"/>
              <w:right w:val="single" w:color="auto" w:sz="12" w:space="0"/>
            </w:tcBorders>
            <w:vAlign w:val="center"/>
          </w:tcPr>
          <w:p w14:paraId="75BB93EB">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赋分值</w:t>
            </w:r>
          </w:p>
        </w:tc>
      </w:tr>
      <w:tr w14:paraId="645522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0DCA285B">
            <w:pPr>
              <w:autoSpaceDE w:val="0"/>
              <w:autoSpaceDN w:val="0"/>
              <w:adjustRightInd w:val="0"/>
              <w:jc w:val="center"/>
              <w:rPr>
                <w:rFonts w:hint="eastAsia" w:ascii="宋体" w:hAnsi="宋体" w:eastAsia="宋体"/>
                <w:b/>
                <w:color w:val="auto"/>
                <w:highlight w:val="none"/>
              </w:rPr>
            </w:pPr>
            <w:r>
              <w:rPr>
                <w:rFonts w:ascii="宋体" w:hAnsi="宋体" w:eastAsia="宋体"/>
                <w:b/>
                <w:color w:val="auto"/>
                <w:highlight w:val="none"/>
              </w:rPr>
              <w:t>1</w:t>
            </w:r>
          </w:p>
        </w:tc>
        <w:tc>
          <w:tcPr>
            <w:tcW w:w="572" w:type="pct"/>
            <w:tcBorders>
              <w:top w:val="single" w:color="auto" w:sz="12" w:space="0"/>
              <w:left w:val="nil"/>
              <w:bottom w:val="single" w:color="auto" w:sz="4" w:space="0"/>
              <w:right w:val="single" w:color="auto" w:sz="4" w:space="0"/>
            </w:tcBorders>
            <w:vAlign w:val="center"/>
          </w:tcPr>
          <w:p w14:paraId="44CE6302">
            <w:pPr>
              <w:autoSpaceDE w:val="0"/>
              <w:autoSpaceDN w:val="0"/>
              <w:adjustRightInd w:val="0"/>
              <w:jc w:val="center"/>
              <w:rPr>
                <w:rFonts w:hint="eastAsia" w:ascii="宋体" w:hAnsi="宋体" w:eastAsia="宋体"/>
                <w:b/>
                <w:bCs/>
                <w:color w:val="auto"/>
                <w:highlight w:val="none"/>
              </w:rPr>
            </w:pPr>
            <w:r>
              <w:rPr>
                <w:rFonts w:ascii="宋体" w:hAnsi="宋体" w:eastAsia="宋体"/>
                <w:b/>
                <w:bCs/>
                <w:color w:val="auto"/>
                <w:highlight w:val="none"/>
              </w:rPr>
              <w:t>综合评价</w:t>
            </w:r>
          </w:p>
        </w:tc>
        <w:tc>
          <w:tcPr>
            <w:tcW w:w="3300" w:type="pct"/>
            <w:tcBorders>
              <w:top w:val="single" w:color="auto" w:sz="12" w:space="0"/>
              <w:left w:val="nil"/>
              <w:bottom w:val="single" w:color="auto" w:sz="4" w:space="0"/>
              <w:right w:val="single" w:color="auto" w:sz="4" w:space="0"/>
            </w:tcBorders>
            <w:vAlign w:val="center"/>
          </w:tcPr>
          <w:p w14:paraId="764235FE">
            <w:pPr>
              <w:autoSpaceDE w:val="0"/>
              <w:autoSpaceDN w:val="0"/>
              <w:adjustRightInd w:val="0"/>
              <w:rPr>
                <w:rFonts w:hint="eastAsia" w:ascii="宋体" w:hAnsi="宋体" w:eastAsia="宋体"/>
                <w:color w:val="auto"/>
                <w:highlight w:val="none"/>
              </w:rPr>
            </w:pPr>
          </w:p>
        </w:tc>
        <w:tc>
          <w:tcPr>
            <w:tcW w:w="620" w:type="pct"/>
            <w:tcBorders>
              <w:top w:val="single" w:color="auto" w:sz="12" w:space="0"/>
              <w:left w:val="nil"/>
              <w:bottom w:val="single" w:color="auto" w:sz="4" w:space="0"/>
              <w:right w:val="single" w:color="auto" w:sz="12" w:space="0"/>
            </w:tcBorders>
            <w:vAlign w:val="center"/>
          </w:tcPr>
          <w:p w14:paraId="697EB473">
            <w:pPr>
              <w:autoSpaceDE w:val="0"/>
              <w:autoSpaceDN w:val="0"/>
              <w:adjustRightInd w:val="0"/>
              <w:jc w:val="center"/>
              <w:rPr>
                <w:rFonts w:hint="eastAsia" w:ascii="宋体" w:hAnsi="宋体" w:eastAsia="宋体"/>
                <w:b/>
                <w:color w:val="auto"/>
                <w:highlight w:val="none"/>
              </w:rPr>
            </w:pPr>
            <w:r>
              <w:rPr>
                <w:rFonts w:hint="eastAsia" w:ascii="宋体" w:hAnsi="宋体" w:eastAsia="宋体"/>
                <w:b/>
                <w:color w:val="auto"/>
                <w:highlight w:val="none"/>
              </w:rPr>
              <w:t>25</w:t>
            </w:r>
          </w:p>
        </w:tc>
      </w:tr>
      <w:tr w14:paraId="2D4834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4"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67C45BBC">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1.1</w:t>
            </w:r>
          </w:p>
        </w:tc>
        <w:tc>
          <w:tcPr>
            <w:tcW w:w="572" w:type="pct"/>
            <w:tcBorders>
              <w:top w:val="single" w:color="auto" w:sz="12" w:space="0"/>
              <w:left w:val="nil"/>
              <w:bottom w:val="single" w:color="auto" w:sz="4" w:space="0"/>
              <w:right w:val="single" w:color="auto" w:sz="4" w:space="0"/>
            </w:tcBorders>
            <w:vAlign w:val="center"/>
          </w:tcPr>
          <w:p w14:paraId="72629EC6">
            <w:pPr>
              <w:autoSpaceDE w:val="0"/>
              <w:autoSpaceDN w:val="0"/>
              <w:adjustRightInd w:val="0"/>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施工业绩</w:t>
            </w:r>
          </w:p>
        </w:tc>
        <w:tc>
          <w:tcPr>
            <w:tcW w:w="6211" w:type="dxa"/>
            <w:tcBorders>
              <w:top w:val="single" w:color="auto" w:sz="12" w:space="0"/>
              <w:left w:val="nil"/>
              <w:bottom w:val="single" w:color="auto" w:sz="4" w:space="0"/>
              <w:right w:val="single" w:color="auto" w:sz="4" w:space="0"/>
            </w:tcBorders>
            <w:vAlign w:val="center"/>
          </w:tcPr>
          <w:p w14:paraId="299D5DCD">
            <w:pPr>
              <w:spacing w:line="312" w:lineRule="auto"/>
              <w:rPr>
                <w:rFonts w:hint="eastAsia" w:ascii="宋体" w:hAnsi="宋体" w:eastAsia="宋体"/>
                <w:b/>
                <w:bCs/>
                <w:color w:val="auto"/>
                <w:sz w:val="24"/>
                <w:szCs w:val="18"/>
                <w:highlight w:val="none"/>
              </w:rPr>
            </w:pPr>
            <w:r>
              <w:rPr>
                <w:rFonts w:ascii="宋体" w:hAnsi="宋体" w:eastAsia="宋体"/>
                <w:color w:val="auto"/>
                <w:sz w:val="24"/>
                <w:szCs w:val="18"/>
                <w:highlight w:val="none"/>
              </w:rPr>
              <w:t>供应商自20</w:t>
            </w:r>
            <w:r>
              <w:rPr>
                <w:rFonts w:hint="eastAsia" w:ascii="宋体" w:hAnsi="宋体" w:eastAsia="宋体"/>
                <w:color w:val="auto"/>
                <w:sz w:val="24"/>
                <w:szCs w:val="18"/>
                <w:highlight w:val="none"/>
                <w:lang w:val="en-US" w:eastAsia="zh-CN"/>
              </w:rPr>
              <w:t>18</w:t>
            </w:r>
            <w:r>
              <w:rPr>
                <w:rFonts w:ascii="宋体" w:hAnsi="宋体" w:eastAsia="宋体"/>
                <w:color w:val="auto"/>
                <w:sz w:val="24"/>
                <w:szCs w:val="18"/>
                <w:highlight w:val="none"/>
              </w:rPr>
              <w:t>年</w:t>
            </w:r>
            <w:r>
              <w:rPr>
                <w:rFonts w:hint="eastAsia" w:ascii="宋体" w:hAnsi="宋体" w:eastAsia="宋体"/>
                <w:color w:val="auto"/>
                <w:sz w:val="24"/>
                <w:szCs w:val="18"/>
                <w:highlight w:val="none"/>
                <w:lang w:val="en-US" w:eastAsia="zh-CN"/>
              </w:rPr>
              <w:t>9</w:t>
            </w:r>
            <w:r>
              <w:rPr>
                <w:rFonts w:ascii="宋体" w:hAnsi="宋体" w:eastAsia="宋体"/>
                <w:color w:val="auto"/>
                <w:sz w:val="24"/>
                <w:szCs w:val="18"/>
                <w:highlight w:val="none"/>
              </w:rPr>
              <w:t>月1日以来（合同签订时间为准）完成过</w:t>
            </w:r>
            <w:r>
              <w:rPr>
                <w:rFonts w:hint="eastAsia" w:ascii="宋体" w:hAnsi="宋体" w:eastAsia="宋体"/>
                <w:color w:val="auto"/>
                <w:sz w:val="24"/>
                <w:szCs w:val="18"/>
                <w:highlight w:val="none"/>
              </w:rPr>
              <w:t>拦河设施</w:t>
            </w:r>
            <w:r>
              <w:rPr>
                <w:rFonts w:ascii="宋体" w:hAnsi="宋体" w:eastAsia="宋体"/>
                <w:color w:val="auto"/>
                <w:sz w:val="24"/>
                <w:szCs w:val="18"/>
                <w:highlight w:val="none"/>
              </w:rPr>
              <w:t>业绩的，</w:t>
            </w:r>
            <w:r>
              <w:rPr>
                <w:rFonts w:hint="eastAsia" w:ascii="宋体" w:hAnsi="宋体" w:eastAsia="宋体"/>
                <w:color w:val="auto"/>
                <w:sz w:val="24"/>
                <w:szCs w:val="18"/>
                <w:highlight w:val="none"/>
                <w:lang w:val="en-US" w:eastAsia="zh-CN"/>
              </w:rPr>
              <w:t>有一</w:t>
            </w:r>
            <w:r>
              <w:rPr>
                <w:rFonts w:hint="eastAsia" w:ascii="宋体" w:hAnsi="宋体" w:eastAsia="宋体"/>
                <w:color w:val="auto"/>
                <w:sz w:val="24"/>
                <w:szCs w:val="18"/>
                <w:highlight w:val="none"/>
              </w:rPr>
              <w:t>项得5分</w:t>
            </w:r>
            <w:r>
              <w:rPr>
                <w:rFonts w:hint="eastAsia" w:ascii="宋体" w:hAnsi="宋体" w:eastAsia="宋体"/>
                <w:color w:val="auto"/>
                <w:sz w:val="24"/>
                <w:szCs w:val="18"/>
                <w:highlight w:val="none"/>
                <w:lang w:eastAsia="zh-CN"/>
              </w:rPr>
              <w:t>，</w:t>
            </w:r>
            <w:r>
              <w:rPr>
                <w:rFonts w:ascii="宋体" w:hAnsi="宋体" w:eastAsia="宋体"/>
                <w:b/>
                <w:bCs/>
                <w:color w:val="auto"/>
                <w:sz w:val="24"/>
                <w:szCs w:val="18"/>
                <w:highlight w:val="none"/>
              </w:rPr>
              <w:t>满分</w:t>
            </w:r>
            <w:r>
              <w:rPr>
                <w:rFonts w:hint="eastAsia" w:ascii="宋体" w:hAnsi="宋体" w:eastAsia="宋体"/>
                <w:b/>
                <w:bCs/>
                <w:color w:val="auto"/>
                <w:sz w:val="24"/>
                <w:szCs w:val="18"/>
                <w:highlight w:val="none"/>
              </w:rPr>
              <w:t>15</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p>
          <w:p w14:paraId="2C0044E6">
            <w:pPr>
              <w:autoSpaceDE w:val="0"/>
              <w:autoSpaceDN w:val="0"/>
              <w:adjustRightInd w:val="0"/>
              <w:rPr>
                <w:rFonts w:hint="default" w:ascii="宋体" w:hAnsi="宋体" w:eastAsia="宋体"/>
                <w:color w:val="auto"/>
                <w:sz w:val="24"/>
                <w:szCs w:val="18"/>
                <w:highlight w:val="none"/>
                <w:lang w:val="en-US" w:eastAsia="zh-CN"/>
              </w:rPr>
            </w:pPr>
            <w:r>
              <w:rPr>
                <w:rFonts w:ascii="宋体" w:hAnsi="宋体" w:eastAsia="宋体"/>
                <w:b/>
                <w:bCs/>
                <w:color w:val="auto"/>
                <w:sz w:val="24"/>
                <w:szCs w:val="18"/>
                <w:highlight w:val="none"/>
              </w:rPr>
              <w:t>注：提供合同</w:t>
            </w:r>
            <w:r>
              <w:rPr>
                <w:rFonts w:hint="eastAsia" w:ascii="宋体" w:hAnsi="宋体" w:eastAsia="宋体"/>
                <w:b/>
                <w:bCs/>
                <w:color w:val="auto"/>
                <w:sz w:val="24"/>
                <w:szCs w:val="18"/>
                <w:highlight w:val="none"/>
                <w:lang w:val="en-US" w:eastAsia="zh-CN"/>
              </w:rPr>
              <w:t>等</w:t>
            </w:r>
            <w:r>
              <w:rPr>
                <w:rFonts w:ascii="宋体" w:hAnsi="宋体" w:eastAsia="宋体"/>
                <w:b/>
                <w:bCs/>
                <w:color w:val="auto"/>
                <w:sz w:val="24"/>
                <w:szCs w:val="18"/>
                <w:highlight w:val="none"/>
              </w:rPr>
              <w:t>相关证明材料</w:t>
            </w:r>
            <w:r>
              <w:rPr>
                <w:rFonts w:hint="eastAsia" w:ascii="宋体" w:hAnsi="宋体" w:eastAsia="宋体"/>
                <w:b/>
                <w:bCs/>
                <w:color w:val="auto"/>
                <w:sz w:val="24"/>
                <w:szCs w:val="18"/>
                <w:highlight w:val="none"/>
                <w:lang w:val="en-US" w:eastAsia="zh-CN"/>
              </w:rPr>
              <w:t>并加盖公章</w:t>
            </w:r>
          </w:p>
        </w:tc>
        <w:tc>
          <w:tcPr>
            <w:tcW w:w="620" w:type="pct"/>
            <w:tcBorders>
              <w:top w:val="single" w:color="auto" w:sz="12" w:space="0"/>
              <w:left w:val="nil"/>
              <w:bottom w:val="single" w:color="auto" w:sz="4" w:space="0"/>
              <w:right w:val="single" w:color="auto" w:sz="12" w:space="0"/>
            </w:tcBorders>
            <w:vAlign w:val="center"/>
          </w:tcPr>
          <w:p w14:paraId="5F63091E">
            <w:pPr>
              <w:autoSpaceDE w:val="0"/>
              <w:autoSpaceDN w:val="0"/>
              <w:adjustRightInd w:val="0"/>
              <w:jc w:val="center"/>
              <w:rPr>
                <w:rFonts w:hint="eastAsia" w:ascii="宋体" w:hAnsi="宋体" w:eastAsia="宋体"/>
                <w:bCs/>
                <w:color w:val="auto"/>
                <w:highlight w:val="none"/>
              </w:rPr>
            </w:pPr>
            <w:r>
              <w:rPr>
                <w:rFonts w:hint="eastAsia" w:ascii="宋体" w:hAnsi="宋体" w:eastAsia="宋体"/>
                <w:bCs/>
                <w:color w:val="auto"/>
                <w:highlight w:val="none"/>
              </w:rPr>
              <w:t>15</w:t>
            </w:r>
          </w:p>
        </w:tc>
      </w:tr>
      <w:tr w14:paraId="7452E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54EBCA1A">
            <w:pPr>
              <w:autoSpaceDE w:val="0"/>
              <w:autoSpaceDN w:val="0"/>
              <w:adjustRightInd w:val="0"/>
              <w:spacing w:line="450" w:lineRule="exact"/>
              <w:jc w:val="center"/>
              <w:rPr>
                <w:rFonts w:hint="eastAsia" w:ascii="宋体" w:hAnsi="宋体" w:eastAsia="宋体"/>
                <w:bCs/>
                <w:color w:val="auto"/>
                <w:highlight w:val="none"/>
              </w:rPr>
            </w:pPr>
            <w:r>
              <w:rPr>
                <w:rFonts w:hint="eastAsia" w:ascii="宋体" w:hAnsi="宋体" w:eastAsia="宋体"/>
                <w:bCs/>
                <w:color w:val="auto"/>
                <w:highlight w:val="none"/>
              </w:rPr>
              <w:t>1.2</w:t>
            </w:r>
          </w:p>
        </w:tc>
        <w:tc>
          <w:tcPr>
            <w:tcW w:w="572" w:type="pct"/>
            <w:tcBorders>
              <w:top w:val="single" w:color="auto" w:sz="4" w:space="0"/>
              <w:left w:val="nil"/>
              <w:bottom w:val="single" w:color="auto" w:sz="4" w:space="0"/>
              <w:right w:val="single" w:color="auto" w:sz="4" w:space="0"/>
            </w:tcBorders>
            <w:vAlign w:val="center"/>
          </w:tcPr>
          <w:p w14:paraId="0E11360C">
            <w:pPr>
              <w:autoSpaceDE w:val="0"/>
              <w:autoSpaceDN w:val="0"/>
              <w:adjustRightInd w:val="0"/>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项目管理机构及人员配置</w:t>
            </w:r>
          </w:p>
        </w:tc>
        <w:tc>
          <w:tcPr>
            <w:tcW w:w="6211" w:type="dxa"/>
            <w:tcBorders>
              <w:top w:val="single" w:color="auto" w:sz="4" w:space="0"/>
              <w:left w:val="nil"/>
              <w:bottom w:val="single" w:color="auto" w:sz="4" w:space="0"/>
              <w:right w:val="single" w:color="auto" w:sz="4" w:space="0"/>
            </w:tcBorders>
            <w:vAlign w:val="center"/>
          </w:tcPr>
          <w:p w14:paraId="7540FCFF">
            <w:pPr>
              <w:spacing w:line="312" w:lineRule="auto"/>
              <w:rPr>
                <w:rFonts w:hint="eastAsia" w:ascii="宋体" w:hAnsi="宋体" w:eastAsia="宋体"/>
                <w:b/>
                <w:bCs/>
                <w:color w:val="auto"/>
                <w:sz w:val="24"/>
                <w:szCs w:val="18"/>
                <w:highlight w:val="none"/>
                <w:lang w:val="en-US" w:eastAsia="zh-CN"/>
              </w:rPr>
            </w:pPr>
            <w:r>
              <w:rPr>
                <w:rFonts w:hint="eastAsia" w:ascii="宋体" w:hAnsi="宋体" w:eastAsia="宋体"/>
                <w:color w:val="auto"/>
                <w:sz w:val="24"/>
                <w:szCs w:val="18"/>
                <w:highlight w:val="none"/>
                <w:lang w:val="en-US" w:eastAsia="zh-CN"/>
              </w:rPr>
              <w:t>拟任</w:t>
            </w:r>
            <w:r>
              <w:rPr>
                <w:rFonts w:ascii="宋体" w:hAnsi="宋体" w:eastAsia="宋体"/>
                <w:color w:val="auto"/>
                <w:sz w:val="24"/>
                <w:szCs w:val="18"/>
                <w:highlight w:val="none"/>
              </w:rPr>
              <w:t>项目</w:t>
            </w:r>
            <w:r>
              <w:rPr>
                <w:rFonts w:hint="eastAsia" w:ascii="宋体" w:hAnsi="宋体" w:eastAsia="宋体"/>
                <w:color w:val="auto"/>
                <w:sz w:val="24"/>
                <w:szCs w:val="18"/>
                <w:highlight w:val="none"/>
              </w:rPr>
              <w:t>负责人具有拦河设施施工项目负责人业绩</w:t>
            </w:r>
            <w:r>
              <w:rPr>
                <w:rFonts w:hint="eastAsia" w:ascii="宋体" w:hAnsi="宋体" w:eastAsia="宋体"/>
                <w:color w:val="auto"/>
                <w:sz w:val="24"/>
                <w:szCs w:val="18"/>
                <w:highlight w:val="none"/>
                <w:lang w:val="en-US" w:eastAsia="zh-CN"/>
              </w:rPr>
              <w:t>的</w:t>
            </w:r>
            <w:r>
              <w:rPr>
                <w:rFonts w:hint="eastAsia" w:ascii="宋体" w:hAnsi="宋体" w:eastAsia="宋体"/>
                <w:color w:val="auto"/>
                <w:sz w:val="24"/>
                <w:szCs w:val="18"/>
                <w:highlight w:val="none"/>
              </w:rPr>
              <w:t>，</w:t>
            </w:r>
            <w:r>
              <w:rPr>
                <w:rFonts w:hint="eastAsia" w:ascii="宋体" w:hAnsi="宋体" w:eastAsia="宋体"/>
                <w:b/>
                <w:bCs/>
                <w:color w:val="auto"/>
                <w:sz w:val="24"/>
                <w:szCs w:val="18"/>
                <w:highlight w:val="none"/>
                <w:lang w:val="en-US" w:eastAsia="zh-CN"/>
              </w:rPr>
              <w:t>得2分；</w:t>
            </w:r>
          </w:p>
          <w:p w14:paraId="4FFEC632">
            <w:pPr>
              <w:spacing w:line="312" w:lineRule="auto"/>
              <w:rPr>
                <w:rFonts w:hint="default" w:ascii="宋体" w:hAnsi="宋体" w:eastAsia="宋体"/>
                <w:color w:val="auto"/>
                <w:sz w:val="24"/>
                <w:szCs w:val="18"/>
                <w:highlight w:val="none"/>
                <w:lang w:val="en-US" w:eastAsia="zh-CN"/>
              </w:rPr>
            </w:pPr>
            <w:r>
              <w:rPr>
                <w:rFonts w:hint="eastAsia" w:ascii="宋体" w:hAnsi="宋体" w:eastAsia="宋体"/>
                <w:b/>
                <w:bCs/>
                <w:color w:val="auto"/>
                <w:sz w:val="24"/>
                <w:szCs w:val="18"/>
                <w:highlight w:val="none"/>
                <w:lang w:val="en-US" w:eastAsia="zh-CN"/>
              </w:rPr>
              <w:t>注：提供合同等相关证明材料，合同中如无法体现项目负责人身份，需提供中标通知书或验收证明或甲方证明材料，否则不予认可。</w:t>
            </w:r>
          </w:p>
          <w:p w14:paraId="3F0E9471">
            <w:pPr>
              <w:spacing w:line="312" w:lineRule="auto"/>
              <w:rPr>
                <w:rFonts w:hint="eastAsia" w:ascii="宋体" w:hAnsi="宋体" w:eastAsia="宋体"/>
                <w:color w:val="auto"/>
                <w:sz w:val="24"/>
                <w:szCs w:val="18"/>
                <w:highlight w:val="none"/>
              </w:rPr>
            </w:pPr>
            <w:r>
              <w:rPr>
                <w:rFonts w:hint="eastAsia" w:ascii="宋体" w:hAnsi="宋体" w:eastAsia="宋体"/>
                <w:color w:val="auto"/>
                <w:sz w:val="24"/>
                <w:szCs w:val="18"/>
                <w:highlight w:val="none"/>
                <w:lang w:val="en-US" w:eastAsia="zh-CN"/>
              </w:rPr>
              <w:t>拟任</w:t>
            </w:r>
            <w:r>
              <w:rPr>
                <w:rFonts w:ascii="宋体" w:hAnsi="宋体" w:eastAsia="宋体"/>
                <w:color w:val="auto"/>
                <w:sz w:val="24"/>
                <w:szCs w:val="18"/>
                <w:highlight w:val="none"/>
              </w:rPr>
              <w:t>项目负责人具有水利</w:t>
            </w:r>
            <w:r>
              <w:rPr>
                <w:rFonts w:hint="eastAsia" w:ascii="宋体" w:hAnsi="宋体" w:eastAsia="宋体"/>
                <w:color w:val="auto"/>
                <w:sz w:val="24"/>
                <w:szCs w:val="18"/>
                <w:highlight w:val="none"/>
                <w:lang w:val="en-US" w:eastAsia="zh-CN"/>
              </w:rPr>
              <w:t>副</w:t>
            </w:r>
            <w:r>
              <w:rPr>
                <w:rFonts w:ascii="宋体" w:hAnsi="宋体" w:eastAsia="宋体"/>
                <w:color w:val="auto"/>
                <w:sz w:val="24"/>
                <w:szCs w:val="18"/>
                <w:highlight w:val="none"/>
              </w:rPr>
              <w:t>高级</w:t>
            </w:r>
            <w:r>
              <w:rPr>
                <w:rFonts w:hint="eastAsia" w:ascii="宋体" w:hAnsi="宋体" w:eastAsia="宋体"/>
                <w:color w:val="auto"/>
                <w:sz w:val="24"/>
                <w:szCs w:val="18"/>
                <w:highlight w:val="none"/>
                <w:lang w:val="en-US" w:eastAsia="zh-CN"/>
              </w:rPr>
              <w:t>及以上</w:t>
            </w:r>
            <w:r>
              <w:rPr>
                <w:rFonts w:ascii="宋体" w:hAnsi="宋体" w:eastAsia="宋体"/>
                <w:color w:val="auto"/>
                <w:sz w:val="24"/>
                <w:szCs w:val="18"/>
                <w:highlight w:val="none"/>
              </w:rPr>
              <w:t>职称</w:t>
            </w:r>
            <w:r>
              <w:rPr>
                <w:rFonts w:ascii="宋体" w:hAnsi="宋体" w:eastAsia="宋体"/>
                <w:b/>
                <w:bCs/>
                <w:color w:val="auto"/>
                <w:sz w:val="24"/>
                <w:szCs w:val="18"/>
                <w:highlight w:val="none"/>
              </w:rPr>
              <w:t>得</w:t>
            </w:r>
            <w:r>
              <w:rPr>
                <w:rFonts w:hint="default" w:ascii="宋体" w:hAnsi="宋体" w:eastAsia="宋体"/>
                <w:b/>
                <w:bCs/>
                <w:color w:val="auto"/>
                <w:sz w:val="24"/>
                <w:szCs w:val="18"/>
                <w:highlight w:val="none"/>
              </w:rPr>
              <w:t>3</w:t>
            </w:r>
            <w:r>
              <w:rPr>
                <w:rFonts w:ascii="宋体" w:hAnsi="宋体" w:eastAsia="宋体"/>
                <w:b/>
                <w:bCs/>
                <w:color w:val="auto"/>
                <w:sz w:val="24"/>
                <w:szCs w:val="18"/>
                <w:highlight w:val="none"/>
              </w:rPr>
              <w:t>分，中级得</w:t>
            </w:r>
            <w:r>
              <w:rPr>
                <w:rFonts w:hint="default" w:ascii="宋体" w:hAnsi="宋体" w:eastAsia="宋体"/>
                <w:b/>
                <w:bCs/>
                <w:color w:val="auto"/>
                <w:sz w:val="24"/>
                <w:szCs w:val="18"/>
                <w:highlight w:val="none"/>
              </w:rPr>
              <w:t>2</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p>
          <w:p w14:paraId="3C75943D">
            <w:pPr>
              <w:spacing w:line="312" w:lineRule="auto"/>
              <w:rPr>
                <w:rFonts w:hint="eastAsia" w:ascii="宋体" w:hAnsi="宋体" w:eastAsia="宋体"/>
                <w:color w:val="auto"/>
                <w:sz w:val="24"/>
                <w:szCs w:val="18"/>
                <w:highlight w:val="none"/>
              </w:rPr>
            </w:pPr>
            <w:r>
              <w:rPr>
                <w:rFonts w:hint="eastAsia" w:ascii="宋体" w:hAnsi="宋体" w:eastAsia="宋体"/>
                <w:color w:val="auto"/>
                <w:sz w:val="24"/>
                <w:szCs w:val="18"/>
                <w:highlight w:val="none"/>
              </w:rPr>
              <w:t>拟任</w:t>
            </w:r>
            <w:r>
              <w:rPr>
                <w:rFonts w:ascii="宋体" w:hAnsi="宋体" w:eastAsia="宋体"/>
                <w:color w:val="auto"/>
                <w:sz w:val="24"/>
                <w:szCs w:val="18"/>
                <w:highlight w:val="none"/>
              </w:rPr>
              <w:t>技术负责人</w:t>
            </w:r>
            <w:r>
              <w:rPr>
                <w:rFonts w:hint="eastAsia" w:ascii="宋体" w:hAnsi="宋体" w:eastAsia="宋体"/>
                <w:color w:val="auto"/>
                <w:sz w:val="24"/>
                <w:szCs w:val="18"/>
                <w:highlight w:val="none"/>
                <w:lang w:eastAsia="zh-CN"/>
              </w:rPr>
              <w:t>（项目负责人</w:t>
            </w:r>
            <w:r>
              <w:rPr>
                <w:rFonts w:hint="eastAsia" w:ascii="宋体" w:hAnsi="宋体" w:eastAsia="宋体"/>
                <w:color w:val="auto"/>
                <w:sz w:val="24"/>
                <w:szCs w:val="18"/>
                <w:highlight w:val="none"/>
                <w:lang w:val="en-US" w:eastAsia="zh-CN"/>
              </w:rPr>
              <w:t>除外</w:t>
            </w:r>
            <w:r>
              <w:rPr>
                <w:rFonts w:hint="eastAsia" w:ascii="宋体" w:hAnsi="宋体" w:eastAsia="宋体"/>
                <w:color w:val="auto"/>
                <w:sz w:val="24"/>
                <w:szCs w:val="18"/>
                <w:highlight w:val="none"/>
                <w:lang w:eastAsia="zh-CN"/>
              </w:rPr>
              <w:t>）</w:t>
            </w:r>
            <w:r>
              <w:rPr>
                <w:rFonts w:ascii="宋体" w:hAnsi="宋体" w:eastAsia="宋体"/>
                <w:color w:val="auto"/>
                <w:sz w:val="24"/>
                <w:szCs w:val="18"/>
                <w:highlight w:val="none"/>
              </w:rPr>
              <w:t>具有水利</w:t>
            </w:r>
            <w:r>
              <w:rPr>
                <w:rFonts w:hint="eastAsia" w:ascii="宋体" w:hAnsi="宋体" w:eastAsia="宋体"/>
                <w:color w:val="auto"/>
                <w:sz w:val="24"/>
                <w:szCs w:val="18"/>
                <w:highlight w:val="none"/>
              </w:rPr>
              <w:t>副高级及以上</w:t>
            </w:r>
            <w:r>
              <w:rPr>
                <w:rFonts w:ascii="宋体" w:hAnsi="宋体" w:eastAsia="宋体"/>
                <w:color w:val="auto"/>
                <w:sz w:val="24"/>
                <w:szCs w:val="18"/>
                <w:highlight w:val="none"/>
              </w:rPr>
              <w:t>职称</w:t>
            </w:r>
            <w:r>
              <w:rPr>
                <w:rFonts w:ascii="宋体" w:hAnsi="宋体" w:eastAsia="宋体"/>
                <w:b/>
                <w:bCs/>
                <w:color w:val="auto"/>
                <w:sz w:val="24"/>
                <w:szCs w:val="18"/>
                <w:highlight w:val="none"/>
              </w:rPr>
              <w:t>得</w:t>
            </w:r>
            <w:r>
              <w:rPr>
                <w:rFonts w:hint="eastAsia" w:ascii="宋体" w:hAnsi="宋体" w:eastAsia="宋体"/>
                <w:b/>
                <w:bCs/>
                <w:color w:val="auto"/>
                <w:sz w:val="24"/>
                <w:szCs w:val="18"/>
                <w:highlight w:val="none"/>
                <w:lang w:val="en-US" w:eastAsia="zh-CN"/>
              </w:rPr>
              <w:t>3</w:t>
            </w:r>
            <w:r>
              <w:rPr>
                <w:rFonts w:ascii="宋体" w:hAnsi="宋体" w:eastAsia="宋体"/>
                <w:b/>
                <w:bCs/>
                <w:color w:val="auto"/>
                <w:sz w:val="24"/>
                <w:szCs w:val="18"/>
                <w:highlight w:val="none"/>
              </w:rPr>
              <w:t>分，中级得</w:t>
            </w:r>
            <w:r>
              <w:rPr>
                <w:rFonts w:hint="eastAsia" w:ascii="宋体" w:hAnsi="宋体" w:eastAsia="宋体"/>
                <w:b/>
                <w:bCs/>
                <w:color w:val="auto"/>
                <w:sz w:val="24"/>
                <w:szCs w:val="18"/>
                <w:highlight w:val="none"/>
                <w:lang w:val="en-US" w:eastAsia="zh-CN"/>
              </w:rPr>
              <w:t>2</w:t>
            </w:r>
            <w:r>
              <w:rPr>
                <w:rFonts w:ascii="宋体" w:hAnsi="宋体" w:eastAsia="宋体"/>
                <w:b/>
                <w:bCs/>
                <w:color w:val="auto"/>
                <w:sz w:val="24"/>
                <w:szCs w:val="18"/>
                <w:highlight w:val="none"/>
              </w:rPr>
              <w:t>分</w:t>
            </w:r>
            <w:r>
              <w:rPr>
                <w:rFonts w:hint="eastAsia" w:ascii="宋体" w:hAnsi="宋体" w:eastAsia="宋体"/>
                <w:b/>
                <w:bCs/>
                <w:color w:val="auto"/>
                <w:sz w:val="24"/>
                <w:szCs w:val="18"/>
                <w:highlight w:val="none"/>
              </w:rPr>
              <w:t>；</w:t>
            </w:r>
          </w:p>
          <w:p w14:paraId="70F07072">
            <w:pPr>
              <w:spacing w:line="312" w:lineRule="auto"/>
              <w:rPr>
                <w:rFonts w:hint="eastAsia" w:ascii="宋体" w:hAnsi="宋体" w:eastAsia="宋体"/>
                <w:color w:val="auto"/>
                <w:sz w:val="24"/>
                <w:szCs w:val="18"/>
                <w:highlight w:val="none"/>
              </w:rPr>
            </w:pPr>
            <w:r>
              <w:rPr>
                <w:rFonts w:ascii="宋体" w:hAnsi="宋体" w:eastAsia="宋体"/>
                <w:color w:val="auto"/>
                <w:sz w:val="24"/>
                <w:szCs w:val="18"/>
                <w:highlight w:val="none"/>
              </w:rPr>
              <w:t>项目部配备</w:t>
            </w:r>
            <w:r>
              <w:rPr>
                <w:rFonts w:hint="eastAsia" w:ascii="宋体" w:hAnsi="宋体" w:eastAsia="宋体"/>
                <w:color w:val="auto"/>
                <w:sz w:val="24"/>
                <w:szCs w:val="18"/>
                <w:highlight w:val="none"/>
              </w:rPr>
              <w:t>施工员、安全员、质检员、材料员、造价员</w:t>
            </w:r>
            <w:r>
              <w:rPr>
                <w:rFonts w:ascii="宋体" w:hAnsi="宋体" w:eastAsia="宋体"/>
                <w:color w:val="auto"/>
                <w:sz w:val="24"/>
                <w:szCs w:val="18"/>
                <w:highlight w:val="none"/>
              </w:rPr>
              <w:t>等</w:t>
            </w:r>
            <w:r>
              <w:rPr>
                <w:rFonts w:ascii="宋体" w:hAnsi="宋体" w:eastAsia="宋体"/>
                <w:b w:val="0"/>
                <w:bCs w:val="0"/>
                <w:color w:val="auto"/>
                <w:sz w:val="24"/>
                <w:szCs w:val="18"/>
                <w:highlight w:val="none"/>
              </w:rPr>
              <w:t>齐全</w:t>
            </w:r>
            <w:r>
              <w:rPr>
                <w:rFonts w:ascii="宋体" w:hAnsi="宋体" w:eastAsia="宋体"/>
                <w:b/>
                <w:bCs/>
                <w:color w:val="auto"/>
                <w:sz w:val="24"/>
                <w:szCs w:val="18"/>
                <w:highlight w:val="none"/>
              </w:rPr>
              <w:t>得</w:t>
            </w:r>
            <w:r>
              <w:rPr>
                <w:rFonts w:hint="eastAsia" w:ascii="宋体" w:hAnsi="宋体" w:eastAsia="宋体"/>
                <w:b/>
                <w:bCs/>
                <w:color w:val="auto"/>
                <w:sz w:val="24"/>
                <w:szCs w:val="18"/>
                <w:highlight w:val="none"/>
              </w:rPr>
              <w:t>2</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r>
              <w:rPr>
                <w:rFonts w:hint="eastAsia" w:ascii="宋体" w:hAnsi="宋体" w:eastAsia="宋体"/>
                <w:color w:val="auto"/>
                <w:sz w:val="24"/>
                <w:szCs w:val="18"/>
                <w:highlight w:val="none"/>
              </w:rPr>
              <w:t>缺一个不得分</w:t>
            </w:r>
            <w:r>
              <w:rPr>
                <w:rFonts w:ascii="宋体" w:hAnsi="宋体" w:eastAsia="宋体"/>
                <w:color w:val="auto"/>
                <w:sz w:val="24"/>
                <w:szCs w:val="18"/>
                <w:highlight w:val="none"/>
              </w:rPr>
              <w:t>。</w:t>
            </w:r>
          </w:p>
          <w:p w14:paraId="4F4959AA">
            <w:pPr>
              <w:shd w:val="clear" w:color="auto" w:fill="FFFFFF"/>
              <w:spacing w:line="360" w:lineRule="auto"/>
              <w:rPr>
                <w:rFonts w:hint="eastAsia" w:ascii="宋体" w:hAnsi="宋体" w:eastAsia="宋体"/>
                <w:color w:val="auto"/>
                <w:sz w:val="24"/>
                <w:szCs w:val="18"/>
                <w:highlight w:val="none"/>
              </w:rPr>
            </w:pPr>
            <w:r>
              <w:rPr>
                <w:rFonts w:ascii="宋体" w:hAnsi="宋体" w:eastAsia="宋体"/>
                <w:b/>
                <w:color w:val="auto"/>
                <w:sz w:val="24"/>
                <w:szCs w:val="18"/>
                <w:highlight w:val="none"/>
              </w:rPr>
              <w:t>注：以上所有人员（包含项目负责人、技术负责人</w:t>
            </w:r>
            <w:r>
              <w:rPr>
                <w:rFonts w:hint="eastAsia" w:ascii="宋体" w:hAnsi="宋体" w:eastAsia="宋体"/>
                <w:b/>
                <w:color w:val="auto"/>
                <w:sz w:val="24"/>
                <w:szCs w:val="18"/>
                <w:highlight w:val="none"/>
              </w:rPr>
              <w:t>、</w:t>
            </w:r>
            <w:r>
              <w:rPr>
                <w:rFonts w:ascii="宋体" w:hAnsi="宋体" w:eastAsia="宋体"/>
                <w:b/>
                <w:color w:val="auto"/>
                <w:sz w:val="24"/>
                <w:szCs w:val="18"/>
                <w:highlight w:val="none"/>
              </w:rPr>
              <w:t>项目组所有人员）</w:t>
            </w:r>
            <w:r>
              <w:rPr>
                <w:rFonts w:hint="eastAsia" w:ascii="宋体" w:hAnsi="宋体" w:eastAsia="宋体"/>
                <w:b/>
                <w:color w:val="auto"/>
                <w:sz w:val="24"/>
                <w:szCs w:val="18"/>
                <w:highlight w:val="none"/>
                <w:lang w:val="en-US" w:eastAsia="zh-CN"/>
              </w:rPr>
              <w:t>须为本单位正式员工，</w:t>
            </w:r>
            <w:r>
              <w:rPr>
                <w:rFonts w:ascii="宋体" w:hAnsi="宋体" w:eastAsia="宋体"/>
                <w:b/>
                <w:color w:val="auto"/>
                <w:sz w:val="24"/>
                <w:szCs w:val="18"/>
                <w:highlight w:val="none"/>
              </w:rPr>
              <w:t>须提供①职称证书</w:t>
            </w:r>
            <w:r>
              <w:rPr>
                <w:rFonts w:hint="eastAsia" w:ascii="宋体" w:hAnsi="宋体" w:eastAsia="宋体"/>
                <w:b/>
                <w:color w:val="auto"/>
                <w:sz w:val="24"/>
                <w:szCs w:val="18"/>
                <w:highlight w:val="none"/>
                <w:lang w:eastAsia="zh-CN"/>
              </w:rPr>
              <w:t>等相关证明文件（专业认定以职称证</w:t>
            </w:r>
            <w:r>
              <w:rPr>
                <w:rFonts w:hint="eastAsia" w:ascii="宋体" w:hAnsi="宋体" w:eastAsia="宋体"/>
                <w:b/>
                <w:color w:val="auto"/>
                <w:sz w:val="24"/>
                <w:szCs w:val="18"/>
                <w:highlight w:val="none"/>
                <w:lang w:val="en-US" w:eastAsia="zh-CN"/>
              </w:rPr>
              <w:t>为准</w:t>
            </w:r>
            <w:r>
              <w:rPr>
                <w:rFonts w:hint="eastAsia" w:ascii="宋体" w:hAnsi="宋体" w:eastAsia="宋体"/>
                <w:b/>
                <w:color w:val="auto"/>
                <w:sz w:val="24"/>
                <w:szCs w:val="18"/>
                <w:highlight w:val="none"/>
                <w:lang w:eastAsia="zh-CN"/>
              </w:rPr>
              <w:t>）</w:t>
            </w:r>
            <w:r>
              <w:rPr>
                <w:rFonts w:ascii="宋体" w:hAnsi="宋体" w:eastAsia="宋体"/>
                <w:b/>
                <w:color w:val="auto"/>
                <w:sz w:val="24"/>
                <w:szCs w:val="18"/>
                <w:highlight w:val="none"/>
              </w:rPr>
              <w:t>；②</w:t>
            </w:r>
            <w:r>
              <w:rPr>
                <w:rFonts w:hint="eastAsia" w:ascii="宋体" w:hAnsi="宋体" w:eastAsia="宋体"/>
                <w:b/>
                <w:color w:val="auto"/>
                <w:sz w:val="24"/>
                <w:szCs w:val="18"/>
                <w:highlight w:val="none"/>
              </w:rPr>
              <w:t>项目部成员以相应资格证书为准，</w:t>
            </w:r>
            <w:r>
              <w:rPr>
                <w:rFonts w:hint="eastAsia" w:ascii="宋体" w:hAnsi="宋体" w:eastAsia="宋体"/>
                <w:b/>
                <w:color w:val="auto"/>
                <w:sz w:val="24"/>
                <w:szCs w:val="18"/>
                <w:highlight w:val="none"/>
              </w:rPr>
              <w:fldChar w:fldCharType="begin"/>
            </w:r>
            <w:r>
              <w:rPr>
                <w:rFonts w:hint="eastAsia" w:ascii="宋体" w:hAnsi="宋体" w:eastAsia="宋体"/>
                <w:b/>
                <w:color w:val="auto"/>
                <w:sz w:val="24"/>
                <w:szCs w:val="18"/>
                <w:highlight w:val="none"/>
              </w:rPr>
              <w:instrText xml:space="preserve"> = 3 \* GB3 </w:instrText>
            </w:r>
            <w:r>
              <w:rPr>
                <w:rFonts w:hint="eastAsia" w:ascii="宋体" w:hAnsi="宋体" w:eastAsia="宋体"/>
                <w:b/>
                <w:color w:val="auto"/>
                <w:sz w:val="24"/>
                <w:szCs w:val="18"/>
                <w:highlight w:val="none"/>
              </w:rPr>
              <w:fldChar w:fldCharType="separate"/>
            </w:r>
            <w:r>
              <w:rPr>
                <w:rFonts w:hint="eastAsia" w:ascii="宋体" w:hAnsi="宋体" w:eastAsia="宋体"/>
                <w:b/>
                <w:color w:val="auto"/>
                <w:sz w:val="24"/>
                <w:szCs w:val="18"/>
                <w:highlight w:val="none"/>
              </w:rPr>
              <w:t>③</w:t>
            </w:r>
            <w:r>
              <w:rPr>
                <w:rFonts w:hint="eastAsia" w:ascii="宋体" w:hAnsi="宋体" w:eastAsia="宋体"/>
                <w:b/>
                <w:color w:val="auto"/>
                <w:sz w:val="24"/>
                <w:szCs w:val="18"/>
                <w:highlight w:val="none"/>
              </w:rPr>
              <w:fldChar w:fldCharType="end"/>
            </w:r>
            <w:r>
              <w:rPr>
                <w:rFonts w:ascii="宋体" w:hAnsi="宋体" w:eastAsia="宋体"/>
                <w:b/>
                <w:color w:val="auto"/>
                <w:sz w:val="24"/>
                <w:szCs w:val="18"/>
                <w:highlight w:val="none"/>
              </w:rPr>
              <w:t>上述人员社保机构出具的近半年内任一个月供应商为其缴纳的社会保险缴费证明材料。</w:t>
            </w:r>
          </w:p>
        </w:tc>
        <w:tc>
          <w:tcPr>
            <w:tcW w:w="620" w:type="pct"/>
            <w:tcBorders>
              <w:top w:val="single" w:color="auto" w:sz="4" w:space="0"/>
              <w:left w:val="nil"/>
              <w:bottom w:val="single" w:color="auto" w:sz="4" w:space="0"/>
              <w:right w:val="single" w:color="auto" w:sz="12" w:space="0"/>
            </w:tcBorders>
            <w:vAlign w:val="center"/>
          </w:tcPr>
          <w:p w14:paraId="488BF909">
            <w:pPr>
              <w:autoSpaceDE w:val="0"/>
              <w:autoSpaceDN w:val="0"/>
              <w:adjustRightInd w:val="0"/>
              <w:spacing w:line="450" w:lineRule="exact"/>
              <w:jc w:val="center"/>
              <w:rPr>
                <w:rFonts w:hint="eastAsia" w:ascii="宋体" w:hAnsi="宋体" w:eastAsia="宋体"/>
                <w:bCs/>
                <w:color w:val="auto"/>
                <w:highlight w:val="none"/>
              </w:rPr>
            </w:pPr>
            <w:r>
              <w:rPr>
                <w:rFonts w:hint="eastAsia" w:ascii="宋体" w:hAnsi="宋体" w:eastAsia="宋体"/>
                <w:bCs/>
                <w:color w:val="auto"/>
                <w:highlight w:val="none"/>
              </w:rPr>
              <w:t>10</w:t>
            </w:r>
          </w:p>
        </w:tc>
      </w:tr>
      <w:tr w14:paraId="7F7A4F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5D00DE77">
            <w:pPr>
              <w:autoSpaceDE w:val="0"/>
              <w:autoSpaceDN w:val="0"/>
              <w:adjustRightInd w:val="0"/>
              <w:spacing w:line="450" w:lineRule="exact"/>
              <w:jc w:val="center"/>
              <w:rPr>
                <w:rFonts w:hint="eastAsia" w:ascii="宋体" w:hAnsi="宋体" w:eastAsia="宋体"/>
                <w:b/>
                <w:color w:val="auto"/>
                <w:highlight w:val="none"/>
              </w:rPr>
            </w:pPr>
            <w:r>
              <w:rPr>
                <w:rFonts w:hint="eastAsia" w:ascii="宋体" w:hAnsi="宋体" w:eastAsia="宋体"/>
                <w:b/>
                <w:color w:val="auto"/>
                <w:highlight w:val="none"/>
              </w:rPr>
              <w:t>2</w:t>
            </w:r>
          </w:p>
        </w:tc>
        <w:tc>
          <w:tcPr>
            <w:tcW w:w="572" w:type="pct"/>
            <w:tcBorders>
              <w:top w:val="single" w:color="auto" w:sz="4" w:space="0"/>
              <w:left w:val="nil"/>
              <w:bottom w:val="single" w:color="auto" w:sz="4" w:space="0"/>
              <w:right w:val="single" w:color="auto" w:sz="4" w:space="0"/>
            </w:tcBorders>
            <w:vAlign w:val="center"/>
          </w:tcPr>
          <w:p w14:paraId="2BB3C01C">
            <w:pPr>
              <w:autoSpaceDE w:val="0"/>
              <w:autoSpaceDN w:val="0"/>
              <w:adjustRightInd w:val="0"/>
              <w:jc w:val="center"/>
              <w:rPr>
                <w:rFonts w:hint="eastAsia" w:ascii="宋体" w:hAnsi="宋体" w:eastAsia="宋体"/>
                <w:b/>
                <w:color w:val="auto"/>
                <w:sz w:val="24"/>
                <w:szCs w:val="18"/>
                <w:highlight w:val="none"/>
              </w:rPr>
            </w:pPr>
            <w:r>
              <w:rPr>
                <w:rFonts w:hint="eastAsia" w:ascii="宋体" w:hAnsi="宋体" w:eastAsia="宋体"/>
                <w:b/>
                <w:color w:val="auto"/>
                <w:sz w:val="24"/>
                <w:szCs w:val="18"/>
                <w:highlight w:val="none"/>
              </w:rPr>
              <w:t>方案评价</w:t>
            </w:r>
          </w:p>
        </w:tc>
        <w:tc>
          <w:tcPr>
            <w:tcW w:w="3300" w:type="pct"/>
            <w:tcBorders>
              <w:top w:val="single" w:color="auto" w:sz="4" w:space="0"/>
              <w:left w:val="nil"/>
              <w:bottom w:val="single" w:color="auto" w:sz="4" w:space="0"/>
              <w:right w:val="single" w:color="auto" w:sz="4" w:space="0"/>
            </w:tcBorders>
            <w:vAlign w:val="center"/>
          </w:tcPr>
          <w:p w14:paraId="398D8CA3">
            <w:pPr>
              <w:autoSpaceDE w:val="0"/>
              <w:autoSpaceDN w:val="0"/>
              <w:adjustRightInd w:val="0"/>
              <w:rPr>
                <w:rFonts w:hint="eastAsia" w:ascii="宋体" w:hAnsi="宋体" w:eastAsia="宋体"/>
                <w:b/>
                <w:color w:val="auto"/>
                <w:sz w:val="24"/>
                <w:szCs w:val="18"/>
                <w:highlight w:val="none"/>
              </w:rPr>
            </w:pPr>
          </w:p>
        </w:tc>
        <w:tc>
          <w:tcPr>
            <w:tcW w:w="620" w:type="pct"/>
            <w:tcBorders>
              <w:top w:val="single" w:color="auto" w:sz="4" w:space="0"/>
              <w:left w:val="nil"/>
              <w:bottom w:val="single" w:color="auto" w:sz="4" w:space="0"/>
              <w:right w:val="single" w:color="auto" w:sz="12" w:space="0"/>
            </w:tcBorders>
            <w:vAlign w:val="center"/>
          </w:tcPr>
          <w:p w14:paraId="691DC0D2">
            <w:pPr>
              <w:autoSpaceDE w:val="0"/>
              <w:autoSpaceDN w:val="0"/>
              <w:adjustRightInd w:val="0"/>
              <w:spacing w:line="450" w:lineRule="exact"/>
              <w:jc w:val="center"/>
              <w:rPr>
                <w:rFonts w:hint="eastAsia" w:ascii="宋体" w:hAnsi="宋体" w:eastAsia="宋体"/>
                <w:b/>
                <w:color w:val="auto"/>
                <w:highlight w:val="none"/>
              </w:rPr>
            </w:pPr>
            <w:r>
              <w:rPr>
                <w:rFonts w:hint="eastAsia" w:ascii="宋体" w:hAnsi="宋体" w:eastAsia="宋体"/>
                <w:b/>
                <w:color w:val="auto"/>
                <w:highlight w:val="none"/>
              </w:rPr>
              <w:t>45</w:t>
            </w:r>
          </w:p>
        </w:tc>
      </w:tr>
      <w:tr w14:paraId="0BB513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7578C7BB">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.1</w:t>
            </w:r>
          </w:p>
        </w:tc>
        <w:tc>
          <w:tcPr>
            <w:tcW w:w="572" w:type="pct"/>
            <w:tcBorders>
              <w:top w:val="single" w:color="auto" w:sz="4" w:space="0"/>
              <w:left w:val="nil"/>
              <w:bottom w:val="single" w:color="auto" w:sz="4" w:space="0"/>
              <w:right w:val="single" w:color="auto" w:sz="4" w:space="0"/>
            </w:tcBorders>
            <w:vAlign w:val="center"/>
          </w:tcPr>
          <w:p w14:paraId="68410ABE">
            <w:pPr>
              <w:jc w:val="center"/>
              <w:rPr>
                <w:rFonts w:hint="eastAsia" w:ascii="宋体" w:hAnsi="宋体" w:eastAsia="宋体"/>
                <w:color w:val="auto"/>
                <w:sz w:val="24"/>
                <w:szCs w:val="18"/>
                <w:highlight w:val="none"/>
              </w:rPr>
            </w:pPr>
            <w:r>
              <w:rPr>
                <w:rFonts w:hint="eastAsia" w:ascii="宋体" w:hAnsi="宋体" w:eastAsia="宋体"/>
                <w:color w:val="auto"/>
                <w:sz w:val="24"/>
                <w:szCs w:val="18"/>
                <w:highlight w:val="none"/>
              </w:rPr>
              <w:t>总</w:t>
            </w:r>
            <w:r>
              <w:rPr>
                <w:rFonts w:ascii="宋体" w:hAnsi="宋体" w:eastAsia="宋体"/>
                <w:color w:val="auto"/>
                <w:sz w:val="24"/>
                <w:szCs w:val="18"/>
                <w:highlight w:val="none"/>
              </w:rPr>
              <w:t>体施工方案与技术措施</w:t>
            </w:r>
          </w:p>
        </w:tc>
        <w:tc>
          <w:tcPr>
            <w:tcW w:w="3300" w:type="pct"/>
            <w:tcBorders>
              <w:top w:val="single" w:color="auto" w:sz="4" w:space="0"/>
              <w:left w:val="nil"/>
              <w:bottom w:val="single" w:color="auto" w:sz="4" w:space="0"/>
              <w:right w:val="single" w:color="auto" w:sz="4" w:space="0"/>
            </w:tcBorders>
            <w:vAlign w:val="center"/>
          </w:tcPr>
          <w:p w14:paraId="22C94B12">
            <w:pPr>
              <w:adjustRightInd w:val="0"/>
              <w:snapToGrid w:val="0"/>
              <w:rPr>
                <w:rFonts w:hint="eastAsia" w:ascii="宋体" w:hAnsi="宋体" w:eastAsia="宋体"/>
                <w:color w:val="auto"/>
                <w:sz w:val="24"/>
                <w:szCs w:val="18"/>
                <w:highlight w:val="none"/>
              </w:rPr>
            </w:pPr>
            <w:r>
              <w:rPr>
                <w:rFonts w:ascii="宋体" w:hAnsi="宋体" w:eastAsia="宋体"/>
                <w:color w:val="auto"/>
                <w:sz w:val="24"/>
                <w:szCs w:val="18"/>
                <w:highlight w:val="none"/>
              </w:rPr>
              <w:t>针对本工程（灌注桩、钢管桩、</w:t>
            </w:r>
            <w:r>
              <w:rPr>
                <w:rFonts w:hint="eastAsia" w:ascii="宋体" w:hAnsi="宋体" w:eastAsia="宋体"/>
                <w:color w:val="auto"/>
                <w:sz w:val="24"/>
                <w:szCs w:val="18"/>
                <w:highlight w:val="none"/>
              </w:rPr>
              <w:t>土方工程</w:t>
            </w:r>
            <w:r>
              <w:rPr>
                <w:rFonts w:ascii="宋体" w:hAnsi="宋体" w:eastAsia="宋体"/>
                <w:color w:val="auto"/>
                <w:sz w:val="24"/>
                <w:szCs w:val="18"/>
                <w:highlight w:val="none"/>
              </w:rPr>
              <w:t>、混凝土和钢筋工程</w:t>
            </w:r>
            <w:r>
              <w:rPr>
                <w:rFonts w:hint="eastAsia" w:ascii="宋体" w:hAnsi="宋体" w:eastAsia="宋体"/>
                <w:color w:val="auto"/>
                <w:sz w:val="24"/>
                <w:szCs w:val="18"/>
                <w:highlight w:val="none"/>
              </w:rPr>
              <w:t>、</w:t>
            </w:r>
            <w:r>
              <w:rPr>
                <w:rFonts w:ascii="宋体" w:hAnsi="宋体" w:eastAsia="宋体"/>
                <w:color w:val="auto"/>
                <w:sz w:val="24"/>
                <w:szCs w:val="18"/>
                <w:highlight w:val="none"/>
              </w:rPr>
              <w:t>摩阻机安装施工、钢丝绳及浮筒浮标等安装）的施工方案合理、可行，技术措施先进、针对性强，得</w:t>
            </w:r>
            <w:r>
              <w:rPr>
                <w:rFonts w:hint="eastAsia" w:ascii="宋体" w:hAnsi="宋体" w:eastAsia="宋体"/>
                <w:color w:val="auto"/>
                <w:sz w:val="24"/>
                <w:szCs w:val="18"/>
                <w:highlight w:val="none"/>
              </w:rPr>
              <w:t>7</w:t>
            </w:r>
            <w:r>
              <w:rPr>
                <w:rFonts w:ascii="宋体" w:hAnsi="宋体" w:eastAsia="宋体"/>
                <w:color w:val="auto"/>
                <w:sz w:val="24"/>
                <w:szCs w:val="18"/>
                <w:highlight w:val="none"/>
              </w:rPr>
              <w:t>分；方案基本可行，措施一般，得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分；方案不合理或不可行，得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724E691F">
            <w:pPr>
              <w:jc w:val="center"/>
              <w:rPr>
                <w:rFonts w:hint="eastAsia" w:ascii="宋体" w:hAnsi="宋体" w:eastAsia="宋体"/>
                <w:color w:val="auto"/>
                <w:highlight w:val="none"/>
              </w:rPr>
            </w:pPr>
            <w:r>
              <w:rPr>
                <w:rFonts w:hint="eastAsia" w:ascii="宋体" w:hAnsi="宋体" w:eastAsia="宋体"/>
                <w:color w:val="auto"/>
                <w:highlight w:val="none"/>
              </w:rPr>
              <w:t>7</w:t>
            </w:r>
          </w:p>
        </w:tc>
      </w:tr>
      <w:tr w14:paraId="5B692F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0C265AE6">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.2</w:t>
            </w:r>
          </w:p>
        </w:tc>
        <w:tc>
          <w:tcPr>
            <w:tcW w:w="572" w:type="pct"/>
            <w:tcBorders>
              <w:top w:val="single" w:color="auto" w:sz="4" w:space="0"/>
              <w:left w:val="nil"/>
              <w:bottom w:val="single" w:color="auto" w:sz="4" w:space="0"/>
              <w:right w:val="single" w:color="auto" w:sz="4" w:space="0"/>
            </w:tcBorders>
            <w:vAlign w:val="center"/>
          </w:tcPr>
          <w:p w14:paraId="38ABA0BC">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质量控制措施</w:t>
            </w:r>
          </w:p>
        </w:tc>
        <w:tc>
          <w:tcPr>
            <w:tcW w:w="3300" w:type="pct"/>
            <w:tcBorders>
              <w:top w:val="single" w:color="auto" w:sz="4" w:space="0"/>
              <w:left w:val="nil"/>
              <w:bottom w:val="single" w:color="auto" w:sz="4" w:space="0"/>
              <w:right w:val="single" w:color="auto" w:sz="4" w:space="0"/>
            </w:tcBorders>
            <w:vAlign w:val="center"/>
          </w:tcPr>
          <w:p w14:paraId="1DED6878">
            <w:pPr>
              <w:rPr>
                <w:rFonts w:hint="eastAsia" w:ascii="宋体" w:hAnsi="宋体" w:eastAsia="宋体"/>
                <w:color w:val="auto"/>
                <w:sz w:val="24"/>
                <w:szCs w:val="18"/>
                <w:highlight w:val="none"/>
              </w:rPr>
            </w:pPr>
            <w:r>
              <w:rPr>
                <w:rFonts w:ascii="宋体" w:hAnsi="宋体" w:eastAsia="宋体"/>
                <w:color w:val="auto"/>
                <w:sz w:val="24"/>
                <w:szCs w:val="18"/>
                <w:highlight w:val="none"/>
              </w:rPr>
              <w:t>质量保证体系健全，质量目标明确，针对本工程关键部位（灌注桩、钢管桩、</w:t>
            </w:r>
            <w:r>
              <w:rPr>
                <w:rFonts w:hint="eastAsia" w:ascii="宋体" w:hAnsi="宋体" w:eastAsia="宋体"/>
                <w:color w:val="auto"/>
                <w:sz w:val="24"/>
                <w:szCs w:val="18"/>
                <w:highlight w:val="none"/>
              </w:rPr>
              <w:t>土方工程</w:t>
            </w:r>
            <w:r>
              <w:rPr>
                <w:rFonts w:ascii="宋体" w:hAnsi="宋体" w:eastAsia="宋体"/>
                <w:color w:val="auto"/>
                <w:sz w:val="24"/>
                <w:szCs w:val="18"/>
                <w:highlight w:val="none"/>
              </w:rPr>
              <w:t>、混凝土和钢筋工程</w:t>
            </w:r>
            <w:r>
              <w:rPr>
                <w:rFonts w:hint="eastAsia" w:ascii="宋体" w:hAnsi="宋体" w:eastAsia="宋体"/>
                <w:color w:val="auto"/>
                <w:sz w:val="24"/>
                <w:szCs w:val="18"/>
                <w:highlight w:val="none"/>
              </w:rPr>
              <w:t>、</w:t>
            </w:r>
            <w:r>
              <w:rPr>
                <w:rFonts w:ascii="宋体" w:hAnsi="宋体" w:eastAsia="宋体"/>
                <w:color w:val="auto"/>
                <w:sz w:val="24"/>
                <w:szCs w:val="18"/>
                <w:highlight w:val="none"/>
              </w:rPr>
              <w:t>摩阻机安装施工、钢丝绳及浮筒浮标等安装）有具体的质量控制措施，得</w:t>
            </w:r>
            <w:r>
              <w:rPr>
                <w:rFonts w:hint="eastAsia" w:ascii="宋体" w:hAnsi="宋体" w:eastAsia="宋体"/>
                <w:color w:val="auto"/>
                <w:sz w:val="24"/>
                <w:szCs w:val="18"/>
                <w:highlight w:val="none"/>
              </w:rPr>
              <w:t>9</w:t>
            </w:r>
            <w:r>
              <w:rPr>
                <w:rFonts w:ascii="宋体" w:hAnsi="宋体" w:eastAsia="宋体"/>
                <w:color w:val="auto"/>
                <w:sz w:val="24"/>
                <w:szCs w:val="18"/>
                <w:highlight w:val="none"/>
              </w:rPr>
              <w:t>分；措施基本完善，得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39E549B4">
            <w:pPr>
              <w:jc w:val="center"/>
              <w:rPr>
                <w:rFonts w:hint="eastAsia" w:ascii="宋体" w:hAnsi="宋体" w:eastAsia="宋体"/>
                <w:color w:val="auto"/>
                <w:highlight w:val="none"/>
              </w:rPr>
            </w:pPr>
            <w:r>
              <w:rPr>
                <w:rFonts w:hint="eastAsia" w:ascii="宋体" w:hAnsi="宋体" w:eastAsia="宋体"/>
                <w:color w:val="auto"/>
                <w:highlight w:val="none"/>
              </w:rPr>
              <w:t>9</w:t>
            </w:r>
          </w:p>
        </w:tc>
      </w:tr>
      <w:tr w14:paraId="1DDEC2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0A8978D6">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.3</w:t>
            </w:r>
          </w:p>
        </w:tc>
        <w:tc>
          <w:tcPr>
            <w:tcW w:w="572" w:type="pct"/>
            <w:tcBorders>
              <w:top w:val="single" w:color="auto" w:sz="4" w:space="0"/>
              <w:left w:val="nil"/>
              <w:bottom w:val="single" w:color="auto" w:sz="4" w:space="0"/>
              <w:right w:val="single" w:color="auto" w:sz="4" w:space="0"/>
            </w:tcBorders>
            <w:vAlign w:val="center"/>
          </w:tcPr>
          <w:p w14:paraId="62607DB3">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进度计划与保障措施</w:t>
            </w:r>
          </w:p>
        </w:tc>
        <w:tc>
          <w:tcPr>
            <w:tcW w:w="3300" w:type="pct"/>
            <w:tcBorders>
              <w:top w:val="single" w:color="auto" w:sz="4" w:space="0"/>
              <w:left w:val="nil"/>
              <w:bottom w:val="single" w:color="auto" w:sz="4" w:space="0"/>
              <w:right w:val="single" w:color="auto" w:sz="4" w:space="0"/>
            </w:tcBorders>
            <w:vAlign w:val="center"/>
          </w:tcPr>
          <w:p w14:paraId="51F6C8EE">
            <w:pPr>
              <w:rPr>
                <w:rFonts w:hint="eastAsia" w:ascii="宋体" w:hAnsi="宋体" w:eastAsia="宋体"/>
                <w:color w:val="auto"/>
                <w:sz w:val="24"/>
                <w:szCs w:val="18"/>
                <w:highlight w:val="none"/>
              </w:rPr>
            </w:pPr>
            <w:r>
              <w:rPr>
                <w:rFonts w:ascii="宋体" w:hAnsi="宋体" w:eastAsia="宋体"/>
                <w:color w:val="auto"/>
                <w:sz w:val="24"/>
                <w:szCs w:val="18"/>
                <w:highlight w:val="none"/>
              </w:rPr>
              <w:t>施工进度计划编制合理，关键节点明确，工期保障措施有力，得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分；计划基本合理，保障措施一般，得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分；计划不合理，得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6443239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6</w:t>
            </w:r>
          </w:p>
        </w:tc>
      </w:tr>
      <w:tr w14:paraId="43BCFD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487CDE24">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.4</w:t>
            </w:r>
          </w:p>
        </w:tc>
        <w:tc>
          <w:tcPr>
            <w:tcW w:w="572" w:type="pct"/>
            <w:tcBorders>
              <w:top w:val="single" w:color="auto" w:sz="4" w:space="0"/>
              <w:left w:val="nil"/>
              <w:bottom w:val="single" w:color="auto" w:sz="4" w:space="0"/>
              <w:right w:val="single" w:color="auto" w:sz="4" w:space="0"/>
            </w:tcBorders>
            <w:vAlign w:val="center"/>
          </w:tcPr>
          <w:p w14:paraId="03454450">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安全施工</w:t>
            </w:r>
            <w:r>
              <w:rPr>
                <w:rFonts w:hint="eastAsia" w:ascii="宋体" w:hAnsi="宋体" w:eastAsia="宋体"/>
                <w:color w:val="auto"/>
                <w:sz w:val="24"/>
                <w:szCs w:val="18"/>
                <w:highlight w:val="none"/>
              </w:rPr>
              <w:t>措施</w:t>
            </w:r>
          </w:p>
        </w:tc>
        <w:tc>
          <w:tcPr>
            <w:tcW w:w="3300" w:type="pct"/>
            <w:tcBorders>
              <w:top w:val="single" w:color="auto" w:sz="4" w:space="0"/>
              <w:left w:val="nil"/>
              <w:bottom w:val="single" w:color="auto" w:sz="4" w:space="0"/>
              <w:right w:val="single" w:color="auto" w:sz="4" w:space="0"/>
            </w:tcBorders>
            <w:vAlign w:val="center"/>
          </w:tcPr>
          <w:p w14:paraId="305A2F4D">
            <w:pPr>
              <w:rPr>
                <w:rFonts w:hint="eastAsia" w:ascii="宋体" w:hAnsi="宋体" w:eastAsia="宋体"/>
                <w:color w:val="auto"/>
                <w:sz w:val="24"/>
                <w:szCs w:val="18"/>
                <w:highlight w:val="none"/>
              </w:rPr>
            </w:pPr>
            <w:r>
              <w:rPr>
                <w:rFonts w:ascii="宋体" w:hAnsi="宋体" w:eastAsia="宋体"/>
                <w:color w:val="auto"/>
                <w:sz w:val="24"/>
                <w:szCs w:val="18"/>
                <w:highlight w:val="none"/>
              </w:rPr>
              <w:t>安全保证体系完善，安全技术措施全面（尤其针对临水作业、水上施工等）得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分；措施基本齐全，得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1DC7791A">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6</w:t>
            </w:r>
          </w:p>
        </w:tc>
      </w:tr>
      <w:tr w14:paraId="00DB0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406E40D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2.5</w:t>
            </w:r>
          </w:p>
        </w:tc>
        <w:tc>
          <w:tcPr>
            <w:tcW w:w="572" w:type="pct"/>
            <w:tcBorders>
              <w:top w:val="single" w:color="auto" w:sz="4" w:space="0"/>
              <w:left w:val="nil"/>
              <w:bottom w:val="single" w:color="auto" w:sz="4" w:space="0"/>
              <w:right w:val="single" w:color="auto" w:sz="4" w:space="0"/>
            </w:tcBorders>
            <w:vAlign w:val="center"/>
          </w:tcPr>
          <w:p w14:paraId="04590ACD">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文明施工与环境保护措施</w:t>
            </w:r>
          </w:p>
        </w:tc>
        <w:tc>
          <w:tcPr>
            <w:tcW w:w="3300" w:type="pct"/>
            <w:tcBorders>
              <w:top w:val="single" w:color="auto" w:sz="4" w:space="0"/>
              <w:left w:val="nil"/>
              <w:bottom w:val="single" w:color="auto" w:sz="4" w:space="0"/>
              <w:right w:val="single" w:color="auto" w:sz="4" w:space="0"/>
            </w:tcBorders>
            <w:vAlign w:val="center"/>
          </w:tcPr>
          <w:p w14:paraId="0BB0FC79">
            <w:pPr>
              <w:rPr>
                <w:rFonts w:hint="eastAsia" w:ascii="宋体" w:hAnsi="宋体" w:eastAsia="宋体"/>
                <w:color w:val="auto"/>
                <w:sz w:val="24"/>
                <w:szCs w:val="18"/>
                <w:highlight w:val="none"/>
              </w:rPr>
            </w:pPr>
            <w:r>
              <w:rPr>
                <w:rFonts w:ascii="宋体" w:hAnsi="宋体" w:eastAsia="宋体"/>
                <w:color w:val="auto"/>
                <w:sz w:val="24"/>
                <w:szCs w:val="18"/>
                <w:highlight w:val="none"/>
              </w:rPr>
              <w:t>文明施工及环境保护措施符合要求，得</w:t>
            </w:r>
            <w:r>
              <w:rPr>
                <w:rFonts w:hint="eastAsia" w:ascii="宋体" w:hAnsi="宋体" w:eastAsia="宋体"/>
                <w:color w:val="auto"/>
                <w:sz w:val="24"/>
                <w:szCs w:val="18"/>
                <w:highlight w:val="none"/>
              </w:rPr>
              <w:t>5</w:t>
            </w:r>
            <w:r>
              <w:rPr>
                <w:rFonts w:ascii="宋体" w:hAnsi="宋体" w:eastAsia="宋体"/>
                <w:color w:val="auto"/>
                <w:sz w:val="24"/>
                <w:szCs w:val="18"/>
                <w:highlight w:val="none"/>
              </w:rPr>
              <w:t>分；措施基本齐全，得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1</w:t>
            </w:r>
            <w:r>
              <w:rPr>
                <w:rFonts w:ascii="宋体" w:hAnsi="宋体" w:eastAsia="宋体"/>
                <w:color w:val="auto"/>
                <w:sz w:val="24"/>
                <w:szCs w:val="18"/>
                <w:highlight w:val="none"/>
              </w:rPr>
              <w:t>分</w:t>
            </w:r>
            <w:r>
              <w:rPr>
                <w:rFonts w:hint="eastAsia" w:ascii="宋体" w:hAnsi="宋体" w:eastAsia="宋体"/>
                <w:color w:val="auto"/>
                <w:sz w:val="24"/>
                <w:szCs w:val="18"/>
                <w:highlight w:val="none"/>
                <w:lang w:eastAsia="zh-CN"/>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0AFA2A2E">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5</w:t>
            </w:r>
          </w:p>
        </w:tc>
      </w:tr>
      <w:tr w14:paraId="11E35A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1ED7818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6</w:t>
            </w:r>
          </w:p>
        </w:tc>
        <w:tc>
          <w:tcPr>
            <w:tcW w:w="572" w:type="pct"/>
            <w:tcBorders>
              <w:top w:val="single" w:color="auto" w:sz="4" w:space="0"/>
              <w:left w:val="nil"/>
              <w:bottom w:val="single" w:color="auto" w:sz="4" w:space="0"/>
              <w:right w:val="single" w:color="auto" w:sz="4" w:space="0"/>
            </w:tcBorders>
            <w:vAlign w:val="center"/>
          </w:tcPr>
          <w:p w14:paraId="77755D4D">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主要材料、设备性能及质量保证</w:t>
            </w:r>
          </w:p>
        </w:tc>
        <w:tc>
          <w:tcPr>
            <w:tcW w:w="3300" w:type="pct"/>
            <w:tcBorders>
              <w:top w:val="single" w:color="auto" w:sz="4" w:space="0"/>
              <w:left w:val="nil"/>
              <w:bottom w:val="single" w:color="auto" w:sz="4" w:space="0"/>
              <w:right w:val="single" w:color="auto" w:sz="4" w:space="0"/>
            </w:tcBorders>
            <w:vAlign w:val="center"/>
          </w:tcPr>
          <w:p w14:paraId="72206DAE">
            <w:pPr>
              <w:rPr>
                <w:rFonts w:hint="eastAsia" w:ascii="宋体" w:hAnsi="宋体" w:eastAsia="宋体"/>
                <w:color w:val="auto"/>
                <w:sz w:val="24"/>
                <w:szCs w:val="18"/>
                <w:highlight w:val="none"/>
              </w:rPr>
            </w:pPr>
            <w:r>
              <w:rPr>
                <w:rFonts w:ascii="宋体" w:hAnsi="宋体" w:eastAsia="宋体"/>
                <w:color w:val="auto"/>
                <w:sz w:val="24"/>
                <w:szCs w:val="18"/>
                <w:highlight w:val="none"/>
              </w:rPr>
              <w:t>对本工程主要材料（钢丝绳、浮筒、浮标、钢材、混凝土等）和设备（摩阻机</w:t>
            </w:r>
            <w:r>
              <w:rPr>
                <w:rFonts w:hint="eastAsia" w:ascii="宋体" w:hAnsi="宋体" w:eastAsia="宋体"/>
                <w:color w:val="auto"/>
                <w:sz w:val="24"/>
                <w:szCs w:val="18"/>
                <w:highlight w:val="none"/>
              </w:rPr>
              <w:t>、摄像机等</w:t>
            </w:r>
            <w:r>
              <w:rPr>
                <w:rFonts w:ascii="宋体" w:hAnsi="宋体" w:eastAsia="宋体"/>
                <w:color w:val="auto"/>
                <w:sz w:val="24"/>
                <w:szCs w:val="18"/>
                <w:highlight w:val="none"/>
              </w:rPr>
              <w:t>）的技术参数、性能指标有详细说明，且质量保证措施完善，得</w:t>
            </w:r>
            <w:r>
              <w:rPr>
                <w:rFonts w:hint="eastAsia" w:ascii="宋体" w:hAnsi="宋体" w:eastAsia="宋体"/>
                <w:color w:val="auto"/>
                <w:sz w:val="24"/>
                <w:szCs w:val="18"/>
                <w:highlight w:val="none"/>
              </w:rPr>
              <w:t>9</w:t>
            </w:r>
            <w:r>
              <w:rPr>
                <w:rFonts w:ascii="宋体" w:hAnsi="宋体" w:eastAsia="宋体"/>
                <w:color w:val="auto"/>
                <w:sz w:val="24"/>
                <w:szCs w:val="18"/>
                <w:highlight w:val="none"/>
              </w:rPr>
              <w:t>分；说明及保证措施基本满足，得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分；不满足，得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w:t>
            </w:r>
            <w:r>
              <w:rPr>
                <w:rFonts w:hint="eastAsia" w:ascii="宋体" w:hAnsi="宋体" w:eastAsia="宋体"/>
                <w:color w:val="auto"/>
                <w:sz w:val="24"/>
                <w:szCs w:val="18"/>
                <w:highlight w:val="none"/>
                <w:lang w:eastAsia="zh-CN"/>
              </w:rPr>
              <w:t>；</w:t>
            </w:r>
            <w:r>
              <w:rPr>
                <w:rFonts w:hint="eastAsia" w:ascii="宋体" w:hAnsi="宋体" w:eastAsia="宋体"/>
                <w:color w:val="auto"/>
                <w:sz w:val="24"/>
                <w:szCs w:val="18"/>
                <w:highlight w:val="none"/>
                <w:lang w:val="en-US" w:eastAsia="zh-CN"/>
              </w:rPr>
              <w:t>无</w:t>
            </w:r>
            <w:r>
              <w:rPr>
                <w:rFonts w:ascii="宋体" w:hAnsi="宋体" w:eastAsia="宋体"/>
                <w:color w:val="auto"/>
                <w:sz w:val="24"/>
                <w:szCs w:val="18"/>
                <w:highlight w:val="none"/>
              </w:rPr>
              <w:t>说明及保证措施</w:t>
            </w:r>
            <w:r>
              <w:rPr>
                <w:rFonts w:hint="eastAsia" w:ascii="宋体" w:hAnsi="宋体" w:eastAsia="宋体"/>
                <w:color w:val="auto"/>
                <w:sz w:val="24"/>
                <w:szCs w:val="18"/>
                <w:highlight w:val="none"/>
                <w:lang w:eastAsia="zh-CN"/>
              </w:rPr>
              <w:t>，</w:t>
            </w:r>
            <w:r>
              <w:rPr>
                <w:rFonts w:hint="eastAsia" w:ascii="宋体" w:hAnsi="宋体" w:eastAsia="宋体"/>
                <w:color w:val="auto"/>
                <w:sz w:val="24"/>
                <w:szCs w:val="18"/>
                <w:highlight w:val="none"/>
                <w:lang w:val="en-US" w:eastAsia="zh-CN"/>
              </w:rPr>
              <w:t>得0分</w:t>
            </w:r>
            <w:r>
              <w:rPr>
                <w:rFonts w:ascii="宋体" w:hAnsi="宋体" w:eastAsia="宋体"/>
                <w:color w:val="auto"/>
                <w:sz w:val="24"/>
                <w:szCs w:val="18"/>
                <w:highlight w:val="none"/>
              </w:rPr>
              <w:t>。</w:t>
            </w:r>
          </w:p>
        </w:tc>
        <w:tc>
          <w:tcPr>
            <w:tcW w:w="620" w:type="pct"/>
            <w:tcBorders>
              <w:top w:val="single" w:color="auto" w:sz="4" w:space="0"/>
              <w:left w:val="nil"/>
              <w:bottom w:val="single" w:color="auto" w:sz="4" w:space="0"/>
              <w:right w:val="single" w:color="auto" w:sz="12" w:space="0"/>
            </w:tcBorders>
            <w:vAlign w:val="center"/>
          </w:tcPr>
          <w:p w14:paraId="5AFB25AB">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9</w:t>
            </w:r>
          </w:p>
        </w:tc>
      </w:tr>
      <w:tr w14:paraId="075699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6C1AF50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7</w:t>
            </w:r>
          </w:p>
        </w:tc>
        <w:tc>
          <w:tcPr>
            <w:tcW w:w="572" w:type="pct"/>
            <w:tcBorders>
              <w:top w:val="single" w:color="auto" w:sz="4" w:space="0"/>
              <w:left w:val="nil"/>
              <w:bottom w:val="single" w:color="auto" w:sz="4" w:space="0"/>
              <w:right w:val="single" w:color="auto" w:sz="4" w:space="0"/>
            </w:tcBorders>
            <w:vAlign w:val="center"/>
          </w:tcPr>
          <w:p w14:paraId="08669257">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验收实施方案</w:t>
            </w:r>
          </w:p>
        </w:tc>
        <w:tc>
          <w:tcPr>
            <w:tcW w:w="3300" w:type="pct"/>
            <w:tcBorders>
              <w:top w:val="single" w:color="auto" w:sz="4" w:space="0"/>
              <w:left w:val="nil"/>
              <w:bottom w:val="single" w:color="auto" w:sz="4" w:space="0"/>
              <w:right w:val="single" w:color="auto" w:sz="4" w:space="0"/>
            </w:tcBorders>
            <w:vAlign w:val="center"/>
          </w:tcPr>
          <w:p w14:paraId="1EC074CE">
            <w:pPr>
              <w:rPr>
                <w:rFonts w:hint="eastAsia" w:ascii="宋体" w:hAnsi="宋体" w:eastAsia="宋体"/>
                <w:color w:val="auto"/>
                <w:sz w:val="24"/>
                <w:szCs w:val="18"/>
                <w:highlight w:val="none"/>
              </w:rPr>
            </w:pPr>
            <w:r>
              <w:rPr>
                <w:rFonts w:ascii="宋体" w:hAnsi="宋体" w:eastAsia="宋体"/>
                <w:color w:val="auto"/>
                <w:sz w:val="24"/>
                <w:szCs w:val="18"/>
                <w:highlight w:val="none"/>
              </w:rPr>
              <w:t>包括但不限于分部分项验收、竣工验收、资料归档、检测检验计划（如灌注桩检测、摩阻机调试检测等）</w:t>
            </w:r>
            <w:r>
              <w:rPr>
                <w:rFonts w:hint="eastAsia" w:ascii="宋体" w:hAnsi="宋体" w:eastAsia="宋体"/>
                <w:color w:val="auto"/>
                <w:sz w:val="24"/>
                <w:szCs w:val="18"/>
                <w:highlight w:val="none"/>
              </w:rPr>
              <w:t>，</w:t>
            </w:r>
            <w:r>
              <w:rPr>
                <w:rFonts w:ascii="宋体" w:hAnsi="宋体" w:eastAsia="宋体"/>
                <w:color w:val="auto"/>
                <w:sz w:val="24"/>
                <w:szCs w:val="18"/>
                <w:highlight w:val="none"/>
              </w:rPr>
              <w:t>验收实施方案完整、合理得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分；基本合理得</w:t>
            </w:r>
            <w:r>
              <w:rPr>
                <w:rFonts w:hint="eastAsia" w:ascii="宋体" w:hAnsi="宋体" w:eastAsia="宋体"/>
                <w:color w:val="auto"/>
                <w:sz w:val="24"/>
                <w:szCs w:val="18"/>
                <w:highlight w:val="none"/>
              </w:rPr>
              <w:t>1</w:t>
            </w:r>
            <w:r>
              <w:rPr>
                <w:rFonts w:ascii="宋体" w:hAnsi="宋体" w:eastAsia="宋体"/>
                <w:color w:val="auto"/>
                <w:sz w:val="24"/>
                <w:szCs w:val="18"/>
                <w:highlight w:val="none"/>
              </w:rPr>
              <w:t>分；无方案措施的，得0分。</w:t>
            </w:r>
          </w:p>
        </w:tc>
        <w:tc>
          <w:tcPr>
            <w:tcW w:w="620" w:type="pct"/>
            <w:tcBorders>
              <w:top w:val="single" w:color="auto" w:sz="4" w:space="0"/>
              <w:left w:val="nil"/>
              <w:bottom w:val="single" w:color="auto" w:sz="4" w:space="0"/>
              <w:right w:val="single" w:color="auto" w:sz="12" w:space="0"/>
            </w:tcBorders>
            <w:vAlign w:val="center"/>
          </w:tcPr>
          <w:p w14:paraId="3A1289E8">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3</w:t>
            </w:r>
          </w:p>
        </w:tc>
      </w:tr>
    </w:tbl>
    <w:p w14:paraId="4ABB8071">
      <w:pPr>
        <w:autoSpaceDE w:val="0"/>
        <w:autoSpaceDN w:val="0"/>
        <w:adjustRightInd w:val="0"/>
        <w:spacing w:line="450" w:lineRule="exact"/>
        <w:ind w:firstLine="241" w:firstLineChars="100"/>
        <w:rPr>
          <w:rFonts w:eastAsia="宋体"/>
          <w:color w:val="auto"/>
          <w:kern w:val="0"/>
          <w:sz w:val="24"/>
          <w:szCs w:val="24"/>
          <w:highlight w:val="none"/>
        </w:rPr>
      </w:pPr>
      <w:r>
        <w:rPr>
          <w:rFonts w:hint="eastAsia" w:eastAsia="宋体"/>
          <w:b/>
          <w:bCs/>
          <w:color w:val="auto"/>
          <w:kern w:val="0"/>
          <w:sz w:val="24"/>
          <w:szCs w:val="24"/>
          <w:highlight w:val="none"/>
        </w:rPr>
        <w:t>*供应商必须保证全部投标资料的真实性，如有虚假或对招标文件所要求说明的情况故意隐瞒或虚报，视为不实质性响应采购文件，为无效投标。已中标的将取消中标资格，并按《中华人民共和国政府采购法》等法律法规处理。</w:t>
      </w:r>
    </w:p>
    <w:p w14:paraId="4CD7ECBC">
      <w:pPr>
        <w:autoSpaceDE w:val="0"/>
        <w:autoSpaceDN w:val="0"/>
        <w:adjustRightInd w:val="0"/>
        <w:spacing w:line="450" w:lineRule="exact"/>
        <w:ind w:firstLine="240" w:firstLineChars="100"/>
        <w:rPr>
          <w:rFonts w:eastAsia="宋体"/>
          <w:color w:val="auto"/>
          <w:kern w:val="0"/>
          <w:sz w:val="24"/>
          <w:szCs w:val="24"/>
          <w:highlight w:val="none"/>
        </w:rPr>
      </w:pPr>
      <w:r>
        <w:rPr>
          <w:rFonts w:eastAsia="宋体"/>
          <w:color w:val="auto"/>
          <w:kern w:val="0"/>
          <w:sz w:val="24"/>
          <w:szCs w:val="24"/>
          <w:highlight w:val="none"/>
        </w:rPr>
        <w:t>注： 1</w:t>
      </w:r>
      <w:r>
        <w:rPr>
          <w:rFonts w:hint="eastAsia" w:eastAsia="宋体"/>
          <w:color w:val="auto"/>
          <w:kern w:val="0"/>
          <w:sz w:val="24"/>
          <w:szCs w:val="24"/>
          <w:highlight w:val="none"/>
        </w:rPr>
        <w:t>.</w:t>
      </w:r>
      <w:r>
        <w:rPr>
          <w:rFonts w:eastAsia="宋体"/>
          <w:color w:val="auto"/>
          <w:kern w:val="0"/>
          <w:sz w:val="24"/>
          <w:szCs w:val="24"/>
          <w:highlight w:val="none"/>
        </w:rPr>
        <w:t>以上评分标准中的各评分要点，各响应供应商均应提供相关的证明材料并做出相应的对比（列表）供评委评判。（提供得分索引表）</w:t>
      </w:r>
    </w:p>
    <w:p w14:paraId="7D4B081A">
      <w:pPr>
        <w:autoSpaceDE w:val="0"/>
        <w:autoSpaceDN w:val="0"/>
        <w:adjustRightInd w:val="0"/>
        <w:spacing w:line="450" w:lineRule="exact"/>
        <w:ind w:firstLine="720" w:firstLineChars="300"/>
        <w:rPr>
          <w:rFonts w:eastAsia="宋体"/>
          <w:color w:val="auto"/>
          <w:kern w:val="0"/>
          <w:sz w:val="24"/>
          <w:szCs w:val="24"/>
          <w:highlight w:val="none"/>
        </w:rPr>
      </w:pPr>
      <w:r>
        <w:rPr>
          <w:rFonts w:hint="eastAsia" w:eastAsia="宋体"/>
          <w:color w:val="auto"/>
          <w:kern w:val="0"/>
          <w:sz w:val="24"/>
          <w:szCs w:val="24"/>
          <w:highlight w:val="none"/>
        </w:rPr>
        <w:t>2</w:t>
      </w:r>
      <w:r>
        <w:rPr>
          <w:rFonts w:eastAsia="宋体"/>
          <w:color w:val="auto"/>
          <w:kern w:val="0"/>
          <w:sz w:val="24"/>
          <w:szCs w:val="24"/>
          <w:highlight w:val="none"/>
        </w:rPr>
        <w:t>.所需所有证明材料、资质材料等只需复印件加盖公章即可。</w:t>
      </w:r>
    </w:p>
    <w:p w14:paraId="6984431D">
      <w:pPr>
        <w:autoSpaceDE w:val="0"/>
        <w:autoSpaceDN w:val="0"/>
        <w:adjustRightInd w:val="0"/>
        <w:spacing w:line="450" w:lineRule="exact"/>
        <w:ind w:firstLine="720" w:firstLineChars="300"/>
        <w:rPr>
          <w:color w:val="auto"/>
          <w:highlight w:val="none"/>
        </w:rPr>
      </w:pPr>
      <w:r>
        <w:rPr>
          <w:rFonts w:eastAsia="宋体"/>
          <w:color w:val="auto"/>
          <w:kern w:val="0"/>
          <w:sz w:val="24"/>
          <w:szCs w:val="24"/>
          <w:highlight w:val="none"/>
        </w:rPr>
        <w:t>3.按中小企业划分标准本项目采购标的物属于</w:t>
      </w:r>
      <w:bookmarkEnd w:id="0"/>
      <w:bookmarkEnd w:id="87"/>
      <w:r>
        <w:rPr>
          <w:rFonts w:hint="eastAsia" w:eastAsia="宋体"/>
          <w:b/>
          <w:bCs/>
          <w:color w:val="auto"/>
          <w:kern w:val="0"/>
          <w:sz w:val="24"/>
          <w:szCs w:val="24"/>
          <w:highlight w:val="none"/>
          <w:u w:val="single"/>
        </w:rPr>
        <w:t>建筑业。</w:t>
      </w:r>
    </w:p>
    <w:sectPr>
      <w:headerReference r:id="rId7" w:type="default"/>
      <w:footerReference r:id="rId8" w:type="default"/>
      <w:pgSz w:w="11906" w:h="16838"/>
      <w:pgMar w:top="1134" w:right="1134" w:bottom="1077" w:left="1134" w:header="851" w:footer="992" w:gutter="0"/>
      <w:pgNumType w:fmt="decimal" w:start="1"/>
      <w:cols w:space="720" w:num="1"/>
      <w:docGrid w:linePitch="358" w:charSpace="14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E178">
    <w:pPr>
      <w:pStyle w:val="20"/>
      <w:tabs>
        <w:tab w:val="center" w:pos="441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AzHgNQAAAADAQAADwAAAAAAAAABACAAAAAiAAAAZHJz&#10;L2Rvd25yZXYueG1sUEsBAhQAFAAAAAgAh07iQHtJpsbPAQAAlQMAAA4AAAAAAAAAAQAgAAAAIwEA&#10;AGRycy9lMm9Eb2MueG1sUEsFBgAAAAAGAAYAWQEAAGQFAAAAAA==&#10;">
              <v:fill on="f" focussize="0,0"/>
              <v:stroke on="f" weight="1.25pt"/>
              <v:imagedata o:title=""/>
              <o:lock v:ext="edit" aspectratio="f"/>
              <v:textbox inset="0mm,0mm,0mm,0mm" style="mso-fit-shape-to-text:t;">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C7318">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hYgOT0AEAAJUDAAAOAAAAAAAAAAEAIAAAACMB&#10;AABkcnMvZTJvRG9jLnhtbFBLBQYAAAAABgAGAFkBAABlBQAAAAA=&#10;">
              <v:fill on="f" focussize="0,0"/>
              <v:stroke on="f" weight="1.25pt"/>
              <v:imagedata o:title=""/>
              <o:lock v:ext="edit" aspectratio="f"/>
              <v:textbox inset="0mm,0mm,0mm,0mm" style="mso-fit-shape-to-text:t;">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79F2">
    <w:pPr>
      <w:pStyle w:val="20"/>
      <w:rPr>
        <w:rFonts w:hint="eastAsia" w:hAnsi="宋体"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rFonts w:hint="eastAsia"/>
                              <w:sz w:val="24"/>
                            </w:rPr>
                            <w:t>1</w:t>
                          </w:r>
                          <w:r>
                            <w:rPr>
                              <w:rFonts w:hint="eastAsia"/>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Xe2Cg0AEAAJUDAAAOAAAAAAAAAAEAIAAAACMB&#10;AABkcnMvZTJvRG9jLnhtbFBLBQYAAAAABgAGAFkBAABlBQAAAAA=&#10;">
              <v:fill on="f" focussize="0,0"/>
              <v:stroke on="f" weight="1.25pt"/>
              <v:imagedata o:title=""/>
              <o:lock v:ext="edit" aspectratio="f"/>
              <v:textbox inset="0mm,0mm,0mm,0mm" style="mso-fit-shape-to-text:t;">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rFonts w:hint="eastAsia"/>
                        <w:sz w:val="24"/>
                      </w:rPr>
                      <w:t>1</w:t>
                    </w:r>
                    <w:r>
                      <w:rPr>
                        <w:rFonts w:hint="eastAsia"/>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4EE0">
    <w:pPr>
      <w:pStyle w:val="21"/>
      <w:rPr>
        <w:rFonts w:hint="eastAsia"/>
      </w:rPr>
    </w:pPr>
    <w:r>
      <w:rPr>
        <w:rFonts w:hint="eastAsia"/>
      </w:rPr>
      <w:t xml:space="preserve">五里窑闸上游清淤及护坡整治 </w:t>
    </w:r>
    <w: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1899">
    <w:pPr>
      <w:pStyle w:val="47"/>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C7C9A">
    <w:pPr>
      <w:pStyle w:val="21"/>
      <w:rPr>
        <w:rFonts w:hint="eastAsia"/>
      </w:rPr>
    </w:pPr>
    <w:r>
      <w:rPr>
        <w:rFonts w:hint="eastAsia"/>
        <w:bCs w:val="0"/>
        <w:color w:val="auto"/>
      </w:rPr>
      <w:t>江都西闸上游及万福闸上游（新河、壁虎河侧）拦船设施建设项目 竞争性磋商文件</w:t>
    </w:r>
    <w:r>
      <w:rPr>
        <w:rFonts w:hint="eastAsia"/>
        <w:bCs w:val="0"/>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57BA1E"/>
    <w:multiLevelType w:val="singleLevel"/>
    <w:tmpl w:val="A557BA1E"/>
    <w:lvl w:ilvl="0" w:tentative="0">
      <w:start w:val="5"/>
      <w:numFmt w:val="chineseCounting"/>
      <w:suff w:val="nothing"/>
      <w:lvlText w:val="%1、"/>
      <w:lvlJc w:val="left"/>
      <w:rPr>
        <w:rFonts w:hint="eastAsia"/>
      </w:rPr>
    </w:lvl>
  </w:abstractNum>
  <w:abstractNum w:abstractNumId="1">
    <w:nsid w:val="BEFDA864"/>
    <w:multiLevelType w:val="singleLevel"/>
    <w:tmpl w:val="BEFDA864"/>
    <w:lvl w:ilvl="0" w:tentative="0">
      <w:start w:val="3"/>
      <w:numFmt w:val="chineseCounting"/>
      <w:suff w:val="nothing"/>
      <w:lvlText w:val="（%1）"/>
      <w:lvlJc w:val="left"/>
      <w:rPr>
        <w:rFonts w:hint="eastAsia"/>
      </w:rPr>
    </w:lvl>
  </w:abstractNum>
  <w:abstractNum w:abstractNumId="2">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6930F369"/>
    <w:multiLevelType w:val="singleLevel"/>
    <w:tmpl w:val="6930F369"/>
    <w:lvl w:ilvl="0" w:tentative="0">
      <w:start w:val="2"/>
      <w:numFmt w:val="decimal"/>
      <w:suff w:val="nothing"/>
      <w:lvlText w:val="%1."/>
      <w:lvlJc w:val="left"/>
      <w:pPr>
        <w:ind w:left="0" w:firstLine="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ZjRiZDZjYjM0NTliYmU4OTc2MzJjODY3NTc2YmMifQ=="/>
  </w:docVars>
  <w:rsids>
    <w:rsidRoot w:val="1CD25440"/>
    <w:rsid w:val="00024AAD"/>
    <w:rsid w:val="00033161"/>
    <w:rsid w:val="00037FC5"/>
    <w:rsid w:val="00042B93"/>
    <w:rsid w:val="000478DB"/>
    <w:rsid w:val="00050DCE"/>
    <w:rsid w:val="000544E2"/>
    <w:rsid w:val="00057E6E"/>
    <w:rsid w:val="00062F2A"/>
    <w:rsid w:val="00073854"/>
    <w:rsid w:val="000805AF"/>
    <w:rsid w:val="000932F0"/>
    <w:rsid w:val="000968EE"/>
    <w:rsid w:val="000D5E7E"/>
    <w:rsid w:val="000F0CB8"/>
    <w:rsid w:val="000F1C63"/>
    <w:rsid w:val="00131014"/>
    <w:rsid w:val="0014134E"/>
    <w:rsid w:val="001551EA"/>
    <w:rsid w:val="00171B28"/>
    <w:rsid w:val="001722DC"/>
    <w:rsid w:val="001751BA"/>
    <w:rsid w:val="001C36A5"/>
    <w:rsid w:val="001C7954"/>
    <w:rsid w:val="001C7971"/>
    <w:rsid w:val="001D5AC6"/>
    <w:rsid w:val="001E7608"/>
    <w:rsid w:val="001F2FEF"/>
    <w:rsid w:val="001F522E"/>
    <w:rsid w:val="00205DA8"/>
    <w:rsid w:val="0021435F"/>
    <w:rsid w:val="0023341E"/>
    <w:rsid w:val="00242FA6"/>
    <w:rsid w:val="00243B7F"/>
    <w:rsid w:val="00252CBB"/>
    <w:rsid w:val="00256B3A"/>
    <w:rsid w:val="00266545"/>
    <w:rsid w:val="002745C3"/>
    <w:rsid w:val="00276832"/>
    <w:rsid w:val="00287164"/>
    <w:rsid w:val="00290ABA"/>
    <w:rsid w:val="00290D19"/>
    <w:rsid w:val="002C1786"/>
    <w:rsid w:val="002C1848"/>
    <w:rsid w:val="002C1B8A"/>
    <w:rsid w:val="002C1CCD"/>
    <w:rsid w:val="002F6A11"/>
    <w:rsid w:val="003240B6"/>
    <w:rsid w:val="003407C2"/>
    <w:rsid w:val="00344092"/>
    <w:rsid w:val="00345F58"/>
    <w:rsid w:val="00357A2F"/>
    <w:rsid w:val="00372D82"/>
    <w:rsid w:val="00373D77"/>
    <w:rsid w:val="003768DD"/>
    <w:rsid w:val="003951B4"/>
    <w:rsid w:val="00396449"/>
    <w:rsid w:val="003B12DC"/>
    <w:rsid w:val="003B2BAA"/>
    <w:rsid w:val="003B350B"/>
    <w:rsid w:val="003C673E"/>
    <w:rsid w:val="003C7131"/>
    <w:rsid w:val="003F360E"/>
    <w:rsid w:val="003F6BFA"/>
    <w:rsid w:val="00400673"/>
    <w:rsid w:val="00412F80"/>
    <w:rsid w:val="00413859"/>
    <w:rsid w:val="004358A2"/>
    <w:rsid w:val="00451C75"/>
    <w:rsid w:val="00452B4F"/>
    <w:rsid w:val="00462155"/>
    <w:rsid w:val="0046395F"/>
    <w:rsid w:val="004641DF"/>
    <w:rsid w:val="00464CC8"/>
    <w:rsid w:val="004809D5"/>
    <w:rsid w:val="00481665"/>
    <w:rsid w:val="004C4841"/>
    <w:rsid w:val="004D5152"/>
    <w:rsid w:val="00502EBC"/>
    <w:rsid w:val="005113C6"/>
    <w:rsid w:val="00525503"/>
    <w:rsid w:val="00527D62"/>
    <w:rsid w:val="00530501"/>
    <w:rsid w:val="005320F1"/>
    <w:rsid w:val="00540370"/>
    <w:rsid w:val="005541DA"/>
    <w:rsid w:val="005673B7"/>
    <w:rsid w:val="005706E8"/>
    <w:rsid w:val="005766C8"/>
    <w:rsid w:val="00592CD0"/>
    <w:rsid w:val="005964F3"/>
    <w:rsid w:val="005B505E"/>
    <w:rsid w:val="005D1EAC"/>
    <w:rsid w:val="005D5F69"/>
    <w:rsid w:val="005E244E"/>
    <w:rsid w:val="00617273"/>
    <w:rsid w:val="00640957"/>
    <w:rsid w:val="006475EE"/>
    <w:rsid w:val="00655899"/>
    <w:rsid w:val="006664AD"/>
    <w:rsid w:val="0067016F"/>
    <w:rsid w:val="00673F4F"/>
    <w:rsid w:val="00682959"/>
    <w:rsid w:val="006866F0"/>
    <w:rsid w:val="00693872"/>
    <w:rsid w:val="00694600"/>
    <w:rsid w:val="006A1C6E"/>
    <w:rsid w:val="006A2401"/>
    <w:rsid w:val="006A41A0"/>
    <w:rsid w:val="006C0DEA"/>
    <w:rsid w:val="006D2D1A"/>
    <w:rsid w:val="006D5E87"/>
    <w:rsid w:val="006D7FB4"/>
    <w:rsid w:val="0071612D"/>
    <w:rsid w:val="00725566"/>
    <w:rsid w:val="007550B0"/>
    <w:rsid w:val="00757CA8"/>
    <w:rsid w:val="00763C38"/>
    <w:rsid w:val="0076731E"/>
    <w:rsid w:val="00773AF9"/>
    <w:rsid w:val="00776457"/>
    <w:rsid w:val="00782C24"/>
    <w:rsid w:val="007958E0"/>
    <w:rsid w:val="007A7D7E"/>
    <w:rsid w:val="007D360C"/>
    <w:rsid w:val="00802F62"/>
    <w:rsid w:val="008160BA"/>
    <w:rsid w:val="00816DA6"/>
    <w:rsid w:val="00821834"/>
    <w:rsid w:val="008509A1"/>
    <w:rsid w:val="00881B25"/>
    <w:rsid w:val="00884ACB"/>
    <w:rsid w:val="00886424"/>
    <w:rsid w:val="008A277E"/>
    <w:rsid w:val="008D1AA1"/>
    <w:rsid w:val="008D5F59"/>
    <w:rsid w:val="008E4937"/>
    <w:rsid w:val="008F700E"/>
    <w:rsid w:val="00914337"/>
    <w:rsid w:val="00921E3C"/>
    <w:rsid w:val="00941CE3"/>
    <w:rsid w:val="00955A1B"/>
    <w:rsid w:val="0098375E"/>
    <w:rsid w:val="00985132"/>
    <w:rsid w:val="009C5D68"/>
    <w:rsid w:val="009C6B07"/>
    <w:rsid w:val="009D2741"/>
    <w:rsid w:val="009D6ABA"/>
    <w:rsid w:val="009E29E6"/>
    <w:rsid w:val="009F4575"/>
    <w:rsid w:val="00A02C65"/>
    <w:rsid w:val="00A10FFE"/>
    <w:rsid w:val="00A463B5"/>
    <w:rsid w:val="00A472CE"/>
    <w:rsid w:val="00A57655"/>
    <w:rsid w:val="00A61620"/>
    <w:rsid w:val="00A81A36"/>
    <w:rsid w:val="00AD06BF"/>
    <w:rsid w:val="00AE6A5E"/>
    <w:rsid w:val="00B07A18"/>
    <w:rsid w:val="00B24A8A"/>
    <w:rsid w:val="00B3601B"/>
    <w:rsid w:val="00B77A45"/>
    <w:rsid w:val="00BA4FAA"/>
    <w:rsid w:val="00BA639F"/>
    <w:rsid w:val="00BA67CF"/>
    <w:rsid w:val="00BA763F"/>
    <w:rsid w:val="00BB43A9"/>
    <w:rsid w:val="00BB7C80"/>
    <w:rsid w:val="00BC2BC1"/>
    <w:rsid w:val="00BE4BAB"/>
    <w:rsid w:val="00BE749C"/>
    <w:rsid w:val="00BF4B18"/>
    <w:rsid w:val="00BF5399"/>
    <w:rsid w:val="00C0458E"/>
    <w:rsid w:val="00C1521C"/>
    <w:rsid w:val="00C246B6"/>
    <w:rsid w:val="00C2766A"/>
    <w:rsid w:val="00C730A6"/>
    <w:rsid w:val="00C76503"/>
    <w:rsid w:val="00C77604"/>
    <w:rsid w:val="00C914A8"/>
    <w:rsid w:val="00CB0886"/>
    <w:rsid w:val="00CB1440"/>
    <w:rsid w:val="00CB2D02"/>
    <w:rsid w:val="00CB5878"/>
    <w:rsid w:val="00CB70F6"/>
    <w:rsid w:val="00CC682B"/>
    <w:rsid w:val="00CD3E4A"/>
    <w:rsid w:val="00CE4836"/>
    <w:rsid w:val="00D1175B"/>
    <w:rsid w:val="00D47ACD"/>
    <w:rsid w:val="00D55B6B"/>
    <w:rsid w:val="00D70684"/>
    <w:rsid w:val="00D856F5"/>
    <w:rsid w:val="00D966D5"/>
    <w:rsid w:val="00DC1971"/>
    <w:rsid w:val="00DC7776"/>
    <w:rsid w:val="00DD6F5B"/>
    <w:rsid w:val="00DE1DBF"/>
    <w:rsid w:val="00DE4D1E"/>
    <w:rsid w:val="00E13B94"/>
    <w:rsid w:val="00E20CD7"/>
    <w:rsid w:val="00E61998"/>
    <w:rsid w:val="00E6781C"/>
    <w:rsid w:val="00E82F21"/>
    <w:rsid w:val="00E96992"/>
    <w:rsid w:val="00EA0FEA"/>
    <w:rsid w:val="00EB5849"/>
    <w:rsid w:val="00EE4326"/>
    <w:rsid w:val="00EF0C62"/>
    <w:rsid w:val="00F1462F"/>
    <w:rsid w:val="00F23D1F"/>
    <w:rsid w:val="00F4102E"/>
    <w:rsid w:val="00F60EC7"/>
    <w:rsid w:val="00F653B5"/>
    <w:rsid w:val="00F77A8F"/>
    <w:rsid w:val="00F80858"/>
    <w:rsid w:val="00F83373"/>
    <w:rsid w:val="00F8524B"/>
    <w:rsid w:val="00F8799D"/>
    <w:rsid w:val="00F90248"/>
    <w:rsid w:val="00FE6B97"/>
    <w:rsid w:val="00FF1FE6"/>
    <w:rsid w:val="011D5CF5"/>
    <w:rsid w:val="0139502F"/>
    <w:rsid w:val="017F6D8E"/>
    <w:rsid w:val="01844D0B"/>
    <w:rsid w:val="019977F4"/>
    <w:rsid w:val="01D90E22"/>
    <w:rsid w:val="026348C2"/>
    <w:rsid w:val="02D60E35"/>
    <w:rsid w:val="02FD2CCB"/>
    <w:rsid w:val="03192A63"/>
    <w:rsid w:val="0369230D"/>
    <w:rsid w:val="036E1A02"/>
    <w:rsid w:val="03CF7DEF"/>
    <w:rsid w:val="043263C3"/>
    <w:rsid w:val="04357BCA"/>
    <w:rsid w:val="045F374B"/>
    <w:rsid w:val="04763EE5"/>
    <w:rsid w:val="04EF4078"/>
    <w:rsid w:val="04F476D4"/>
    <w:rsid w:val="057013AC"/>
    <w:rsid w:val="05B41169"/>
    <w:rsid w:val="05C35430"/>
    <w:rsid w:val="06410E6B"/>
    <w:rsid w:val="065C34F5"/>
    <w:rsid w:val="068774DF"/>
    <w:rsid w:val="06CF5A81"/>
    <w:rsid w:val="06EF4D90"/>
    <w:rsid w:val="073475CC"/>
    <w:rsid w:val="074F2874"/>
    <w:rsid w:val="07D97A64"/>
    <w:rsid w:val="08305436"/>
    <w:rsid w:val="089B5C78"/>
    <w:rsid w:val="08A076B7"/>
    <w:rsid w:val="08C23B9D"/>
    <w:rsid w:val="093A7BD7"/>
    <w:rsid w:val="09BC45F6"/>
    <w:rsid w:val="09F36C33"/>
    <w:rsid w:val="0A13145B"/>
    <w:rsid w:val="0A1977EC"/>
    <w:rsid w:val="0A386C78"/>
    <w:rsid w:val="0ABE63AC"/>
    <w:rsid w:val="0B4E7969"/>
    <w:rsid w:val="0C004893"/>
    <w:rsid w:val="0C3757E0"/>
    <w:rsid w:val="0C5C26E9"/>
    <w:rsid w:val="0C836ED2"/>
    <w:rsid w:val="0CB51C35"/>
    <w:rsid w:val="0D357E8B"/>
    <w:rsid w:val="0D3E3E9F"/>
    <w:rsid w:val="0D483BFF"/>
    <w:rsid w:val="0DB428DA"/>
    <w:rsid w:val="0DDA7292"/>
    <w:rsid w:val="0E4F1A2E"/>
    <w:rsid w:val="0ECB456A"/>
    <w:rsid w:val="0EE505E5"/>
    <w:rsid w:val="0FD7617F"/>
    <w:rsid w:val="0FE76221"/>
    <w:rsid w:val="101E362A"/>
    <w:rsid w:val="109101A8"/>
    <w:rsid w:val="109D1512"/>
    <w:rsid w:val="10A73DA4"/>
    <w:rsid w:val="11731DDD"/>
    <w:rsid w:val="11C12C43"/>
    <w:rsid w:val="11FF13EE"/>
    <w:rsid w:val="12165929"/>
    <w:rsid w:val="12B35216"/>
    <w:rsid w:val="13CA1B57"/>
    <w:rsid w:val="141C0605"/>
    <w:rsid w:val="14337FB3"/>
    <w:rsid w:val="143E4B76"/>
    <w:rsid w:val="14891E28"/>
    <w:rsid w:val="1491421F"/>
    <w:rsid w:val="14D438F5"/>
    <w:rsid w:val="14DC1398"/>
    <w:rsid w:val="15686715"/>
    <w:rsid w:val="15752DAE"/>
    <w:rsid w:val="15C96AB7"/>
    <w:rsid w:val="15CF1D8E"/>
    <w:rsid w:val="16101AC2"/>
    <w:rsid w:val="168B4EAB"/>
    <w:rsid w:val="16BB08D6"/>
    <w:rsid w:val="16C95A76"/>
    <w:rsid w:val="16D52BFB"/>
    <w:rsid w:val="17115D53"/>
    <w:rsid w:val="171C774F"/>
    <w:rsid w:val="17326391"/>
    <w:rsid w:val="17393CE7"/>
    <w:rsid w:val="173E6AE4"/>
    <w:rsid w:val="174F27ED"/>
    <w:rsid w:val="17D426A8"/>
    <w:rsid w:val="18954A1C"/>
    <w:rsid w:val="18D34429"/>
    <w:rsid w:val="19337AF8"/>
    <w:rsid w:val="197D6833"/>
    <w:rsid w:val="1A277D35"/>
    <w:rsid w:val="1A311065"/>
    <w:rsid w:val="1A970BE8"/>
    <w:rsid w:val="1B8E3619"/>
    <w:rsid w:val="1B9211AC"/>
    <w:rsid w:val="1BB512CE"/>
    <w:rsid w:val="1BB60E47"/>
    <w:rsid w:val="1C267E5A"/>
    <w:rsid w:val="1C920D2A"/>
    <w:rsid w:val="1CD25440"/>
    <w:rsid w:val="1CE1063D"/>
    <w:rsid w:val="1CE83979"/>
    <w:rsid w:val="1D316F57"/>
    <w:rsid w:val="1DE531B9"/>
    <w:rsid w:val="1E4B36B5"/>
    <w:rsid w:val="1EA77056"/>
    <w:rsid w:val="1EB4148D"/>
    <w:rsid w:val="1EC72883"/>
    <w:rsid w:val="1ED2326A"/>
    <w:rsid w:val="1F1D4152"/>
    <w:rsid w:val="1FAD6552"/>
    <w:rsid w:val="1FCA7497"/>
    <w:rsid w:val="200E7E4F"/>
    <w:rsid w:val="20BF0C96"/>
    <w:rsid w:val="21396212"/>
    <w:rsid w:val="214C62A1"/>
    <w:rsid w:val="21AB6CDE"/>
    <w:rsid w:val="21DD2040"/>
    <w:rsid w:val="21EC39EE"/>
    <w:rsid w:val="21F906BD"/>
    <w:rsid w:val="22220448"/>
    <w:rsid w:val="22782AB8"/>
    <w:rsid w:val="230A7D6C"/>
    <w:rsid w:val="23374FDC"/>
    <w:rsid w:val="23892362"/>
    <w:rsid w:val="23A1067B"/>
    <w:rsid w:val="23AB3671"/>
    <w:rsid w:val="2464000D"/>
    <w:rsid w:val="24B931D5"/>
    <w:rsid w:val="250C6B43"/>
    <w:rsid w:val="25876154"/>
    <w:rsid w:val="25E01C4D"/>
    <w:rsid w:val="25F56F08"/>
    <w:rsid w:val="26603302"/>
    <w:rsid w:val="26734828"/>
    <w:rsid w:val="26EC2D8F"/>
    <w:rsid w:val="270214CD"/>
    <w:rsid w:val="273016F2"/>
    <w:rsid w:val="27AD58FC"/>
    <w:rsid w:val="28434B0E"/>
    <w:rsid w:val="28AC0FA4"/>
    <w:rsid w:val="29236D29"/>
    <w:rsid w:val="293F71C4"/>
    <w:rsid w:val="29424EDD"/>
    <w:rsid w:val="294A30C6"/>
    <w:rsid w:val="298E67FE"/>
    <w:rsid w:val="29AC127A"/>
    <w:rsid w:val="29F959EB"/>
    <w:rsid w:val="2A201147"/>
    <w:rsid w:val="2A352623"/>
    <w:rsid w:val="2A6049A4"/>
    <w:rsid w:val="2A970BFE"/>
    <w:rsid w:val="2ACE2692"/>
    <w:rsid w:val="2B1832E4"/>
    <w:rsid w:val="2BD7593C"/>
    <w:rsid w:val="2BD94BFC"/>
    <w:rsid w:val="2C33078A"/>
    <w:rsid w:val="2C4B162F"/>
    <w:rsid w:val="2C924669"/>
    <w:rsid w:val="2C9C6642"/>
    <w:rsid w:val="2CAE7768"/>
    <w:rsid w:val="2CE37ABA"/>
    <w:rsid w:val="2D9E028C"/>
    <w:rsid w:val="2E117BA3"/>
    <w:rsid w:val="2E876B6B"/>
    <w:rsid w:val="2E9512D3"/>
    <w:rsid w:val="2EFF4B88"/>
    <w:rsid w:val="2F301607"/>
    <w:rsid w:val="2FEC3220"/>
    <w:rsid w:val="304D4A23"/>
    <w:rsid w:val="308A51D5"/>
    <w:rsid w:val="30CE0A81"/>
    <w:rsid w:val="30FA5EEC"/>
    <w:rsid w:val="31D947B3"/>
    <w:rsid w:val="320F4EAD"/>
    <w:rsid w:val="321E3855"/>
    <w:rsid w:val="32497D31"/>
    <w:rsid w:val="32D305D1"/>
    <w:rsid w:val="32DF10B8"/>
    <w:rsid w:val="33BC56DC"/>
    <w:rsid w:val="34475FA0"/>
    <w:rsid w:val="35451D21"/>
    <w:rsid w:val="35573651"/>
    <w:rsid w:val="356B1732"/>
    <w:rsid w:val="35837605"/>
    <w:rsid w:val="35D2705F"/>
    <w:rsid w:val="35D66D30"/>
    <w:rsid w:val="35FD5147"/>
    <w:rsid w:val="361E756D"/>
    <w:rsid w:val="3687363A"/>
    <w:rsid w:val="36CC3001"/>
    <w:rsid w:val="373D05E4"/>
    <w:rsid w:val="377D76E4"/>
    <w:rsid w:val="378E1E24"/>
    <w:rsid w:val="385303F8"/>
    <w:rsid w:val="38532952"/>
    <w:rsid w:val="387D3881"/>
    <w:rsid w:val="38B31777"/>
    <w:rsid w:val="38C2537E"/>
    <w:rsid w:val="38F17EA6"/>
    <w:rsid w:val="38F40D81"/>
    <w:rsid w:val="39AF7317"/>
    <w:rsid w:val="39F70C81"/>
    <w:rsid w:val="3A94445D"/>
    <w:rsid w:val="3AB61282"/>
    <w:rsid w:val="3AF30D6B"/>
    <w:rsid w:val="3AF50C40"/>
    <w:rsid w:val="3B3A4DDC"/>
    <w:rsid w:val="3B7256DB"/>
    <w:rsid w:val="3B7624AB"/>
    <w:rsid w:val="3D932F0A"/>
    <w:rsid w:val="3E2E2B5F"/>
    <w:rsid w:val="3E3444BC"/>
    <w:rsid w:val="3E864A53"/>
    <w:rsid w:val="3E9A53C1"/>
    <w:rsid w:val="3F6C250F"/>
    <w:rsid w:val="3FAF1C9A"/>
    <w:rsid w:val="3FB03189"/>
    <w:rsid w:val="3FB66B56"/>
    <w:rsid w:val="3FE5D040"/>
    <w:rsid w:val="3FEF1D74"/>
    <w:rsid w:val="40324B88"/>
    <w:rsid w:val="40A8048F"/>
    <w:rsid w:val="40BF2194"/>
    <w:rsid w:val="40D03D17"/>
    <w:rsid w:val="40D110C9"/>
    <w:rsid w:val="40DB02C3"/>
    <w:rsid w:val="40E465B1"/>
    <w:rsid w:val="41555E72"/>
    <w:rsid w:val="4180161E"/>
    <w:rsid w:val="41BE5866"/>
    <w:rsid w:val="41C34504"/>
    <w:rsid w:val="42DB33D1"/>
    <w:rsid w:val="4350731A"/>
    <w:rsid w:val="435A293B"/>
    <w:rsid w:val="43894EAB"/>
    <w:rsid w:val="43AD3DBC"/>
    <w:rsid w:val="43BE1880"/>
    <w:rsid w:val="43D47FB7"/>
    <w:rsid w:val="44706741"/>
    <w:rsid w:val="44ED16DB"/>
    <w:rsid w:val="44F00B6E"/>
    <w:rsid w:val="45043EE4"/>
    <w:rsid w:val="453756FD"/>
    <w:rsid w:val="454D7D6F"/>
    <w:rsid w:val="45770DFE"/>
    <w:rsid w:val="458063F1"/>
    <w:rsid w:val="45B32F00"/>
    <w:rsid w:val="460E1055"/>
    <w:rsid w:val="46223D04"/>
    <w:rsid w:val="46294746"/>
    <w:rsid w:val="466B3056"/>
    <w:rsid w:val="46EC15CE"/>
    <w:rsid w:val="47151421"/>
    <w:rsid w:val="479577FF"/>
    <w:rsid w:val="47C3735D"/>
    <w:rsid w:val="48231267"/>
    <w:rsid w:val="486D3A9A"/>
    <w:rsid w:val="48DF4A18"/>
    <w:rsid w:val="491A440C"/>
    <w:rsid w:val="4923114E"/>
    <w:rsid w:val="494C5A2D"/>
    <w:rsid w:val="4A05330E"/>
    <w:rsid w:val="4A6C2E50"/>
    <w:rsid w:val="4A807A71"/>
    <w:rsid w:val="4A8E24C0"/>
    <w:rsid w:val="4A902825"/>
    <w:rsid w:val="4A964046"/>
    <w:rsid w:val="4ACA313A"/>
    <w:rsid w:val="4AE433A3"/>
    <w:rsid w:val="4B0451CF"/>
    <w:rsid w:val="4B0F391C"/>
    <w:rsid w:val="4B4E2A92"/>
    <w:rsid w:val="4B797B0F"/>
    <w:rsid w:val="4B9E091B"/>
    <w:rsid w:val="4BAF4676"/>
    <w:rsid w:val="4BF47196"/>
    <w:rsid w:val="4BFB6776"/>
    <w:rsid w:val="4C4327BE"/>
    <w:rsid w:val="4C4F1B89"/>
    <w:rsid w:val="4CC4250A"/>
    <w:rsid w:val="4CD370C7"/>
    <w:rsid w:val="4CF91B97"/>
    <w:rsid w:val="4D9C3859"/>
    <w:rsid w:val="4DCA6223"/>
    <w:rsid w:val="4DF47921"/>
    <w:rsid w:val="4E541E88"/>
    <w:rsid w:val="4E824CA4"/>
    <w:rsid w:val="4E850579"/>
    <w:rsid w:val="4E9063BD"/>
    <w:rsid w:val="4E965BF7"/>
    <w:rsid w:val="4EA605AE"/>
    <w:rsid w:val="4EAA4E86"/>
    <w:rsid w:val="4EC831E2"/>
    <w:rsid w:val="4ED11D00"/>
    <w:rsid w:val="4EF14018"/>
    <w:rsid w:val="4F055E11"/>
    <w:rsid w:val="4F21742B"/>
    <w:rsid w:val="4F8F4266"/>
    <w:rsid w:val="507C479E"/>
    <w:rsid w:val="51233058"/>
    <w:rsid w:val="518B605C"/>
    <w:rsid w:val="520742D6"/>
    <w:rsid w:val="52095087"/>
    <w:rsid w:val="524321E3"/>
    <w:rsid w:val="539A14F0"/>
    <w:rsid w:val="539D7FF6"/>
    <w:rsid w:val="53E638A9"/>
    <w:rsid w:val="53E73A84"/>
    <w:rsid w:val="53FE204B"/>
    <w:rsid w:val="544B69F4"/>
    <w:rsid w:val="54641104"/>
    <w:rsid w:val="54650190"/>
    <w:rsid w:val="55155E46"/>
    <w:rsid w:val="55723AE0"/>
    <w:rsid w:val="561072C2"/>
    <w:rsid w:val="56D56DB4"/>
    <w:rsid w:val="570C5D6D"/>
    <w:rsid w:val="572F6556"/>
    <w:rsid w:val="575A657B"/>
    <w:rsid w:val="578F360F"/>
    <w:rsid w:val="57BF11A9"/>
    <w:rsid w:val="58AA6F2A"/>
    <w:rsid w:val="58C9317A"/>
    <w:rsid w:val="58EE6122"/>
    <w:rsid w:val="59295E4C"/>
    <w:rsid w:val="59782289"/>
    <w:rsid w:val="5A353CE3"/>
    <w:rsid w:val="5A494606"/>
    <w:rsid w:val="5A4F7C8D"/>
    <w:rsid w:val="5A6568BA"/>
    <w:rsid w:val="5A811090"/>
    <w:rsid w:val="5A90452E"/>
    <w:rsid w:val="5B2F59EE"/>
    <w:rsid w:val="5B7F0C50"/>
    <w:rsid w:val="5BD3386D"/>
    <w:rsid w:val="5BEC4ED5"/>
    <w:rsid w:val="5BF8003B"/>
    <w:rsid w:val="5C285F37"/>
    <w:rsid w:val="5C5F52A8"/>
    <w:rsid w:val="5C625E78"/>
    <w:rsid w:val="5C832079"/>
    <w:rsid w:val="5CBD7501"/>
    <w:rsid w:val="5CCF1A14"/>
    <w:rsid w:val="5D407683"/>
    <w:rsid w:val="5E0201A3"/>
    <w:rsid w:val="5E082F75"/>
    <w:rsid w:val="5E2812E4"/>
    <w:rsid w:val="5E5672E6"/>
    <w:rsid w:val="5E5D42B0"/>
    <w:rsid w:val="5ED85D1A"/>
    <w:rsid w:val="5EE23BE3"/>
    <w:rsid w:val="5EE634F6"/>
    <w:rsid w:val="5EF62079"/>
    <w:rsid w:val="5F015B06"/>
    <w:rsid w:val="5F3A0C6C"/>
    <w:rsid w:val="5F574448"/>
    <w:rsid w:val="5FD96878"/>
    <w:rsid w:val="5FF65EA4"/>
    <w:rsid w:val="601C22F6"/>
    <w:rsid w:val="605008DF"/>
    <w:rsid w:val="614137FD"/>
    <w:rsid w:val="61D06B90"/>
    <w:rsid w:val="622F6D22"/>
    <w:rsid w:val="6298145C"/>
    <w:rsid w:val="629E4509"/>
    <w:rsid w:val="62A0621D"/>
    <w:rsid w:val="63FB5F93"/>
    <w:rsid w:val="64360E48"/>
    <w:rsid w:val="6441650E"/>
    <w:rsid w:val="648670E2"/>
    <w:rsid w:val="64B95486"/>
    <w:rsid w:val="650C2ACA"/>
    <w:rsid w:val="654650D1"/>
    <w:rsid w:val="65D207AD"/>
    <w:rsid w:val="65D33E68"/>
    <w:rsid w:val="66353E92"/>
    <w:rsid w:val="66A83B90"/>
    <w:rsid w:val="66D50A60"/>
    <w:rsid w:val="67071556"/>
    <w:rsid w:val="6727668D"/>
    <w:rsid w:val="67794DA6"/>
    <w:rsid w:val="679D3626"/>
    <w:rsid w:val="67C47F0C"/>
    <w:rsid w:val="683C5CF5"/>
    <w:rsid w:val="684B5445"/>
    <w:rsid w:val="685B48D7"/>
    <w:rsid w:val="689D2BC5"/>
    <w:rsid w:val="68D8760B"/>
    <w:rsid w:val="68E349D8"/>
    <w:rsid w:val="69562DE6"/>
    <w:rsid w:val="699851AD"/>
    <w:rsid w:val="69A1759A"/>
    <w:rsid w:val="69ED5218"/>
    <w:rsid w:val="6A08164B"/>
    <w:rsid w:val="6A333F49"/>
    <w:rsid w:val="6A516D7C"/>
    <w:rsid w:val="6A5A3E08"/>
    <w:rsid w:val="6A6F5DAA"/>
    <w:rsid w:val="6A7465BC"/>
    <w:rsid w:val="6A811B1F"/>
    <w:rsid w:val="6A99147B"/>
    <w:rsid w:val="6B1A08B4"/>
    <w:rsid w:val="6BD97E2B"/>
    <w:rsid w:val="6C9D33EB"/>
    <w:rsid w:val="6CEA229B"/>
    <w:rsid w:val="6CF02B48"/>
    <w:rsid w:val="6D2B74AA"/>
    <w:rsid w:val="6D3D55D2"/>
    <w:rsid w:val="6D5A0FC0"/>
    <w:rsid w:val="6D7A2E9C"/>
    <w:rsid w:val="6D884D88"/>
    <w:rsid w:val="6E3254C3"/>
    <w:rsid w:val="6F1F1ECC"/>
    <w:rsid w:val="6FE729EA"/>
    <w:rsid w:val="70161236"/>
    <w:rsid w:val="70B85568"/>
    <w:rsid w:val="71410EE9"/>
    <w:rsid w:val="715B3690"/>
    <w:rsid w:val="71BA54B1"/>
    <w:rsid w:val="71D6197B"/>
    <w:rsid w:val="72BF4055"/>
    <w:rsid w:val="741B4FF7"/>
    <w:rsid w:val="742647F6"/>
    <w:rsid w:val="744101B6"/>
    <w:rsid w:val="7473259C"/>
    <w:rsid w:val="7500625D"/>
    <w:rsid w:val="751D0BA3"/>
    <w:rsid w:val="758358EB"/>
    <w:rsid w:val="75AF7C79"/>
    <w:rsid w:val="7607540F"/>
    <w:rsid w:val="76081125"/>
    <w:rsid w:val="76402E54"/>
    <w:rsid w:val="768C6099"/>
    <w:rsid w:val="76A357EE"/>
    <w:rsid w:val="77110DED"/>
    <w:rsid w:val="774003E6"/>
    <w:rsid w:val="77547D04"/>
    <w:rsid w:val="779C479C"/>
    <w:rsid w:val="77D40C0B"/>
    <w:rsid w:val="77FBAEFE"/>
    <w:rsid w:val="77FF0DFC"/>
    <w:rsid w:val="78A243E5"/>
    <w:rsid w:val="78CE5028"/>
    <w:rsid w:val="794F0267"/>
    <w:rsid w:val="79590B5C"/>
    <w:rsid w:val="7A005E33"/>
    <w:rsid w:val="7A4647B1"/>
    <w:rsid w:val="7AD7365B"/>
    <w:rsid w:val="7B115AF3"/>
    <w:rsid w:val="7B1E128A"/>
    <w:rsid w:val="7B504401"/>
    <w:rsid w:val="7B5A3FDB"/>
    <w:rsid w:val="7BAB423F"/>
    <w:rsid w:val="7C0F2533"/>
    <w:rsid w:val="7C272B2B"/>
    <w:rsid w:val="7C397563"/>
    <w:rsid w:val="7D2B6770"/>
    <w:rsid w:val="7D8B701D"/>
    <w:rsid w:val="7DC32A1F"/>
    <w:rsid w:val="7DCA74A7"/>
    <w:rsid w:val="7DE20C95"/>
    <w:rsid w:val="7E7E5E60"/>
    <w:rsid w:val="7EDF4CB5"/>
    <w:rsid w:val="7EF76378"/>
    <w:rsid w:val="7F17671C"/>
    <w:rsid w:val="7F722E84"/>
    <w:rsid w:val="7F8D155F"/>
    <w:rsid w:val="7FF2F0AB"/>
    <w:rsid w:val="A9F9132A"/>
    <w:rsid w:val="BD5EFA84"/>
    <w:rsid w:val="D8BF9745"/>
    <w:rsid w:val="EE2B0C17"/>
    <w:rsid w:val="FFFA8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kern w:val="2"/>
      <w:sz w:val="26"/>
      <w:lang w:val="en-US" w:eastAsia="zh-CN" w:bidi="ar-SA"/>
    </w:rPr>
  </w:style>
  <w:style w:type="paragraph" w:styleId="2">
    <w:name w:val="heading 1"/>
    <w:basedOn w:val="1"/>
    <w:next w:val="1"/>
    <w:link w:val="37"/>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b/>
      <w:bCs/>
      <w:sz w:val="32"/>
      <w:szCs w:val="32"/>
    </w:rPr>
  </w:style>
  <w:style w:type="paragraph" w:styleId="4">
    <w:name w:val="heading 3"/>
    <w:basedOn w:val="1"/>
    <w:next w:val="1"/>
    <w:qFormat/>
    <w:uiPriority w:val="0"/>
    <w:pPr>
      <w:keepNext/>
      <w:keepLines/>
      <w:outlineLvl w:val="2"/>
    </w:pPr>
    <w:rPr>
      <w:rFonts w:eastAsia="黑体"/>
      <w:bCs/>
      <w:sz w:val="24"/>
      <w:szCs w:val="24"/>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eastAsia="宋体"/>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next w:val="8"/>
    <w:unhideWhenUsed/>
    <w:qFormat/>
    <w:uiPriority w:val="0"/>
    <w:pPr>
      <w:adjustRightInd w:val="0"/>
      <w:ind w:firstLine="420"/>
      <w:jc w:val="left"/>
      <w:textAlignment w:val="baseline"/>
    </w:pPr>
    <w:rPr>
      <w:sz w:val="24"/>
    </w:rPr>
  </w:style>
  <w:style w:type="paragraph" w:customStyle="1" w:styleId="8">
    <w:name w:val="居中"/>
    <w:next w:val="9"/>
    <w:qFormat/>
    <w:uiPriority w:val="0"/>
    <w:pPr>
      <w:spacing w:line="360" w:lineRule="auto"/>
      <w:jc w:val="center"/>
    </w:pPr>
    <w:rPr>
      <w:rFonts w:ascii="Times New Roman" w:hAnsi="Times New Roman" w:eastAsia="宋体" w:cs="Times New Roman"/>
      <w:sz w:val="18"/>
      <w:szCs w:val="24"/>
      <w:lang w:val="en-US" w:eastAsia="zh-CN" w:bidi="ar-SA"/>
    </w:rPr>
  </w:style>
  <w:style w:type="paragraph" w:styleId="9">
    <w:name w:val="index 5"/>
    <w:basedOn w:val="1"/>
    <w:next w:val="1"/>
    <w:qFormat/>
    <w:uiPriority w:val="0"/>
    <w:pPr>
      <w:ind w:left="800" w:leftChars="800"/>
    </w:pPr>
  </w:style>
  <w:style w:type="paragraph" w:styleId="10">
    <w:name w:val="Document Map"/>
    <w:basedOn w:val="1"/>
    <w:qFormat/>
    <w:uiPriority w:val="99"/>
    <w:pPr>
      <w:shd w:val="clear" w:color="auto" w:fill="000080"/>
    </w:pPr>
  </w:style>
  <w:style w:type="paragraph" w:styleId="11">
    <w:name w:val="annotation text"/>
    <w:basedOn w:val="1"/>
    <w:qFormat/>
    <w:uiPriority w:val="0"/>
    <w:pPr>
      <w:jc w:val="left"/>
    </w:pPr>
  </w:style>
  <w:style w:type="paragraph" w:styleId="12">
    <w:name w:val="Body Text"/>
    <w:basedOn w:val="1"/>
    <w:next w:val="13"/>
    <w:qFormat/>
    <w:uiPriority w:val="0"/>
    <w:pPr>
      <w:spacing w:after="120"/>
    </w:pPr>
    <w:rPr>
      <w:rFonts w:ascii="Calibri" w:hAnsi="Calibri"/>
    </w:rPr>
  </w:style>
  <w:style w:type="paragraph" w:styleId="13">
    <w:name w:val="Body Text First Indent"/>
    <w:basedOn w:val="1"/>
    <w:next w:val="1"/>
    <w:qFormat/>
    <w:uiPriority w:val="0"/>
    <w:pPr>
      <w:spacing w:line="360" w:lineRule="auto"/>
      <w:ind w:firstLine="200" w:firstLineChars="200"/>
    </w:pPr>
    <w:rPr>
      <w:rFonts w:ascii="仿宋_GB2312" w:hAnsi="Arial" w:eastAsia="仿宋_GB2312"/>
      <w:sz w:val="30"/>
      <w:szCs w:val="30"/>
    </w:rPr>
  </w:style>
  <w:style w:type="paragraph" w:styleId="14">
    <w:name w:val="Body Text Indent"/>
    <w:basedOn w:val="1"/>
    <w:next w:val="15"/>
    <w:unhideWhenUsed/>
    <w:qFormat/>
    <w:uiPriority w:val="0"/>
    <w:pPr>
      <w:ind w:firstLine="570"/>
    </w:pPr>
    <w:rPr>
      <w:rFonts w:ascii="宋体" w:eastAsia="宋体"/>
      <w:sz w:val="28"/>
    </w:rPr>
  </w:style>
  <w:style w:type="paragraph" w:styleId="15">
    <w:name w:val="envelope return"/>
    <w:basedOn w:val="1"/>
    <w:unhideWhenUsed/>
    <w:qFormat/>
    <w:uiPriority w:val="99"/>
    <w:pPr>
      <w:snapToGrid w:val="0"/>
    </w:pPr>
    <w:rPr>
      <w:rFonts w:ascii="Arial" w:hAnsi="Arial"/>
    </w:rPr>
  </w:style>
  <w:style w:type="paragraph" w:styleId="16">
    <w:name w:val="Block Text"/>
    <w:basedOn w:val="1"/>
    <w:unhideWhenUsed/>
    <w:qFormat/>
    <w:uiPriority w:val="99"/>
    <w:pPr>
      <w:spacing w:after="120"/>
      <w:ind w:left="25" w:leftChars="-1" w:hanging="27" w:hangingChars="13"/>
      <w:jc w:val="center"/>
    </w:pPr>
  </w:style>
  <w:style w:type="paragraph" w:styleId="17">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2"/>
    </w:rPr>
  </w:style>
  <w:style w:type="paragraph" w:styleId="20">
    <w:name w:val="footer"/>
    <w:basedOn w:val="1"/>
    <w:unhideWhenUsed/>
    <w:qFormat/>
    <w:uiPriority w:val="99"/>
    <w:pPr>
      <w:tabs>
        <w:tab w:val="center" w:pos="4153"/>
        <w:tab w:val="right" w:pos="8306"/>
      </w:tabs>
      <w:snapToGrid w:val="0"/>
      <w:jc w:val="left"/>
    </w:pPr>
    <w:rPr>
      <w:sz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rFonts w:hAnsi="宋体" w:eastAsia="宋体"/>
      <w:bCs/>
      <w:color w:val="000000"/>
      <w:spacing w:val="-6"/>
      <w:sz w:val="18"/>
      <w:szCs w:val="18"/>
    </w:rPr>
  </w:style>
  <w:style w:type="paragraph" w:styleId="22">
    <w:name w:val="toc 1"/>
    <w:basedOn w:val="1"/>
    <w:next w:val="1"/>
    <w:link w:val="61"/>
    <w:unhideWhenUsed/>
    <w:qFormat/>
    <w:uiPriority w:val="39"/>
    <w:pPr>
      <w:adjustRightInd w:val="0"/>
      <w:jc w:val="left"/>
      <w:textAlignment w:val="baseline"/>
    </w:pPr>
    <w:rPr>
      <w:sz w:val="24"/>
    </w:rPr>
  </w:style>
  <w:style w:type="paragraph" w:styleId="23">
    <w:name w:val="toc 4"/>
    <w:basedOn w:val="1"/>
    <w:next w:val="1"/>
    <w:link w:val="60"/>
    <w:qFormat/>
    <w:uiPriority w:val="0"/>
    <w:pPr>
      <w:ind w:left="1260" w:leftChars="600"/>
    </w:p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6">
    <w:name w:val="Body Text First Indent 2"/>
    <w:basedOn w:val="14"/>
    <w:qFormat/>
    <w:uiPriority w:val="0"/>
    <w:pPr>
      <w:widowControl/>
      <w:spacing w:after="120"/>
      <w:ind w:left="420" w:leftChars="200" w:firstLine="420" w:firstLineChars="200"/>
      <w:jc w:val="left"/>
    </w:pPr>
    <w:rPr>
      <w:rFonts w:ascii="Times New Roman"/>
      <w:kern w:val="0"/>
      <w:sz w:val="20"/>
      <w:szCs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basedOn w:val="29"/>
    <w:qFormat/>
    <w:uiPriority w:val="0"/>
    <w:rPr>
      <w:color w:val="333333"/>
      <w:u w:val="none"/>
    </w:rPr>
  </w:style>
  <w:style w:type="character" w:styleId="32">
    <w:name w:val="Hyperlink"/>
    <w:basedOn w:val="29"/>
    <w:qFormat/>
    <w:uiPriority w:val="0"/>
    <w:rPr>
      <w:color w:val="333333"/>
      <w:u w:val="none"/>
    </w:rPr>
  </w:style>
  <w:style w:type="character" w:styleId="33">
    <w:name w:val="annotation reference"/>
    <w:basedOn w:val="29"/>
    <w:qFormat/>
    <w:uiPriority w:val="0"/>
    <w:rPr>
      <w:sz w:val="21"/>
      <w:szCs w:val="21"/>
    </w:rPr>
  </w:style>
  <w:style w:type="character" w:customStyle="1" w:styleId="34">
    <w:name w:val="NormalCharacter"/>
    <w:qFormat/>
    <w:uiPriority w:val="0"/>
  </w:style>
  <w:style w:type="paragraph" w:customStyle="1" w:styleId="35">
    <w:name w:val="Default"/>
    <w:qFormat/>
    <w:uiPriority w:val="99"/>
    <w:pPr>
      <w:widowControl w:val="0"/>
      <w:autoSpaceDE w:val="0"/>
      <w:autoSpaceDN w:val="0"/>
      <w:adjustRightInd w:val="0"/>
      <w:spacing w:before="120" w:after="120" w:line="360" w:lineRule="auto"/>
      <w:jc w:val="both"/>
    </w:pPr>
    <w:rPr>
      <w:rFonts w:ascii="黑体" w:hAnsi="Cambria" w:eastAsia="黑体" w:cs="黑体"/>
      <w:color w:val="000000"/>
      <w:sz w:val="24"/>
      <w:szCs w:val="24"/>
      <w:lang w:val="en-US" w:eastAsia="zh-CN" w:bidi="ar-SA"/>
    </w:rPr>
  </w:style>
  <w:style w:type="paragraph" w:customStyle="1" w:styleId="36">
    <w:name w:val="普通正文"/>
    <w:basedOn w:val="1"/>
    <w:qFormat/>
    <w:uiPriority w:val="0"/>
    <w:pPr>
      <w:adjustRightInd w:val="0"/>
      <w:spacing w:before="120" w:after="120" w:line="360" w:lineRule="auto"/>
      <w:ind w:firstLine="480"/>
      <w:jc w:val="left"/>
      <w:textAlignment w:val="baseline"/>
    </w:pPr>
    <w:rPr>
      <w:rFonts w:ascii="Arial" w:hAnsi="Arial" w:eastAsia="宋体"/>
      <w:kern w:val="0"/>
      <w:sz w:val="24"/>
      <w:szCs w:val="24"/>
    </w:rPr>
  </w:style>
  <w:style w:type="character" w:customStyle="1" w:styleId="37">
    <w:name w:val="标题 1 字符"/>
    <w:link w:val="2"/>
    <w:qFormat/>
    <w:uiPriority w:val="0"/>
    <w:rPr>
      <w:b/>
      <w:kern w:val="44"/>
      <w:sz w:val="44"/>
    </w:rPr>
  </w:style>
  <w:style w:type="paragraph" w:customStyle="1" w:styleId="38">
    <w:name w:val="正文文本11"/>
    <w:basedOn w:val="39"/>
    <w:next w:val="41"/>
    <w:qFormat/>
    <w:uiPriority w:val="0"/>
    <w:rPr>
      <w:rFonts w:ascii="楷体_GB2312" w:hAnsi="Arial" w:eastAsia="楷体_GB2312"/>
      <w:sz w:val="28"/>
      <w:szCs w:val="28"/>
    </w:rPr>
  </w:style>
  <w:style w:type="paragraph" w:customStyle="1" w:styleId="39">
    <w:name w:val="正文11"/>
    <w:next w:val="4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
    <w:name w:val="正文1"/>
    <w:next w:val="1"/>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41">
    <w:name w:val="正文文本 31"/>
    <w:basedOn w:val="39"/>
    <w:next w:val="39"/>
    <w:qFormat/>
    <w:uiPriority w:val="0"/>
    <w:pPr>
      <w:tabs>
        <w:tab w:val="left" w:pos="-142"/>
        <w:tab w:val="left" w:pos="993"/>
        <w:tab w:val="left" w:pos="1134"/>
      </w:tabs>
      <w:spacing w:line="360" w:lineRule="auto"/>
    </w:pPr>
    <w:rPr>
      <w:rFonts w:eastAsia="仿宋_GB2312"/>
      <w:b/>
      <w:bCs/>
      <w:sz w:val="28"/>
      <w:u w:val="single"/>
    </w:rPr>
  </w:style>
  <w:style w:type="paragraph" w:customStyle="1" w:styleId="42">
    <w:name w:val="正文文本缩进 21"/>
    <w:basedOn w:val="39"/>
    <w:qFormat/>
    <w:uiPriority w:val="0"/>
    <w:pPr>
      <w:spacing w:line="520" w:lineRule="exact"/>
      <w:ind w:firstLine="510"/>
    </w:pPr>
    <w:rPr>
      <w:rFonts w:ascii="华文仿宋" w:eastAsia="华文仿宋"/>
      <w:sz w:val="28"/>
    </w:rPr>
  </w:style>
  <w:style w:type="paragraph" w:customStyle="1" w:styleId="43">
    <w:name w:val="正文文本 211"/>
    <w:basedOn w:val="39"/>
    <w:qFormat/>
    <w:uiPriority w:val="0"/>
    <w:pPr>
      <w:spacing w:after="120" w:line="480" w:lineRule="auto"/>
    </w:pPr>
  </w:style>
  <w:style w:type="paragraph" w:customStyle="1" w:styleId="44">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宋体"/>
      <w:kern w:val="0"/>
      <w:sz w:val="24"/>
      <w:szCs w:val="24"/>
    </w:rPr>
  </w:style>
  <w:style w:type="paragraph" w:customStyle="1" w:styleId="45">
    <w:name w:val="Plain Text1"/>
    <w:basedOn w:val="1"/>
    <w:qFormat/>
    <w:uiPriority w:val="0"/>
    <w:pPr>
      <w:adjustRightInd w:val="0"/>
    </w:pPr>
    <w:rPr>
      <w:rFonts w:ascii="宋体" w:hAnsi="Courier New"/>
      <w:sz w:val="28"/>
    </w:rPr>
  </w:style>
  <w:style w:type="paragraph" w:customStyle="1" w:styleId="46">
    <w:name w:val="图表目录1"/>
    <w:basedOn w:val="39"/>
    <w:next w:val="39"/>
    <w:qFormat/>
    <w:uiPriority w:val="0"/>
    <w:pPr>
      <w:tabs>
        <w:tab w:val="left" w:pos="1270"/>
      </w:tabs>
      <w:spacing w:line="360" w:lineRule="auto"/>
      <w:ind w:left="1270" w:hanging="420"/>
      <w:jc w:val="left"/>
    </w:pPr>
    <w:rPr>
      <w:smallCaps/>
      <w:sz w:val="20"/>
      <w:szCs w:val="20"/>
    </w:rPr>
  </w:style>
  <w:style w:type="paragraph" w:customStyle="1" w:styleId="47">
    <w:name w:val="+正文"/>
    <w:basedOn w:val="1"/>
    <w:qFormat/>
    <w:uiPriority w:val="99"/>
    <w:pPr>
      <w:spacing w:line="360" w:lineRule="auto"/>
      <w:ind w:firstLine="200" w:firstLineChars="200"/>
    </w:pPr>
    <w:rPr>
      <w:rFonts w:eastAsia="宋体"/>
      <w:sz w:val="24"/>
    </w:rPr>
  </w:style>
  <w:style w:type="paragraph" w:customStyle="1" w:styleId="48">
    <w:name w:val="表名"/>
    <w:basedOn w:val="1"/>
    <w:qFormat/>
    <w:uiPriority w:val="0"/>
    <w:pPr>
      <w:autoSpaceDE w:val="0"/>
      <w:autoSpaceDN w:val="0"/>
      <w:adjustRightInd w:val="0"/>
      <w:spacing w:beforeLines="20" w:line="288" w:lineRule="auto"/>
      <w:jc w:val="center"/>
      <w:textAlignment w:val="baseline"/>
    </w:pPr>
    <w:rPr>
      <w:kern w:val="0"/>
      <w:sz w:val="24"/>
    </w:rPr>
  </w:style>
  <w:style w:type="paragraph" w:customStyle="1" w:styleId="49">
    <w:name w:val="表格"/>
    <w:basedOn w:val="1"/>
    <w:qFormat/>
    <w:uiPriority w:val="0"/>
    <w:pPr>
      <w:adjustRightInd w:val="0"/>
      <w:jc w:val="center"/>
      <w:textAlignment w:val="baseline"/>
    </w:pPr>
  </w:style>
  <w:style w:type="paragraph" w:customStyle="1" w:styleId="50">
    <w:name w:val="小正文"/>
    <w:basedOn w:val="12"/>
    <w:unhideWhenUsed/>
    <w:qFormat/>
    <w:uiPriority w:val="0"/>
    <w:pPr>
      <w:spacing w:after="0" w:line="360" w:lineRule="auto"/>
      <w:ind w:firstLine="200" w:firstLineChars="200"/>
    </w:pPr>
    <w:rPr>
      <w:rFonts w:ascii="Times New Roman" w:hAnsi="Times New Roman"/>
      <w:sz w:val="24"/>
      <w:lang w:val="zh-CN"/>
    </w:rPr>
  </w:style>
  <w:style w:type="paragraph" w:customStyle="1" w:styleId="5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2">
    <w:name w:val="List Paragraph"/>
    <w:basedOn w:val="1"/>
    <w:next w:val="1"/>
    <w:unhideWhenUsed/>
    <w:qFormat/>
    <w:uiPriority w:val="99"/>
    <w:pPr>
      <w:ind w:firstLine="420" w:firstLineChars="200"/>
    </w:pPr>
  </w:style>
  <w:style w:type="paragraph" w:customStyle="1" w:styleId="53">
    <w:name w:val="修订1"/>
    <w:hidden/>
    <w:unhideWhenUsed/>
    <w:qFormat/>
    <w:uiPriority w:val="99"/>
    <w:rPr>
      <w:rFonts w:ascii="Times New Roman" w:hAnsi="Times New Roman" w:eastAsia="楷体_GB2312" w:cs="Times New Roman"/>
      <w:kern w:val="2"/>
      <w:sz w:val="26"/>
      <w:lang w:val="en-US" w:eastAsia="zh-CN" w:bidi="ar-SA"/>
    </w:rPr>
  </w:style>
  <w:style w:type="paragraph" w:customStyle="1" w:styleId="54">
    <w:name w:val="修订2"/>
    <w:hidden/>
    <w:unhideWhenUsed/>
    <w:qFormat/>
    <w:uiPriority w:val="99"/>
    <w:rPr>
      <w:rFonts w:ascii="Times New Roman" w:hAnsi="Times New Roman" w:eastAsia="楷体_GB2312" w:cs="Times New Roman"/>
      <w:kern w:val="2"/>
      <w:sz w:val="26"/>
      <w:lang w:val="en-US" w:eastAsia="zh-CN" w:bidi="ar-SA"/>
    </w:rPr>
  </w:style>
  <w:style w:type="character" w:customStyle="1" w:styleId="55">
    <w:name w:val="fontstyle01"/>
    <w:qFormat/>
    <w:uiPriority w:val="0"/>
    <w:rPr>
      <w:rFonts w:hint="eastAsia" w:ascii="宋体" w:hAnsi="宋体" w:eastAsia="宋体"/>
      <w:color w:val="000000"/>
      <w:sz w:val="24"/>
      <w:szCs w:val="24"/>
    </w:rPr>
  </w:style>
  <w:style w:type="table" w:customStyle="1" w:styleId="56">
    <w:name w:val="TableGrid"/>
    <w:qFormat/>
    <w:uiPriority w:val="0"/>
    <w:tblPr>
      <w:tblCellMar>
        <w:top w:w="0" w:type="dxa"/>
        <w:left w:w="0" w:type="dxa"/>
        <w:bottom w:w="0" w:type="dxa"/>
        <w:right w:w="0" w:type="dxa"/>
      </w:tblCellMar>
    </w:tblPr>
  </w:style>
  <w:style w:type="paragraph" w:customStyle="1" w:styleId="57">
    <w:name w:val="Table Paragraph"/>
    <w:basedOn w:val="1"/>
    <w:qFormat/>
    <w:uiPriority w:val="1"/>
    <w:pPr>
      <w:autoSpaceDE w:val="0"/>
      <w:autoSpaceDN w:val="0"/>
      <w:jc w:val="left"/>
    </w:pPr>
    <w:rPr>
      <w:rFonts w:ascii="宋体" w:hAnsi="宋体" w:eastAsia="宋体" w:cs="宋体"/>
      <w:kern w:val="0"/>
      <w:sz w:val="22"/>
      <w:szCs w:val="22"/>
      <w:lang w:eastAsia="en-US"/>
    </w:rPr>
  </w:style>
  <w:style w:type="character" w:customStyle="1" w:styleId="58">
    <w:name w:val="font11"/>
    <w:qFormat/>
    <w:uiPriority w:val="0"/>
    <w:rPr>
      <w:rFonts w:hint="eastAsia" w:ascii="宋体" w:hAnsi="宋体" w:eastAsia="宋体" w:cs="宋体"/>
      <w:color w:val="000000"/>
      <w:sz w:val="18"/>
      <w:szCs w:val="18"/>
      <w:u w:val="none"/>
    </w:rPr>
  </w:style>
  <w:style w:type="paragraph" w:customStyle="1" w:styleId="59">
    <w:name w:val="Char Char Char Char Char Char Char Char Char Char"/>
    <w:basedOn w:val="1"/>
    <w:qFormat/>
    <w:uiPriority w:val="0"/>
    <w:pPr>
      <w:spacing w:after="160" w:line="240" w:lineRule="exact"/>
      <w:textAlignment w:val="baseline"/>
    </w:pPr>
    <w:rPr>
      <w:rFonts w:ascii="Verdana" w:hAnsi="Verdana"/>
      <w:sz w:val="20"/>
      <w:lang w:eastAsia="en-US"/>
    </w:rPr>
  </w:style>
  <w:style w:type="character" w:customStyle="1" w:styleId="60">
    <w:name w:val="TOC 4 字符"/>
    <w:link w:val="23"/>
    <w:qFormat/>
    <w:uiPriority w:val="0"/>
  </w:style>
  <w:style w:type="character" w:customStyle="1" w:styleId="61">
    <w:name w:val="TOC 1 字符"/>
    <w:link w:val="22"/>
    <w:qFormat/>
    <w:uiPriority w:val="39"/>
    <w:rPr>
      <w:sz w:val="24"/>
    </w:rPr>
  </w:style>
  <w:style w:type="paragraph" w:customStyle="1" w:styleId="62">
    <w:name w:val="正文文本1"/>
    <w:next w:val="35"/>
    <w:qFormat/>
    <w:uiPriority w:val="99"/>
    <w:rPr>
      <w:rFonts w:ascii="Arial" w:hAnsi="Arial" w:eastAsia="Arial" w:cs="Arial"/>
      <w:szCs w:val="22"/>
      <w:lang w:val="en-US" w:eastAsia="zh-CN" w:bidi="ar-SA"/>
    </w:rPr>
  </w:style>
  <w:style w:type="character" w:customStyle="1" w:styleId="63">
    <w:name w:val="不明显强调1"/>
    <w:qFormat/>
    <w:uiPriority w:val="19"/>
    <w:rPr>
      <w:i/>
      <w:iCs/>
      <w:color w:val="3F3F3F"/>
    </w:rPr>
  </w:style>
  <w:style w:type="paragraph" w:customStyle="1" w:styleId="64">
    <w:name w:val="UserStyle_144"/>
    <w:qFormat/>
    <w:uiPriority w:val="0"/>
    <w:pPr>
      <w:jc w:val="both"/>
      <w:textAlignment w:val="baseline"/>
    </w:pPr>
    <w:rPr>
      <w:rFonts w:ascii="Calibri" w:hAnsi="Calibri" w:eastAsia="宋体" w:cs="Times New Roman"/>
      <w:kern w:val="2"/>
      <w:sz w:val="21"/>
      <w:szCs w:val="22"/>
      <w:lang w:val="en-US" w:eastAsia="zh-CN" w:bidi="ar-SA"/>
    </w:rPr>
  </w:style>
  <w:style w:type="character" w:customStyle="1" w:styleId="65">
    <w:name w:val="active16"/>
    <w:basedOn w:val="29"/>
    <w:qFormat/>
    <w:uiPriority w:val="0"/>
    <w:rPr>
      <w:color w:val="FFFFFF"/>
      <w:bdr w:val="single" w:color="0F5BB9" w:sz="4" w:space="0"/>
      <w:shd w:val="clear" w:fill="0F5BB9"/>
    </w:rPr>
  </w:style>
  <w:style w:type="character" w:customStyle="1" w:styleId="66">
    <w:name w:val="last-child"/>
    <w:basedOn w:val="29"/>
    <w:qFormat/>
    <w:uiPriority w:val="0"/>
  </w:style>
  <w:style w:type="character" w:customStyle="1" w:styleId="67">
    <w:name w:val="last-child1"/>
    <w:basedOn w:val="2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88</Pages>
  <Words>19755</Words>
  <Characters>21581</Characters>
  <Lines>299</Lines>
  <Paragraphs>84</Paragraphs>
  <TotalTime>1</TotalTime>
  <ScaleCrop>false</ScaleCrop>
  <LinksUpToDate>false</LinksUpToDate>
  <CharactersWithSpaces>21764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2026-09-29T02:34:00Z</dcterms:created>
  <dc:creator>dc</dc:creator>
  <cp:lastModifiedBy>B</cp:lastModifiedBy>
  <cp:lastPrinted>2024-12-13T22:53:00Z</cp:lastPrinted>
  <dcterms:modified xsi:type="dcterms:W3CDTF">2026-10-26T01:43:51Z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1EABB840915843D992A08A99CEBDBC78_13</vt:lpwstr>
  </property>
  <property fmtid="{D5CDD505-2E9C-101B-9397-08002B2CF9AE}" pid="4" name="KSOTemplateDocerSaveRecord">
    <vt:lpwstr>eyJoZGlkIjoiNDYzNDBiNTI3ZmI2MDcwMjBmMDY4MGFhOGY3ZTY5MGUiLCJ1c2VySWQiOiIxMDQ1OTkyNDcwIn0=</vt:lpwstr>
  </property>
</Properties>
</file>