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640"/>
        <w:jc w:val="left"/>
        <w:keepLines w:val="0"/>
        <w:keepNext w:val="0"/>
        <w:pageBreakBefore w:val="0"/>
        <w:spacing w:before="120" w:after="120" w:line="660" w:lineRule="exact"/>
        <w:widowControl w:val="off"/>
        <w:rPr>
          <w:rFonts w:hint="eastAsia" w:ascii="Arial" w:hAnsi="Arial"/>
          <w:b/>
          <w:bCs/>
          <w:color w:val="000000"/>
          <w:sz w:val="32"/>
          <w:szCs w:val="24"/>
        </w:rPr>
      </w:pPr>
      <w:r>
        <w:rPr>
          <w:rFonts w:hint="eastAsia" w:ascii="Arial" w:hAnsi="Arial"/>
          <w:b/>
          <w:bCs/>
          <w:color w:val="000000"/>
          <w:sz w:val="32"/>
          <w:szCs w:val="24"/>
        </w:rPr>
      </w:r>
      <w:r/>
    </w:p>
    <w:p>
      <w:pPr>
        <w:ind w:firstLine="640"/>
        <w:jc w:val="left"/>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项目名称：江苏食品药品职业技术学院国产算力服务器建设</w:t>
      </w:r>
      <w:r/>
    </w:p>
    <w:p>
      <w:pPr>
        <w:ind w:firstLine="640"/>
        <w:keepLines w:val="0"/>
        <w:keepNext w:val="0"/>
        <w:pageBreakBefore w:val="0"/>
        <w:spacing w:before="120" w:after="120" w:line="660" w:lineRule="exact"/>
        <w:widowControl w:val="off"/>
        <w:rPr>
          <w:rFonts w:ascii="Arial" w:hAnsi="Arial"/>
          <w:b/>
          <w:bCs/>
          <w:sz w:val="32"/>
          <w:szCs w:val="24"/>
          <w:lang w:val="en-US"/>
        </w:rPr>
      </w:pPr>
      <w:r>
        <w:rPr>
          <w:rFonts w:hint="eastAsia" w:ascii="宋体" w:hAnsi="宋体" w:eastAsia="宋体" w:cs="宋体"/>
          <w:b/>
          <w:bCs/>
          <w:sz w:val="32"/>
          <w:szCs w:val="32"/>
          <w:lang w:eastAsia="zh-CN"/>
        </w:rPr>
        <w:t xml:space="preserve">采购编号</w:t>
      </w:r>
      <w:r>
        <w:rPr>
          <w:rFonts w:hint="eastAsia" w:ascii="宋体" w:hAnsi="宋体" w:eastAsia="宋体" w:cs="宋体"/>
          <w:b/>
          <w:bCs/>
          <w:sz w:val="32"/>
          <w:szCs w:val="32"/>
        </w:rPr>
        <w:t xml:space="preserve">：</w:t>
      </w:r>
      <w:r>
        <w:rPr>
          <w:rFonts w:hint="eastAsia" w:ascii="Arial" w:hAnsi="Arial"/>
          <w:b/>
          <w:bCs/>
          <w:sz w:val="32"/>
          <w:szCs w:val="24"/>
        </w:rPr>
        <w:t xml:space="preserve">JSZC-320000-</w:t>
      </w:r>
      <w:r>
        <w:rPr>
          <w:rFonts w:hint="eastAsia" w:ascii="Arial" w:hAnsi="Arial"/>
          <w:b/>
          <w:bCs/>
          <w:sz w:val="32"/>
          <w:szCs w:val="24"/>
          <w:lang w:val="en-US" w:eastAsia="zh-CN"/>
        </w:rPr>
        <w:t xml:space="preserve">SCZX-G2026-0469</w:t>
      </w:r>
      <w:r/>
    </w:p>
    <w:p>
      <w:pPr>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left"/>
        <w:keepLines w:val="0"/>
        <w:keepNext w:val="0"/>
        <w:pageBreakBefore w:val="0"/>
        <w:spacing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江苏省政府采购中心</w:t>
      </w:r>
      <w:r/>
    </w:p>
    <w:p>
      <w:pPr>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2026</w:t>
      </w:r>
      <w:r>
        <w:rPr>
          <w:rFonts w:hint="eastAsia" w:ascii="宋体" w:hAnsi="宋体" w:eastAsia="宋体" w:cs="宋体"/>
          <w:b/>
          <w:bCs/>
          <w:color w:val="000000"/>
          <w:sz w:val="32"/>
          <w:szCs w:val="32"/>
        </w:rPr>
        <w:t xml:space="preserve">年</w:t>
      </w:r>
      <w:r>
        <w:rPr>
          <w:rFonts w:hint="eastAsia" w:ascii="宋体" w:hAnsi="宋体" w:eastAsia="宋体" w:cs="宋体"/>
          <w:b/>
          <w:bCs/>
          <w:color w:val="000000"/>
          <w:sz w:val="32"/>
          <w:szCs w:val="32"/>
          <w:lang w:val="en-US" w:eastAsia="zh-CN"/>
        </w:rPr>
        <w:t xml:space="preserve">9</w:t>
      </w:r>
      <w:r>
        <w:rPr>
          <w:rFonts w:hint="eastAsia" w:ascii="宋体" w:hAnsi="宋体" w:eastAsia="宋体" w:cs="宋体"/>
          <w:b/>
          <w:bCs/>
          <w:color w:val="000000"/>
          <w:sz w:val="32"/>
          <w:szCs w:val="32"/>
        </w:rPr>
        <w:t xml:space="preserve">月</w:t>
      </w:r>
      <w:r/>
    </w:p>
    <w:p>
      <w:pPr>
        <w:jc w:val="left"/>
        <w:spacing w:before="120" w:after="120" w:line="360" w:lineRule="auto"/>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keepLines w:val="0"/>
        <w:keepNext w:val="0"/>
        <w:pageBreakBefore w:val="0"/>
        <w:spacing w:line="660" w:lineRule="exact"/>
        <w:widowControl w:val="off"/>
        <w:rPr>
          <w:rFonts w:hint="eastAsia" w:ascii="黑体" w:hAnsi="黑体" w:eastAsia="黑体" w:cs="黑体"/>
          <w:b/>
          <w:color w:val="000000"/>
          <w:sz w:val="36"/>
          <w:szCs w:val="36"/>
        </w:rPr>
        <w:outlineLvl w:val="0"/>
      </w:pPr>
      <w:r>
        <w:rPr>
          <w:rFonts w:ascii="Times New Roman" w:hAnsi="Times New Roman"/>
          <w:color w:val="000000"/>
          <w:szCs w:val="21"/>
        </w:rPr>
        <w:br w:type="page" w:clear="all"/>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黑体" w:hAnsi="黑体" w:eastAsia="黑体" w:cs="黑体"/>
          <w:b w:val="0"/>
          <w:bCs/>
          <w:color w:val="000000"/>
          <w:sz w:val="36"/>
          <w:szCs w:val="36"/>
        </w:rPr>
        <w:t xml:space="preserve">总  目  录</w:t>
      </w:r>
      <w:r/>
    </w:p>
    <w:p>
      <w:pPr>
        <w:spacing w:line="480" w:lineRule="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第一章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投标邀请……………………………………3 </w:t>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第二章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投标人须知</w:t>
      </w:r>
      <w:r>
        <w:rPr>
          <w:rFonts w:hint="eastAsia" w:ascii="黑体" w:hAnsi="黑体" w:eastAsia="黑体" w:cs="黑体"/>
          <w:color w:val="000000"/>
          <w:sz w:val="36"/>
          <w:szCs w:val="36"/>
        </w:rPr>
        <w:t xml:space="preserve">…………………………………7  </w:t>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第三章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合同文本……………………………………18</w:t>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第四章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采购需求……………………………………34</w:t>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第五章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评标方法与评标标准</w:t>
      </w:r>
      <w:r>
        <w:rPr>
          <w:rFonts w:hint="eastAsia" w:ascii="黑体" w:hAnsi="黑体" w:eastAsia="黑体" w:cs="黑体"/>
          <w:color w:val="000000"/>
          <w:sz w:val="36"/>
          <w:szCs w:val="36"/>
        </w:rPr>
        <w:t xml:space="preserve">………………………43</w:t>
      </w:r>
      <w:r/>
    </w:p>
    <w:p>
      <w:pPr>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第六章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投标文件格式………………………………50</w:t>
      </w:r>
      <w:r/>
    </w:p>
    <w:p>
      <w:pPr>
        <w:rPr>
          <w:rFonts w:hint="eastAsia" w:ascii="黑体" w:hAnsi="黑体" w:eastAsia="黑体" w:cs="黑体"/>
          <w:color w:val="000000"/>
          <w:sz w:val="36"/>
          <w:szCs w:val="36"/>
        </w:rPr>
      </w:pPr>
      <w:r>
        <w:rPr>
          <w:rFonts w:hint="eastAsia" w:ascii="黑体" w:hAnsi="黑体" w:eastAsia="黑体" w:cs="黑体"/>
          <w:color w:val="000000"/>
          <w:sz w:val="36"/>
          <w:szCs w:val="36"/>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color w:val="000000"/>
          <w:sz w:val="44"/>
          <w:szCs w:val="44"/>
        </w:rPr>
        <w:outlineLvl w:val="0"/>
      </w:pPr>
      <w:r>
        <w:rPr>
          <w:rFonts w:hint="eastAsia" w:ascii="黑体" w:hAnsi="Times New Roman" w:eastAsia="黑体"/>
          <w:color w:val="000000"/>
          <w:sz w:val="44"/>
          <w:szCs w:val="44"/>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受江苏食品药品职业技术学院的委托，江苏省政府采购中心就江苏食品药品职业技术学院国产算力服务器建设(JSZC-320000-SCZX-G2026-0469)项目进行公开招标采购，欢迎符合条件的供应商投标。</w:t>
      </w:r>
      <w:r/>
    </w:p>
    <w:p>
      <w:pPr>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p>
    <w:p>
      <w:pPr>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 江苏食品药品职业技术学院国产算力服务器建设</w:t>
      </w:r>
      <w:r>
        <w:rPr>
          <w:rFonts w:hint="eastAsia" w:ascii="宋体" w:hAnsi="宋体" w:eastAsia="宋体" w:cs="宋体"/>
          <w:color w:val="000000"/>
          <w:sz w:val="24"/>
          <w:szCs w:val="24"/>
        </w:rPr>
        <w:t xml:space="preserve"> 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招标文件，并于2026</w:t>
      </w:r>
      <w:r>
        <w:rPr>
          <w:rFonts w:hint="eastAsia" w:ascii="宋体" w:hAnsi="宋体" w:eastAsia="宋体" w:cs="宋体"/>
          <w:bCs/>
          <w:color w:val="000000"/>
          <w:sz w:val="24"/>
          <w:szCs w:val="24"/>
          <w:u w:val="none"/>
        </w:rPr>
        <w:t xml:space="preserve">年10</w:t>
      </w:r>
      <w:r>
        <w:rPr>
          <w:rFonts w:hint="eastAsia" w:ascii="宋体" w:hAnsi="宋体" w:eastAsia="宋体" w:cs="宋体"/>
          <w:bCs/>
          <w:color w:val="000000"/>
          <w:sz w:val="24"/>
          <w:szCs w:val="24"/>
          <w:u w:val="none"/>
        </w:rPr>
        <w:t xml:space="preserve">月13</w:t>
      </w:r>
      <w:r>
        <w:rPr>
          <w:rFonts w:hint="eastAsia" w:ascii="宋体" w:hAnsi="宋体" w:eastAsia="宋体" w:cs="宋体"/>
          <w:bCs/>
          <w:color w:val="000000"/>
          <w:sz w:val="24"/>
          <w:szCs w:val="24"/>
          <w:u w:val="none"/>
        </w:rPr>
        <w:t xml:space="preserve">日9</w:t>
      </w:r>
      <w:r>
        <w:rPr>
          <w:rFonts w:hint="eastAsia" w:ascii="宋体" w:hAnsi="宋体" w:eastAsia="宋体" w:cs="宋体"/>
          <w:color w:val="000000"/>
          <w:sz w:val="24"/>
          <w:szCs w:val="24"/>
          <w:u w:val="none"/>
          <w:lang w:val="en-US" w:eastAsia="zh-CN"/>
        </w:rPr>
        <w:t xml:space="preserve">时30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rPr>
        <w:t xml:space="preserve">前递交投标文件</w:t>
      </w:r>
      <w:r>
        <w:rPr>
          <w:rFonts w:hint="eastAsia" w:ascii="宋体" w:hAnsi="宋体" w:eastAsia="宋体" w:cs="宋体"/>
          <w:color w:val="000000"/>
          <w:sz w:val="24"/>
          <w:szCs w:val="24"/>
        </w:rPr>
        <w:t xml:space="preserve">。</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
    </w:p>
    <w:p>
      <w:pPr>
        <w:ind w:firstLine="480"/>
        <w:keepLines w:val="0"/>
        <w:keepNext w:val="0"/>
        <w:pageBreakBefore w:val="0"/>
        <w:spacing w:line="560" w:lineRule="exact"/>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JSZC-320000-</w:t>
      </w:r>
      <w:r>
        <w:rPr>
          <w:rFonts w:hint="eastAsia" w:ascii="宋体" w:hAnsi="宋体" w:eastAsia="宋体" w:cs="宋体"/>
          <w:color w:val="000000"/>
          <w:sz w:val="24"/>
          <w:szCs w:val="24"/>
          <w:lang w:val="en-US" w:eastAsia="zh-CN"/>
        </w:rPr>
        <w:t xml:space="preserve">SCZX-G2026-0469</w:t>
      </w:r>
      <w:r/>
    </w:p>
    <w:p>
      <w:pPr>
        <w:ind w:firstLine="480"/>
        <w:keepLines w:val="0"/>
        <w:keepNext w:val="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江苏食品药品职业技术学院国产算力服务器建设</w:t>
      </w:r>
      <w:bookmarkEnd w:id="11"/>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3.预算金额</w:t>
      </w:r>
      <w:r/>
    </w:p>
    <w:tbl>
      <w:tblPr>
        <w:tblStyle w:val="75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采购</w:t>
            </w:r>
            <w:r/>
          </w:p>
          <w:p>
            <w:pPr>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3312" w:type="dxa"/>
            <w:vAlign w:val="top"/>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预算金额</w:t>
            </w:r>
            <w:r/>
          </w:p>
          <w:p>
            <w:pPr>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（人民币：万元）</w:t>
            </w:r>
            <w:r/>
          </w:p>
        </w:tc>
      </w:tr>
      <w:tr>
        <w:trPr/>
        <w:tc>
          <w:tcPr>
            <w:tcW w:w="1092" w:type="dxa"/>
            <w:vAlign w:val="top"/>
            <w:textDirection w:val="lrTb"/>
            <w:noWrap w:val="false"/>
          </w:tcPr>
          <w:p>
            <w:pPr>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3312" w:type="dxa"/>
            <w:vAlign w:val="top"/>
            <w:textDirection w:val="lrTb"/>
            <w:noWrap w:val="false"/>
          </w:tcPr>
          <w:p>
            <w:pPr>
              <w:ind w:firstLine="960"/>
              <w:jc w:val="both"/>
              <w:keepLines w:val="0"/>
              <w:keepNext w:val="0"/>
              <w:pageBreakBefore w:val="0"/>
              <w:spacing w:line="0" w:lineRule="atLeast"/>
              <w:widowControl w:val="off"/>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300</w:t>
            </w:r>
            <w:r/>
          </w:p>
        </w:tc>
      </w:tr>
    </w:tbl>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p>
    <w:tbl>
      <w:tblPr>
        <w:tblStyle w:val="75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p>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p>
        </w:tc>
        <w:tc>
          <w:tcPr>
            <w:tcW w:w="3296"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w:t>
            </w:r>
            <w:r/>
          </w:p>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（人民币：万元）</w:t>
            </w:r>
            <w:r/>
          </w:p>
        </w:tc>
      </w:tr>
      <w:tr>
        <w:trPr/>
        <w:tc>
          <w:tcPr>
            <w:tcW w:w="1085"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96" w:type="dxa"/>
            <w:vAlign w:val="top"/>
            <w:textDirection w:val="lrTb"/>
            <w:noWrap w:val="false"/>
          </w:tcPr>
          <w:p>
            <w:pPr>
              <w:jc w:val="center"/>
              <w:spacing w:line="0" w:lineRule="atLeas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300</w:t>
            </w:r>
            <w:r/>
          </w:p>
        </w:tc>
      </w:tr>
    </w:tbl>
    <w:p>
      <w:pPr>
        <w:ind w:firstLine="480"/>
        <w:keepLines w:val="0"/>
        <w:keepNext w:val="0"/>
        <w:pageBreakBefore w:val="0"/>
        <w:spacing w:line="5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sz w:val="24"/>
          <w:szCs w:val="24"/>
          <w:highlight w:val="none"/>
        </w:rPr>
        <w:t xml:space="preserve">本次采购旨在构建一套高性能、高可用、易扩展的AI智能体算力一体机系统解决方案，以满足我校未来3-5年的算力需求，提升科研效率、教学质量和信息化管理水平。</w:t>
      </w:r>
      <w:r>
        <w:rPr>
          <w:rFonts w:hint="eastAsia" w:ascii="宋体" w:hAnsi="宋体" w:eastAsia="宋体" w:cs="宋体"/>
          <w:color w:val="000000"/>
          <w:sz w:val="24"/>
          <w:szCs w:val="24"/>
          <w:highlight w:val="none"/>
        </w:rPr>
        <w:t xml:space="preserve">（详细内容见本招标文件第四章）</w:t>
      </w:r>
      <w:r/>
    </w:p>
    <w:p>
      <w:pPr>
        <w:ind w:firstLine="480"/>
        <w:keepLines w:val="0"/>
        <w:keepNext w:val="0"/>
        <w:pageBreakBefore w:val="0"/>
        <w:spacing w:line="56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6.合同履行期限：</w:t>
      </w:r>
      <w:r>
        <w:rPr>
          <w:rFonts w:hint="eastAsia" w:ascii="宋体" w:hAnsi="宋体"/>
          <w:sz w:val="24"/>
          <w:szCs w:val="24"/>
          <w:highlight w:val="none"/>
        </w:rPr>
        <w:t xml:space="preserve">合同签订后</w:t>
      </w:r>
      <w:r>
        <w:rPr>
          <w:rFonts w:hint="eastAsia" w:ascii="宋体" w:hAnsi="宋体"/>
          <w:sz w:val="24"/>
          <w:szCs w:val="24"/>
          <w:highlight w:val="none"/>
          <w:lang w:val="en-US" w:eastAsia="zh-CN"/>
        </w:rPr>
        <w:t xml:space="preserve">14</w:t>
      </w:r>
      <w:r>
        <w:rPr>
          <w:rFonts w:hint="eastAsia" w:ascii="宋体" w:hAnsi="宋体"/>
          <w:sz w:val="24"/>
          <w:szCs w:val="24"/>
          <w:highlight w:val="none"/>
        </w:rPr>
        <w:t xml:space="preserve">日内完成交付并安装调试。</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12" w:name="_Toc35393622"/>
      <w:r/>
      <w:bookmarkStart w:id="13" w:name="_Toc28359080"/>
      <w:r/>
      <w:bookmarkStart w:id="14" w:name="_Toc38985264"/>
      <w:r/>
      <w:bookmarkStart w:id="15" w:name="_Toc35393791"/>
      <w:r/>
      <w:bookmarkStart w:id="16" w:name="_Toc28359003"/>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
    </w:p>
    <w:p>
      <w:pPr>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bookmarkStart w:id="17" w:name="_Toc35393623"/>
      <w:r/>
      <w:bookmarkStart w:id="18" w:name="_Toc35393792"/>
      <w:r/>
      <w:bookmarkStart w:id="19" w:name="_Toc28359004"/>
      <w:r/>
      <w:bookmarkStart w:id="20" w:name="_Toc38985265"/>
      <w:r/>
      <w:bookmarkStart w:id="21" w:name="_Toc28359081"/>
      <w:r>
        <w:rPr>
          <w:rFonts w:hint="eastAsia" w:ascii="方正楷体_GBK" w:hAnsi="方正楷体_GBK" w:eastAsia="方正楷体_GBK" w:cs="方正楷体_GBK"/>
          <w:color w:val="000000"/>
          <w:sz w:val="28"/>
          <w:szCs w:val="28"/>
        </w:rPr>
        <w:t xml:space="preserve">（一）通用资格要求</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keepNext w:val="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3.落实政府采购政策需满足的资格要求：无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4.联合体投标</w:t>
      </w:r>
      <w:r/>
    </w:p>
    <w:tbl>
      <w:tblPr>
        <w:tblStyle w:val="75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96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是否接受联合体投标（是/否）</w:t>
            </w:r>
            <w:r/>
          </w:p>
        </w:tc>
        <w:tc>
          <w:tcPr>
            <w:tcW w:w="2967"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该采购包中联合体成员数量上限</w:t>
            </w:r>
            <w:r/>
          </w:p>
        </w:tc>
      </w:tr>
      <w:tr>
        <w:trPr/>
        <w:tc>
          <w:tcPr>
            <w:tcW w:w="114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否</w:t>
            </w:r>
            <w:r/>
          </w:p>
        </w:tc>
        <w:tc>
          <w:tcPr>
            <w:tcW w:w="2967" w:type="dxa"/>
            <w:vAlign w:val="top"/>
            <w:textDirection w:val="lrTb"/>
            <w:noWrap w:val="false"/>
          </w:tcPr>
          <w:p>
            <w:pPr>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p>
        </w:tc>
      </w:tr>
    </w:tbl>
    <w:p>
      <w:pPr>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5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特定资格要求</w:t>
            </w:r>
            <w:r/>
          </w:p>
        </w:tc>
      </w:tr>
      <w:tr>
        <w:trPr/>
        <w:tc>
          <w:tcPr>
            <w:tcW w:w="1148"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5921" w:type="dxa"/>
            <w:vAlign w:val="top"/>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w:t>
            </w:r>
            <w:r/>
          </w:p>
        </w:tc>
      </w:tr>
    </w:tbl>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bookmarkEnd w:id="17"/>
      <w:r/>
      <w:bookmarkEnd w:id="18"/>
      <w:r/>
      <w:bookmarkEnd w:id="19"/>
      <w:r/>
      <w:bookmarkEnd w:id="20"/>
      <w:r/>
      <w:bookmarkEnd w:id="21"/>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年10</w:t>
      </w:r>
      <w:r>
        <w:rPr>
          <w:rFonts w:hint="eastAsia" w:ascii="宋体" w:hAnsi="宋体" w:eastAsia="宋体" w:cs="宋体"/>
          <w:bCs/>
          <w:color w:val="000000"/>
          <w:sz w:val="24"/>
          <w:szCs w:val="24"/>
          <w:u w:val="none"/>
        </w:rPr>
        <w:t xml:space="preserve">月13</w:t>
      </w:r>
      <w:r>
        <w:rPr>
          <w:rFonts w:hint="eastAsia" w:ascii="宋体" w:hAnsi="宋体" w:eastAsia="宋体" w:cs="宋体"/>
          <w:bCs/>
          <w:color w:val="000000"/>
          <w:sz w:val="24"/>
          <w:szCs w:val="24"/>
          <w:u w:val="none"/>
        </w:rPr>
        <w:t xml:space="preserve">日9</w:t>
      </w:r>
      <w:r>
        <w:rPr>
          <w:rFonts w:hint="eastAsia" w:ascii="宋体" w:hAnsi="宋体" w:eastAsia="宋体" w:cs="宋体"/>
          <w:color w:val="000000"/>
          <w:sz w:val="24"/>
          <w:szCs w:val="24"/>
          <w:u w:val="none"/>
          <w:lang w:val="en-US" w:eastAsia="zh-CN"/>
        </w:rPr>
        <w:t xml:space="preserve">时30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sz w:val="24"/>
          <w:szCs w:val="24"/>
        </w:rPr>
        <w:t xml:space="preserve">。</w:t>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27" w:name="_Toc28359084"/>
      <w:r/>
      <w:bookmarkStart w:id="28" w:name="_Toc35393794"/>
      <w:r/>
      <w:bookmarkStart w:id="29" w:name="_Toc38985267"/>
      <w:r/>
      <w:bookmarkStart w:id="30" w:name="_Toc28359007"/>
      <w:r/>
      <w:bookmarkStart w:id="31" w:name="_Toc35393625"/>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2" w:name="_Toc35393795"/>
      <w:r/>
      <w:bookmarkStart w:id="33" w:name="_Toc35393626"/>
      <w:r/>
      <w:bookmarkStart w:id="34" w:name="_Toc38985268"/>
      <w:r>
        <w:rPr>
          <w:rFonts w:hint="eastAsia" w:ascii="方正黑体_GBK" w:hAnsi="方正黑体_GBK" w:eastAsia="方正黑体_GBK" w:cs="方正黑体_GBK"/>
          <w:color w:val="000000"/>
          <w:sz w:val="32"/>
          <w:szCs w:val="32"/>
        </w:rPr>
        <w:t xml:space="preserve">六、其他补充事宜</w:t>
      </w:r>
      <w:bookmarkEnd w:id="32"/>
      <w:r/>
      <w:bookmarkEnd w:id="33"/>
      <w:r/>
      <w:bookmarkEnd w:id="34"/>
      <w:r/>
      <w:r/>
    </w:p>
    <w:p>
      <w:pPr>
        <w:ind w:firstLine="480"/>
        <w:keepLines w:val="0"/>
        <w:keepNext w:val="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无</w:t>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5" w:name="_Toc35393627"/>
      <w:r/>
      <w:bookmarkStart w:id="36" w:name="_Toc38985269"/>
      <w:r/>
      <w:bookmarkStart w:id="37" w:name="_Toc28359008"/>
      <w:r/>
      <w:bookmarkStart w:id="38" w:name="_Toc28359085"/>
      <w:r/>
      <w:bookmarkStart w:id="39" w:name="_Toc35393796"/>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
    </w:p>
    <w:p>
      <w:pPr>
        <w:jc w:val="left"/>
        <w:keepLines w:val="0"/>
        <w:pageBreakBefore w:val="0"/>
        <w:spacing w:line="560" w:lineRule="exact"/>
        <w:widowControl/>
        <w:rPr>
          <w:rFonts w:hint="eastAsia" w:ascii="宋体" w:hAnsi="宋体" w:eastAsia="宋体" w:cs="宋体"/>
          <w:color w:val="000000"/>
          <w:sz w:val="24"/>
          <w:szCs w:val="24"/>
          <w:highlight w:val="none"/>
        </w:rPr>
      </w:pP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highlight w:val="none"/>
        </w:rPr>
        <w:t xml:space="preserve">　1.采购人信息</w:t>
      </w:r>
      <w:r/>
    </w:p>
    <w:p>
      <w:pPr>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江苏食品药品职业技术学院　　　　　　　　　　　</w:t>
      </w:r>
      <w:r/>
    </w:p>
    <w:p>
      <w:pPr>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江苏省淮安市枚乘东路4号　　　　　　　　　　</w:t>
      </w:r>
      <w:r/>
    </w:p>
    <w:p>
      <w:pPr>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谢丽娟、</w:t>
      </w:r>
      <w:r>
        <w:rPr>
          <w:rFonts w:hint="eastAsia" w:ascii="宋体" w:hAnsi="宋体" w:eastAsia="宋体" w:cs="宋体"/>
          <w:color w:val="000000"/>
          <w:sz w:val="24"/>
          <w:szCs w:val="24"/>
          <w:highlight w:val="none"/>
          <w:u w:val="single"/>
        </w:rPr>
        <w:t xml:space="preserve"> 丁奕文                   </w:t>
      </w:r>
      <w:r/>
    </w:p>
    <w:p>
      <w:pPr>
        <w:ind w:firstLine="480"/>
        <w:jc w:val="left"/>
        <w:keepLines w:val="0"/>
        <w:pageBreakBefore w:val="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0517-87088</w:t>
      </w:r>
      <w:r>
        <w:rPr>
          <w:rFonts w:hint="eastAsia" w:ascii="宋体" w:hAnsi="宋体" w:eastAsia="宋体" w:cs="宋体"/>
          <w:color w:val="000000"/>
          <w:sz w:val="24"/>
          <w:szCs w:val="24"/>
          <w:highlight w:val="none"/>
          <w:u w:val="single"/>
          <w:lang w:val="en-US" w:eastAsia="zh-CN"/>
        </w:rPr>
        <w:t xml:space="preserve">771</w:t>
      </w:r>
      <w:r>
        <w:rPr>
          <w:rFonts w:hint="eastAsia" w:ascii="宋体" w:hAnsi="宋体" w:eastAsia="宋体" w:cs="宋体"/>
          <w:color w:val="000000"/>
          <w:sz w:val="24"/>
          <w:szCs w:val="24"/>
          <w:highlight w:val="none"/>
          <w:u w:val="single"/>
        </w:rPr>
        <w:t xml:space="preserve"> 、0517-87088135 　　　　　</w:t>
      </w:r>
      <w:bookmarkStart w:id="40" w:name="_Toc28359086"/>
      <w:r/>
      <w:bookmarkStart w:id="41" w:name="_Toc28359009"/>
      <w:r/>
      <w:r/>
    </w:p>
    <w:p>
      <w:pPr>
        <w:ind w:firstLine="480"/>
        <w:jc w:val="left"/>
        <w:keepLines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2.江苏省政府采购中心信息</w:t>
      </w:r>
      <w:bookmarkEnd w:id="40"/>
      <w:r/>
      <w:bookmarkEnd w:id="41"/>
      <w:r/>
      <w:r/>
    </w:p>
    <w:p>
      <w:pPr>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p>
    <w:p>
      <w:pPr>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bookmarkEnd w:id="42"/>
      <w:r/>
      <w:bookmarkEnd w:id="43"/>
      <w:r/>
      <w:r/>
    </w:p>
    <w:p>
      <w:pPr>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八、其他</w:t>
      </w:r>
      <w:r/>
    </w:p>
    <w:p>
      <w:pPr>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的CA数字证书、电子签章已更换为江苏省电子政务证书认证中心CA和方正国际软件（北京）有限公司电子签章。具体办理指南和操作手册见链接：</w:t>
      </w:r>
      <w:r/>
    </w:p>
    <w:p>
      <w:pPr>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color w:val="000000"/>
          <w:sz w:val="24"/>
          <w:szCs w:val="24"/>
          <w:lang w:eastAsia="zh-CN"/>
        </w:rPr>
        <w:t xml:space="preserve">http://www.ccgp-jiangsu.gov.cn/jiangsu/zlxz/ee/ee3a4bc5a3454aa2b0d9312230633ce9.html。</w:t>
      </w:r>
      <w:r/>
    </w:p>
    <w:p>
      <w:pPr>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2.有关本次招标的事项若存在变动或修改，敬请及时关注江苏省政府采购中心在“江苏政府采购网”发布的更正公告。</w:t>
      </w:r>
      <w:r/>
    </w:p>
    <w:p>
      <w:pPr>
        <w:ind w:firstLine="48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firstLine="2420"/>
        <w:keepLines/>
        <w:keepNext/>
        <w:spacing w:before="260" w:after="260" w:line="416" w:lineRule="auto"/>
        <w:rPr>
          <w:rFonts w:hint="eastAsia" w:ascii="黑体" w:hAnsi="Arial" w:eastAsia="黑体" w:cs="Arial"/>
          <w:b/>
          <w:bCs/>
          <w:color w:val="000000"/>
          <w:sz w:val="44"/>
          <w:szCs w:val="44"/>
        </w:rPr>
        <w:outlineLvl w:val="1"/>
      </w:pPr>
      <w:r/>
      <w:bookmarkStart w:id="44"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9" w:name="_Toc120614214"/>
      <w:r/>
      <w:bookmarkStart w:id="50" w:name="_Toc513029203"/>
      <w:r/>
      <w:bookmarkStart w:id="51" w:name="_Toc16938519"/>
      <w:r/>
      <w:bookmarkStart w:id="52" w:name="_Toc20823275"/>
      <w:r/>
      <w:bookmarkStart w:id="53" w:name="_Toc513029234"/>
      <w:r/>
      <w:bookmarkStart w:id="54" w:name="_Toc16938550"/>
      <w:r/>
      <w:bookmarkStart w:id="55" w:name="_Toc20823306"/>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6" w:name="_Hlt16619475"/>
      <w:r/>
      <w:bookmarkEnd w:id="56"/>
      <w:r/>
      <w:bookmarkStart w:id="57" w:name="_Toc458694821"/>
      <w:r/>
      <w:bookmarkStart w:id="58" w:name="_Toc20823276"/>
      <w:r/>
      <w:bookmarkStart w:id="59" w:name="_Toc16938520"/>
      <w:r/>
      <w:bookmarkStart w:id="60" w:name="_Toc513029204"/>
      <w:r>
        <w:rPr>
          <w:rFonts w:hint="eastAsia" w:ascii="Arial" w:hAnsi="Arial" w:eastAsia="黑体" w:cs="Arial"/>
          <w:color w:val="000000"/>
          <w:sz w:val="28"/>
          <w:szCs w:val="28"/>
        </w:rPr>
        <w:t xml:space="preserve">1</w:t>
      </w:r>
      <w:bookmarkEnd w:id="57"/>
      <w:r>
        <w:rPr>
          <w:rFonts w:hint="eastAsia" w:ascii="Arial" w:hAnsi="Arial" w:eastAsia="黑体" w:cs="Arial"/>
          <w:color w:val="000000"/>
          <w:sz w:val="28"/>
          <w:szCs w:val="28"/>
        </w:rPr>
        <w:t xml:space="preserve">、招标方式</w:t>
      </w:r>
      <w:bookmarkEnd w:id="58"/>
      <w:r/>
      <w:bookmarkEnd w:id="59"/>
      <w:r/>
      <w:bookmarkEnd w:id="60"/>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61" w:name="_Toc20823277"/>
      <w:r/>
      <w:bookmarkStart w:id="62" w:name="_Toc513029205"/>
      <w:r/>
      <w:bookmarkStart w:id="63" w:name="_Toc16938521"/>
      <w:r>
        <w:rPr>
          <w:rFonts w:hint="eastAsia" w:ascii="Arial" w:hAnsi="Arial" w:eastAsia="黑体" w:cs="Arial"/>
          <w:color w:val="000000"/>
          <w:sz w:val="28"/>
          <w:szCs w:val="28"/>
        </w:rPr>
        <w:t xml:space="preserve">2、合格的投标人</w:t>
      </w:r>
      <w:bookmarkEnd w:id="61"/>
      <w:r/>
      <w:bookmarkEnd w:id="62"/>
      <w:r/>
      <w:bookmarkEnd w:id="63"/>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lang w:eastAsia="zh-CN"/>
        </w:rPr>
        <w:outlineLvl w:val="3"/>
      </w:pPr>
      <w:r/>
      <w:bookmarkStart w:id="64" w:name="_Toc16938522"/>
      <w:r/>
      <w:bookmarkStart w:id="65" w:name="_Toc513029206"/>
      <w:r/>
      <w:bookmarkStart w:id="66" w:name="_Toc20823278"/>
      <w:r>
        <w:rPr>
          <w:rFonts w:hint="eastAsia" w:ascii="Arial" w:hAnsi="Arial" w:eastAsia="黑体" w:cs="Arial"/>
          <w:color w:val="000000"/>
          <w:sz w:val="28"/>
          <w:szCs w:val="28"/>
        </w:rPr>
        <w:t xml:space="preserve">3、适用法律</w:t>
      </w:r>
      <w:bookmarkEnd w:id="64"/>
      <w:r/>
      <w:bookmarkEnd w:id="65"/>
      <w:r/>
      <w:bookmarkEnd w:id="66"/>
      <w:r>
        <w:rPr>
          <w:rFonts w:hint="eastAsia" w:ascii="Arial" w:hAnsi="Arial" w:eastAsia="黑体" w:cs="Arial"/>
          <w:color w:val="000000"/>
          <w:sz w:val="28"/>
          <w:szCs w:val="28"/>
          <w:lang w:eastAsia="zh-CN"/>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7" w:name="_Toc462564067"/>
      <w:r/>
      <w:bookmarkStart w:id="68" w:name="_Toc16938523"/>
      <w:r/>
      <w:bookmarkStart w:id="69" w:name="_Toc20823279"/>
      <w:r/>
      <w:bookmarkStart w:id="70" w:name="_Toc513029207"/>
      <w:r>
        <w:rPr>
          <w:rFonts w:hint="eastAsia" w:ascii="Arial" w:hAnsi="Arial" w:eastAsia="黑体" w:cs="Arial"/>
          <w:color w:val="000000"/>
          <w:sz w:val="28"/>
          <w:szCs w:val="28"/>
        </w:rPr>
        <w:t xml:space="preserve">4、投标费用</w:t>
      </w:r>
      <w:bookmarkEnd w:id="67"/>
      <w:r/>
      <w:bookmarkEnd w:id="68"/>
      <w:r/>
      <w:bookmarkEnd w:id="69"/>
      <w:r/>
      <w:bookmarkEnd w:id="70"/>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71" w:name="_Toc16938525"/>
      <w:r/>
      <w:bookmarkStart w:id="72" w:name="_Toc513029209"/>
      <w:r/>
      <w:bookmarkStart w:id="73" w:name="_Toc20823281"/>
      <w:r/>
      <w:bookmarkStart w:id="74" w:name="_Toc120614215"/>
      <w:r>
        <w:rPr>
          <w:rFonts w:hint="eastAsia" w:ascii="Times New Roman" w:hAnsi="Times New Roman"/>
          <w:b/>
          <w:bCs/>
          <w:color w:val="000000"/>
          <w:sz w:val="32"/>
          <w:szCs w:val="32"/>
        </w:rPr>
        <w:t xml:space="preserve">二、招标文件</w:t>
      </w:r>
      <w:bookmarkEnd w:id="71"/>
      <w:r/>
      <w:bookmarkEnd w:id="72"/>
      <w:r/>
      <w:bookmarkEnd w:id="73"/>
      <w:r/>
      <w:bookmarkEnd w:id="74"/>
      <w:r/>
      <w:r/>
    </w:p>
    <w:p>
      <w:pPr>
        <w:ind w:firstLine="420"/>
        <w:keepLines/>
        <w:keepNext/>
        <w:spacing w:line="400" w:lineRule="exact"/>
        <w:rPr>
          <w:rFonts w:hint="eastAsia" w:ascii="Arial" w:hAnsi="Arial" w:eastAsia="黑体" w:cs="Arial"/>
          <w:color w:val="000000"/>
          <w:sz w:val="28"/>
          <w:szCs w:val="28"/>
        </w:rPr>
        <w:outlineLvl w:val="3"/>
      </w:pPr>
      <w:r/>
      <w:bookmarkStart w:id="75" w:name="_Toc20823282"/>
      <w:r/>
      <w:bookmarkStart w:id="76" w:name="_Toc513029210"/>
      <w:r/>
      <w:bookmarkStart w:id="77" w:name="_Toc16938526"/>
      <w:r>
        <w:rPr>
          <w:rFonts w:hint="eastAsia" w:ascii="Arial" w:hAnsi="Arial" w:eastAsia="黑体" w:cs="Arial"/>
          <w:color w:val="000000"/>
          <w:sz w:val="28"/>
          <w:szCs w:val="28"/>
        </w:rPr>
        <w:t xml:space="preserve">6、招标文件构成</w:t>
      </w:r>
      <w:bookmarkEnd w:id="75"/>
      <w:r/>
      <w:bookmarkEnd w:id="76"/>
      <w:r/>
      <w:bookmarkEnd w:id="77"/>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8" w:name="_Toc462564071"/>
      <w:r/>
      <w:bookmarkStart w:id="79" w:name="_Toc513029212"/>
      <w:r/>
      <w:bookmarkStart w:id="80" w:name="_Toc20823284"/>
      <w:r/>
      <w:bookmarkStart w:id="81"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8"/>
      <w:r/>
      <w:bookmarkEnd w:id="79"/>
      <w:r/>
      <w:bookmarkEnd w:id="80"/>
      <w:r/>
      <w:bookmarkEnd w:id="81"/>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82" w:name="_Toc120614216"/>
      <w:r/>
      <w:bookmarkStart w:id="83" w:name="_Toc20823285"/>
      <w:r/>
      <w:bookmarkStart w:id="84" w:name="_Toc16938529"/>
      <w:r/>
      <w:bookmarkStart w:id="85" w:name="_Toc513029213"/>
      <w:r/>
      <w:bookmarkStart w:id="86" w:name="_Toc462564072"/>
      <w:r>
        <w:rPr>
          <w:rFonts w:hint="eastAsia" w:ascii="Times New Roman" w:hAnsi="Times New Roman"/>
          <w:b/>
          <w:bCs/>
          <w:color w:val="000000"/>
          <w:sz w:val="32"/>
          <w:szCs w:val="32"/>
        </w:rPr>
        <w:t xml:space="preserve">三、投标文件的编制</w:t>
      </w:r>
      <w:bookmarkEnd w:id="82"/>
      <w:r/>
      <w:bookmarkEnd w:id="83"/>
      <w:r/>
      <w:bookmarkEnd w:id="84"/>
      <w:r/>
      <w:bookmarkEnd w:id="85"/>
      <w:r/>
      <w:bookmarkEnd w:id="86"/>
      <w:r/>
      <w:r/>
    </w:p>
    <w:p>
      <w:pPr>
        <w:ind w:firstLine="560"/>
        <w:keepLines/>
        <w:keepNext/>
        <w:spacing w:line="400" w:lineRule="exact"/>
        <w:rPr>
          <w:rFonts w:hint="eastAsia" w:ascii="Arial" w:hAnsi="Arial" w:eastAsia="黑体" w:cs="Arial"/>
          <w:b/>
          <w:color w:val="000000"/>
          <w:sz w:val="28"/>
          <w:szCs w:val="28"/>
        </w:rPr>
        <w:outlineLvl w:val="3"/>
      </w:pPr>
      <w:r/>
      <w:bookmarkStart w:id="87" w:name="_Toc513029214"/>
      <w:r/>
      <w:bookmarkStart w:id="88" w:name="_Toc20823286"/>
      <w:r/>
      <w:bookmarkStart w:id="89" w:name="_Toc462564073"/>
      <w:r/>
      <w:bookmarkStart w:id="90"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7"/>
      <w:r/>
      <w:bookmarkEnd w:id="88"/>
      <w:r/>
      <w:bookmarkEnd w:id="89"/>
      <w:r/>
      <w:bookmarkEnd w:id="90"/>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91" w:name="_Toc16938531"/>
      <w:r/>
      <w:bookmarkStart w:id="92" w:name="_Toc462564074"/>
      <w:r/>
      <w:bookmarkStart w:id="93" w:name="_Toc20823287"/>
      <w:r/>
      <w:bookmarkStart w:id="94"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1"/>
      <w:r/>
      <w:bookmarkEnd w:id="92"/>
      <w:r/>
      <w:bookmarkEnd w:id="93"/>
      <w:r/>
      <w:bookmarkEnd w:id="94"/>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5" w:name="_Hlt26954838"/>
      <w:r/>
      <w:bookmarkEnd w:id="95"/>
      <w:r/>
      <w:bookmarkStart w:id="96" w:name="_Hlt26670360"/>
      <w:r/>
      <w:bookmarkEnd w:id="96"/>
      <w:r/>
      <w:bookmarkStart w:id="97" w:name="_Hlt26668975"/>
      <w:r/>
      <w:bookmarkEnd w:id="97"/>
      <w:r/>
      <w:bookmarkStart w:id="98" w:name="_Toc513029219"/>
      <w:r/>
      <w:bookmarkStart w:id="99" w:name="_Toc14577357"/>
      <w:r/>
      <w:bookmarkStart w:id="100" w:name="_Toc49090509"/>
      <w:r/>
      <w:bookmarkStart w:id="101" w:name="_Toc513029216"/>
      <w:r/>
      <w:bookmarkStart w:id="102" w:name="_Toc49090507"/>
      <w:r/>
      <w:bookmarkStart w:id="103" w:name="_Toc14577354"/>
      <w:r/>
      <w:bookmarkStart w:id="104" w:name="_Toc14577355"/>
      <w:r/>
      <w:bookmarkStart w:id="105"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8"/>
      <w:r/>
      <w:bookmarkEnd w:id="99"/>
      <w:r/>
      <w:bookmarkEnd w:id="100"/>
      <w:r/>
      <w:bookmarkEnd w:id="101"/>
      <w:r/>
      <w:bookmarkEnd w:id="102"/>
      <w:r/>
      <w:bookmarkEnd w:id="103"/>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4"/>
      <w:r/>
      <w:bookmarkEnd w:id="105"/>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6" w:name="_Hlt26954840"/>
      <w:r/>
      <w:bookmarkEnd w:id="106"/>
      <w:r>
        <w:rPr>
          <w:rFonts w:hint="eastAsia" w:ascii="宋体" w:hAnsi="宋体"/>
          <w:sz w:val="24"/>
          <w:szCs w:val="21"/>
        </w:rPr>
        <w:t xml:space="preserve">标人按照招标文件规定格式填报投标分项报价表</w:t>
      </w:r>
      <w:bookmarkStart w:id="107" w:name="_Hlt26670399"/>
      <w:r/>
      <w:bookmarkEnd w:id="107"/>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8" w:name="_Hlt26670486"/>
      <w:r/>
      <w:bookmarkEnd w:id="108"/>
      <w:r/>
      <w:bookmarkStart w:id="109" w:name="_Hlt26670482"/>
      <w:r/>
      <w:bookmarkEnd w:id="109"/>
      <w:r/>
      <w:bookmarkStart w:id="110" w:name="_Hlt26954846"/>
      <w:r/>
      <w:bookmarkEnd w:id="110"/>
      <w:r/>
      <w:bookmarkStart w:id="111" w:name="_Hlt26954848"/>
      <w:r/>
      <w:bookmarkEnd w:id="111"/>
      <w:r/>
      <w:bookmarkStart w:id="112" w:name="_Hlt26954731"/>
      <w:r/>
      <w:bookmarkEnd w:id="11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3" w:name="_Toc14577359"/>
      <w:r/>
      <w:bookmarkStart w:id="114"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3"/>
      <w:r/>
      <w:bookmarkEnd w:id="114"/>
      <w:r/>
      <w:r/>
    </w:p>
    <w:p>
      <w:pPr>
        <w:ind w:firstLine="420"/>
        <w:keepLines/>
        <w:keepNext/>
        <w:spacing w:line="400" w:lineRule="exact"/>
        <w:rPr>
          <w:rFonts w:hint="eastAsia" w:ascii="Arial" w:hAnsi="Arial" w:eastAsia="黑体" w:cs="Arial"/>
          <w:color w:val="000000"/>
          <w:sz w:val="28"/>
          <w:szCs w:val="28"/>
        </w:rPr>
        <w:outlineLvl w:val="3"/>
      </w:pPr>
      <w:r/>
      <w:bookmarkStart w:id="115" w:name="_Toc14577360"/>
      <w:r/>
      <w:bookmarkStart w:id="116"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5"/>
      <w:r/>
      <w:bookmarkEnd w:id="116"/>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7" w:name="_Hlt26954852"/>
      <w:r/>
      <w:bookmarkEnd w:id="117"/>
      <w:r/>
      <w:bookmarkStart w:id="118" w:name="_Hlt26954739"/>
      <w:r/>
      <w:bookmarkEnd w:id="118"/>
      <w:r/>
      <w:bookmarkStart w:id="119" w:name="_Toc513029224"/>
      <w:r/>
      <w:bookmarkStart w:id="120" w:name="_Toc120614217"/>
      <w:r/>
      <w:bookmarkStart w:id="121" w:name="_Toc16938540"/>
      <w:r/>
      <w:bookmarkStart w:id="122" w:name="_Toc20823296"/>
      <w:r>
        <w:rPr>
          <w:rFonts w:hint="eastAsia" w:ascii="Times New Roman" w:hAnsi="Times New Roman"/>
          <w:b/>
          <w:bCs/>
          <w:color w:val="000000"/>
          <w:sz w:val="32"/>
          <w:szCs w:val="32"/>
        </w:rPr>
        <w:t xml:space="preserve">四、投标文件的递交</w:t>
      </w:r>
      <w:bookmarkEnd w:id="119"/>
      <w:r/>
      <w:bookmarkEnd w:id="120"/>
      <w:r/>
      <w:bookmarkEnd w:id="121"/>
      <w:r/>
      <w:bookmarkEnd w:id="122"/>
      <w:r/>
      <w:r/>
    </w:p>
    <w:p>
      <w:pPr>
        <w:ind w:firstLine="420"/>
        <w:keepLines/>
        <w:keepNext/>
        <w:spacing w:line="400" w:lineRule="exact"/>
        <w:rPr>
          <w:rFonts w:hint="eastAsia" w:ascii="黑体" w:hAnsi="Arial" w:eastAsia="黑体" w:cs="Arial"/>
          <w:color w:val="000000"/>
          <w:sz w:val="28"/>
          <w:szCs w:val="28"/>
        </w:rPr>
        <w:outlineLvl w:val="3"/>
      </w:pPr>
      <w:r/>
      <w:bookmarkStart w:id="123" w:name="_Toc16938541"/>
      <w:r/>
      <w:bookmarkStart w:id="124" w:name="_Toc513029225"/>
      <w:r/>
      <w:bookmarkStart w:id="125" w:name="_Toc462564084"/>
      <w:r/>
      <w:bookmarkStart w:id="126"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3"/>
      <w:r/>
      <w:bookmarkEnd w:id="124"/>
      <w:r/>
      <w:bookmarkEnd w:id="125"/>
      <w:r/>
      <w:bookmarkEnd w:id="126"/>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7" w:name="_Toc513029226"/>
      <w:r/>
      <w:bookmarkStart w:id="128" w:name="_Toc20823298"/>
      <w:r/>
      <w:bookmarkStart w:id="129" w:name="_Toc16938542"/>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7"/>
      <w:r/>
      <w:bookmarkEnd w:id="128"/>
      <w:r/>
      <w:bookmarkEnd w:id="129"/>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30" w:name="_Toc16938543"/>
      <w:r/>
      <w:bookmarkStart w:id="131" w:name="_Toc513029227"/>
      <w:r/>
      <w:bookmarkStart w:id="132"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0"/>
      <w:r/>
      <w:bookmarkEnd w:id="131"/>
      <w:r/>
      <w:bookmarkEnd w:id="132"/>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3" w:name="_Toc513029228"/>
      <w:r/>
      <w:bookmarkStart w:id="134" w:name="_Toc16938544"/>
      <w:r/>
      <w:bookmarkStart w:id="135"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3"/>
      <w:r/>
      <w:bookmarkEnd w:id="134"/>
      <w:r/>
      <w:bookmarkEnd w:id="135"/>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6" w:name="_Toc120614218"/>
      <w:r/>
      <w:bookmarkStart w:id="137" w:name="_Toc16938545"/>
      <w:r/>
      <w:bookmarkStart w:id="138" w:name="_Toc20823301"/>
      <w:r/>
      <w:bookmarkStart w:id="139" w:name="_Toc513029229"/>
      <w:r>
        <w:rPr>
          <w:rFonts w:hint="eastAsia" w:ascii="Times New Roman" w:hAnsi="Times New Roman"/>
          <w:b/>
          <w:bCs/>
          <w:color w:val="000000"/>
          <w:sz w:val="32"/>
          <w:szCs w:val="32"/>
        </w:rPr>
        <w:t xml:space="preserve">五、开标与评标</w:t>
      </w:r>
      <w:bookmarkEnd w:id="136"/>
      <w:r/>
      <w:bookmarkEnd w:id="137"/>
      <w:r/>
      <w:bookmarkEnd w:id="138"/>
      <w:r/>
      <w:bookmarkEnd w:id="139"/>
      <w:r/>
      <w:r/>
    </w:p>
    <w:p>
      <w:pPr>
        <w:ind w:firstLine="420"/>
        <w:keepLines/>
        <w:keepNext/>
        <w:spacing w:line="400" w:lineRule="exact"/>
        <w:rPr>
          <w:rFonts w:hint="eastAsia" w:ascii="Arial" w:hAnsi="Arial" w:eastAsia="黑体" w:cs="Arial"/>
          <w:color w:val="000000"/>
          <w:sz w:val="28"/>
          <w:szCs w:val="28"/>
        </w:rPr>
        <w:outlineLvl w:val="3"/>
      </w:pPr>
      <w:r/>
      <w:bookmarkStart w:id="140" w:name="_Toc513029230"/>
      <w:r/>
      <w:bookmarkStart w:id="141" w:name="_Toc20823302"/>
      <w:r/>
      <w:bookmarkStart w:id="142"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0"/>
      <w:r/>
      <w:bookmarkEnd w:id="141"/>
      <w:r/>
      <w:bookmarkEnd w:id="142"/>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3" w:name="_Toc513029231"/>
      <w:r/>
      <w:bookmarkStart w:id="144" w:name="_Toc16938547"/>
      <w:r/>
      <w:bookmarkStart w:id="145"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3"/>
      <w:r/>
      <w:bookmarkEnd w:id="144"/>
      <w:r/>
      <w:bookmarkEnd w:id="145"/>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6" w:name="_Toc20823304"/>
      <w:r/>
      <w:bookmarkStart w:id="147" w:name="_Toc513029232"/>
      <w:r/>
      <w:bookmarkStart w:id="148"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6"/>
      <w:r/>
      <w:bookmarkEnd w:id="147"/>
      <w:r/>
      <w:bookmarkEnd w:id="148"/>
      <w:r/>
      <w:r/>
    </w:p>
    <w:p>
      <w:pPr>
        <w:ind w:firstLine="480"/>
        <w:spacing w:line="400" w:lineRule="exact"/>
        <w:rPr>
          <w:rFonts w:ascii="宋体" w:hAnsi="宋体"/>
          <w:color w:val="000000"/>
          <w:sz w:val="24"/>
          <w:szCs w:val="24"/>
        </w:rPr>
      </w:pPr>
      <w:r/>
      <w:bookmarkStart w:id="149" w:name="_Toc16938549"/>
      <w:r/>
      <w:bookmarkStart w:id="150" w:name="_Toc20823305"/>
      <w:r/>
      <w:bookmarkStart w:id="151"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9"/>
      <w:r/>
      <w:bookmarkEnd w:id="150"/>
      <w:r/>
      <w:bookmarkEnd w:id="151"/>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方正仿宋_GBK" w:hAnsi="方正仿宋_GBK" w:eastAsia="方正仿宋_GBK" w:cs="方正仿宋_GBK"/>
          <w:bCs/>
          <w:sz w:val="32"/>
          <w:szCs w:val="32"/>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25.8 异常低价投标审查</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25.8.1 评标过程中出现下列情形之一的，评标委员会应当启动异常低价投标审查程序：</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（1）投标报价低于全部通过符合性审查供应商投标报价平均值50%的，即投标报价&lt;全部通过符合性审查供应商投标报价平均值×50%；</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（2）投标报价低于通过符合性审查的次低报价供应商投标报价50%的，即投标报价&lt;通过符合性审查的次低报价供应商投标报价×50%；</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）投标报价低于采购项目最高限价45%的，即投标报价&lt;采购项目最高限价×45%；</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评标</w:t>
      </w:r>
      <w:r>
        <w:rPr>
          <w:rFonts w:hint="eastAsia" w:ascii="宋体" w:hAnsi="宋体" w:eastAsia="宋体" w:cs="宋体"/>
          <w:bCs/>
          <w:sz w:val="24"/>
          <w:szCs w:val="24"/>
          <w:highlight w:val="none"/>
        </w:rPr>
        <w:t xml:space="preserve">委员会基于专业判断，认为供应商报价过低，有可能影响产品质量或者不能诚信履约的其他情形。</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25.8.2 </w:t>
      </w:r>
      <w:r>
        <w:rPr>
          <w:rFonts w:hint="eastAsia" w:ascii="宋体" w:hAnsi="宋体" w:eastAsia="宋体" w:cs="宋体"/>
          <w:bCs/>
          <w:sz w:val="24"/>
          <w:szCs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w:t>
      </w:r>
      <w:bookmarkEnd w:id="53"/>
      <w:r/>
      <w:bookmarkEnd w:id="54"/>
      <w:r/>
      <w:bookmarkEnd w:id="55"/>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无效投标条款和废标条款</w:t>
      </w:r>
      <w:bookmarkStart w:id="152" w:name="_Toc513029235"/>
      <w:r/>
      <w:bookmarkStart w:id="153" w:name="_Toc20823307"/>
      <w:r/>
      <w:bookmarkStart w:id="154" w:name="_Toc16938551"/>
      <w:r/>
      <w:r/>
    </w:p>
    <w:p>
      <w:pPr>
        <w:ind w:firstLine="480"/>
        <w:keepLines/>
        <w:keepNext/>
        <w:pageBreakBefore w:val="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26.1无效投标条款</w:t>
      </w:r>
      <w:r/>
    </w:p>
    <w:p>
      <w:pPr>
        <w:ind w:firstLine="48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firstLine="480"/>
        <w:pageBreakBefore w:val="0"/>
        <w:spacing w:line="400" w:lineRule="exact"/>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号条款为实质性要求）</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 “信用中国”网站（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26.1.10 评标委员会按照本招标文件规定对投标人进行异常低价投标审查后，认为投标人不能证明其报价合理性的。</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.1.12 投标文件未按照招标文件要求加盖CA电子公章的。</w:t>
      </w:r>
      <w:r/>
    </w:p>
    <w:p>
      <w:pPr>
        <w:ind w:firstLine="48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26.1.13 投标人所投标产品不符合招标文件中所列国家强制性标准的。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其他法律、法规及本招标文件规定的属无效投标的情形。</w:t>
      </w:r>
      <w:r/>
    </w:p>
    <w:p>
      <w:pPr>
        <w:ind w:firstLine="480"/>
        <w:pageBreakBefore w:val="0"/>
        <w:spacing w:line="40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.2废标条款</w:t>
      </w:r>
      <w:r>
        <w:rPr>
          <w:rFonts w:hint="eastAsia" w:ascii="宋体" w:hAnsi="宋体" w:eastAsia="宋体" w:cs="宋体"/>
          <w:bCs/>
          <w:color w:val="000000"/>
          <w:sz w:val="24"/>
          <w:szCs w:val="24"/>
          <w:lang w:val="en-US" w:eastAsia="zh-CN"/>
        </w:rPr>
        <w:t xml:space="preserve"> </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.2.1符合专业条件的供应商或者对招标文件作实质响应的供应商不足三家的。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firstLine="48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w:t>
      </w:r>
      <w:r>
        <w:rPr>
          <w:rFonts w:hint="eastAsia" w:ascii="宋体" w:hAnsi="宋体" w:eastAsia="宋体" w:cs="宋体"/>
          <w:bCs/>
          <w:sz w:val="24"/>
          <w:szCs w:val="24"/>
          <w:lang w:val="en-US" w:eastAsia="zh-CN"/>
        </w:rPr>
        <w:t xml:space="preserve">  </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bookmarkEnd w:id="152"/>
      <w:r/>
      <w:bookmarkEnd w:id="153"/>
      <w:r/>
      <w:bookmarkEnd w:id="154"/>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六、定标</w:t>
      </w:r>
      <w:bookmarkEnd w:id="155"/>
      <w:r/>
      <w:r/>
    </w:p>
    <w:p>
      <w:pPr>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highlight w:val="none"/>
        </w:rPr>
        <w:t xml:space="preserve">及采购中心</w:t>
      </w:r>
      <w:r>
        <w:rPr>
          <w:rFonts w:hint="eastAsia" w:ascii="宋体" w:hAnsi="宋体"/>
          <w:sz w:val="24"/>
          <w:szCs w:val="24"/>
        </w:rPr>
        <w:t xml:space="preserve">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方正仿宋_GBK" w:hAnsi="方正仿宋_GBK" w:eastAsia="方正仿宋_GBK" w:cs="方正仿宋_GBK"/>
          <w:b w:val="0"/>
          <w:bCs/>
          <w:sz w:val="32"/>
          <w:szCs w:val="32"/>
          <w:highlight w:val="yellow"/>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p>
    <w:p>
      <w:pPr>
        <w:ind w:firstLine="480"/>
        <w:spacing w:line="400" w:lineRule="exact"/>
        <w:rPr>
          <w:rFonts w:hint="eastAsia" w:ascii="宋体" w:hAnsi="宋体"/>
          <w:color w:val="000000"/>
          <w:sz w:val="24"/>
          <w:szCs w:val="24"/>
        </w:rPr>
      </w:pPr>
      <w:r/>
      <w:bookmarkStart w:id="160" w:name="_Toc479757207"/>
      <w:r/>
      <w:bookmarkStart w:id="161" w:name="_Toc513029242"/>
      <w:r/>
      <w:bookmarkStart w:id="162" w:name="_Toc16938558"/>
      <w:r/>
      <w:bookmarkStart w:id="163" w:name="_Toc120614221"/>
      <w:r/>
      <w:bookmarkStart w:id="164" w:name="_Toc20823314"/>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65" w:name="_Toc120614220"/>
      <w:r/>
      <w:bookmarkStart w:id="166" w:name="_Toc513029236"/>
      <w:r/>
      <w:bookmarkStart w:id="167" w:name="_Toc20823308"/>
      <w:r/>
      <w:bookmarkStart w:id="168" w:name="_Toc16938552"/>
      <w:r>
        <w:rPr>
          <w:rFonts w:hint="eastAsia" w:ascii="Times New Roman" w:hAnsi="Times New Roman"/>
          <w:b/>
          <w:bCs/>
          <w:color w:val="000000"/>
          <w:sz w:val="32"/>
          <w:szCs w:val="32"/>
        </w:rPr>
        <w:t xml:space="preserve">七、授予合同</w:t>
      </w:r>
      <w:bookmarkEnd w:id="165"/>
      <w:r/>
      <w:bookmarkEnd w:id="166"/>
      <w:r/>
      <w:bookmarkEnd w:id="167"/>
      <w:r/>
      <w:bookmarkEnd w:id="168"/>
      <w:r/>
      <w:r/>
    </w:p>
    <w:p>
      <w:pPr>
        <w:ind w:firstLine="600"/>
        <w:keepLines/>
        <w:keepNext/>
        <w:spacing w:line="400" w:lineRule="exact"/>
        <w:rPr>
          <w:rFonts w:hint="eastAsia" w:ascii="黑体" w:hAnsi="宋体" w:eastAsia="黑体"/>
          <w:bCs/>
          <w:color w:val="000000"/>
          <w:sz w:val="30"/>
          <w:szCs w:val="30"/>
        </w:rPr>
        <w:outlineLvl w:val="3"/>
      </w:pPr>
      <w:r/>
      <w:bookmarkStart w:id="169" w:name="_Toc20823309"/>
      <w:r/>
      <w:bookmarkStart w:id="170" w:name="_Toc513029237"/>
      <w:r/>
      <w:bookmarkStart w:id="171"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9"/>
      <w:r/>
      <w:bookmarkEnd w:id="170"/>
      <w:r/>
      <w:bookmarkEnd w:id="171"/>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64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bookmarkEnd w:id="160"/>
      <w:r/>
      <w:bookmarkEnd w:id="161"/>
      <w:r/>
      <w:bookmarkEnd w:id="162"/>
      <w:r/>
      <w:bookmarkEnd w:id="163"/>
      <w:r/>
      <w:bookmarkEnd w:id="164"/>
      <w:r/>
      <w:r/>
    </w:p>
    <w:p>
      <w:pPr>
        <w:ind w:firstLine="2640"/>
        <w:jc w:val="left"/>
        <w:keepNext/>
        <w:rPr>
          <w:rFonts w:hint="eastAsia" w:ascii="黑体" w:hAnsi="Times New Roman" w:eastAsia="黑体"/>
          <w:bCs/>
          <w:color w:val="000000"/>
          <w:sz w:val="44"/>
          <w:szCs w:val="28"/>
        </w:rPr>
        <w:outlineLvl w:val="0"/>
      </w:pPr>
      <w:r/>
      <w:bookmarkStart w:id="172" w:name="_Toc16938590"/>
      <w:r/>
      <w:bookmarkStart w:id="173" w:name="_Toc20823346"/>
      <w:r/>
      <w:bookmarkStart w:id="174" w:name="_Hlt16619350"/>
      <w:r/>
      <w:bookmarkStart w:id="175" w:name="_Toc120614244"/>
      <w:r/>
      <w:bookmarkStart w:id="176" w:name="_Toc462564139"/>
      <w:r/>
      <w:bookmarkStart w:id="177" w:name="_Toc479757211"/>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第三章  合同文本</w:t>
      </w:r>
      <w:r/>
    </w:p>
    <w:p>
      <w:pPr>
        <w:spacing w:line="400" w:lineRule="exact"/>
        <w:rPr>
          <w:rFonts w:ascii="宋体" w:hAnsi="宋体"/>
          <w:bCs/>
          <w:color w:val="ff0000"/>
          <w:sz w:val="24"/>
          <w:szCs w:val="24"/>
          <w:highlight w:val="yellow"/>
        </w:rPr>
      </w:pPr>
      <w:r/>
      <w:bookmarkStart w:id="178" w:name="_Toc16938559"/>
      <w:r/>
      <w:bookmarkStart w:id="179" w:name="_Toc20823315"/>
      <w:r/>
      <w:bookmarkStart w:id="180" w:name="_Toc3995"/>
      <w:r/>
      <w:bookmarkStart w:id="181" w:name="_Toc513029243"/>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78"/>
      <w:r/>
      <w:bookmarkEnd w:id="179"/>
      <w:r/>
      <w:bookmarkEnd w:id="180"/>
      <w:r/>
      <w:bookmarkEnd w:id="181"/>
      <w:r/>
      <w:r/>
    </w:p>
    <w:p>
      <w:pPr>
        <w:pStyle w:val="96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6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6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6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30"/>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930"/>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8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
        </w:numPr>
        <w:ind w:firstLine="420"/>
        <w:spacing w:line="400" w:lineRule="exact"/>
        <w:rPr>
          <w:rFonts w:ascii="宋体" w:hAnsi="宋体"/>
          <w:b/>
          <w:szCs w:val="21"/>
        </w:rPr>
      </w:pPr>
      <w:r>
        <w:rPr>
          <w:rFonts w:hint="eastAsia" w:ascii="宋体" w:hAnsi="宋体"/>
          <w:b/>
          <w:szCs w:val="21"/>
        </w:rPr>
        <w:t xml:space="preserve">项目信息</w:t>
      </w:r>
      <w:r/>
    </w:p>
    <w:p>
      <w:pPr>
        <w:pStyle w:val="982"/>
        <w:numPr>
          <w:ilvl w:val="0"/>
          <w:numId w:val="5"/>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82"/>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p>
    <w:p>
      <w:pPr>
        <w:pStyle w:val="98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3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3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3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3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3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3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3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3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3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3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3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6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3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3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3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3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969"/>
        <w:rPr>
          <w:lang w:eastAsia="zh-CN"/>
        </w:rPr>
      </w:pPr>
      <w:r>
        <w:rPr>
          <w:lang w:eastAsia="zh-CN"/>
        </w:rPr>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2413" w:type="dxa"/>
            <w:vAlign w:val="center"/>
            <w:vMerge w:val="restart"/>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2118" w:type="dxa"/>
            <w:vAlign w:val="center"/>
            <w:textDirection w:val="lrTb"/>
            <w:noWrap w:val="false"/>
          </w:tcPr>
          <w:p>
            <w:pPr>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jc w:val="center"/>
              <w:spacing w:line="300" w:lineRule="exact"/>
              <w:rPr>
                <w:szCs w:val="21"/>
              </w:rPr>
            </w:pPr>
            <w:r>
              <w:rPr>
                <w:szCs w:val="21"/>
              </w:rPr>
            </w:r>
            <w:r/>
          </w:p>
        </w:tc>
        <w:tc>
          <w:tcPr>
            <w:tcW w:w="2413" w:type="dxa"/>
            <w:vAlign w:val="center"/>
            <w:vMerge w:val="continue"/>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rFonts w:hint="eastAsia"/>
                <w:szCs w:val="21"/>
              </w:rPr>
              <w:t xml:space="preserve">住  所</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rFonts w:hint="eastAsia"/>
                <w:szCs w:val="21"/>
              </w:rPr>
              <w:t xml:space="preserve">住  所</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t xml:space="preserve">联 系 人</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联 系 人</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t xml:space="preserve">联系电话</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联系电话</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t xml:space="preserve">邮政编码</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邮政编码</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开户名称</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开户银行</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jc w:val="center"/>
              <w:spacing w:line="300" w:lineRule="exact"/>
              <w:rPr>
                <w:szCs w:val="21"/>
              </w:rPr>
            </w:pPr>
            <w:r>
              <w:rPr>
                <w:szCs w:val="21"/>
              </w:rPr>
            </w:r>
            <w:r/>
          </w:p>
        </w:tc>
        <w:tc>
          <w:tcPr>
            <w:tcW w:w="2413" w:type="dxa"/>
            <w:vAlign w:val="center"/>
            <w:textDirection w:val="lrTb"/>
            <w:noWrap w:val="false"/>
          </w:tcPr>
          <w:p>
            <w:pPr>
              <w:jc w:val="center"/>
              <w:spacing w:line="300" w:lineRule="exact"/>
              <w:rPr>
                <w:szCs w:val="21"/>
              </w:rPr>
            </w:pPr>
            <w:r>
              <w:rPr>
                <w:szCs w:val="21"/>
              </w:rPr>
            </w:r>
            <w:r/>
          </w:p>
        </w:tc>
        <w:tc>
          <w:tcPr>
            <w:tcW w:w="1980" w:type="dxa"/>
            <w:vAlign w:val="center"/>
            <w:textDirection w:val="lrTb"/>
            <w:noWrap w:val="false"/>
          </w:tcPr>
          <w:p>
            <w:pPr>
              <w:jc w:val="center"/>
              <w:spacing w:line="300" w:lineRule="exact"/>
              <w:rPr>
                <w:szCs w:val="21"/>
              </w:rPr>
            </w:pPr>
            <w:r>
              <w:rPr>
                <w:szCs w:val="21"/>
              </w:rPr>
              <w:t xml:space="preserve">银行账号</w:t>
            </w:r>
            <w:r/>
          </w:p>
        </w:tc>
        <w:tc>
          <w:tcPr>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8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30"/>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7"/>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8"/>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3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4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3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9"/>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3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3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3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3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3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3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3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0"/>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56"/>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3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6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6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bookmarkEnd w:id="172"/>
      <w:r/>
      <w:bookmarkEnd w:id="173"/>
      <w:r/>
      <w:bookmarkEnd w:id="174"/>
      <w:r/>
      <w:bookmarkEnd w:id="175"/>
      <w:r/>
      <w:r/>
    </w:p>
    <w:p>
      <w:pPr>
        <w:jc w:val="center"/>
        <w:spacing w:before="120" w:after="120" w:line="0" w:lineRule="atLeast"/>
        <w:rPr>
          <w:rFonts w:hint="eastAsia" w:ascii="宋体" w:hAnsi="宋体" w:cs="Courier New"/>
          <w:color w:val="000000"/>
          <w:sz w:val="24"/>
          <w:szCs w:val="24"/>
        </w:rPr>
      </w:pPr>
      <w:r/>
      <w:bookmarkStart w:id="182" w:name="_Toc120614281"/>
      <w:r/>
      <w:bookmarkStart w:id="183" w:name="_Toc49090575"/>
      <w:r/>
      <w:bookmarkStart w:id="184" w:name="_Toc26554093"/>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第四章 采购需求</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488"/>
        <w:gridCol w:w="4154"/>
        <w:gridCol w:w="1342"/>
        <w:gridCol w:w="2552"/>
      </w:tblGrid>
      <w:tr>
        <w:trPr>
          <w:cantSplit/>
          <w:jc w:val="center"/>
        </w:trPr>
        <w:tc>
          <w:tcPr>
            <w:tcW w:w="488"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采购包</w:t>
            </w:r>
            <w:r/>
          </w:p>
        </w:tc>
        <w:tc>
          <w:tcPr>
            <w:tcW w:w="48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415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p>
        </w:tc>
        <w:tc>
          <w:tcPr>
            <w:tcW w:w="1342"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2552"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291"/>
        </w:trPr>
        <w:tc>
          <w:tcPr>
            <w:tcW w:w="488" w:type="dxa"/>
            <w:vAlign w:val="top"/>
            <w:vMerge w:val="restart"/>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1</w:t>
            </w:r>
            <w:r/>
          </w:p>
        </w:tc>
        <w:tc>
          <w:tcPr>
            <w:tcW w:w="48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4154" w:type="dxa"/>
            <w:vAlign w:val="center"/>
            <w:textDirection w:val="lrTb"/>
            <w:noWrap w:val="false"/>
          </w:tcPr>
          <w:p>
            <w:pPr>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lang w:val="en-US" w:eastAsia="zh-CN"/>
              </w:rPr>
              <w:t xml:space="preserve">国产算力服务器（8算力卡/模块）</w:t>
            </w:r>
            <w:r/>
          </w:p>
        </w:tc>
        <w:tc>
          <w:tcPr>
            <w:tcW w:w="1342" w:type="dxa"/>
            <w:vAlign w:val="center"/>
            <w:textDirection w:val="lrTb"/>
            <w:noWrap w:val="false"/>
          </w:tcPr>
          <w:p>
            <w:pPr>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lang w:val="en-US" w:eastAsia="zh-CN"/>
              </w:rPr>
              <w:t xml:space="preserve">2</w:t>
            </w:r>
            <w:r/>
          </w:p>
        </w:tc>
        <w:tc>
          <w:tcPr>
            <w:tcW w:w="2552" w:type="dxa"/>
            <w:vAlign w:val="top"/>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工业</w:t>
            </w:r>
            <w:r/>
          </w:p>
        </w:tc>
      </w:tr>
      <w:tr>
        <w:trPr>
          <w:cantSplit/>
          <w:jc w:val="center"/>
          <w:trHeight w:val="235"/>
        </w:trPr>
        <w:tc>
          <w:tcPr>
            <w:tcW w:w="488" w:type="dxa"/>
            <w:vAlign w:val="top"/>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48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4154" w:type="dxa"/>
            <w:vAlign w:val="center"/>
            <w:textDirection w:val="lrTb"/>
            <w:noWrap w:val="false"/>
          </w:tcPr>
          <w:p>
            <w:pPr>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lang w:val="en-US" w:eastAsia="zh-CN"/>
              </w:rPr>
              <w:t xml:space="preserve">AI组网交换机</w:t>
            </w:r>
            <w:r/>
          </w:p>
        </w:tc>
        <w:tc>
          <w:tcPr>
            <w:tcW w:w="1342" w:type="dxa"/>
            <w:vAlign w:val="center"/>
            <w:textDirection w:val="lrTb"/>
            <w:noWrap w:val="false"/>
          </w:tcPr>
          <w:p>
            <w:pPr>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rPr>
              <w:t xml:space="preserve">1</w:t>
            </w:r>
            <w:r/>
          </w:p>
        </w:tc>
        <w:tc>
          <w:tcPr>
            <w:tcW w:w="2552" w:type="dxa"/>
            <w:vAlign w:val="top"/>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工业</w:t>
            </w:r>
            <w:r/>
          </w:p>
        </w:tc>
      </w:tr>
      <w:tr>
        <w:trPr>
          <w:cantSplit/>
          <w:jc w:val="center"/>
          <w:trHeight w:val="222"/>
        </w:trPr>
        <w:tc>
          <w:tcPr>
            <w:tcW w:w="488" w:type="dxa"/>
            <w:vAlign w:val="top"/>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488" w:type="dxa"/>
            <w:vAlign w:val="top"/>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4154" w:type="dxa"/>
            <w:vAlign w:val="center"/>
            <w:textDirection w:val="lrTb"/>
            <w:noWrap w:val="false"/>
          </w:tcPr>
          <w:p>
            <w:pPr>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lang w:val="en-US" w:eastAsia="zh-CN"/>
              </w:rPr>
              <w:t xml:space="preserve">业务</w:t>
            </w:r>
            <w:r>
              <w:rPr>
                <w:rFonts w:hint="eastAsia" w:ascii="宋体" w:hAnsi="宋体" w:eastAsia="宋体" w:cs="宋体"/>
                <w:b w:val="0"/>
                <w:bCs w:val="0"/>
                <w:caps/>
                <w:color w:val="000000"/>
                <w:szCs w:val="21"/>
                <w:highlight w:val="none"/>
              </w:rPr>
              <w:t xml:space="preserve">交换机和辅材</w:t>
            </w:r>
            <w:r/>
          </w:p>
        </w:tc>
        <w:tc>
          <w:tcPr>
            <w:tcW w:w="1342" w:type="dxa"/>
            <w:vAlign w:val="center"/>
            <w:textDirection w:val="lrTb"/>
            <w:noWrap w:val="false"/>
          </w:tcPr>
          <w:p>
            <w:pPr>
              <w:jc w:val="center"/>
              <w:widowControl/>
              <w:rPr>
                <w:rFonts w:ascii="宋体" w:hAnsi="宋体"/>
                <w:b w:val="0"/>
                <w:bCs w:val="0"/>
                <w:sz w:val="24"/>
                <w:szCs w:val="24"/>
                <w:highlight w:val="none"/>
              </w:rPr>
            </w:pPr>
            <w:r>
              <w:rPr>
                <w:rFonts w:hint="eastAsia" w:ascii="宋体" w:hAnsi="宋体" w:eastAsia="宋体" w:cs="宋体"/>
                <w:b w:val="0"/>
                <w:bCs w:val="0"/>
                <w:caps/>
                <w:color w:val="000000"/>
                <w:szCs w:val="21"/>
                <w:highlight w:val="none"/>
                <w:lang w:val="en-US" w:eastAsia="zh-CN"/>
              </w:rPr>
              <w:t xml:space="preserve">1</w:t>
            </w:r>
            <w:r/>
          </w:p>
        </w:tc>
        <w:tc>
          <w:tcPr>
            <w:tcW w:w="2552" w:type="dxa"/>
            <w:vAlign w:val="top"/>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工业</w:t>
            </w:r>
            <w:r/>
          </w:p>
        </w:tc>
      </w:tr>
    </w:tbl>
    <w:p>
      <w:pPr>
        <w:spacing w:line="0" w:lineRule="atLeast"/>
        <w:rPr>
          <w:rFonts w:hint="eastAsia" w:ascii="宋体" w:hAnsi="宋体"/>
          <w:sz w:val="24"/>
          <w:szCs w:val="24"/>
          <w:highlight w:val="yellow"/>
        </w:rPr>
      </w:pPr>
      <w:r>
        <w:rPr>
          <w:rFonts w:hint="eastAsia" w:ascii="宋体" w:hAnsi="宋体"/>
          <w:sz w:val="24"/>
          <w:szCs w:val="24"/>
          <w:highlight w:val="yellow"/>
        </w:rPr>
      </w:r>
      <w:r/>
    </w:p>
    <w:p>
      <w:pPr>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p>
    <w:p>
      <w:pPr>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0" w:lineRule="atLeast"/>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p>
    <w:p>
      <w:pPr>
        <w:spacing w:line="0" w:lineRule="atLeast"/>
        <w:rPr>
          <w:rFonts w:hint="eastAsia" w:ascii="宋体" w:hAnsi="宋体"/>
          <w:i/>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7" w:type="dxa"/>
          <w:top w:w="42" w:type="dxa"/>
          <w:right w:w="108" w:type="dxa"/>
          <w:bottom w:w="0" w:type="dxa"/>
        </w:tblCellMar>
        <w:tblLook w:val="04A0" w:firstRow="1" w:lastRow="0" w:firstColumn="1" w:lastColumn="0" w:noHBand="0" w:noVBand="1"/>
      </w:tblPr>
      <w:tblGrid>
        <w:gridCol w:w="670"/>
        <w:gridCol w:w="1250"/>
        <w:gridCol w:w="6601"/>
      </w:tblGrid>
      <w:tr>
        <w:trPr>
          <w:jc w:val="center"/>
        </w:trPr>
        <w:tc>
          <w:tcPr>
            <w:tcW w:w="670" w:type="dxa"/>
            <w:vAlign w:val="center"/>
            <w:textDirection w:val="lrTb"/>
            <w:noWrap w:val="false"/>
          </w:tcPr>
          <w:p>
            <w:pPr>
              <w:rPr>
                <w:rFonts w:ascii="宋体" w:hAnsi="宋体" w:cs="宋体"/>
                <w:b/>
              </w:rPr>
            </w:pPr>
            <w:r>
              <w:rPr>
                <w:rFonts w:hint="eastAsia" w:ascii="宋体" w:hAnsi="宋体" w:cs="宋体"/>
                <w:b/>
              </w:rPr>
              <w:t xml:space="preserve">序号</w:t>
            </w:r>
            <w:r/>
          </w:p>
        </w:tc>
        <w:tc>
          <w:tcPr>
            <w:tcW w:w="1250" w:type="dxa"/>
            <w:vAlign w:val="center"/>
            <w:textDirection w:val="lrTb"/>
            <w:noWrap w:val="false"/>
          </w:tcPr>
          <w:p>
            <w:pPr>
              <w:rPr>
                <w:rFonts w:ascii="宋体" w:hAnsi="宋体" w:cs="宋体"/>
                <w:b/>
              </w:rPr>
            </w:pPr>
            <w:r>
              <w:rPr>
                <w:rFonts w:hint="eastAsia" w:ascii="宋体" w:hAnsi="宋体" w:cs="宋体"/>
                <w:b/>
              </w:rPr>
              <w:t xml:space="preserve">二级指标</w:t>
            </w:r>
            <w:r/>
          </w:p>
        </w:tc>
        <w:tc>
          <w:tcPr>
            <w:tcW w:w="6601" w:type="dxa"/>
            <w:vAlign w:val="center"/>
            <w:textDirection w:val="lrTb"/>
            <w:noWrap w:val="false"/>
          </w:tcPr>
          <w:p>
            <w:pPr>
              <w:rPr>
                <w:rFonts w:ascii="宋体" w:hAnsi="宋体" w:cs="宋体"/>
                <w:b/>
              </w:rPr>
            </w:pPr>
            <w:r>
              <w:rPr>
                <w:rFonts w:hint="eastAsia" w:ascii="宋体" w:hAnsi="宋体" w:cs="宋体"/>
                <w:b/>
              </w:rPr>
              <w:t xml:space="preserve">指标要求</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CPU信息</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lang w:val="en-US" w:eastAsia="zh-CN"/>
              </w:rPr>
              <w:t xml:space="preserve">每台服务器实配国产CPU，整机CPU物理核心总数≥96核，单颗CPU主频≥2.1GHz，支持2路或4路架构。</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主板支持的CPU 和内存情况</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主板需支持</w:t>
            </w:r>
            <w:r>
              <w:rPr>
                <w:rFonts w:hint="eastAsia" w:ascii="宋体" w:hAnsi="宋体" w:eastAsia="宋体" w:cs="方正仿宋_GBK"/>
                <w:i/>
                <w:iCs/>
                <w:color w:val="000000"/>
                <w:szCs w:val="21"/>
                <w:u w:val="single"/>
                <w:lang w:val="en-US" w:eastAsia="zh-CN"/>
              </w:rPr>
              <w:t xml:space="preserve">≥</w:t>
            </w:r>
            <w:r>
              <w:rPr>
                <w:rFonts w:hint="eastAsia" w:ascii="宋体" w:hAnsi="宋体" w:eastAsia="宋体" w:cs="方正仿宋_GBK"/>
                <w:i/>
                <w:iCs/>
                <w:color w:val="000000"/>
                <w:szCs w:val="21"/>
                <w:u w:val="single"/>
              </w:rPr>
              <w:t xml:space="preserve">2颗上述国产CPU，并支持DDR</w:t>
            </w:r>
            <w:r>
              <w:rPr>
                <w:rFonts w:hint="eastAsia" w:ascii="宋体" w:hAnsi="宋体" w:eastAsia="宋体" w:cs="方正仿宋_GBK"/>
                <w:i/>
                <w:iCs/>
                <w:color w:val="000000"/>
                <w:szCs w:val="21"/>
                <w:u w:val="single"/>
                <w:lang w:val="en-US" w:eastAsia="zh-CN"/>
              </w:rPr>
              <w:t xml:space="preserve">4或</w:t>
            </w:r>
            <w:r>
              <w:rPr>
                <w:rFonts w:hint="eastAsia" w:ascii="宋体" w:hAnsi="宋体" w:eastAsia="宋体" w:cs="方正仿宋_GBK"/>
                <w:i/>
                <w:iCs/>
                <w:color w:val="000000"/>
                <w:szCs w:val="21"/>
                <w:u w:val="single"/>
              </w:rPr>
              <w:t xml:space="preserve">DDR5内存，整体配置能力应满足：单台实配内存总容量≥1TB。</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3</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内存数量</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lang w:val="en-US" w:eastAsia="zh-CN"/>
              </w:rPr>
              <w:t xml:space="preserve">每台</w:t>
            </w:r>
            <w:r>
              <w:rPr>
                <w:rFonts w:hint="eastAsia" w:ascii="宋体" w:hAnsi="宋体" w:eastAsia="宋体" w:cs="方正仿宋_GBK"/>
                <w:i/>
                <w:iCs/>
                <w:color w:val="000000"/>
                <w:szCs w:val="21"/>
                <w:u w:val="single"/>
              </w:rPr>
              <w:t xml:space="preserve">实配内存总容量≥1TB</w:t>
            </w:r>
            <w:r>
              <w:rPr>
                <w:rFonts w:hint="eastAsia" w:ascii="宋体" w:hAnsi="宋体" w:eastAsia="宋体" w:cs="方正仿宋_GBK"/>
                <w:i/>
                <w:iCs/>
                <w:color w:val="000000"/>
                <w:szCs w:val="21"/>
                <w:u w:val="single"/>
                <w:lang w:eastAsia="zh-CN"/>
              </w:rPr>
              <w:t xml:space="preserve">，</w:t>
            </w:r>
            <w:r>
              <w:rPr>
                <w:rFonts w:hint="eastAsia" w:ascii="宋体" w:hAnsi="宋体" w:eastAsia="宋体" w:cs="方正仿宋_GBK"/>
                <w:i/>
                <w:iCs/>
                <w:color w:val="000000"/>
                <w:szCs w:val="21"/>
                <w:u w:val="single"/>
              </w:rPr>
              <w:t xml:space="preserve">内存条数量由投标人根据上述容量配置明确。</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4</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内存规格</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整机内存类型为DDR</w:t>
            </w:r>
            <w:r>
              <w:rPr>
                <w:rFonts w:hint="eastAsia" w:ascii="宋体" w:hAnsi="宋体" w:eastAsia="宋体" w:cs="方正仿宋_GBK"/>
                <w:i/>
                <w:iCs/>
                <w:color w:val="000000"/>
                <w:szCs w:val="21"/>
                <w:u w:val="single"/>
                <w:lang w:val="en-US" w:eastAsia="zh-CN"/>
              </w:rPr>
              <w:t xml:space="preserve">4或</w:t>
            </w:r>
            <w:r>
              <w:rPr>
                <w:rFonts w:hint="eastAsia" w:ascii="宋体" w:hAnsi="宋体" w:eastAsia="宋体" w:cs="方正仿宋_GBK"/>
                <w:i/>
                <w:iCs/>
                <w:color w:val="000000"/>
                <w:szCs w:val="21"/>
                <w:u w:val="single"/>
              </w:rPr>
              <w:t xml:space="preserve">DDR5，满足所配置国产CPU支持的最高稳定内存速率要求。</w:t>
            </w:r>
            <w:r/>
          </w:p>
        </w:tc>
      </w:tr>
      <w:tr>
        <w:trPr>
          <w:jc w:val="center"/>
          <w:trHeight w:val="90"/>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5</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主板存储接口</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val="0"/>
                <w:iCs w:val="0"/>
                <w:color w:val="000000"/>
                <w:szCs w:val="21"/>
                <w:u w:val="none"/>
                <w:lang w:eastAsia="zh-CN"/>
              </w:rPr>
              <w:t xml:space="preserve">▲服务器主板至少支持 SAS、SATA、NVMe 等存储接口类型：支持 8 块 2.5 英寸SAS/SATA/NVMe 硬盘；支持 Tri-Mode 控制器，兼容 SAS/SATA/NVMe 设备；支持 2 块独立于前置硬盘位的 M.2 SSD 作为系统盘（板载 M.2 插槽、M.2 转接卡或专用启动模块均可），并支持 RAID1 镜像。</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6</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硬盘类型</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系统盘采用SSD，数据盘采用NVMe SSD；</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7</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硬盘实配数量</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lang w:val="en-US" w:eastAsia="zh-CN"/>
              </w:rPr>
              <w:t xml:space="preserve">每台</w:t>
            </w:r>
            <w:r>
              <w:rPr>
                <w:rFonts w:hint="eastAsia" w:ascii="宋体" w:hAnsi="宋体" w:eastAsia="宋体" w:cs="方正仿宋_GBK"/>
                <w:i/>
                <w:iCs/>
                <w:color w:val="000000"/>
                <w:szCs w:val="21"/>
                <w:u w:val="single"/>
              </w:rPr>
              <w:t xml:space="preserve">系统盘数量≥2块，数据盘数量≥</w:t>
            </w:r>
            <w:r>
              <w:rPr>
                <w:rFonts w:hint="eastAsia" w:ascii="宋体" w:hAnsi="宋体" w:eastAsia="宋体" w:cs="方正仿宋_GBK"/>
                <w:i/>
                <w:iCs/>
                <w:color w:val="000000"/>
                <w:szCs w:val="21"/>
                <w:u w:val="single"/>
                <w:lang w:val="en-US" w:eastAsia="zh-CN"/>
              </w:rPr>
              <w:t xml:space="preserve">4</w:t>
            </w:r>
            <w:r>
              <w:rPr>
                <w:rFonts w:hint="eastAsia" w:ascii="宋体" w:hAnsi="宋体" w:eastAsia="宋体" w:cs="方正仿宋_GBK"/>
                <w:i/>
                <w:iCs/>
                <w:color w:val="000000"/>
                <w:szCs w:val="21"/>
                <w:u w:val="single"/>
              </w:rPr>
              <w:t xml:space="preserve">块。</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8</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硬盘实配容量</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系统盘单盘容量≥480GB，数据盘单盘容量≥3.84TB。</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9</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硬盘插槽数量及规格</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服务器机箱应至少提供</w:t>
            </w:r>
            <w:r>
              <w:rPr>
                <w:rFonts w:hint="eastAsia" w:ascii="宋体" w:hAnsi="宋体" w:eastAsia="宋体" w:cs="方正仿宋_GBK"/>
                <w:i/>
                <w:iCs/>
                <w:color w:val="000000"/>
                <w:szCs w:val="21"/>
                <w:u w:val="single"/>
                <w:lang w:val="en-US" w:eastAsia="zh-CN"/>
              </w:rPr>
              <w:t xml:space="preserve">12</w:t>
            </w:r>
            <w:r>
              <w:rPr>
                <w:rFonts w:hint="eastAsia" w:ascii="宋体" w:hAnsi="宋体" w:eastAsia="宋体" w:cs="方正仿宋_GBK"/>
                <w:i/>
                <w:iCs/>
                <w:color w:val="000000"/>
                <w:szCs w:val="21"/>
                <w:u w:val="single"/>
              </w:rPr>
              <w:t xml:space="preserve">个2.5英寸硬盘插槽，支持SAS/SATA/NVMe硬盘安装，满足上述系统盘和数据盘配置需求。</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10</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RAID 卡支持的 SAS 接口数</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val="0"/>
                <w:iCs w:val="0"/>
                <w:color w:val="000000"/>
                <w:szCs w:val="21"/>
                <w:u w:val="none"/>
                <w:lang w:eastAsia="zh-CN"/>
              </w:rPr>
              <w:t xml:space="preserve">▲</w:t>
            </w:r>
            <w:r>
              <w:rPr>
                <w:rFonts w:hint="eastAsia" w:ascii="宋体" w:hAnsi="宋体" w:eastAsia="宋体" w:cs="方正仿宋_GBK"/>
                <w:i w:val="0"/>
                <w:iCs w:val="0"/>
                <w:color w:val="000000"/>
                <w:szCs w:val="21"/>
                <w:u w:val="none"/>
                <w:lang w:val="en-US" w:eastAsia="zh-CN"/>
              </w:rPr>
              <w:t xml:space="preserve">单台</w:t>
            </w:r>
            <w:r>
              <w:rPr>
                <w:rFonts w:hint="eastAsia" w:ascii="宋体" w:hAnsi="宋体" w:eastAsia="宋体" w:cs="方正仿宋_GBK"/>
                <w:i w:val="0"/>
                <w:iCs w:val="0"/>
                <w:color w:val="000000"/>
                <w:szCs w:val="21"/>
                <w:u w:val="none"/>
                <w:lang w:eastAsia="zh-CN"/>
              </w:rPr>
              <w:t xml:space="preserve">整机配置≥1块RAID阵列卡，缓存容量≥4GB，SAS接口资源应满足8块2.5英寸SAS/SATA/NVMe硬盘及后续扩展需求。</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11</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RAID卡 RAID 级别支持</w:t>
            </w:r>
            <w:r/>
          </w:p>
        </w:tc>
        <w:tc>
          <w:tcPr>
            <w:tcW w:w="6601" w:type="dxa"/>
            <w:vAlign w:val="center"/>
            <w:textDirection w:val="lrTb"/>
            <w:noWrap w:val="false"/>
          </w:tcPr>
          <w:p>
            <w:pPr>
              <w:rPr>
                <w:rFonts w:ascii="宋体" w:hAnsi="宋体" w:cs="宋体"/>
              </w:rPr>
            </w:pPr>
            <w:r>
              <w:rPr>
                <w:rFonts w:hint="eastAsia"/>
                <w:lang w:eastAsia="zh-CN"/>
              </w:rPr>
              <w:t xml:space="preserve">▲</w:t>
            </w:r>
            <w:r>
              <w:rPr>
                <w:rFonts w:hint="eastAsia"/>
              </w:rPr>
              <w:t xml:space="preserve">RAID卡需支持RAID 0/1/10/5/6/50/60。</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12</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RAID 卡 BBU单元</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RAID卡需支持电容掉电保护或等效BBU备份单元能力，保障异常掉电时数据安全。</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13</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集群调度与资源管理</w:t>
            </w:r>
            <w:r/>
          </w:p>
        </w:tc>
        <w:tc>
          <w:tcPr>
            <w:tcW w:w="6601" w:type="dxa"/>
            <w:vAlign w:val="center"/>
            <w:textDirection w:val="lrTb"/>
            <w:noWrap w:val="false"/>
          </w:tcPr>
          <w:p>
            <w:pPr>
              <w:spacing w:line="360" w:lineRule="auto"/>
              <w:tabs>
                <w:tab w:val="left" w:pos="2020" w:leader="none"/>
              </w:tabs>
            </w:pPr>
            <w:r>
              <w:rPr>
                <w:rFonts w:hint="eastAsia" w:ascii="宋体" w:hAnsi="宋体" w:eastAsia="宋体" w:cs="方正仿宋_GBK"/>
                <w:i/>
                <w:iCs/>
                <w:color w:val="000000"/>
                <w:szCs w:val="21"/>
                <w:u w:val="single"/>
                <w:lang w:val="en-US" w:eastAsia="zh-CN"/>
              </w:rPr>
              <w:t xml:space="preserve">平台应支持多租户和多院系资源配额，支持整卡调度、共享使用、任务优先级、队列管理、容器任务、交互式开发环境、训练任务和推理服务；具备硬件隔离切分能力的可作为评分项。平台应图形化展示CPU、内存、存储、AI加速卡、网络、温度和功耗状态，支持RBAC权限、操作审计、告警通知、SSH或Web Console访问以及开放API。</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14</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主板 PCIe 插槽数量及规格</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▲在满足本项目算力模组数量要求的前提下，扩展能力需符合以下两种形态之一：</w:t>
            </w:r>
            <w:r/>
          </w:p>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①形态A（OAM/板载互联一体化训练服务器）：除GPU/NPU插槽外，提供可用的PCIe 4.0/5.0扩展插槽不少于2个；板载或扩展网卡需支持（GPU/NPU）直通RDMA能力（如GPUDirect RDMA、NPU-Direct RDMA或等效技术），支持RoCEv2或InfiniBand协议；相关网络端口共同保证本机满足“AI互联带宽”要求。</w:t>
            </w:r>
            <w:r/>
          </w:p>
          <w:p>
            <w:pPr>
              <w:spacing w:line="360" w:lineRule="auto"/>
              <w:tabs>
                <w:tab w:val="left" w:pos="2020" w:leader="none"/>
              </w:tabs>
              <w:rPr>
                <w:rFonts w:ascii="宋体" w:hAnsi="宋体" w:cs="宋体"/>
              </w:rPr>
            </w:pPr>
            <w:r>
              <w:rPr>
                <w:rFonts w:hint="eastAsia" w:ascii="宋体" w:hAnsi="宋体" w:eastAsia="宋体" w:cs="方正仿宋_GBK"/>
                <w:i w:val="0"/>
                <w:iCs w:val="0"/>
                <w:color w:val="000000"/>
                <w:szCs w:val="21"/>
                <w:u w:val="none"/>
                <w:lang w:eastAsia="zh-CN"/>
              </w:rPr>
              <w:t xml:space="preserve">②形态B（标准PCIe加速卡服务器）：</w:t>
            </w:r>
            <w:r>
              <w:rPr>
                <w:rFonts w:hint="eastAsia" w:ascii="宋体" w:hAnsi="宋体" w:eastAsia="宋体" w:cs="方正仿宋_GBK"/>
                <w:i w:val="0"/>
                <w:iCs w:val="0"/>
                <w:color w:val="000000"/>
                <w:szCs w:val="21"/>
                <w:u w:val="none"/>
                <w:lang w:val="en-US" w:eastAsia="zh-CN"/>
              </w:rPr>
              <w:t xml:space="preserve">除AI加速卡占用槽位外，提供不少于2个可用高速扩展槽</w:t>
            </w:r>
            <w:r>
              <w:rPr>
                <w:rFonts w:hint="eastAsia" w:ascii="宋体" w:hAnsi="宋体" w:eastAsia="宋体" w:cs="方正仿宋_GBK"/>
                <w:i w:val="0"/>
                <w:iCs w:val="0"/>
                <w:color w:val="000000"/>
                <w:szCs w:val="21"/>
                <w:u w:val="none"/>
                <w:lang w:eastAsia="zh-CN"/>
              </w:rPr>
              <w:t xml:space="preserve">；至少支持1种（GPU/NPU）直通RDMA能力（如GPUDirect RDMA、NPU-Direct RDMA或等效技术），满足零拷I/O及远程直通访问需求；扩展插槽及网卡组合需保证本机满足“AI互联带宽”要求。</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15</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主板 OCP 插槽数量</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在形态B配置下，PCIe 5.0×16扩展插槽数量中可包含1个OCP3.0接口，用于部署高速网络适配器或DPU。</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16</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网口速率和数量</w:t>
            </w:r>
            <w:r/>
          </w:p>
        </w:tc>
        <w:tc>
          <w:tcPr>
            <w:tcW w:w="6601" w:type="dxa"/>
            <w:vAlign w:val="center"/>
            <w:textDirection w:val="lrTb"/>
            <w:noWrap w:val="false"/>
          </w:tcPr>
          <w:p>
            <w:pPr>
              <w:spacing w:line="360" w:lineRule="auto"/>
              <w:tabs>
                <w:tab w:val="left" w:pos="2020" w:leader="none"/>
              </w:tabs>
            </w:pPr>
            <w:r>
              <w:rPr>
                <w:rFonts w:hint="eastAsia" w:ascii="宋体" w:hAnsi="宋体" w:eastAsia="宋体" w:cs="方正仿宋_GBK"/>
                <w:i/>
                <w:iCs/>
                <w:color w:val="000000"/>
                <w:szCs w:val="21"/>
                <w:u w:val="single"/>
                <w:lang w:val="en-US" w:eastAsia="zh-CN"/>
              </w:rPr>
              <w:t xml:space="preserve">每台服务器AI训练网络端口数量不少于2个，AI训练网络端口总速率≥800Gb/s；如采用200Gb/s端口，数量不少于4个；如采用400Gb/s端口，数量不少于2个；支持RoCEv2或等效低时延无损网络，并明确服务器侧、交换机侧光模块/线缆数量。</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17</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板载网络接口类型</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服务器配置的网络接口均为光口，接口类型及数量应满足上述10GE/25GE及AI互联带宽要求，并随设备提供对应光模块。</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18</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电源系统</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电源系统采用N+N或N+1冗余设计；在任一电源模块故障或退出时，服务器应能在额定满负载条件下持续稳定运行，电源模块支持热插拔。</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19</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功耗与制冷</w:t>
            </w:r>
            <w:r/>
          </w:p>
        </w:tc>
        <w:tc>
          <w:tcPr>
            <w:tcW w:w="6601" w:type="dxa"/>
            <w:vAlign w:val="center"/>
            <w:textDirection w:val="lrTb"/>
            <w:noWrap w:val="false"/>
          </w:tcPr>
          <w:p>
            <w:pPr>
              <w:spacing w:line="360" w:lineRule="auto"/>
              <w:tabs>
                <w:tab w:val="left" w:pos="2020" w:leader="none"/>
              </w:tabs>
              <w:rPr>
                <w:rFonts w:hint="eastAsia" w:ascii="宋体" w:hAnsi="宋体" w:eastAsia="宋体" w:cs="宋体"/>
                <w:lang w:eastAsia="zh-CN"/>
              </w:rPr>
            </w:pPr>
            <w:r>
              <w:rPr>
                <w:rFonts w:hint="eastAsia" w:ascii="宋体" w:hAnsi="宋体" w:eastAsia="宋体" w:cs="方正仿宋_GBK"/>
                <w:i/>
                <w:iCs/>
                <w:color w:val="000000"/>
                <w:szCs w:val="21"/>
                <w:u w:val="single"/>
              </w:rPr>
              <w:t xml:space="preserve">投标人须提供单台整机最大输入功率、典型负载功率、散热量、电压范围、插头规格、机柜承重和风冷/液冷条件，并配套提供满足采购人现场要求的电源线和PDU连接方案。</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20</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电源冗余验证</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验收时应开展电源冗余切换测试，在满负载或不低于额定负载80%的条件下依次拔除单个电源模块，业务和训练任务应保持连续运行。</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21</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val="en-US" w:eastAsia="zh-CN"/>
              </w:rPr>
              <w:t xml:space="preserve">AI 框架兼容性</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▲支持 PyTorch 和TensorFlow，提供配套驱动、编译器、算子库、通信库及容器镜像；支持vLLM、SGLang 或基于其适配开发且具有等效OpenAI 兼容接口的推理引擎。投标人应提交 OS、内核、固件、驱动、编译器、容器、框架和推理引擎版本矩阵，并提供DeepSeek-V4-Flash、GLM-5.2 量化版本、Kimi-K2.6 或采购人确认的同等级官方开放模型推理测试材料。</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22</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尺寸（高×宽×深）</w:t>
            </w:r>
            <w:r/>
          </w:p>
        </w:tc>
        <w:tc>
          <w:tcPr>
            <w:tcW w:w="6601" w:type="dxa"/>
            <w:vAlign w:val="center"/>
            <w:textDirection w:val="lrTb"/>
            <w:noWrap w:val="false"/>
          </w:tcPr>
          <w:p>
            <w:pPr>
              <w:rPr>
                <w:rFonts w:ascii="宋体" w:hAnsi="宋体" w:cs="宋体"/>
              </w:rPr>
            </w:pPr>
            <w:r>
              <w:rPr>
                <w:rFonts w:hint="eastAsia" w:ascii="宋体" w:hAnsi="宋体" w:eastAsia="宋体" w:cs="方正仿宋_GBK"/>
                <w:i/>
                <w:iCs/>
                <w:color w:val="000000"/>
                <w:szCs w:val="21"/>
                <w:u w:val="single"/>
              </w:rPr>
              <w:t xml:space="preserve">机箱高度≥</w:t>
            </w:r>
            <w:r>
              <w:rPr>
                <w:rFonts w:hint="eastAsia" w:ascii="宋体" w:hAnsi="宋体" w:eastAsia="宋体" w:cs="方正仿宋_GBK"/>
                <w:i/>
                <w:iCs/>
                <w:color w:val="000000"/>
                <w:szCs w:val="21"/>
                <w:u w:val="single"/>
                <w:lang w:val="en-US" w:eastAsia="zh-CN"/>
              </w:rPr>
              <w:t xml:space="preserve">4</w:t>
            </w:r>
            <w:r>
              <w:rPr>
                <w:rFonts w:hint="eastAsia" w:ascii="宋体" w:hAnsi="宋体" w:eastAsia="宋体" w:cs="方正仿宋_GBK"/>
                <w:i/>
                <w:iCs/>
                <w:color w:val="000000"/>
                <w:szCs w:val="21"/>
                <w:u w:val="single"/>
              </w:rPr>
              <w:t xml:space="preserve">U，宽度和深度满足标准机柜安装要求。</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w:t>
            </w:r>
            <w:r>
              <w:rPr>
                <w:rFonts w:hint="eastAsia" w:ascii="宋体" w:hAnsi="宋体" w:eastAsia="宋体" w:cs="方正仿宋_GBK"/>
                <w:i w:val="0"/>
                <w:iCs w:val="0"/>
                <w:color w:val="000000"/>
                <w:szCs w:val="21"/>
                <w:u w:val="none"/>
                <w:lang w:val="en-US" w:eastAsia="zh-CN"/>
              </w:rPr>
              <w:t xml:space="preserve">3</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服务器导轨</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val="0"/>
                <w:iCs w:val="0"/>
                <w:color w:val="000000"/>
                <w:szCs w:val="21"/>
                <w:u w:val="none"/>
                <w:lang w:eastAsia="zh-CN"/>
              </w:rPr>
              <w:t xml:space="preserve">随每台服务器提供与采购方机柜匹配的导轨，满足机架式安装需求，并提供安装所需螺钉及附件。</w:t>
            </w:r>
            <w:r/>
          </w:p>
        </w:tc>
      </w:tr>
      <w:tr>
        <w:trPr>
          <w:jc w:val="center"/>
        </w:trPr>
        <w:tc>
          <w:tcPr>
            <w:tcW w:w="67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2</w:t>
            </w:r>
            <w:r>
              <w:rPr>
                <w:rFonts w:hint="eastAsia" w:ascii="宋体" w:hAnsi="宋体" w:eastAsia="宋体" w:cs="方正仿宋_GBK"/>
                <w:i w:val="0"/>
                <w:iCs w:val="0"/>
                <w:color w:val="000000"/>
                <w:szCs w:val="21"/>
                <w:u w:val="none"/>
                <w:lang w:val="en-US" w:eastAsia="zh-CN"/>
              </w:rPr>
              <w:t xml:space="preserve">4</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AI 计算单元</w:t>
            </w:r>
            <w:r/>
          </w:p>
        </w:tc>
        <w:tc>
          <w:tcPr>
            <w:tcW w:w="6601" w:type="dxa"/>
            <w:vAlign w:val="center"/>
            <w:textDirection w:val="lrTb"/>
            <w:noWrap w:val="false"/>
          </w:tcPr>
          <w:p>
            <w:pPr>
              <w:rPr>
                <w:rFonts w:ascii="宋体" w:hAnsi="宋体" w:cs="宋体"/>
                <w:bCs w:val="0"/>
                <w:i w:val="0"/>
                <w:u w:val="none"/>
              </w:rPr>
            </w:pPr>
            <w:r>
              <w:rPr>
                <w:rFonts w:hint="eastAsia" w:ascii="宋体" w:hAnsi="宋体" w:eastAsia="宋体" w:cs="方正仿宋_GBK"/>
                <w:i w:val="0"/>
                <w:iCs w:val="0"/>
                <w:color w:val="000000"/>
                <w:szCs w:val="21"/>
                <w:u w:val="none"/>
              </w:rPr>
              <w:t xml:space="preserve">▲单台配置8个国产AI算力卡/模组。单卡/模组BF16和FP16非稀疏峰值算力均≥</w:t>
            </w:r>
            <w:r>
              <w:rPr>
                <w:rFonts w:hint="eastAsia" w:ascii="宋体" w:hAnsi="宋体" w:eastAsia="宋体" w:cs="方正仿宋_GBK"/>
                <w:i w:val="0"/>
                <w:iCs w:val="0"/>
                <w:color w:val="000000"/>
                <w:szCs w:val="21"/>
                <w:u w:val="none"/>
                <w:lang w:val="en-US" w:eastAsia="zh-CN"/>
              </w:rPr>
              <w:t xml:space="preserve">280</w:t>
            </w:r>
            <w:r>
              <w:rPr>
                <w:rFonts w:hint="eastAsia" w:ascii="宋体" w:hAnsi="宋体" w:eastAsia="宋体" w:cs="方正仿宋_GBK"/>
                <w:i w:val="0"/>
                <w:iCs w:val="0"/>
                <w:color w:val="000000"/>
                <w:szCs w:val="21"/>
                <w:u w:val="none"/>
              </w:rPr>
              <w:t xml:space="preserve">TFLOPS。单卡/模组可用显存≥</w:t>
            </w:r>
            <w:r>
              <w:rPr>
                <w:rFonts w:hint="eastAsia" w:ascii="宋体" w:hAnsi="宋体" w:eastAsia="宋体" w:cs="方正仿宋_GBK"/>
                <w:i w:val="0"/>
                <w:iCs w:val="0"/>
                <w:color w:val="000000"/>
                <w:szCs w:val="21"/>
                <w:u w:val="none"/>
                <w:lang w:val="en-US" w:eastAsia="zh-CN"/>
              </w:rPr>
              <w:t xml:space="preserve">64</w:t>
            </w:r>
            <w:r>
              <w:rPr>
                <w:rFonts w:hint="eastAsia" w:ascii="宋体" w:hAnsi="宋体" w:eastAsia="宋体" w:cs="方正仿宋_GBK"/>
                <w:i w:val="0"/>
                <w:iCs w:val="0"/>
                <w:color w:val="000000"/>
                <w:szCs w:val="21"/>
                <w:u w:val="none"/>
              </w:rPr>
              <w:t xml:space="preserve">GB，采用HBM或等效高带宽存储，单卡显存带宽≥</w:t>
            </w:r>
            <w:r>
              <w:rPr>
                <w:rFonts w:hint="eastAsia" w:ascii="宋体" w:hAnsi="宋体" w:eastAsia="宋体" w:cs="方正仿宋_GBK"/>
                <w:i w:val="0"/>
                <w:iCs w:val="0"/>
                <w:color w:val="000000"/>
                <w:szCs w:val="21"/>
                <w:u w:val="none"/>
                <w:lang w:val="en-US" w:eastAsia="zh-CN"/>
              </w:rPr>
              <w:t xml:space="preserve">1.5</w:t>
            </w:r>
            <w:r>
              <w:rPr>
                <w:rFonts w:hint="eastAsia" w:ascii="宋体" w:hAnsi="宋体" w:eastAsia="宋体" w:cs="方正仿宋_GBK"/>
                <w:i w:val="0"/>
                <w:iCs w:val="0"/>
                <w:color w:val="000000"/>
                <w:szCs w:val="21"/>
                <w:u w:val="none"/>
              </w:rPr>
              <w:t xml:space="preserve">TB/s，单台总可用加速显存≥</w:t>
            </w:r>
            <w:r>
              <w:rPr>
                <w:rFonts w:hint="eastAsia" w:ascii="宋体" w:hAnsi="宋体" w:eastAsia="宋体" w:cs="方正仿宋_GBK"/>
                <w:i w:val="0"/>
                <w:iCs w:val="0"/>
                <w:color w:val="000000"/>
                <w:szCs w:val="21"/>
                <w:u w:val="none"/>
                <w:lang w:val="en-US" w:eastAsia="zh-CN"/>
              </w:rPr>
              <w:t xml:space="preserve">512</w:t>
            </w:r>
            <w:r>
              <w:rPr>
                <w:rFonts w:hint="eastAsia" w:ascii="宋体" w:hAnsi="宋体" w:eastAsia="宋体" w:cs="方正仿宋_GBK"/>
                <w:i w:val="0"/>
                <w:iCs w:val="0"/>
                <w:color w:val="000000"/>
                <w:szCs w:val="21"/>
                <w:u w:val="none"/>
              </w:rPr>
              <w:t xml:space="preserve">GB。8卡之间支持硬件P2P和高速互联，不得以CPU内存中转作为主要通信路径；卡间高速互联双向带宽≥</w:t>
            </w:r>
            <w:r>
              <w:rPr>
                <w:rFonts w:hint="eastAsia" w:ascii="宋体" w:hAnsi="宋体" w:eastAsia="宋体" w:cs="方正仿宋_GBK"/>
                <w:i w:val="0"/>
                <w:iCs w:val="0"/>
                <w:color w:val="000000"/>
                <w:szCs w:val="21"/>
                <w:u w:val="none"/>
                <w:lang w:val="en-US" w:eastAsia="zh-CN"/>
              </w:rPr>
              <w:t xml:space="preserve">350</w:t>
            </w:r>
            <w:r>
              <w:rPr>
                <w:rFonts w:hint="eastAsia" w:ascii="宋体" w:hAnsi="宋体" w:eastAsia="宋体" w:cs="方正仿宋_GBK"/>
                <w:i w:val="0"/>
                <w:iCs w:val="0"/>
                <w:color w:val="000000"/>
                <w:szCs w:val="21"/>
                <w:u w:val="none"/>
              </w:rPr>
              <w:t xml:space="preserve">GB/s。投标人须提供芯片或整机制造商公开规格、卡间拓扑图和测试口径说明。</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25</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val="en-US" w:eastAsia="zh-CN"/>
              </w:rPr>
              <w:t xml:space="preserve">AI</w:t>
            </w:r>
            <w:r>
              <w:rPr>
                <w:rFonts w:hint="eastAsia" w:ascii="宋体" w:hAnsi="宋体" w:eastAsia="宋体" w:cs="方正仿宋_GBK"/>
                <w:i w:val="0"/>
                <w:iCs w:val="0"/>
                <w:color w:val="000000"/>
                <w:szCs w:val="21"/>
                <w:u w:val="none"/>
                <w:lang w:eastAsia="zh-CN"/>
              </w:rPr>
              <w:t xml:space="preserve">管理</w:t>
            </w:r>
            <w:r>
              <w:rPr>
                <w:rFonts w:hint="eastAsia" w:ascii="宋体" w:hAnsi="宋体" w:eastAsia="宋体" w:cs="方正仿宋_GBK"/>
                <w:i w:val="0"/>
                <w:iCs w:val="0"/>
                <w:color w:val="000000"/>
                <w:szCs w:val="21"/>
                <w:u w:val="none"/>
                <w:lang w:val="en-US" w:eastAsia="zh-CN"/>
              </w:rPr>
              <w:t xml:space="preserve">系统</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val="0"/>
                <w:iCs w:val="0"/>
                <w:color w:val="000000"/>
                <w:szCs w:val="21"/>
                <w:u w:val="none"/>
                <w:lang w:eastAsia="zh-CN"/>
              </w:rPr>
              <w:t xml:space="preserve">▲</w:t>
            </w:r>
            <w:r>
              <w:rPr>
                <w:rFonts w:hint="eastAsia" w:ascii="宋体" w:hAnsi="宋体" w:eastAsia="宋体" w:cs="方正仿宋_GBK"/>
                <w:i w:val="0"/>
                <w:iCs w:val="0"/>
                <w:color w:val="000000"/>
                <w:szCs w:val="21"/>
                <w:u w:val="none"/>
                <w:lang w:val="en-US" w:eastAsia="zh-CN"/>
              </w:rPr>
              <w:t xml:space="preserve">提供配套管理软件平台，具备资源管理、系统管理、性能监控、健康监控、基于网络控制和报警设置等基础功能，支持服务器集中管理；</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26</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AI</w:t>
            </w:r>
            <w:r>
              <w:rPr>
                <w:rFonts w:hint="eastAsia" w:ascii="宋体" w:hAnsi="宋体" w:eastAsia="宋体" w:cs="方正仿宋_GBK"/>
                <w:i w:val="0"/>
                <w:iCs w:val="0"/>
                <w:color w:val="000000"/>
                <w:szCs w:val="21"/>
                <w:u w:val="none"/>
                <w:lang w:eastAsia="zh-CN"/>
              </w:rPr>
              <w:t xml:space="preserve">管理</w:t>
            </w:r>
            <w:r>
              <w:rPr>
                <w:rFonts w:hint="eastAsia" w:ascii="宋体" w:hAnsi="宋体" w:eastAsia="宋体" w:cs="方正仿宋_GBK"/>
                <w:i w:val="0"/>
                <w:iCs w:val="0"/>
                <w:color w:val="000000"/>
                <w:szCs w:val="21"/>
                <w:u w:val="none"/>
                <w:lang w:val="en-US" w:eastAsia="zh-CN"/>
              </w:rPr>
              <w:t xml:space="preserve">系统</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支持在训练设备上对大模型执行多种类型的微调训练操作；提供配套硬件设备的训练平台、智能体、知识库等软件应用平台支持，并提供产品功能截图（加盖投标人公章）。</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27</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AI</w:t>
            </w:r>
            <w:r>
              <w:rPr>
                <w:rFonts w:hint="eastAsia" w:ascii="宋体" w:hAnsi="宋体" w:eastAsia="宋体" w:cs="方正仿宋_GBK"/>
                <w:i w:val="0"/>
                <w:iCs w:val="0"/>
                <w:color w:val="000000"/>
                <w:szCs w:val="21"/>
                <w:u w:val="none"/>
                <w:lang w:eastAsia="zh-CN"/>
              </w:rPr>
              <w:t xml:space="preserve">管理</w:t>
            </w:r>
            <w:r>
              <w:rPr>
                <w:rFonts w:hint="eastAsia" w:ascii="宋体" w:hAnsi="宋体" w:eastAsia="宋体" w:cs="方正仿宋_GBK"/>
                <w:i w:val="0"/>
                <w:iCs w:val="0"/>
                <w:color w:val="000000"/>
                <w:szCs w:val="21"/>
                <w:u w:val="none"/>
                <w:lang w:val="en-US" w:eastAsia="zh-CN"/>
              </w:rPr>
              <w:t xml:space="preserve">系统</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平台预置主流开源大模型（如</w:t>
            </w:r>
            <w:r>
              <w:rPr>
                <w:rFonts w:hint="eastAsia" w:ascii="宋体" w:hAnsi="宋体" w:eastAsia="宋体" w:cs="方正仿宋_GBK"/>
                <w:i w:val="0"/>
                <w:iCs w:val="0"/>
                <w:color w:val="000000"/>
                <w:szCs w:val="21"/>
                <w:u w:val="none"/>
                <w:lang w:val="en-US" w:eastAsia="zh-CN"/>
              </w:rPr>
              <w:t xml:space="preserve">GLM</w:t>
            </w:r>
            <w:r>
              <w:rPr>
                <w:rFonts w:hint="eastAsia" w:ascii="宋体" w:hAnsi="宋体" w:eastAsia="宋体" w:cs="方正仿宋_GBK"/>
                <w:i w:val="0"/>
                <w:iCs w:val="0"/>
                <w:color w:val="000000"/>
                <w:szCs w:val="21"/>
                <w:u w:val="none"/>
                <w:lang w:eastAsia="zh-CN"/>
              </w:rPr>
              <w:t xml:space="preserve">、Qwen、DeepSeek等）的训练与推理模板或示例脚本，可视化展示训练/推理过程中的算力利用率、显存占用、网络带宽、PFC/ECN等关键指标的监控面板，并提供不少于3幅监控与管理界面截图作为证明材料</w:t>
            </w:r>
            <w:r>
              <w:rPr>
                <w:rFonts w:hint="eastAsia" w:ascii="宋体" w:hAnsi="宋体" w:cs="方正仿宋_GBK"/>
                <w:i w:val="0"/>
                <w:iCs w:val="0"/>
                <w:color w:val="000000"/>
                <w:szCs w:val="21"/>
                <w:u w:val="none"/>
                <w:lang w:eastAsia="zh-CN"/>
              </w:rPr>
              <w:t xml:space="preserve">。</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28</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AI</w:t>
            </w:r>
            <w:r>
              <w:rPr>
                <w:rFonts w:hint="eastAsia" w:ascii="宋体" w:hAnsi="宋体" w:eastAsia="宋体" w:cs="方正仿宋_GBK"/>
                <w:i w:val="0"/>
                <w:iCs w:val="0"/>
                <w:color w:val="000000"/>
                <w:szCs w:val="21"/>
                <w:u w:val="none"/>
                <w:lang w:eastAsia="zh-CN"/>
              </w:rPr>
              <w:t xml:space="preserve">管理</w:t>
            </w:r>
            <w:r>
              <w:rPr>
                <w:rFonts w:hint="eastAsia" w:ascii="宋体" w:hAnsi="宋体" w:eastAsia="宋体" w:cs="方正仿宋_GBK"/>
                <w:i w:val="0"/>
                <w:iCs w:val="0"/>
                <w:color w:val="000000"/>
                <w:szCs w:val="21"/>
                <w:u w:val="none"/>
                <w:lang w:val="en-US" w:eastAsia="zh-CN"/>
              </w:rPr>
              <w:t xml:space="preserve">系统</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平台可运行于ARM与x86架构CPU，兼容多种异构算力混合部署；支持vLLM、Transformers、SGLang等主流大模型服务化推理引擎；</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29</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底层算子生态适配能力</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w:t>
            </w:r>
            <w:r>
              <w:rPr>
                <w:rFonts w:hint="eastAsia" w:ascii="宋体" w:hAnsi="宋体" w:eastAsia="宋体" w:cs="方正仿宋_GBK"/>
                <w:i w:val="0"/>
                <w:iCs w:val="0"/>
                <w:color w:val="000000"/>
                <w:szCs w:val="21"/>
                <w:u w:val="none"/>
                <w:lang w:val="en-US" w:eastAsia="zh-CN"/>
              </w:rPr>
              <w:t xml:space="preserve">支持与所投AI算力硬件配套的原生AI计算软件栈或兼容软件栈之一，包括但不限于CANN、ROCm、CUDA兼容层等，并完成PyTorch框架适配。</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30</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操作系统</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▲正版国产服务器操作系统，通过国家有关部门指定的测评机构开展的安全可靠测评，提供安全可靠测评结果公告官网截图证明材料电子件。</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31</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关键部件安全要求</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AI算力服务器处理器为国产化芯片，提供相关证明材料，并提交承诺书扫描件（加盖投标人电子签章）。</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32</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安全保障能力</w:t>
            </w:r>
            <w:r/>
          </w:p>
        </w:tc>
        <w:tc>
          <w:tcPr>
            <w:tcW w:w="6601" w:type="dxa"/>
            <w:vAlign w:val="center"/>
            <w:textDirection w:val="lrTb"/>
            <w:noWrap w:val="false"/>
          </w:tcPr>
          <w:p>
            <w:pPr>
              <w:spacing w:line="360" w:lineRule="auto"/>
              <w:tabs>
                <w:tab w:val="left" w:pos="2020" w:leader="none"/>
              </w:tabs>
              <w:rPr>
                <w:rFonts w:ascii="宋体" w:hAnsi="宋体" w:cs="宋体"/>
              </w:rPr>
            </w:pPr>
            <w:r>
              <w:rPr>
                <w:rFonts w:ascii="宋体" w:hAnsi="宋体" w:eastAsia="宋体" w:cs="方正仿宋_GBK"/>
                <w:i w:val="0"/>
                <w:iCs w:val="0"/>
                <w:color w:val="000000"/>
                <w:szCs w:val="21"/>
                <w:u w:val="none"/>
                <w:lang w:eastAsia="zh-CN"/>
              </w:rPr>
              <w:t xml:space="preserve">供应商应配合采购方完成网络安全等级保护三级、商用密码应用安全性评估相关的方案材料、整改支撑、配置加固、日志留存和测评配合工作。系统应支持账号分权、强密码策略、日志审计、漏洞修复和补丁升级。</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33</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服务周期</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▲所有硬件产品（含服务器及网络设备）均需满足不少于三年的免费质保/维保/上门服务要求，提供承诺书扫描件并加盖投标人电子签章。</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34</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提供上门服务</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eastAsia="zh-CN"/>
              </w:rPr>
              <w:t xml:space="preserve">▲供应商须具备提供上门服务的能力，负责设备供货、上架安装、上电与基础联调，并提供操作系统安装服务；交付内容包含但不限于所需光模块/线缆/导轨等附件（按“含/满配/起配”要求提供）、国产算力调度软件授权、AI平台功能截图等。</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35</w:t>
            </w:r>
            <w:r/>
          </w:p>
        </w:tc>
        <w:tc>
          <w:tcPr>
            <w:tcW w:w="125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AI组网交换机性能</w:t>
            </w:r>
            <w:r/>
          </w:p>
        </w:tc>
        <w:tc>
          <w:tcPr>
            <w:tcW w:w="6601" w:type="dxa"/>
            <w:vAlign w:val="center"/>
            <w:textDirection w:val="lrTb"/>
            <w:noWrap w:val="false"/>
          </w:tcPr>
          <w:p>
            <w:pPr>
              <w:spacing w:line="360" w:lineRule="auto"/>
              <w:tabs>
                <w:tab w:val="left" w:pos="2020" w:leader="none"/>
              </w:tabs>
              <w:rPr>
                <w:rFonts w:ascii="宋体" w:hAnsi="宋体" w:cs="宋体"/>
                <w:bCs w:val="0"/>
                <w:i w:val="0"/>
                <w:u w:val="none"/>
              </w:rPr>
            </w:pPr>
            <w:r>
              <w:rPr>
                <w:rFonts w:hint="eastAsia" w:ascii="宋体" w:hAnsi="宋体" w:eastAsia="宋体" w:cs="方正仿宋_GBK"/>
                <w:i w:val="0"/>
                <w:iCs w:val="0"/>
                <w:color w:val="000000"/>
                <w:szCs w:val="21"/>
                <w:u w:val="none"/>
                <w:lang w:val="en-US" w:eastAsia="zh-CN"/>
              </w:rPr>
              <w:t xml:space="preserve">▲配置1套AI组网交换机，提供不少于8个400GE可用端口，或不少于16个200GE可用端口并支持400GE等效组网；本期已配置端口应支持线速无阻塞转发。支持RoCEv2、PFC、ECN/动态ECN、拥塞监测、PFC死锁预防及网络遥测；支持端口拆分、链路聚合、VLAN、IPv4/IPv6和必要的路由功能。按两台服务器双链路互联配置足量光模块或线缆（原则上不少于8只400G光模块或等效数量），电源模块≥2，提供3年质保。</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eastAsia="zh-CN"/>
              </w:rPr>
              <w:t xml:space="preserve">3</w:t>
            </w:r>
            <w:r>
              <w:rPr>
                <w:rFonts w:hint="eastAsia" w:ascii="宋体" w:hAnsi="宋体" w:eastAsia="宋体" w:cs="方正仿宋_GBK"/>
                <w:i w:val="0"/>
                <w:iCs w:val="0"/>
                <w:color w:val="000000"/>
                <w:szCs w:val="21"/>
                <w:u w:val="none"/>
                <w:lang w:val="en-US" w:eastAsia="zh-CN"/>
              </w:rPr>
              <w:t xml:space="preserve">6</w:t>
            </w:r>
            <w:r/>
          </w:p>
        </w:tc>
        <w:tc>
          <w:tcPr>
            <w:tcW w:w="1250" w:type="dxa"/>
            <w:vAlign w:val="center"/>
            <w:textDirection w:val="lrTb"/>
            <w:noWrap w:val="false"/>
          </w:tcPr>
          <w:p>
            <w:pPr>
              <w:spacing w:line="360" w:lineRule="auto"/>
              <w:tabs>
                <w:tab w:val="left" w:pos="2020" w:leader="none"/>
              </w:tabs>
              <w:rPr>
                <w:rFonts w:hint="eastAsia" w:ascii="宋体" w:hAnsi="宋体" w:eastAsia="宋体" w:cs="方正仿宋_GBK"/>
                <w:i w:val="0"/>
                <w:iCs w:val="0"/>
                <w:color w:val="000000"/>
                <w:szCs w:val="21"/>
                <w:u w:val="none"/>
                <w:lang w:eastAsia="zh-CN"/>
              </w:rPr>
            </w:pPr>
            <w:r>
              <w:rPr>
                <w:rFonts w:hint="eastAsia" w:ascii="宋体" w:hAnsi="宋体" w:eastAsia="宋体" w:cs="方正仿宋_GBK"/>
                <w:i w:val="0"/>
                <w:iCs w:val="0"/>
                <w:color w:val="000000"/>
                <w:szCs w:val="21"/>
                <w:u w:val="none"/>
                <w:lang w:val="en-US" w:eastAsia="zh-CN"/>
              </w:rPr>
              <w:t xml:space="preserve">业务交换机性能</w:t>
            </w:r>
            <w:r/>
          </w:p>
        </w:tc>
        <w:tc>
          <w:tcPr>
            <w:tcW w:w="6601" w:type="dxa"/>
            <w:vAlign w:val="center"/>
            <w:textDirection w:val="lrTb"/>
            <w:noWrap w:val="false"/>
          </w:tcPr>
          <w:p>
            <w:pPr>
              <w:spacing w:line="360" w:lineRule="auto"/>
              <w:tabs>
                <w:tab w:val="left" w:pos="2020" w:leader="none"/>
              </w:tabs>
              <w:rPr>
                <w:rFonts w:ascii="宋体" w:hAnsi="宋体" w:cs="宋体"/>
              </w:rPr>
            </w:pPr>
            <w:r>
              <w:rPr>
                <w:rFonts w:hint="eastAsia" w:ascii="宋体" w:hAnsi="宋体" w:eastAsia="宋体" w:cs="方正仿宋_GBK"/>
                <w:i/>
                <w:iCs/>
                <w:color w:val="000000"/>
                <w:szCs w:val="21"/>
                <w:u w:val="single"/>
              </w:rPr>
              <w:t xml:space="preserve">交换容量≥8Tbps，包转发率≥</w:t>
            </w:r>
            <w:r>
              <w:rPr>
                <w:rFonts w:hint="eastAsia" w:ascii="宋体" w:hAnsi="宋体" w:eastAsia="宋体" w:cs="方正仿宋_GBK"/>
                <w:i/>
                <w:iCs/>
                <w:color w:val="000000"/>
                <w:szCs w:val="21"/>
                <w:u w:val="single"/>
                <w:lang w:val="en-US" w:eastAsia="zh-CN"/>
              </w:rPr>
              <w:t xml:space="preserve">3000</w:t>
            </w:r>
            <w:r>
              <w:rPr>
                <w:rFonts w:hint="eastAsia" w:ascii="宋体" w:hAnsi="宋体" w:eastAsia="宋体" w:cs="方正仿宋_GBK"/>
                <w:i/>
                <w:iCs/>
                <w:color w:val="000000"/>
                <w:szCs w:val="21"/>
                <w:u w:val="single"/>
              </w:rPr>
              <w:t xml:space="preserve">Mpps（以官网最小值为准）；25GE光接口≥48个，100GE光接口≥8个；采用国产研</w:t>
            </w:r>
            <w:r>
              <w:rPr>
                <w:rFonts w:hint="eastAsia" w:ascii="宋体" w:hAnsi="宋体" w:eastAsia="宋体" w:cs="方正仿宋_GBK"/>
                <w:i/>
                <w:iCs/>
                <w:color w:val="000000"/>
                <w:szCs w:val="21"/>
                <w:u w:val="single"/>
              </w:rPr>
              <w:t xml:space="preserve">发的CPU芯片和转发芯片；支持跨设备链路聚合技术（如M-LAG/vPC/DRNI/MC-LAG等），支持一致性检查、维护模式无损升级、协议认证等功能；支持RIP、OSPF、ISIS、BGP、RIPng、OSPFv3、ISISv6、BGP4+等路由协议；支持基于端口/VLAN/BD的广播/组播/未知单播抑制；支持VxLAN及EVPN VxLAN，支持VxLAN与VLAN互通；支持PFC，支持PFC死锁预防，支持AI ECN或动态ECN；支持全网路径探测与配置回滚。单台配置：电源模块≥2，25G多模光模块≥4。</w:t>
            </w:r>
            <w:r/>
          </w:p>
        </w:tc>
      </w:tr>
      <w:tr>
        <w:trPr>
          <w:jc w:val="center"/>
        </w:trPr>
        <w:tc>
          <w:tcPr>
            <w:tcW w:w="67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37</w:t>
            </w:r>
            <w:r/>
          </w:p>
        </w:tc>
        <w:tc>
          <w:tcPr>
            <w:tcW w:w="1250" w:type="dxa"/>
            <w:vAlign w:val="center"/>
            <w:textDirection w:val="lrTb"/>
            <w:noWrap w:val="false"/>
          </w:tcPr>
          <w:p>
            <w:pPr>
              <w:spacing w:line="360" w:lineRule="auto"/>
              <w:tabs>
                <w:tab w:val="left" w:pos="2020" w:leader="none"/>
              </w:tabs>
              <w:rPr>
                <w:rFonts w:ascii="宋体" w:hAnsi="宋体" w:eastAsia="宋体" w:cs="方正仿宋_GBK"/>
                <w:i w:val="0"/>
                <w:iCs w:val="0"/>
                <w:color w:val="000000"/>
                <w:szCs w:val="21"/>
                <w:u w:val="none"/>
                <w:lang w:val="en-US" w:eastAsia="zh-CN"/>
              </w:rPr>
            </w:pPr>
            <w:r>
              <w:rPr>
                <w:rFonts w:hint="eastAsia" w:ascii="宋体" w:hAnsi="宋体" w:eastAsia="宋体" w:cs="方正仿宋_GBK"/>
                <w:i w:val="0"/>
                <w:iCs w:val="0"/>
                <w:color w:val="000000"/>
                <w:szCs w:val="21"/>
                <w:u w:val="none"/>
                <w:lang w:val="en-US" w:eastAsia="zh-CN"/>
              </w:rPr>
              <w:t xml:space="preserve">设备供应</w:t>
            </w:r>
            <w:r/>
          </w:p>
        </w:tc>
        <w:tc>
          <w:tcPr>
            <w:tcW w:w="6601" w:type="dxa"/>
            <w:vAlign w:val="center"/>
            <w:textDirection w:val="lrTb"/>
            <w:noWrap w:val="false"/>
          </w:tcPr>
          <w:p>
            <w:pPr>
              <w:spacing w:line="360" w:lineRule="auto"/>
              <w:tabs>
                <w:tab w:val="left" w:pos="2020" w:leader="none"/>
              </w:tabs>
              <w:rPr>
                <w:rFonts w:hint="eastAsia" w:ascii="宋体" w:hAnsi="宋体" w:eastAsia="宋体" w:cs="方正仿宋_GBK"/>
                <w:i/>
                <w:iCs/>
                <w:color w:val="000000"/>
                <w:szCs w:val="21"/>
                <w:u w:val="single"/>
              </w:rPr>
            </w:pPr>
            <w:r>
              <w:rPr>
                <w:rFonts w:hint="eastAsia" w:ascii="宋体" w:hAnsi="宋体" w:eastAsia="宋体" w:cs="方正仿宋_GBK"/>
                <w:i/>
                <w:iCs/>
                <w:color w:val="000000"/>
                <w:sz w:val="21"/>
                <w:szCs w:val="21"/>
                <w:u w:val="single"/>
                <w:lang w:val="en-US" w:eastAsia="zh-CN"/>
              </w:rPr>
              <w:t xml:space="preserve">投标人在投标时提供供应保障承诺函，在签订合同前提供AI算力服务器厂家供应保障承诺函及AI芯片厂家供应保障承诺函并加盖原厂公章。</w:t>
            </w:r>
            <w:r/>
          </w:p>
        </w:tc>
      </w:tr>
    </w:tbl>
    <w:p>
      <w:pPr>
        <w:spacing w:line="0" w:lineRule="atLeast"/>
        <w:rPr>
          <w:rFonts w:hint="eastAsia" w:ascii="宋体" w:hAnsi="宋体"/>
          <w:b/>
          <w:bCs/>
          <w:sz w:val="24"/>
          <w:szCs w:val="24"/>
        </w:rPr>
      </w:pPr>
      <w:r>
        <w:rPr>
          <w:rFonts w:hint="eastAsia" w:ascii="宋体" w:hAnsi="宋体"/>
          <w:b/>
          <w:bCs/>
          <w:sz w:val="24"/>
          <w:szCs w:val="24"/>
        </w:rPr>
      </w:r>
      <w:r/>
    </w:p>
    <w:p>
      <w:pPr>
        <w:pStyle w:val="757"/>
        <w:rPr>
          <w:rFonts w:hint="eastAsia"/>
        </w:rPr>
      </w:pPr>
      <w:r>
        <w:rPr>
          <w:rFonts w:hint="eastAsia"/>
        </w:rPr>
      </w:r>
      <w:r/>
    </w:p>
    <w:p>
      <w:pPr>
        <w:spacing w:line="0" w:lineRule="atLeast"/>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spacing w:line="0" w:lineRule="atLeast"/>
        <w:rPr>
          <w:rFonts w:ascii="宋体" w:hAnsi="宋体"/>
          <w:b/>
          <w:bCs/>
          <w:sz w:val="24"/>
          <w:szCs w:val="21"/>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1、合同履行期限：合同签订后14日内完成交付并安装调试。</w:t>
      </w:r>
      <w:r/>
    </w:p>
    <w:p>
      <w:pPr>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2、付款条件：第一阶段为正式合同生效且进场施工后15个工作日内，向中标供应商支付合同款的40%;第二阶段为测试运行且验收合格并收到发票后10个工作日内，向中标供应商支付合同款的60%。</w:t>
      </w:r>
      <w:r/>
    </w:p>
    <w:p>
      <w:pPr>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3、其它：</w:t>
      </w:r>
      <w:r/>
    </w:p>
    <w:p>
      <w:pPr>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w:t>
      </w:r>
      <w:r>
        <w:rPr>
          <w:rFonts w:hint="eastAsia" w:ascii="宋体" w:hAnsi="宋体" w:eastAsia="宋体" w:cs="宋体"/>
          <w:sz w:val="24"/>
          <w:szCs w:val="24"/>
          <w:highlight w:val="none"/>
          <w:lang w:val="en-US" w:eastAsia="zh-CN"/>
        </w:rPr>
        <w:t xml:space="preserve">承诺中标后提供产</w:t>
      </w:r>
      <w:r>
        <w:rPr>
          <w:rFonts w:hint="eastAsia" w:ascii="宋体" w:hAnsi="宋体" w:eastAsia="宋体" w:cs="宋体"/>
          <w:sz w:val="24"/>
          <w:szCs w:val="24"/>
          <w:lang w:val="en-US" w:eastAsia="zh-CN"/>
        </w:rPr>
        <w:t xml:space="preserve">品厂家原厂售后服务承诺函，投标人提供的设备注册客户为江苏食品药品职业技术学院。</w:t>
      </w:r>
      <w:r/>
    </w:p>
    <w:p>
      <w:pPr>
        <w:ind w:firstLine="480"/>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（2）投标人须承诺在江苏省淮安市设有硬件备件库，并能够提供本次项目所需关键硬件（如算力加速卡、CPU、内存、硬盘、电源、风扇、网卡等）的备件支持。</w:t>
      </w:r>
      <w:r/>
    </w:p>
    <w:p>
      <w:pPr>
        <w:ind w:firstLine="48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（3）投标人承诺中标后提供提供原厂质保函。</w:t>
      </w:r>
      <w:r/>
    </w:p>
    <w:p>
      <w:pPr>
        <w:ind w:left="482"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（一）项目实施要求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投标人需根据以下实施要求提供项目实施方案。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在实施过程中，为顺利完成本次项目，应严格按照项目管理的要求进行项目实施。根据项目整体安排科学性、合理性、可操作性，投标人需提供的项目实施方案，包含需要的环境、项目实施方案、人员组成、质量保证、进度要求、风险预防、控制措施、突发事件处置方案，有明确的时间节点和进度安排，项目管理运行机制健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2、项目组成员：需组建不少于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人的项目团队。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项目负责人职责：负责整个项目的计划、组织、指导和控制。确保项目按时、按质量完成，并与客户保持沟通，解决项目过程中的问题，从项目架构、技术要求和实施方法论上指导项目实施。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技术人员职责：制定进度计划，控制项目质量，完成分析和实施工作。负责项目的设计规划和安装、调试、集成，保证系统运行安全，负责在试运行期间调试和优化，保证系顺利上线。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3、设备进场前，中标供应商应提供详细专业的项目技术方案，包括但不限于网络规划、实施方案、优化方案及项目实施过程中的节点控制、质量和现场管理情况。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4、设备安装、调试期间，保障业务的连续性，如期间出现任何非计划内中断事故，中标供应商应承担相应责任。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5、按照采购人要求提供完整的技术文档，包括采用的</w:t>
      </w:r>
      <w:r>
        <w:rPr>
          <w:rFonts w:ascii="Times New Roman" w:hAnsi="Times New Roman" w:eastAsia="Times New Roman" w:cs="Times New Roman"/>
          <w:color w:val="000000"/>
          <w:sz w:val="24"/>
        </w:rPr>
        <w:t xml:space="preserve">AI</w:t>
      </w:r>
      <w:r>
        <w:rPr>
          <w:rFonts w:ascii="SimSun" w:hAnsi="SimSun" w:eastAsia="SimSun" w:cs="SimSun"/>
          <w:color w:val="000000"/>
          <w:sz w:val="24"/>
        </w:rPr>
        <w:t xml:space="preserve">一体机算力管理平台、</w:t>
      </w:r>
      <w:r>
        <w:rPr>
          <w:rFonts w:ascii="Times New Roman" w:hAnsi="Times New Roman" w:eastAsia="Times New Roman" w:cs="Times New Roman"/>
          <w:color w:val="000000"/>
          <w:sz w:val="24"/>
        </w:rPr>
        <w:t xml:space="preserve">AI</w:t>
      </w:r>
      <w:r>
        <w:rPr>
          <w:rFonts w:ascii="SimSun" w:hAnsi="SimSun" w:eastAsia="SimSun" w:cs="SimSun"/>
          <w:color w:val="000000"/>
          <w:sz w:val="24"/>
        </w:rPr>
        <w:t xml:space="preserve">开发赋能平台用户使用手册等。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6、中标供应商入场前需进行公司和人员资质核验，核验过程中若发现有虚假应标嫌疑，采购人有权向相关部门报告并依法追究相应责任。</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（二）售后服务要求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投标人需根据以下售后服务要求提供售后服务方案。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1、中标供应商在售后服务期内应提供</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小时运维服务，及时响应紧急情况下的用户服务请求和故障申报服务，接听处理用户的技术咨询、服务请求和故障申报，反馈运维服务信息。通过即时通讯软件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书面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电话等多种方式，保持与用户的紧密联系和沟通渠道。</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2、售后服务期内，中标供应商应对本项目中所提供的软件升级、保修，负责对提供的设备进行现场维修和更换故障配件，费用均包含在本次报价中。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3、中标供应商对本次提供设备提供原厂商质保函和服务；软件及相关配件材料均按相关原厂厂商提供标准的质保条款为准，中标供应商需协助采购人执行。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4、在售后服务期内，设备由于质量或产品本身原因造成的损伤或损坏，中标供应商应修理或更换。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5、在售后服务期内，每年提供一次本项目各系统的例行巡检，并出具巡检报告。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6、保修的范围仅限于本合同中中标供应商提供给采购人的设备、部件和装修。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7、保修维护到期后，双方可另行商定维护费用标准。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8、中标供应商应采取必要的技术和管理手段保障系统的安全性，并保证信息的保密，中标供应商应根据国家相关要求与发包人签订保密协议。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9、服务内容要求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包括但不限于：（1）设备日常维护、巡检；（</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）故障电路及其他损坏设备的修理；（</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）备件备品的购买；（</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）重大故障或特殊故障的紧急远端或现场抢修；（</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）其他必须的技术服务（例如软件的版本升级、大模型专家服务等）。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在售后服务期内安装的任何零配件，应是设备生产厂家原产的或是经其认可的，是新的未使用和未经修复的，除非最终发包人提供书面许可，否则不可使用此范围外的其他配件；正式更换备件必须来自设备生产厂家备件库，不得以其它方式替代。售后服务期内所有因更换或修理货物或部件而导致货物停止运行的时间应从其售后服务期内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11、服务期内，中标供应商应对所提供的系统进行全面的管理，保证系统的安全性、可用性、可靠性，满足采购人的服务要求，承诺为采购人提供快速的技术支持，响应快速及时。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12、专家运维服务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（1）故障诊断及处理服务：电话远程或至现场进行设备或系统的重大故障定位、分析，并制定解决方案。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（2）运维方案制定及审核服务：协助审核基础设施、设备、环境的运维方案，传授成熟的运维技术。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（3）系统迁移及替换服务：协助相关系统厂商制定系统迁移、割接方案，并指导协助进行业务系统割接、测试。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（4）升级、调整、优化：根据运行情况，制定相应的设备和系统升级、调整或优化方案。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13、中标供应商需组织协调设备原厂工程师、项目经理等相关人员对本项目进行实施，设备安装、调试所需的工具及安装材料由中标供应商自行解决。实施过程应严格执行相关的管理规范，并保证项目安全进行。</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（三）应急响应要求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投标人需根据以下应急响应要求提供应急响应方案。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1、协助制定应急响应制度及应急预案。配合进行应急预案的演练，根据演练结果协助服务采购方修订应急响应预案。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2、根据应急预案，执行重大故障事件应急响应工作。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3、重要时期的重点运维保障。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4、特殊时期如假期前或敏感时期，需要进行巡检并提供巡检报告。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5、中标供应商应提供</w:t>
      </w:r>
      <w:r>
        <w:rPr>
          <w:rFonts w:ascii="Times New Roman" w:hAnsi="Times New Roman" w:eastAsia="Times New Roman" w:cs="Times New Roman"/>
          <w:color w:val="000000"/>
          <w:sz w:val="24"/>
        </w:rPr>
        <w:t xml:space="preserve">7x24</w:t>
      </w:r>
      <w:r>
        <w:rPr>
          <w:rFonts w:ascii="SimSun" w:hAnsi="SimSun" w:eastAsia="SimSun" w:cs="SimSun"/>
          <w:color w:val="000000"/>
          <w:sz w:val="24"/>
        </w:rPr>
        <w:t xml:space="preserve">小时故障事件应急响应工作，在接到数据中心应急响应服务请求后须在二十分钟内远程响应处置。应急响应主要针对突发的机器宕机、网络不通、应用瘫痪、数据丢失事件等进行诊断、分析并协助解决。在完成应急事件响应处理后及时向服务采购方提供事件处理记录及整改建议报告。</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（四）培训要求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投标人需根据以下培训要求提供培训方案。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1、中标供应商提供周全的培训计划、培训目标、培训内容、培训方法、培训频次。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2、培训方式采取线上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线下，确保采购单位对系统操作的熟悉性，能够全面熟练掌握软件运行、检查、维护等工作，确保日常工作的顺利完成。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3、供应商每年度至少提供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次培训服务，每次不少于</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小时。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4、培训人员不低于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人，且需具有相关专业资格和实际工作经验、参加过本项目的专家或技术人员。接受培训人员由采购人自行确定。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5、供应商应向接受培训人员提供技术资料、图纸、参考文献材料等。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6、所有培训所涉及的所有费用包含在本次报价中，不得另行向采购单位收取。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sz w:val="21"/>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p>
    <w:p>
      <w:pPr>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p>
    <w:p>
      <w:pPr>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Style w:val="75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7"/>
        <w:gridCol w:w="2331"/>
      </w:tblGrid>
      <w:tr>
        <w:trPr/>
        <w:tc>
          <w:tcPr>
            <w:tcW w:w="1617" w:type="dxa"/>
            <w:vAlign w:val="top"/>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采购包号</w:t>
            </w:r>
            <w:r/>
          </w:p>
        </w:tc>
        <w:tc>
          <w:tcPr>
            <w:tcW w:w="2331" w:type="dxa"/>
            <w:vAlign w:val="top"/>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核心产品</w:t>
            </w:r>
            <w:r/>
          </w:p>
        </w:tc>
      </w:tr>
      <w:tr>
        <w:trPr/>
        <w:tc>
          <w:tcPr>
            <w:tcW w:w="1617" w:type="dxa"/>
            <w:vAlign w:val="top"/>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2331" w:type="dxa"/>
            <w:vAlign w:val="top"/>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国产算力服务器</w:t>
            </w:r>
            <w:r/>
          </w:p>
        </w:tc>
      </w:tr>
    </w:tbl>
    <w:p>
      <w:pPr>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Style w:val="75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eastAsia="宋体"/>
                <w:szCs w:val="21"/>
                <w:lang w:eastAsia="zh-CN"/>
              </w:rPr>
            </w:pPr>
            <w:r>
              <w:rPr>
                <w:rFonts w:hint="eastAsia" w:ascii="宋体" w:hAnsi="宋体"/>
                <w:szCs w:val="21"/>
              </w:rPr>
              <w:t xml:space="preserve">否</w:t>
            </w:r>
            <w:r/>
          </w:p>
        </w:tc>
      </w:tr>
    </w:tbl>
    <w:p>
      <w:r/>
      <w:r/>
    </w:p>
    <w:p>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      第五章  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5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4325" w:type="dxa"/>
            <w:vAlign w:val="top"/>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hint="eastAsia" w:ascii="Arial" w:hAnsi="Arial" w:cs="Arial"/>
          <w:sz w:val="24"/>
          <w:szCs w:val="24"/>
        </w:rPr>
      </w:pPr>
      <w:r>
        <w:rPr>
          <w:rFonts w:hint="eastAsia" w:ascii="Arial" w:hAnsi="Arial" w:cs="Arial"/>
          <w:sz w:val="24"/>
          <w:szCs w:val="24"/>
        </w:rPr>
      </w:r>
      <w:r/>
    </w:p>
    <w:p>
      <w:pPr>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p>
    <w:p>
      <w:pPr>
        <w:ind w:firstLine="560"/>
        <w:jc w:val="left"/>
        <w:spacing w:before="120" w:after="12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720"/>
      </w:tblGrid>
      <w:tr>
        <w:trPr>
          <w:jc w:val="center"/>
          <w:trHeight w:val="526"/>
        </w:trPr>
        <w:tc>
          <w:tcPr>
            <w:tcW w:w="1405" w:type="dxa"/>
            <w:vAlign w:val="center"/>
            <w:textDirection w:val="lrTb"/>
            <w:noWrap w:val="false"/>
          </w:tcPr>
          <w:p>
            <w:pPr>
              <w:jc w:val="center"/>
              <w:spacing w:line="360" w:lineRule="auto"/>
              <w:widowControl/>
              <w:rPr>
                <w:rFonts w:ascii="Times New Roman" w:hAnsi="Times New Roman" w:cs="宋体"/>
                <w:b/>
                <w:sz w:val="24"/>
                <w:szCs w:val="24"/>
              </w:rPr>
            </w:pPr>
            <w:r/>
            <w:bookmarkStart w:id="185" w:name="RANGE!A1"/>
            <w:r>
              <w:rPr>
                <w:rFonts w:hint="eastAsia" w:ascii="Times New Roman" w:hAnsi="Times New Roman" w:cs="宋体"/>
                <w:b/>
                <w:sz w:val="24"/>
                <w:szCs w:val="24"/>
              </w:rPr>
              <w:t xml:space="preserve">评审因素</w:t>
            </w:r>
            <w:bookmarkEnd w:id="185"/>
            <w:r/>
            <w:r/>
          </w:p>
        </w:tc>
        <w:tc>
          <w:tcPr>
            <w:tcW w:w="1114" w:type="dxa"/>
            <w:vAlign w:val="center"/>
            <w:textDirection w:val="lrTb"/>
            <w:noWrap w:val="false"/>
          </w:tcPr>
          <w:p>
            <w:pPr>
              <w:jc w:val="center"/>
              <w:spacing w:line="360" w:lineRule="auto"/>
              <w:widowControl/>
              <w:rPr>
                <w:rFonts w:ascii="Times New Roman" w:hAnsi="Times New Roman" w:cs="宋体"/>
                <w:b/>
                <w:sz w:val="24"/>
                <w:szCs w:val="24"/>
              </w:rPr>
            </w:pPr>
            <w:r>
              <w:rPr>
                <w:rFonts w:hint="eastAsia" w:ascii="Times New Roman" w:hAnsi="Times New Roman" w:cs="宋体"/>
                <w:b/>
                <w:sz w:val="24"/>
                <w:szCs w:val="24"/>
              </w:rPr>
              <w:t xml:space="preserve">分数</w:t>
            </w:r>
            <w:r/>
          </w:p>
        </w:tc>
        <w:tc>
          <w:tcPr>
            <w:tcW w:w="6720" w:type="dxa"/>
            <w:vAlign w:val="center"/>
            <w:textDirection w:val="lrTb"/>
            <w:noWrap w:val="false"/>
          </w:tcPr>
          <w:p>
            <w:pPr>
              <w:jc w:val="center"/>
              <w:spacing w:line="360" w:lineRule="auto"/>
              <w:widowControl/>
              <w:rPr>
                <w:rFonts w:ascii="Times New Roman" w:hAnsi="Times New Roman" w:cs="宋体"/>
                <w:b/>
                <w:sz w:val="24"/>
                <w:szCs w:val="24"/>
              </w:rPr>
            </w:pPr>
            <w:r>
              <w:rPr>
                <w:rFonts w:hint="eastAsia" w:ascii="Times New Roman" w:hAnsi="Times New Roman" w:cs="宋体"/>
                <w:b/>
                <w:sz w:val="24"/>
                <w:szCs w:val="24"/>
              </w:rPr>
              <w:t xml:space="preserve">评审标准</w:t>
            </w:r>
            <w:r/>
          </w:p>
        </w:tc>
      </w:tr>
      <w:tr>
        <w:trPr>
          <w:jc w:val="center"/>
          <w:trHeight w:val="251"/>
        </w:trPr>
        <w:tc>
          <w:tcPr>
            <w:tcW w:w="1405" w:type="dxa"/>
            <w:vAlign w:val="center"/>
            <w:textDirection w:val="lrTb"/>
            <w:noWrap w:val="false"/>
          </w:tcPr>
          <w:p>
            <w:pPr>
              <w:jc w:val="center"/>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1投标报价</w:t>
            </w:r>
            <w:r/>
          </w:p>
        </w:tc>
        <w:tc>
          <w:tcPr>
            <w:tcW w:w="1114" w:type="dxa"/>
            <w:vAlign w:val="center"/>
            <w:textDirection w:val="lrTb"/>
            <w:noWrap w:val="false"/>
          </w:tcPr>
          <w:p>
            <w:pPr>
              <w:jc w:val="center"/>
              <w:spacing w:line="360" w:lineRule="auto"/>
              <w:widowControl/>
              <w:rPr>
                <w:rFonts w:ascii="Times New Roman" w:hAnsi="Times New Roman" w:cs="宋体"/>
                <w:sz w:val="24"/>
                <w:szCs w:val="24"/>
              </w:rPr>
            </w:pPr>
            <w:r>
              <w:rPr>
                <w:rFonts w:hint="eastAsia" w:ascii="Times New Roman" w:hAnsi="Times New Roman" w:cs="宋体"/>
                <w:sz w:val="24"/>
                <w:szCs w:val="24"/>
                <w:lang w:val="en-US" w:eastAsia="zh-CN"/>
              </w:rPr>
              <w:t xml:space="preserve">3</w:t>
            </w:r>
            <w:r>
              <w:rPr>
                <w:rFonts w:hint="eastAsia" w:cs="宋体"/>
                <w:sz w:val="24"/>
                <w:szCs w:val="24"/>
                <w:lang w:val="en-US" w:eastAsia="zh-CN"/>
              </w:rPr>
              <w:t xml:space="preserve">1</w:t>
            </w:r>
            <w:r>
              <w:rPr>
                <w:rFonts w:hint="eastAsia" w:ascii="Times New Roman" w:hAnsi="Times New Roman" w:cs="宋体"/>
                <w:sz w:val="24"/>
                <w:szCs w:val="24"/>
              </w:rPr>
              <w:t xml:space="preserve">.00分</w:t>
            </w:r>
            <w:r/>
          </w:p>
        </w:tc>
        <w:tc>
          <w:tcPr>
            <w:tcW w:w="6720" w:type="dxa"/>
            <w:vAlign w:val="center"/>
            <w:textDirection w:val="lrTb"/>
            <w:noWrap w:val="false"/>
          </w:tcPr>
          <w:p>
            <w:pPr>
              <w:spacing w:line="360" w:lineRule="auto"/>
              <w:widowControl/>
              <w:rPr>
                <w:rFonts w:ascii="Times New Roman" w:hAnsi="Times New Roman" w:cs="宋体"/>
                <w:sz w:val="24"/>
                <w:szCs w:val="24"/>
              </w:rPr>
            </w:pPr>
            <w:r>
              <w:rPr>
                <w:rFonts w:hint="eastAsia" w:ascii="宋体" w:hAnsi="宋体" w:cs="宋体"/>
                <w:sz w:val="24"/>
                <w:lang w:bidi="ar"/>
              </w:rPr>
              <w:t xml:space="preserve">价格分采用低价优先法计算，即满足采购文件要求且投标价格最低的供应商投标报价为评标基准价，其价格分为满分</w:t>
            </w:r>
            <w:r>
              <w:rPr>
                <w:rFonts w:hint="eastAsia" w:ascii="宋体" w:hAnsi="宋体" w:cs="宋体"/>
                <w:sz w:val="24"/>
                <w:lang w:val="en-US" w:eastAsia="zh-CN" w:bidi="ar"/>
              </w:rPr>
              <w:t xml:space="preserve">31</w:t>
            </w:r>
            <w:r>
              <w:rPr>
                <w:rFonts w:hint="eastAsia" w:ascii="宋体" w:hAnsi="宋体" w:cs="宋体"/>
                <w:sz w:val="24"/>
                <w:lang w:bidi="ar"/>
              </w:rPr>
              <w:t xml:space="preserve">分，其它投标人的价格分统一按照以下公式计算：投标报价得分=（评标基准价/该投标人的投标报价）×3</w:t>
            </w:r>
            <w:r>
              <w:rPr>
                <w:rFonts w:hint="eastAsia" w:ascii="宋体" w:hAnsi="宋体" w:cs="宋体"/>
                <w:sz w:val="24"/>
                <w:lang w:val="en-US" w:eastAsia="zh-CN" w:bidi="ar"/>
              </w:rPr>
              <w:t xml:space="preserve">1</w:t>
            </w:r>
            <w:r>
              <w:rPr>
                <w:rFonts w:hint="eastAsia" w:ascii="宋体" w:hAnsi="宋体" w:cs="宋体"/>
                <w:sz w:val="24"/>
                <w:lang w:bidi="ar"/>
              </w:rPr>
              <w:t xml:space="preserve">分。分值保留小数点后2位。</w:t>
            </w:r>
            <w:r/>
          </w:p>
        </w:tc>
      </w:tr>
      <w:tr>
        <w:trPr>
          <w:jc w:val="center"/>
          <w:trHeight w:val="789"/>
        </w:trPr>
        <w:tc>
          <w:tcPr>
            <w:tcW w:w="1405" w:type="dxa"/>
            <w:vAlign w:val="center"/>
            <w:textDirection w:val="lrTb"/>
            <w:noWrap w:val="false"/>
          </w:tcPr>
          <w:p>
            <w:pPr>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2技术响应</w:t>
            </w:r>
            <w:r/>
          </w:p>
        </w:tc>
        <w:tc>
          <w:tcPr>
            <w:tcW w:w="1114" w:type="dxa"/>
            <w:vAlign w:val="center"/>
            <w:textDirection w:val="lrTb"/>
            <w:noWrap w:val="false"/>
          </w:tcPr>
          <w:p>
            <w:pPr>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2</w:t>
            </w:r>
            <w:r>
              <w:rPr>
                <w:rFonts w:hint="eastAsia" w:cs="宋体"/>
                <w:color w:val="000000"/>
                <w:sz w:val="24"/>
                <w:szCs w:val="24"/>
                <w:lang w:val="en-US" w:eastAsia="zh-CN"/>
              </w:rPr>
              <w:t xml:space="preserve">4</w:t>
            </w:r>
            <w:r>
              <w:rPr>
                <w:rFonts w:hint="eastAsia" w:ascii="Times New Roman" w:hAnsi="Times New Roman" w:cs="宋体"/>
                <w:color w:val="000000"/>
                <w:sz w:val="24"/>
                <w:szCs w:val="24"/>
                <w:lang w:val="en-US" w:eastAsia="zh-CN"/>
              </w:rPr>
              <w:t xml:space="preserve">.</w:t>
            </w:r>
            <w:r>
              <w:rPr>
                <w:rFonts w:hint="eastAsia" w:ascii="Times New Roman" w:hAnsi="Times New Roman" w:cs="宋体"/>
                <w:color w:val="000000"/>
                <w:sz w:val="24"/>
                <w:szCs w:val="24"/>
              </w:rPr>
              <w:t xml:space="preserve">00分</w:t>
            </w:r>
            <w:r/>
          </w:p>
        </w:tc>
        <w:tc>
          <w:tcPr>
            <w:tcW w:w="6720" w:type="dxa"/>
            <w:vAlign w:val="center"/>
            <w:textDirection w:val="lrTb"/>
            <w:noWrap w:val="false"/>
          </w:tcPr>
          <w:p>
            <w:pP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针对招标文件“第四部分、采购需求”中的“技术参数要求”表中所列内容进行评分，“▲”为重点参数要求共计</w:t>
            </w:r>
            <w:r>
              <w:rPr>
                <w:rFonts w:hint="eastAsia" w:ascii="Times New Roman" w:hAnsi="Times New Roman" w:cs="宋体"/>
                <w:color w:val="000000"/>
                <w:sz w:val="24"/>
                <w:szCs w:val="24"/>
                <w:lang w:val="en-US" w:eastAsia="zh-CN"/>
              </w:rPr>
              <w:t xml:space="preserve">12</w:t>
            </w:r>
            <w:r>
              <w:rPr>
                <w:rFonts w:hint="eastAsia" w:ascii="Times New Roman" w:hAnsi="Times New Roman" w:cs="宋体"/>
                <w:color w:val="000000"/>
                <w:sz w:val="24"/>
                <w:szCs w:val="24"/>
              </w:rPr>
              <w:t xml:space="preserve">项，每有一项（一个句号的完整内容为一“项”）不满足的扣</w:t>
            </w:r>
            <w:r>
              <w:rPr>
                <w:rFonts w:hint="eastAsia" w:ascii="Times New Roman" w:hAnsi="Times New Roman" w:cs="宋体"/>
                <w:color w:val="000000"/>
                <w:sz w:val="24"/>
                <w:szCs w:val="24"/>
                <w:lang w:val="en-US" w:eastAsia="zh-CN"/>
              </w:rPr>
              <w:t xml:space="preserve">1.5</w:t>
            </w:r>
            <w:r>
              <w:rPr>
                <w:rFonts w:hint="eastAsia" w:ascii="Times New Roman" w:hAnsi="Times New Roman" w:cs="宋体"/>
                <w:color w:val="000000"/>
                <w:sz w:val="24"/>
                <w:szCs w:val="24"/>
              </w:rPr>
              <w:t xml:space="preserve">分；其余一般参数项共计</w:t>
            </w:r>
            <w:r>
              <w:rPr>
                <w:rFonts w:hint="eastAsia" w:ascii="Times New Roman" w:hAnsi="Times New Roman" w:cs="宋体"/>
                <w:color w:val="000000"/>
                <w:sz w:val="24"/>
                <w:szCs w:val="24"/>
                <w:lang w:val="en-US" w:eastAsia="zh-CN"/>
              </w:rPr>
              <w:t xml:space="preserve">6</w:t>
            </w:r>
            <w:r>
              <w:rPr>
                <w:rFonts w:hint="eastAsia" w:ascii="Times New Roman" w:hAnsi="Times New Roman" w:cs="宋体"/>
                <w:color w:val="000000"/>
                <w:sz w:val="24"/>
                <w:szCs w:val="24"/>
              </w:rPr>
              <w:t xml:space="preserve">项，每有一项（一个序号完整内容为一“项”，其中“</w:t>
            </w:r>
            <w:r>
              <w:rPr>
                <w:rFonts w:hint="eastAsia"/>
                <w:i/>
                <w:iCs/>
                <w:sz w:val="24"/>
                <w:szCs w:val="24"/>
                <w:u w:val="single"/>
              </w:rPr>
              <w:t xml:space="preserve">斜体下划</w:t>
            </w:r>
            <w:r>
              <w:rPr>
                <w:rFonts w:hint="eastAsia" w:ascii="Times New Roman" w:hAnsi="Times New Roman"/>
                <w:color w:val="000000"/>
                <w:sz w:val="24"/>
                <w:szCs w:val="24"/>
              </w:rPr>
              <w:t xml:space="preserve">”和</w:t>
            </w:r>
            <w:r>
              <w:rPr>
                <w:rFonts w:hint="eastAsia" w:ascii="Times New Roman" w:hAnsi="Times New Roman" w:cs="宋体"/>
                <w:color w:val="000000"/>
                <w:sz w:val="24"/>
                <w:szCs w:val="24"/>
              </w:rPr>
              <w:t xml:space="preserve">“▲”项除外）负偏离扣</w:t>
            </w:r>
            <w:r>
              <w:rPr>
                <w:rFonts w:hint="eastAsia" w:cs="宋体"/>
                <w:color w:val="000000"/>
                <w:sz w:val="24"/>
                <w:szCs w:val="24"/>
                <w:lang w:val="en-US" w:eastAsia="zh-CN"/>
              </w:rPr>
              <w:t xml:space="preserve">1</w:t>
            </w:r>
            <w:r>
              <w:rPr>
                <w:rFonts w:hint="eastAsia" w:ascii="Times New Roman" w:hAnsi="Times New Roman" w:cs="宋体"/>
                <w:color w:val="000000"/>
                <w:sz w:val="24"/>
                <w:szCs w:val="24"/>
              </w:rPr>
              <w:t xml:space="preserve">分。</w:t>
            </w:r>
            <w:r/>
          </w:p>
          <w:p>
            <w:pPr>
              <w:spacing w:line="360" w:lineRule="auto"/>
              <w:widowControl/>
              <w:rPr>
                <w:rFonts w:ascii="Times New Roman" w:hAnsi="Times New Roman"/>
                <w:color w:val="000000"/>
                <w:sz w:val="24"/>
              </w:rPr>
            </w:pPr>
            <w:r>
              <w:rPr>
                <w:rFonts w:hint="eastAsia" w:ascii="Times New Roman" w:hAnsi="Times New Roman" w:cs="宋体"/>
                <w:color w:val="000000"/>
                <w:sz w:val="24"/>
                <w:szCs w:val="24"/>
              </w:rPr>
              <w:t xml:space="preserve">注：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w:t>
            </w:r>
            <w:r/>
          </w:p>
        </w:tc>
      </w:tr>
      <w:tr>
        <w:trPr>
          <w:jc w:val="center"/>
          <w:trHeight w:val="534"/>
        </w:trPr>
        <w:tc>
          <w:tcPr>
            <w:tcW w:w="1405" w:type="dxa"/>
            <w:vAlign w:val="center"/>
            <w:textDirection w:val="lrTb"/>
            <w:noWrap w:val="false"/>
          </w:tcPr>
          <w:p>
            <w:pPr>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3企业</w:t>
            </w:r>
            <w:r/>
          </w:p>
          <w:p>
            <w:pPr>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业绩</w:t>
            </w:r>
            <w:r/>
          </w:p>
        </w:tc>
        <w:tc>
          <w:tcPr>
            <w:tcW w:w="1114" w:type="dxa"/>
            <w:vAlign w:val="center"/>
            <w:textDirection w:val="lrTb"/>
            <w:noWrap w:val="false"/>
          </w:tcPr>
          <w:p>
            <w:pPr>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3</w:t>
            </w:r>
            <w:r>
              <w:rPr>
                <w:rFonts w:hint="eastAsia" w:ascii="Times New Roman" w:hAnsi="Times New Roman" w:cs="宋体"/>
                <w:color w:val="000000"/>
                <w:sz w:val="24"/>
                <w:szCs w:val="24"/>
              </w:rPr>
              <w:t xml:space="preserve">.00</w:t>
            </w:r>
            <w:bookmarkStart w:id="186" w:name="OLE_LINK13"/>
            <w:r>
              <w:rPr>
                <w:rFonts w:hint="eastAsia" w:ascii="Times New Roman" w:hAnsi="Times New Roman" w:cs="宋体"/>
                <w:color w:val="000000"/>
                <w:sz w:val="24"/>
                <w:szCs w:val="24"/>
              </w:rPr>
              <w:t xml:space="preserve">分</w:t>
            </w:r>
            <w:bookmarkEnd w:id="186"/>
            <w:r/>
            <w:r/>
          </w:p>
        </w:tc>
        <w:tc>
          <w:tcPr>
            <w:tcW w:w="6720" w:type="dxa"/>
            <w:vAlign w:val="center"/>
            <w:textDirection w:val="lrTb"/>
            <w:noWrap w:val="false"/>
          </w:tcPr>
          <w:p>
            <w:pP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投标人自202</w:t>
            </w:r>
            <w:r>
              <w:rPr>
                <w:rFonts w:hint="eastAsia" w:ascii="Times New Roman" w:hAnsi="Times New Roman" w:cs="宋体"/>
                <w:color w:val="000000"/>
                <w:sz w:val="24"/>
                <w:szCs w:val="24"/>
                <w:lang w:val="en-US" w:eastAsia="zh-CN"/>
              </w:rPr>
              <w:t xml:space="preserve">4</w:t>
            </w:r>
            <w:r>
              <w:rPr>
                <w:rFonts w:hint="eastAsia" w:ascii="Times New Roman" w:hAnsi="Times New Roman" w:cs="宋体"/>
                <w:color w:val="000000"/>
                <w:sz w:val="24"/>
                <w:szCs w:val="24"/>
              </w:rPr>
              <w:t xml:space="preserve">年1月1日以来（以合同签订时间为准），具有</w:t>
            </w:r>
            <w:r>
              <w:rPr>
                <w:rFonts w:hint="eastAsia" w:ascii="Times New Roman" w:hAnsi="Times New Roman" w:cs="宋体"/>
                <w:color w:val="000000"/>
                <w:sz w:val="24"/>
                <w:szCs w:val="24"/>
                <w:highlight w:val="none"/>
              </w:rPr>
              <w:t xml:space="preserve">算力服务器类似项目业</w:t>
            </w:r>
            <w:r>
              <w:rPr>
                <w:rFonts w:hint="eastAsia" w:ascii="Times New Roman" w:hAnsi="Times New Roman" w:cs="宋体"/>
                <w:color w:val="000000"/>
                <w:sz w:val="24"/>
                <w:szCs w:val="24"/>
              </w:rPr>
              <w:t xml:space="preserve">绩的，每有一个得</w:t>
            </w:r>
            <w:r>
              <w:rPr>
                <w:rFonts w:hint="eastAsia" w:ascii="Times New Roman" w:hAnsi="Times New Roman" w:cs="宋体"/>
                <w:color w:val="000000"/>
                <w:sz w:val="24"/>
                <w:szCs w:val="24"/>
                <w:lang w:val="en-US" w:eastAsia="zh-CN"/>
              </w:rPr>
              <w:t xml:space="preserve">1</w:t>
            </w:r>
            <w:r>
              <w:rPr>
                <w:rFonts w:hint="eastAsia" w:ascii="Times New Roman" w:hAnsi="Times New Roman" w:cs="宋体"/>
                <w:color w:val="000000"/>
                <w:sz w:val="24"/>
                <w:szCs w:val="24"/>
              </w:rPr>
              <w:t xml:space="preserve">分，最高得</w:t>
            </w:r>
            <w:r>
              <w:rPr>
                <w:rFonts w:hint="eastAsia" w:ascii="Times New Roman" w:hAnsi="Times New Roman" w:cs="宋体"/>
                <w:color w:val="000000"/>
                <w:sz w:val="24"/>
                <w:szCs w:val="24"/>
                <w:lang w:val="en-US" w:eastAsia="zh-CN"/>
              </w:rPr>
              <w:t xml:space="preserve">3</w:t>
            </w:r>
            <w:r>
              <w:rPr>
                <w:rFonts w:hint="eastAsia" w:ascii="Times New Roman" w:hAnsi="Times New Roman" w:cs="宋体"/>
                <w:color w:val="000000"/>
                <w:sz w:val="24"/>
                <w:szCs w:val="24"/>
              </w:rPr>
              <w:t xml:space="preserve">分。</w:t>
            </w:r>
            <w:r/>
          </w:p>
          <w:p>
            <w:pP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注：提供合同电子件复印件（主要内容清晰可见，含主要标的物、合同金额和合同盖章页等）。</w:t>
            </w:r>
            <w:r/>
          </w:p>
        </w:tc>
      </w:tr>
      <w:tr>
        <w:trPr>
          <w:jc w:val="center"/>
          <w:trHeight w:val="274"/>
        </w:trPr>
        <w:tc>
          <w:tcPr>
            <w:tcW w:w="1405" w:type="dxa"/>
            <w:vAlign w:val="center"/>
            <w:textDirection w:val="lrTb"/>
            <w:noWrap w:val="false"/>
          </w:tcPr>
          <w:p>
            <w:pPr>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4企业</w:t>
            </w:r>
            <w:r/>
          </w:p>
          <w:p>
            <w:pPr>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证书</w:t>
            </w:r>
            <w:r/>
          </w:p>
        </w:tc>
        <w:tc>
          <w:tcPr>
            <w:tcW w:w="1114" w:type="dxa"/>
            <w:vAlign w:val="center"/>
            <w:textDirection w:val="lrTb"/>
            <w:noWrap w:val="false"/>
          </w:tcPr>
          <w:p>
            <w:pPr>
              <w:jc w:val="cente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1</w:t>
            </w:r>
            <w:r>
              <w:rPr>
                <w:rFonts w:hint="eastAsia" w:ascii="Times New Roman" w:hAnsi="Times New Roman" w:cs="宋体"/>
                <w:color w:val="000000"/>
                <w:sz w:val="24"/>
                <w:szCs w:val="24"/>
              </w:rPr>
              <w:t xml:space="preserve">.00分</w:t>
            </w:r>
            <w:r/>
          </w:p>
        </w:tc>
        <w:tc>
          <w:tcPr>
            <w:tcW w:w="6720" w:type="dxa"/>
            <w:vAlign w:val="center"/>
            <w:textDirection w:val="lrTb"/>
            <w:noWrap w:val="false"/>
          </w:tcPr>
          <w:p>
            <w:pPr>
              <w:numPr>
                <w:ilvl w:val="0"/>
                <w:numId w:val="11"/>
              </w:numPr>
              <w:ind w:left="425" w:hanging="425"/>
              <w:spacing w:line="360" w:lineRule="auto"/>
              <w:widowControl/>
            </w:pPr>
            <w:r>
              <w:rPr>
                <w:rFonts w:hint="eastAsia" w:ascii="Times New Roman" w:hAnsi="Times New Roman" w:cs="宋体"/>
                <w:color w:val="000000"/>
                <w:sz w:val="24"/>
                <w:szCs w:val="24"/>
              </w:rPr>
              <w:t xml:space="preserve">投标人具有国家认监委认可的机构颁发的有效期内的质量管理体系认证证书（ISO9001）</w:t>
            </w:r>
            <w:r>
              <w:rPr>
                <w:rFonts w:hint="eastAsia" w:ascii="Times New Roman" w:hAnsi="Times New Roman" w:cs="宋体"/>
                <w:color w:val="000000"/>
                <w:sz w:val="24"/>
                <w:szCs w:val="24"/>
                <w:lang w:val="en-US" w:eastAsia="zh-CN"/>
              </w:rPr>
              <w:t xml:space="preserve">的</w:t>
            </w:r>
            <w:r>
              <w:rPr>
                <w:rFonts w:hint="eastAsia" w:ascii="Times New Roman" w:hAnsi="Times New Roman" w:cs="宋体"/>
                <w:color w:val="000000"/>
                <w:sz w:val="24"/>
                <w:szCs w:val="24"/>
              </w:rPr>
              <w:t xml:space="preserve">，本项最高得</w:t>
            </w:r>
            <w:r>
              <w:rPr>
                <w:rFonts w:hint="eastAsia" w:ascii="Times New Roman" w:hAnsi="Times New Roman" w:cs="宋体"/>
                <w:color w:val="000000"/>
                <w:sz w:val="24"/>
                <w:szCs w:val="24"/>
                <w:lang w:val="en-US" w:eastAsia="zh-CN"/>
              </w:rPr>
              <w:t xml:space="preserve">1</w:t>
            </w:r>
            <w:r>
              <w:rPr>
                <w:rFonts w:hint="eastAsia" w:ascii="Times New Roman" w:hAnsi="Times New Roman" w:cs="宋体"/>
                <w:color w:val="000000"/>
                <w:sz w:val="24"/>
                <w:szCs w:val="24"/>
              </w:rPr>
              <w:t xml:space="preserve">分，不提供不得分。</w:t>
            </w:r>
            <w:r/>
          </w:p>
        </w:tc>
      </w:tr>
      <w:tr>
        <w:trPr>
          <w:jc w:val="center"/>
          <w:trHeight w:val="786"/>
        </w:trPr>
        <w:tc>
          <w:tcPr>
            <w:tcW w:w="1405" w:type="dxa"/>
            <w:vAlign w:val="center"/>
            <w:textDirection w:val="lrTb"/>
            <w:noWrap w:val="false"/>
          </w:tcPr>
          <w:p>
            <w:pPr>
              <w:jc w:val="center"/>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5项目实施方案</w:t>
            </w:r>
            <w:r/>
          </w:p>
        </w:tc>
        <w:tc>
          <w:tcPr>
            <w:tcW w:w="1114" w:type="dxa"/>
            <w:vAlign w:val="center"/>
            <w:textDirection w:val="lrTb"/>
            <w:noWrap w:val="false"/>
          </w:tcPr>
          <w:p>
            <w:pPr>
              <w:jc w:val="center"/>
              <w:spacing w:line="360" w:lineRule="auto"/>
              <w:widowControl/>
              <w:rPr>
                <w:rFonts w:ascii="Times New Roman" w:hAnsi="Times New Roman" w:cs="宋体"/>
                <w:sz w:val="24"/>
                <w:szCs w:val="24"/>
              </w:rPr>
            </w:pPr>
            <w:r>
              <w:rPr>
                <w:rFonts w:hint="eastAsia" w:ascii="Times New Roman" w:hAnsi="Times New Roman" w:cs="宋体"/>
                <w:sz w:val="24"/>
                <w:szCs w:val="24"/>
                <w:lang w:val="en-US" w:eastAsia="zh-CN"/>
              </w:rPr>
              <w:t xml:space="preserve">5</w:t>
            </w:r>
            <w:r>
              <w:rPr>
                <w:rFonts w:hint="eastAsia" w:ascii="Times New Roman" w:hAnsi="Times New Roman" w:cs="宋体"/>
                <w:sz w:val="24"/>
                <w:szCs w:val="24"/>
              </w:rPr>
              <w:t xml:space="preserve">.00分</w:t>
            </w:r>
            <w:r/>
          </w:p>
        </w:tc>
        <w:tc>
          <w:tcPr>
            <w:tcW w:w="6720" w:type="dxa"/>
            <w:vAlign w:val="center"/>
            <w:textDirection w:val="lrTb"/>
            <w:noWrap w:val="false"/>
          </w:tcPr>
          <w:p>
            <w:pPr>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（1）投标文件未符合“</w:t>
            </w:r>
            <w:r>
              <w:rPr>
                <w:rFonts w:hint="eastAsia" w:ascii="Times New Roman" w:hAnsi="Times New Roman" w:cs="宋体"/>
                <w:sz w:val="24"/>
                <w:szCs w:val="24"/>
              </w:rPr>
              <w:t xml:space="preserve">项目实施方案</w:t>
            </w:r>
            <w:r>
              <w:rPr>
                <w:rFonts w:hint="eastAsia" w:ascii="Times New Roman" w:hAnsi="Times New Roman" w:cs="宋体"/>
                <w:sz w:val="24"/>
                <w:szCs w:val="24"/>
                <w:highlight w:val="none"/>
              </w:rPr>
              <w:t xml:space="preserve">”中全部条款要求的，视为不符合招标文件，本项得0分。</w:t>
            </w:r>
            <w:r/>
          </w:p>
          <w:p>
            <w:pPr>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（2）投标文件符合“</w:t>
            </w:r>
            <w:r>
              <w:rPr>
                <w:rFonts w:hint="eastAsia" w:ascii="Times New Roman" w:hAnsi="Times New Roman" w:cs="宋体"/>
                <w:sz w:val="24"/>
                <w:szCs w:val="24"/>
              </w:rPr>
              <w:t xml:space="preserve">项目实施方案</w:t>
            </w:r>
            <w:r>
              <w:rPr>
                <w:rFonts w:hint="eastAsia" w:ascii="Times New Roman" w:hAnsi="Times New Roman" w:cs="宋体"/>
                <w:sz w:val="24"/>
                <w:szCs w:val="24"/>
                <w:highlight w:val="none"/>
              </w:rPr>
              <w:t xml:space="preserve">”中全部条款要求的，视为符合招标文件，本项得3分。</w:t>
            </w:r>
            <w:r/>
          </w:p>
          <w:p>
            <w:pPr>
              <w:spacing w:line="360" w:lineRule="auto"/>
              <w:rPr>
                <w:rFonts w:ascii="Times New Roman" w:hAnsi="Times New Roman" w:cs="宋体"/>
                <w:sz w:val="24"/>
                <w:szCs w:val="24"/>
                <w:highlight w:val="none"/>
              </w:rPr>
            </w:pPr>
            <w:r>
              <w:rPr>
                <w:rFonts w:hint="eastAsia" w:ascii="Times New Roman" w:hAnsi="Times New Roman" w:cs="宋体"/>
                <w:sz w:val="24"/>
                <w:szCs w:val="24"/>
                <w:highlight w:val="none"/>
              </w:rPr>
              <w:t xml:space="preserve">（3）经评委认定，投标文件对“项目实施方案”中“项目实施组织及人员配置”“项目进度及实施过程管理”“质量保障及风险控制措施”三项要求的响应内容全部优于招标文件要求的（前提是投标文件对“项目实施方案”中除“项目实施组织及人员配置”“项目进度及实施过程管理”“质量保障及风险控制措施”外的其他要求响应内容符合招标文件要求），本项得5分。</w:t>
            </w:r>
            <w:r/>
          </w:p>
        </w:tc>
      </w:tr>
      <w:tr>
        <w:trPr>
          <w:jc w:val="center"/>
          <w:trHeight w:val="786"/>
        </w:trPr>
        <w:tc>
          <w:tcPr>
            <w:tcW w:w="1405" w:type="dxa"/>
            <w:vAlign w:val="center"/>
            <w:textDirection w:val="lrTb"/>
            <w:noWrap w:val="false"/>
          </w:tcPr>
          <w:p>
            <w:pPr>
              <w:jc w:val="center"/>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6售后服务方案</w:t>
            </w:r>
            <w:r/>
          </w:p>
        </w:tc>
        <w:tc>
          <w:tcPr>
            <w:tcW w:w="1114" w:type="dxa"/>
            <w:vAlign w:val="center"/>
            <w:textDirection w:val="lrTb"/>
            <w:noWrap w:val="false"/>
          </w:tcPr>
          <w:p>
            <w:pPr>
              <w:jc w:val="center"/>
              <w:spacing w:line="360" w:lineRule="auto"/>
              <w:widowControl/>
              <w:rPr>
                <w:rFonts w:ascii="Times New Roman" w:hAnsi="Times New Roman" w:cs="宋体"/>
                <w:sz w:val="24"/>
                <w:szCs w:val="24"/>
              </w:rPr>
            </w:pPr>
            <w:r>
              <w:rPr>
                <w:rFonts w:hint="eastAsia" w:ascii="Times New Roman" w:hAnsi="Times New Roman" w:cs="宋体"/>
                <w:sz w:val="24"/>
                <w:szCs w:val="24"/>
                <w:lang w:val="en-US" w:eastAsia="zh-CN"/>
              </w:rPr>
              <w:t xml:space="preserve">5</w:t>
            </w:r>
            <w:r>
              <w:rPr>
                <w:rFonts w:hint="eastAsia" w:ascii="Times New Roman" w:hAnsi="Times New Roman" w:cs="宋体"/>
                <w:sz w:val="24"/>
                <w:szCs w:val="24"/>
              </w:rPr>
              <w:t xml:space="preserve">.00分</w:t>
            </w:r>
            <w:r/>
          </w:p>
        </w:tc>
        <w:tc>
          <w:tcPr>
            <w:tcW w:w="6720" w:type="dxa"/>
            <w:vAlign w:val="center"/>
            <w:textDirection w:val="lrTb"/>
            <w:noWrap w:val="false"/>
          </w:tcPr>
          <w:p>
            <w:pPr>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（1）投标文件未符合“</w:t>
            </w:r>
            <w:r>
              <w:rPr>
                <w:rFonts w:hint="eastAsia" w:ascii="Times New Roman" w:hAnsi="Times New Roman" w:cs="宋体"/>
                <w:sz w:val="24"/>
                <w:szCs w:val="24"/>
                <w:highlight w:val="none"/>
              </w:rPr>
              <w:t xml:space="preserve">售后</w:t>
            </w:r>
            <w:r>
              <w:rPr>
                <w:rFonts w:hint="eastAsia" w:ascii="Times New Roman" w:hAnsi="Times New Roman" w:cs="宋体"/>
                <w:sz w:val="24"/>
                <w:szCs w:val="24"/>
              </w:rPr>
              <w:t xml:space="preserve">服务</w:t>
            </w:r>
            <w:r>
              <w:rPr>
                <w:rFonts w:hint="eastAsia" w:ascii="Times New Roman" w:hAnsi="Times New Roman" w:cs="宋体"/>
                <w:sz w:val="24"/>
                <w:szCs w:val="24"/>
                <w:highlight w:val="none"/>
              </w:rPr>
              <w:t xml:space="preserve">方案”中全部条款要求的，视为不符合招标文件，本项得0分。</w:t>
            </w:r>
            <w:r/>
          </w:p>
          <w:p>
            <w:pPr>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（2）投标文件符合“</w:t>
            </w:r>
            <w:r>
              <w:rPr>
                <w:rFonts w:hint="eastAsia" w:ascii="Times New Roman" w:hAnsi="Times New Roman" w:cs="宋体"/>
                <w:sz w:val="24"/>
                <w:szCs w:val="24"/>
                <w:highlight w:val="none"/>
              </w:rPr>
              <w:t xml:space="preserve">售后</w:t>
            </w:r>
            <w:r>
              <w:rPr>
                <w:rFonts w:hint="eastAsia" w:ascii="Times New Roman" w:hAnsi="Times New Roman" w:cs="宋体"/>
                <w:sz w:val="24"/>
                <w:szCs w:val="24"/>
              </w:rPr>
              <w:t xml:space="preserve">服务</w:t>
            </w:r>
            <w:r>
              <w:rPr>
                <w:rFonts w:hint="eastAsia" w:ascii="Times New Roman" w:hAnsi="Times New Roman" w:cs="宋体"/>
                <w:sz w:val="24"/>
                <w:szCs w:val="24"/>
                <w:highlight w:val="none"/>
              </w:rPr>
              <w:t xml:space="preserve">方案”中全部条款要求的，视为符合招标文件，本项得3分。</w:t>
            </w:r>
            <w:r/>
          </w:p>
          <w:p>
            <w:pPr>
              <w:spacing w:line="360" w:lineRule="auto"/>
              <w:rPr>
                <w:rFonts w:ascii="Times New Roman" w:hAnsi="Times New Roman" w:cs="宋体"/>
                <w:sz w:val="24"/>
                <w:szCs w:val="24"/>
                <w:highlight w:val="none"/>
              </w:rPr>
            </w:pPr>
            <w:r>
              <w:rPr>
                <w:rFonts w:hint="eastAsia" w:ascii="Times New Roman" w:hAnsi="Times New Roman" w:cs="宋体"/>
                <w:sz w:val="24"/>
                <w:szCs w:val="24"/>
                <w:highlight w:val="none"/>
              </w:rPr>
              <w:t xml:space="preserve">（3）经评委认定，投标文件对“售后服务方案”中“售后服务响应及技术支持保障”“设备维护、巡检及备品备件保障”“专家运维及系统安全保障”三项要求的响应内容全部优于招标文件要求的（前提是投标文件对“售后服务方案”中除“售后服务响应及技术支持保障”“设备维护、巡检及备品备件保障”“专家运维及系统安全保障”外的其他要求响应内容符合招标文件要求），本项得5分。</w:t>
            </w:r>
            <w:r/>
          </w:p>
        </w:tc>
      </w:tr>
      <w:tr>
        <w:trPr>
          <w:jc w:val="center"/>
          <w:trHeight w:val="567"/>
        </w:trPr>
        <w:tc>
          <w:tcPr>
            <w:tcW w:w="1405" w:type="dxa"/>
            <w:vAlign w:val="center"/>
            <w:textDirection w:val="lrTb"/>
            <w:noWrap w:val="false"/>
          </w:tcPr>
          <w:p>
            <w:pPr>
              <w:jc w:val="center"/>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7应急响应方案</w:t>
            </w:r>
            <w:r/>
          </w:p>
        </w:tc>
        <w:tc>
          <w:tcPr>
            <w:tcW w:w="1114" w:type="dxa"/>
            <w:vAlign w:val="center"/>
            <w:textDirection w:val="lrTb"/>
            <w:noWrap w:val="false"/>
          </w:tcPr>
          <w:p>
            <w:pPr>
              <w:jc w:val="center"/>
              <w:spacing w:line="360" w:lineRule="auto"/>
              <w:widowControl/>
              <w:rPr>
                <w:rFonts w:ascii="Times New Roman" w:hAnsi="Times New Roman" w:cs="宋体"/>
                <w:sz w:val="24"/>
                <w:szCs w:val="24"/>
              </w:rPr>
            </w:pPr>
            <w:r>
              <w:rPr>
                <w:rFonts w:hint="eastAsia" w:ascii="Times New Roman" w:hAnsi="Times New Roman" w:cs="宋体"/>
                <w:sz w:val="24"/>
                <w:szCs w:val="24"/>
                <w:lang w:val="en-US" w:eastAsia="zh-CN"/>
              </w:rPr>
              <w:t xml:space="preserve">5</w:t>
            </w:r>
            <w:r>
              <w:rPr>
                <w:rFonts w:hint="eastAsia" w:ascii="Times New Roman" w:hAnsi="Times New Roman" w:cs="宋体"/>
                <w:sz w:val="24"/>
                <w:szCs w:val="24"/>
              </w:rPr>
              <w:t xml:space="preserve">.00分</w:t>
            </w:r>
            <w:r/>
          </w:p>
        </w:tc>
        <w:tc>
          <w:tcPr>
            <w:tcW w:w="6720" w:type="dxa"/>
            <w:vAlign w:val="center"/>
            <w:textDirection w:val="lrTb"/>
            <w:noWrap w:val="false"/>
          </w:tcPr>
          <w:p>
            <w:pPr>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（1）投标文件未符合“</w:t>
            </w:r>
            <w:r>
              <w:rPr>
                <w:rFonts w:hint="eastAsia" w:ascii="Times New Roman" w:hAnsi="Times New Roman" w:cs="宋体"/>
                <w:sz w:val="24"/>
                <w:szCs w:val="24"/>
                <w:highlight w:val="none"/>
                <w:lang w:val="en-US" w:eastAsia="zh-CN"/>
              </w:rPr>
              <w:t xml:space="preserve">应急</w:t>
            </w:r>
            <w:r>
              <w:rPr>
                <w:rFonts w:hint="eastAsia" w:ascii="Times New Roman" w:hAnsi="Times New Roman" w:cs="宋体"/>
                <w:sz w:val="24"/>
                <w:szCs w:val="24"/>
                <w:highlight w:val="none"/>
                <w:lang w:val="en-US" w:eastAsia="zh-CN"/>
              </w:rPr>
              <w:t xml:space="preserve">响应</w:t>
            </w:r>
            <w:r>
              <w:rPr>
                <w:rFonts w:hint="eastAsia" w:ascii="Times New Roman" w:hAnsi="Times New Roman" w:cs="宋体"/>
                <w:sz w:val="24"/>
                <w:szCs w:val="24"/>
                <w:highlight w:val="none"/>
              </w:rPr>
              <w:t xml:space="preserve">方案”中全部条款要求的，视为不符合招标文件，本项得0分。</w:t>
            </w:r>
            <w:r/>
          </w:p>
          <w:p>
            <w:pPr>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（2）投标文件符合“</w:t>
            </w:r>
            <w:r>
              <w:rPr>
                <w:rFonts w:hint="eastAsia" w:ascii="Times New Roman" w:hAnsi="Times New Roman" w:cs="宋体"/>
                <w:sz w:val="24"/>
                <w:szCs w:val="24"/>
                <w:highlight w:val="none"/>
                <w:lang w:val="en-US" w:eastAsia="zh-CN"/>
              </w:rPr>
              <w:t xml:space="preserve">应急</w:t>
            </w:r>
            <w:r>
              <w:rPr>
                <w:rFonts w:hint="eastAsia" w:ascii="Times New Roman" w:hAnsi="Times New Roman" w:cs="宋体"/>
                <w:sz w:val="24"/>
                <w:szCs w:val="24"/>
                <w:highlight w:val="none"/>
                <w:lang w:val="en-US" w:eastAsia="zh-CN"/>
              </w:rPr>
              <w:t xml:space="preserve">响应</w:t>
            </w:r>
            <w:r>
              <w:rPr>
                <w:rFonts w:hint="eastAsia" w:ascii="Times New Roman" w:hAnsi="Times New Roman" w:cs="宋体"/>
                <w:sz w:val="24"/>
                <w:szCs w:val="24"/>
                <w:highlight w:val="none"/>
              </w:rPr>
              <w:t xml:space="preserve">方案”中全部条款要求的，视为符合招标文件，本项得3分。</w:t>
            </w:r>
            <w:r/>
          </w:p>
          <w:p>
            <w:pPr>
              <w:spacing w:line="360" w:lineRule="auto"/>
              <w:rPr>
                <w:rFonts w:ascii="Times New Roman" w:hAnsi="Times New Roman" w:cs="宋体"/>
                <w:sz w:val="24"/>
                <w:szCs w:val="24"/>
                <w:highlight w:val="none"/>
              </w:rPr>
            </w:pPr>
            <w:r>
              <w:rPr>
                <w:rFonts w:hint="eastAsia" w:ascii="Times New Roman" w:hAnsi="Times New Roman" w:cs="宋体"/>
                <w:sz w:val="24"/>
                <w:szCs w:val="24"/>
                <w:highlight w:val="none"/>
              </w:rPr>
              <w:t xml:space="preserve">（3）经评委认定，投标文件对“</w:t>
            </w:r>
            <w:r>
              <w:rPr>
                <w:rFonts w:hint="eastAsia" w:ascii="Times New Roman" w:hAnsi="Times New Roman" w:cs="宋体"/>
                <w:sz w:val="24"/>
                <w:szCs w:val="24"/>
                <w:highlight w:val="none"/>
                <w:lang w:val="en-US" w:eastAsia="zh-CN"/>
              </w:rPr>
              <w:t xml:space="preserve">应急</w:t>
            </w:r>
            <w:r>
              <w:rPr>
                <w:rFonts w:hint="eastAsia" w:ascii="Times New Roman" w:hAnsi="Times New Roman" w:cs="宋体"/>
                <w:sz w:val="24"/>
                <w:szCs w:val="24"/>
                <w:highlight w:val="none"/>
                <w:lang w:val="en-US" w:eastAsia="zh-CN"/>
              </w:rPr>
              <w:t xml:space="preserve">响应</w:t>
            </w:r>
            <w:r>
              <w:rPr>
                <w:rFonts w:hint="eastAsia" w:ascii="Times New Roman" w:hAnsi="Times New Roman" w:cs="宋体"/>
                <w:sz w:val="24"/>
                <w:szCs w:val="24"/>
                <w:highlight w:val="none"/>
              </w:rPr>
              <w:t xml:space="preserve">方案”中“撤离安排”“演练次数”“备用计划”三</w:t>
            </w:r>
            <w:bookmarkStart w:id="196" w:name="_GoBack"/>
            <w:r/>
            <w:bookmarkEnd w:id="196"/>
            <w:r>
              <w:rPr>
                <w:rFonts w:hint="eastAsia" w:ascii="Times New Roman" w:hAnsi="Times New Roman" w:cs="宋体"/>
                <w:sz w:val="24"/>
                <w:szCs w:val="24"/>
                <w:highlight w:val="none"/>
              </w:rPr>
              <w:t xml:space="preserve">项要求的响应内容全部优于招标文件要求的</w:t>
            </w:r>
            <w:r>
              <w:rPr>
                <w:rFonts w:hint="eastAsia" w:ascii="Times New Roman" w:hAnsi="Times New Roman" w:cs="宋体"/>
                <w:sz w:val="24"/>
                <w:szCs w:val="24"/>
                <w:highlight w:val="none"/>
              </w:rPr>
              <w:t xml:space="preserve">（</w:t>
            </w:r>
            <w:r>
              <w:rPr>
                <w:rFonts w:hint="eastAsia" w:ascii="Times New Roman" w:hAnsi="Times New Roman" w:cs="宋体"/>
                <w:sz w:val="24"/>
                <w:szCs w:val="24"/>
                <w:highlight w:val="none"/>
              </w:rPr>
              <w:t xml:space="preserve">前提是投标文件对“</w:t>
            </w:r>
            <w:r>
              <w:rPr>
                <w:rFonts w:hint="eastAsia" w:ascii="Times New Roman" w:hAnsi="Times New Roman" w:cs="宋体"/>
                <w:sz w:val="24"/>
                <w:szCs w:val="24"/>
                <w:highlight w:val="none"/>
                <w:lang w:val="en-US" w:eastAsia="zh-CN"/>
              </w:rPr>
              <w:t xml:space="preserve">应急</w:t>
            </w:r>
            <w:r>
              <w:rPr>
                <w:rFonts w:hint="eastAsia" w:ascii="Times New Roman" w:hAnsi="Times New Roman" w:cs="宋体"/>
                <w:sz w:val="24"/>
                <w:szCs w:val="24"/>
                <w:highlight w:val="none"/>
                <w:lang w:val="en-US" w:eastAsia="zh-CN"/>
              </w:rPr>
              <w:t xml:space="preserve">响应</w:t>
            </w:r>
            <w:r>
              <w:rPr>
                <w:rFonts w:hint="eastAsia" w:ascii="Times New Roman" w:hAnsi="Times New Roman" w:cs="宋体"/>
                <w:sz w:val="24"/>
                <w:szCs w:val="24"/>
                <w:highlight w:val="none"/>
              </w:rPr>
              <w:t xml:space="preserve">方案”中除“撤离安排”“演练次数”“备用计划”外其他要求响应内容符合招标文件要求</w:t>
            </w:r>
            <w:r>
              <w:rPr>
                <w:rFonts w:hint="eastAsia" w:ascii="Times New Roman" w:hAnsi="Times New Roman" w:cs="宋体"/>
                <w:sz w:val="24"/>
                <w:szCs w:val="24"/>
                <w:highlight w:val="none"/>
              </w:rPr>
              <w:t xml:space="preserve">）</w:t>
            </w:r>
            <w:r>
              <w:rPr>
                <w:rFonts w:hint="eastAsia" w:ascii="Times New Roman" w:hAnsi="Times New Roman" w:cs="宋体"/>
                <w:sz w:val="24"/>
                <w:szCs w:val="24"/>
                <w:highlight w:val="none"/>
              </w:rPr>
              <w:t xml:space="preserve">，本项得5分。</w:t>
            </w:r>
            <w:r/>
          </w:p>
        </w:tc>
      </w:tr>
      <w:tr>
        <w:trPr>
          <w:jc w:val="center"/>
          <w:trHeight w:val="786"/>
        </w:trPr>
        <w:tc>
          <w:tcPr>
            <w:tcW w:w="1405" w:type="dxa"/>
            <w:vAlign w:val="center"/>
            <w:textDirection w:val="lrTb"/>
            <w:noWrap w:val="false"/>
          </w:tcPr>
          <w:p>
            <w:pPr>
              <w:jc w:val="center"/>
              <w:spacing w:line="360" w:lineRule="auto"/>
              <w:widowControl/>
              <w:rPr>
                <w:rFonts w:ascii="Times New Roman" w:hAnsi="Times New Roman" w:cs="宋体"/>
                <w:sz w:val="24"/>
                <w:szCs w:val="24"/>
              </w:rPr>
            </w:pPr>
            <w:r>
              <w:rPr>
                <w:rFonts w:hint="eastAsia" w:ascii="Times New Roman" w:hAnsi="Times New Roman" w:cs="宋体"/>
                <w:sz w:val="24"/>
                <w:szCs w:val="24"/>
              </w:rPr>
              <w:t xml:space="preserve">8培训方案</w:t>
            </w:r>
            <w:r/>
          </w:p>
        </w:tc>
        <w:tc>
          <w:tcPr>
            <w:tcW w:w="1114" w:type="dxa"/>
            <w:vAlign w:val="center"/>
            <w:textDirection w:val="lrTb"/>
            <w:noWrap w:val="false"/>
          </w:tcPr>
          <w:p>
            <w:pPr>
              <w:jc w:val="center"/>
              <w:spacing w:line="360" w:lineRule="auto"/>
              <w:widowControl/>
              <w:rPr>
                <w:rFonts w:ascii="Times New Roman" w:hAnsi="Times New Roman" w:cs="宋体"/>
                <w:sz w:val="24"/>
                <w:szCs w:val="24"/>
              </w:rPr>
            </w:pPr>
            <w:r>
              <w:rPr>
                <w:rFonts w:hint="eastAsia" w:ascii="Times New Roman" w:hAnsi="Times New Roman" w:cs="宋体"/>
                <w:sz w:val="24"/>
                <w:szCs w:val="24"/>
                <w:lang w:val="en-US" w:eastAsia="zh-CN"/>
              </w:rPr>
              <w:t xml:space="preserve">5</w:t>
            </w:r>
            <w:r>
              <w:rPr>
                <w:rFonts w:hint="eastAsia" w:ascii="Times New Roman" w:hAnsi="Times New Roman" w:cs="宋体"/>
                <w:sz w:val="24"/>
                <w:szCs w:val="24"/>
              </w:rPr>
              <w:t xml:space="preserve">.00分</w:t>
            </w:r>
            <w:r/>
          </w:p>
        </w:tc>
        <w:tc>
          <w:tcPr>
            <w:tcW w:w="6720" w:type="dxa"/>
            <w:vAlign w:val="center"/>
            <w:textDirection w:val="lrTb"/>
            <w:noWrap w:val="false"/>
          </w:tcPr>
          <w:p>
            <w:pPr>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（1）投标文件未符合“</w:t>
            </w:r>
            <w:r>
              <w:rPr>
                <w:rFonts w:hint="eastAsia" w:ascii="Times New Roman" w:hAnsi="Times New Roman" w:cs="宋体"/>
                <w:sz w:val="24"/>
                <w:szCs w:val="24"/>
              </w:rPr>
              <w:t xml:space="preserve">培训</w:t>
            </w:r>
            <w:r>
              <w:rPr>
                <w:rFonts w:hint="eastAsia" w:ascii="Times New Roman" w:hAnsi="Times New Roman" w:cs="宋体"/>
                <w:sz w:val="24"/>
                <w:szCs w:val="24"/>
                <w:highlight w:val="none"/>
              </w:rPr>
              <w:t xml:space="preserve">方案”中全部条款要求的，视为不符合招标文件，本项得0分。</w:t>
            </w:r>
            <w:r/>
          </w:p>
          <w:p>
            <w:pPr>
              <w:spacing w:line="360" w:lineRule="auto"/>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（2）投标文件符合“</w:t>
            </w:r>
            <w:r>
              <w:rPr>
                <w:rFonts w:hint="eastAsia" w:ascii="Times New Roman" w:hAnsi="Times New Roman" w:cs="宋体"/>
                <w:sz w:val="24"/>
                <w:szCs w:val="24"/>
              </w:rPr>
              <w:t xml:space="preserve">培训</w:t>
            </w:r>
            <w:r>
              <w:rPr>
                <w:rFonts w:hint="eastAsia" w:ascii="Times New Roman" w:hAnsi="Times New Roman" w:cs="宋体"/>
                <w:sz w:val="24"/>
                <w:szCs w:val="24"/>
                <w:highlight w:val="none"/>
              </w:rPr>
              <w:t xml:space="preserve">方案”中全部条款要求的，视为符合招标文件，本项得3分。</w:t>
            </w:r>
            <w:r/>
          </w:p>
          <w:p>
            <w:pPr>
              <w:spacing w:line="360" w:lineRule="auto"/>
              <w:rPr>
                <w:rFonts w:ascii="Times New Roman" w:hAnsi="Times New Roman" w:cs="宋体"/>
                <w:sz w:val="24"/>
                <w:szCs w:val="24"/>
                <w:highlight w:val="none"/>
              </w:rPr>
            </w:pPr>
            <w:r>
              <w:rPr>
                <w:rFonts w:hint="eastAsia" w:ascii="Times New Roman" w:hAnsi="Times New Roman" w:cs="宋体"/>
                <w:sz w:val="24"/>
                <w:szCs w:val="24"/>
                <w:highlight w:val="none"/>
              </w:rPr>
              <w:t xml:space="preserve">（3）经评委认定，投标文件对“培训方案”中“培训计划、内容及培训方式”“培训频次、时长及培训效果保障”“培训师资及培训资料配置”三项要求的响应内容全部优于招标文件要求的（前提是投标文件对“培训方案”中除“培训计划、内容及培训方式”“培训频次、时长及培训效果保障”“培训师资及培训资料配置”外的其他要求响应内容符合招标文件要求），本项得5分。</w:t>
            </w:r>
            <w:r/>
          </w:p>
        </w:tc>
      </w:tr>
      <w:tr>
        <w:trPr>
          <w:jc w:val="center"/>
          <w:trHeight w:val="5706"/>
        </w:trPr>
        <w:tc>
          <w:tcPr>
            <w:tcW w:w="1405" w:type="dxa"/>
            <w:vAlign w:val="center"/>
            <w:textDirection w:val="lrTb"/>
            <w:noWrap w:val="false"/>
          </w:tcPr>
          <w:p>
            <w:pPr>
              <w:jc w:val="center"/>
              <w:spacing w:line="360" w:lineRule="auto"/>
              <w:widowControl/>
              <w:rPr>
                <w:rFonts w:ascii="宋体" w:hAnsi="宋体" w:cs="宋体"/>
                <w:sz w:val="24"/>
                <w:lang w:bidi="ar"/>
              </w:rPr>
            </w:pPr>
            <w:r>
              <w:rPr>
                <w:rFonts w:hint="eastAsia" w:ascii="宋体" w:hAnsi="宋体" w:cs="宋体"/>
                <w:sz w:val="24"/>
                <w:lang w:bidi="ar"/>
              </w:rPr>
              <w:t xml:space="preserve">9项目组</w:t>
            </w:r>
            <w:r/>
          </w:p>
          <w:p>
            <w:pPr>
              <w:jc w:val="center"/>
              <w:spacing w:line="360" w:lineRule="auto"/>
              <w:widowControl/>
              <w:rPr>
                <w:rFonts w:ascii="宋体" w:hAnsi="宋体" w:cs="宋体"/>
                <w:sz w:val="24"/>
                <w:lang w:bidi="ar"/>
              </w:rPr>
            </w:pPr>
            <w:r>
              <w:rPr>
                <w:rFonts w:hint="eastAsia" w:ascii="宋体" w:hAnsi="宋体" w:cs="宋体"/>
                <w:sz w:val="24"/>
                <w:lang w:bidi="ar"/>
              </w:rPr>
              <w:t xml:space="preserve">成员</w:t>
            </w:r>
            <w:r/>
          </w:p>
        </w:tc>
        <w:tc>
          <w:tcPr>
            <w:tcW w:w="1114" w:type="dxa"/>
            <w:vAlign w:val="center"/>
            <w:textDirection w:val="lrTb"/>
            <w:noWrap w:val="false"/>
          </w:tcPr>
          <w:p>
            <w:pPr>
              <w:jc w:val="center"/>
              <w:spacing w:line="360" w:lineRule="auto"/>
              <w:widowControl/>
              <w:rPr>
                <w:rFonts w:ascii="宋体" w:hAnsi="宋体" w:cs="宋体"/>
                <w:sz w:val="24"/>
                <w:lang w:bidi="ar"/>
              </w:rPr>
            </w:pPr>
            <w:r>
              <w:rPr>
                <w:rFonts w:hint="eastAsia" w:ascii="宋体" w:hAnsi="宋体" w:cs="宋体"/>
                <w:sz w:val="24"/>
                <w:lang w:val="en-US" w:eastAsia="zh-CN" w:bidi="ar"/>
              </w:rPr>
              <w:t xml:space="preserve">5.</w:t>
            </w:r>
            <w:r>
              <w:rPr>
                <w:rFonts w:hint="eastAsia" w:ascii="宋体" w:hAnsi="宋体" w:cs="宋体"/>
                <w:sz w:val="24"/>
                <w:lang w:bidi="ar"/>
              </w:rPr>
              <w:t xml:space="preserve">00分</w:t>
            </w:r>
            <w:r/>
          </w:p>
        </w:tc>
        <w:tc>
          <w:tcPr>
            <w:tcW w:w="6720" w:type="dxa"/>
            <w:vAlign w:val="center"/>
            <w:textDirection w:val="lrTb"/>
            <w:noWrap w:val="false"/>
          </w:tcPr>
          <w:p>
            <w:pPr>
              <w:pStyle w:val="1032"/>
              <w:ind w:firstLine="0"/>
              <w:rPr>
                <w:rFonts w:hint="eastAsia" w:ascii="Times New Roman" w:eastAsia="宋体" w:cs="宋体"/>
                <w:sz w:val="24"/>
                <w:szCs w:val="24"/>
              </w:rPr>
            </w:pPr>
            <w:r>
              <w:rPr>
                <w:rFonts w:hint="eastAsia" w:ascii="Times New Roman" w:eastAsia="宋体" w:cs="宋体"/>
                <w:sz w:val="24"/>
                <w:szCs w:val="24"/>
              </w:rPr>
              <w:t xml:space="preserve">1、投标人应为本项目实施配备项目经理1名，项目经理具有高级工程师证书（通信或信息工程相关）、信息系统项目管理师证书，每提供1个证书得</w:t>
            </w:r>
            <w:r>
              <w:rPr>
                <w:rFonts w:hint="eastAsia" w:ascii="Times New Roman" w:eastAsia="宋体" w:cs="宋体"/>
                <w:sz w:val="24"/>
                <w:szCs w:val="24"/>
                <w:lang w:val="en-US" w:eastAsia="zh-CN"/>
              </w:rPr>
              <w:t xml:space="preserve">1</w:t>
            </w:r>
            <w:r>
              <w:rPr>
                <w:rFonts w:hint="eastAsia" w:ascii="Times New Roman" w:eastAsia="宋体" w:cs="宋体"/>
                <w:sz w:val="24"/>
                <w:szCs w:val="24"/>
              </w:rPr>
              <w:t xml:space="preserve">分，最多得</w:t>
            </w:r>
            <w:r>
              <w:rPr>
                <w:rFonts w:hint="eastAsia" w:ascii="Times New Roman" w:eastAsia="宋体" w:cs="宋体"/>
                <w:sz w:val="24"/>
                <w:szCs w:val="24"/>
                <w:lang w:val="en-US" w:eastAsia="zh-CN"/>
              </w:rPr>
              <w:t xml:space="preserve">2</w:t>
            </w:r>
            <w:r>
              <w:rPr>
                <w:rFonts w:hint="eastAsia" w:ascii="Times New Roman" w:eastAsia="宋体" w:cs="宋体"/>
                <w:sz w:val="24"/>
                <w:szCs w:val="24"/>
              </w:rPr>
              <w:t xml:space="preserve">分，否则不得分。</w:t>
            </w:r>
            <w:r/>
          </w:p>
          <w:p>
            <w:pPr>
              <w:pStyle w:val="1032"/>
              <w:ind w:firstLine="0"/>
              <w:rPr>
                <w:rFonts w:hint="eastAsia" w:ascii="Times New Roman" w:eastAsia="宋体" w:cs="宋体"/>
                <w:sz w:val="24"/>
                <w:szCs w:val="24"/>
                <w:highlight w:val="none"/>
              </w:rPr>
            </w:pPr>
            <w:r>
              <w:rPr>
                <w:rFonts w:hint="eastAsia" w:ascii="Times New Roman" w:eastAsia="宋体" w:cs="宋体"/>
                <w:sz w:val="24"/>
                <w:szCs w:val="24"/>
              </w:rPr>
              <w:t xml:space="preserve">2、团队成员要求。投标人针对本项目组建专门实施团队，团队成员不少于4人（不含</w:t>
            </w:r>
            <w:r>
              <w:rPr>
                <w:rFonts w:hint="eastAsia" w:ascii="Times New Roman" w:eastAsia="宋体" w:cs="宋体"/>
                <w:sz w:val="24"/>
                <w:szCs w:val="24"/>
                <w:highlight w:val="none"/>
              </w:rPr>
              <w:t xml:space="preserve">项目经理），团队成员中有高级工程师（通信或信息工程相关）、网络工程师、智能算力工程师、CISP（信息安全专业人员）等证书，每类证书每人最多提供1个，每提供1个得</w:t>
            </w:r>
            <w:r>
              <w:rPr>
                <w:rFonts w:hint="eastAsia" w:ascii="Times New Roman" w:eastAsia="宋体" w:cs="宋体"/>
                <w:sz w:val="24"/>
                <w:szCs w:val="24"/>
                <w:highlight w:val="none"/>
                <w:lang w:val="en-US" w:eastAsia="zh-CN"/>
              </w:rPr>
              <w:t xml:space="preserve">1</w:t>
            </w:r>
            <w:r>
              <w:rPr>
                <w:rFonts w:hint="eastAsia" w:ascii="Times New Roman" w:eastAsia="宋体" w:cs="宋体"/>
                <w:sz w:val="24"/>
                <w:szCs w:val="24"/>
                <w:highlight w:val="none"/>
              </w:rPr>
              <w:t xml:space="preserve">分，最多得</w:t>
            </w:r>
            <w:r>
              <w:rPr>
                <w:rFonts w:hint="eastAsia" w:ascii="Times New Roman" w:eastAsia="宋体" w:cs="宋体"/>
                <w:sz w:val="24"/>
                <w:szCs w:val="24"/>
                <w:highlight w:val="none"/>
                <w:lang w:val="en-US" w:eastAsia="zh-CN"/>
              </w:rPr>
              <w:t xml:space="preserve">3</w:t>
            </w:r>
            <w:r>
              <w:rPr>
                <w:rFonts w:hint="eastAsia" w:ascii="Times New Roman" w:eastAsia="宋体" w:cs="宋体"/>
                <w:sz w:val="24"/>
                <w:szCs w:val="24"/>
                <w:highlight w:val="none"/>
              </w:rPr>
              <w:t xml:space="preserve">分。</w:t>
            </w:r>
            <w:r/>
          </w:p>
          <w:p>
            <w:pPr>
              <w:spacing w:line="360" w:lineRule="auto"/>
              <w:widowControl/>
              <w:rPr>
                <w:rFonts w:hint="eastAsia" w:ascii="宋体" w:hAnsi="宋体" w:cs="宋体"/>
                <w:sz w:val="24"/>
                <w:lang w:bidi="ar"/>
              </w:rPr>
            </w:pPr>
            <w:r>
              <w:rPr>
                <w:rFonts w:hint="eastAsia" w:ascii="宋体" w:hAnsi="宋体" w:cs="宋体"/>
                <w:sz w:val="24"/>
                <w:highlight w:val="none"/>
                <w:lang w:bidi="ar"/>
              </w:rPr>
              <w:t xml:space="preserve">注：1.提供相关证书电子件和近</w:t>
            </w:r>
            <w:r>
              <w:rPr>
                <w:rFonts w:hint="eastAsia" w:ascii="宋体" w:hAnsi="宋体" w:cs="宋体"/>
                <w:sz w:val="24"/>
                <w:highlight w:val="none"/>
                <w:lang w:val="en-US" w:eastAsia="zh-CN" w:bidi="ar"/>
              </w:rPr>
              <w:t xml:space="preserve">半年来</w:t>
            </w:r>
            <w:r>
              <w:rPr>
                <w:rFonts w:hint="eastAsia" w:ascii="宋体" w:hAnsi="宋体" w:cs="宋体"/>
                <w:sz w:val="24"/>
                <w:highlight w:val="none"/>
                <w:lang w:bidi="ar"/>
              </w:rPr>
              <w:t xml:space="preserve">任意一个月社保缴纳证明，证明以社保主管部门出具的为准，否</w:t>
            </w:r>
            <w:r>
              <w:rPr>
                <w:rFonts w:hint="eastAsia" w:ascii="宋体" w:hAnsi="宋体" w:cs="宋体"/>
                <w:sz w:val="24"/>
                <w:lang w:bidi="ar"/>
              </w:rPr>
              <w:t xml:space="preserve">则不得分；2.同一人具有多个证书只记分一次，不重复得分。</w:t>
            </w:r>
            <w:r/>
          </w:p>
        </w:tc>
      </w:tr>
      <w:tr>
        <w:trPr>
          <w:jc w:val="center"/>
          <w:trHeight w:val="798"/>
        </w:trPr>
        <w:tc>
          <w:tcPr>
            <w:tcW w:w="1405" w:type="dxa"/>
            <w:vAlign w:val="center"/>
            <w:textDirection w:val="lrTb"/>
            <w:noWrap w:val="false"/>
          </w:tcPr>
          <w:p>
            <w:pPr>
              <w:jc w:val="center"/>
              <w:spacing w:line="360" w:lineRule="auto"/>
              <w:widowControl/>
              <w:rPr>
                <w:rFonts w:ascii="Times New Roman" w:hAnsi="Times New Roman" w:eastAsia="宋体" w:cs="宋体"/>
                <w:color w:val="000000"/>
                <w:sz w:val="24"/>
                <w:szCs w:val="24"/>
                <w:lang w:val="en-US" w:eastAsia="zh-CN"/>
              </w:rPr>
            </w:pPr>
            <w:r>
              <w:rPr>
                <w:rFonts w:hint="eastAsia" w:ascii="Times New Roman" w:hAnsi="Times New Roman" w:cs="宋体"/>
                <w:color w:val="000000"/>
                <w:sz w:val="24"/>
                <w:szCs w:val="24"/>
              </w:rPr>
              <w:t xml:space="preserve">10</w:t>
            </w:r>
            <w:r>
              <w:rPr>
                <w:rFonts w:hint="eastAsia" w:ascii="Times New Roman" w:hAnsi="Times New Roman" w:cs="宋体"/>
                <w:color w:val="000000"/>
                <w:sz w:val="24"/>
                <w:szCs w:val="24"/>
                <w:lang w:val="en-US" w:eastAsia="zh-CN"/>
              </w:rPr>
              <w:t xml:space="preserve">其他要求</w:t>
            </w:r>
            <w:r/>
          </w:p>
        </w:tc>
        <w:tc>
          <w:tcPr>
            <w:tcW w:w="1114" w:type="dxa"/>
            <w:vAlign w:val="center"/>
            <w:textDirection w:val="lrTb"/>
            <w:noWrap w:val="false"/>
          </w:tcPr>
          <w:p>
            <w:pPr>
              <w:spacing w:line="360" w:lineRule="auto"/>
              <w:widowControl/>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1</w:t>
            </w:r>
            <w:r>
              <w:rPr>
                <w:rFonts w:hint="eastAsia" w:cs="宋体"/>
                <w:color w:val="000000"/>
                <w:sz w:val="24"/>
                <w:szCs w:val="24"/>
                <w:lang w:val="en-US" w:eastAsia="zh-CN"/>
              </w:rPr>
              <w:t xml:space="preserve">4</w:t>
            </w:r>
            <w:r>
              <w:rPr>
                <w:rFonts w:hint="eastAsia" w:ascii="Times New Roman" w:hAnsi="Times New Roman" w:cs="宋体"/>
                <w:color w:val="000000"/>
                <w:sz w:val="24"/>
                <w:szCs w:val="24"/>
              </w:rPr>
              <w:t xml:space="preserve">.00分</w:t>
            </w:r>
            <w:r/>
          </w:p>
        </w:tc>
        <w:tc>
          <w:tcPr>
            <w:tcW w:w="6720" w:type="dxa"/>
            <w:vAlign w:val="center"/>
            <w:textDirection w:val="lrTb"/>
            <w:noWrap w:val="false"/>
          </w:tcPr>
          <w:p>
            <w:pPr>
              <w:pStyle w:val="1032"/>
              <w:numPr>
                <w:ilvl w:val="0"/>
                <w:numId w:val="0"/>
              </w:numPr>
              <w:rPr>
                <w:rFonts w:hint="eastAsia" w:ascii="Times New Roman" w:eastAsia="宋体" w:cs="宋体"/>
                <w:sz w:val="24"/>
                <w:szCs w:val="24"/>
              </w:rPr>
            </w:pPr>
            <w:r>
              <w:rPr>
                <w:rFonts w:hint="eastAsia" w:ascii="Times New Roman" w:eastAsia="宋体" w:cs="宋体"/>
                <w:sz w:val="24"/>
                <w:szCs w:val="24"/>
              </w:rPr>
              <w:t xml:space="preserve">1、投标人承诺在满足招标文件要求的“AI算力服务器”技术参数的基础上，每增加1张同型号备用GPU卡得2分，最多得4分。（提供承诺书扫描件加盖投标人电子签章）</w:t>
            </w:r>
            <w:r/>
          </w:p>
          <w:p>
            <w:pPr>
              <w:pStyle w:val="1032"/>
              <w:numPr>
                <w:ilvl w:val="0"/>
                <w:numId w:val="0"/>
              </w:numPr>
              <w:rPr>
                <w:rFonts w:hint="eastAsia" w:ascii="Times New Roman" w:eastAsia="宋体" w:cs="宋体"/>
                <w:sz w:val="24"/>
                <w:szCs w:val="24"/>
              </w:rPr>
            </w:pPr>
            <w:r>
              <w:rPr>
                <w:rFonts w:hint="eastAsia" w:ascii="Times New Roman" w:eastAsia="宋体" w:cs="宋体"/>
                <w:sz w:val="24"/>
                <w:szCs w:val="24"/>
              </w:rPr>
              <w:t xml:space="preserve">2、投标人承诺在满足招标文件要求的“AI算力服务器”技术参数的基础上，单个算力卡/模组的FP16稠密计算峰值性能，在招标文件规定的基础值之上，每增加50 TFLOPS，得1分，最多得2分。本项按照实际达到的完整档位计分，不足一个档位的不计分。（投标人提供算力指标承诺函加盖投标人电子签章）</w:t>
            </w:r>
            <w:r/>
          </w:p>
          <w:p>
            <w:pPr>
              <w:pStyle w:val="1032"/>
              <w:numPr>
                <w:ilvl w:val="0"/>
                <w:numId w:val="0"/>
              </w:numPr>
              <w:rPr>
                <w:rFonts w:hint="eastAsia" w:ascii="Times New Roman" w:eastAsia="宋体" w:cs="宋体"/>
                <w:sz w:val="24"/>
                <w:szCs w:val="24"/>
              </w:rPr>
            </w:pPr>
            <w:r>
              <w:rPr>
                <w:rFonts w:hint="eastAsia" w:ascii="Times New Roman" w:eastAsia="宋体" w:cs="宋体"/>
                <w:sz w:val="24"/>
                <w:szCs w:val="24"/>
                <w:lang w:val="en-US" w:eastAsia="zh-CN"/>
              </w:rPr>
              <w:t xml:space="preserve">3、</w:t>
            </w:r>
            <w:r>
              <w:rPr>
                <w:rFonts w:hint="eastAsia" w:ascii="Times New Roman" w:eastAsia="宋体" w:cs="宋体"/>
                <w:sz w:val="24"/>
                <w:szCs w:val="24"/>
              </w:rPr>
              <w:t xml:space="preserve">以招标文件要求配置的算力卡/模组数量和单卡/模组基准显存容量为基础，所投产品可通过以下任一方式提升显存容量：</w:t>
            </w:r>
            <w:r>
              <w:rPr>
                <w:rFonts w:hint="eastAsia" w:ascii="Times New Roman" w:eastAsia="宋体" w:cs="宋体"/>
                <w:sz w:val="24"/>
                <w:szCs w:val="24"/>
              </w:rPr>
              <w:br/>
            </w:r>
            <w:r>
              <w:rPr>
                <w:rFonts w:hint="eastAsia" w:ascii="Times New Roman" w:eastAsia="宋体" w:cs="宋体"/>
                <w:sz w:val="24"/>
                <w:szCs w:val="24"/>
              </w:rPr>
              <w:t xml:space="preserve">（1）增加单个算力卡/模组的物理显存容量；</w:t>
            </w:r>
            <w:r>
              <w:rPr>
                <w:rFonts w:hint="eastAsia" w:ascii="Times New Roman" w:eastAsia="宋体" w:cs="宋体"/>
                <w:sz w:val="24"/>
                <w:szCs w:val="24"/>
              </w:rPr>
              <w:br/>
            </w:r>
            <w:r>
              <w:rPr>
                <w:rFonts w:hint="eastAsia" w:ascii="Times New Roman" w:eastAsia="宋体" w:cs="宋体"/>
                <w:sz w:val="24"/>
                <w:szCs w:val="24"/>
              </w:rPr>
              <w:t xml:space="preserve">（2）在不减少招标文件要求的算力卡/模组数量及算力配置的前提下，额外配置同类型算力卡/模组，并通过专用卡间高速互联、跨卡统一内存编址、内存池化，或者张量并行、流水线并行、参数分片等分布式技术，使同一训练或推理任务能够共同使用新增算力卡/模组的显存资源。</w:t>
            </w:r>
            <w:r/>
          </w:p>
          <w:p>
            <w:pPr>
              <w:pStyle w:val="1032"/>
              <w:numPr>
                <w:ilvl w:val="0"/>
                <w:numId w:val="0"/>
              </w:numPr>
              <w:rPr>
                <w:rFonts w:hint="eastAsia" w:ascii="Times New Roman" w:eastAsia="宋体" w:cs="宋体"/>
                <w:sz w:val="24"/>
                <w:szCs w:val="24"/>
              </w:rPr>
            </w:pPr>
            <w:r>
              <w:rPr>
                <w:rFonts w:hint="eastAsia" w:ascii="Times New Roman" w:eastAsia="宋体" w:cs="宋体"/>
                <w:sz w:val="24"/>
                <w:szCs w:val="24"/>
              </w:rPr>
              <w:t xml:space="preserve">采用第（2）种方式时，按照等效单卡显存容量计算：</w:t>
            </w:r>
            <w:r/>
          </w:p>
          <w:p>
            <w:pPr>
              <w:pStyle w:val="1032"/>
              <w:numPr>
                <w:ilvl w:val="0"/>
                <w:numId w:val="0"/>
              </w:numPr>
              <w:rPr>
                <w:rFonts w:hint="eastAsia" w:ascii="Times New Roman" w:eastAsia="宋体" w:cs="宋体"/>
                <w:sz w:val="24"/>
                <w:szCs w:val="24"/>
              </w:rPr>
            </w:pPr>
            <w:r>
              <w:rPr>
                <w:rFonts w:hint="eastAsia" w:ascii="Times New Roman" w:eastAsia="宋体" w:cs="宋体"/>
                <w:sz w:val="24"/>
                <w:szCs w:val="24"/>
              </w:rPr>
              <w:t xml:space="preserve">等效单卡显存容量＝同一任务可共同使用的全部算力卡/模组显存总容量÷招标文件要求配置的基准算力卡/模组数量。</w:t>
            </w:r>
            <w:r/>
          </w:p>
          <w:p>
            <w:pPr>
              <w:pStyle w:val="1032"/>
              <w:numPr>
                <w:ilvl w:val="0"/>
                <w:numId w:val="0"/>
              </w:numPr>
              <w:rPr>
                <w:rFonts w:hint="eastAsia" w:ascii="Times New Roman" w:eastAsia="宋体" w:cs="宋体"/>
                <w:sz w:val="24"/>
                <w:szCs w:val="24"/>
              </w:rPr>
            </w:pPr>
            <w:r>
              <w:rPr>
                <w:rFonts w:hint="eastAsia" w:ascii="Times New Roman" w:eastAsia="宋体" w:cs="宋体"/>
                <w:sz w:val="24"/>
                <w:szCs w:val="24"/>
              </w:rPr>
              <w:t xml:space="preserve">等效单卡显存容量在基准容量基础上每增加完整16GB得1分，最多得2分；不足一个完整档位的不计分。用于计算的显存不得包含服务器主机内存、SSD、远程存储或者其他非算力卡/模组本地显存资源。（提供承诺书扫描件加盖投标人电子签章）</w:t>
            </w:r>
            <w:r/>
          </w:p>
          <w:p>
            <w:pPr>
              <w:pStyle w:val="1032"/>
              <w:numPr>
                <w:numId w:val="0"/>
              </w:numPr>
              <w:rPr>
                <w:rFonts w:hint="eastAsia" w:ascii="Times New Roman" w:eastAsia="宋体" w:cs="宋体"/>
                <w:sz w:val="24"/>
                <w:szCs w:val="24"/>
              </w:rPr>
            </w:pPr>
            <w:r>
              <w:rPr>
                <w:rFonts w:hint="eastAsia" w:ascii="Times New Roman" w:eastAsia="宋体" w:cs="宋体"/>
                <w:sz w:val="24"/>
                <w:szCs w:val="24"/>
                <w:lang w:val="en-US" w:eastAsia="zh-CN"/>
              </w:rPr>
              <w:t xml:space="preserve">4、</w:t>
            </w:r>
            <w:r>
              <w:rPr>
                <w:rFonts w:hint="eastAsia" w:ascii="Times New Roman" w:eastAsia="宋体" w:cs="宋体"/>
                <w:sz w:val="24"/>
                <w:szCs w:val="24"/>
              </w:rPr>
              <w:t xml:space="preserve">投标人承诺在满足招标文件要求的“算力服务器”技术参数（单台实配内存总容量≥1TB）的基础上，装机可用内存超过1TB部分每增加128GB，得1分，最多得</w:t>
            </w:r>
            <w:r>
              <w:rPr>
                <w:rFonts w:hint="eastAsia" w:ascii="Times New Roman" w:eastAsia="宋体" w:cs="宋体"/>
                <w:sz w:val="24"/>
                <w:szCs w:val="24"/>
                <w:lang w:val="en-US" w:eastAsia="zh-CN"/>
              </w:rPr>
              <w:t xml:space="preserve">2</w:t>
            </w:r>
            <w:r>
              <w:rPr>
                <w:rFonts w:hint="eastAsia" w:ascii="Times New Roman" w:eastAsia="宋体" w:cs="宋体"/>
                <w:sz w:val="24"/>
                <w:szCs w:val="24"/>
              </w:rPr>
              <w:t xml:space="preserve">分，本项加分按实际达到的完整档位计算，不足一个档位的不计分。（提供承诺书扫描件加盖投标人电子签章）</w:t>
            </w:r>
            <w:r/>
          </w:p>
          <w:p>
            <w:pPr>
              <w:pStyle w:val="1032"/>
              <w:numPr>
                <w:numId w:val="0"/>
              </w:numPr>
              <w:rPr>
                <w:rFonts w:hint="eastAsia" w:ascii="Times New Roman" w:eastAsia="宋体" w:cs="宋体"/>
                <w:sz w:val="24"/>
                <w:szCs w:val="24"/>
              </w:rPr>
            </w:pPr>
            <w:r>
              <w:rPr>
                <w:rFonts w:hint="eastAsia" w:ascii="Times New Roman" w:eastAsia="宋体" w:cs="宋体"/>
                <w:sz w:val="24"/>
                <w:szCs w:val="24"/>
                <w:lang w:val="en-US" w:eastAsia="zh-CN"/>
              </w:rPr>
              <w:t xml:space="preserve">5</w:t>
            </w:r>
            <w:r>
              <w:rPr>
                <w:rFonts w:hint="eastAsia" w:ascii="Times New Roman" w:eastAsia="宋体" w:cs="宋体"/>
                <w:sz w:val="24"/>
                <w:szCs w:val="24"/>
              </w:rPr>
              <w:t xml:space="preserve">、投标人承诺在满足招标文件要求的“AI算力服务器”技术参数的基础上，单个算力卡/模组每增加0.5TB/s，得</w:t>
            </w:r>
            <w:r>
              <w:rPr>
                <w:rFonts w:hint="eastAsia" w:ascii="Times New Roman" w:eastAsia="宋体" w:cs="宋体"/>
                <w:sz w:val="24"/>
                <w:szCs w:val="24"/>
                <w:lang w:val="en-US" w:eastAsia="zh-CN"/>
              </w:rPr>
              <w:t xml:space="preserve">0.5</w:t>
            </w:r>
            <w:r>
              <w:rPr>
                <w:rFonts w:hint="eastAsia" w:ascii="Times New Roman" w:eastAsia="宋体" w:cs="宋体"/>
                <w:sz w:val="24"/>
                <w:szCs w:val="24"/>
              </w:rPr>
              <w:t xml:space="preserve">分，最多得</w:t>
            </w:r>
            <w:r>
              <w:rPr>
                <w:rFonts w:hint="eastAsia" w:ascii="Times New Roman" w:eastAsia="宋体" w:cs="宋体"/>
                <w:sz w:val="24"/>
                <w:szCs w:val="24"/>
                <w:lang w:val="en-US" w:eastAsia="zh-CN"/>
              </w:rPr>
              <w:t xml:space="preserve">1</w:t>
            </w:r>
            <w:r>
              <w:rPr>
                <w:rFonts w:hint="eastAsia" w:ascii="Times New Roman" w:eastAsia="宋体" w:cs="宋体"/>
                <w:sz w:val="24"/>
                <w:szCs w:val="24"/>
              </w:rPr>
              <w:t xml:space="preserve">分。即：1.5TB/s≤显存带宽＜2.0TB/s，不得分；2.0TB/s≤显存带宽＜2.5TB/s，得</w:t>
            </w:r>
            <w:r>
              <w:rPr>
                <w:rFonts w:hint="eastAsia" w:ascii="Times New Roman" w:eastAsia="宋体" w:cs="宋体"/>
                <w:sz w:val="24"/>
                <w:szCs w:val="24"/>
                <w:lang w:val="en-US" w:eastAsia="zh-CN"/>
              </w:rPr>
              <w:t xml:space="preserve">0.5</w:t>
            </w:r>
            <w:r>
              <w:rPr>
                <w:rFonts w:hint="eastAsia" w:ascii="Times New Roman" w:eastAsia="宋体" w:cs="宋体"/>
                <w:sz w:val="24"/>
                <w:szCs w:val="24"/>
              </w:rPr>
              <w:t xml:space="preserve">分；显存带宽≥2.5TB/s，得</w:t>
            </w:r>
            <w:r>
              <w:rPr>
                <w:rFonts w:hint="eastAsia" w:ascii="Times New Roman" w:eastAsia="宋体" w:cs="宋体"/>
                <w:sz w:val="24"/>
                <w:szCs w:val="24"/>
                <w:lang w:val="en-US" w:eastAsia="zh-CN"/>
              </w:rPr>
              <w:t xml:space="preserve">1</w:t>
            </w:r>
            <w:r>
              <w:rPr>
                <w:rFonts w:hint="eastAsia" w:ascii="Times New Roman" w:eastAsia="宋体" w:cs="宋体"/>
                <w:sz w:val="24"/>
                <w:szCs w:val="24"/>
              </w:rPr>
              <w:t xml:space="preserve">分。</w:t>
            </w:r>
            <w:r/>
          </w:p>
          <w:p>
            <w:pPr>
              <w:pStyle w:val="1032"/>
              <w:numPr>
                <w:numId w:val="0"/>
              </w:numPr>
              <w:rPr>
                <w:rFonts w:hint="eastAsia" w:ascii="Times New Roman" w:eastAsia="宋体" w:cs="宋体"/>
                <w:sz w:val="24"/>
                <w:szCs w:val="24"/>
              </w:rPr>
            </w:pPr>
            <w:r>
              <w:rPr>
                <w:rFonts w:hint="eastAsia" w:ascii="Times New Roman" w:eastAsia="宋体" w:cs="宋体"/>
                <w:sz w:val="24"/>
                <w:szCs w:val="24"/>
                <w:lang w:val="en-US" w:eastAsia="zh-CN"/>
              </w:rPr>
              <w:t xml:space="preserve">6</w:t>
            </w:r>
            <w:r>
              <w:rPr>
                <w:rFonts w:hint="eastAsia" w:ascii="Times New Roman" w:eastAsia="宋体" w:cs="宋体"/>
                <w:sz w:val="24"/>
                <w:szCs w:val="24"/>
              </w:rPr>
              <w:t xml:space="preserve">、单个算力卡/模组的专用卡间高速互联聚合双向带宽应不低于</w:t>
            </w:r>
            <w:r>
              <w:rPr>
                <w:rFonts w:hint="eastAsia" w:ascii="Times New Roman" w:eastAsia="宋体" w:cs="宋体"/>
                <w:sz w:val="24"/>
                <w:szCs w:val="24"/>
                <w:lang w:val="en-US" w:eastAsia="zh-CN"/>
              </w:rPr>
              <w:t xml:space="preserve">290</w:t>
            </w:r>
            <w:r>
              <w:rPr>
                <w:rFonts w:hint="eastAsia" w:ascii="Times New Roman" w:eastAsia="宋体" w:cs="宋体"/>
                <w:sz w:val="24"/>
                <w:szCs w:val="24"/>
              </w:rPr>
              <w:t xml:space="preserve">GB/s。在此基础上，每增加</w:t>
            </w:r>
            <w:r>
              <w:rPr>
                <w:rFonts w:hint="eastAsia" w:ascii="Times New Roman" w:eastAsia="宋体" w:cs="宋体"/>
                <w:sz w:val="24"/>
                <w:szCs w:val="24"/>
                <w:lang w:val="en-US" w:eastAsia="zh-CN"/>
              </w:rPr>
              <w:t xml:space="preserve">100</w:t>
            </w:r>
            <w:r>
              <w:rPr>
                <w:rFonts w:hint="eastAsia" w:ascii="Times New Roman" w:eastAsia="宋体" w:cs="宋体"/>
                <w:sz w:val="24"/>
                <w:szCs w:val="24"/>
              </w:rPr>
              <w:t xml:space="preserve">GB/s，得</w:t>
            </w:r>
            <w:r>
              <w:rPr>
                <w:rFonts w:hint="eastAsia" w:ascii="Times New Roman" w:eastAsia="宋体" w:cs="宋体"/>
                <w:sz w:val="24"/>
                <w:szCs w:val="24"/>
                <w:lang w:val="en-US" w:eastAsia="zh-CN"/>
              </w:rPr>
              <w:t xml:space="preserve">0.5</w:t>
            </w:r>
            <w:r>
              <w:rPr>
                <w:rFonts w:hint="eastAsia" w:ascii="Times New Roman" w:eastAsia="宋体" w:cs="宋体"/>
                <w:sz w:val="24"/>
                <w:szCs w:val="24"/>
              </w:rPr>
              <w:t xml:space="preserve">分，最多得</w:t>
            </w:r>
            <w:r>
              <w:rPr>
                <w:rFonts w:hint="eastAsia" w:ascii="Times New Roman" w:eastAsia="宋体" w:cs="宋体"/>
                <w:sz w:val="24"/>
                <w:szCs w:val="24"/>
                <w:lang w:val="en-US" w:eastAsia="zh-CN"/>
              </w:rPr>
              <w:t xml:space="preserve">1</w:t>
            </w:r>
            <w:r>
              <w:rPr>
                <w:rFonts w:hint="eastAsia" w:ascii="Times New Roman" w:eastAsia="宋体" w:cs="宋体"/>
                <w:sz w:val="24"/>
                <w:szCs w:val="24"/>
              </w:rPr>
              <w:t xml:space="preserve">分。</w:t>
            </w:r>
            <w:r/>
          </w:p>
          <w:p>
            <w:pPr>
              <w:pStyle w:val="1032"/>
              <w:numPr>
                <w:ilvl w:val="0"/>
                <w:numId w:val="0"/>
              </w:numPr>
              <w:rPr>
                <w:rFonts w:ascii="Times New Roman" w:eastAsia="宋体" w:cs="宋体"/>
                <w:sz w:val="24"/>
                <w:szCs w:val="24"/>
                <w:lang w:val="en-US" w:eastAsia="zh-CN"/>
              </w:rPr>
            </w:pPr>
            <w:r>
              <w:rPr>
                <w:rFonts w:hint="eastAsia" w:ascii="Times New Roman" w:eastAsia="宋体" w:cs="宋体"/>
                <w:sz w:val="24"/>
                <w:szCs w:val="24"/>
                <w:lang w:val="en-US" w:eastAsia="zh-CN"/>
              </w:rPr>
              <w:t xml:space="preserve">7</w:t>
            </w:r>
            <w:r>
              <w:rPr>
                <w:rFonts w:hint="eastAsia" w:ascii="Times New Roman" w:eastAsia="宋体" w:cs="宋体"/>
                <w:sz w:val="24"/>
                <w:szCs w:val="24"/>
              </w:rPr>
              <w:t xml:space="preserve">、</w:t>
            </w:r>
            <w:r>
              <w:rPr>
                <w:rFonts w:hint="eastAsia" w:ascii="Times New Roman" w:eastAsia="宋体" w:cs="宋体"/>
                <w:sz w:val="24"/>
                <w:szCs w:val="24"/>
                <w:lang w:val="en-US" w:eastAsia="zh-CN"/>
              </w:rPr>
              <w:t xml:space="preserve">满足招标文件中3年基本质保售后服务要求的不得分，每增加1年售后服务加1分，本项最高得2分，不承诺不得分。（提供售后年限承诺函）</w:t>
            </w:r>
            <w:r/>
          </w:p>
        </w:tc>
      </w:tr>
      <w:tr>
        <w:trPr>
          <w:jc w:val="center"/>
          <w:trHeight w:val="798"/>
        </w:trPr>
        <w:tc>
          <w:tcPr>
            <w:tcW w:w="1405" w:type="dxa"/>
            <w:vAlign w:val="center"/>
            <w:textDirection w:val="lrTb"/>
            <w:noWrap w:val="false"/>
          </w:tcPr>
          <w:p>
            <w:pPr>
              <w:jc w:val="center"/>
              <w:spacing w:line="360" w:lineRule="auto"/>
              <w:widowControl/>
              <w:rPr>
                <w:rFonts w:ascii="Times New Roman" w:hAnsi="Times New Roman" w:eastAsia="宋体" w:cs="宋体"/>
                <w:color w:val="000000"/>
                <w:sz w:val="24"/>
                <w:szCs w:val="24"/>
                <w:lang w:val="en-US" w:eastAsia="zh-CN"/>
              </w:rPr>
            </w:pP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lang w:val="en-US" w:eastAsia="zh-CN"/>
              </w:rPr>
              <w:t xml:space="preserve">1</w:t>
            </w:r>
            <w:r>
              <w:rPr>
                <w:rFonts w:hint="eastAsia" w:ascii="Times New Roman" w:hAnsi="Times New Roman" w:cs="宋体"/>
                <w:color w:val="000000"/>
                <w:sz w:val="24"/>
                <w:szCs w:val="24"/>
              </w:rPr>
              <w:t xml:space="preserve">节能环保</w:t>
            </w:r>
            <w:r/>
          </w:p>
        </w:tc>
        <w:tc>
          <w:tcPr>
            <w:tcW w:w="1114" w:type="dxa"/>
            <w:vAlign w:val="center"/>
            <w:textDirection w:val="lrTb"/>
            <w:noWrap w:val="false"/>
          </w:tcPr>
          <w:p>
            <w:pPr>
              <w:spacing w:line="360" w:lineRule="auto"/>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2.00分</w:t>
            </w:r>
            <w:r/>
          </w:p>
        </w:tc>
        <w:tc>
          <w:tcPr>
            <w:tcW w:w="6720" w:type="dxa"/>
            <w:vAlign w:val="center"/>
            <w:textDirection w:val="lrTb"/>
            <w:noWrap w:val="false"/>
          </w:tcPr>
          <w:p>
            <w:pPr>
              <w:spacing w:line="360" w:lineRule="auto"/>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360" w:lineRule="auto"/>
              <w:widowControl/>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176"/>
      <w:r/>
      <w:bookmarkEnd w:id="177"/>
      <w:r/>
      <w:bookmarkEnd w:id="182"/>
      <w:r/>
      <w:bookmarkEnd w:id="183"/>
      <w:r/>
      <w:bookmarkEnd w:id="184"/>
      <w:r/>
      <w:r/>
    </w:p>
    <w:p>
      <w:pPr>
        <w:rPr>
          <w:rFonts w:hint="eastAsia"/>
        </w:rPr>
      </w:pPr>
      <w:r>
        <w:rPr>
          <w:rFonts w:hint="eastAsia"/>
        </w:rPr>
      </w:r>
      <w:r/>
    </w:p>
    <w:p>
      <w:pPr>
        <w:jc w:val="center"/>
        <w:keepNext/>
        <w:rPr>
          <w:rFonts w:hint="eastAsia" w:ascii="黑体" w:hAnsi="Times New Roman" w:eastAsia="黑体"/>
          <w:color w:val="000000"/>
          <w:sz w:val="44"/>
          <w:szCs w:val="44"/>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rPr>
        <w:t xml:space="preserve">第六章  投标文件格式</w:t>
      </w:r>
      <w:r/>
    </w:p>
    <w:p>
      <w:pPr>
        <w:jc w:val="center"/>
        <w:rPr>
          <w:rFonts w:hint="eastAsia" w:ascii="宋体" w:hAnsi="宋体"/>
          <w:b/>
          <w:color w:val="000000"/>
          <w:sz w:val="72"/>
          <w:szCs w:val="21"/>
        </w:rPr>
      </w:pPr>
      <w:r/>
      <w:bookmarkStart w:id="187" w:name="_Hlt26671244"/>
      <w:r/>
      <w:bookmarkEnd w:id="187"/>
      <w:r/>
      <w:bookmarkStart w:id="188" w:name="_Hlt26955039"/>
      <w:r/>
      <w:bookmarkEnd w:id="188"/>
      <w:r/>
      <w:bookmarkStart w:id="189" w:name="_Toc49090576"/>
      <w:r/>
      <w:bookmarkStart w:id="190" w:name="_Toc26554094"/>
      <w:r/>
      <w:bookmarkStart w:id="191"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ascii="宋体" w:hAnsi="宋体"/>
          <w:b/>
          <w:sz w:val="24"/>
          <w:szCs w:val="21"/>
        </w:rPr>
      </w:pPr>
      <w:r>
        <w:rPr>
          <w:rFonts w:ascii="宋体" w:hAnsi="宋体"/>
          <w:b/>
          <w:sz w:val="24"/>
          <w:szCs w:val="21"/>
        </w:rPr>
      </w:r>
      <w:r/>
    </w:p>
    <w:p>
      <w:pPr>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jc w:val="both"/>
        <w:rPr>
          <w:rFonts w:hint="eastAsia" w:ascii="宋体" w:hAnsi="宋体"/>
          <w:b/>
          <w:sz w:val="24"/>
          <w:szCs w:val="24"/>
          <w:lang w:val="en-US" w:eastAsia="zh-CN"/>
        </w:rPr>
      </w:pPr>
      <w:r>
        <w:rPr>
          <w:rFonts w:hint="eastAsia" w:ascii="宋体" w:hAnsi="宋体"/>
          <w:b/>
          <w:sz w:val="24"/>
          <w:szCs w:val="24"/>
          <w:lang w:val="en-US" w:eastAsia="zh-CN"/>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r>
        <w:trPr>
          <w:cantSplit/>
          <w:trHeight w:val="767"/>
        </w:trPr>
        <w:tc>
          <w:tcPr>
            <w:gridSpan w:val="10"/>
            <w:tcW w:w="9263" w:type="dxa"/>
            <w:vAlign w:val="top"/>
            <w:textDirection w:val="lrTb"/>
            <w:noWrap w:val="false"/>
          </w:tcPr>
          <w:p>
            <w:pPr>
              <w:pStyle w:val="1010"/>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9"/>
      <w:r/>
      <w:bookmarkEnd w:id="190"/>
      <w:r/>
      <w:bookmarkEnd w:id="191"/>
      <w:r/>
      <w:bookmarkStart w:id="192"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3" w:name="_格式3__银行出具的资信证明"/>
      <w:r/>
      <w:bookmarkEnd w:id="193"/>
      <w:r/>
      <w:bookmarkStart w:id="194" w:name="_Hlt26955070"/>
      <w:r/>
      <w:bookmarkEnd w:id="194"/>
      <w:r/>
      <w:bookmarkStart w:id="195" w:name="_Hlt26671380"/>
      <w:r/>
      <w:bookmarkEnd w:id="195"/>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p>
    <w:p>
      <w:pPr>
        <w:pStyle w:val="1010"/>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67"/>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67"/>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67"/>
          <w:rFonts w:hint="eastAsia" w:ascii="宋体" w:hAnsi="宋体" w:eastAsia="宋体" w:cs="宋体"/>
          <w:i w:val="0"/>
          <w:iCs w:val="0"/>
          <w:caps w:val="0"/>
          <w:color w:val="000000"/>
          <w:spacing w:val="0"/>
          <w:sz w:val="24"/>
          <w:szCs w:val="24"/>
          <w:u w:val="single"/>
          <w:shd w:val="clear" w:color="auto" w:fill="ffffff"/>
        </w:rPr>
        <w:t xml:space="preserve">（厂名）</w:t>
      </w:r>
      <w:r>
        <w:rPr>
          <w:rStyle w:val="967"/>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67"/>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101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67"/>
          <w:rFonts w:hint="eastAsia" w:ascii="宋体" w:hAnsi="宋体" w:eastAsia="宋体" w:cs="宋体"/>
          <w:i w:val="0"/>
          <w:iCs w:val="0"/>
          <w:caps w:val="0"/>
          <w:color w:val="000000"/>
          <w:spacing w:val="0"/>
          <w:sz w:val="24"/>
          <w:szCs w:val="24"/>
          <w:u w:val="single"/>
          <w:shd w:val="clear" w:color="auto" w:fill="ffffff"/>
        </w:rPr>
        <w:t xml:space="preserve">（产品名称</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67"/>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67"/>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67"/>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101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p>
    <w:p>
      <w:pPr>
        <w:pStyle w:val="101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p>
    <w:p>
      <w:pPr>
        <w:pStyle w:val="1010"/>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010"/>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1010"/>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101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p>
    <w:p>
      <w:pPr>
        <w:pStyle w:val="101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p>
    <w:p>
      <w:pPr>
        <w:pStyle w:val="101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p>
    <w:p>
      <w:pPr>
        <w:pStyle w:val="101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101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p>
    <w:p>
      <w:pPr>
        <w:pStyle w:val="101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p>
    <w:p>
      <w:pPr>
        <w:pStyle w:val="101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6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92"/>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汉仪书宋二S">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方正仿宋_GBK">
    <w:panose1 w:val="020B0503020202020204"/>
  </w:font>
  <w:font w:name="方正黑体_GBK">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锐字工房云字库幼线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19</w:t>
    </w:r>
    <w:r>
      <w:fldChar w:fldCharType="end"/>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3"/>
  </w:num>
  <w:num w:numId="4">
    <w:abstractNumId w:val="1"/>
  </w:num>
  <w:num w:numId="5">
    <w:abstractNumId w:val="4"/>
  </w:num>
  <w:num w:numId="6">
    <w:abstractNumId w:val="0"/>
  </w:num>
  <w:num w:numId="7">
    <w:abstractNumId w:val="6"/>
  </w:num>
  <w:num w:numId="8">
    <w:abstractNumId w:val="5"/>
  </w:num>
  <w:num w:numId="9">
    <w:abstractNumId w:val="8"/>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link w:val="9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6">
    <w:name w:val="Heading 1"/>
    <w:basedOn w:val="745"/>
    <w:next w:val="745"/>
    <w:link w:val="781"/>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82"/>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783"/>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84"/>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85"/>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86"/>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88"/>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89"/>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style>
  <w:style w:type="table" w:styleId="756" w:default="1">
    <w:name w:val="Normal Table"/>
    <w:uiPriority w:val="99"/>
    <w:semiHidden/>
    <w:unhideWhenUsed/>
    <w:tblPr>
      <w:tblCellMar>
        <w:left w:w="108" w:type="dxa"/>
        <w:top w:w="0" w:type="dxa"/>
        <w:right w:w="108" w:type="dxa"/>
        <w:bottom w:w="0" w:type="dxa"/>
      </w:tblCellMar>
    </w:tblPr>
  </w:style>
  <w:style w:type="paragraph" w:styleId="757" w:customStyle="1">
    <w:name w:val="索引 41"/>
    <w:basedOn w:val="745"/>
    <w:next w:val="745"/>
    <w:uiPriority w:val="0"/>
    <w:qFormat/>
    <w:pPr>
      <w:ind w:left="600"/>
      <w:jc w:val="both"/>
    </w:pPr>
    <w:rPr>
      <w:rFonts w:ascii="Calibri" w:hAnsi="Calibri" w:cs="Times New Roman"/>
      <w:sz w:val="21"/>
    </w:rPr>
  </w:style>
  <w:style w:type="paragraph" w:styleId="758">
    <w:name w:val="toc 7"/>
    <w:basedOn w:val="745"/>
    <w:next w:val="745"/>
    <w:uiPriority w:val="39"/>
    <w:unhideWhenUsed/>
    <w:pPr>
      <w:ind w:left="1701" w:right="0" w:firstLine="0"/>
      <w:spacing w:after="57"/>
    </w:pPr>
  </w:style>
  <w:style w:type="paragraph" w:styleId="759">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toc 5"/>
    <w:basedOn w:val="745"/>
    <w:next w:val="745"/>
    <w:uiPriority w:val="39"/>
    <w:unhideWhenUsed/>
    <w:pPr>
      <w:ind w:left="1134" w:right="0" w:firstLine="0"/>
      <w:spacing w:after="57"/>
    </w:pPr>
  </w:style>
  <w:style w:type="paragraph" w:styleId="761">
    <w:name w:val="toc 3"/>
    <w:basedOn w:val="745"/>
    <w:next w:val="745"/>
    <w:uiPriority w:val="39"/>
    <w:unhideWhenUsed/>
    <w:pPr>
      <w:ind w:left="567" w:right="0" w:firstLine="0"/>
      <w:spacing w:after="57"/>
    </w:pPr>
  </w:style>
  <w:style w:type="paragraph" w:styleId="762">
    <w:name w:val="toc 8"/>
    <w:basedOn w:val="745"/>
    <w:next w:val="745"/>
    <w:uiPriority w:val="39"/>
    <w:unhideWhenUsed/>
    <w:pPr>
      <w:ind w:left="1984" w:right="0" w:firstLine="0"/>
      <w:spacing w:after="57"/>
    </w:pPr>
  </w:style>
  <w:style w:type="paragraph" w:styleId="763">
    <w:name w:val="endnote text"/>
    <w:basedOn w:val="745"/>
    <w:link w:val="927"/>
    <w:uiPriority w:val="99"/>
    <w:semiHidden/>
    <w:unhideWhenUsed/>
    <w:pPr>
      <w:spacing w:after="0" w:line="240" w:lineRule="auto"/>
    </w:pPr>
    <w:rPr>
      <w:sz w:val="20"/>
    </w:rPr>
  </w:style>
  <w:style w:type="paragraph" w:styleId="764">
    <w:name w:val="Footer"/>
    <w:basedOn w:val="745"/>
    <w:link w:val="800"/>
    <w:uiPriority w:val="99"/>
    <w:unhideWhenUsed/>
    <w:pPr>
      <w:spacing w:after="0" w:line="240" w:lineRule="auto"/>
      <w:tabs>
        <w:tab w:val="center" w:pos="7143" w:leader="none"/>
        <w:tab w:val="right" w:pos="14287" w:leader="none"/>
      </w:tabs>
    </w:pPr>
  </w:style>
  <w:style w:type="paragraph" w:styleId="765">
    <w:name w:val="Header"/>
    <w:basedOn w:val="745"/>
    <w:link w:val="798"/>
    <w:uiPriority w:val="99"/>
    <w:unhideWhenUsed/>
    <w:pPr>
      <w:spacing w:after="0" w:line="240" w:lineRule="auto"/>
      <w:tabs>
        <w:tab w:val="center" w:pos="7143" w:leader="none"/>
        <w:tab w:val="right" w:pos="14287" w:leader="none"/>
      </w:tabs>
    </w:pPr>
  </w:style>
  <w:style w:type="paragraph" w:styleId="766">
    <w:name w:val="toc 1"/>
    <w:basedOn w:val="745"/>
    <w:next w:val="745"/>
    <w:uiPriority w:val="39"/>
    <w:unhideWhenUsed/>
    <w:pPr>
      <w:ind w:left="0" w:right="0" w:firstLine="0"/>
      <w:spacing w:after="57"/>
    </w:pPr>
  </w:style>
  <w:style w:type="paragraph" w:styleId="767">
    <w:name w:val="toc 4"/>
    <w:basedOn w:val="745"/>
    <w:next w:val="745"/>
    <w:uiPriority w:val="39"/>
    <w:unhideWhenUsed/>
    <w:pPr>
      <w:ind w:left="850" w:right="0" w:firstLine="0"/>
      <w:spacing w:after="57"/>
    </w:pPr>
  </w:style>
  <w:style w:type="paragraph" w:styleId="768">
    <w:name w:val="Subtitle"/>
    <w:basedOn w:val="745"/>
    <w:next w:val="745"/>
    <w:link w:val="793"/>
    <w:uiPriority w:val="11"/>
    <w:qFormat/>
    <w:pPr>
      <w:spacing w:before="200" w:after="200"/>
    </w:pPr>
    <w:rPr>
      <w:sz w:val="24"/>
      <w:szCs w:val="24"/>
    </w:rPr>
  </w:style>
  <w:style w:type="paragraph" w:styleId="769">
    <w:name w:val="footnote text"/>
    <w:basedOn w:val="745"/>
    <w:link w:val="926"/>
    <w:uiPriority w:val="99"/>
    <w:semiHidden/>
    <w:unhideWhenUsed/>
    <w:pPr>
      <w:spacing w:after="40" w:line="240" w:lineRule="auto"/>
    </w:pPr>
    <w:rPr>
      <w:sz w:val="18"/>
    </w:rPr>
  </w:style>
  <w:style w:type="paragraph" w:styleId="770">
    <w:name w:val="toc 6"/>
    <w:basedOn w:val="745"/>
    <w:next w:val="745"/>
    <w:uiPriority w:val="39"/>
    <w:unhideWhenUsed/>
    <w:pPr>
      <w:ind w:left="1417" w:right="0" w:firstLine="0"/>
      <w:spacing w:after="57"/>
    </w:pPr>
  </w:style>
  <w:style w:type="paragraph" w:styleId="771">
    <w:name w:val="table of figures"/>
    <w:basedOn w:val="745"/>
    <w:next w:val="745"/>
    <w:uiPriority w:val="99"/>
    <w:unhideWhenUsed/>
    <w:pPr>
      <w:spacing w:after="0" w:afterAutospacing="0"/>
    </w:pPr>
  </w:style>
  <w:style w:type="paragraph" w:styleId="772">
    <w:name w:val="toc 2"/>
    <w:basedOn w:val="745"/>
    <w:next w:val="745"/>
    <w:uiPriority w:val="39"/>
    <w:unhideWhenUsed/>
    <w:pPr>
      <w:ind w:left="283" w:right="0" w:firstLine="0"/>
      <w:spacing w:after="57"/>
    </w:pPr>
  </w:style>
  <w:style w:type="paragraph" w:styleId="773">
    <w:name w:val="toc 9"/>
    <w:basedOn w:val="745"/>
    <w:next w:val="745"/>
    <w:uiPriority w:val="39"/>
    <w:unhideWhenUsed/>
    <w:pPr>
      <w:ind w:left="2268" w:right="0" w:firstLine="0"/>
      <w:spacing w:after="57"/>
    </w:pPr>
  </w:style>
  <w:style w:type="paragraph" w:styleId="774">
    <w:name w:val="Normal (Web)"/>
    <w:basedOn w:val="745"/>
    <w:uiPriority w:val="99"/>
    <w:semiHidden/>
    <w:unhideWhenUsed/>
    <w:pPr>
      <w:ind w:left="0" w:right="0"/>
      <w:jc w:val="left"/>
      <w:spacing w:before="0" w:beforeAutospacing="1" w:after="0" w:afterAutospacing="1"/>
    </w:pPr>
    <w:rPr>
      <w:sz w:val="24"/>
      <w:lang w:val="en-US" w:eastAsia="zh-CN" w:bidi="ar"/>
    </w:rPr>
  </w:style>
  <w:style w:type="paragraph" w:styleId="775">
    <w:name w:val="Title"/>
    <w:basedOn w:val="745"/>
    <w:next w:val="745"/>
    <w:link w:val="792"/>
    <w:uiPriority w:val="10"/>
    <w:qFormat/>
    <w:pPr>
      <w:contextualSpacing/>
      <w:spacing w:before="300" w:after="200"/>
    </w:pPr>
    <w:rPr>
      <w:sz w:val="48"/>
      <w:szCs w:val="48"/>
    </w:rPr>
  </w:style>
  <w:style w:type="table" w:styleId="776">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55"/>
    <w:uiPriority w:val="22"/>
    <w:qFormat/>
    <w:rPr>
      <w:b/>
    </w:rPr>
  </w:style>
  <w:style w:type="character" w:styleId="778">
    <w:name w:val="endnote reference"/>
    <w:uiPriority w:val="99"/>
    <w:semiHidden/>
    <w:unhideWhenUsed/>
    <w:rPr>
      <w:vertAlign w:val="superscript"/>
    </w:rPr>
  </w:style>
  <w:style w:type="character" w:styleId="779">
    <w:name w:val="Hyperlink"/>
    <w:uiPriority w:val="99"/>
    <w:unhideWhenUsed/>
    <w:rPr>
      <w:color w:val="0000ff" w:themeColor="hyperlink"/>
      <w:u w:val="single"/>
      <w14:textFill>
        <w14:solidFill>
          <w14:schemeClr w14:val="hlink"/>
        </w14:solidFill>
      </w14:textFill>
    </w:rPr>
  </w:style>
  <w:style w:type="character" w:styleId="780">
    <w:name w:val="footnote reference"/>
    <w:uiPriority w:val="99"/>
    <w:unhideWhenUsed/>
    <w:rPr>
      <w:vertAlign w:val="superscript"/>
    </w:rPr>
  </w:style>
  <w:style w:type="character" w:styleId="781" w:customStyle="1">
    <w:name w:val="Heading 1 Char"/>
    <w:link w:val="746"/>
    <w:uiPriority w:val="9"/>
    <w:rPr>
      <w:rFonts w:ascii="Arial" w:hAnsi="Arial" w:eastAsia="Arial" w:cs="Arial"/>
      <w:sz w:val="40"/>
      <w:szCs w:val="40"/>
    </w:rPr>
  </w:style>
  <w:style w:type="character" w:styleId="782" w:customStyle="1">
    <w:name w:val="Heading 2 Char"/>
    <w:link w:val="747"/>
    <w:uiPriority w:val="9"/>
    <w:rPr>
      <w:rFonts w:ascii="Arial" w:hAnsi="Arial" w:eastAsia="Arial" w:cs="Arial"/>
      <w:sz w:val="34"/>
    </w:rPr>
  </w:style>
  <w:style w:type="character" w:styleId="783" w:customStyle="1">
    <w:name w:val="Heading 3 Char"/>
    <w:link w:val="748"/>
    <w:uiPriority w:val="9"/>
    <w:rPr>
      <w:rFonts w:ascii="Arial" w:hAnsi="Arial" w:eastAsia="Arial" w:cs="Arial"/>
      <w:sz w:val="30"/>
      <w:szCs w:val="30"/>
    </w:rPr>
  </w:style>
  <w:style w:type="character" w:styleId="784" w:customStyle="1">
    <w:name w:val="Heading 4 Char"/>
    <w:link w:val="749"/>
    <w:uiPriority w:val="9"/>
    <w:rPr>
      <w:rFonts w:ascii="Arial" w:hAnsi="Arial" w:eastAsia="Arial" w:cs="Arial"/>
      <w:b/>
      <w:bCs/>
      <w:sz w:val="26"/>
      <w:szCs w:val="26"/>
    </w:rPr>
  </w:style>
  <w:style w:type="character" w:styleId="785" w:customStyle="1">
    <w:name w:val="Heading 5 Char"/>
    <w:link w:val="750"/>
    <w:uiPriority w:val="9"/>
    <w:rPr>
      <w:rFonts w:ascii="Arial" w:hAnsi="Arial" w:eastAsia="Arial" w:cs="Arial"/>
      <w:b/>
      <w:bCs/>
      <w:sz w:val="24"/>
      <w:szCs w:val="24"/>
    </w:rPr>
  </w:style>
  <w:style w:type="character" w:styleId="786" w:customStyle="1">
    <w:name w:val="Heading 6 Char"/>
    <w:link w:val="751"/>
    <w:uiPriority w:val="9"/>
    <w:rPr>
      <w:rFonts w:ascii="Arial" w:hAnsi="Arial" w:eastAsia="Arial" w:cs="Arial"/>
      <w:b/>
      <w:bCs/>
      <w:sz w:val="22"/>
      <w:szCs w:val="22"/>
    </w:rPr>
  </w:style>
  <w:style w:type="character" w:styleId="787" w:customStyle="1">
    <w:name w:val="Heading 7 Char"/>
    <w:link w:val="752"/>
    <w:uiPriority w:val="9"/>
    <w:rPr>
      <w:rFonts w:ascii="Arial" w:hAnsi="Arial" w:eastAsia="Arial" w:cs="Arial"/>
      <w:b/>
      <w:bCs/>
      <w:i/>
      <w:iCs/>
      <w:sz w:val="22"/>
      <w:szCs w:val="22"/>
    </w:rPr>
  </w:style>
  <w:style w:type="character" w:styleId="788" w:customStyle="1">
    <w:name w:val="Heading 8 Char"/>
    <w:link w:val="753"/>
    <w:uiPriority w:val="9"/>
    <w:rPr>
      <w:rFonts w:ascii="Arial" w:hAnsi="Arial" w:eastAsia="Arial" w:cs="Arial"/>
      <w:i/>
      <w:iCs/>
      <w:sz w:val="22"/>
      <w:szCs w:val="22"/>
    </w:rPr>
  </w:style>
  <w:style w:type="character" w:styleId="789" w:customStyle="1">
    <w:name w:val="Heading 9 Char"/>
    <w:link w:val="754"/>
    <w:uiPriority w:val="9"/>
    <w:rPr>
      <w:rFonts w:ascii="Arial" w:hAnsi="Arial" w:eastAsia="Arial" w:cs="Arial"/>
      <w:i/>
      <w:iCs/>
      <w:sz w:val="21"/>
      <w:szCs w:val="21"/>
    </w:rPr>
  </w:style>
  <w:style w:type="paragraph" w:styleId="790">
    <w:name w:val="List Paragraph"/>
    <w:basedOn w:val="745"/>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5"/>
    <w:uiPriority w:val="10"/>
    <w:rPr>
      <w:sz w:val="48"/>
      <w:szCs w:val="48"/>
    </w:rPr>
  </w:style>
  <w:style w:type="character" w:styleId="793" w:customStyle="1">
    <w:name w:val="Subtitle Char"/>
    <w:link w:val="768"/>
    <w:uiPriority w:val="11"/>
    <w:rPr>
      <w:sz w:val="24"/>
      <w:szCs w:val="24"/>
    </w:rPr>
  </w:style>
  <w:style w:type="paragraph" w:styleId="794">
    <w:name w:val="Quote"/>
    <w:basedOn w:val="745"/>
    <w:next w:val="745"/>
    <w:link w:val="795"/>
    <w:uiPriority w:val="29"/>
    <w:qFormat/>
    <w:pPr>
      <w:ind w:left="720" w:right="720"/>
    </w:pPr>
    <w:rPr>
      <w:i/>
    </w:rPr>
  </w:style>
  <w:style w:type="character" w:styleId="795" w:customStyle="1">
    <w:name w:val="Quote Char"/>
    <w:link w:val="794"/>
    <w:uiPriority w:val="29"/>
    <w:rPr>
      <w:i/>
    </w:rPr>
  </w:style>
  <w:style w:type="paragraph" w:styleId="796">
    <w:name w:val="Intense Quote"/>
    <w:basedOn w:val="745"/>
    <w:next w:val="745"/>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rPr>
      <w:i/>
    </w:rPr>
  </w:style>
  <w:style w:type="character" w:styleId="798" w:customStyle="1">
    <w:name w:val="Header Char"/>
    <w:link w:val="765"/>
    <w:uiPriority w:val="99"/>
  </w:style>
  <w:style w:type="character" w:styleId="799" w:customStyle="1">
    <w:name w:val="Footer Char"/>
    <w:link w:val="764"/>
    <w:uiPriority w:val="99"/>
  </w:style>
  <w:style w:type="character" w:styleId="800" w:customStyle="1">
    <w:name w:val="Caption Char"/>
    <w:link w:val="764"/>
    <w:uiPriority w:val="99"/>
  </w:style>
  <w:style w:type="table" w:styleId="80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69"/>
    <w:uiPriority w:val="99"/>
    <w:rPr>
      <w:sz w:val="18"/>
    </w:rPr>
  </w:style>
  <w:style w:type="character" w:styleId="927" w:customStyle="1">
    <w:name w:val="Endnote Text Char"/>
    <w:link w:val="763"/>
    <w:uiPriority w:val="99"/>
    <w:rPr>
      <w:sz w:val="20"/>
    </w:rPr>
  </w:style>
  <w:style w:type="paragraph" w:styleId="928" w:customStyle="1">
    <w:name w:val="TOC Heading"/>
    <w:uiPriority w:val="39"/>
    <w:unhideWhenUsed/>
    <w:rPr>
      <w:rFonts w:hint="default" w:ascii="Times New Roman" w:hAnsi="Times New Roman" w:eastAsia="宋体" w:cs="Times New Roman"/>
    </w:rPr>
  </w:style>
  <w:style w:type="paragraph" w:styleId="929" w:customStyle="1">
    <w:name w:val="标题 11"/>
    <w:basedOn w:val="745"/>
    <w:next w:val="745"/>
    <w:link w:val="954"/>
    <w:uiPriority w:val="0"/>
    <w:qFormat/>
    <w:pPr>
      <w:jc w:val="center"/>
      <w:keepNext/>
      <w:outlineLvl w:val="0"/>
    </w:pPr>
    <w:rPr>
      <w:rFonts w:ascii="楷体_GB2312" w:hAnsi="Times New Roman" w:eastAsia="楷体_GB2312" w:cs="Times New Roman"/>
      <w:sz w:val="28"/>
      <w:szCs w:val="28"/>
    </w:rPr>
  </w:style>
  <w:style w:type="paragraph" w:styleId="930" w:customStyle="1">
    <w:name w:val="标题 21"/>
    <w:basedOn w:val="745"/>
    <w:next w:val="931"/>
    <w:link w:val="983"/>
    <w:uiPriority w:val="0"/>
    <w:qFormat/>
    <w:pPr>
      <w:jc w:val="center"/>
      <w:keepLines/>
      <w:keepNext/>
      <w:spacing w:before="260" w:after="260" w:line="416" w:lineRule="auto"/>
      <w:outlineLvl w:val="1"/>
    </w:pPr>
    <w:rPr>
      <w:rFonts w:ascii="Arial" w:hAnsi="Arial" w:eastAsia="锐字工房云字库幼线GBK" w:cs="Arial"/>
      <w:b/>
      <w:bCs/>
      <w:sz w:val="44"/>
      <w:szCs w:val="44"/>
    </w:rPr>
  </w:style>
  <w:style w:type="paragraph" w:styleId="931" w:customStyle="1">
    <w:name w:val="正文缩进1"/>
    <w:basedOn w:val="745"/>
    <w:link w:val="984"/>
    <w:uiPriority w:val="0"/>
    <w:pPr>
      <w:ind w:firstLine="420"/>
    </w:pPr>
    <w:rPr>
      <w:szCs w:val="21"/>
    </w:rPr>
  </w:style>
  <w:style w:type="paragraph" w:styleId="932" w:customStyle="1">
    <w:name w:val="标题 31"/>
    <w:basedOn w:val="745"/>
    <w:next w:val="931"/>
    <w:link w:val="9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3" w:customStyle="1">
    <w:name w:val="标题 41"/>
    <w:basedOn w:val="745"/>
    <w:next w:val="931"/>
    <w:link w:val="973"/>
    <w:uiPriority w:val="0"/>
    <w:qFormat/>
    <w:pPr>
      <w:keepLines/>
      <w:keepNext/>
      <w:spacing w:before="280" w:after="290" w:line="376" w:lineRule="auto"/>
      <w:outlineLvl w:val="3"/>
    </w:pPr>
    <w:rPr>
      <w:rFonts w:ascii="Arial" w:hAnsi="Arial" w:eastAsia="黑体" w:cs="Arial"/>
      <w:b/>
      <w:bCs/>
      <w:sz w:val="28"/>
      <w:szCs w:val="28"/>
    </w:rPr>
  </w:style>
  <w:style w:type="paragraph" w:styleId="934" w:customStyle="1">
    <w:name w:val="标题 51"/>
    <w:basedOn w:val="745"/>
    <w:next w:val="931"/>
    <w:link w:val="946"/>
    <w:uiPriority w:val="0"/>
    <w:qFormat/>
    <w:pPr>
      <w:keepNext/>
      <w:outlineLvl w:val="4"/>
    </w:pPr>
    <w:rPr>
      <w:rFonts w:ascii="宋体" w:hAnsi="Times New Roman" w:eastAsia="宋体" w:cs="Times New Roman"/>
      <w:color w:val="000000"/>
      <w:sz w:val="28"/>
      <w:szCs w:val="28"/>
    </w:rPr>
  </w:style>
  <w:style w:type="paragraph" w:styleId="935" w:customStyle="1">
    <w:name w:val="标题 61"/>
    <w:basedOn w:val="745"/>
    <w:next w:val="745"/>
    <w:link w:val="96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6" w:customStyle="1">
    <w:name w:val="标题 71"/>
    <w:basedOn w:val="745"/>
    <w:next w:val="745"/>
    <w:link w:val="97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7" w:customStyle="1">
    <w:name w:val="标题 81"/>
    <w:basedOn w:val="745"/>
    <w:next w:val="745"/>
    <w:link w:val="97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8" w:customStyle="1">
    <w:name w:val="标题 91"/>
    <w:basedOn w:val="745"/>
    <w:next w:val="745"/>
    <w:link w:val="98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39" w:customStyle="1">
    <w:name w:val="默认段落字体1"/>
    <w:link w:val="745"/>
    <w:uiPriority w:val="1"/>
    <w:unhideWhenUsed/>
  </w:style>
  <w:style w:type="table" w:styleId="940" w:customStyle="1">
    <w:name w:val="普通表格1"/>
    <w:uiPriority w:val="99"/>
    <w:unhideWhenUsed/>
    <w:tblPr/>
  </w:style>
  <w:style w:type="character" w:styleId="941" w:customStyle="1">
    <w:name w:val="页码1"/>
    <w:link w:val="745"/>
    <w:uiPriority w:val="0"/>
  </w:style>
  <w:style w:type="character" w:styleId="942" w:customStyle="1">
    <w:name w:val="正文文本缩进 3 Char"/>
    <w:link w:val="943"/>
    <w:uiPriority w:val="0"/>
    <w:rPr>
      <w:rFonts w:ascii="Arial" w:hAnsi="Arial" w:eastAsia="仿宋_GB2312" w:cs="Arial"/>
      <w:color w:val="ffff00"/>
      <w:sz w:val="32"/>
      <w:szCs w:val="32"/>
    </w:rPr>
  </w:style>
  <w:style w:type="paragraph" w:styleId="943" w:customStyle="1">
    <w:name w:val="正文文本缩进 31"/>
    <w:basedOn w:val="745"/>
    <w:link w:val="942"/>
    <w:uiPriority w:val="0"/>
    <w:pPr>
      <w:ind w:left="645" w:firstLine="645"/>
    </w:pPr>
    <w:rPr>
      <w:rFonts w:ascii="Arial" w:hAnsi="Arial" w:eastAsia="仿宋_GB2312" w:cs="Arial"/>
      <w:color w:val="ffff00"/>
      <w:sz w:val="32"/>
      <w:szCs w:val="32"/>
    </w:rPr>
  </w:style>
  <w:style w:type="character" w:styleId="944" w:customStyle="1">
    <w:name w:val="文档结构图 Char"/>
    <w:link w:val="945"/>
    <w:uiPriority w:val="0"/>
    <w:semiHidden/>
    <w:rPr>
      <w:rFonts w:ascii="Times New Roman" w:hAnsi="Times New Roman" w:eastAsia="宋体" w:cs="Times New Roman"/>
      <w:szCs w:val="21"/>
      <w:shd w:val="clear" w:color="auto" w:fill="000080"/>
    </w:rPr>
  </w:style>
  <w:style w:type="paragraph" w:styleId="945" w:customStyle="1">
    <w:name w:val="文档结构图1"/>
    <w:basedOn w:val="745"/>
    <w:link w:val="944"/>
    <w:uiPriority w:val="0"/>
    <w:semiHidden/>
    <w:pPr>
      <w:shd w:val="clear" w:color="auto" w:fill="000080"/>
    </w:pPr>
    <w:rPr>
      <w:rFonts w:ascii="Times New Roman" w:hAnsi="Times New Roman" w:eastAsia="宋体" w:cs="Times New Roman"/>
      <w:szCs w:val="21"/>
    </w:rPr>
  </w:style>
  <w:style w:type="character" w:styleId="946" w:customStyle="1">
    <w:name w:val="标题 5 Char"/>
    <w:link w:val="934"/>
    <w:uiPriority w:val="0"/>
    <w:rPr>
      <w:rFonts w:ascii="宋体" w:hAnsi="Times New Roman" w:eastAsia="宋体" w:cs="Times New Roman"/>
      <w:color w:val="000000"/>
      <w:sz w:val="28"/>
      <w:szCs w:val="28"/>
    </w:rPr>
  </w:style>
  <w:style w:type="character" w:styleId="947" w:customStyle="1">
    <w:name w:val="font5 Char"/>
    <w:link w:val="745"/>
    <w:uiPriority w:val="0"/>
    <w:rPr>
      <w:rFonts w:ascii="宋体" w:hAnsi="宋体" w:eastAsia="宋体"/>
      <w:sz w:val="28"/>
      <w:szCs w:val="28"/>
      <w:lang w:val="en-US" w:eastAsia="zh-CN" w:bidi="ar-SA"/>
    </w:rPr>
  </w:style>
  <w:style w:type="character" w:styleId="948" w:customStyle="1">
    <w:name w:val="纯文本 Char"/>
    <w:link w:val="949"/>
    <w:uiPriority w:val="0"/>
    <w:rPr>
      <w:rFonts w:ascii="宋体" w:hAnsi="Courier New" w:eastAsia="宋体" w:cs="Courier New"/>
      <w:szCs w:val="21"/>
    </w:rPr>
  </w:style>
  <w:style w:type="paragraph" w:styleId="949" w:customStyle="1">
    <w:name w:val="纯文本1"/>
    <w:basedOn w:val="745"/>
    <w:link w:val="948"/>
    <w:uiPriority w:val="0"/>
    <w:qFormat/>
    <w:rPr>
      <w:rFonts w:ascii="宋体" w:hAnsi="Courier New" w:eastAsia="宋体" w:cs="Courier New"/>
      <w:szCs w:val="21"/>
    </w:rPr>
  </w:style>
  <w:style w:type="character" w:styleId="950" w:customStyle="1">
    <w:name w:val="页脚 Char"/>
    <w:link w:val="951"/>
    <w:uiPriority w:val="99"/>
    <w:rPr>
      <w:rFonts w:ascii="Times New Roman" w:hAnsi="Times New Roman" w:eastAsia="宋体" w:cs="Times New Roman"/>
      <w:sz w:val="18"/>
      <w:szCs w:val="18"/>
    </w:rPr>
  </w:style>
  <w:style w:type="paragraph" w:styleId="951" w:customStyle="1">
    <w:name w:val="页脚1"/>
    <w:basedOn w:val="745"/>
    <w:link w:val="95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2" w:customStyle="1">
    <w:name w:val="要点1"/>
    <w:basedOn w:val="939"/>
    <w:link w:val="745"/>
    <w:uiPriority w:val="0"/>
    <w:qFormat/>
    <w:rPr>
      <w:b/>
      <w:bCs/>
    </w:rPr>
  </w:style>
  <w:style w:type="character" w:styleId="953" w:customStyle="1">
    <w:name w:val="标题 3 Char"/>
    <w:link w:val="932"/>
    <w:uiPriority w:val="0"/>
    <w:rPr>
      <w:rFonts w:ascii="Times New Roman" w:hAnsi="Times New Roman" w:eastAsia="宋体" w:cs="Times New Roman"/>
      <w:b/>
      <w:bCs/>
      <w:sz w:val="32"/>
      <w:szCs w:val="32"/>
    </w:rPr>
  </w:style>
  <w:style w:type="character" w:styleId="954" w:customStyle="1">
    <w:name w:val="标题 1 Char"/>
    <w:link w:val="929"/>
    <w:uiPriority w:val="0"/>
    <w:rPr>
      <w:rFonts w:ascii="楷体_GB2312" w:hAnsi="Times New Roman" w:eastAsia="楷体_GB2312" w:cs="Times New Roman"/>
      <w:sz w:val="28"/>
      <w:szCs w:val="28"/>
    </w:rPr>
  </w:style>
  <w:style w:type="character" w:styleId="955" w:customStyle="1">
    <w:name w:val="批注文字 Char"/>
    <w:link w:val="956"/>
    <w:uiPriority w:val="99"/>
    <w:semiHidden/>
  </w:style>
  <w:style w:type="paragraph" w:styleId="956" w:customStyle="1">
    <w:name w:val="批注文字1"/>
    <w:basedOn w:val="745"/>
    <w:link w:val="955"/>
    <w:uiPriority w:val="0"/>
    <w:unhideWhenUsed/>
    <w:pPr>
      <w:jc w:val="left"/>
    </w:pPr>
  </w:style>
  <w:style w:type="character" w:styleId="957" w:customStyle="1">
    <w:name w:val="批注框文本 Char"/>
    <w:link w:val="958"/>
    <w:uiPriority w:val="0"/>
    <w:semiHidden/>
    <w:rPr>
      <w:rFonts w:ascii="Times New Roman" w:hAnsi="Times New Roman" w:eastAsia="宋体" w:cs="Times New Roman"/>
      <w:sz w:val="18"/>
      <w:szCs w:val="18"/>
    </w:rPr>
  </w:style>
  <w:style w:type="paragraph" w:styleId="958" w:customStyle="1">
    <w:name w:val="批注框文本1"/>
    <w:basedOn w:val="745"/>
    <w:link w:val="957"/>
    <w:uiPriority w:val="0"/>
    <w:semiHidden/>
    <w:rPr>
      <w:rFonts w:ascii="Times New Roman" w:hAnsi="Times New Roman" w:eastAsia="宋体" w:cs="Times New Roman"/>
      <w:sz w:val="18"/>
      <w:szCs w:val="18"/>
    </w:rPr>
  </w:style>
  <w:style w:type="character" w:styleId="959" w:customStyle="1">
    <w:name w:val="已访问的超链接1"/>
    <w:link w:val="745"/>
    <w:uiPriority w:val="0"/>
    <w:rPr>
      <w:color w:val="800080"/>
      <w:u w:val="single"/>
    </w:rPr>
  </w:style>
  <w:style w:type="character" w:styleId="960" w:customStyle="1">
    <w:name w:val="标题 6 Char"/>
    <w:link w:val="935"/>
    <w:uiPriority w:val="0"/>
    <w:rPr>
      <w:rFonts w:ascii="Arial" w:hAnsi="Arial" w:eastAsia="黑体" w:cs="Times New Roman"/>
      <w:b/>
      <w:bCs/>
      <w:sz w:val="24"/>
      <w:szCs w:val="24"/>
    </w:rPr>
  </w:style>
  <w:style w:type="character" w:styleId="961" w:customStyle="1">
    <w:name w:val="正文文本 3 Char"/>
    <w:link w:val="962"/>
    <w:uiPriority w:val="0"/>
    <w:rPr>
      <w:rFonts w:ascii="仿宋_GB2312" w:hAnsi="Arial" w:eastAsia="仿宋_GB2312" w:cs="Times New Roman"/>
      <w:sz w:val="32"/>
      <w:szCs w:val="32"/>
    </w:rPr>
  </w:style>
  <w:style w:type="paragraph" w:styleId="962" w:customStyle="1">
    <w:name w:val="正文文本 31"/>
    <w:basedOn w:val="745"/>
    <w:link w:val="961"/>
    <w:uiPriority w:val="0"/>
    <w:rPr>
      <w:rFonts w:ascii="仿宋_GB2312" w:hAnsi="Arial" w:eastAsia="仿宋_GB2312" w:cs="Times New Roman"/>
      <w:sz w:val="32"/>
      <w:szCs w:val="32"/>
    </w:rPr>
  </w:style>
  <w:style w:type="character" w:styleId="963" w:customStyle="1">
    <w:name w:val="正文文本 Char"/>
    <w:link w:val="964"/>
    <w:uiPriority w:val="0"/>
    <w:rPr>
      <w:rFonts w:ascii="楷体_GB2312" w:hAnsi="Arial" w:eastAsia="楷体_GB2312" w:cs="Times New Roman"/>
      <w:sz w:val="28"/>
      <w:szCs w:val="28"/>
    </w:rPr>
  </w:style>
  <w:style w:type="paragraph" w:styleId="964" w:customStyle="1">
    <w:name w:val="正文文本11"/>
    <w:basedOn w:val="745"/>
    <w:link w:val="963"/>
    <w:uiPriority w:val="0"/>
    <w:rPr>
      <w:rFonts w:ascii="楷体_GB2312" w:hAnsi="Arial" w:eastAsia="楷体_GB2312" w:cs="Times New Roman"/>
      <w:sz w:val="28"/>
      <w:szCs w:val="28"/>
    </w:rPr>
  </w:style>
  <w:style w:type="character" w:styleId="965" w:customStyle="1">
    <w:name w:val="页眉 Char"/>
    <w:link w:val="966"/>
    <w:uiPriority w:val="0"/>
    <w:rPr>
      <w:rFonts w:ascii="Times New Roman" w:hAnsi="Times New Roman" w:eastAsia="宋体" w:cs="Times New Roman"/>
      <w:sz w:val="18"/>
      <w:szCs w:val="18"/>
    </w:rPr>
  </w:style>
  <w:style w:type="paragraph" w:styleId="966" w:customStyle="1">
    <w:name w:val="页眉1"/>
    <w:basedOn w:val="745"/>
    <w:link w:val="965"/>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7" w:customStyle="1">
    <w:name w:val="强调1"/>
    <w:basedOn w:val="939"/>
    <w:link w:val="745"/>
    <w:uiPriority w:val="0"/>
    <w:qFormat/>
    <w:rPr>
      <w:i/>
    </w:rPr>
  </w:style>
  <w:style w:type="character" w:styleId="968" w:customStyle="1">
    <w:name w:val="列出段落 Char"/>
    <w:link w:val="969"/>
    <w:uiPriority w:val="0"/>
    <w:rPr>
      <w:rFonts w:ascii="Calibri" w:hAnsi="Calibri"/>
      <w:sz w:val="24"/>
      <w:szCs w:val="24"/>
      <w:lang w:eastAsia="en-US" w:bidi="en-US"/>
    </w:rPr>
  </w:style>
  <w:style w:type="paragraph" w:styleId="969" w:customStyle="1">
    <w:name w:val="列出段落1"/>
    <w:basedOn w:val="745"/>
    <w:link w:val="968"/>
    <w:uiPriority w:val="0"/>
    <w:qFormat/>
    <w:pPr>
      <w:contextualSpacing/>
      <w:ind w:left="720"/>
      <w:jc w:val="left"/>
      <w:widowControl/>
    </w:pPr>
    <w:rPr>
      <w:rFonts w:ascii="Calibri" w:hAnsi="Calibri"/>
      <w:sz w:val="24"/>
      <w:szCs w:val="24"/>
      <w:lang w:eastAsia="en-US" w:bidi="en-US"/>
    </w:rPr>
  </w:style>
  <w:style w:type="character" w:styleId="970" w:customStyle="1">
    <w:name w:val="超链接1"/>
    <w:link w:val="745"/>
    <w:uiPriority w:val="0"/>
    <w:rPr>
      <w:color w:val="0000ff"/>
      <w:u w:val="single"/>
    </w:rPr>
  </w:style>
  <w:style w:type="character" w:styleId="971" w:customStyle="1">
    <w:name w:val="批注主题 Char"/>
    <w:link w:val="972"/>
    <w:uiPriority w:val="0"/>
    <w:semiHidden/>
    <w:rPr>
      <w:rFonts w:ascii="Times New Roman" w:hAnsi="Times New Roman" w:eastAsia="宋体" w:cs="Times New Roman"/>
      <w:b/>
      <w:bCs/>
      <w:szCs w:val="21"/>
    </w:rPr>
  </w:style>
  <w:style w:type="paragraph" w:styleId="972" w:customStyle="1">
    <w:name w:val="批注主题1"/>
    <w:basedOn w:val="956"/>
    <w:next w:val="956"/>
    <w:link w:val="971"/>
    <w:uiPriority w:val="0"/>
    <w:semiHidden/>
    <w:rPr>
      <w:rFonts w:ascii="Times New Roman" w:hAnsi="Times New Roman" w:eastAsia="宋体" w:cs="Times New Roman"/>
      <w:b/>
      <w:bCs/>
      <w:szCs w:val="21"/>
    </w:rPr>
  </w:style>
  <w:style w:type="character" w:styleId="973" w:customStyle="1">
    <w:name w:val="标题 4 Char"/>
    <w:link w:val="933"/>
    <w:uiPriority w:val="0"/>
    <w:rPr>
      <w:rFonts w:ascii="Arial" w:hAnsi="Arial" w:eastAsia="黑体" w:cs="Arial"/>
      <w:b/>
      <w:bCs/>
      <w:sz w:val="28"/>
      <w:szCs w:val="28"/>
    </w:rPr>
  </w:style>
  <w:style w:type="character" w:styleId="974" w:customStyle="1">
    <w:name w:val="标题 8 Char"/>
    <w:link w:val="937"/>
    <w:uiPriority w:val="0"/>
    <w:rPr>
      <w:rFonts w:ascii="Arial" w:hAnsi="Arial" w:eastAsia="黑体" w:cs="Times New Roman"/>
      <w:sz w:val="24"/>
      <w:szCs w:val="24"/>
    </w:rPr>
  </w:style>
  <w:style w:type="character" w:styleId="975" w:customStyle="1">
    <w:name w:val="批注引用1"/>
    <w:link w:val="745"/>
    <w:uiPriority w:val="0"/>
    <w:semiHidden/>
    <w:rPr>
      <w:sz w:val="21"/>
      <w:szCs w:val="21"/>
    </w:rPr>
  </w:style>
  <w:style w:type="character" w:styleId="976" w:customStyle="1">
    <w:name w:val="正文文本缩进 2 Char"/>
    <w:link w:val="977"/>
    <w:uiPriority w:val="0"/>
    <w:rPr>
      <w:rFonts w:ascii="Arial" w:hAnsi="Arial" w:eastAsia="仿宋_GB2312" w:cs="Arial"/>
      <w:sz w:val="32"/>
      <w:szCs w:val="32"/>
    </w:rPr>
  </w:style>
  <w:style w:type="paragraph" w:styleId="977" w:customStyle="1">
    <w:name w:val="正文文本缩进 21"/>
    <w:basedOn w:val="745"/>
    <w:link w:val="976"/>
    <w:uiPriority w:val="0"/>
    <w:pPr>
      <w:ind w:left="630" w:firstLine="645"/>
    </w:pPr>
    <w:rPr>
      <w:rFonts w:ascii="Arial" w:hAnsi="Arial" w:eastAsia="仿宋_GB2312" w:cs="Arial"/>
      <w:sz w:val="32"/>
      <w:szCs w:val="32"/>
    </w:rPr>
  </w:style>
  <w:style w:type="character" w:styleId="978" w:customStyle="1">
    <w:name w:val="标题 7 Char"/>
    <w:link w:val="936"/>
    <w:uiPriority w:val="0"/>
    <w:rPr>
      <w:rFonts w:ascii="Times New Roman" w:hAnsi="Times New Roman" w:eastAsia="宋体" w:cs="Times New Roman"/>
      <w:b/>
      <w:bCs/>
      <w:sz w:val="24"/>
      <w:szCs w:val="24"/>
    </w:rPr>
  </w:style>
  <w:style w:type="character" w:styleId="979" w:customStyle="1">
    <w:name w:val="日期 Char"/>
    <w:link w:val="980"/>
    <w:uiPriority w:val="0"/>
    <w:rPr>
      <w:rFonts w:ascii="Times New Roman" w:hAnsi="Times New Roman" w:eastAsia="宋体" w:cs="Times New Roman"/>
      <w:sz w:val="24"/>
      <w:szCs w:val="24"/>
    </w:rPr>
  </w:style>
  <w:style w:type="paragraph" w:styleId="980" w:customStyle="1">
    <w:name w:val="日期1"/>
    <w:basedOn w:val="745"/>
    <w:next w:val="745"/>
    <w:link w:val="979"/>
    <w:uiPriority w:val="0"/>
    <w:rPr>
      <w:rFonts w:ascii="Times New Roman" w:hAnsi="Times New Roman" w:eastAsia="宋体" w:cs="Times New Roman"/>
      <w:sz w:val="24"/>
      <w:szCs w:val="24"/>
    </w:rPr>
  </w:style>
  <w:style w:type="character" w:styleId="981" w:customStyle="1">
    <w:name w:val="正文文本缩进 Char"/>
    <w:link w:val="982"/>
    <w:uiPriority w:val="99"/>
    <w:semiHidden/>
  </w:style>
  <w:style w:type="paragraph" w:styleId="982" w:customStyle="1">
    <w:name w:val="正文文本缩进1"/>
    <w:basedOn w:val="745"/>
    <w:link w:val="981"/>
    <w:uiPriority w:val="0"/>
    <w:unhideWhenUsed/>
    <w:pPr>
      <w:ind w:left="420"/>
      <w:spacing w:after="120"/>
    </w:pPr>
  </w:style>
  <w:style w:type="character" w:styleId="983" w:customStyle="1">
    <w:name w:val="标题 2 Char"/>
    <w:link w:val="930"/>
    <w:uiPriority w:val="0"/>
    <w:rPr>
      <w:rFonts w:ascii="Arial" w:hAnsi="Arial" w:eastAsia="锐字工房云字库幼线GBK" w:cs="Arial"/>
      <w:b/>
      <w:bCs/>
      <w:sz w:val="44"/>
      <w:szCs w:val="44"/>
    </w:rPr>
  </w:style>
  <w:style w:type="character" w:styleId="984" w:customStyle="1">
    <w:name w:val="正文缩进 Char"/>
    <w:link w:val="931"/>
    <w:uiPriority w:val="0"/>
    <w:rPr>
      <w:szCs w:val="21"/>
    </w:rPr>
  </w:style>
  <w:style w:type="character" w:styleId="985" w:customStyle="1">
    <w:name w:val="标题 9 Char"/>
    <w:link w:val="938"/>
    <w:uiPriority w:val="0"/>
    <w:rPr>
      <w:rFonts w:ascii="Arial" w:hAnsi="Arial" w:eastAsia="黑体" w:cs="Times New Roman"/>
      <w:szCs w:val="21"/>
    </w:rPr>
  </w:style>
  <w:style w:type="character" w:styleId="986" w:customStyle="1">
    <w:name w:val="正文文本 2 Char"/>
    <w:link w:val="987"/>
    <w:uiPriority w:val="0"/>
    <w:rPr>
      <w:rFonts w:ascii="楷体_GB2312" w:hAnsi="Times New Roman" w:eastAsia="楷体_GB2312" w:cs="Times New Roman"/>
      <w:sz w:val="28"/>
      <w:szCs w:val="28"/>
    </w:rPr>
  </w:style>
  <w:style w:type="paragraph" w:styleId="987" w:customStyle="1">
    <w:name w:val="正文文本 21"/>
    <w:basedOn w:val="745"/>
    <w:link w:val="986"/>
    <w:uiPriority w:val="0"/>
    <w:pPr>
      <w:jc w:val="center"/>
      <w:widowControl/>
    </w:pPr>
    <w:rPr>
      <w:rFonts w:ascii="楷体_GB2312" w:hAnsi="Times New Roman" w:eastAsia="楷体_GB2312" w:cs="Times New Roman"/>
      <w:sz w:val="28"/>
      <w:szCs w:val="28"/>
    </w:rPr>
  </w:style>
  <w:style w:type="character" w:styleId="988" w:customStyle="1">
    <w:name w:val="正文首行缩进 Char"/>
    <w:link w:val="989"/>
    <w:uiPriority w:val="0"/>
    <w:rPr>
      <w:rFonts w:ascii="仿宋_GB2312" w:hAnsi="Times New Roman" w:eastAsia="仿宋_GB2312" w:cs="Times New Roman"/>
      <w:sz w:val="30"/>
      <w:szCs w:val="30"/>
    </w:rPr>
  </w:style>
  <w:style w:type="paragraph" w:styleId="989" w:customStyle="1">
    <w:name w:val="正文首行缩进11"/>
    <w:basedOn w:val="745"/>
    <w:link w:val="988"/>
    <w:uiPriority w:val="0"/>
    <w:pPr>
      <w:ind w:firstLine="200"/>
      <w:spacing w:line="360" w:lineRule="auto"/>
    </w:pPr>
    <w:rPr>
      <w:rFonts w:ascii="仿宋_GB2312" w:hAnsi="Times New Roman" w:eastAsia="仿宋_GB2312" w:cs="Times New Roman"/>
      <w:sz w:val="30"/>
      <w:szCs w:val="30"/>
    </w:rPr>
  </w:style>
  <w:style w:type="character" w:styleId="990" w:customStyle="1">
    <w:name w:val="正文首行缩进 2 Char"/>
    <w:link w:val="991"/>
    <w:uiPriority w:val="0"/>
    <w:rPr>
      <w:rFonts w:ascii="宋体" w:hAnsi="宋体" w:eastAsia="宋体" w:cs="Times New Roman"/>
      <w:szCs w:val="20"/>
    </w:rPr>
  </w:style>
  <w:style w:type="paragraph" w:styleId="991" w:customStyle="1">
    <w:name w:val="正文首行缩进 21"/>
    <w:basedOn w:val="982"/>
    <w:link w:val="990"/>
    <w:uiPriority w:val="0"/>
    <w:pPr>
      <w:ind w:left="0" w:firstLine="420"/>
      <w:spacing w:after="0" w:line="360" w:lineRule="auto"/>
    </w:pPr>
    <w:rPr>
      <w:rFonts w:ascii="宋体" w:hAnsi="宋体" w:eastAsia="宋体" w:cs="Times New Roman"/>
      <w:szCs w:val="20"/>
    </w:rPr>
  </w:style>
  <w:style w:type="character" w:styleId="992" w:customStyle="1">
    <w:name w:val="二级目录 Char"/>
    <w:link w:val="993"/>
    <w:uiPriority w:val="0"/>
    <w:rPr>
      <w:b/>
      <w:sz w:val="30"/>
      <w:szCs w:val="28"/>
    </w:rPr>
  </w:style>
  <w:style w:type="paragraph" w:styleId="993" w:customStyle="1">
    <w:name w:val="二级目录"/>
    <w:next w:val="745"/>
    <w:link w:val="992"/>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94" w:customStyle="1">
    <w:name w:val="标题3"/>
    <w:basedOn w:val="745"/>
    <w:next w:val="745"/>
    <w:uiPriority w:val="0"/>
    <w:pPr>
      <w:ind w:firstLine="624"/>
      <w:spacing w:line="590" w:lineRule="atLeast"/>
    </w:pPr>
    <w:rPr>
      <w:rFonts w:ascii="方正黑体_GBK" w:hAnsi="Times New Roman" w:eastAsia="方正黑体_GBK" w:cs="Times New Roman"/>
      <w:sz w:val="32"/>
      <w:szCs w:val="32"/>
    </w:rPr>
  </w:style>
  <w:style w:type="paragraph" w:styleId="995" w:customStyle="1">
    <w:name w:val=" Char Char Char Char Char Char Char Char Char Char"/>
    <w:basedOn w:val="745"/>
    <w:uiPriority w:val="0"/>
    <w:pPr>
      <w:spacing w:line="360" w:lineRule="auto"/>
    </w:pPr>
    <w:rPr>
      <w:rFonts w:ascii="Times New Roman" w:hAnsi="Times New Roman" w:eastAsia="宋体" w:cs="Times New Roman"/>
      <w:sz w:val="24"/>
      <w:szCs w:val="20"/>
    </w:rPr>
  </w:style>
  <w:style w:type="paragraph" w:styleId="996" w:customStyle="1">
    <w:name w:val="目录 81"/>
    <w:basedOn w:val="745"/>
    <w:next w:val="745"/>
    <w:uiPriority w:val="0"/>
    <w:semiHidden/>
    <w:pPr>
      <w:ind w:left="1470"/>
      <w:jc w:val="left"/>
    </w:pPr>
    <w:rPr>
      <w:rFonts w:ascii="Times New Roman" w:hAnsi="Times New Roman" w:eastAsia="宋体" w:cs="Times New Roman"/>
      <w:szCs w:val="21"/>
    </w:rPr>
  </w:style>
  <w:style w:type="paragraph" w:styleId="997" w:customStyle="1">
    <w:name w:val="xl29"/>
    <w:basedOn w:val="745"/>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8" w:customStyle="1">
    <w:name w:val="目录 71"/>
    <w:basedOn w:val="745"/>
    <w:next w:val="745"/>
    <w:uiPriority w:val="0"/>
    <w:semiHidden/>
    <w:pPr>
      <w:ind w:left="1260"/>
      <w:jc w:val="left"/>
    </w:pPr>
    <w:rPr>
      <w:rFonts w:ascii="Times New Roman" w:hAnsi="Times New Roman" w:eastAsia="宋体" w:cs="Times New Roman"/>
      <w:szCs w:val="21"/>
    </w:rPr>
  </w:style>
  <w:style w:type="paragraph" w:styleId="999" w:customStyle="1">
    <w:name w:val="目录 41"/>
    <w:basedOn w:val="745"/>
    <w:next w:val="745"/>
    <w:uiPriority w:val="0"/>
    <w:semiHidden/>
    <w:pPr>
      <w:ind w:left="630"/>
      <w:jc w:val="left"/>
    </w:pPr>
    <w:rPr>
      <w:rFonts w:ascii="Times New Roman" w:hAnsi="Times New Roman" w:eastAsia="宋体" w:cs="Times New Roman"/>
      <w:szCs w:val="21"/>
    </w:rPr>
  </w:style>
  <w:style w:type="paragraph" w:styleId="1000" w:customStyle="1">
    <w:name w:val="列出段落"/>
    <w:basedOn w:val="745"/>
    <w:uiPriority w:val="0"/>
    <w:qFormat/>
    <w:pPr>
      <w:contextualSpacing/>
      <w:ind w:left="720"/>
      <w:jc w:val="left"/>
      <w:widowControl/>
    </w:pPr>
    <w:rPr>
      <w:rFonts w:ascii="Calibri" w:hAnsi="Calibri" w:eastAsia="宋体" w:cs="Times New Roman"/>
      <w:sz w:val="24"/>
      <w:szCs w:val="24"/>
      <w:lang w:eastAsia="en-US" w:bidi="en-US"/>
    </w:rPr>
  </w:style>
  <w:style w:type="paragraph" w:styleId="1001" w:customStyle="1">
    <w:name w:val="Char"/>
    <w:basedOn w:val="745"/>
    <w:uiPriority w:val="0"/>
    <w:pPr>
      <w:ind w:firstLine="200"/>
      <w:tabs>
        <w:tab w:val="left" w:pos="360" w:leader="none"/>
      </w:tabs>
    </w:pPr>
    <w:rPr>
      <w:rFonts w:ascii="Times New Roman" w:hAnsi="Times New Roman" w:eastAsia="宋体" w:cs="Times New Roman"/>
      <w:sz w:val="28"/>
      <w:szCs w:val="30"/>
    </w:rPr>
  </w:style>
  <w:style w:type="paragraph" w:styleId="1002" w:customStyle="1">
    <w:name w:val="xl28"/>
    <w:basedOn w:val="745"/>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3" w:customStyle="1">
    <w:name w:val="Body Text(ch)"/>
    <w:basedOn w:val="745"/>
    <w:next w:val="964"/>
    <w:uiPriority w:val="0"/>
    <w:pPr>
      <w:spacing w:after="120"/>
    </w:pPr>
    <w:rPr>
      <w:rFonts w:ascii="宋体" w:hAnsi="Arial" w:eastAsia="宋体" w:cs="Times New Roman"/>
      <w:bCs/>
      <w:iCs/>
      <w:szCs w:val="24"/>
    </w:rPr>
  </w:style>
  <w:style w:type="paragraph" w:styleId="1004" w:customStyle="1">
    <w:name w:val="xl27"/>
    <w:basedOn w:val="745"/>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customStyle="1">
    <w:name w:val="普通正文"/>
    <w:basedOn w:val="745"/>
    <w:uiPriority w:val="0"/>
    <w:pPr>
      <w:ind w:firstLine="480"/>
      <w:jc w:val="left"/>
      <w:spacing w:before="120" w:after="120" w:line="360" w:lineRule="auto"/>
    </w:pPr>
    <w:rPr>
      <w:rFonts w:ascii="Arial" w:hAnsi="Arial" w:eastAsia="宋体" w:cs="Times New Roman"/>
      <w:sz w:val="24"/>
      <w:szCs w:val="24"/>
    </w:rPr>
  </w:style>
  <w:style w:type="paragraph" w:styleId="100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7" w:customStyle="1">
    <w:name w:val="table_1stline"/>
    <w:basedOn w:val="745"/>
    <w:uiPriority w:val="0"/>
    <w:pPr>
      <w:jc w:val="left"/>
      <w:spacing w:before="120"/>
      <w:widowControl/>
    </w:pPr>
    <w:rPr>
      <w:rFonts w:ascii="Times New Roman" w:hAnsi="Times New Roman" w:eastAsia="宋体" w:cs="Times New Roman"/>
      <w:bCs/>
      <w:sz w:val="20"/>
      <w:szCs w:val="20"/>
      <w:lang w:val="de-DE" w:eastAsia="de-DE"/>
    </w:rPr>
  </w:style>
  <w:style w:type="paragraph" w:styleId="1008" w:customStyle="1">
    <w:name w:val=" Char Char Char Char"/>
    <w:basedOn w:val="945"/>
    <w:uiPriority w:val="0"/>
    <w:pPr>
      <w:spacing w:line="360" w:lineRule="auto"/>
    </w:pPr>
    <w:rPr>
      <w:rFonts w:ascii="Tahoma" w:hAnsi="Tahoma"/>
      <w:sz w:val="24"/>
      <w:szCs w:val="24"/>
    </w:rPr>
  </w:style>
  <w:style w:type="paragraph" w:styleId="1009" w:customStyle="1">
    <w:name w:val="xl26"/>
    <w:basedOn w:val="74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customStyle="1">
    <w:name w:val="普通(网站)1"/>
    <w:basedOn w:val="745"/>
    <w:uiPriority w:val="99"/>
    <w:pPr>
      <w:jc w:val="left"/>
      <w:spacing w:before="100" w:beforeAutospacing="1" w:after="100" w:afterAutospacing="1"/>
      <w:widowControl/>
    </w:pPr>
    <w:rPr>
      <w:rFonts w:ascii="宋体" w:hAnsi="宋体" w:eastAsia="宋体" w:cs="宋体"/>
      <w:sz w:val="24"/>
      <w:szCs w:val="24"/>
    </w:rPr>
  </w:style>
  <w:style w:type="paragraph" w:styleId="1011" w:customStyle="1">
    <w:name w:val="目录 91"/>
    <w:basedOn w:val="745"/>
    <w:next w:val="745"/>
    <w:uiPriority w:val="0"/>
    <w:semiHidden/>
    <w:pPr>
      <w:ind w:left="1680"/>
      <w:jc w:val="left"/>
    </w:pPr>
    <w:rPr>
      <w:rFonts w:ascii="Times New Roman" w:hAnsi="Times New Roman" w:eastAsia="宋体" w:cs="Times New Roman"/>
      <w:szCs w:val="21"/>
    </w:rPr>
  </w:style>
  <w:style w:type="paragraph" w:styleId="1012" w:customStyle="1">
    <w:name w:val=" Char"/>
    <w:basedOn w:val="945"/>
    <w:uiPriority w:val="0"/>
    <w:rPr>
      <w:rFonts w:ascii="Tahoma" w:hAnsi="Tahoma"/>
      <w:sz w:val="24"/>
      <w:szCs w:val="24"/>
    </w:rPr>
  </w:style>
  <w:style w:type="paragraph" w:styleId="1013" w:customStyle="1">
    <w:name w:val="样式1"/>
    <w:basedOn w:val="745"/>
    <w:uiPriority w:val="0"/>
    <w:pPr>
      <w:numPr>
        <w:ilvl w:val="0"/>
        <w:numId w:val="3"/>
      </w:numPr>
    </w:pPr>
    <w:rPr>
      <w:rFonts w:ascii="宋体" w:hAnsi="宋体" w:eastAsia="宋体" w:cs="Times New Roman"/>
      <w:szCs w:val="21"/>
    </w:rPr>
  </w:style>
  <w:style w:type="paragraph" w:styleId="1014" w:customStyle="1">
    <w:name w:val="索引 11"/>
    <w:basedOn w:val="745"/>
    <w:next w:val="745"/>
    <w:uiPriority w:val="0"/>
    <w:semiHidden/>
    <w:pPr>
      <w:spacing w:line="240" w:lineRule="atLeast"/>
    </w:pPr>
    <w:rPr>
      <w:rFonts w:ascii="Times New Roman" w:hAnsi="Times New Roman" w:eastAsia="宋体" w:cs="Times New Roman"/>
      <w:b/>
      <w:bCs/>
      <w:szCs w:val="21"/>
    </w:rPr>
  </w:style>
  <w:style w:type="paragraph" w:styleId="1015" w:customStyle="1">
    <w:name w:val="font5"/>
    <w:basedOn w:val="745"/>
    <w:uiPriority w:val="0"/>
    <w:pPr>
      <w:jc w:val="left"/>
      <w:spacing w:before="100" w:beforeAutospacing="1" w:after="100" w:afterAutospacing="1"/>
      <w:widowControl/>
    </w:pPr>
    <w:rPr>
      <w:rFonts w:hint="eastAsia" w:ascii="宋体" w:hAnsi="宋体" w:eastAsia="宋体" w:cs="Times New Roman"/>
      <w:sz w:val="28"/>
      <w:szCs w:val="28"/>
    </w:rPr>
  </w:style>
  <w:style w:type="paragraph" w:styleId="1016" w:customStyle="1">
    <w:name w:val="目录 21"/>
    <w:basedOn w:val="745"/>
    <w:next w:val="745"/>
    <w:uiPriority w:val="0"/>
    <w:semiHidden/>
    <w:pPr>
      <w:ind w:left="210"/>
      <w:jc w:val="left"/>
    </w:pPr>
    <w:rPr>
      <w:rFonts w:ascii="Times New Roman" w:hAnsi="Times New Roman" w:eastAsia="宋体" w:cs="Times New Roman"/>
      <w:smallCaps/>
      <w:szCs w:val="24"/>
    </w:rPr>
  </w:style>
  <w:style w:type="paragraph" w:styleId="1017" w:customStyle="1">
    <w:name w:val="xl24"/>
    <w:basedOn w:val="745"/>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customStyle="1">
    <w:name w:val="列表 21"/>
    <w:basedOn w:val="745"/>
    <w:uiPriority w:val="0"/>
    <w:pPr>
      <w:ind w:left="100" w:hanging="200"/>
    </w:pPr>
    <w:rPr>
      <w:rFonts w:ascii="Times New Roman" w:hAnsi="Times New Roman" w:eastAsia="宋体" w:cs="Times New Roman"/>
      <w:szCs w:val="21"/>
    </w:rPr>
  </w:style>
  <w:style w:type="paragraph" w:styleId="1019" w:customStyle="1">
    <w:name w:val="目录 11"/>
    <w:basedOn w:val="745"/>
    <w:next w:val="745"/>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20" w:customStyle="1">
    <w:name w:val="正文文本1"/>
    <w:basedOn w:val="745"/>
    <w:uiPriority w:val="0"/>
    <w:qFormat/>
    <w:rPr>
      <w:rFonts w:ascii="楷体_GB2312" w:hAnsi="Arial" w:eastAsia="楷体_GB2312" w:cs="Times New Roman"/>
      <w:sz w:val="28"/>
      <w:szCs w:val="28"/>
    </w:rPr>
  </w:style>
  <w:style w:type="paragraph" w:styleId="1021" w:customStyle="1">
    <w:name w:val="目录 61"/>
    <w:basedOn w:val="745"/>
    <w:next w:val="745"/>
    <w:uiPriority w:val="0"/>
    <w:semiHidden/>
    <w:pPr>
      <w:ind w:left="1050"/>
      <w:jc w:val="left"/>
    </w:pPr>
    <w:rPr>
      <w:rFonts w:ascii="Times New Roman" w:hAnsi="Times New Roman" w:eastAsia="宋体" w:cs="Times New Roman"/>
      <w:szCs w:val="21"/>
    </w:rPr>
  </w:style>
  <w:style w:type="paragraph" w:styleId="1022" w:customStyle="1">
    <w:name w:val="普通 (Web)"/>
    <w:basedOn w:val="745"/>
    <w:uiPriority w:val="0"/>
    <w:pPr>
      <w:jc w:val="left"/>
      <w:spacing w:before="100" w:beforeAutospacing="1" w:after="100" w:afterAutospacing="1"/>
      <w:widowControl/>
    </w:pPr>
    <w:rPr>
      <w:rFonts w:ascii="宋体" w:hAnsi="宋体" w:eastAsia="宋体" w:cs="Times New Roman"/>
      <w:sz w:val="24"/>
      <w:szCs w:val="24"/>
    </w:rPr>
  </w:style>
  <w:style w:type="paragraph" w:styleId="1023" w:customStyle="1">
    <w:name w:val="图表目录1"/>
    <w:basedOn w:val="745"/>
    <w:next w:val="745"/>
    <w:uiPriority w:val="0"/>
    <w:semiHidden/>
    <w:pPr>
      <w:ind w:left="840" w:hanging="420"/>
    </w:pPr>
    <w:rPr>
      <w:rFonts w:ascii="Times New Roman" w:hAnsi="Times New Roman" w:eastAsia="宋体" w:cs="Times New Roman"/>
      <w:szCs w:val="21"/>
    </w:rPr>
  </w:style>
  <w:style w:type="paragraph" w:styleId="1024" w:customStyle="1">
    <w:name w:val="列表1"/>
    <w:basedOn w:val="745"/>
    <w:uiPriority w:val="0"/>
    <w:pPr>
      <w:ind w:left="200" w:hanging="200"/>
    </w:pPr>
    <w:rPr>
      <w:rFonts w:ascii="Times New Roman" w:hAnsi="Times New Roman" w:eastAsia="宋体" w:cs="Times New Roman"/>
      <w:szCs w:val="21"/>
    </w:rPr>
  </w:style>
  <w:style w:type="paragraph" w:styleId="1025" w:customStyle="1">
    <w:name w:val="目录 51"/>
    <w:basedOn w:val="745"/>
    <w:next w:val="745"/>
    <w:uiPriority w:val="0"/>
    <w:semiHidden/>
    <w:pPr>
      <w:ind w:left="840"/>
      <w:jc w:val="left"/>
    </w:pPr>
    <w:rPr>
      <w:rFonts w:ascii="Times New Roman" w:hAnsi="Times New Roman" w:eastAsia="宋体" w:cs="Times New Roman"/>
      <w:szCs w:val="21"/>
    </w:rPr>
  </w:style>
  <w:style w:type="paragraph" w:styleId="1026" w:customStyle="1">
    <w:name w:val=" Char Char Char Char Char Char Char Char"/>
    <w:basedOn w:val="745"/>
    <w:uiPriority w:val="0"/>
    <w:pPr>
      <w:jc w:val="left"/>
      <w:spacing w:after="160" w:line="240" w:lineRule="exact"/>
      <w:widowControl/>
    </w:pPr>
    <w:rPr>
      <w:rFonts w:ascii="Verdana" w:hAnsi="Verdana" w:eastAsia="宋体" w:cs="Times New Roman"/>
      <w:sz w:val="20"/>
      <w:szCs w:val="20"/>
      <w:lang w:eastAsia="en-US"/>
    </w:rPr>
  </w:style>
  <w:style w:type="paragraph" w:styleId="1027" w:customStyle="1">
    <w:name w:val="目录 31"/>
    <w:basedOn w:val="745"/>
    <w:next w:val="745"/>
    <w:uiPriority w:val="0"/>
    <w:semiHidden/>
    <w:pPr>
      <w:ind w:left="420"/>
      <w:jc w:val="left"/>
    </w:pPr>
    <w:rPr>
      <w:rFonts w:ascii="Times New Roman" w:hAnsi="Times New Roman" w:eastAsia="宋体" w:cs="Times New Roman"/>
      <w:i/>
      <w:iCs/>
      <w:szCs w:val="24"/>
    </w:rPr>
  </w:style>
  <w:style w:type="paragraph" w:styleId="1028" w:customStyle="1">
    <w:name w:val="font6"/>
    <w:basedOn w:val="745"/>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029" w:customStyle="1">
    <w:name w:val="标题1"/>
    <w:basedOn w:val="745"/>
    <w:next w:val="745"/>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0" w:customStyle="1">
    <w:name w:val="table_lines"/>
    <w:basedOn w:val="745"/>
    <w:uiPriority w:val="0"/>
    <w:pPr>
      <w:jc w:val="left"/>
      <w:widowControl/>
    </w:pPr>
    <w:rPr>
      <w:rFonts w:ascii="Times New Roman" w:hAnsi="Times New Roman" w:eastAsia="宋体" w:cs="Times New Roman"/>
      <w:sz w:val="20"/>
      <w:szCs w:val="20"/>
      <w:lang w:val="de-DE" w:eastAsia="de-DE"/>
    </w:rPr>
  </w:style>
  <w:style w:type="paragraph" w:styleId="1031" w:customStyle="1">
    <w:name w:val="列表 31"/>
    <w:basedOn w:val="745"/>
    <w:uiPriority w:val="0"/>
    <w:pPr>
      <w:ind w:left="100" w:hanging="200"/>
    </w:pPr>
    <w:rPr>
      <w:rFonts w:ascii="Times New Roman" w:hAnsi="Times New Roman" w:eastAsia="宋体" w:cs="Times New Roman"/>
      <w:szCs w:val="21"/>
    </w:rPr>
  </w:style>
  <w:style w:type="paragraph" w:styleId="1032" w:customStyle="1">
    <w:name w:val="正文首行缩进1"/>
    <w:basedOn w:val="1020"/>
    <w:uiPriority w:val="0"/>
    <w:qFormat/>
    <w:pPr>
      <w:ind w:firstLine="200"/>
      <w:spacing w:line="360" w:lineRule="auto"/>
    </w:pPr>
    <w:rPr>
      <w:rFonts w:ascii="仿宋_GB2312" w:hAnsi="Times New Roman" w:eastAsia="仿宋_GB2312" w:cs="Times New Roman"/>
      <w:sz w:val="30"/>
      <w:szCs w:val="30"/>
    </w:rPr>
  </w:style>
  <w:style w:type="paragraph" w:styleId="1033" w:customStyle="1">
    <w:name w:val="图标"/>
    <w:basedOn w:val="745"/>
    <w:next w:val="745"/>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4" w:customStyle="1">
    <w:name w:val="xl30"/>
    <w:basedOn w:val="745"/>
    <w:uiPriority w:val="0"/>
    <w:pPr>
      <w:jc w:val="center"/>
      <w:spacing w:before="100" w:beforeAutospacing="1" w:after="100" w:afterAutospacing="1"/>
      <w:widowControl/>
    </w:pPr>
    <w:rPr>
      <w:rFonts w:ascii="宋体" w:hAnsi="宋体" w:eastAsia="宋体" w:cs="Times New Roman"/>
      <w:b/>
      <w:bCs/>
      <w:sz w:val="36"/>
      <w:szCs w:val="36"/>
    </w:rPr>
  </w:style>
  <w:style w:type="paragraph" w:styleId="10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6" w:customStyle="1">
    <w:name w:val="font7"/>
    <w:basedOn w:val="745"/>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037" w:customStyle="1">
    <w:name w:val="xl25"/>
    <w:basedOn w:val="745"/>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4"/>
    <w:basedOn w:val="745"/>
    <w:next w:val="943"/>
    <w:uiPriority w:val="0"/>
    <w:pPr>
      <w:ind w:firstLine="420"/>
      <w:spacing w:line="360" w:lineRule="auto"/>
    </w:pPr>
    <w:rPr>
      <w:rFonts w:ascii="Times New Roman" w:hAnsi="Times New Roman" w:eastAsia="宋体" w:cs="Times New Roman"/>
      <w:color w:val="ff0000"/>
      <w:sz w:val="24"/>
      <w:szCs w:val="24"/>
    </w:rPr>
  </w:style>
  <w:style w:type="paragraph" w:styleId="1039" w:customStyle="1">
    <w:name w:val="Char Char Char Char"/>
    <w:basedOn w:val="945"/>
    <w:uiPriority w:val="0"/>
    <w:pPr>
      <w:spacing w:line="360" w:lineRule="auto"/>
    </w:pPr>
    <w:rPr>
      <w:rFonts w:ascii="Tahoma" w:hAnsi="Tahoma"/>
      <w:sz w:val="24"/>
      <w:szCs w:val="24"/>
    </w:rPr>
  </w:style>
  <w:style w:type="paragraph" w:styleId="1040"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1" w:customStyle="1">
    <w:name w:val="修订"/>
    <w:uiPriority w:val="99"/>
    <w:semiHidden/>
    <w:rPr>
      <w:rFonts w:hint="default" w:ascii="Times New Roman" w:hAnsi="Times New Roman" w:eastAsia="宋体" w:cs="Times New Roman"/>
      <w:sz w:val="21"/>
      <w:szCs w:val="21"/>
      <w:lang w:val="en-US" w:eastAsia="zh-CN" w:bidi="ar-SA"/>
    </w:rPr>
  </w:style>
  <w:style w:type="paragraph" w:styleId="1042" w:customStyle="1">
    <w:name w:val="Char Char Char Char Char Char Char Char"/>
    <w:basedOn w:val="745"/>
    <w:uiPriority w:val="0"/>
    <w:pPr>
      <w:jc w:val="left"/>
      <w:spacing w:after="160" w:line="240" w:lineRule="exact"/>
      <w:widowControl/>
    </w:pPr>
    <w:rPr>
      <w:rFonts w:ascii="Verdana" w:hAnsi="Verdana" w:eastAsia="宋体" w:cs="Times New Roman"/>
      <w:sz w:val="20"/>
      <w:szCs w:val="20"/>
      <w:lang w:eastAsia="en-US"/>
    </w:rPr>
  </w:style>
  <w:style w:type="table" w:styleId="1043" w:customStyle="1">
    <w:name w:val="网格型1"/>
    <w:basedOn w:val="940"/>
    <w:uiPriority w:val="0"/>
    <w:pPr>
      <w:jc w:val="both"/>
      <w:widowControl w:val="off"/>
    </w:pPr>
    <w:rPr>
      <w:rFonts w:ascii="Times New Roman" w:hAnsi="Times New Roman" w:eastAsia="宋体" w:cs="Times New Roman"/>
      <w:sz w:val="20"/>
      <w:szCs w:val="20"/>
    </w:rPr>
    <w:tbl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12</cp:revision>
  <dcterms:created xsi:type="dcterms:W3CDTF">2023-03-17T10:13:00Z</dcterms:created>
  <dcterms:modified xsi:type="dcterms:W3CDTF">2026-09-20T01:28:33Z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2052-12.1.26035.26035</vt:lpwstr>
  </property>
  <property fmtid="{D5CDD505-2E9C-101B-9397-08002B2CF9AE}" pid="3" name="ICV">
    <vt:lpwstr>1BDE2B54647F6D614E4EAB6AF7773A76_42</vt:lpwstr>
  </property>
</Properties>
</file>