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color w:val="auto"/>
          <w:sz w:val="72"/>
        </w:rPr>
      </w:pPr>
      <w:r/>
      <w:bookmarkStart w:id="0" w:name="_Hlk192713327"/>
      <w:r>
        <w:rPr>
          <w:rFonts w:hint="eastAsia" w:ascii="宋体" w:hAnsi="宋体" w:eastAsia="宋体" w:cs="宋体"/>
          <w:b/>
          <w:color w:val="auto"/>
          <w:sz w:val="72"/>
        </w:rPr>
        <w:tab/>
      </w:r>
      <w:r/>
    </w:p>
    <w:p>
      <w:pPr>
        <w:jc w:val="center"/>
        <w:rPr>
          <w:rFonts w:hint="eastAsia" w:ascii="宋体" w:hAnsi="宋体" w:eastAsia="宋体" w:cs="宋体"/>
          <w:b/>
          <w:color w:val="auto"/>
          <w:sz w:val="72"/>
        </w:rPr>
      </w:pPr>
      <w:r>
        <w:rPr>
          <w:rFonts w:hint="eastAsia" w:ascii="宋体" w:hAnsi="宋体" w:eastAsia="宋体" w:cs="宋体"/>
          <w:b/>
          <w:color w:val="auto"/>
          <w:sz w:val="72"/>
        </w:rPr>
      </w:r>
      <w:r/>
    </w:p>
    <w:p>
      <w:pPr>
        <w:jc w:val="center"/>
        <w:spacing w:line="360" w:lineRule="auto"/>
        <w:rPr>
          <w:rFonts w:hint="eastAsia" w:ascii="宋体" w:hAnsi="宋体" w:eastAsia="宋体" w:cs="宋体"/>
          <w:b/>
          <w:color w:val="auto"/>
          <w:spacing w:val="20"/>
          <w:sz w:val="52"/>
          <w:szCs w:val="52"/>
        </w:rPr>
      </w:pPr>
      <w:r/>
      <w:bookmarkStart w:id="1" w:name="_Hlk192713293"/>
      <w:r>
        <w:rPr>
          <w:rFonts w:hint="eastAsia" w:ascii="宋体" w:hAnsi="宋体" w:eastAsia="宋体" w:cs="宋体"/>
          <w:b/>
          <w:color w:val="auto"/>
          <w:spacing w:val="20"/>
          <w:sz w:val="52"/>
          <w:szCs w:val="52"/>
        </w:rPr>
        <w:t xml:space="preserve">政府采购公开</w:t>
      </w:r>
      <w:bookmarkEnd w:id="1"/>
      <w:r>
        <w:rPr>
          <w:rFonts w:hint="eastAsia" w:ascii="宋体" w:hAnsi="宋体" w:eastAsia="宋体" w:cs="宋体"/>
          <w:b/>
          <w:color w:val="auto"/>
          <w:spacing w:val="20"/>
          <w:sz w:val="52"/>
          <w:szCs w:val="52"/>
        </w:rPr>
        <w:t xml:space="preserve">招标项目</w:t>
      </w:r>
      <w:r/>
    </w:p>
    <w:p>
      <w:pPr>
        <w:jc w:val="center"/>
        <w:spacing w:line="360" w:lineRule="auto"/>
        <w:rPr>
          <w:rFonts w:hint="eastAsia" w:ascii="宋体" w:hAnsi="宋体" w:eastAsia="宋体" w:cs="宋体"/>
          <w:b/>
          <w:color w:val="auto"/>
          <w:spacing w:val="20"/>
          <w:sz w:val="52"/>
          <w:szCs w:val="52"/>
        </w:rPr>
      </w:pPr>
      <w:r>
        <w:rPr>
          <w:rFonts w:hint="eastAsia" w:ascii="宋体" w:hAnsi="宋体" w:eastAsia="宋体" w:cs="宋体"/>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pacing w:val="20"/>
          <w:sz w:val="52"/>
          <w:szCs w:val="52"/>
        </w:rPr>
        <w:t xml:space="preserve">招标文件</w:t>
      </w:r>
      <w:r/>
    </w:p>
    <w:p>
      <w:pPr>
        <w:jc w:val="center"/>
        <w:rPr>
          <w:rFonts w:hint="eastAsia" w:ascii="宋体" w:hAnsi="宋体" w:eastAsia="宋体" w:cs="宋体"/>
          <w:b/>
          <w:color w:val="auto"/>
          <w:sz w:val="72"/>
          <w:szCs w:val="72"/>
        </w:rPr>
      </w:pPr>
      <w:r>
        <w:rPr>
          <w:rFonts w:hint="eastAsia" w:ascii="宋体" w:hAnsi="宋体" w:eastAsia="宋体" w:cs="宋体"/>
          <w:b/>
          <w:color w:val="auto"/>
          <w:sz w:val="30"/>
        </w:rPr>
        <w:t xml:space="preserve">（全流程电子化不见面开标）</w:t>
      </w:r>
      <w:r/>
    </w:p>
    <w:p>
      <w:pPr>
        <w:rPr>
          <w:rFonts w:hint="eastAsia" w:ascii="宋体" w:hAnsi="宋体" w:eastAsia="宋体" w:cs="宋体"/>
          <w:b/>
          <w:color w:val="auto"/>
          <w:sz w:val="72"/>
        </w:rPr>
      </w:pPr>
      <w:r>
        <w:rPr>
          <w:rFonts w:hint="eastAsia" w:ascii="宋体" w:hAnsi="宋体" w:eastAsia="宋体" w:cs="宋体"/>
          <w:b/>
          <w:color w:val="auto"/>
          <w:sz w:val="72"/>
        </w:rPr>
      </w:r>
      <w:r/>
    </w:p>
    <w:p>
      <w:pPr>
        <w:rPr>
          <w:rFonts w:hint="eastAsia" w:ascii="宋体" w:hAnsi="宋体" w:eastAsia="宋体" w:cs="宋体"/>
          <w:b/>
          <w:color w:val="auto"/>
          <w:sz w:val="72"/>
        </w:rPr>
      </w:pPr>
      <w:r>
        <w:rPr>
          <w:rFonts w:hint="eastAsia" w:ascii="宋体" w:hAnsi="宋体" w:eastAsia="宋体" w:cs="宋体"/>
          <w:b/>
          <w:color w:val="auto"/>
          <w:sz w:val="72"/>
        </w:rPr>
      </w:r>
      <w:r/>
    </w:p>
    <w:p>
      <w:pPr>
        <w:pStyle w:val="1134"/>
        <w:ind w:firstLine="568"/>
        <w:rPr>
          <w:rFonts w:hint="eastAsia" w:hAnsi="宋体" w:cs="宋体"/>
          <w:color w:val="auto"/>
        </w:rPr>
      </w:pPr>
      <w:r>
        <w:rPr>
          <w:rFonts w:hint="eastAsia" w:hAnsi="宋体" w:cs="宋体"/>
          <w:color w:val="auto"/>
        </w:rPr>
      </w:r>
      <w:r/>
    </w:p>
    <w:p>
      <w:pPr>
        <w:pStyle w:val="1134"/>
        <w:ind w:firstLine="568"/>
        <w:rPr>
          <w:rFonts w:hint="eastAsia" w:hAnsi="宋体" w:cs="宋体"/>
          <w:color w:val="auto"/>
        </w:rPr>
      </w:pPr>
      <w:r>
        <w:rPr>
          <w:rFonts w:hint="eastAsia" w:hAnsi="宋体" w:cs="宋体"/>
          <w:color w:val="auto"/>
        </w:rPr>
      </w:r>
      <w:r/>
    </w:p>
    <w:p>
      <w:pPr>
        <w:ind w:firstLine="1606"/>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项目编号：JSZC-320000-JTTZ-G2026-0026</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 项目名称：畜牧园2026年苏牧黑羽番鸭（育种）饲料采购项目</w:t>
      </w:r>
      <w:r/>
    </w:p>
    <w:p>
      <w:pPr>
        <w:ind w:firstLine="419"/>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firstLine="419"/>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firstLine="419"/>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firstLine="419"/>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64"/>
        <w:rPr>
          <w:rFonts w:hint="eastAsia" w:ascii="宋体" w:hAnsi="宋体" w:eastAsia="宋体" w:cs="宋体"/>
          <w:b/>
          <w:bCs/>
          <w:color w:val="auto"/>
          <w:szCs w:val="28"/>
        </w:rPr>
      </w:pPr>
      <w:r>
        <w:rPr>
          <w:rFonts w:hint="eastAsia" w:ascii="宋体" w:hAnsi="宋体" w:eastAsia="宋体" w:cs="宋体"/>
          <w:b/>
          <w:bCs/>
          <w:color w:val="auto"/>
          <w:szCs w:val="28"/>
        </w:rPr>
      </w:r>
      <w:r/>
    </w:p>
    <w:p>
      <w:pPr>
        <w:rPr>
          <w:rFonts w:hint="eastAsia" w:ascii="宋体" w:hAnsi="宋体" w:eastAsia="宋体" w:cs="宋体"/>
          <w:color w:val="auto"/>
        </w:rPr>
      </w:pPr>
      <w:r>
        <w:rPr>
          <w:rFonts w:hint="eastAsia" w:ascii="宋体" w:hAnsi="宋体" w:eastAsia="宋体" w:cs="宋体"/>
          <w:color w:val="auto"/>
        </w:rPr>
      </w:r>
      <w:r/>
    </w:p>
    <w:p>
      <w:pPr>
        <w:ind w:firstLine="419"/>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采购人：江苏农牧科技职业学院</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采购代理机构：江苏建泰工程项目管理有限公司</w:t>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2026年10月</w:t>
      </w:r>
      <w:r/>
    </w:p>
    <w:p>
      <w:pPr>
        <w:ind w:right="840"/>
        <w:jc w:val="center"/>
        <w:spacing w:line="360" w:lineRule="auto"/>
        <w:widowControl/>
        <w:rPr>
          <w:rFonts w:hint="eastAsia" w:ascii="宋体" w:hAnsi="宋体" w:eastAsia="宋体" w:cs="宋体"/>
          <w:b/>
          <w:color w:val="auto"/>
          <w:sz w:val="36"/>
          <w:szCs w:val="36"/>
        </w:rPr>
      </w:pPr>
      <w:r>
        <w:rPr>
          <w:rFonts w:hint="eastAsia" w:ascii="宋体" w:hAnsi="宋体" w:eastAsia="宋体" w:cs="宋体"/>
          <w:b/>
          <w:color w:val="auto"/>
          <w:sz w:val="28"/>
          <w:szCs w:val="28"/>
        </w:rPr>
        <w:br w:type="page" w:clear="all"/>
      </w:r>
      <w:r>
        <w:rPr>
          <w:rFonts w:hint="eastAsia" w:ascii="宋体" w:hAnsi="宋体" w:eastAsia="宋体" w:cs="宋体"/>
          <w:b/>
          <w:color w:val="auto"/>
          <w:sz w:val="36"/>
          <w:szCs w:val="36"/>
        </w:rPr>
        <w:t xml:space="preserve">目  录</w:t>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sdt>
      <w:sdtPr>
        <w15:appearance w15:val="boundingBox"/>
        <w15:color w:val="dbdbdb"/>
        <w:id w:val="147482251"/>
        <w:docPartObj>
          <w:docPartGallery w:val="Table of Contents"/>
          <w:docPartUnique w:val="true"/>
        </w:docPartObj>
        <w:rPr>
          <w:rFonts w:ascii="宋体" w:hAnsi="宋体" w:eastAsia="宋体"/>
          <w:color w:val="auto"/>
          <w:sz w:val="21"/>
        </w:rPr>
      </w:sdtPr>
      <w:sdtContent>
        <w:p>
          <w:pPr>
            <w:jc w:val="center"/>
            <w:rPr>
              <w:color w:val="auto"/>
            </w:rPr>
          </w:pPr>
          <w:r>
            <w:rPr>
              <w:color w:val="auto"/>
            </w:rPr>
          </w:r>
          <w:r/>
        </w:p>
        <w:p>
          <w:pPr>
            <w:pStyle w:val="878"/>
            <w:spacing w:line="360" w:lineRule="auto"/>
            <w:tabs>
              <w:tab w:val="right" w:pos="9072" w:leader="dot"/>
            </w:tabs>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TOC \o "1-1" \h \u </w:instrText>
          </w:r>
          <w:r>
            <w:rPr>
              <w:rFonts w:hint="eastAsia" w:asciiTheme="minorEastAsia" w:hAnsiTheme="minorEastAsia" w:eastAsiaTheme="minorEastAsia" w:cstheme="minorEastAsia"/>
              <w:color w:val="auto"/>
              <w:sz w:val="24"/>
              <w:szCs w:val="24"/>
            </w:rPr>
            <w:fldChar w:fldCharType="separate"/>
          </w:r>
          <w:r>
            <w:rPr>
              <w:color w:val="auto"/>
            </w:rPr>
            <w:fldChar w:fldCharType="begin"/>
          </w:r>
          <w:r>
            <w:rPr>
              <w:color w:val="auto"/>
            </w:rPr>
            <w:instrText xml:space="preserve"> HYPERLINK \l "_Toc3605" </w:instrText>
          </w:r>
          <w:r>
            <w:rPr>
              <w:color w:val="auto"/>
            </w:rPr>
            <w:fldChar w:fldCharType="separate"/>
          </w:r>
          <w:r>
            <w:rPr>
              <w:rFonts w:hint="eastAsia" w:asciiTheme="minorEastAsia" w:hAnsiTheme="minorEastAsia" w:eastAsiaTheme="minorEastAsia" w:cstheme="minorEastAsia"/>
              <w:color w:val="auto"/>
            </w:rPr>
            <w:t xml:space="preserve">第一章 招标公告</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PAGEREF _Toc3605 \h </w:instrText>
          </w:r>
          <w:r>
            <w:rPr>
              <w:rFonts w:hint="eastAsia" w:asciiTheme="minorEastAsia" w:hAnsiTheme="minorEastAsia" w:eastAsiaTheme="minorEastAsia" w:cstheme="minorEastAsia"/>
              <w:color w:val="auto"/>
            </w:rPr>
            <w:fldChar w:fldCharType="separate"/>
          </w:r>
          <w:r>
            <w:rPr>
              <w:rFonts w:hint="eastAsia" w:asciiTheme="minorEastAsia" w:hAnsiTheme="minorEastAsia" w:eastAsiaTheme="minorEastAsia" w:cstheme="minorEastAsia"/>
              <w:color w:val="auto"/>
            </w:rPr>
            <w:t xml:space="preserve">3</w:t>
          </w:r>
          <w:r>
            <w:rPr>
              <w:rFonts w:hint="eastAsia" w:asciiTheme="minorEastAsia" w:hAnsiTheme="minorEastAsia" w:eastAsiaTheme="minorEastAsia" w:cstheme="minorEastAsia"/>
              <w:color w:val="auto"/>
            </w:rPr>
            <w:fldChar w:fldCharType="end"/>
          </w:r>
          <w:r>
            <w:rPr>
              <w:rFonts w:hint="eastAsia" w:asciiTheme="minorEastAsia" w:hAnsiTheme="minorEastAsia" w:eastAsiaTheme="minorEastAsia" w:cstheme="minorEastAsia"/>
              <w:color w:val="auto"/>
            </w:rPr>
            <w:fldChar w:fldCharType="end"/>
          </w:r>
          <w:r/>
        </w:p>
        <w:p>
          <w:pPr>
            <w:pStyle w:val="878"/>
            <w:spacing w:line="360" w:lineRule="auto"/>
            <w:tabs>
              <w:tab w:val="right" w:pos="9072" w:leader="dot"/>
            </w:tabs>
            <w:rPr>
              <w:rFonts w:hint="eastAsia" w:asciiTheme="minorEastAsia" w:hAnsiTheme="minorEastAsia" w:eastAsiaTheme="minorEastAsia" w:cstheme="minorEastAsia"/>
              <w:color w:val="auto"/>
            </w:rPr>
          </w:pPr>
          <w:r>
            <w:rPr>
              <w:color w:val="auto"/>
            </w:rPr>
            <w:fldChar w:fldCharType="begin"/>
          </w:r>
          <w:r>
            <w:rPr>
              <w:color w:val="auto"/>
            </w:rPr>
            <w:instrText xml:space="preserve"> HYPERLINK \l "_Toc7512" </w:instrText>
          </w:r>
          <w:r>
            <w:rPr>
              <w:color w:val="auto"/>
            </w:rPr>
            <w:fldChar w:fldCharType="separate"/>
          </w:r>
          <w:r>
            <w:rPr>
              <w:rFonts w:hint="eastAsia" w:asciiTheme="minorEastAsia" w:hAnsiTheme="minorEastAsia" w:eastAsiaTheme="minorEastAsia" w:cstheme="minorEastAsia"/>
              <w:color w:val="auto"/>
            </w:rPr>
            <w:t xml:space="preserve">第二章 投标人须知</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PAGEREF _Toc7512 \h </w:instrText>
          </w:r>
          <w:r>
            <w:rPr>
              <w:rFonts w:hint="eastAsia" w:asciiTheme="minorEastAsia" w:hAnsiTheme="minorEastAsia" w:eastAsiaTheme="minorEastAsia" w:cstheme="minorEastAsia"/>
              <w:color w:val="auto"/>
            </w:rPr>
            <w:fldChar w:fldCharType="separate"/>
          </w:r>
          <w:r>
            <w:rPr>
              <w:rFonts w:hint="eastAsia" w:asciiTheme="minorEastAsia" w:hAnsiTheme="minorEastAsia" w:eastAsiaTheme="minorEastAsia" w:cstheme="minorEastAsia"/>
              <w:color w:val="auto"/>
            </w:rPr>
            <w:t xml:space="preserve">6</w:t>
          </w:r>
          <w:r>
            <w:rPr>
              <w:rFonts w:hint="eastAsia" w:asciiTheme="minorEastAsia" w:hAnsiTheme="minorEastAsia" w:eastAsiaTheme="minorEastAsia" w:cstheme="minorEastAsia"/>
              <w:color w:val="auto"/>
            </w:rPr>
            <w:fldChar w:fldCharType="end"/>
          </w:r>
          <w:r>
            <w:rPr>
              <w:rFonts w:hint="eastAsia" w:asciiTheme="minorEastAsia" w:hAnsiTheme="minorEastAsia" w:eastAsiaTheme="minorEastAsia" w:cstheme="minorEastAsia"/>
              <w:color w:val="auto"/>
            </w:rPr>
            <w:fldChar w:fldCharType="end"/>
          </w:r>
          <w:r/>
        </w:p>
        <w:p>
          <w:pPr>
            <w:pStyle w:val="878"/>
            <w:spacing w:line="360" w:lineRule="auto"/>
            <w:tabs>
              <w:tab w:val="right" w:pos="9072" w:leader="dot"/>
            </w:tabs>
            <w:rPr>
              <w:rFonts w:hint="eastAsia" w:asciiTheme="minorEastAsia" w:hAnsiTheme="minorEastAsia" w:eastAsiaTheme="minorEastAsia" w:cstheme="minorEastAsia"/>
              <w:color w:val="auto"/>
            </w:rPr>
          </w:pPr>
          <w:r>
            <w:rPr>
              <w:color w:val="auto"/>
            </w:rPr>
            <w:fldChar w:fldCharType="begin"/>
          </w:r>
          <w:r>
            <w:rPr>
              <w:color w:val="auto"/>
            </w:rPr>
            <w:instrText xml:space="preserve"> HYPERLINK \l "_Toc15725" </w:instrText>
          </w:r>
          <w:r>
            <w:rPr>
              <w:color w:val="auto"/>
            </w:rPr>
            <w:fldChar w:fldCharType="separate"/>
          </w:r>
          <w:r>
            <w:rPr>
              <w:rFonts w:hint="eastAsia" w:asciiTheme="minorEastAsia" w:hAnsiTheme="minorEastAsia" w:eastAsiaTheme="minorEastAsia" w:cstheme="minorEastAsia"/>
              <w:color w:val="auto"/>
            </w:rPr>
            <w:t xml:space="preserve">第三章 采购需求</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PAGEREF _Toc15725 \h </w:instrText>
          </w:r>
          <w:r>
            <w:rPr>
              <w:rFonts w:hint="eastAsia" w:asciiTheme="minorEastAsia" w:hAnsiTheme="minorEastAsia" w:eastAsiaTheme="minorEastAsia" w:cstheme="minorEastAsia"/>
              <w:color w:val="auto"/>
            </w:rPr>
            <w:fldChar w:fldCharType="separate"/>
          </w:r>
          <w:r>
            <w:rPr>
              <w:rFonts w:hint="eastAsia" w:asciiTheme="minorEastAsia" w:hAnsiTheme="minorEastAsia" w:eastAsiaTheme="minorEastAsia" w:cstheme="minorEastAsia"/>
              <w:color w:val="auto"/>
            </w:rPr>
            <w:t xml:space="preserve">27</w:t>
          </w:r>
          <w:r>
            <w:rPr>
              <w:rFonts w:hint="eastAsia" w:asciiTheme="minorEastAsia" w:hAnsiTheme="minorEastAsia" w:eastAsiaTheme="minorEastAsia" w:cstheme="minorEastAsia"/>
              <w:color w:val="auto"/>
            </w:rPr>
            <w:fldChar w:fldCharType="end"/>
          </w:r>
          <w:r>
            <w:rPr>
              <w:rFonts w:hint="eastAsia" w:asciiTheme="minorEastAsia" w:hAnsiTheme="minorEastAsia" w:eastAsiaTheme="minorEastAsia" w:cstheme="minorEastAsia"/>
              <w:color w:val="auto"/>
            </w:rPr>
            <w:fldChar w:fldCharType="end"/>
          </w:r>
          <w:r/>
        </w:p>
        <w:p>
          <w:pPr>
            <w:pStyle w:val="878"/>
            <w:spacing w:line="360" w:lineRule="auto"/>
            <w:tabs>
              <w:tab w:val="right" w:pos="9072" w:leader="dot"/>
            </w:tabs>
            <w:rPr>
              <w:rFonts w:hint="eastAsia" w:asciiTheme="minorEastAsia" w:hAnsiTheme="minorEastAsia" w:eastAsiaTheme="minorEastAsia" w:cstheme="minorEastAsia"/>
              <w:color w:val="auto"/>
            </w:rPr>
          </w:pPr>
          <w:r>
            <w:rPr>
              <w:color w:val="auto"/>
            </w:rPr>
            <w:fldChar w:fldCharType="begin"/>
          </w:r>
          <w:r>
            <w:rPr>
              <w:color w:val="auto"/>
            </w:rPr>
            <w:instrText xml:space="preserve"> HYPERLINK \l "_Toc26883" </w:instrText>
          </w:r>
          <w:r>
            <w:rPr>
              <w:color w:val="auto"/>
            </w:rPr>
            <w:fldChar w:fldCharType="separate"/>
          </w:r>
          <w:r>
            <w:rPr>
              <w:rFonts w:hint="eastAsia" w:asciiTheme="minorEastAsia" w:hAnsiTheme="minorEastAsia" w:eastAsiaTheme="minorEastAsia" w:cstheme="minorEastAsia"/>
              <w:color w:val="auto"/>
            </w:rPr>
            <w:t xml:space="preserve">第四章 评标办法及标准</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PAGEREF _Toc26883 \h </w:instrText>
          </w:r>
          <w:r>
            <w:rPr>
              <w:rFonts w:hint="eastAsia" w:asciiTheme="minorEastAsia" w:hAnsiTheme="minorEastAsia" w:eastAsiaTheme="minorEastAsia" w:cstheme="minorEastAsia"/>
              <w:color w:val="auto"/>
            </w:rPr>
            <w:fldChar w:fldCharType="separate"/>
          </w:r>
          <w:r>
            <w:rPr>
              <w:rFonts w:hint="eastAsia" w:asciiTheme="minorEastAsia" w:hAnsiTheme="minorEastAsia" w:eastAsiaTheme="minorEastAsia" w:cstheme="minorEastAsia"/>
              <w:color w:val="auto"/>
            </w:rPr>
            <w:t xml:space="preserve">34</w:t>
          </w:r>
          <w:r>
            <w:rPr>
              <w:rFonts w:hint="eastAsia" w:asciiTheme="minorEastAsia" w:hAnsiTheme="minorEastAsia" w:eastAsiaTheme="minorEastAsia" w:cstheme="minorEastAsia"/>
              <w:color w:val="auto"/>
            </w:rPr>
            <w:fldChar w:fldCharType="end"/>
          </w:r>
          <w:r>
            <w:rPr>
              <w:rFonts w:hint="eastAsia" w:asciiTheme="minorEastAsia" w:hAnsiTheme="minorEastAsia" w:eastAsiaTheme="minorEastAsia" w:cstheme="minorEastAsia"/>
              <w:color w:val="auto"/>
            </w:rPr>
            <w:fldChar w:fldCharType="end"/>
          </w:r>
          <w:r/>
        </w:p>
        <w:p>
          <w:pPr>
            <w:pStyle w:val="878"/>
            <w:spacing w:line="360" w:lineRule="auto"/>
            <w:tabs>
              <w:tab w:val="right" w:pos="9072" w:leader="dot"/>
            </w:tabs>
            <w:rPr>
              <w:rFonts w:hint="eastAsia" w:asciiTheme="minorEastAsia" w:hAnsiTheme="minorEastAsia" w:eastAsiaTheme="minorEastAsia" w:cstheme="minorEastAsia"/>
              <w:color w:val="auto"/>
            </w:rPr>
          </w:pPr>
          <w:r>
            <w:rPr>
              <w:color w:val="auto"/>
            </w:rPr>
            <w:fldChar w:fldCharType="begin"/>
          </w:r>
          <w:r>
            <w:rPr>
              <w:color w:val="auto"/>
            </w:rPr>
            <w:instrText xml:space="preserve"> HYPERLINK \l "_Toc8820" </w:instrText>
          </w:r>
          <w:r>
            <w:rPr>
              <w:color w:val="auto"/>
            </w:rPr>
            <w:fldChar w:fldCharType="separate"/>
          </w:r>
          <w:r>
            <w:rPr>
              <w:rFonts w:hint="eastAsia" w:asciiTheme="minorEastAsia" w:hAnsiTheme="minorEastAsia" w:eastAsiaTheme="minorEastAsia" w:cstheme="minorEastAsia"/>
              <w:color w:val="auto"/>
            </w:rPr>
            <w:t xml:space="preserve">第五章 合同条款</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PAGEREF _Toc8820 \h </w:instrText>
          </w:r>
          <w:r>
            <w:rPr>
              <w:rFonts w:hint="eastAsia" w:asciiTheme="minorEastAsia" w:hAnsiTheme="minorEastAsia" w:eastAsiaTheme="minorEastAsia" w:cstheme="minorEastAsia"/>
              <w:color w:val="auto"/>
            </w:rPr>
            <w:fldChar w:fldCharType="separate"/>
          </w:r>
          <w:r>
            <w:rPr>
              <w:rFonts w:hint="eastAsia" w:asciiTheme="minorEastAsia" w:hAnsiTheme="minorEastAsia" w:eastAsiaTheme="minorEastAsia" w:cstheme="minorEastAsia"/>
              <w:color w:val="auto"/>
            </w:rPr>
            <w:t xml:space="preserve">39</w:t>
          </w:r>
          <w:r>
            <w:rPr>
              <w:rFonts w:hint="eastAsia" w:asciiTheme="minorEastAsia" w:hAnsiTheme="minorEastAsia" w:eastAsiaTheme="minorEastAsia" w:cstheme="minorEastAsia"/>
              <w:color w:val="auto"/>
            </w:rPr>
            <w:fldChar w:fldCharType="end"/>
          </w:r>
          <w:r>
            <w:rPr>
              <w:rFonts w:hint="eastAsia" w:asciiTheme="minorEastAsia" w:hAnsiTheme="minorEastAsia" w:eastAsiaTheme="minorEastAsia" w:cstheme="minorEastAsia"/>
              <w:color w:val="auto"/>
            </w:rPr>
            <w:fldChar w:fldCharType="end"/>
          </w:r>
          <w:r/>
        </w:p>
        <w:p>
          <w:pPr>
            <w:pStyle w:val="878"/>
            <w:spacing w:line="360" w:lineRule="auto"/>
            <w:tabs>
              <w:tab w:val="right" w:pos="9072" w:leader="dot"/>
            </w:tabs>
            <w:rPr>
              <w:rFonts w:hint="eastAsia" w:asciiTheme="minorEastAsia" w:hAnsiTheme="minorEastAsia" w:eastAsiaTheme="minorEastAsia" w:cstheme="minorEastAsia"/>
              <w:color w:val="auto"/>
            </w:rPr>
          </w:pPr>
          <w:r>
            <w:rPr>
              <w:color w:val="auto"/>
            </w:rPr>
            <w:fldChar w:fldCharType="begin"/>
          </w:r>
          <w:r>
            <w:rPr>
              <w:color w:val="auto"/>
            </w:rPr>
            <w:instrText xml:space="preserve"> HYPERLINK \l "_Toc25206" </w:instrText>
          </w:r>
          <w:r>
            <w:rPr>
              <w:color w:val="auto"/>
            </w:rPr>
            <w:fldChar w:fldCharType="separate"/>
          </w:r>
          <w:r>
            <w:rPr>
              <w:rFonts w:hint="eastAsia" w:asciiTheme="minorEastAsia" w:hAnsiTheme="minorEastAsia" w:eastAsiaTheme="minorEastAsia" w:cstheme="minorEastAsia"/>
              <w:color w:val="auto"/>
            </w:rPr>
            <w:t xml:space="preserve">第六章 投标文件格式</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PAGEREF _Toc25206 \h </w:instrText>
          </w:r>
          <w:r>
            <w:rPr>
              <w:rFonts w:hint="eastAsia" w:asciiTheme="minorEastAsia" w:hAnsiTheme="minorEastAsia" w:eastAsiaTheme="minorEastAsia" w:cstheme="minorEastAsia"/>
              <w:color w:val="auto"/>
            </w:rPr>
            <w:fldChar w:fldCharType="separate"/>
          </w:r>
          <w:r>
            <w:rPr>
              <w:rFonts w:hint="eastAsia" w:asciiTheme="minorEastAsia" w:hAnsiTheme="minorEastAsia" w:eastAsiaTheme="minorEastAsia" w:cstheme="minorEastAsia"/>
              <w:color w:val="auto"/>
            </w:rPr>
            <w:t xml:space="preserve">46</w:t>
          </w:r>
          <w:r>
            <w:rPr>
              <w:rFonts w:hint="eastAsia" w:asciiTheme="minorEastAsia" w:hAnsiTheme="minorEastAsia" w:eastAsiaTheme="minorEastAsia" w:cstheme="minorEastAsia"/>
              <w:color w:val="auto"/>
            </w:rPr>
            <w:fldChar w:fldCharType="end"/>
          </w:r>
          <w:r>
            <w:rPr>
              <w:rFonts w:hint="eastAsia" w:asciiTheme="minorEastAsia" w:hAnsiTheme="minorEastAsia" w:eastAsiaTheme="minorEastAsia" w:cstheme="minorEastAsia"/>
              <w:color w:val="auto"/>
            </w:rPr>
            <w:fldChar w:fldCharType="end"/>
          </w:r>
          <w:r/>
        </w:p>
        <w:p>
          <w:pPr>
            <w:spacing w:line="360" w:lineRule="auto"/>
            <w:rPr>
              <w:rFonts w:hint="eastAsia" w:ascii="宋体" w:hAnsi="宋体" w:eastAsia="宋体" w:cs="宋体"/>
              <w:color w:val="auto"/>
              <w:szCs w:val="24"/>
            </w:rPr>
          </w:pPr>
          <w:r>
            <w:rPr>
              <w:rFonts w:hint="eastAsia" w:asciiTheme="minorEastAsia" w:hAnsiTheme="minorEastAsia" w:eastAsiaTheme="minorEastAsia" w:cstheme="minorEastAsia"/>
              <w:color w:val="auto"/>
              <w:szCs w:val="24"/>
            </w:rPr>
            <w:fldChar w:fldCharType="end"/>
          </w:r>
          <w:r/>
        </w:p>
      </w:sdtContent>
    </w:sdt>
    <w:p>
      <w:pPr>
        <w:rPr>
          <w:rFonts w:hint="eastAsia" w:ascii="宋体" w:hAnsi="宋体" w:eastAsia="宋体" w:cs="宋体"/>
          <w:color w:val="auto"/>
          <w:szCs w:val="24"/>
        </w:rPr>
      </w:pPr>
      <w:r>
        <w:rPr>
          <w:rFonts w:hint="eastAsia" w:ascii="宋体" w:hAnsi="宋体" w:eastAsia="宋体" w:cs="宋体"/>
          <w:color w:val="auto"/>
          <w:szCs w:val="24"/>
        </w:rPr>
      </w:r>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846"/>
        <w:rPr>
          <w:rFonts w:hint="eastAsia"/>
          <w:color w:val="auto"/>
        </w:rPr>
      </w:pPr>
      <w:r>
        <w:rPr>
          <w:rFonts w:hint="eastAsia"/>
          <w:color w:val="auto"/>
          <w:szCs w:val="21"/>
        </w:rPr>
        <w:br w:type="page" w:clear="all"/>
      </w:r>
      <w:bookmarkStart w:id="2" w:name="_Toc3605"/>
      <w:r/>
      <w:bookmarkStart w:id="3" w:name="_Toc388026584"/>
      <w:r/>
      <w:bookmarkStart w:id="4" w:name="_Toc409438817"/>
      <w:r>
        <w:rPr>
          <w:rFonts w:hint="eastAsia"/>
          <w:color w:val="auto"/>
        </w:rPr>
        <w:t xml:space="preserve">第一章</w:t>
      </w:r>
      <w:bookmarkStart w:id="5" w:name="_Toc258329824"/>
      <w:r/>
      <w:bookmarkEnd w:id="5"/>
      <w:r/>
      <w:bookmarkStart w:id="6" w:name="_Toc417477665"/>
      <w:r/>
      <w:bookmarkEnd w:id="6"/>
      <w:r/>
      <w:bookmarkStart w:id="7" w:name="_Toc228679947"/>
      <w:r/>
      <w:bookmarkEnd w:id="7"/>
      <w:r>
        <w:rPr>
          <w:rFonts w:hint="eastAsia"/>
          <w:color w:val="auto"/>
        </w:rPr>
        <w:t xml:space="preserve"> 招标公告</w:t>
      </w:r>
      <w:bookmarkEnd w:id="2"/>
      <w:r/>
      <w:r/>
    </w:p>
    <w:p>
      <w:pPr>
        <w:spacing w:line="360" w:lineRule="auto"/>
        <w:rPr>
          <w:rFonts w:hint="eastAsia" w:ascii="宋体" w:hAnsi="宋体" w:eastAsia="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rPr>
        <w:t xml:space="preserve">项目概况</w:t>
      </w:r>
      <w:r/>
    </w:p>
    <w:p>
      <w:pPr>
        <w:ind w:firstLine="488"/>
        <w:spacing w:line="360" w:lineRule="auto"/>
        <w:rPr>
          <w:rFonts w:hint="eastAsia" w:ascii="宋体" w:hAnsi="宋体" w:eastAsia="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u w:val="single"/>
        </w:rPr>
        <w:t xml:space="preserve">畜牧园2026年苏牧黑羽番鸭（育种）饲料采购项目</w:t>
      </w:r>
      <w:r>
        <w:rPr>
          <w:rFonts w:hint="eastAsia" w:ascii="宋体" w:hAnsi="宋体" w:eastAsia="宋体" w:cs="宋体"/>
          <w:color w:val="auto"/>
          <w:sz w:val="24"/>
          <w:szCs w:val="24"/>
        </w:rPr>
        <w:t xml:space="preserve">的潜在投标人应在江苏政府采购“苏采云”系统获取招标文件，并于</w:t>
      </w:r>
      <w:r>
        <w:rPr>
          <w:rFonts w:hint="eastAsia" w:ascii="宋体" w:hAnsi="宋体" w:eastAsia="宋体" w:cs="宋体"/>
          <w:color w:val="auto"/>
          <w:sz w:val="24"/>
          <w:szCs w:val="24"/>
          <w:u w:val="single"/>
        </w:rPr>
        <w:t xml:space="preserve">2026年</w:t>
      </w:r>
      <w:r>
        <w:rPr>
          <w:rFonts w:hint="eastAsia" w:ascii="宋体" w:hAnsi="宋体" w:eastAsia="宋体" w:cs="宋体"/>
          <w:color w:val="auto"/>
          <w:sz w:val="24"/>
          <w:szCs w:val="24"/>
          <w:u w:val="single"/>
          <w:lang w:val="en-US" w:eastAsia="zh-CN"/>
        </w:rPr>
        <w:t xml:space="preserve">11</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18</w:t>
      </w:r>
      <w:r>
        <w:rPr>
          <w:rFonts w:hint="eastAsia" w:ascii="宋体" w:hAnsi="宋体" w:eastAsia="宋体" w:cs="宋体"/>
          <w:color w:val="auto"/>
          <w:sz w:val="24"/>
          <w:szCs w:val="24"/>
          <w:u w:val="single"/>
        </w:rPr>
        <w:t xml:space="preserve">日</w:t>
      </w:r>
      <w:r>
        <w:rPr>
          <w:rFonts w:hint="eastAsia" w:ascii="宋体" w:hAnsi="宋体" w:eastAsia="宋体" w:cs="宋体"/>
          <w:color w:val="auto"/>
          <w:sz w:val="24"/>
          <w:szCs w:val="24"/>
          <w:u w:val="single"/>
          <w:lang w:val="en-US" w:eastAsia="zh-CN"/>
        </w:rPr>
        <w:t xml:space="preserve">14</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val="en-US" w:eastAsia="zh-CN"/>
        </w:rPr>
        <w:t xml:space="preserve">3</w:t>
      </w:r>
      <w:r>
        <w:rPr>
          <w:rFonts w:hint="eastAsia" w:ascii="宋体" w:hAnsi="宋体" w:eastAsia="宋体" w:cs="宋体"/>
          <w:color w:val="auto"/>
          <w:sz w:val="24"/>
          <w:szCs w:val="24"/>
          <w:u w:val="single"/>
        </w:rPr>
        <w:t xml:space="preserve">0</w:t>
      </w:r>
      <w:r>
        <w:rPr>
          <w:rFonts w:hint="eastAsia" w:ascii="宋体" w:hAnsi="宋体" w:eastAsia="宋体" w:cs="宋体"/>
          <w:bCs/>
          <w:color w:val="auto"/>
          <w:sz w:val="24"/>
          <w:szCs w:val="24"/>
        </w:rPr>
        <w:t xml:space="preserve">（北京时间）前递交投标文件</w:t>
      </w:r>
      <w:r>
        <w:rPr>
          <w:rFonts w:hint="eastAsia" w:ascii="宋体" w:hAnsi="宋体" w:eastAsia="宋体" w:cs="宋体"/>
          <w:color w:val="auto"/>
          <w:sz w:val="24"/>
          <w:szCs w:val="24"/>
        </w:rPr>
        <w:t xml:space="preserve">。</w:t>
      </w:r>
      <w:r/>
    </w:p>
    <w:p>
      <w:pPr>
        <w:pStyle w:val="1082"/>
        <w:spacing w:before="0" w:after="0" w:line="500" w:lineRule="exact"/>
        <w:rPr>
          <w:rFonts w:hint="eastAsia" w:ascii="宋体" w:hAnsi="宋体" w:cs="宋体"/>
          <w:b w:val="0"/>
          <w:color w:val="auto"/>
          <w:sz w:val="24"/>
          <w:szCs w:val="24"/>
        </w:rPr>
        <w:outlineLvl w:val="9"/>
      </w:pPr>
      <w:r/>
      <w:bookmarkStart w:id="8" w:name="_Toc28359002"/>
      <w:r/>
      <w:bookmarkStart w:id="9" w:name="_Toc35393790"/>
      <w:r/>
      <w:bookmarkStart w:id="10" w:name="_Toc35393621"/>
      <w:r/>
      <w:bookmarkStart w:id="11" w:name="_Toc28359079"/>
      <w:r/>
      <w:bookmarkStart w:id="12" w:name="_Hlk24379207"/>
      <w:r>
        <w:rPr>
          <w:rFonts w:hint="eastAsia" w:ascii="宋体" w:hAnsi="宋体" w:cs="宋体"/>
          <w:b w:val="0"/>
          <w:color w:val="auto"/>
          <w:sz w:val="24"/>
          <w:szCs w:val="24"/>
        </w:rPr>
        <w:t xml:space="preserve">一、项目基本情况</w:t>
      </w:r>
      <w:bookmarkEnd w:id="8"/>
      <w:r/>
      <w:bookmarkEnd w:id="9"/>
      <w:r/>
      <w:bookmarkEnd w:id="10"/>
      <w:r/>
      <w:bookmarkEnd w:id="11"/>
      <w:r/>
      <w:r/>
    </w:p>
    <w:p>
      <w:pPr>
        <w:pStyle w:val="1082"/>
        <w:ind w:firstLine="480"/>
        <w:spacing w:before="0" w:after="0" w:line="500" w:lineRule="exact"/>
        <w:rPr>
          <w:rFonts w:hint="eastAsia" w:ascii="宋体" w:hAnsi="宋体" w:cs="宋体"/>
          <w:b w:val="0"/>
          <w:color w:val="auto"/>
          <w:sz w:val="24"/>
          <w:szCs w:val="24"/>
        </w:rPr>
        <w:outlineLvl w:val="9"/>
      </w:pPr>
      <w:r>
        <w:rPr>
          <w:rFonts w:hint="eastAsia" w:ascii="宋体" w:hAnsi="宋体" w:cs="宋体"/>
          <w:b w:val="0"/>
          <w:color w:val="auto"/>
          <w:sz w:val="24"/>
          <w:szCs w:val="24"/>
        </w:rPr>
        <w:t xml:space="preserve">项目编号：JSZC-320000-JTTZ-G2026-0026</w:t>
      </w:r>
      <w:r/>
    </w:p>
    <w:p>
      <w:pPr>
        <w:pStyle w:val="1082"/>
        <w:ind w:firstLine="480"/>
        <w:spacing w:before="0" w:after="0" w:line="500" w:lineRule="exact"/>
        <w:rPr>
          <w:rFonts w:hint="eastAsia" w:ascii="宋体" w:hAnsi="宋体" w:cs="宋体"/>
          <w:b w:val="0"/>
          <w:color w:val="auto"/>
          <w:sz w:val="24"/>
          <w:szCs w:val="24"/>
        </w:rPr>
        <w:outlineLvl w:val="9"/>
      </w:pPr>
      <w:r>
        <w:rPr>
          <w:rFonts w:hint="eastAsia" w:ascii="宋体" w:hAnsi="宋体" w:cs="宋体"/>
          <w:b w:val="0"/>
          <w:color w:val="auto"/>
          <w:sz w:val="24"/>
          <w:szCs w:val="24"/>
        </w:rPr>
        <w:t xml:space="preserve">项目名称：</w:t>
      </w:r>
      <w:bookmarkEnd w:id="12"/>
      <w:r>
        <w:rPr>
          <w:rFonts w:hint="eastAsia" w:ascii="宋体" w:hAnsi="宋体" w:cs="宋体"/>
          <w:b w:val="0"/>
          <w:color w:val="auto"/>
          <w:sz w:val="24"/>
          <w:szCs w:val="24"/>
        </w:rPr>
        <w:t xml:space="preserve">畜牧园2026年苏牧黑羽番鸭（育种）饲料采购项目</w:t>
      </w:r>
      <w:r/>
    </w:p>
    <w:p>
      <w:pPr>
        <w:pStyle w:val="1082"/>
        <w:ind w:firstLine="480"/>
        <w:spacing w:before="0" w:after="0" w:line="500" w:lineRule="exact"/>
        <w:rPr>
          <w:rFonts w:hint="eastAsia" w:ascii="宋体" w:hAnsi="宋体" w:cs="宋体"/>
          <w:b w:val="0"/>
          <w:color w:val="auto"/>
          <w:sz w:val="24"/>
          <w:szCs w:val="24"/>
        </w:rPr>
        <w:outlineLvl w:val="9"/>
      </w:pPr>
      <w:r>
        <w:rPr>
          <w:rFonts w:hint="eastAsia" w:ascii="宋体" w:hAnsi="宋体" w:cs="宋体"/>
          <w:b w:val="0"/>
          <w:color w:val="auto"/>
          <w:sz w:val="24"/>
          <w:szCs w:val="24"/>
        </w:rPr>
        <w:t xml:space="preserve">预算金额：150万元</w:t>
      </w:r>
      <w:r/>
    </w:p>
    <w:p>
      <w:pPr>
        <w:ind w:firstLine="488"/>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最高限价：150万元</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采购需求：项目采购486吨饲料，包括：种鸭育雏料14吨、种鸭育成料170吨、种鸭产蛋料260吨、商品代育雏料7吨、商品代生长料13吨、商品代育肥料22吨。具体要求详见招标文件。</w:t>
      </w:r>
      <w:r/>
    </w:p>
    <w:p>
      <w:pPr>
        <w:pStyle w:val="913"/>
        <w:ind w:firstLine="480"/>
        <w:spacing w:line="480" w:lineRule="exact"/>
        <w:rPr>
          <w:rFonts w:hint="eastAsia" w:ascii="宋体" w:hAnsi="宋体" w:eastAsia="宋体" w:cs="宋体"/>
          <w:color w:val="auto"/>
        </w:rPr>
      </w:pPr>
      <w:r>
        <w:rPr>
          <w:rFonts w:hint="eastAsia" w:ascii="宋体" w:hAnsi="宋体" w:eastAsia="宋体" w:cs="宋体"/>
          <w:color w:val="auto"/>
        </w:rPr>
        <w:t xml:space="preserve">合同履行期限：签订合同后1年内分多次供货，每次根据采购人通知要求3日内完成供货。</w:t>
      </w:r>
      <w:r/>
    </w:p>
    <w:p>
      <w:pPr>
        <w:pStyle w:val="913"/>
        <w:ind w:firstLine="480"/>
        <w:jc w:val="both"/>
        <w:spacing w:line="480" w:lineRule="exact"/>
        <w:rPr>
          <w:rFonts w:hint="eastAsia" w:ascii="宋体" w:hAnsi="宋体" w:eastAsia="宋体" w:cs="宋体"/>
          <w:color w:val="auto"/>
        </w:rPr>
      </w:pPr>
      <w:r>
        <w:rPr>
          <w:rFonts w:hint="eastAsia" w:ascii="宋体" w:hAnsi="宋体" w:eastAsia="宋体" w:cs="宋体"/>
          <w:color w:val="auto"/>
        </w:rPr>
        <w:t xml:space="preserve">本项目（是/否）接受联合体投标：否。</w:t>
      </w:r>
      <w:r/>
    </w:p>
    <w:p>
      <w:pPr>
        <w:pStyle w:val="1082"/>
        <w:spacing w:before="0" w:after="0" w:line="480" w:lineRule="exact"/>
        <w:rPr>
          <w:rFonts w:hint="eastAsia" w:ascii="宋体" w:hAnsi="宋体" w:cs="宋体"/>
          <w:b w:val="0"/>
          <w:color w:val="auto"/>
          <w:sz w:val="24"/>
          <w:szCs w:val="24"/>
        </w:rPr>
        <w:outlineLvl w:val="9"/>
      </w:pPr>
      <w:r/>
      <w:bookmarkStart w:id="13" w:name="_Toc28359080"/>
      <w:r/>
      <w:bookmarkStart w:id="14" w:name="_Toc35393791"/>
      <w:r/>
      <w:bookmarkStart w:id="15" w:name="_Toc28359003"/>
      <w:r/>
      <w:bookmarkStart w:id="16" w:name="_Toc35393622"/>
      <w:r>
        <w:rPr>
          <w:rFonts w:hint="eastAsia" w:ascii="宋体" w:hAnsi="宋体" w:cs="宋体"/>
          <w:b w:val="0"/>
          <w:color w:val="auto"/>
          <w:sz w:val="24"/>
          <w:szCs w:val="24"/>
        </w:rPr>
        <w:t xml:space="preserve">二、申请人的资格要求：</w:t>
      </w:r>
      <w:bookmarkEnd w:id="13"/>
      <w:r/>
      <w:bookmarkEnd w:id="14"/>
      <w:r/>
      <w:bookmarkEnd w:id="15"/>
      <w:r/>
      <w:bookmarkEnd w:id="16"/>
      <w:r/>
      <w:r/>
    </w:p>
    <w:p>
      <w:pPr>
        <w:ind w:firstLine="488"/>
        <w:spacing w:line="480" w:lineRule="exact"/>
        <w:rPr>
          <w:rFonts w:hint="eastAsia" w:ascii="宋体" w:hAnsi="宋体" w:eastAsia="宋体" w:cs="宋体"/>
          <w:color w:val="auto"/>
          <w:sz w:val="24"/>
          <w:szCs w:val="24"/>
        </w:rPr>
      </w:pPr>
      <w:r/>
      <w:bookmarkStart w:id="17" w:name="_Hlk227768296"/>
      <w:r>
        <w:rPr>
          <w:rFonts w:hint="eastAsia" w:ascii="宋体" w:hAnsi="宋体" w:eastAsia="宋体" w:cs="宋体"/>
          <w:color w:val="auto"/>
          <w:sz w:val="24"/>
          <w:szCs w:val="24"/>
        </w:rPr>
        <w:t xml:space="preserve">（一）满足《中华人民共和国政府采购法》第二十二条规定：</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3.具有履行合同所必需的设备和专业技术能力；</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4.有依法缴纳税收和社会保障资金的良好记录；</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4"/>
          <w:szCs w:val="24"/>
          <w:u w:val="single"/>
        </w:rPr>
      </w:pPr>
      <w:r/>
      <w:bookmarkStart w:id="18" w:name="_Toc28359004"/>
      <w:r/>
      <w:bookmarkStart w:id="19" w:name="_Toc28359081"/>
      <w:r>
        <w:rPr>
          <w:rFonts w:hint="eastAsia" w:ascii="宋体" w:hAnsi="宋体" w:eastAsia="宋体" w:cs="宋体"/>
          <w:color w:val="auto"/>
          <w:sz w:val="24"/>
          <w:szCs w:val="24"/>
        </w:rPr>
        <w:t xml:space="preserve">（二）落实政府采购政策需满足的资格要求：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（三）本项目的特定资格要求：</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1.投标人须具有省级及以上农业农村饲料管理部门颁布的《饲料生产许可证》，并在有效期内。如投标人为经销商，则须提供所投产品生产方的《饲料生产许可证》。</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2.投标人所供产品符合《饲料和饲料添加剂管理条例》《饲料卫生标准》及国家其他相关规定，无添加国家规定的禁用或未允许添加的药品（含激素）（提供承诺书）。 </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（四）未被列入“信用中国”网站（www.creditchina.gov.cn）失信被执行人名单、重大税收违法失信主体、政府采购严重违法失信行为记录名单。</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bookmarkEnd w:id="17"/>
      <w:r/>
      <w:r/>
    </w:p>
    <w:p>
      <w:pPr>
        <w:pStyle w:val="1082"/>
        <w:spacing w:before="0" w:after="0" w:line="480" w:lineRule="exact"/>
        <w:rPr>
          <w:rFonts w:hint="eastAsia" w:ascii="宋体" w:hAnsi="宋体" w:cs="宋体"/>
          <w:b w:val="0"/>
          <w:color w:val="auto"/>
          <w:sz w:val="24"/>
          <w:szCs w:val="24"/>
        </w:rPr>
        <w:outlineLvl w:val="9"/>
      </w:pPr>
      <w:r/>
      <w:bookmarkStart w:id="20" w:name="_Toc35393792"/>
      <w:r/>
      <w:bookmarkStart w:id="21" w:name="_Toc35393623"/>
      <w:r>
        <w:rPr>
          <w:rFonts w:hint="eastAsia" w:ascii="宋体" w:hAnsi="宋体" w:cs="宋体"/>
          <w:b w:val="0"/>
          <w:color w:val="auto"/>
          <w:sz w:val="24"/>
          <w:szCs w:val="24"/>
        </w:rPr>
        <w:t xml:space="preserve">三、获取招标文件</w:t>
      </w:r>
      <w:bookmarkEnd w:id="18"/>
      <w:r/>
      <w:bookmarkEnd w:id="19"/>
      <w:r/>
      <w:bookmarkEnd w:id="20"/>
      <w:r/>
      <w:bookmarkEnd w:id="21"/>
      <w:r>
        <w:rPr>
          <w:rFonts w:hint="eastAsia" w:ascii="宋体" w:hAnsi="宋体" w:cs="宋体"/>
          <w:b w:val="0"/>
          <w:color w:val="auto"/>
          <w:sz w:val="24"/>
          <w:szCs w:val="24"/>
        </w:rPr>
        <w:t xml:space="preserve">：</w:t>
      </w:r>
      <w:r/>
    </w:p>
    <w:p>
      <w:pPr>
        <w:ind w:firstLine="480"/>
        <w:spacing w:line="52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时间：自公告发布之日起5个工作日</w:t>
      </w:r>
      <w:r/>
    </w:p>
    <w:p>
      <w:pPr>
        <w:pStyle w:val="1082"/>
        <w:ind w:firstLine="480"/>
        <w:spacing w:before="0" w:after="0" w:line="480" w:lineRule="exact"/>
        <w:rPr>
          <w:rFonts w:hint="eastAsia" w:ascii="宋体" w:hAnsi="宋体" w:cs="宋体"/>
          <w:b w:val="0"/>
          <w:bCs w:val="0"/>
          <w:color w:val="auto"/>
          <w:sz w:val="24"/>
          <w:szCs w:val="24"/>
        </w:rPr>
        <w:outlineLvl w:val="9"/>
      </w:pPr>
      <w:r/>
      <w:bookmarkStart w:id="22" w:name="_Toc28359082"/>
      <w:r/>
      <w:bookmarkStart w:id="23" w:name="_Toc28359005"/>
      <w:r/>
      <w:bookmarkStart w:id="24" w:name="_Toc35393793"/>
      <w:r/>
      <w:bookmarkStart w:id="25" w:name="_Toc35393624"/>
      <w:r>
        <w:rPr>
          <w:rFonts w:hint="eastAsia" w:ascii="宋体" w:hAnsi="宋体" w:cs="宋体"/>
          <w:b w:val="0"/>
          <w:bCs w:val="0"/>
          <w:color w:val="auto"/>
          <w:sz w:val="24"/>
          <w:szCs w:val="24"/>
        </w:rPr>
        <w:t xml:space="preserve">地点：江苏政府采购“苏采云”系统</w:t>
      </w:r>
      <w:r/>
    </w:p>
    <w:p>
      <w:pPr>
        <w:pStyle w:val="1082"/>
        <w:ind w:firstLine="480"/>
        <w:spacing w:before="0" w:after="0" w:line="480" w:lineRule="exact"/>
        <w:rPr>
          <w:rFonts w:hint="eastAsia" w:ascii="宋体" w:hAnsi="宋体" w:cs="宋体"/>
          <w:b w:val="0"/>
          <w:bCs w:val="0"/>
          <w:color w:val="auto"/>
          <w:sz w:val="24"/>
          <w:szCs w:val="24"/>
        </w:rPr>
        <w:outlineLvl w:val="9"/>
      </w:pPr>
      <w:r>
        <w:rPr>
          <w:rFonts w:hint="eastAsia" w:ascii="宋体" w:hAnsi="宋体" w:cs="宋体"/>
          <w:b w:val="0"/>
          <w:bCs w:val="0"/>
          <w:color w:val="auto"/>
          <w:sz w:val="24"/>
          <w:szCs w:val="24"/>
        </w:rPr>
        <w:t xml:space="preserve">方式：供应商完成注册并办理CA证书后登录江苏政府采购“苏采云”系统下载本项目招标文件</w:t>
      </w:r>
      <w:r/>
    </w:p>
    <w:p>
      <w:pPr>
        <w:pStyle w:val="1082"/>
        <w:ind w:firstLine="480"/>
        <w:spacing w:before="0" w:after="0" w:line="480" w:lineRule="exact"/>
        <w:rPr>
          <w:rFonts w:hint="eastAsia" w:ascii="宋体" w:hAnsi="宋体" w:cs="宋体"/>
          <w:b w:val="0"/>
          <w:bCs w:val="0"/>
          <w:color w:val="auto"/>
          <w:sz w:val="24"/>
          <w:szCs w:val="24"/>
        </w:rPr>
        <w:outlineLvl w:val="9"/>
      </w:pPr>
      <w:r>
        <w:rPr>
          <w:rFonts w:hint="eastAsia" w:ascii="宋体" w:hAnsi="宋体" w:cs="宋体"/>
          <w:b w:val="0"/>
          <w:bCs w:val="0"/>
          <w:color w:val="auto"/>
          <w:sz w:val="24"/>
          <w:szCs w:val="24"/>
        </w:rPr>
        <w:t xml:space="preserve">售价：0.00元</w:t>
      </w:r>
      <w:r/>
    </w:p>
    <w:p>
      <w:pPr>
        <w:pStyle w:val="1082"/>
        <w:spacing w:before="0" w:after="0" w:line="480" w:lineRule="exact"/>
        <w:rPr>
          <w:rFonts w:hint="eastAsia" w:ascii="宋体" w:hAnsi="宋体" w:cs="宋体"/>
          <w:b w:val="0"/>
          <w:color w:val="auto"/>
          <w:sz w:val="24"/>
          <w:szCs w:val="24"/>
        </w:rPr>
        <w:outlineLvl w:val="9"/>
      </w:pPr>
      <w:r>
        <w:rPr>
          <w:rFonts w:hint="eastAsia" w:ascii="宋体" w:hAnsi="宋体" w:cs="宋体"/>
          <w:b w:val="0"/>
          <w:color w:val="auto"/>
          <w:sz w:val="24"/>
          <w:szCs w:val="24"/>
        </w:rPr>
        <w:t xml:space="preserve">四、提交投标文件</w:t>
      </w:r>
      <w:bookmarkEnd w:id="22"/>
      <w:r/>
      <w:bookmarkEnd w:id="23"/>
      <w:r>
        <w:rPr>
          <w:rFonts w:hint="eastAsia" w:ascii="宋体" w:hAnsi="宋体" w:cs="宋体"/>
          <w:b w:val="0"/>
          <w:color w:val="auto"/>
          <w:sz w:val="24"/>
          <w:szCs w:val="24"/>
        </w:rPr>
        <w:t xml:space="preserve">截止时间、开标时间和地点</w:t>
      </w:r>
      <w:bookmarkEnd w:id="24"/>
      <w:r/>
      <w:bookmarkEnd w:id="25"/>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w:t>
      </w:r>
      <w:r>
        <w:rPr>
          <w:rFonts w:hint="eastAsia" w:ascii="宋体" w:hAnsi="宋体" w:eastAsia="宋体" w:cs="宋体"/>
          <w:color w:val="auto"/>
          <w:sz w:val="24"/>
          <w:szCs w:val="24"/>
        </w:rPr>
        <w:t xml:space="preserve">2026年</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点</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0分</w:t>
      </w:r>
      <w:r>
        <w:rPr>
          <w:rFonts w:hint="eastAsia" w:ascii="宋体" w:hAnsi="宋体" w:eastAsia="宋体" w:cs="宋体"/>
          <w:color w:val="auto"/>
          <w:sz w:val="24"/>
          <w:szCs w:val="24"/>
        </w:rPr>
        <w:t xml:space="preserve">（北京时间）</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地点：江苏政府采购“苏采云”系统不见面开标大厅</w:t>
      </w:r>
      <w:r/>
    </w:p>
    <w:p>
      <w:pPr>
        <w:pStyle w:val="1082"/>
        <w:spacing w:before="0" w:after="0" w:line="480" w:lineRule="exact"/>
        <w:rPr>
          <w:rFonts w:hint="eastAsia" w:ascii="宋体" w:hAnsi="宋体" w:cs="宋体"/>
          <w:b w:val="0"/>
          <w:color w:val="auto"/>
          <w:sz w:val="24"/>
          <w:szCs w:val="24"/>
        </w:rPr>
        <w:outlineLvl w:val="9"/>
      </w:pPr>
      <w:r/>
      <w:bookmarkStart w:id="26" w:name="_Toc35393794"/>
      <w:r/>
      <w:bookmarkStart w:id="27" w:name="_Toc28359084"/>
      <w:r/>
      <w:bookmarkStart w:id="28" w:name="_Toc28359007"/>
      <w:r/>
      <w:bookmarkStart w:id="29" w:name="_Toc35393625"/>
      <w:r>
        <w:rPr>
          <w:rFonts w:hint="eastAsia" w:ascii="宋体" w:hAnsi="宋体" w:cs="宋体"/>
          <w:b w:val="0"/>
          <w:color w:val="auto"/>
          <w:sz w:val="24"/>
          <w:szCs w:val="24"/>
        </w:rPr>
        <w:t xml:space="preserve">五、公告期限</w:t>
      </w:r>
      <w:bookmarkEnd w:id="26"/>
      <w:r/>
      <w:bookmarkEnd w:id="27"/>
      <w:r/>
      <w:bookmarkEnd w:id="28"/>
      <w:r/>
      <w:bookmarkEnd w:id="29"/>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自本公告发布之日起5个工作日。</w:t>
      </w:r>
      <w:r/>
    </w:p>
    <w:p>
      <w:pPr>
        <w:pStyle w:val="1082"/>
        <w:spacing w:before="0" w:after="0" w:line="480" w:lineRule="exact"/>
        <w:rPr>
          <w:rFonts w:hint="eastAsia" w:ascii="宋体" w:hAnsi="宋体" w:cs="宋体"/>
          <w:b w:val="0"/>
          <w:color w:val="auto"/>
          <w:sz w:val="24"/>
          <w:szCs w:val="24"/>
        </w:rPr>
        <w:outlineLvl w:val="9"/>
      </w:pPr>
      <w:r/>
      <w:bookmarkStart w:id="30" w:name="_Toc35393795"/>
      <w:r/>
      <w:bookmarkStart w:id="31" w:name="_Toc35393626"/>
      <w:r>
        <w:rPr>
          <w:rFonts w:hint="eastAsia" w:ascii="宋体" w:hAnsi="宋体" w:cs="宋体"/>
          <w:b w:val="0"/>
          <w:color w:val="auto"/>
          <w:sz w:val="24"/>
          <w:szCs w:val="24"/>
        </w:rPr>
        <w:t xml:space="preserve">六、其他补充事宜</w:t>
      </w:r>
      <w:bookmarkEnd w:id="30"/>
      <w:r/>
      <w:bookmarkEnd w:id="31"/>
      <w:r/>
      <w:r/>
    </w:p>
    <w:p>
      <w:pPr>
        <w:ind w:firstLine="480"/>
        <w:spacing w:line="480" w:lineRule="exact"/>
        <w:rPr>
          <w:rFonts w:hint="eastAsia" w:ascii="宋体" w:hAnsi="宋体" w:eastAsia="宋体" w:cs="宋体"/>
          <w:color w:val="auto"/>
          <w:sz w:val="24"/>
          <w:szCs w:val="24"/>
        </w:rPr>
      </w:pPr>
      <w:r/>
      <w:bookmarkStart w:id="32" w:name="_Toc28359085"/>
      <w:r/>
      <w:bookmarkStart w:id="33" w:name="_Toc35393796"/>
      <w:r/>
      <w:bookmarkStart w:id="34" w:name="_Toc28359008"/>
      <w:r/>
      <w:bookmarkStart w:id="35" w:name="_Toc35393627"/>
      <w:r>
        <w:rPr>
          <w:rFonts w:hint="eastAsia" w:ascii="宋体" w:hAnsi="宋体" w:eastAsia="宋体" w:cs="宋体"/>
          <w:color w:val="auto"/>
          <w:sz w:val="24"/>
          <w:szCs w:val="24"/>
        </w:rPr>
        <w:t xml:space="preserve">1.本项目采用网上注册登记方式。潜在投标人访问电子招标投标交易平台的网络地址和方法如下：</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（1）登录https://jszfcg.jsczt.cn/jszc/login，点击“苏采云”进入系统。</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CA数字证书”的获取：投标人需办理CA锁（原国信CA需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2.采购代理机构将数据电文形式的招标文件加载至电子招标投标交易平台，供潜在投标人下载或者查阅。</w:t>
      </w:r>
      <w:r/>
    </w:p>
    <w:p>
      <w:pPr>
        <w:ind w:firstLine="480"/>
        <w:spacing w:line="480" w:lineRule="exact"/>
        <w:tabs>
          <w:tab w:val="left" w:pos="90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3.有关本次招标的事项若存在变动或修改，敬请及时关注“江苏政府采购网”发布的更正公告。</w:t>
      </w:r>
      <w:r/>
    </w:p>
    <w:p>
      <w:pPr>
        <w:pStyle w:val="1082"/>
        <w:ind w:firstLine="480"/>
        <w:keepLines w:val="0"/>
        <w:keepNext w:val="0"/>
        <w:spacing w:before="0" w:after="0" w:line="480" w:lineRule="exact"/>
        <w:rPr>
          <w:rFonts w:hint="eastAsia" w:ascii="宋体" w:hAnsi="宋体" w:cs="宋体"/>
          <w:b w:val="0"/>
          <w:bCs w:val="0"/>
          <w:color w:val="auto"/>
          <w:sz w:val="24"/>
          <w:szCs w:val="24"/>
        </w:rPr>
        <w:outlineLvl w:val="9"/>
      </w:pPr>
      <w:r>
        <w:rPr>
          <w:rFonts w:hint="eastAsia" w:ascii="宋体" w:hAnsi="宋体" w:cs="宋体"/>
          <w:b w:val="0"/>
          <w:color w:val="auto"/>
          <w:sz w:val="24"/>
          <w:szCs w:val="24"/>
        </w:rPr>
        <w:t xml:space="preserve">4.</w:t>
      </w:r>
      <w:r>
        <w:rPr>
          <w:rFonts w:hint="eastAsia" w:ascii="宋体" w:hAnsi="宋体" w:cs="宋体"/>
          <w:b w:val="0"/>
          <w:bCs w:val="0"/>
          <w:color w:val="auto"/>
          <w:sz w:val="24"/>
          <w:szCs w:val="24"/>
        </w:rPr>
        <w:t xml:space="preserve">在评标结束前，各投标人授权代表应保持手机畅通，以便及时澄清答疑。</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5.如潜在投标人未按上述要求操作，将自行承担所产生的风险。</w:t>
      </w:r>
      <w:r/>
    </w:p>
    <w:p>
      <w:pPr>
        <w:pStyle w:val="1082"/>
        <w:spacing w:before="0" w:after="0" w:line="480" w:lineRule="exact"/>
        <w:rPr>
          <w:rFonts w:hint="eastAsia" w:ascii="宋体" w:hAnsi="宋体" w:cs="宋体"/>
          <w:b w:val="0"/>
          <w:color w:val="auto"/>
          <w:sz w:val="24"/>
          <w:szCs w:val="24"/>
        </w:rPr>
        <w:outlineLvl w:val="9"/>
      </w:pPr>
      <w:r>
        <w:rPr>
          <w:rFonts w:hint="eastAsia" w:ascii="宋体" w:hAnsi="宋体" w:cs="宋体"/>
          <w:b w:val="0"/>
          <w:bCs w:val="0"/>
          <w:color w:val="auto"/>
          <w:sz w:val="24"/>
          <w:szCs w:val="24"/>
        </w:rPr>
        <w:t xml:space="preserve">七、对本次招标</w:t>
      </w:r>
      <w:r>
        <w:rPr>
          <w:rFonts w:hint="eastAsia" w:ascii="宋体" w:hAnsi="宋体" w:cs="宋体"/>
          <w:b w:val="0"/>
          <w:color w:val="auto"/>
          <w:sz w:val="24"/>
          <w:szCs w:val="24"/>
        </w:rPr>
        <w:t xml:space="preserve">提出询问，请按以下方式联系。</w:t>
      </w:r>
      <w:bookmarkEnd w:id="32"/>
      <w:r/>
      <w:bookmarkEnd w:id="33"/>
      <w:r/>
      <w:bookmarkEnd w:id="34"/>
      <w:r/>
      <w:bookmarkEnd w:id="35"/>
      <w:r/>
      <w:r/>
    </w:p>
    <w:p>
      <w:pPr>
        <w:ind w:firstLine="480"/>
        <w:spacing w:line="4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bCs/>
          <w:color w:val="auto"/>
          <w:sz w:val="24"/>
          <w:szCs w:val="24"/>
        </w:rPr>
        <w:t xml:space="preserve">江苏农牧科技职业学院</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单位地址：江苏省泰州市凤凰东路8号</w:t>
      </w:r>
      <w:r/>
    </w:p>
    <w:p>
      <w:pPr>
        <w:ind w:firstLine="480"/>
        <w:spacing w:line="480" w:lineRule="exact"/>
        <w:rPr>
          <w:rFonts w:hint="eastAsia" w:ascii="宋体" w:hAnsi="宋体" w:eastAsia="宋体" w:cs="宋体"/>
          <w:color w:val="auto"/>
          <w:sz w:val="24"/>
          <w:szCs w:val="24"/>
        </w:rPr>
      </w:pPr>
      <w:r/>
      <w:bookmarkStart w:id="36" w:name="_Toc28359009"/>
      <w:r/>
      <w:bookmarkStart w:id="37" w:name="_Toc28359086"/>
      <w:r>
        <w:rPr>
          <w:rFonts w:hint="eastAsia" w:ascii="宋体" w:hAnsi="宋体" w:eastAsia="宋体" w:cs="宋体"/>
          <w:color w:val="auto"/>
          <w:sz w:val="24"/>
          <w:szCs w:val="24"/>
        </w:rPr>
        <w:t xml:space="preserve">联系人：王老师</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联系电话：0523-86158045</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技术咨询：郁老师</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联系电话：18852661918</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bookmarkEnd w:id="36"/>
      <w:r/>
      <w:bookmarkEnd w:id="37"/>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单位名称：江苏建泰工程项目管理有限公司</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单位地址：泰州医药高新区华润万象城双子塔东塔52楼</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联系人：袁女士</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bookmarkStart w:id="38" w:name="_Toc28359087"/>
      <w:r/>
      <w:bookmarkStart w:id="39" w:name="_Toc28359010"/>
      <w:r>
        <w:rPr>
          <w:rFonts w:hint="eastAsia" w:ascii="宋体" w:hAnsi="宋体" w:eastAsia="宋体" w:cs="宋体"/>
          <w:color w:val="auto"/>
          <w:sz w:val="24"/>
          <w:szCs w:val="24"/>
        </w:rPr>
        <w:t xml:space="preserve">0523-81908859</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3.项目联系方式</w:t>
      </w:r>
      <w:bookmarkEnd w:id="38"/>
      <w:r/>
      <w:bookmarkEnd w:id="39"/>
      <w:r/>
      <w:r/>
    </w:p>
    <w:p>
      <w:pPr>
        <w:pStyle w:val="1105"/>
        <w:ind w:firstLine="480"/>
        <w:spacing w:line="480" w:lineRule="exact"/>
        <w:rPr>
          <w:rFonts w:hint="eastAsia" w:hAnsi="宋体" w:eastAsia="宋体" w:cs="宋体"/>
          <w:color w:val="auto"/>
          <w:sz w:val="24"/>
          <w:szCs w:val="24"/>
        </w:rPr>
      </w:pPr>
      <w:r>
        <w:rPr>
          <w:rFonts w:hint="eastAsia" w:hAnsi="宋体" w:eastAsia="宋体" w:cs="宋体"/>
          <w:color w:val="auto"/>
          <w:sz w:val="24"/>
          <w:szCs w:val="24"/>
        </w:rPr>
        <w:t xml:space="preserve">项目联系人：袁女士</w:t>
      </w:r>
      <w:r/>
    </w:p>
    <w:p>
      <w:pPr>
        <w:pStyle w:val="1105"/>
        <w:ind w:firstLine="480"/>
        <w:spacing w:line="480" w:lineRule="exact"/>
        <w:rPr>
          <w:rFonts w:hint="eastAsia" w:hAnsi="宋体" w:eastAsia="宋体" w:cs="宋体"/>
          <w:color w:val="auto"/>
          <w:sz w:val="24"/>
          <w:szCs w:val="24"/>
        </w:rPr>
      </w:pPr>
      <w:r>
        <w:rPr>
          <w:rFonts w:hint="eastAsia" w:hAnsi="宋体" w:eastAsia="宋体" w:cs="宋体"/>
          <w:color w:val="auto"/>
          <w:sz w:val="24"/>
          <w:szCs w:val="24"/>
        </w:rPr>
        <w:t xml:space="preserve">电　话：0523-81908859</w:t>
      </w:r>
      <w:r/>
    </w:p>
    <w:p>
      <w:pPr>
        <w:pStyle w:val="1106"/>
        <w:rPr>
          <w:rFonts w:hint="eastAsia" w:hAnsi="宋体" w:eastAsia="宋体" w:cs="宋体"/>
          <w:color w:val="auto"/>
          <w:szCs w:val="24"/>
        </w:rPr>
      </w:pPr>
      <w:r>
        <w:rPr>
          <w:rFonts w:hint="eastAsia" w:hAnsi="宋体" w:eastAsia="宋体" w:cs="宋体"/>
          <w:color w:val="auto"/>
          <w:szCs w:val="24"/>
        </w:rPr>
      </w:r>
      <w:r/>
    </w:p>
    <w:p>
      <w:pPr>
        <w:pStyle w:val="1106"/>
        <w:rPr>
          <w:rFonts w:hint="eastAsia" w:hAnsi="宋体" w:eastAsia="宋体" w:cs="宋体"/>
          <w:color w:val="auto"/>
          <w:szCs w:val="24"/>
        </w:rPr>
      </w:pPr>
      <w:r>
        <w:rPr>
          <w:rFonts w:hint="eastAsia" w:hAnsi="宋体" w:eastAsia="宋体" w:cs="宋体"/>
          <w:color w:val="auto"/>
          <w:szCs w:val="24"/>
        </w:rPr>
      </w:r>
      <w:r/>
    </w:p>
    <w:p>
      <w:pPr>
        <w:pStyle w:val="1106"/>
        <w:rPr>
          <w:rFonts w:hint="eastAsia" w:hAnsi="宋体" w:eastAsia="宋体" w:cs="宋体"/>
          <w:color w:val="auto"/>
          <w:szCs w:val="24"/>
        </w:rPr>
      </w:pPr>
      <w:r>
        <w:rPr>
          <w:rFonts w:hint="eastAsia" w:hAnsi="宋体" w:eastAsia="宋体" w:cs="宋体"/>
          <w:color w:val="auto"/>
          <w:szCs w:val="24"/>
        </w:rPr>
      </w:r>
      <w:r/>
    </w:p>
    <w:p>
      <w:pPr>
        <w:pStyle w:val="1106"/>
        <w:rPr>
          <w:rFonts w:hint="eastAsia" w:hAnsi="宋体" w:eastAsia="宋体" w:cs="宋体"/>
          <w:color w:val="auto"/>
          <w:szCs w:val="24"/>
        </w:rPr>
      </w:pPr>
      <w:r>
        <w:rPr>
          <w:rFonts w:hint="eastAsia" w:hAnsi="宋体" w:eastAsia="宋体" w:cs="宋体"/>
          <w:color w:val="auto"/>
          <w:szCs w:val="24"/>
        </w:rPr>
      </w:r>
      <w:r/>
    </w:p>
    <w:p>
      <w:pPr>
        <w:pStyle w:val="1106"/>
        <w:rPr>
          <w:rFonts w:hint="eastAsia" w:hAnsi="宋体" w:eastAsia="宋体" w:cs="宋体"/>
          <w:color w:val="auto"/>
          <w:szCs w:val="24"/>
        </w:rPr>
      </w:pPr>
      <w:r>
        <w:rPr>
          <w:rFonts w:hint="eastAsia" w:hAnsi="宋体" w:eastAsia="宋体" w:cs="宋体"/>
          <w:color w:val="auto"/>
          <w:szCs w:val="24"/>
        </w:rPr>
      </w:r>
      <w:r/>
    </w:p>
    <w:p>
      <w:pPr>
        <w:pStyle w:val="1106"/>
        <w:rPr>
          <w:rFonts w:hint="eastAsia" w:hAnsi="宋体" w:eastAsia="宋体" w:cs="宋体"/>
          <w:color w:val="auto"/>
          <w:szCs w:val="24"/>
        </w:rPr>
      </w:pPr>
      <w:r>
        <w:rPr>
          <w:rFonts w:hint="eastAsia" w:hAnsi="宋体" w:eastAsia="宋体" w:cs="宋体"/>
          <w:color w:val="auto"/>
          <w:szCs w:val="24"/>
        </w:rPr>
      </w:r>
      <w:r/>
    </w:p>
    <w:p>
      <w:pPr>
        <w:pStyle w:val="1106"/>
        <w:rPr>
          <w:rFonts w:hint="eastAsia" w:hAnsi="宋体" w:eastAsia="宋体" w:cs="宋体"/>
          <w:color w:val="auto"/>
          <w:szCs w:val="24"/>
        </w:rPr>
      </w:pPr>
      <w:r>
        <w:rPr>
          <w:rFonts w:hint="eastAsia" w:hAnsi="宋体" w:eastAsia="宋体" w:cs="宋体"/>
          <w:color w:val="auto"/>
          <w:szCs w:val="24"/>
        </w:rPr>
      </w:r>
      <w:r/>
    </w:p>
    <w:p>
      <w:pPr>
        <w:pStyle w:val="1106"/>
        <w:rPr>
          <w:rFonts w:hint="eastAsia" w:hAnsi="宋体" w:eastAsia="宋体" w:cs="宋体"/>
          <w:color w:val="auto"/>
          <w:szCs w:val="24"/>
        </w:rPr>
      </w:pPr>
      <w:r>
        <w:rPr>
          <w:rFonts w:hint="eastAsia" w:hAnsi="宋体" w:eastAsia="宋体" w:cs="宋体"/>
          <w:color w:val="auto"/>
          <w:szCs w:val="24"/>
        </w:rPr>
      </w:r>
      <w:r/>
    </w:p>
    <w:p>
      <w:pPr>
        <w:pStyle w:val="1106"/>
        <w:rPr>
          <w:rFonts w:hint="eastAsia" w:hAnsi="宋体" w:eastAsia="宋体" w:cs="宋体"/>
          <w:color w:val="auto"/>
          <w:szCs w:val="24"/>
        </w:rPr>
      </w:pPr>
      <w:r>
        <w:rPr>
          <w:rFonts w:hint="eastAsia" w:hAnsi="宋体" w:eastAsia="宋体" w:cs="宋体"/>
          <w:color w:val="auto"/>
          <w:szCs w:val="24"/>
        </w:rPr>
      </w:r>
      <w:r/>
    </w:p>
    <w:p>
      <w:pPr>
        <w:pStyle w:val="1106"/>
        <w:rPr>
          <w:rFonts w:hint="eastAsia" w:hAnsi="宋体" w:eastAsia="宋体" w:cs="宋体"/>
          <w:color w:val="auto"/>
          <w:szCs w:val="24"/>
        </w:rPr>
      </w:pPr>
      <w:r>
        <w:rPr>
          <w:rFonts w:hint="eastAsia" w:hAnsi="宋体" w:eastAsia="宋体" w:cs="宋体"/>
          <w:color w:val="auto"/>
          <w:szCs w:val="24"/>
        </w:rPr>
      </w:r>
      <w:r/>
    </w:p>
    <w:p>
      <w:pPr>
        <w:pStyle w:val="1106"/>
        <w:rPr>
          <w:rFonts w:hint="eastAsia" w:hAnsi="宋体" w:eastAsia="宋体" w:cs="宋体"/>
          <w:color w:val="auto"/>
          <w:szCs w:val="24"/>
        </w:rPr>
      </w:pPr>
      <w:r>
        <w:rPr>
          <w:rFonts w:hint="eastAsia" w:hAnsi="宋体" w:eastAsia="宋体" w:cs="宋体"/>
          <w:color w:val="auto"/>
          <w:szCs w:val="24"/>
        </w:rPr>
      </w:r>
      <w:r/>
    </w:p>
    <w:p>
      <w:pPr>
        <w:pStyle w:val="1106"/>
        <w:rPr>
          <w:rFonts w:hint="eastAsia" w:hAnsi="宋体" w:eastAsia="宋体" w:cs="宋体"/>
          <w:color w:val="auto"/>
          <w:szCs w:val="24"/>
        </w:rPr>
      </w:pPr>
      <w:r>
        <w:rPr>
          <w:rFonts w:hint="eastAsia" w:hAnsi="宋体" w:eastAsia="宋体" w:cs="宋体"/>
          <w:color w:val="auto"/>
          <w:szCs w:val="24"/>
        </w:rPr>
      </w:r>
      <w:r/>
    </w:p>
    <w:p>
      <w:pPr>
        <w:pStyle w:val="1106"/>
        <w:rPr>
          <w:rFonts w:hint="eastAsia" w:hAnsi="宋体" w:eastAsia="宋体" w:cs="宋体"/>
          <w:color w:val="auto"/>
          <w:szCs w:val="24"/>
        </w:rPr>
      </w:pPr>
      <w:r>
        <w:rPr>
          <w:rFonts w:hint="eastAsia" w:hAnsi="宋体" w:eastAsia="宋体" w:cs="宋体"/>
          <w:color w:val="auto"/>
          <w:szCs w:val="24"/>
        </w:rPr>
      </w:r>
      <w:r/>
    </w:p>
    <w:p>
      <w:pPr>
        <w:pStyle w:val="1106"/>
        <w:rPr>
          <w:rFonts w:hint="eastAsia" w:hAnsi="宋体" w:eastAsia="宋体" w:cs="宋体"/>
          <w:color w:val="auto"/>
          <w:szCs w:val="24"/>
        </w:rPr>
      </w:pPr>
      <w:r>
        <w:rPr>
          <w:rFonts w:hint="eastAsia" w:hAnsi="宋体" w:eastAsia="宋体" w:cs="宋体"/>
          <w:color w:val="auto"/>
          <w:szCs w:val="24"/>
        </w:rPr>
      </w:r>
      <w:r/>
    </w:p>
    <w:p>
      <w:pPr>
        <w:pStyle w:val="1106"/>
        <w:rPr>
          <w:rFonts w:hint="eastAsia" w:hAnsi="宋体" w:eastAsia="宋体" w:cs="宋体"/>
          <w:color w:val="auto"/>
          <w:szCs w:val="24"/>
        </w:rPr>
      </w:pPr>
      <w:r>
        <w:rPr>
          <w:rFonts w:hint="eastAsia" w:hAnsi="宋体" w:eastAsia="宋体" w:cs="宋体"/>
          <w:color w:val="auto"/>
          <w:szCs w:val="24"/>
        </w:rPr>
      </w:r>
      <w:r/>
    </w:p>
    <w:p>
      <w:pPr>
        <w:pStyle w:val="846"/>
        <w:rPr>
          <w:rFonts w:hint="eastAsia"/>
          <w:color w:val="auto"/>
        </w:rPr>
      </w:pPr>
      <w:r/>
      <w:bookmarkStart w:id="40" w:name="_Toc7512"/>
      <w:r>
        <w:rPr>
          <w:rFonts w:hint="eastAsia"/>
          <w:color w:val="auto"/>
        </w:rPr>
        <w:t xml:space="preserve">第二章 投标人须知</w:t>
      </w:r>
      <w:bookmarkEnd w:id="3"/>
      <w:r/>
      <w:bookmarkEnd w:id="4"/>
      <w:r/>
      <w:bookmarkEnd w:id="40"/>
      <w:r/>
      <w:r/>
    </w:p>
    <w:p>
      <w:pPr>
        <w:ind w:right="840"/>
        <w:jc w:val="center"/>
        <w:spacing w:line="360" w:lineRule="auto"/>
        <w:widowControl/>
        <w:rPr>
          <w:rFonts w:hint="eastAsia" w:ascii="宋体" w:hAnsi="宋体" w:eastAsia="宋体" w:cs="宋体"/>
          <w:b/>
          <w:color w:val="auto"/>
          <w:szCs w:val="22"/>
        </w:rPr>
      </w:pPr>
      <w:r>
        <w:rPr>
          <w:rFonts w:hint="eastAsia" w:ascii="宋体" w:hAnsi="宋体" w:eastAsia="宋体" w:cs="宋体"/>
          <w:b/>
          <w:color w:val="auto"/>
          <w:szCs w:val="22"/>
        </w:rPr>
        <w:t xml:space="preserve">    投标人须知前附表</w:t>
      </w:r>
      <w:r/>
    </w:p>
    <w:tbl>
      <w:tblPr>
        <w:tblStyle w:val="856"/>
        <w:tblW w:w="10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903"/>
        <w:gridCol w:w="7406"/>
      </w:tblGrid>
      <w:tr>
        <w:trPr>
          <w:jc w:val="center"/>
          <w:trHeight w:val="570"/>
        </w:trPr>
        <w:tc>
          <w:tcPr>
            <w:tcW w:w="796"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903"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项目</w:t>
            </w:r>
            <w:r/>
          </w:p>
        </w:tc>
        <w:tc>
          <w:tcPr>
            <w:tcW w:w="7406"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内容</w:t>
            </w:r>
            <w:r/>
          </w:p>
        </w:tc>
      </w:tr>
      <w:tr>
        <w:trPr>
          <w:jc w:val="center"/>
          <w:trHeight w:val="730"/>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740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畜牧园2026年苏牧黑羽番鸭（育种）饲料采购项目</w:t>
            </w:r>
            <w:r/>
          </w:p>
        </w:tc>
      </w:tr>
      <w:tr>
        <w:trPr>
          <w:jc w:val="center"/>
          <w:trHeight w:val="664"/>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招标内容</w:t>
            </w:r>
            <w:r/>
          </w:p>
        </w:tc>
        <w:tc>
          <w:tcPr>
            <w:tcW w:w="740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项目采购486吨饲料，包括：种鸭育雏料14吨、种鸭育成料170吨、种鸭产蛋料260吨、商品代育雏料7吨、商品代生长料13吨、商品代育肥料22吨。</w:t>
            </w:r>
            <w:r/>
          </w:p>
        </w:tc>
      </w:tr>
      <w:tr>
        <w:trPr>
          <w:jc w:val="center"/>
          <w:trHeight w:val="715"/>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合同履行期限</w:t>
            </w:r>
            <w:r/>
          </w:p>
        </w:tc>
        <w:tc>
          <w:tcPr>
            <w:tcW w:w="7406" w:type="dxa"/>
            <w:vAlign w:val="center"/>
            <w:textDirection w:val="lrTb"/>
            <w:noWrap w:val="false"/>
          </w:tcPr>
          <w:p>
            <w:pPr>
              <w:pStyle w:val="913"/>
              <w:rPr>
                <w:rFonts w:hint="eastAsia" w:ascii="宋体" w:hAnsi="宋体" w:eastAsia="宋体" w:cs="宋体"/>
                <w:color w:val="auto"/>
              </w:rPr>
            </w:pPr>
            <w:r>
              <w:rPr>
                <w:rFonts w:hint="eastAsia" w:ascii="宋体" w:hAnsi="宋体" w:eastAsia="宋体" w:cs="宋体"/>
                <w:color w:val="auto"/>
              </w:rPr>
              <w:t xml:space="preserve">签订合同后1年内分多次供货，每次根据采购人通知要求3日内完成供货。</w:t>
            </w:r>
            <w:r/>
          </w:p>
        </w:tc>
      </w:tr>
      <w:tr>
        <w:trPr>
          <w:jc w:val="center"/>
          <w:trHeight w:val="703"/>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最高投标限价</w:t>
            </w:r>
            <w:r/>
          </w:p>
        </w:tc>
        <w:tc>
          <w:tcPr>
            <w:tcW w:w="740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150万元</w:t>
            </w:r>
            <w:r/>
          </w:p>
        </w:tc>
      </w:tr>
      <w:tr>
        <w:trPr>
          <w:jc w:val="center"/>
          <w:trHeight w:val="702"/>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合格投标人资格要求</w:t>
            </w:r>
            <w:r/>
          </w:p>
        </w:tc>
        <w:tc>
          <w:tcPr>
            <w:tcW w:w="740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详见招标公告</w:t>
            </w:r>
            <w:r/>
          </w:p>
        </w:tc>
      </w:tr>
      <w:tr>
        <w:trPr>
          <w:jc w:val="center"/>
          <w:trHeight w:val="577"/>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联合体投标</w:t>
            </w:r>
            <w:r/>
          </w:p>
        </w:tc>
        <w:tc>
          <w:tcPr>
            <w:tcW w:w="740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不接受，招标文件中有关联合体的规定均不适用。</w:t>
            </w:r>
            <w:r/>
          </w:p>
        </w:tc>
      </w:tr>
      <w:tr>
        <w:trPr>
          <w:jc w:val="center"/>
          <w:trHeight w:val="627"/>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现场考察</w:t>
            </w:r>
            <w:r/>
          </w:p>
        </w:tc>
        <w:tc>
          <w:tcPr>
            <w:tcW w:w="740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不组织，自行考察；如投标人需自行考察，费用自理。</w:t>
            </w:r>
            <w:r/>
          </w:p>
        </w:tc>
      </w:tr>
      <w:tr>
        <w:trPr>
          <w:jc w:val="center"/>
          <w:trHeight w:val="547"/>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投标答疑会</w:t>
            </w:r>
            <w:r/>
          </w:p>
        </w:tc>
        <w:tc>
          <w:tcPr>
            <w:tcW w:w="740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不召开</w:t>
            </w:r>
            <w:r/>
          </w:p>
        </w:tc>
      </w:tr>
      <w:tr>
        <w:trPr>
          <w:jc w:val="center"/>
          <w:trHeight w:val="506"/>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投标货币</w:t>
            </w:r>
            <w:r/>
          </w:p>
        </w:tc>
        <w:tc>
          <w:tcPr>
            <w:tcW w:w="740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w:t>
            </w:r>
            <w:r/>
          </w:p>
        </w:tc>
      </w:tr>
      <w:tr>
        <w:trPr>
          <w:jc w:val="center"/>
          <w:trHeight w:val="520"/>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合同方式</w:t>
            </w:r>
            <w:r/>
          </w:p>
        </w:tc>
        <w:tc>
          <w:tcPr>
            <w:tcW w:w="7406" w:type="dxa"/>
            <w:vAlign w:val="center"/>
            <w:textDirection w:val="lrTb"/>
            <w:noWrap w:val="false"/>
          </w:tcPr>
          <w:p>
            <w:pPr>
              <w:pStyle w:val="1088"/>
              <w:ind w:firstLine="0"/>
              <w:spacing w:line="240" w:lineRule="auto"/>
              <w:rPr>
                <w:rFonts w:hint="eastAsia" w:ascii="宋体" w:hAnsi="宋体" w:eastAsia="宋体" w:cs="宋体"/>
                <w:color w:val="auto"/>
              </w:rPr>
            </w:pPr>
            <w:r>
              <w:rPr>
                <w:rFonts w:hint="eastAsia" w:ascii="宋体" w:hAnsi="宋体" w:eastAsia="宋体" w:cs="宋体"/>
                <w:color w:val="auto"/>
              </w:rPr>
              <w:t xml:space="preserve">本项目为可变价合同，以玉米和豆粕市场价格波动调整合同</w:t>
            </w:r>
            <w:r>
              <w:rPr>
                <w:rFonts w:hint="eastAsia" w:ascii="宋体" w:hAnsi="宋体" w:eastAsia="宋体" w:cs="宋体"/>
                <w:color w:val="auto"/>
              </w:rPr>
              <w:t xml:space="preserve">内饲料单价（中标价格）。调整规则为：各阶段调整后单价=相应阶段中标单价＋（玉米价格波动值×60%+豆粕价格波动值×25%）。若价格波动幅度在±20元/吨（含本数）内则本期价格不调整，价格波动幅度超出20元/吨则调实调整。玉米和豆粕市场价格参照第三方资讯平台（卓创资讯：https://grain.sci99.com）周平均价格，玉米以南通港到港价格为准，豆粕以泰州港到港价格为准，基准价为招标公告发布日的周平均价。每月10日为调价基准日（节假日往后顺延至第一个工作日），中标人需向招标人提供带有单位公章的调价函。</w:t>
            </w:r>
            <w:r/>
          </w:p>
        </w:tc>
      </w:tr>
      <w:tr>
        <w:trPr>
          <w:jc w:val="center"/>
          <w:trHeight w:val="655"/>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投标保证金</w:t>
            </w:r>
            <w:r/>
          </w:p>
        </w:tc>
        <w:tc>
          <w:tcPr>
            <w:tcW w:w="7406" w:type="dxa"/>
            <w:vAlign w:val="center"/>
            <w:textDirection w:val="lrTb"/>
            <w:noWrap w:val="false"/>
          </w:tcPr>
          <w:p>
            <w:pPr>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投标文件有效期</w:t>
            </w:r>
            <w:r/>
          </w:p>
        </w:tc>
        <w:tc>
          <w:tcPr>
            <w:tcW w:w="740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60 </w:t>
            </w:r>
            <w:r>
              <w:rPr>
                <w:rFonts w:hint="eastAsia" w:ascii="宋体" w:hAnsi="宋体" w:eastAsia="宋体" w:cs="宋体"/>
                <w:color w:val="auto"/>
                <w:sz w:val="24"/>
                <w:szCs w:val="24"/>
              </w:rPr>
              <w:t xml:space="preserve">日历天（从投标截止之日算起）</w:t>
            </w:r>
            <w:r/>
          </w:p>
        </w:tc>
      </w:tr>
      <w:tr>
        <w:trPr>
          <w:cantSplit/>
          <w:jc w:val="center"/>
          <w:trHeight w:val="549"/>
        </w:trPr>
        <w:tc>
          <w:tcPr>
            <w:tcW w:w="796"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投标截止时间</w:t>
            </w:r>
            <w:r/>
          </w:p>
        </w:tc>
        <w:tc>
          <w:tcPr>
            <w:tcW w:w="740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w:t>
            </w:r>
            <w:r>
              <w:rPr>
                <w:rFonts w:hint="eastAsia" w:ascii="宋体" w:hAnsi="宋体" w:eastAsia="宋体" w:cs="宋体"/>
                <w:b/>
                <w:bCs/>
                <w:color w:val="auto"/>
                <w:sz w:val="24"/>
                <w:szCs w:val="24"/>
                <w:u w:val="single"/>
              </w:rPr>
              <w:t xml:space="preserve">2026 </w:t>
            </w:r>
            <w:r>
              <w:rPr>
                <w:rFonts w:hint="eastAsia" w:ascii="宋体" w:hAnsi="宋体" w:eastAsia="宋体" w:cs="宋体"/>
                <w:b/>
                <w:bCs/>
                <w:color w:val="auto"/>
                <w:sz w:val="24"/>
                <w:szCs w:val="24"/>
              </w:rPr>
              <w:t xml:space="preserve">年</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11</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18</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日</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14</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时</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3</w:t>
            </w:r>
            <w:r>
              <w:rPr>
                <w:rFonts w:hint="eastAsia" w:ascii="宋体" w:hAnsi="宋体" w:eastAsia="宋体" w:cs="宋体"/>
                <w:b/>
                <w:bCs/>
                <w:color w:val="auto"/>
                <w:sz w:val="24"/>
                <w:szCs w:val="24"/>
                <w:u w:val="single"/>
              </w:rPr>
              <w:t xml:space="preserve">0 </w:t>
            </w:r>
            <w:r>
              <w:rPr>
                <w:rFonts w:hint="eastAsia" w:ascii="宋体" w:hAnsi="宋体" w:eastAsia="宋体" w:cs="宋体"/>
                <w:b/>
                <w:bCs/>
                <w:color w:val="auto"/>
                <w:sz w:val="24"/>
                <w:szCs w:val="24"/>
              </w:rPr>
              <w:t xml:space="preserve">分</w:t>
            </w:r>
            <w:r/>
          </w:p>
        </w:tc>
      </w:tr>
      <w:tr>
        <w:trPr>
          <w:cantSplit/>
          <w:jc w:val="center"/>
          <w:trHeight w:val="644"/>
        </w:trPr>
        <w:tc>
          <w:tcPr>
            <w:tcW w:w="796"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投标地点</w:t>
            </w:r>
            <w:r/>
          </w:p>
        </w:tc>
        <w:tc>
          <w:tcPr>
            <w:tcW w:w="740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地点：江苏政府采购“苏采云”系统不见面开标大厅 </w:t>
            </w:r>
            <w:r/>
          </w:p>
        </w:tc>
      </w:tr>
      <w:tr>
        <w:trPr>
          <w:jc w:val="center"/>
          <w:trHeight w:val="836"/>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开标时间和地点</w:t>
            </w:r>
            <w:r/>
          </w:p>
        </w:tc>
        <w:tc>
          <w:tcPr>
            <w:tcW w:w="740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w:t>
            </w:r>
            <w:r>
              <w:rPr>
                <w:rFonts w:hint="eastAsia" w:ascii="宋体" w:hAnsi="宋体" w:eastAsia="宋体" w:cs="宋体"/>
                <w:b/>
                <w:bCs/>
                <w:color w:val="auto"/>
                <w:sz w:val="24"/>
                <w:szCs w:val="24"/>
                <w:u w:val="single"/>
              </w:rPr>
              <w:t xml:space="preserve">2026 </w:t>
            </w:r>
            <w:r>
              <w:rPr>
                <w:rFonts w:hint="eastAsia" w:ascii="宋体" w:hAnsi="宋体" w:eastAsia="宋体" w:cs="宋体"/>
                <w:b/>
                <w:bCs/>
                <w:color w:val="auto"/>
                <w:sz w:val="24"/>
                <w:szCs w:val="24"/>
              </w:rPr>
              <w:t xml:space="preserve">年</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11</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18</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日</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14</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时</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u w:val="single"/>
                <w:lang w:val="en-US" w:eastAsia="zh-CN"/>
              </w:rPr>
              <w:t xml:space="preserve">3</w:t>
            </w:r>
            <w:r>
              <w:rPr>
                <w:rFonts w:hint="eastAsia" w:ascii="宋体" w:hAnsi="宋体" w:eastAsia="宋体" w:cs="宋体"/>
                <w:b/>
                <w:bCs/>
                <w:color w:val="auto"/>
                <w:sz w:val="24"/>
                <w:szCs w:val="24"/>
                <w:u w:val="single"/>
              </w:rPr>
              <w:t xml:space="preserve">0 </w:t>
            </w:r>
            <w:r>
              <w:rPr>
                <w:rFonts w:hint="eastAsia" w:ascii="宋体" w:hAnsi="宋体" w:eastAsia="宋体" w:cs="宋体"/>
                <w:b/>
                <w:bCs/>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地点：江苏政府采购“苏采云”系统不见面开标大厅 </w:t>
            </w:r>
            <w:r/>
          </w:p>
        </w:tc>
      </w:tr>
      <w:tr>
        <w:trPr>
          <w:jc w:val="center"/>
          <w:trHeight w:val="592"/>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招标方式</w:t>
            </w:r>
            <w:r/>
          </w:p>
        </w:tc>
        <w:tc>
          <w:tcPr>
            <w:tcW w:w="740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公开招标</w:t>
            </w:r>
            <w:r/>
          </w:p>
        </w:tc>
      </w:tr>
      <w:tr>
        <w:trPr>
          <w:jc w:val="center"/>
          <w:trHeight w:val="566"/>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评标办法</w:t>
            </w:r>
            <w:r/>
          </w:p>
        </w:tc>
        <w:tc>
          <w:tcPr>
            <w:tcW w:w="740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综合评分法 </w:t>
            </w:r>
            <w:r>
              <w:rPr>
                <w:rFonts w:hint="eastAsia" w:ascii="宋体" w:hAnsi="宋体" w:eastAsia="宋体" w:cs="宋体"/>
                <w:color w:val="auto"/>
                <w:sz w:val="24"/>
                <w:szCs w:val="24"/>
                <w:u w:val="single"/>
              </w:rPr>
              <w:t xml:space="preserve">  </w:t>
            </w:r>
            <w:r/>
          </w:p>
        </w:tc>
      </w:tr>
      <w:tr>
        <w:trPr>
          <w:jc w:val="center"/>
          <w:trHeight w:val="663"/>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定标办法</w:t>
            </w:r>
            <w:r/>
          </w:p>
        </w:tc>
        <w:tc>
          <w:tcPr>
            <w:tcW w:w="740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采购人根据评标委员会推荐的中标候选投标人顺序确定中标人。</w:t>
            </w:r>
            <w:r/>
          </w:p>
        </w:tc>
      </w:tr>
      <w:tr>
        <w:trPr>
          <w:jc w:val="center"/>
          <w:trHeight w:val="3214"/>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履约保证金</w:t>
            </w:r>
            <w:r/>
          </w:p>
        </w:tc>
        <w:tc>
          <w:tcPr>
            <w:tcW w:w="740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金额：中标价的10%计取；</w:t>
            </w:r>
            <w:r/>
          </w:p>
          <w:p>
            <w:pPr>
              <w:pStyle w:val="1094"/>
              <w:ind w:firstLine="0"/>
              <w:jc w:val="both"/>
              <w:rPr>
                <w:rFonts w:hint="eastAsia" w:ascii="宋体" w:hAnsi="宋体" w:eastAsia="宋体" w:cs="宋体"/>
                <w:color w:val="auto"/>
                <w:szCs w:val="24"/>
              </w:rPr>
            </w:pPr>
            <w:r>
              <w:rPr>
                <w:rFonts w:hint="eastAsia" w:ascii="宋体" w:hAnsi="宋体" w:eastAsia="宋体" w:cs="宋体"/>
                <w:color w:val="auto"/>
                <w:szCs w:val="24"/>
              </w:rPr>
              <w:t xml:space="preserve">形式：保函、电汇、转账、汇票或支票、保证保险等；</w:t>
            </w:r>
            <w:r/>
          </w:p>
          <w:p>
            <w:pPr>
              <w:pStyle w:val="1094"/>
              <w:ind w:firstLine="0"/>
              <w:jc w:val="both"/>
              <w:rPr>
                <w:rFonts w:hint="eastAsia" w:ascii="宋体" w:hAnsi="宋体" w:eastAsia="宋体" w:cs="宋体"/>
                <w:color w:val="auto"/>
                <w:szCs w:val="24"/>
              </w:rPr>
            </w:pPr>
            <w:r>
              <w:rPr>
                <w:rFonts w:hint="eastAsia" w:ascii="宋体" w:hAnsi="宋体" w:eastAsia="宋体" w:cs="宋体"/>
                <w:color w:val="auto"/>
                <w:szCs w:val="24"/>
              </w:rPr>
              <w:t xml:space="preserve">提交时间：中标供应商必须在收到中标通知书后</w:t>
            </w:r>
            <w:bookmarkStart w:id="129" w:name="_GoBack"/>
            <w:r>
              <w:rPr>
                <w:rFonts w:hint="eastAsia" w:ascii="宋体" w:hAnsi="宋体" w:eastAsia="宋体" w:cs="宋体"/>
                <w:color w:val="auto"/>
                <w:szCs w:val="24"/>
              </w:rPr>
              <w:t xml:space="preserve">5日</w:t>
            </w:r>
            <w:bookmarkEnd w:id="129"/>
            <w:r>
              <w:rPr>
                <w:rFonts w:hint="eastAsia" w:ascii="宋体" w:hAnsi="宋体" w:eastAsia="宋体" w:cs="宋体"/>
                <w:color w:val="auto"/>
                <w:szCs w:val="24"/>
              </w:rPr>
              <w:t xml:space="preserve">内，将履约保证金交至采购人，中标人未按上述要求提交履约保证金的，采购人可取消其中标资格；</w:t>
            </w:r>
            <w:r/>
          </w:p>
          <w:p>
            <w:pPr>
              <w:pStyle w:val="1094"/>
              <w:ind w:firstLine="0"/>
              <w:jc w:val="both"/>
              <w:rPr>
                <w:rFonts w:hint="eastAsia" w:ascii="宋体" w:hAnsi="宋体" w:eastAsia="宋体" w:cs="宋体"/>
                <w:color w:val="auto"/>
                <w:szCs w:val="24"/>
              </w:rPr>
            </w:pPr>
            <w:r>
              <w:rPr>
                <w:rFonts w:hint="eastAsia" w:ascii="宋体" w:hAnsi="宋体" w:eastAsia="宋体" w:cs="宋体"/>
                <w:color w:val="auto"/>
                <w:szCs w:val="24"/>
              </w:rPr>
              <w:t xml:space="preserve">退还时间：在合同期限结束且经双方验收合格后，无息退还。</w:t>
            </w:r>
            <w:r/>
          </w:p>
          <w:p>
            <w:pPr>
              <w:rPr>
                <w:color w:val="auto"/>
              </w:rPr>
            </w:pPr>
            <w:r>
              <w:rPr>
                <w:rFonts w:hint="eastAsia" w:ascii="宋体" w:hAnsi="宋体" w:eastAsia="宋体" w:cs="宋体"/>
                <w:color w:val="auto"/>
                <w:sz w:val="24"/>
                <w:szCs w:val="24"/>
              </w:rPr>
              <w:t xml:space="preserve">注：电子履约保函相关要求执行市财政局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tc>
      </w:tr>
      <w:tr>
        <w:trPr>
          <w:jc w:val="center"/>
          <w:trHeight w:val="762"/>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w:t>
            </w:r>
            <w:r/>
          </w:p>
        </w:tc>
        <w:tc>
          <w:tcPr>
            <w:tcW w:w="7406"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中标通知书发出之日起</w:t>
            </w:r>
            <w:r>
              <w:rPr>
                <w:rFonts w:hint="eastAsia" w:ascii="宋体" w:hAnsi="宋体" w:eastAsia="宋体" w:cs="宋体"/>
                <w:color w:val="auto"/>
                <w:sz w:val="24"/>
                <w:szCs w:val="24"/>
                <w:u w:val="single"/>
              </w:rPr>
              <w:t xml:space="preserve"> 30 </w:t>
            </w:r>
            <w:r>
              <w:rPr>
                <w:rFonts w:hint="eastAsia" w:ascii="宋体" w:hAnsi="宋体" w:eastAsia="宋体" w:cs="宋体"/>
                <w:color w:val="auto"/>
                <w:sz w:val="24"/>
                <w:szCs w:val="24"/>
              </w:rPr>
              <w:t xml:space="preserve">日内</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签订合同地点：江苏农牧科技职业学院</w:t>
            </w:r>
            <w:r/>
          </w:p>
        </w:tc>
      </w:tr>
      <w:tr>
        <w:trPr>
          <w:jc w:val="center"/>
          <w:trHeight w:val="1208"/>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付款方式</w:t>
            </w:r>
            <w:r/>
          </w:p>
        </w:tc>
        <w:tc>
          <w:tcPr>
            <w:tcW w:w="7406" w:type="dxa"/>
            <w:vAlign w:val="center"/>
            <w:textDirection w:val="lrTb"/>
            <w:noWrap w:val="false"/>
          </w:tcPr>
          <w:p>
            <w:pPr>
              <w:spacing w:line="360" w:lineRule="exact"/>
              <w:tabs>
                <w:tab w:val="left" w:pos="426" w:leader="none"/>
              </w:tabs>
              <w:rPr>
                <w:rFonts w:hint="eastAsia" w:ascii="宋体" w:hAnsi="宋体" w:eastAsia="宋体" w:cs="宋体"/>
                <w:color w:val="auto"/>
                <w:szCs w:val="24"/>
              </w:rPr>
            </w:pPr>
            <w:r>
              <w:rPr>
                <w:rFonts w:hint="eastAsia" w:ascii="宋体" w:hAnsi="宋体" w:eastAsia="宋体" w:cs="宋体"/>
                <w:color w:val="auto"/>
                <w:sz w:val="24"/>
                <w:szCs w:val="24"/>
              </w:rPr>
              <w:t xml:space="preserve">招标人每次购料后，中标人必须开具正式发票，单位抬头为江苏农牧科技职业学院。每次购料后凭正式发票支付货款，报销周期为1个月（如遇特殊情况则由中标人与招标人双方沟通协商确定）。</w:t>
            </w:r>
            <w:r/>
          </w:p>
        </w:tc>
      </w:tr>
      <w:tr>
        <w:trPr>
          <w:jc w:val="center"/>
          <w:trHeight w:val="699"/>
        </w:trPr>
        <w:tc>
          <w:tcPr>
            <w:tcW w:w="7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p>
        </w:tc>
        <w:tc>
          <w:tcPr>
            <w:tcW w:w="190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w:t>
            </w:r>
            <w:r/>
          </w:p>
        </w:tc>
        <w:tc>
          <w:tcPr>
            <w:tcW w:w="7406" w:type="dxa"/>
            <w:vAlign w:val="center"/>
            <w:textDirection w:val="lrTb"/>
            <w:noWrap w:val="false"/>
          </w:tcPr>
          <w:p>
            <w:pPr>
              <w:pStyle w:val="1094"/>
              <w:ind w:firstLine="0"/>
              <w:jc w:val="both"/>
              <w:rPr>
                <w:rFonts w:hint="eastAsia" w:ascii="宋体" w:hAnsi="宋体" w:eastAsia="宋体" w:cs="宋体"/>
                <w:color w:val="auto"/>
                <w:szCs w:val="24"/>
              </w:rPr>
            </w:pPr>
            <w:r>
              <w:rPr>
                <w:rFonts w:hint="eastAsia" w:ascii="宋体" w:hAnsi="宋体" w:eastAsia="宋体" w:cs="宋体"/>
                <w:color w:val="auto"/>
                <w:szCs w:val="24"/>
              </w:rPr>
              <w:t xml:space="preserve">解释：本文件的解释权属于采购人（或代理机构）。</w:t>
            </w:r>
            <w:r/>
          </w:p>
        </w:tc>
      </w:tr>
    </w:tbl>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一、说明和释义</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1.说明  </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1.1本招标文件仅适用于江苏建泰工程项目管理有限公司组织的招标活动。</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1.2本次招标活动及因本次招标产生的合同受中国法律制约和保护。</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1.3本招标文件的解释权属于采购人（或代理机构）。</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2.词语释义</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2.1采购人：指依法进行采购的国家机关、事业单位、团体组织。</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2.2供应商、投标人：指向采购人提供货物、工程或服务的法人、其他组织或者自然人，不包括其分公司。</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2.3采购代理机构：指依法接受采购人委托，从事货物、工程和服务等采购招标代理业务的社会中介机构。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2.4招标采购单位：采购人及采购代理机构的统称。</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2.6响应：投标人根据采购人或采购代理机构发售的招标文件，编制投标文件并按规定投标的行为。</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2.7知识产权：指专利权、商标权、著作权等无形财产专有权的统称。</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2.8天：日历天。</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2.9服务地点：合同中明确约定的乙方履行服务的最终地点。</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2.10不可抗力：不能预见、不能避免并且不能克服的客观情况。</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2.11实质性响应：满足有关本次采购标的、数量、质量、价款或者报酬、履行期限、履行地点和方式、违约责任和解决争议方法等要求。</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2.12书面形式：指书面文字、合同书、信件等可以有形地表现所载内容的形式。</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二、投标人</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3.合格投标人资格要求</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3.1满足《中华人民共和国政府采购法》第二十二条规定：</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（3）具有履行合同所必需的设备和专业技术能力；</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（4）有依法缴纳税收和社会保障资金的良好记录；</w:t>
      </w:r>
      <w:r/>
    </w:p>
    <w:p>
      <w:pPr>
        <w:ind w:firstLine="488"/>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（5）参加政府采购活动前三年内，在经营活动中没有重大违法记录。</w:t>
      </w:r>
      <w:r/>
    </w:p>
    <w:p>
      <w:pPr>
        <w:ind w:firstLine="488"/>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3.2落实政府采购政策需满足的资格要求：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3.3本项目的特定资格要求：</w:t>
      </w:r>
      <w:r/>
    </w:p>
    <w:p>
      <w:pPr>
        <w:ind w:firstLine="488"/>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（1）投标人须具有省级及以上农业农村饲料管理部门颁布的《饲料生产许可证》，并在有效期内。如投标人为经销商，则须提供所投产品生产方的《饲料生产许可证》。</w:t>
      </w:r>
      <w:r/>
    </w:p>
    <w:p>
      <w:pPr>
        <w:ind w:firstLine="488"/>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（2）投标人所供产品符合《饲料和饲料添加剂管理条例》《饲料卫生标准》及国家其他相关规定，无添加国家规定的禁用或未允许添加的药品（含激素）（提供承诺书）。</w:t>
      </w:r>
      <w:r/>
    </w:p>
    <w:p>
      <w:pPr>
        <w:ind w:firstLine="488"/>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3.4未被列入“信用中国”网站（www.creditchina.gov.cn）失信被执行人名单、重大税收违法失信主体、政府采购严重违法失信行为记录名单。</w:t>
      </w:r>
      <w:r/>
    </w:p>
    <w:p>
      <w:pPr>
        <w:ind w:firstLine="488"/>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3.5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r/>
    </w:p>
    <w:p>
      <w:pPr>
        <w:ind w:firstLine="482"/>
        <w:spacing w:line="520" w:lineRule="exact"/>
        <w:rPr>
          <w:rFonts w:hint="eastAsia" w:ascii="宋体" w:hAnsi="宋体" w:eastAsia="宋体" w:cs="宋体"/>
          <w:bCs/>
          <w:color w:val="auto"/>
          <w:sz w:val="24"/>
          <w:szCs w:val="24"/>
        </w:rPr>
      </w:pPr>
      <w:r>
        <w:rPr>
          <w:rFonts w:hint="eastAsia" w:ascii="宋体" w:hAnsi="宋体" w:eastAsia="宋体" w:cs="宋体"/>
          <w:b/>
          <w:color w:val="auto"/>
          <w:sz w:val="24"/>
          <w:szCs w:val="24"/>
        </w:rPr>
        <w:t xml:space="preserve">4.投标人应在江苏政府采购“苏采云”系统（https://jszfcg.jsczt.cn/jszc/login下同）下载招标文件及有关资料，按招标文件要求提交全部资料并对招标文件各项内容做出实质性响应。</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5.投标人代表</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5.1指全权代表投标人参加投标活动并签署投标文件的人，如果投标人代表不是法人代表，须持有《法人代表授权委托书》（详见统一格式）。</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6.不接受联合体投标。</w:t>
      </w:r>
      <w:r/>
    </w:p>
    <w:p>
      <w:pPr>
        <w:ind w:firstLine="482"/>
        <w:spacing w:line="52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7.投标人有下列情形之一的不能参加本次投标：</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（1）因重大经济问题正在接受国家有关部门审查的；</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（2）正在被其他企业兼并（或收购）或因重大经济纠纷正在进行诉讼或仲裁的；</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（3）因腐败和欺诈行为而被有关部门处理的；</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（4）被责令停业的； </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（5）被暂停或取消投标资格的； </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（6）财产被接管或冻结的；</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（7）在最近三年内有骗取中标或严重违约或重大工程（项目）质量问题的；</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（8）在投标过程中弄虚作假、行贿或有其他违法违规行为的；</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（9）违反法律法规相关规定的。</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三、招标文件说明</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8.招标文件</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9.现场考察 </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9.1投标人应按</w:t>
      </w:r>
      <w:r>
        <w:rPr>
          <w:rFonts w:hint="eastAsia" w:ascii="宋体" w:hAnsi="宋体" w:eastAsia="宋体" w:cs="宋体"/>
          <w:bCs/>
          <w:color w:val="auto"/>
          <w:sz w:val="24"/>
          <w:szCs w:val="24"/>
        </w:rPr>
        <w:t xml:space="preserve">招标文件中所述时间</w:t>
      </w:r>
      <w:r>
        <w:rPr>
          <w:rFonts w:hint="eastAsia" w:ascii="宋体" w:hAnsi="宋体" w:eastAsia="宋体" w:cs="宋体"/>
          <w:color w:val="auto"/>
          <w:sz w:val="24"/>
          <w:szCs w:val="24"/>
        </w:rPr>
        <w:t xml:space="preserve">对有关现场和周围环境进行认真充分的考察，以获取编制投标文件和签署合同所需的信息。考察现场所发生的费用由投标人自己承担。</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spacing w:line="52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10.招标文件的澄清和修改</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10.1投标人在购买招标文件后，若有问题需要询问和澄清，应于前附表规定的时间提出。</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10.2如需召开投标答疑会的，招标采购单位将按前附表规定的时间、地点召开招标答疑会。</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10.3迟于前附表规定时间的询问和提交的疑问，采购人和采购代理机构有权拒绝回答，也不承担由此带来的对投标人投标结果的影响。</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10.5为使投标人有足够的时间按招标文件的修改要求考虑修正投标文件，或出于其他原因，招标采购单位有权推迟投标截止日期和开标日期，并将此变更通知所有招标文件的接收人。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10.6招标文件的更正（含澄清、修改等）内容与原招标文件在同一内容上表述不一致时，以发出日期最接近开标时间的公告为准。</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10.7招标文件的更正（含澄清、修改等）内容将作为招标文件的组成部分，对投标人起约束作用。</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四、投标文件说明</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11.投标文件计量单位和使用文字</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11.1投标文件中所使用的计量单位，除招标文件中有特殊要求外，均应使用中华人民共和国法定计量单位。</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105"/>
        <w:ind w:firstLine="480"/>
        <w:spacing w:line="520" w:lineRule="exact"/>
        <w:rPr>
          <w:rFonts w:hint="eastAsia" w:hAnsi="宋体" w:eastAsia="宋体" w:cs="宋体"/>
          <w:color w:val="auto"/>
          <w:sz w:val="24"/>
          <w:szCs w:val="24"/>
        </w:rPr>
      </w:pPr>
      <w:r>
        <w:rPr>
          <w:rFonts w:hint="eastAsia" w:hAnsi="宋体" w:eastAsia="宋体" w:cs="宋体"/>
          <w:color w:val="auto"/>
          <w:sz w:val="24"/>
          <w:szCs w:val="24"/>
        </w:rPr>
        <w:t xml:space="preserve">11.3投标人应当同时凭CA数字证书登录“江苏政府采购‘苏采云’系统”，并在投标截止时间前上传电子投标文件。</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w:t>
      </w:r>
      <w:bookmarkStart w:id="41" w:name="_Toc217446047"/>
      <w:r>
        <w:rPr>
          <w:rFonts w:hint="eastAsia" w:ascii="宋体" w:hAnsi="宋体" w:eastAsia="宋体" w:cs="宋体"/>
          <w:b/>
          <w:color w:val="auto"/>
          <w:sz w:val="24"/>
          <w:szCs w:val="24"/>
        </w:rPr>
        <w:t xml:space="preserve">2.知识产权</w:t>
      </w:r>
      <w:bookmarkEnd w:id="41"/>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13.投标文件的组成</w:t>
      </w:r>
      <w:r/>
    </w:p>
    <w:p>
      <w:pPr>
        <w:ind w:firstLine="480"/>
        <w:spacing w:line="520" w:lineRule="exact"/>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13.1投标函</w:t>
      </w:r>
      <w:r>
        <w:rPr>
          <w:rFonts w:hint="eastAsia" w:ascii="宋体" w:hAnsi="宋体" w:eastAsia="宋体" w:cs="宋体"/>
          <w:b/>
          <w:bCs/>
          <w:color w:val="auto"/>
          <w:sz w:val="24"/>
          <w:szCs w:val="24"/>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13.2资格、资信等证明文件：</w:t>
      </w:r>
      <w:r/>
    </w:p>
    <w:p>
      <w:pPr>
        <w:pStyle w:val="120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（1）关于资格的声明函</w:t>
      </w:r>
      <w:r>
        <w:rPr>
          <w:rFonts w:hint="eastAsia" w:ascii="宋体" w:hAnsi="宋体" w:eastAsia="宋体" w:cs="宋体"/>
          <w:b/>
          <w:bCs/>
          <w:color w:val="auto"/>
          <w:sz w:val="24"/>
          <w:szCs w:val="24"/>
        </w:rPr>
        <w:t xml:space="preserve">（格式见附件）</w:t>
      </w:r>
      <w:r>
        <w:rPr>
          <w:rFonts w:hint="eastAsia" w:ascii="宋体" w:hAnsi="宋体" w:eastAsia="宋体" w:cs="宋体"/>
          <w:color w:val="auto"/>
          <w:sz w:val="24"/>
          <w:szCs w:val="24"/>
        </w:rPr>
        <w:t xml:space="preserve">；</w:t>
      </w:r>
      <w:r/>
    </w:p>
    <w:p>
      <w:pPr>
        <w:pStyle w:val="120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（2）投标人法定代表人授权委托书（格式见附件，法定代表人亲自参加投标的提供法定代表人身份证扫描件）、投标人法定代表人授权代表身份证扫描件（法定代表人亲自参加投标的除外）；</w:t>
      </w:r>
      <w:r/>
    </w:p>
    <w:p>
      <w:pPr>
        <w:pStyle w:val="120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
          <w:bCs/>
          <w:color w:val="auto"/>
          <w:sz w:val="24"/>
          <w:szCs w:val="24"/>
        </w:rPr>
        <w:t xml:space="preserve">具有独立承担民事责任的能力：</w:t>
      </w:r>
      <w:r>
        <w:rPr>
          <w:rFonts w:hint="eastAsia" w:ascii="宋体" w:hAnsi="宋体" w:eastAsia="宋体" w:cs="宋体"/>
          <w:color w:val="auto"/>
          <w:sz w:val="24"/>
          <w:szCs w:val="24"/>
        </w:rPr>
        <w:t xml:space="preserve">法人或其他组织的营业执照或相关部门的登记证明文件扫描件； </w:t>
      </w:r>
      <w:r/>
    </w:p>
    <w:p>
      <w:pPr>
        <w:pStyle w:val="120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b/>
          <w:bCs/>
          <w:color w:val="auto"/>
          <w:sz w:val="24"/>
          <w:szCs w:val="24"/>
        </w:rPr>
        <w:t xml:space="preserve">具有良好的商业信誉和健全的财务会计制度：</w:t>
      </w:r>
      <w:r>
        <w:rPr>
          <w:rFonts w:hint="eastAsia" w:ascii="宋体" w:hAnsi="宋体" w:eastAsia="宋体" w:cs="宋体"/>
          <w:color w:val="auto"/>
          <w:sz w:val="24"/>
          <w:szCs w:val="24"/>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20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b/>
          <w:bCs/>
          <w:color w:val="auto"/>
          <w:sz w:val="24"/>
          <w:szCs w:val="24"/>
        </w:rPr>
        <w:t xml:space="preserve">有依法缴纳税收和社会保障资金的良好记录：</w:t>
      </w:r>
      <w:r>
        <w:rPr>
          <w:rFonts w:hint="eastAsia" w:ascii="宋体" w:hAnsi="宋体" w:eastAsia="宋体" w:cs="宋体"/>
          <w:color w:val="auto"/>
          <w:sz w:val="24"/>
          <w:szCs w:val="24"/>
        </w:rPr>
        <w:t xml:space="preserve">提供投标人近六个月中任意一个月份（不含投标响应文件递交当月）依法缴纳税收及缴纳社会保障资金的证明材料；投标人依法享受缓缴、免缴税收、社会保障资金的提供证明材料，企业成立不满一个月的可不提供；</w:t>
      </w:r>
      <w:r/>
    </w:p>
    <w:p>
      <w:pPr>
        <w:pStyle w:val="120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（6）采购人要求的特定资质证明（详见“招标公告”－“本项目的特定资格要求”）；</w:t>
      </w:r>
      <w:r/>
    </w:p>
    <w:p>
      <w:pPr>
        <w:pStyle w:val="120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（7）具备履行合同所必需的设备和专业技术能力的书面声明</w:t>
      </w:r>
      <w:r>
        <w:rPr>
          <w:rFonts w:hint="eastAsia" w:ascii="宋体" w:hAnsi="宋体" w:eastAsia="宋体" w:cs="宋体"/>
          <w:b/>
          <w:bCs/>
          <w:color w:val="auto"/>
          <w:sz w:val="24"/>
          <w:szCs w:val="24"/>
        </w:rPr>
        <w:t xml:space="preserve">（格式自拟）</w:t>
      </w:r>
      <w:r>
        <w:rPr>
          <w:rFonts w:hint="eastAsia" w:ascii="宋体" w:hAnsi="宋体" w:eastAsia="宋体" w:cs="宋体"/>
          <w:color w:val="auto"/>
          <w:sz w:val="24"/>
          <w:szCs w:val="24"/>
        </w:rPr>
        <w:t xml:space="preserve">；</w:t>
      </w:r>
      <w:r/>
    </w:p>
    <w:p>
      <w:pPr>
        <w:pStyle w:val="120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（8）参加政府采购活动前3年内在经营活动中没有重大违法记录的书面声明</w:t>
      </w:r>
      <w:r>
        <w:rPr>
          <w:rFonts w:hint="eastAsia" w:ascii="宋体" w:hAnsi="宋体" w:eastAsia="宋体" w:cs="宋体"/>
          <w:b/>
          <w:bCs/>
          <w:color w:val="auto"/>
          <w:sz w:val="24"/>
          <w:szCs w:val="24"/>
        </w:rPr>
        <w:t xml:space="preserve">（格式见附件）</w:t>
      </w:r>
      <w:r>
        <w:rPr>
          <w:rFonts w:hint="eastAsia" w:ascii="宋体" w:hAnsi="宋体" w:eastAsia="宋体" w:cs="宋体"/>
          <w:color w:val="auto"/>
          <w:sz w:val="24"/>
          <w:szCs w:val="24"/>
        </w:rPr>
        <w:t xml:space="preserve">；</w:t>
      </w:r>
      <w:r/>
    </w:p>
    <w:p>
      <w:pPr>
        <w:pStyle w:val="120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rPr>
        <w:t xml:space="preserve">（9）中小企业声明函或残疾人福利性单位声明函或监狱企业的证明资料</w:t>
      </w:r>
      <w:r>
        <w:rPr>
          <w:rFonts w:hint="eastAsia" w:ascii="宋体" w:hAnsi="宋体" w:eastAsia="宋体" w:cs="宋体"/>
          <w:b/>
          <w:bCs/>
          <w:color w:val="auto"/>
          <w:sz w:val="24"/>
        </w:rPr>
        <w:t xml:space="preserve">（各投标人视情况自行决定是否提供，格式见附件）</w:t>
      </w:r>
      <w:r>
        <w:rPr>
          <w:rFonts w:hint="eastAsia" w:ascii="宋体" w:hAnsi="宋体" w:eastAsia="宋体" w:cs="宋体"/>
          <w:bCs/>
          <w:color w:val="auto"/>
          <w:sz w:val="24"/>
        </w:rPr>
        <w:t xml:space="preserve">；</w:t>
      </w:r>
      <w:r/>
    </w:p>
    <w:p>
      <w:pPr>
        <w:pStyle w:val="120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（10）承诺书（格式见附件）。</w:t>
      </w:r>
      <w:r/>
    </w:p>
    <w:p>
      <w:pPr>
        <w:pStyle w:val="1201"/>
        <w:numPr>
          <w:ilvl w:val="1"/>
          <w:numId w:val="0"/>
        </w:numPr>
        <w:ind w:firstLine="480"/>
        <w:spacing w:line="520" w:lineRule="exact"/>
        <w:tabs>
          <w:tab w:val="left" w:pos="127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13.3开标一览表、报价明细表（格式见附件）；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13.4商务偏离表（格式见附件）；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13.5技术偏离表（格式见附件）；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13.6评分标准中对应的其他所需证明材料（如有自行添加）；</w:t>
      </w:r>
      <w:r/>
    </w:p>
    <w:p>
      <w:pPr>
        <w:ind w:firstLine="480"/>
        <w:spacing w:line="520" w:lineRule="exact"/>
        <w:tabs>
          <w:tab w:val="left" w:pos="525" w:leader="none"/>
          <w:tab w:val="left" w:pos="94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13.7其他（投标人认为有必要提供的声明和文件，如有自拟并自行添加）。</w:t>
      </w:r>
      <w:r/>
    </w:p>
    <w:p>
      <w:pPr>
        <w:ind w:firstLine="480"/>
        <w:spacing w:line="520" w:lineRule="exact"/>
        <w:tabs>
          <w:tab w:val="left" w:pos="2850" w:leader="none"/>
          <w:tab w:val="center" w:pos="4153" w:leader="none"/>
        </w:tabs>
        <w:rPr>
          <w:rFonts w:hint="eastAsia" w:ascii="宋体" w:hAnsi="宋体" w:eastAsia="宋体" w:cs="宋体"/>
          <w:b/>
          <w:color w:val="auto"/>
          <w:sz w:val="24"/>
          <w:u w:val="single"/>
        </w:rPr>
      </w:pPr>
      <w:r>
        <w:rPr>
          <w:rFonts w:hint="eastAsia" w:ascii="宋体" w:hAnsi="宋体" w:eastAsia="宋体" w:cs="宋体"/>
          <w:color w:val="auto"/>
          <w:sz w:val="24"/>
          <w:szCs w:val="24"/>
        </w:rPr>
        <w:t xml:space="preserve">上述13.1-13.5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14.投标文件编制及递交要求</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14.1所有文件、往来函件均应使用简体中文（规格、型号辅助符号例外）。</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14.3如无特别说明，投标人报价一律以人民币为投标结算货币，结算单位为“元”。</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14.4投标文件不应有涂改、增删和潦草之处，如有必须修改时，修改处必须有投标人盖章、法定代表人或法定代表人授权代表的签字。</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14.5投标费用自理。</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14.6投标人应当同时凭CA数字证书登录“江苏政府采购‘苏采云’系统”，并在投标截止时间前上传电子投标文件。</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15.投标报价（编制）要求的说明</w:t>
      </w:r>
      <w:r/>
    </w:p>
    <w:p>
      <w:pPr>
        <w:pStyle w:val="1094"/>
        <w:ind w:firstLine="480"/>
        <w:jc w:val="both"/>
        <w:spacing w:line="520" w:lineRule="exact"/>
        <w:rPr>
          <w:rFonts w:hint="eastAsia" w:ascii="宋体" w:hAnsi="宋体" w:eastAsia="宋体" w:cs="宋体"/>
          <w:b/>
          <w:bCs/>
          <w:color w:val="auto"/>
          <w:szCs w:val="24"/>
        </w:rPr>
      </w:pPr>
      <w:r>
        <w:rPr>
          <w:rFonts w:hint="eastAsia" w:ascii="宋体" w:hAnsi="宋体" w:eastAsia="宋体" w:cs="宋体"/>
          <w:color w:val="auto"/>
          <w:szCs w:val="24"/>
        </w:rPr>
        <w:t xml:space="preserve">15.1投标人对《开标一览表》中的全部服务的报价应包括在本项目合同期内所需要全部费用，包括所需要的人工费、材料费、管理费、利润、税金、有关文件规定的政策性调价等以及各种可能发生的风险费用以及招标文件约定的其他各项费用。</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15.2投标人应对招标文件内所要采购的全部内容进行报价，只投其中部分内容者，其标书将被拒绝。</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15.3一项投标内容只允许一个报价，采购单位不接受任何有选择性的投标报价。</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15.4投标文件报价中的单价和总价全部采用人民币表示，除非合同的特殊条款另有规定。</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16.投标保证金</w:t>
      </w:r>
      <w:r/>
    </w:p>
    <w:p>
      <w:pPr>
        <w:pStyle w:val="1083"/>
        <w:ind w:firstLine="480"/>
        <w:keepLines w:val="0"/>
        <w:keepNext w:val="0"/>
        <w:spacing w:before="0" w:after="0" w:line="520" w:lineRule="exact"/>
        <w:rPr>
          <w:rFonts w:hint="eastAsia" w:ascii="宋体" w:hAnsi="宋体" w:eastAsia="宋体" w:cs="宋体"/>
          <w:b w:val="0"/>
          <w:bCs w:val="0"/>
          <w:color w:val="auto"/>
          <w:sz w:val="24"/>
          <w:szCs w:val="24"/>
        </w:rPr>
        <w:outlineLvl w:val="9"/>
      </w:pPr>
      <w:r>
        <w:rPr>
          <w:rFonts w:hint="eastAsia" w:ascii="宋体" w:hAnsi="宋体" w:eastAsia="宋体" w:cs="宋体"/>
          <w:b w:val="0"/>
          <w:bCs w:val="0"/>
          <w:color w:val="auto"/>
          <w:sz w:val="24"/>
          <w:szCs w:val="24"/>
        </w:rPr>
        <w:t xml:space="preserve">依据苏财购〔2020〕52号文件精神，本项目免收投标保证金。 </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17.投标文件的有效期</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18.投标文件的拒收</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采购人拒绝接收在其规定的投标截止时间后上传的任何投标文件。</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五、投标文件的递交</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19.投标文件的递交</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19.1电子投标文件的递交</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20.投标截止日期</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21.投标文件的修改和撤回</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21.1投标文件的撤回</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 投标文件的修改</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21.3在投标截止时间之后，投标人不得对其电子投标文件作任何修改。</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六、开标和评标</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22.开标</w:t>
      </w:r>
      <w:r/>
    </w:p>
    <w:p>
      <w:pPr>
        <w:ind w:firstLine="480"/>
        <w:spacing w:line="520" w:lineRule="exact"/>
        <w:tabs>
          <w:tab w:val="center" w:pos="447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22.2开标仪式由采购代理机构组织。“江苏政府采购‘苏采云’系统”将自动对项目进行开标，并宣读各投标人的《开标一览表》。</w:t>
      </w:r>
      <w:r/>
    </w:p>
    <w:p>
      <w:pPr>
        <w:ind w:firstLine="480"/>
        <w:spacing w:line="520" w:lineRule="exact"/>
        <w:tabs>
          <w:tab w:val="center" w:pos="447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spacing w:line="520" w:lineRule="exact"/>
        <w:tabs>
          <w:tab w:val="center" w:pos="447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22.5开标时，投标文件中开标一览表内容与投标文件中明细表内容不一致的，以开标一览表为准。</w:t>
      </w:r>
      <w:r/>
    </w:p>
    <w:p>
      <w:pPr>
        <w:ind w:firstLine="480"/>
        <w:spacing w:line="520" w:lineRule="exact"/>
        <w:tabs>
          <w:tab w:val="center" w:pos="447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22.6投标人未参加开标的，视同认可开标结果。</w:t>
      </w:r>
      <w:r/>
    </w:p>
    <w:p>
      <w:pPr>
        <w:ind w:firstLine="482"/>
        <w:spacing w:line="520" w:lineRule="exact"/>
        <w:tabs>
          <w:tab w:val="center" w:pos="4479"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23.评标委员会</w:t>
      </w:r>
      <w:r>
        <w:rPr>
          <w:rFonts w:hint="eastAsia" w:ascii="宋体" w:hAnsi="宋体" w:eastAsia="宋体" w:cs="宋体"/>
          <w:b/>
          <w:color w:val="auto"/>
          <w:sz w:val="24"/>
          <w:szCs w:val="24"/>
        </w:rPr>
        <w:tab/>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23.1评标委员会由招标采购单位依法组建，负责本项目的评标事务。</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23.2评标委员会应当独立履行下列职责：</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23.2.1审查投标文件是否符合招标文件的要求，并作出评价；</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23.2.2可以要求投标供应商对投标文件有关事项作出解释或澄清；</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23.2.3推荐中标候选供应商名单，或者受采购人委托按照事先确定的办法直接确定中标供应商；</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23.2.4向招标采购单位或者有关部门报告非法干预评标工作的行为。</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23.3评标委员会成员应当履行下列义务：</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23.3.1遵纪守法，客观、公正、廉洁地履行职责；</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23.3.2按照招标文件规定的评标办法和评标标准进行评标，对评审意见承担个人责任；</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23.3.3对评标过程和结果，以及投标人的商业秘密保密；</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23.3.4参与评标报告的起草；</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23.3.5配合相关部门的投诉处理工作；</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23.3.6配合招标采购单位答复投标供应商提出的质疑。</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24.评标内容的保密</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24.1公开开标后，直到宣布授予中标人合同为止，凡属于审查、澄清、评价和比较投标的所有资料，有关授予合同的信息都不应向投标人或与评标无关的其他人泄露。</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24.2在投标文件的审查、澄清、评价和比较以及授予合同的过程中，投标人对招标采购单位和评标委员会成员施加影响的任何行为，都将取消其投标资格。</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24.3在评标期间，招标采购单位将通过指定联络人与投标人进行联系。</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25.对投标文件进行初审</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25.1投标文件初审分为资格性检查和符合性检查。</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25.1.1资格性检查。依据法律法规和招标文件的规定，对投标文件中的资格证明、投标保证金等进行审查，以确定投标供应商是否具备投标资格。</w:t>
      </w:r>
      <w:r/>
    </w:p>
    <w:p>
      <w:pPr>
        <w:ind w:firstLine="480"/>
        <w:spacing w:line="52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25.1.2符合性检查。依据招标文件的规定，从投标文件的有效性、完整性和对招标文件的响应程度进行审查，以确定是否对招标文件的实质性要求作出响应。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25.2开标后，评标委员会将审查投标文件是否实质性响应招标文件的要求、内容是否完整、价格构成有无计算错误、文件签署是否齐全等。投标文件属下列情况之一的，评标委员会将按无效投标处理：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投标人有下列情况之一的，投标文件无效：</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（1）投标人未在规定时间内成功解密电子投标文件的；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（2）投标人未按照招标文件要求上传电子投标文件的；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（3）投标文件未按照招标文件要求加盖电子签章或签署的；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（4）投标人的法定代表人授权代表，无法定代表人授权委托书的；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（5）不具备招标文件中规定的资格要求或未按招标文件规定的要求提供资格、资信证明文件的；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（6）被“信用中国”网站（www.creditchina.gov.cn）列入失信被执行人、重大税收违法失信主体、政府采购严重违法失信行为记录名单的；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（7）投标文件未按招标文件规定的内容和要求填写的；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（8）投标文件中有招标文件未允许提供的选择性内容的；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（9）不同投标人的投标文件由同一单位或者个人编制的；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bookmarkStart w:id="42" w:name="_Hlk193034237"/>
      <w:r>
        <w:rPr>
          <w:rFonts w:hint="eastAsia" w:ascii="宋体" w:hAnsi="宋体" w:eastAsia="宋体" w:cs="宋体"/>
          <w:color w:val="auto"/>
          <w:sz w:val="24"/>
          <w:szCs w:val="24"/>
        </w:rPr>
        <w:t xml:space="preserve">不同投标人委托同一单位或者个人办理投标事宜的（包含使用同一MAC地址的计算机提交或者解密电子</w:t>
      </w:r>
      <w:r>
        <w:rPr>
          <w:rFonts w:hint="eastAsia" w:asciiTheme="minorEastAsia" w:hAnsiTheme="minorEastAsia" w:eastAsiaTheme="minorEastAsia" w:cstheme="minorEastAsia"/>
          <w:color w:val="auto"/>
          <w:sz w:val="24"/>
          <w:szCs w:val="24"/>
        </w:rPr>
        <w:t xml:space="preserve">投标</w:t>
      </w:r>
      <w:r>
        <w:rPr>
          <w:rFonts w:hint="eastAsia" w:ascii="宋体" w:hAnsi="宋体" w:eastAsia="宋体" w:cs="宋体"/>
          <w:color w:val="auto"/>
          <w:sz w:val="24"/>
          <w:szCs w:val="24"/>
        </w:rPr>
        <w:t xml:space="preserve">文件的情形）；</w:t>
      </w:r>
      <w:bookmarkEnd w:id="42"/>
      <w:r/>
      <w:bookmarkStart w:id="43" w:name="OLE_LINK8"/>
      <w:r/>
      <w:bookmarkEnd w:id="43"/>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bookmarkStart w:id="44" w:name="OLE_LINK10"/>
      <w:r>
        <w:rPr>
          <w:rFonts w:hint="eastAsia" w:ascii="宋体" w:hAnsi="宋体" w:eastAsia="宋体" w:cs="宋体"/>
          <w:color w:val="auto"/>
          <w:sz w:val="24"/>
          <w:szCs w:val="24"/>
        </w:rPr>
        <w:t xml:space="preserve">不同的投标人</w:t>
      </w:r>
      <w:r>
        <w:rPr>
          <w:rFonts w:hint="eastAsia" w:asciiTheme="minorEastAsia" w:hAnsiTheme="minorEastAsia" w:eastAsiaTheme="minorEastAsia" w:cstheme="minorEastAsia"/>
          <w:color w:val="auto"/>
          <w:sz w:val="24"/>
          <w:szCs w:val="24"/>
        </w:rPr>
        <w:t xml:space="preserve">投标</w:t>
      </w:r>
      <w:r>
        <w:rPr>
          <w:rFonts w:hint="eastAsia" w:ascii="宋体" w:hAnsi="宋体" w:eastAsia="宋体" w:cs="宋体"/>
          <w:color w:val="auto"/>
          <w:sz w:val="24"/>
          <w:szCs w:val="24"/>
        </w:rPr>
        <w:t xml:space="preserve">文件制作的MAC地址一致的；</w:t>
      </w:r>
      <w:bookmarkEnd w:id="44"/>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（12）不同投标人的投标文件载明的项目管理成员或者联系人员为同一人的；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（13）不同投标人的投标文件异常一致或者投标报价呈规律性差异的；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（14）不同投标人的单位负责人为同一人或者存在直接控股、管理关系的；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（15）项目（采购包）投标总价或单价超过本项目（采购包）预算金额或最高限价的；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（16）投标文件含有采购人不能接受的附加条件的；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根据《关于推动解决政府采购异常低价问题的通知》（财库〔2026〕2号）文件要求，评标委员会对于报价异常低价情况启动审查程序后，投标人不能提供书面说明、证明材料，或者提供的书面说明、证明材料不能证明其报价合理性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（18）除单一来源采购项目外，为采购项目提供整体设计、规范编制或者项目管理、监理、检测等服务的；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（19）投标文件内容不全或不符合招标文件中规定的其他实质性要求的；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（20）提供虚假材料的；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（21）法律法规和招标文件规定的其他无效情形。</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25.3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25.4招标采购单位对投标文件的判定，只依据投标内容本身，不依靠开标后的任何外来证明。</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25.5招标采购单位将拒绝被确定为非实质性响应的投标，投标人不能通过修正或撤销不符之处而使其投标成为实质性响应的投标。</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26.投标文件的澄清</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26.1对投标文件中含义不明确、</w:t>
      </w:r>
      <w:r>
        <w:rPr>
          <w:rFonts w:hint="eastAsia" w:ascii="宋体" w:hAnsi="宋体" w:eastAsia="宋体" w:cs="宋体"/>
          <w:color w:val="auto"/>
          <w:szCs w:val="24"/>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27.废标</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27.1 在招标采购中，出现下列情形之一的，应予废标：</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（1）符合专业条件的投标人或者对招标文件作出实质性响应的投标人不足三家；</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（2）出现影响采购公正的违法、违规行为；</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（3）投标人的报价均超过采购预算，采购人不能支付的；</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（4）因重大变故，采购任务取消；</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（5）因“江苏政府采购‘苏采云’系统”系统重大故障原因无法继续开评标的。</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28.投标文件的评价和比较</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28.1评标委员会按招标文件规定的评标方法和标准，对符合性检查合格的投标文件进行商务和技术评估，综合比较与评价。</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28.2最低的投标报价或最高的折扣比例是中标的重要条件，但不是唯一条件。</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28.3</w:t>
      </w:r>
      <w:r>
        <w:rPr>
          <w:rFonts w:hint="eastAsia" w:ascii="宋体" w:hAnsi="宋体" w:eastAsia="宋体" w:cs="宋体"/>
          <w:b/>
          <w:bCs/>
          <w:color w:val="auto"/>
          <w:szCs w:val="24"/>
        </w:rPr>
        <w:t xml:space="preserve">相同品牌产品的投标</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非单一产品采购项目，采购人应当根据采购项目技术构成、产品价格比重等合理确定核心产品，并在招标文件中载明。多家投标人提供的</w:t>
      </w:r>
      <w:r>
        <w:rPr>
          <w:rFonts w:hint="eastAsia" w:ascii="宋体" w:hAnsi="宋体" w:eastAsia="宋体" w:cs="宋体"/>
          <w:b/>
          <w:bCs/>
          <w:color w:val="auto"/>
          <w:szCs w:val="24"/>
        </w:rPr>
        <w:t xml:space="preserve">核心产品</w:t>
      </w:r>
      <w:r>
        <w:rPr>
          <w:rFonts w:hint="eastAsia" w:ascii="宋体" w:hAnsi="宋体" w:eastAsia="宋体" w:cs="宋体"/>
          <w:color w:val="auto"/>
          <w:szCs w:val="24"/>
        </w:rPr>
        <w:t xml:space="preserve">品牌相同的，按前两款规定处理。</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29.质疑处理</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29.1 提出质疑的投标人应当是参与所质疑项目采购活动的供应商。潜在供应商依法获取其可质疑的采购文件的，可以对采购文件提出质疑。</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29.2.1对可以质疑的采购文件提出质疑的，为收到采购文件之日或者采购文件公告期限届满之日；</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29.2.2对采购过程提出质疑的，为各采购程序环节结束之日；</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29.2.3对中标结果提出质疑的，为中标结果公告期限届满之日。</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29.4采购人及采购代理机构只接受以纸质原件形式送达的质疑。质疑接收人及联系方式见招标文件第一章。</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29.5 以下情形的质疑不予受理</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29.5.1内容不符合《政府采购质疑和投诉办法》第十二条规定的质疑。</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29.5.2超出政府采购法定期限的质疑。</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29.5.3以传真、电子邮件等方式递交的非原件形式的质疑。</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29.5.4未参加投标活动的供应商或在投标活动中自身权益未受到损害的供应商所提出的质疑。</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29.5.5供应商组成联合体参加投标，联合体中任何一方或多方未按要求签字、盖章、加盖公章的质疑。</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七、授予合同</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30.中标人的确认</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30.1评标委员会按招标文件规定的评标方法和标准进行详细评审后，按招标采购单位的委托向招标采购单位推荐中标候选单位或根据采购人授权直接确定中标供应商。</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30.2中标无效的确认：</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（1）提供虚假材料谋取中标的；</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（2）采取不正当手段诋毁、排挤其他投标人的；</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（3）与招标采购单位、其他投标人恶意串通的；</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（4）向招标采购单位行贿或者提供其他不正当利益的；</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（5）在招标过程中与招标采购单位进行协商谈判、不按照招标文件和中标供应商的投标文件订立合同，或者与采购人另行订立背离合同实质性内容的协议的；</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（6）拒绝有关部门监督检查或者提供虚假情况的。</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30.3经评标委员</w:t>
      </w:r>
      <w:r>
        <w:rPr>
          <w:rFonts w:hint="eastAsia" w:ascii="宋体" w:hAnsi="宋体" w:eastAsia="宋体" w:cs="宋体"/>
          <w:color w:val="auto"/>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31.合同授予标准</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31.1招标采购单位将把合同授予其投标文件在实质上响应招标文件要求且综合评分得分最高的投标人。</w:t>
      </w:r>
      <w:r/>
    </w:p>
    <w:p>
      <w:pPr>
        <w:ind w:firstLine="482"/>
        <w:spacing w:line="52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32.中标通知书</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32.2中标通知书将成为合同的组成部分。</w:t>
      </w:r>
      <w:r/>
    </w:p>
    <w:p>
      <w:pPr>
        <w:pStyle w:val="1094"/>
        <w:ind w:firstLine="480"/>
        <w:jc w:val="both"/>
        <w:spacing w:line="520" w:lineRule="exact"/>
        <w:rPr>
          <w:rFonts w:hint="eastAsia" w:ascii="宋体" w:hAnsi="宋体" w:eastAsia="宋体" w:cs="宋体"/>
          <w:color w:val="auto"/>
          <w:szCs w:val="24"/>
        </w:rPr>
      </w:pPr>
      <w:r>
        <w:rPr>
          <w:rFonts w:hint="eastAsia" w:ascii="宋体" w:hAnsi="宋体" w:eastAsia="宋体" w:cs="宋体"/>
          <w:color w:val="auto"/>
          <w:szCs w:val="24"/>
        </w:rPr>
        <w:t xml:space="preserve">32.3招标采购单位对未中标供应商不承担解释未中标原因的义务。</w:t>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33.履约保证金</w:t>
      </w:r>
      <w:r/>
    </w:p>
    <w:p>
      <w:pPr>
        <w:pStyle w:val="109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33.1中标人应按规定提交履约保证金。</w:t>
      </w:r>
      <w:r/>
    </w:p>
    <w:p>
      <w:pPr>
        <w:pStyle w:val="109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33.2中标人必须在合同签订前按规定向采购人缴纳履约保证金。中标人未按招标文件要求提交履约保证金的，采购人可取消其中标资格。</w:t>
      </w:r>
      <w:r/>
    </w:p>
    <w:p>
      <w:pPr>
        <w:pStyle w:val="109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33.3履约保证金（无息）将在合同期结束且经双方验收合格后无息退还给中标单位。</w:t>
      </w:r>
      <w:r/>
    </w:p>
    <w:p>
      <w:pPr>
        <w:ind w:firstLine="480"/>
        <w:spacing w:line="5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33.4履约保证金用以约束供应商在合同履行中的行为，弥补合同执行中由于自身行为可能给采购人带来的各种损失。</w:t>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34.合同的签订</w:t>
      </w:r>
      <w:r/>
    </w:p>
    <w:p>
      <w:pPr>
        <w:pStyle w:val="109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34.1中标人应按中标通知书中规定的时间和地点，由法定代表人或委托代理人与采购人代表签订合同。</w:t>
      </w:r>
      <w:r/>
    </w:p>
    <w:p>
      <w:pPr>
        <w:pStyle w:val="109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34.2签订合同及合同条款应以招标文件和中标人的投标文件及其澄清文件为依据。</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35.政府采购政策</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35.1价格扣除</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（1）小微型企业价格扣除</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①本项目对小型和微型企业给予10%的价格扣除，用扣除后的价格参与评审。</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②供应商需按照采购文件的要求提供相应的《企业声明函》。</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③在货物采购项目中，供应商提供的货物既有中小企业制造货物，也有大型企业制造货物的，不享受本办法规定的中小企业扶持政策。</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（2）残疾人福利单位价格扣除</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①本项目对残疾人福利性单位视同小型、微型企业，给予10%的价格扣除，用扣除后的价格参与评审。</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②残疾人福利单位需按照采购文件的要求提供《残疾人福利性单位声明函》。</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③残疾人福利单位标准请参照《关于促进残疾人就业政府采购政策的通知》（财库〔2017〕141号）。</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（3）监狱和戒毒企业价格扣除</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①本项目对监狱和戒毒企业（简称监狱企业）视同小型、微型企业，给予10%的价格扣除，用扣除后的价格参与评审。</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③监狱企业标准请参照《关于政府采购支持监狱企业发展有关问题的通知》（财库〔2014〕68号）。</w:t>
      </w:r>
      <w:r/>
    </w:p>
    <w:p>
      <w:pPr>
        <w:ind w:firstLine="480"/>
        <w:spacing w:line="500" w:lineRule="exact"/>
        <w:tabs>
          <w:tab w:val="left" w:pos="2850" w:leader="none"/>
          <w:tab w:val="center" w:pos="4153" w:leader="none"/>
        </w:tabs>
        <w:rPr>
          <w:rFonts w:hint="eastAsia" w:ascii="宋体" w:hAnsi="宋体" w:eastAsia="宋体" w:cs="宋体"/>
          <w:color w:val="auto"/>
          <w:sz w:val="24"/>
          <w:lang w:bidi="ar"/>
        </w:rPr>
      </w:pPr>
      <w:r>
        <w:rPr>
          <w:rFonts w:hint="eastAsia" w:ascii="宋体" w:hAnsi="宋体" w:eastAsia="宋体" w:cs="宋体"/>
          <w:color w:val="auto"/>
          <w:sz w:val="24"/>
          <w:lang w:bidi="ar"/>
        </w:rPr>
        <w:t xml:space="preserve">（4）残疾人福利单位、监狱企业属于小型、微型企业的，不重复享受政策。</w:t>
      </w:r>
      <w:r/>
    </w:p>
    <w:p>
      <w:pPr>
        <w:pStyle w:val="1094"/>
        <w:ind w:firstLine="482"/>
        <w:jc w:val="both"/>
        <w:spacing w:line="500" w:lineRule="exact"/>
        <w:rPr>
          <w:rFonts w:hint="eastAsia" w:ascii="宋体" w:hAnsi="宋体" w:eastAsia="宋体" w:cs="宋体"/>
          <w:b/>
          <w:bCs/>
          <w:color w:val="auto"/>
        </w:rPr>
      </w:pPr>
      <w:r>
        <w:rPr>
          <w:rFonts w:hint="eastAsia" w:ascii="宋体" w:hAnsi="宋体" w:eastAsia="宋体" w:cs="宋体"/>
          <w:b/>
          <w:bCs/>
          <w:color w:val="auto"/>
          <w:szCs w:val="24"/>
        </w:rPr>
        <w:t xml:space="preserve">35.2本项目所属行业为</w:t>
      </w:r>
      <w:r>
        <w:rPr>
          <w:rFonts w:hint="eastAsia" w:ascii="宋体" w:hAnsi="宋体" w:eastAsia="宋体" w:cs="宋体"/>
          <w:b/>
          <w:bCs/>
          <w:color w:val="auto"/>
          <w:szCs w:val="24"/>
          <w:u w:val="single"/>
        </w:rPr>
        <w:t xml:space="preserve">  工业 </w:t>
      </w:r>
      <w:r>
        <w:rPr>
          <w:rFonts w:hint="eastAsia" w:ascii="宋体" w:hAnsi="宋体" w:eastAsia="宋体" w:cs="宋体"/>
          <w:b/>
          <w:bCs/>
          <w:color w:val="auto"/>
          <w:szCs w:val="24"/>
        </w:rPr>
        <w:t xml:space="preserve">。</w:t>
      </w:r>
      <w:r/>
    </w:p>
    <w:p>
      <w:pPr>
        <w:pStyle w:val="109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35.3若供应商提供的《中小企业声明函》《残疾人福利性单位声明函》及监狱企业认定证明等材料为虚假材料，按《中华人民共和国政府采购法》相关规定处理并报请政府采购监管部门给予行政处罚。</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35.4根据泰财购〔2023〕33号文《市财政局 国家金融监督管理总局 泰州监管分局市地方金融监督管理局 关于转发〈江苏省财政厅 国家金融监督管理总局江苏监管局 江苏省地方金融监督管理局关于在全省政府采购领域推行电子履约保函（保险）的通知〉》，履约保证金（如有）接收电子履约保函（保险）。</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35.5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480"/>
        <w:spacing w:line="520" w:lineRule="exact"/>
        <w:rPr>
          <w:color w:val="auto"/>
        </w:rPr>
      </w:pPr>
      <w:r>
        <w:rPr>
          <w:rFonts w:hint="eastAsia" w:ascii="宋体" w:hAnsi="宋体" w:eastAsia="宋体" w:cs="宋体"/>
          <w:color w:val="auto"/>
          <w:sz w:val="24"/>
          <w:szCs w:val="24"/>
        </w:rPr>
        <w:t xml:space="preserve">35.6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80"/>
        <w:spacing w:line="520" w:lineRule="exact"/>
        <w:rPr>
          <w:color w:val="auto"/>
        </w:rPr>
      </w:pPr>
      <w:r>
        <w:rPr>
          <w:rFonts w:hint="eastAsia" w:ascii="宋体" w:hAnsi="宋体" w:eastAsia="宋体" w:cs="宋体"/>
          <w:color w:val="auto"/>
          <w:sz w:val="24"/>
          <w:szCs w:val="24"/>
        </w:rPr>
        <w:t xml:space="preserve">35.7根据《商品包装政府采购需求标准（试行）》和《快递包装政府采购需求标准（试行）》的通知（财办库〔2020〕123号）要求，商品使用的塑料、纸质、木材等包装需达到环保要求。</w:t>
      </w:r>
      <w:r/>
    </w:p>
    <w:p>
      <w:pPr>
        <w:ind w:firstLine="482"/>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36.采购本国产品的支持政策</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36.3本项目政府采购活动中既有本国产品又有非本国产品参与竞争的，依法对本国产品给予价格评审优惠，对本国产品的报价给予20%的价格扣除，用扣除后的价格参与评审。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36.4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36.5供应商需按照招标文件的要求提供《关于符合本国产品标准的声明函》（以下简称《声明函》），如不提供将不享受本国产品价格评审优惠。</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36.6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36.7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37.特别提醒</w:t>
      </w:r>
      <w:r/>
    </w:p>
    <w:p>
      <w:pPr>
        <w:pStyle w:val="109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37.1投标单位如有提供不实评审材料，弄虚作假者，一律作废标处理，该不良行为将予以公示。</w:t>
      </w:r>
      <w:r/>
    </w:p>
    <w:p>
      <w:pPr>
        <w:pStyle w:val="109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37.2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r/>
      <w:bookmarkStart w:id="45" w:name="_Toc409438818"/>
      <w:r/>
      <w:r/>
    </w:p>
    <w:p>
      <w:pPr>
        <w:pStyle w:val="109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37.3投标文件中需签字或盖章处均可以用电子签名或电子章代替。</w:t>
      </w:r>
      <w:r/>
    </w:p>
    <w:p>
      <w:pPr>
        <w:pStyle w:val="1094"/>
        <w:ind w:firstLine="482"/>
        <w:jc w:val="both"/>
        <w:spacing w:line="500" w:lineRule="exact"/>
        <w:rPr>
          <w:rFonts w:hint="eastAsia" w:ascii="宋体" w:hAnsi="宋体" w:eastAsia="宋体" w:cs="宋体"/>
          <w:b/>
          <w:bCs/>
          <w:color w:val="auto"/>
          <w:szCs w:val="24"/>
        </w:rPr>
      </w:pPr>
      <w:r>
        <w:rPr>
          <w:rFonts w:hint="eastAsia" w:ascii="宋体" w:hAnsi="宋体" w:eastAsia="宋体" w:cs="宋体"/>
          <w:b/>
          <w:bCs/>
          <w:color w:val="auto"/>
          <w:szCs w:val="24"/>
        </w:rPr>
        <w:t xml:space="preserve">38.招标代理服务费</w:t>
      </w:r>
      <w:r/>
    </w:p>
    <w:p>
      <w:pPr>
        <w:pStyle w:val="1094"/>
        <w:ind w:firstLine="480"/>
        <w:jc w:val="both"/>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本次采购，招标代理服务费由中标人支付。招标代理费计算方式如下：按下表计算后*42.65%向代理机构缴纳招标代理服务费。单个项目招标代理服务费上限壹万捌仟元，下限叁仟元，按约定计费方式计取后，超出上限按上限执行，低于下限按下限执行。</w:t>
      </w:r>
      <w:r/>
    </w:p>
    <w:tbl>
      <w:tblPr>
        <w:tblStyle w:val="856"/>
        <w:tblW w:w="8715" w:type="dxa"/>
        <w:jc w:val="center"/>
        <w:tblLayout w:type="fixed"/>
        <w:tblCellMar>
          <w:left w:w="108" w:type="dxa"/>
          <w:top w:w="0" w:type="dxa"/>
          <w:right w:w="108" w:type="dxa"/>
          <w:bottom w:w="0" w:type="dxa"/>
        </w:tblCellMar>
        <w:tblLook w:val="04A0" w:firstRow="1" w:lastRow="0" w:firstColumn="1" w:lastColumn="0" w:noHBand="0" w:noVBand="1"/>
      </w:tblPr>
      <w:tblGrid>
        <w:gridCol w:w="5631"/>
        <w:gridCol w:w="3084"/>
      </w:tblGrid>
      <w:tr>
        <w:trPr>
          <w:jc w:val="center"/>
          <w:trHeight w:val="507"/>
          <w:tblHeader/>
        </w:trPr>
        <w:tc>
          <w:tcPr>
            <w:tcBorders>
              <w:top w:val="single" w:color="000000" w:sz="4" w:space="0"/>
              <w:left w:val="single" w:color="000000" w:sz="4" w:space="0"/>
              <w:bottom w:val="single" w:color="000000" w:sz="4" w:space="0"/>
              <w:right w:val="single" w:color="000000" w:sz="4" w:space="0"/>
            </w:tcBorders>
            <w:tcW w:w="5631" w:type="dxa"/>
            <w:vAlign w:val="center"/>
            <w:textDirection w:val="lrTb"/>
            <w:noWrap w:val="false"/>
          </w:tcPr>
          <w:p>
            <w:pPr>
              <w:jc w:val="center"/>
              <w:widowControl/>
              <w:rPr>
                <w:rFonts w:hint="eastAsia" w:ascii="宋体" w:hAnsi="宋体" w:eastAsia="宋体" w:cs="宋体"/>
                <w:color w:val="auto"/>
                <w:sz w:val="24"/>
                <w:szCs w:val="24"/>
              </w:rPr>
            </w:pPr>
            <w:r>
              <w:rPr>
                <w:rFonts w:ascii="宋体" w:hAnsi="宋体" w:eastAsia="宋体" w:cs="宋体"/>
                <w:color w:val="auto"/>
                <w:sz w:val="24"/>
                <w:szCs w:val="24"/>
              </w:rPr>
              <w:t xml:space="preserve">中标或者成交金额</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widowControl/>
              <w:rPr>
                <w:rFonts w:hint="eastAsia" w:ascii="宋体" w:hAnsi="宋体" w:eastAsia="宋体" w:cs="宋体"/>
                <w:color w:val="auto"/>
                <w:sz w:val="24"/>
                <w:szCs w:val="24"/>
              </w:rPr>
            </w:pPr>
            <w:r>
              <w:rPr>
                <w:rFonts w:ascii="宋体" w:hAnsi="宋体" w:eastAsia="宋体" w:cs="宋体"/>
                <w:color w:val="auto"/>
                <w:sz w:val="24"/>
                <w:szCs w:val="24"/>
              </w:rPr>
              <w:t xml:space="preserve">费率</w:t>
            </w:r>
            <w:r/>
          </w:p>
        </w:tc>
      </w:tr>
      <w:tr>
        <w:trPr>
          <w:jc w:val="center"/>
          <w:trHeight w:val="473"/>
        </w:trPr>
        <w:tc>
          <w:tcPr>
            <w:tcBorders>
              <w:top w:val="single" w:color="000000" w:sz="4" w:space="0"/>
              <w:left w:val="single" w:color="000000" w:sz="4" w:space="0"/>
              <w:bottom w:val="single" w:color="000000" w:sz="4" w:space="0"/>
              <w:right w:val="single" w:color="000000" w:sz="4" w:space="0"/>
            </w:tcBorders>
            <w:tcW w:w="5631" w:type="dxa"/>
            <w:vAlign w:val="center"/>
            <w:textDirection w:val="lrTb"/>
            <w:noWrap w:val="false"/>
          </w:tcPr>
          <w:p>
            <w:pPr>
              <w:jc w:val="center"/>
              <w:widowControl/>
              <w:rPr>
                <w:rFonts w:hint="eastAsia" w:ascii="宋体" w:hAnsi="宋体" w:eastAsia="宋体" w:cs="宋体"/>
                <w:color w:val="auto"/>
                <w:sz w:val="24"/>
                <w:szCs w:val="24"/>
              </w:rPr>
            </w:pPr>
            <w:r>
              <w:rPr>
                <w:rFonts w:ascii="宋体" w:hAnsi="宋体" w:eastAsia="宋体" w:cs="宋体"/>
                <w:color w:val="auto"/>
                <w:sz w:val="24"/>
                <w:szCs w:val="24"/>
              </w:rPr>
              <w:t xml:space="preserve">最低收费金额</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100万元</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不含</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以下项目</w:t>
            </w: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widowControl/>
              <w:rPr>
                <w:rFonts w:hint="eastAsia" w:ascii="宋体" w:hAnsi="宋体" w:eastAsia="宋体" w:cs="宋体"/>
                <w:color w:val="auto"/>
                <w:sz w:val="24"/>
                <w:szCs w:val="24"/>
              </w:rPr>
            </w:pPr>
            <w:r>
              <w:rPr>
                <w:rFonts w:ascii="宋体" w:hAnsi="宋体" w:eastAsia="宋体" w:cs="宋体"/>
                <w:color w:val="auto"/>
                <w:sz w:val="24"/>
                <w:szCs w:val="24"/>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5631" w:type="dxa"/>
            <w:vAlign w:val="center"/>
            <w:textDirection w:val="lrTb"/>
            <w:noWrap w:val="false"/>
          </w:tcPr>
          <w:p>
            <w:pPr>
              <w:jc w:val="center"/>
              <w:widowControl/>
              <w:rPr>
                <w:rFonts w:hint="eastAsia" w:ascii="宋体" w:hAnsi="宋体" w:eastAsia="宋体" w:cs="宋体"/>
                <w:color w:val="auto"/>
                <w:sz w:val="24"/>
                <w:szCs w:val="24"/>
              </w:rPr>
            </w:pPr>
            <w:r>
              <w:rPr>
                <w:rFonts w:ascii="宋体" w:hAnsi="宋体" w:eastAsia="宋体" w:cs="宋体"/>
                <w:color w:val="auto"/>
                <w:sz w:val="24"/>
                <w:szCs w:val="24"/>
              </w:rPr>
              <w:t xml:space="preserve">100</w:t>
            </w:r>
            <w:r>
              <w:rPr>
                <w:rFonts w:hint="eastAsia" w:ascii="宋体" w:hAnsi="宋体" w:eastAsia="宋体" w:cs="宋体"/>
                <w:color w:val="auto"/>
                <w:sz w:val="24"/>
                <w:szCs w:val="24"/>
              </w:rPr>
              <w:t xml:space="preserve">万</w:t>
            </w:r>
            <w:r>
              <w:rPr>
                <w:rFonts w:ascii="宋体" w:hAnsi="宋体" w:eastAsia="宋体" w:cs="宋体"/>
                <w:color w:val="auto"/>
                <w:sz w:val="24"/>
                <w:szCs w:val="24"/>
              </w:rPr>
              <w:t xml:space="preserve">-400万元</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含400万元</w:t>
            </w: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5631" w:type="dxa"/>
            <w:vAlign w:val="center"/>
            <w:textDirection w:val="lrTb"/>
            <w:noWrap w:val="false"/>
          </w:tcPr>
          <w:p>
            <w:pPr>
              <w:jc w:val="center"/>
              <w:widowControl/>
              <w:rPr>
                <w:rFonts w:hint="eastAsia" w:ascii="宋体" w:hAnsi="宋体" w:eastAsia="宋体" w:cs="宋体"/>
                <w:color w:val="auto"/>
                <w:sz w:val="24"/>
                <w:szCs w:val="24"/>
              </w:rPr>
            </w:pPr>
            <w:r>
              <w:rPr>
                <w:rFonts w:ascii="宋体" w:hAnsi="宋体" w:eastAsia="宋体" w:cs="宋体"/>
                <w:color w:val="auto"/>
                <w:sz w:val="24"/>
                <w:szCs w:val="24"/>
              </w:rPr>
              <w:t xml:space="preserve">400</w:t>
            </w:r>
            <w:r>
              <w:rPr>
                <w:rFonts w:hint="eastAsia" w:ascii="宋体" w:hAnsi="宋体" w:eastAsia="宋体" w:cs="宋体"/>
                <w:color w:val="auto"/>
                <w:sz w:val="24"/>
                <w:szCs w:val="24"/>
              </w:rPr>
              <w:t xml:space="preserve">万</w:t>
            </w:r>
            <w:r>
              <w:rPr>
                <w:rFonts w:ascii="宋体" w:hAnsi="宋体" w:eastAsia="宋体" w:cs="宋体"/>
                <w:color w:val="auto"/>
                <w:sz w:val="24"/>
                <w:szCs w:val="24"/>
              </w:rPr>
              <w:t xml:space="preserve">-1000万元</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含1000万元</w:t>
            </w: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5631" w:type="dxa"/>
            <w:vAlign w:val="center"/>
            <w:textDirection w:val="lrTb"/>
            <w:noWrap w:val="false"/>
          </w:tcPr>
          <w:p>
            <w:pPr>
              <w:jc w:val="center"/>
              <w:widowControl/>
              <w:rPr>
                <w:rFonts w:hint="eastAsia" w:ascii="宋体" w:hAnsi="宋体" w:eastAsia="宋体" w:cs="宋体"/>
                <w:color w:val="auto"/>
                <w:sz w:val="24"/>
                <w:szCs w:val="24"/>
              </w:rPr>
            </w:pPr>
            <w:r>
              <w:rPr>
                <w:rFonts w:ascii="宋体" w:hAnsi="宋体" w:eastAsia="宋体" w:cs="宋体"/>
                <w:color w:val="auto"/>
                <w:sz w:val="24"/>
                <w:szCs w:val="24"/>
              </w:rPr>
              <w:t xml:space="preserve">1000</w:t>
            </w:r>
            <w:r>
              <w:rPr>
                <w:rFonts w:hint="eastAsia" w:ascii="宋体" w:hAnsi="宋体" w:eastAsia="宋体" w:cs="宋体"/>
                <w:color w:val="auto"/>
                <w:sz w:val="24"/>
                <w:szCs w:val="24"/>
              </w:rPr>
              <w:t xml:space="preserve">万</w:t>
            </w:r>
            <w:r>
              <w:rPr>
                <w:rFonts w:ascii="宋体" w:hAnsi="宋体" w:eastAsia="宋体" w:cs="宋体"/>
                <w:color w:val="auto"/>
                <w:sz w:val="24"/>
                <w:szCs w:val="24"/>
              </w:rPr>
              <w:t xml:space="preserve">-5000万元</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含5000万元</w:t>
            </w: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0.8%</w:t>
            </w:r>
            <w:r/>
          </w:p>
        </w:tc>
      </w:tr>
    </w:tbl>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以上由中标单位支付的费用</w:t>
      </w:r>
      <w:r>
        <w:rPr>
          <w:rFonts w:hint="eastAsia" w:ascii="宋体" w:hAnsi="宋体" w:eastAsia="宋体" w:cs="宋体"/>
          <w:color w:val="auto"/>
          <w:sz w:val="24"/>
          <w:szCs w:val="24"/>
          <w:lang w:val="zh-CN"/>
        </w:rPr>
        <w:t xml:space="preserve">在</w:t>
      </w:r>
      <w:r>
        <w:rPr>
          <w:rFonts w:hint="eastAsia" w:ascii="宋体" w:hAnsi="宋体" w:eastAsia="宋体" w:cs="宋体"/>
          <w:color w:val="auto"/>
          <w:sz w:val="24"/>
          <w:szCs w:val="24"/>
        </w:rPr>
        <w:t xml:space="preserve">中标后领取</w:t>
      </w:r>
      <w:r>
        <w:rPr>
          <w:rFonts w:hint="eastAsia" w:ascii="宋体" w:hAnsi="宋体" w:eastAsia="宋体" w:cs="宋体"/>
          <w:color w:val="auto"/>
          <w:sz w:val="24"/>
          <w:szCs w:val="24"/>
          <w:lang w:val="zh-CN"/>
        </w:rPr>
        <w:t xml:space="preserve">中标通知书</w:t>
      </w:r>
      <w:r>
        <w:rPr>
          <w:rFonts w:hint="eastAsia" w:ascii="宋体" w:hAnsi="宋体" w:eastAsia="宋体" w:cs="宋体"/>
          <w:color w:val="auto"/>
          <w:sz w:val="24"/>
          <w:szCs w:val="24"/>
        </w:rPr>
        <w:t xml:space="preserve">前</w:t>
      </w:r>
      <w:r>
        <w:rPr>
          <w:rFonts w:hint="eastAsia" w:ascii="宋体" w:hAnsi="宋体" w:eastAsia="宋体" w:cs="宋体"/>
          <w:color w:val="auto"/>
          <w:sz w:val="24"/>
          <w:szCs w:val="24"/>
          <w:lang w:val="zh-CN"/>
        </w:rPr>
        <w:t xml:space="preserve">向招标代理机构付清，</w:t>
      </w:r>
      <w:r>
        <w:rPr>
          <w:rFonts w:hint="eastAsia" w:ascii="宋体" w:hAnsi="宋体" w:eastAsia="宋体" w:cs="宋体"/>
          <w:color w:val="auto"/>
          <w:sz w:val="24"/>
          <w:szCs w:val="24"/>
        </w:rPr>
        <w:t xml:space="preserve">费用考虑在本次投标报价中</w:t>
      </w:r>
      <w:r>
        <w:rPr>
          <w:rFonts w:hint="eastAsia" w:ascii="宋体" w:hAnsi="宋体" w:eastAsia="宋体" w:cs="宋体"/>
          <w:color w:val="auto"/>
          <w:sz w:val="24"/>
          <w:szCs w:val="24"/>
          <w:lang w:val="zh-CN"/>
        </w:rPr>
        <w:t xml:space="preserve">。</w:t>
      </w:r>
      <w:r/>
    </w:p>
    <w:p>
      <w:pPr>
        <w:rPr>
          <w:rFonts w:hint="eastAsia" w:ascii="宋体" w:hAnsi="宋体" w:eastAsia="宋体" w:cs="宋体"/>
          <w:color w:val="auto"/>
          <w:szCs w:val="24"/>
        </w:rPr>
      </w:pPr>
      <w:r>
        <w:rPr>
          <w:rFonts w:hint="eastAsia" w:ascii="宋体" w:hAnsi="宋体" w:eastAsia="宋体" w:cs="宋体"/>
          <w:color w:val="auto"/>
          <w:szCs w:val="24"/>
        </w:rPr>
      </w:r>
      <w:r/>
    </w:p>
    <w:p>
      <w:pPr>
        <w:rPr>
          <w:rFonts w:hint="eastAsia" w:ascii="宋体" w:hAnsi="宋体" w:eastAsia="宋体" w:cs="宋体"/>
          <w:color w:val="auto"/>
          <w:szCs w:val="24"/>
        </w:rPr>
      </w:pPr>
      <w:r>
        <w:rPr>
          <w:rFonts w:hint="eastAsia" w:ascii="宋体" w:hAnsi="宋体" w:eastAsia="宋体" w:cs="宋体"/>
          <w:color w:val="auto"/>
          <w:szCs w:val="24"/>
        </w:rPr>
      </w:r>
      <w:r/>
    </w:p>
    <w:p>
      <w:pPr>
        <w:rPr>
          <w:rFonts w:hint="eastAsia" w:ascii="宋体" w:hAnsi="宋体" w:eastAsia="宋体" w:cs="宋体"/>
          <w:color w:val="auto"/>
          <w:szCs w:val="24"/>
        </w:rPr>
      </w:pPr>
      <w:r>
        <w:rPr>
          <w:rFonts w:hint="eastAsia" w:ascii="宋体" w:hAnsi="宋体" w:eastAsia="宋体" w:cs="宋体"/>
          <w:color w:val="auto"/>
          <w:szCs w:val="24"/>
        </w:rPr>
      </w:r>
      <w:bookmarkEnd w:id="45"/>
      <w:r/>
      <w:r/>
    </w:p>
    <w:p>
      <w:pPr>
        <w:spacing w:line="360" w:lineRule="auto"/>
        <w:widowControl/>
        <w:rPr>
          <w:rFonts w:hint="eastAsia" w:ascii="宋体" w:hAnsi="宋体" w:eastAsia="宋体" w:cs="宋体"/>
          <w:b/>
          <w:color w:val="auto"/>
          <w:spacing w:val="15"/>
          <w:sz w:val="32"/>
          <w:szCs w:val="32"/>
        </w:rPr>
        <w:sectPr>
          <w:headerReference w:type="default" r:id="rId9"/>
          <w:footerReference w:type="default" r:id="rId10"/>
          <w:footerReference w:type="first" r:id="rId11"/>
          <w:footnotePr/>
          <w:endnotePr/>
          <w:type w:val="nextPage"/>
          <w:pgSz w:w="11906" w:h="16838" w:orient="portrait"/>
          <w:pgMar w:top="1440" w:right="1417" w:bottom="1134" w:left="1417" w:header="680" w:footer="737" w:gutter="0"/>
          <w:cols w:num="1" w:sep="0" w:space="0" w:equalWidth="1"/>
          <w:docGrid w:linePitch="360"/>
          <w:titlePg/>
        </w:sectPr>
      </w:pPr>
      <w:r/>
      <w:bookmarkStart w:id="46" w:name="_Toc388026586"/>
      <w:r/>
      <w:r/>
    </w:p>
    <w:p>
      <w:pPr>
        <w:pStyle w:val="846"/>
        <w:rPr>
          <w:rFonts w:hint="eastAsia"/>
          <w:color w:val="auto"/>
        </w:rPr>
      </w:pPr>
      <w:r/>
      <w:bookmarkStart w:id="47" w:name="_Toc15725"/>
      <w:r>
        <w:rPr>
          <w:rFonts w:hint="eastAsia"/>
          <w:color w:val="auto"/>
        </w:rPr>
        <w:t xml:space="preserve">第三章 采购需求</w:t>
      </w:r>
      <w:bookmarkEnd w:id="47"/>
      <w:r/>
      <w:r/>
    </w:p>
    <w:p>
      <w:pPr>
        <w:spacing w:line="520" w:lineRule="exact"/>
        <w:widowControl/>
        <w:rPr>
          <w:rFonts w:hint="eastAsia" w:ascii="宋体" w:hAnsi="宋体" w:eastAsia="宋体" w:cs="宋体"/>
          <w:b/>
          <w:bCs/>
          <w:color w:val="auto"/>
          <w:sz w:val="24"/>
          <w:szCs w:val="24"/>
        </w:rPr>
      </w:pPr>
      <w:r/>
      <w:bookmarkStart w:id="48" w:name="OLE_LINK29"/>
      <w:r>
        <w:rPr>
          <w:rFonts w:hint="eastAsia" w:ascii="宋体" w:hAnsi="宋体" w:eastAsia="宋体" w:cs="宋体"/>
          <w:b/>
          <w:bCs/>
          <w:color w:val="auto"/>
          <w:sz w:val="24"/>
          <w:szCs w:val="24"/>
        </w:rPr>
        <w:t xml:space="preserve">一、采购内容</w:t>
      </w:r>
      <w:r/>
    </w:p>
    <w:p>
      <w:pPr>
        <w:pStyle w:val="1082"/>
        <w:ind w:firstLine="480"/>
        <w:spacing w:before="0" w:after="0" w:line="500" w:lineRule="exact"/>
        <w:rPr>
          <w:rFonts w:hint="eastAsia" w:ascii="宋体" w:hAnsi="宋体" w:cs="宋体"/>
          <w:b w:val="0"/>
          <w:color w:val="auto"/>
          <w:sz w:val="24"/>
          <w:szCs w:val="24"/>
        </w:rPr>
        <w:outlineLvl w:val="9"/>
      </w:pPr>
      <w:r>
        <w:rPr>
          <w:rFonts w:hint="eastAsia" w:ascii="宋体" w:hAnsi="宋体" w:cs="宋体"/>
          <w:b w:val="0"/>
          <w:color w:val="auto"/>
          <w:sz w:val="24"/>
          <w:szCs w:val="24"/>
        </w:rPr>
        <w:t xml:space="preserve">项目名称：畜牧园2026年苏牧黑羽番鸭（育种）饲料采购项目</w:t>
      </w:r>
      <w:r/>
    </w:p>
    <w:p>
      <w:pPr>
        <w:pStyle w:val="1082"/>
        <w:ind w:firstLine="480"/>
        <w:spacing w:before="0" w:after="0" w:line="500" w:lineRule="exact"/>
        <w:rPr>
          <w:rFonts w:hint="eastAsia" w:ascii="宋体" w:hAnsi="宋体" w:cs="宋体"/>
          <w:b w:val="0"/>
          <w:color w:val="auto"/>
          <w:sz w:val="24"/>
          <w:szCs w:val="24"/>
        </w:rPr>
        <w:outlineLvl w:val="9"/>
      </w:pPr>
      <w:r>
        <w:rPr>
          <w:rFonts w:hint="eastAsia" w:ascii="宋体" w:hAnsi="宋体" w:cs="宋体"/>
          <w:b w:val="0"/>
          <w:color w:val="auto"/>
          <w:sz w:val="24"/>
          <w:szCs w:val="24"/>
        </w:rPr>
        <w:t xml:space="preserve">预算金额（最高限价）：150万元，具体明细如下：</w:t>
      </w:r>
      <w:r/>
    </w:p>
    <w:tbl>
      <w:tblPr>
        <w:tblStyle w:val="856"/>
        <w:tblW w:w="50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284"/>
        <w:gridCol w:w="1518"/>
        <w:gridCol w:w="1239"/>
        <w:gridCol w:w="1557"/>
        <w:gridCol w:w="1403"/>
        <w:gridCol w:w="1277"/>
      </w:tblGrid>
      <w:tr>
        <w:trPr>
          <w:jc w:val="center"/>
          <w:trHeight w:val="842"/>
        </w:trPr>
        <w:tc>
          <w:tcPr>
            <w:tcW w:w="387"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序号</w:t>
            </w:r>
            <w:r/>
          </w:p>
        </w:tc>
        <w:tc>
          <w:tcPr>
            <w:tcW w:w="715"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项目需求</w:t>
            </w:r>
            <w:r/>
          </w:p>
        </w:tc>
        <w:tc>
          <w:tcPr>
            <w:tcW w:w="845"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采购内容</w:t>
            </w:r>
            <w:r/>
          </w:p>
        </w:tc>
        <w:tc>
          <w:tcPr>
            <w:tcW w:w="690"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数量</w:t>
            </w:r>
            <w:r/>
          </w:p>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（吨）</w:t>
            </w:r>
            <w:r/>
          </w:p>
        </w:tc>
        <w:tc>
          <w:tcPr>
            <w:tcW w:w="867"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单价限价（元）</w:t>
            </w:r>
            <w:r/>
          </w:p>
        </w:tc>
        <w:tc>
          <w:tcPr>
            <w:tcW w:w="781"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合价限价</w:t>
            </w:r>
            <w:r/>
          </w:p>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（元）</w:t>
            </w:r>
            <w:r/>
          </w:p>
        </w:tc>
        <w:tc>
          <w:tcPr>
            <w:tcW w:w="711"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指标参数</w:t>
            </w:r>
            <w:r/>
          </w:p>
        </w:tc>
      </w:tr>
      <w:tr>
        <w:trPr>
          <w:jc w:val="center"/>
          <w:trHeight w:val="567"/>
        </w:trPr>
        <w:tc>
          <w:tcPr>
            <w:tcW w:w="387"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715" w:type="pct"/>
            <w:vAlign w:val="center"/>
            <w:vMerge w:val="restart"/>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种番鸭饲料</w:t>
            </w:r>
            <w:r/>
          </w:p>
        </w:tc>
        <w:tc>
          <w:tcPr>
            <w:tcW w:w="845"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育雏料</w:t>
            </w:r>
            <w:r/>
          </w:p>
        </w:tc>
        <w:tc>
          <w:tcPr>
            <w:tcW w:w="1239"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14</w:t>
            </w:r>
            <w:r/>
          </w:p>
        </w:tc>
        <w:tc>
          <w:tcPr>
            <w:tcW w:w="1557"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3300</w:t>
            </w:r>
            <w:r/>
          </w:p>
        </w:tc>
        <w:tc>
          <w:tcPr>
            <w:tcW w:w="1403"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46200</w:t>
            </w:r>
            <w:r/>
          </w:p>
        </w:tc>
        <w:tc>
          <w:tcPr>
            <w:tcW w:w="711" w:type="pct"/>
            <w:vAlign w:val="center"/>
            <w:vMerge w:val="restart"/>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符合国家及行业相关质量标准，满足不同生长阶段营养需求</w:t>
            </w:r>
            <w:r/>
          </w:p>
        </w:tc>
      </w:tr>
      <w:tr>
        <w:trPr>
          <w:jc w:val="center"/>
          <w:trHeight w:val="567"/>
        </w:trPr>
        <w:tc>
          <w:tcPr>
            <w:tcW w:w="387"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W w:w="715" w:type="pct"/>
            <w:vAlign w:val="center"/>
            <w:vMerge w:val="continue"/>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45"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育成料</w:t>
            </w:r>
            <w:r/>
          </w:p>
        </w:tc>
        <w:tc>
          <w:tcPr>
            <w:tcW w:w="1239"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170</w:t>
            </w:r>
            <w:r/>
          </w:p>
        </w:tc>
        <w:tc>
          <w:tcPr>
            <w:tcW w:w="1557"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2920</w:t>
            </w:r>
            <w:r/>
          </w:p>
        </w:tc>
        <w:tc>
          <w:tcPr>
            <w:tcW w:w="1403"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496400</w:t>
            </w:r>
            <w:r/>
          </w:p>
        </w:tc>
        <w:tc>
          <w:tcPr>
            <w:tcW w:w="711" w:type="pct"/>
            <w:vAlign w:val="center"/>
            <w:vMerge w:val="continue"/>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jc w:val="center"/>
          <w:trHeight w:val="567"/>
        </w:trPr>
        <w:tc>
          <w:tcPr>
            <w:tcW w:w="387"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W w:w="715" w:type="pct"/>
            <w:vAlign w:val="center"/>
            <w:vMerge w:val="continue"/>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45"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产蛋料</w:t>
            </w:r>
            <w:r/>
          </w:p>
        </w:tc>
        <w:tc>
          <w:tcPr>
            <w:tcW w:w="1239"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260</w:t>
            </w:r>
            <w:r/>
          </w:p>
        </w:tc>
        <w:tc>
          <w:tcPr>
            <w:tcW w:w="1557"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3162</w:t>
            </w:r>
            <w:r/>
          </w:p>
        </w:tc>
        <w:tc>
          <w:tcPr>
            <w:tcW w:w="1403"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822120</w:t>
            </w:r>
            <w:r/>
          </w:p>
        </w:tc>
        <w:tc>
          <w:tcPr>
            <w:tcW w:w="711" w:type="pct"/>
            <w:vAlign w:val="center"/>
            <w:vMerge w:val="continue"/>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jc w:val="center"/>
          <w:trHeight w:val="567"/>
        </w:trPr>
        <w:tc>
          <w:tcPr>
            <w:tcW w:w="387"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c>
          <w:tcPr>
            <w:tcW w:w="715" w:type="pct"/>
            <w:vAlign w:val="center"/>
            <w:vMerge w:val="restart"/>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商品番鸭饲料</w:t>
            </w:r>
            <w:r/>
          </w:p>
        </w:tc>
        <w:tc>
          <w:tcPr>
            <w:tcW w:w="845"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育雏料</w:t>
            </w:r>
            <w:r/>
          </w:p>
        </w:tc>
        <w:tc>
          <w:tcPr>
            <w:tcW w:w="1239"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7</w:t>
            </w:r>
            <w:r/>
          </w:p>
        </w:tc>
        <w:tc>
          <w:tcPr>
            <w:tcW w:w="1557"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3320</w:t>
            </w:r>
            <w:r/>
          </w:p>
        </w:tc>
        <w:tc>
          <w:tcPr>
            <w:tcW w:w="1403"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23240</w:t>
            </w:r>
            <w:r/>
          </w:p>
        </w:tc>
        <w:tc>
          <w:tcPr>
            <w:tcW w:w="711" w:type="pct"/>
            <w:vAlign w:val="center"/>
            <w:vMerge w:val="continue"/>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jc w:val="center"/>
          <w:trHeight w:val="567"/>
        </w:trPr>
        <w:tc>
          <w:tcPr>
            <w:tcW w:w="387"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p>
        </w:tc>
        <w:tc>
          <w:tcPr>
            <w:tcW w:w="715" w:type="pct"/>
            <w:vAlign w:val="center"/>
            <w:vMerge w:val="continue"/>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45"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生长料</w:t>
            </w:r>
            <w:r/>
          </w:p>
        </w:tc>
        <w:tc>
          <w:tcPr>
            <w:tcW w:w="1239"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13</w:t>
            </w:r>
            <w:r/>
          </w:p>
        </w:tc>
        <w:tc>
          <w:tcPr>
            <w:tcW w:w="1557"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3088</w:t>
            </w:r>
            <w:r/>
          </w:p>
        </w:tc>
        <w:tc>
          <w:tcPr>
            <w:tcW w:w="1403"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40144</w:t>
            </w:r>
            <w:r/>
          </w:p>
        </w:tc>
        <w:tc>
          <w:tcPr>
            <w:tcW w:w="711" w:type="pct"/>
            <w:vAlign w:val="center"/>
            <w:vMerge w:val="continue"/>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jc w:val="center"/>
          <w:trHeight w:val="567"/>
        </w:trPr>
        <w:tc>
          <w:tcPr>
            <w:tcW w:w="387"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w:t>
            </w:r>
            <w:r/>
          </w:p>
        </w:tc>
        <w:tc>
          <w:tcPr>
            <w:tcW w:w="715" w:type="pct"/>
            <w:vAlign w:val="center"/>
            <w:vMerge w:val="continue"/>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45"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育肥料</w:t>
            </w:r>
            <w:r/>
          </w:p>
        </w:tc>
        <w:tc>
          <w:tcPr>
            <w:tcW w:w="1239"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22</w:t>
            </w:r>
            <w:r/>
          </w:p>
        </w:tc>
        <w:tc>
          <w:tcPr>
            <w:tcW w:w="1557"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3268</w:t>
            </w:r>
            <w:r/>
          </w:p>
        </w:tc>
        <w:tc>
          <w:tcPr>
            <w:tcW w:w="1403"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71896</w:t>
            </w:r>
            <w:r/>
          </w:p>
        </w:tc>
        <w:tc>
          <w:tcPr>
            <w:tcW w:w="711" w:type="pct"/>
            <w:vAlign w:val="center"/>
            <w:vMerge w:val="continue"/>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jc w:val="center"/>
          <w:trHeight w:val="567"/>
        </w:trPr>
        <w:tc>
          <w:tcPr>
            <w:tcW w:w="387" w:type="pct"/>
            <w:vAlign w:val="center"/>
            <w:textDirection w:val="lrTb"/>
            <w:noWrap/>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合计</w:t>
            </w:r>
            <w:r/>
          </w:p>
        </w:tc>
        <w:tc>
          <w:tcPr>
            <w:tcW w:w="715" w:type="pct"/>
            <w:vAlign w:val="center"/>
            <w:textDirection w:val="lrTb"/>
            <w:noWrap/>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845" w:type="pct"/>
            <w:vAlign w:val="center"/>
            <w:textDirection w:val="lrTb"/>
            <w:noWrap/>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239"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486</w:t>
            </w:r>
            <w:r/>
          </w:p>
        </w:tc>
        <w:tc>
          <w:tcPr>
            <w:tcW w:w="1557"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403"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1500000</w:t>
            </w:r>
            <w:r/>
          </w:p>
        </w:tc>
        <w:tc>
          <w:tcPr>
            <w:tcW w:w="711" w:type="pct"/>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bl>
    <w:p>
      <w:pPr>
        <w:ind w:firstLine="482"/>
        <w:spacing w:line="52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备注：投标报价超过最高限价（单价及合价）作无效标处理。</w:t>
      </w:r>
      <w:r/>
    </w:p>
    <w:p>
      <w:pPr>
        <w:numPr>
          <w:ilvl w:val="0"/>
          <w:numId w:val="1"/>
        </w:numPr>
        <w:spacing w:line="52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采购需求</w:t>
      </w:r>
      <w:r/>
    </w:p>
    <w:p>
      <w:pPr>
        <w:ind w:firstLine="480"/>
        <w:spacing w:line="52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项目采购486吨饲料，包括：种鸭育雏料14吨、种鸭育成料170吨、种鸭产蛋料260吨、商品代育雏料7吨、商品代生长料13吨、商品代育肥料22吨。</w:t>
      </w:r>
      <w:r/>
    </w:p>
    <w:p>
      <w:pPr>
        <w:ind w:firstLine="480"/>
        <w:spacing w:line="52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（一）总体要求</w:t>
      </w:r>
      <w:r/>
    </w:p>
    <w:p>
      <w:pPr>
        <w:ind w:firstLine="480"/>
        <w:spacing w:line="52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项目的内容是江苏农牧科技职业学院所需苏牧黑羽番鸭（育种）饲料，并按要求运输至江苏农牧科技职业学院各实验基地、过磅，并负责上下力，堆送至指定仓库，直至买、卖双方共同验收合格。</w:t>
      </w:r>
      <w:r/>
    </w:p>
    <w:p>
      <w:pPr>
        <w:ind w:firstLine="480"/>
        <w:spacing w:line="52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投标人的投标报价应包括本次招标范围内苏牧黑羽番鸭（育种）饲料价格、全部税费、包装费、运杂费（运抵买方仓库）、保险费、验收检定费及投标人认为需要的其他所有费用等。</w:t>
      </w:r>
      <w:r/>
    </w:p>
    <w:p>
      <w:pPr>
        <w:ind w:firstLine="480"/>
        <w:spacing w:line="52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交付地点：江苏现代畜牧科技园指定场区，投标人可自行踏勘。</w:t>
      </w:r>
      <w:r/>
    </w:p>
    <w:p>
      <w:pPr>
        <w:ind w:firstLine="480"/>
        <w:spacing w:line="52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人在踏勘现场发生的费用自理，自行负责踏勘现场及货物运送装卸等可能发生的人员伤亡和财产损失等，充分了解项目实际情况及潜在风险，因供应商踏勘不充分、自身漏项、报价失误产生的相关风险及费用由供应商自行承担。请各投标人高度重视，理性报价。</w:t>
      </w:r>
      <w:r/>
    </w:p>
    <w:p>
      <w:pPr>
        <w:ind w:firstLine="480"/>
        <w:spacing w:line="52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（二）技术参数要求</w:t>
      </w:r>
      <w:r/>
    </w:p>
    <w:p>
      <w:pPr>
        <w:ind w:firstLine="482"/>
        <w:spacing w:line="46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
          <w:bCs/>
          <w:color w:val="auto"/>
          <w:sz w:val="24"/>
        </w:rPr>
        <w:t xml:space="preserve">以下未列出的营养成分请按照饲料生产相关规范执行；加★号技术参数的响应投标时应当单独列一份承诺书，格式自拟，没有承诺书视为★号参数不响应（承诺书须加盖公章），视为无效投标文件处理。</w:t>
      </w:r>
      <w:r/>
    </w:p>
    <w:p>
      <w:pPr>
        <w:ind w:firstLine="480"/>
        <w:spacing w:line="52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★1.种用饲料中不允许添加菜粕、花生粕、棉籽粕等杂粕和玉米DDGS等酒糟及动物油脂。</w:t>
      </w:r>
      <w:r/>
    </w:p>
    <w:p>
      <w:pPr>
        <w:ind w:firstLine="480"/>
        <w:spacing w:line="52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bookmarkStart w:id="49" w:name="OLE_LINK1"/>
      <w:r>
        <w:rPr>
          <w:rFonts w:hint="eastAsia" w:ascii="宋体" w:hAnsi="宋体" w:eastAsia="宋体" w:cs="宋体"/>
          <w:bCs/>
          <w:color w:val="auto"/>
          <w:sz w:val="24"/>
          <w:szCs w:val="24"/>
        </w:rPr>
        <w:t xml:space="preserve">2.饲料中非蛋白氮含量</w:t>
      </w:r>
      <w:bookmarkEnd w:id="49"/>
      <w:r>
        <w:rPr>
          <w:rFonts w:hint="eastAsia" w:ascii="宋体" w:hAnsi="宋体" w:eastAsia="宋体" w:cs="宋体"/>
          <w:bCs/>
          <w:color w:val="auto"/>
          <w:sz w:val="24"/>
          <w:szCs w:val="24"/>
        </w:rPr>
        <w:t xml:space="preserve">＜0.5%。</w:t>
      </w:r>
      <w:r/>
    </w:p>
    <w:p>
      <w:pPr>
        <w:ind w:firstLine="480"/>
        <w:spacing w:line="52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投标人所投产品中均不得使用违禁药品，并提供相关的承诺，如违法所带来的一切责任由投标人承担。投标人所供产品符合《饲料和饲料添加剂管理条例》《饲料卫生标准》及其他国家相关规定，无添加国家规定的禁用或未允许添加的药品（含激素）。</w:t>
      </w:r>
      <w:r/>
    </w:p>
    <w:p>
      <w:pPr>
        <w:ind w:firstLine="480"/>
        <w:spacing w:line="52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★4.招标人可随时抽样送第三方公司检测，如第一次出现所测指标不合格，投标人将全额支付本次检测费用，并且招标人将保留法律权利，如第二次检测不合格，投标人将被取消供货资格并拉入学校黑名单。</w:t>
      </w:r>
      <w:r/>
    </w:p>
    <w:p>
      <w:pPr>
        <w:ind w:firstLine="480"/>
        <w:spacing w:line="520" w:lineRule="exact"/>
        <w:widowControl/>
        <w:rPr>
          <w:rFonts w:hint="eastAsia" w:ascii="宋体" w:hAnsi="宋体" w:eastAsia="宋体" w:cs="宋体"/>
          <w:bCs/>
          <w:color w:val="auto"/>
          <w:sz w:val="24"/>
          <w:szCs w:val="24"/>
        </w:rPr>
        <w:sectPr>
          <w:footerReference w:type="default" r:id="rId12"/>
          <w:footerReference w:type="first" r:id="rId13"/>
          <w:footnotePr/>
          <w:endnotePr/>
          <w:type w:val="nextPage"/>
          <w:pgSz w:w="11906" w:h="16838" w:orient="portrait"/>
          <w:pgMar w:top="1247" w:right="1276" w:bottom="1418" w:left="1701" w:header="851" w:footer="992" w:gutter="0"/>
          <w:cols w:num="1" w:sep="0" w:space="720" w:equalWidth="1"/>
          <w:docGrid w:linePitch="360"/>
          <w:titlePg/>
        </w:sectPr>
      </w:pPr>
      <w:r>
        <w:rPr>
          <w:rFonts w:hint="eastAsia" w:ascii="宋体" w:hAnsi="宋体" w:eastAsia="宋体" w:cs="宋体"/>
          <w:bCs/>
          <w:color w:val="auto"/>
          <w:sz w:val="24"/>
          <w:szCs w:val="24"/>
        </w:rPr>
        <w:t xml:space="preserve">★5.其它成分要求（见下表）</w:t>
      </w:r>
      <w:r/>
    </w:p>
    <w:tbl>
      <w:tblPr>
        <w:tblStyle w:val="856"/>
        <w:tblW w:w="13724" w:type="dxa"/>
        <w:jc w:val="center"/>
        <w:tblLayout w:type="autofit"/>
        <w:tblCellMar>
          <w:left w:w="108" w:type="dxa"/>
          <w:top w:w="0" w:type="dxa"/>
          <w:right w:w="108" w:type="dxa"/>
          <w:bottom w:w="0" w:type="dxa"/>
        </w:tblCellMar>
        <w:tblLook w:val="04A0" w:firstRow="1" w:lastRow="0" w:firstColumn="1" w:lastColumn="0" w:noHBand="0" w:noVBand="1"/>
      </w:tblPr>
      <w:tblGrid>
        <w:gridCol w:w="2112"/>
        <w:gridCol w:w="1911"/>
        <w:gridCol w:w="1824"/>
        <w:gridCol w:w="1872"/>
        <w:gridCol w:w="2040"/>
        <w:gridCol w:w="2052"/>
        <w:gridCol w:w="1913"/>
      </w:tblGrid>
      <w:tr>
        <w:trPr>
          <w:jc w:val="center"/>
          <w:trHeight w:val="626"/>
          <w:tblHeader/>
        </w:trPr>
        <w:tc>
          <w:tcPr>
            <w:tcBorders>
              <w:top w:val="single" w:color="000000" w:sz="8" w:space="0"/>
              <w:left w:val="single" w:color="000000" w:sz="8" w:space="0"/>
              <w:right w:val="single" w:color="000000" w:sz="8" w:space="0"/>
            </w:tcBorders>
            <w:tcW w:w="2112" w:type="dxa"/>
            <w:vAlign w:val="center"/>
            <w:vMerge w:val="restart"/>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营养成分</w:t>
            </w:r>
            <w:r/>
          </w:p>
        </w:tc>
        <w:tc>
          <w:tcPr>
            <w:gridSpan w:val="3"/>
            <w:tcBorders>
              <w:top w:val="single" w:color="000000" w:sz="8" w:space="0"/>
              <w:left w:val="none" w:color="000000" w:sz="4" w:space="0"/>
              <w:bottom w:val="single" w:color="auto" w:sz="4" w:space="0"/>
              <w:right w:val="single" w:color="000000" w:sz="8" w:space="0"/>
            </w:tcBorders>
            <w:tcW w:w="5607"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种番鸭      </w:t>
            </w:r>
            <w:r/>
          </w:p>
        </w:tc>
        <w:tc>
          <w:tcPr>
            <w:gridSpan w:val="3"/>
            <w:tcBorders>
              <w:top w:val="single" w:color="000000" w:sz="8" w:space="0"/>
              <w:left w:val="none" w:color="000000" w:sz="4" w:space="0"/>
              <w:bottom w:val="single" w:color="auto" w:sz="4" w:space="0"/>
              <w:right w:val="single" w:color="000000" w:sz="8" w:space="0"/>
            </w:tcBorders>
            <w:tcW w:w="6005"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商品番鸭</w:t>
            </w:r>
            <w:r/>
          </w:p>
        </w:tc>
      </w:tr>
      <w:tr>
        <w:trPr>
          <w:jc w:val="center"/>
          <w:trHeight w:val="605"/>
          <w:tblHeader/>
        </w:trPr>
        <w:tc>
          <w:tcPr>
            <w:tcBorders>
              <w:left w:val="single" w:color="000000" w:sz="8" w:space="0"/>
              <w:bottom w:val="single" w:color="000000" w:sz="8" w:space="0"/>
              <w:right w:val="single" w:color="000000" w:sz="8" w:space="0"/>
            </w:tcBorders>
            <w:tcW w:w="2112" w:type="dxa"/>
            <w:vAlign w:val="center"/>
            <w:vMerge w:val="continue"/>
            <w:textDirection w:val="lrTb"/>
            <w:noWrap w:val="false"/>
          </w:tcPr>
          <w:p>
            <w:pPr>
              <w:jc w:val="center"/>
              <w:widowControl/>
              <w:rPr>
                <w:rFonts w:hint="eastAsia" w:asciiTheme="minorEastAsia" w:hAnsiTheme="minorEastAsia" w:eastAsiaTheme="minorEastAsia" w:cstheme="minorEastAsia"/>
                <w:color w:val="auto"/>
                <w:sz w:val="24"/>
                <w:szCs w:val="24"/>
                <w:lang w:bidi="ar"/>
              </w:rPr>
            </w:pPr>
            <w:r>
              <w:rPr>
                <w:rFonts w:hint="eastAsia" w:asciiTheme="minorEastAsia" w:hAnsiTheme="minorEastAsia" w:eastAsiaTheme="minorEastAsia" w:cstheme="minorEastAsia"/>
                <w:color w:val="auto"/>
                <w:sz w:val="24"/>
                <w:szCs w:val="24"/>
                <w:lang w:bidi="ar"/>
              </w:rPr>
            </w:r>
            <w:r/>
          </w:p>
        </w:tc>
        <w:tc>
          <w:tcPr>
            <w:tcBorders>
              <w:top w:val="single" w:color="auto" w:sz="4" w:space="0"/>
              <w:left w:val="none" w:color="000000" w:sz="4" w:space="0"/>
              <w:bottom w:val="single" w:color="000000" w:sz="8" w:space="0"/>
              <w:right w:val="single" w:color="000000" w:sz="8" w:space="0"/>
            </w:tcBorders>
            <w:tcW w:w="1911"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lang w:bidi="ar"/>
              </w:rPr>
            </w:pPr>
            <w:r>
              <w:rPr>
                <w:rFonts w:hint="eastAsia" w:asciiTheme="minorEastAsia" w:hAnsiTheme="minorEastAsia" w:eastAsiaTheme="minorEastAsia" w:cstheme="minorEastAsia"/>
                <w:color w:val="auto"/>
                <w:sz w:val="24"/>
                <w:szCs w:val="24"/>
                <w:lang w:bidi="ar"/>
              </w:rPr>
              <w:t xml:space="preserve">育雏料</w:t>
            </w:r>
            <w:r/>
          </w:p>
        </w:tc>
        <w:tc>
          <w:tcPr>
            <w:tcBorders>
              <w:top w:val="single" w:color="auto" w:sz="4" w:space="0"/>
              <w:left w:val="none" w:color="000000" w:sz="4" w:space="0"/>
              <w:bottom w:val="single" w:color="000000" w:sz="8" w:space="0"/>
              <w:right w:val="single" w:color="000000" w:sz="8" w:space="0"/>
            </w:tcBorders>
            <w:tcW w:w="1824"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lang w:bidi="ar"/>
              </w:rPr>
            </w:pPr>
            <w:r>
              <w:rPr>
                <w:rFonts w:hint="eastAsia" w:asciiTheme="minorEastAsia" w:hAnsiTheme="minorEastAsia" w:eastAsiaTheme="minorEastAsia" w:cstheme="minorEastAsia"/>
                <w:color w:val="auto"/>
                <w:sz w:val="24"/>
                <w:szCs w:val="24"/>
                <w:lang w:bidi="ar"/>
              </w:rPr>
              <w:t xml:space="preserve">育成料</w:t>
            </w:r>
            <w:r/>
          </w:p>
        </w:tc>
        <w:tc>
          <w:tcPr>
            <w:tcBorders>
              <w:top w:val="single" w:color="auto" w:sz="4" w:space="0"/>
              <w:left w:val="none" w:color="000000" w:sz="4" w:space="0"/>
              <w:bottom w:val="single" w:color="000000" w:sz="8" w:space="0"/>
              <w:right w:val="single" w:color="000000" w:sz="8" w:space="0"/>
            </w:tcBorders>
            <w:tcW w:w="187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lang w:bidi="ar"/>
              </w:rPr>
            </w:pPr>
            <w:r>
              <w:rPr>
                <w:rFonts w:hint="eastAsia" w:asciiTheme="minorEastAsia" w:hAnsiTheme="minorEastAsia" w:eastAsiaTheme="minorEastAsia" w:cstheme="minorEastAsia"/>
                <w:color w:val="auto"/>
                <w:sz w:val="24"/>
                <w:szCs w:val="24"/>
                <w:lang w:bidi="ar"/>
              </w:rPr>
              <w:t xml:space="preserve">产蛋料</w:t>
            </w:r>
            <w:r/>
          </w:p>
        </w:tc>
        <w:tc>
          <w:tcPr>
            <w:tcBorders>
              <w:top w:val="single" w:color="auto" w:sz="4" w:space="0"/>
              <w:left w:val="none" w:color="000000" w:sz="4" w:space="0"/>
              <w:bottom w:val="single" w:color="000000" w:sz="8" w:space="0"/>
              <w:right w:val="single" w:color="000000" w:sz="8" w:space="0"/>
            </w:tcBorders>
            <w:tcW w:w="2040"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育雏料</w:t>
            </w:r>
            <w:r/>
          </w:p>
        </w:tc>
        <w:tc>
          <w:tcPr>
            <w:tcBorders>
              <w:top w:val="single" w:color="auto"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生长料</w:t>
            </w:r>
            <w:r/>
          </w:p>
        </w:tc>
        <w:tc>
          <w:tcPr>
            <w:tcBorders>
              <w:top w:val="single" w:color="auto" w:sz="4" w:space="0"/>
              <w:left w:val="none" w:color="000000" w:sz="4" w:space="0"/>
              <w:bottom w:val="single" w:color="000000" w:sz="8" w:space="0"/>
              <w:right w:val="single" w:color="000000" w:sz="8" w:space="0"/>
            </w:tcBorders>
            <w:tcW w:w="1913"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育肥料</w:t>
            </w:r>
            <w:r/>
          </w:p>
        </w:tc>
      </w:tr>
      <w:tr>
        <w:trPr>
          <w:jc w:val="center"/>
          <w:trHeight w:val="622"/>
          <w:tblHeader/>
        </w:trPr>
        <w:tc>
          <w:tcPr>
            <w:tcBorders>
              <w:top w:val="none" w:color="000000" w:sz="4" w:space="0"/>
              <w:left w:val="single" w:color="000000" w:sz="8" w:space="0"/>
              <w:bottom w:val="single" w:color="000000" w:sz="8" w:space="0"/>
              <w:right w:val="single" w:color="000000" w:sz="8" w:space="0"/>
            </w:tcBorders>
            <w:tcW w:w="211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rPr>
              <w:t xml:space="preserve">★</w:t>
            </w:r>
            <w:r>
              <w:rPr>
                <w:rFonts w:hint="eastAsia" w:asciiTheme="minorEastAsia" w:hAnsiTheme="minorEastAsia" w:eastAsiaTheme="minorEastAsia" w:cstheme="minorEastAsia"/>
                <w:color w:val="auto"/>
                <w:sz w:val="24"/>
                <w:szCs w:val="24"/>
                <w:lang w:bidi="ar"/>
              </w:rPr>
              <w:t xml:space="preserve">水分≤（%）</w:t>
            </w:r>
            <w:r/>
          </w:p>
        </w:tc>
        <w:tc>
          <w:tcPr>
            <w:tcBorders>
              <w:top w:val="none" w:color="000000" w:sz="4" w:space="0"/>
              <w:left w:val="none" w:color="000000" w:sz="4" w:space="0"/>
              <w:bottom w:val="single" w:color="000000" w:sz="8" w:space="0"/>
              <w:right w:val="single" w:color="000000" w:sz="8" w:space="0"/>
            </w:tcBorders>
            <w:tcW w:w="1911"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13.5</w:t>
            </w:r>
            <w:r/>
          </w:p>
        </w:tc>
        <w:tc>
          <w:tcPr>
            <w:tcBorders>
              <w:top w:val="none" w:color="000000" w:sz="4" w:space="0"/>
              <w:left w:val="none" w:color="000000" w:sz="4" w:space="0"/>
              <w:bottom w:val="single" w:color="000000" w:sz="8" w:space="0"/>
              <w:right w:val="single" w:color="000000" w:sz="8" w:space="0"/>
            </w:tcBorders>
            <w:tcW w:w="1824"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13.5</w:t>
            </w:r>
            <w:r/>
          </w:p>
        </w:tc>
        <w:tc>
          <w:tcPr>
            <w:tcBorders>
              <w:top w:val="none" w:color="000000" w:sz="4" w:space="0"/>
              <w:left w:val="none" w:color="000000" w:sz="4" w:space="0"/>
              <w:bottom w:val="single" w:color="000000" w:sz="8" w:space="0"/>
              <w:right w:val="single" w:color="000000" w:sz="8" w:space="0"/>
            </w:tcBorders>
            <w:tcW w:w="187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13.5</w:t>
            </w:r>
            <w:r/>
          </w:p>
        </w:tc>
        <w:tc>
          <w:tcPr>
            <w:tcBorders>
              <w:top w:val="none" w:color="000000" w:sz="4" w:space="0"/>
              <w:left w:val="none" w:color="000000" w:sz="4" w:space="0"/>
              <w:bottom w:val="single" w:color="000000" w:sz="8" w:space="0"/>
              <w:right w:val="single" w:color="000000" w:sz="8" w:space="0"/>
            </w:tcBorders>
            <w:tcW w:w="2040"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13.5</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13.5</w:t>
            </w:r>
            <w:r/>
          </w:p>
        </w:tc>
        <w:tc>
          <w:tcPr>
            <w:tcBorders>
              <w:top w:val="none" w:color="000000" w:sz="4" w:space="0"/>
              <w:left w:val="none" w:color="000000" w:sz="4" w:space="0"/>
              <w:bottom w:val="single" w:color="000000" w:sz="8" w:space="0"/>
              <w:right w:val="single" w:color="000000" w:sz="8" w:space="0"/>
            </w:tcBorders>
            <w:tcW w:w="1913"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13.5</w:t>
            </w:r>
            <w:r/>
          </w:p>
        </w:tc>
      </w:tr>
      <w:tr>
        <w:trPr>
          <w:jc w:val="center"/>
          <w:trHeight w:val="622"/>
          <w:tblHeader/>
        </w:trPr>
        <w:tc>
          <w:tcPr>
            <w:tcBorders>
              <w:top w:val="none" w:color="000000" w:sz="4" w:space="0"/>
              <w:left w:val="single" w:color="000000" w:sz="8" w:space="0"/>
              <w:bottom w:val="single" w:color="000000" w:sz="8" w:space="0"/>
              <w:right w:val="single" w:color="000000" w:sz="8" w:space="0"/>
            </w:tcBorders>
            <w:tcW w:w="211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rPr>
              <w:t xml:space="preserve">★</w:t>
            </w:r>
            <w:r>
              <w:rPr>
                <w:rFonts w:hint="eastAsia" w:asciiTheme="minorEastAsia" w:hAnsiTheme="minorEastAsia" w:eastAsiaTheme="minorEastAsia" w:cstheme="minorEastAsia"/>
                <w:color w:val="auto"/>
                <w:sz w:val="24"/>
                <w:szCs w:val="24"/>
                <w:lang w:bidi="ar"/>
              </w:rPr>
              <w:t xml:space="preserve">粗蛋白≥（%）</w:t>
            </w:r>
            <w:r/>
          </w:p>
        </w:tc>
        <w:tc>
          <w:tcPr>
            <w:tcBorders>
              <w:top w:val="none" w:color="000000" w:sz="4" w:space="0"/>
              <w:left w:val="none" w:color="000000" w:sz="4" w:space="0"/>
              <w:bottom w:val="single" w:color="000000" w:sz="8" w:space="0"/>
              <w:right w:val="single" w:color="000000" w:sz="8" w:space="0"/>
            </w:tcBorders>
            <w:tcW w:w="1911"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19</w:t>
            </w:r>
            <w:r/>
          </w:p>
        </w:tc>
        <w:tc>
          <w:tcPr>
            <w:tcBorders>
              <w:top w:val="none" w:color="000000" w:sz="4" w:space="0"/>
              <w:left w:val="none" w:color="000000" w:sz="4" w:space="0"/>
              <w:bottom w:val="single" w:color="000000" w:sz="8" w:space="0"/>
              <w:right w:val="single" w:color="000000" w:sz="8" w:space="0"/>
            </w:tcBorders>
            <w:tcW w:w="1824"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15.5</w:t>
            </w:r>
            <w:r/>
          </w:p>
        </w:tc>
        <w:tc>
          <w:tcPr>
            <w:tcBorders>
              <w:top w:val="none" w:color="000000" w:sz="4" w:space="0"/>
              <w:left w:val="none" w:color="000000" w:sz="4" w:space="0"/>
              <w:bottom w:val="single" w:color="000000" w:sz="8" w:space="0"/>
              <w:right w:val="single" w:color="000000" w:sz="8" w:space="0"/>
            </w:tcBorders>
            <w:tcW w:w="187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19</w:t>
            </w:r>
            <w:r/>
          </w:p>
        </w:tc>
        <w:tc>
          <w:tcPr>
            <w:tcBorders>
              <w:top w:val="none" w:color="000000" w:sz="4" w:space="0"/>
              <w:left w:val="none" w:color="000000" w:sz="4" w:space="0"/>
              <w:bottom w:val="single" w:color="000000" w:sz="8" w:space="0"/>
              <w:right w:val="single" w:color="000000" w:sz="8" w:space="0"/>
            </w:tcBorders>
            <w:tcW w:w="2040"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19</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15.5</w:t>
            </w:r>
            <w:r/>
          </w:p>
        </w:tc>
        <w:tc>
          <w:tcPr>
            <w:tcBorders>
              <w:top w:val="none" w:color="000000" w:sz="4" w:space="0"/>
              <w:left w:val="none" w:color="000000" w:sz="4" w:space="0"/>
              <w:bottom w:val="single" w:color="000000" w:sz="8" w:space="0"/>
              <w:right w:val="single" w:color="000000" w:sz="8" w:space="0"/>
            </w:tcBorders>
            <w:tcW w:w="1913"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16</w:t>
            </w:r>
            <w:r/>
          </w:p>
        </w:tc>
      </w:tr>
      <w:tr>
        <w:trPr>
          <w:jc w:val="center"/>
          <w:trHeight w:val="622"/>
          <w:tblHeader/>
        </w:trPr>
        <w:tc>
          <w:tcPr>
            <w:tcBorders>
              <w:top w:val="none" w:color="000000" w:sz="4" w:space="0"/>
              <w:left w:val="single" w:color="000000" w:sz="8" w:space="0"/>
              <w:bottom w:val="single" w:color="000000" w:sz="8" w:space="0"/>
              <w:right w:val="single" w:color="000000" w:sz="8" w:space="0"/>
            </w:tcBorders>
            <w:tcW w:w="211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rPr>
              <w:t xml:space="preserve">★</w:t>
            </w:r>
            <w:r>
              <w:rPr>
                <w:rFonts w:hint="eastAsia" w:asciiTheme="minorEastAsia" w:hAnsiTheme="minorEastAsia" w:eastAsiaTheme="minorEastAsia" w:cstheme="minorEastAsia"/>
                <w:color w:val="auto"/>
                <w:sz w:val="24"/>
                <w:szCs w:val="24"/>
                <w:lang w:bidi="ar"/>
              </w:rPr>
              <w:t xml:space="preserve">粗纤维≤（%）</w:t>
            </w:r>
            <w:r/>
          </w:p>
        </w:tc>
        <w:tc>
          <w:tcPr>
            <w:tcBorders>
              <w:top w:val="none" w:color="000000" w:sz="4" w:space="0"/>
              <w:left w:val="none" w:color="000000" w:sz="4" w:space="0"/>
              <w:bottom w:val="single" w:color="000000" w:sz="8" w:space="0"/>
              <w:right w:val="single" w:color="000000" w:sz="8" w:space="0"/>
            </w:tcBorders>
            <w:tcW w:w="1911"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10</w:t>
            </w:r>
            <w:r/>
          </w:p>
        </w:tc>
        <w:tc>
          <w:tcPr>
            <w:tcBorders>
              <w:top w:val="none" w:color="000000" w:sz="4" w:space="0"/>
              <w:left w:val="none" w:color="000000" w:sz="4" w:space="0"/>
              <w:bottom w:val="single" w:color="000000" w:sz="8" w:space="0"/>
              <w:right w:val="single" w:color="000000" w:sz="8" w:space="0"/>
            </w:tcBorders>
            <w:tcW w:w="1824"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8</w:t>
            </w:r>
            <w:r/>
          </w:p>
        </w:tc>
        <w:tc>
          <w:tcPr>
            <w:tcBorders>
              <w:top w:val="none" w:color="000000" w:sz="4" w:space="0"/>
              <w:left w:val="none" w:color="000000" w:sz="4" w:space="0"/>
              <w:bottom w:val="single" w:color="000000" w:sz="8" w:space="0"/>
              <w:right w:val="single" w:color="000000" w:sz="8" w:space="0"/>
            </w:tcBorders>
            <w:tcW w:w="187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6</w:t>
            </w:r>
            <w:r/>
          </w:p>
        </w:tc>
        <w:tc>
          <w:tcPr>
            <w:tcBorders>
              <w:top w:val="none" w:color="000000" w:sz="4" w:space="0"/>
              <w:left w:val="none" w:color="000000" w:sz="4" w:space="0"/>
              <w:bottom w:val="single" w:color="000000" w:sz="8" w:space="0"/>
              <w:right w:val="single" w:color="000000" w:sz="8" w:space="0"/>
            </w:tcBorders>
            <w:tcW w:w="2040"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10</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8</w:t>
            </w:r>
            <w:r/>
          </w:p>
        </w:tc>
        <w:tc>
          <w:tcPr>
            <w:tcBorders>
              <w:top w:val="none" w:color="000000" w:sz="4" w:space="0"/>
              <w:left w:val="none" w:color="000000" w:sz="4" w:space="0"/>
              <w:bottom w:val="single" w:color="000000" w:sz="8" w:space="0"/>
              <w:right w:val="single" w:color="000000" w:sz="8" w:space="0"/>
            </w:tcBorders>
            <w:tcW w:w="1913"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6</w:t>
            </w:r>
            <w:r/>
          </w:p>
        </w:tc>
      </w:tr>
      <w:tr>
        <w:trPr>
          <w:jc w:val="center"/>
          <w:trHeight w:val="622"/>
          <w:tblHeader/>
        </w:trPr>
        <w:tc>
          <w:tcPr>
            <w:tcBorders>
              <w:top w:val="none" w:color="000000" w:sz="4" w:space="0"/>
              <w:left w:val="single" w:color="000000" w:sz="8" w:space="0"/>
              <w:bottom w:val="single" w:color="000000" w:sz="8" w:space="0"/>
              <w:right w:val="single" w:color="000000" w:sz="8" w:space="0"/>
            </w:tcBorders>
            <w:tcW w:w="211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rPr>
              <w:t xml:space="preserve">★</w:t>
            </w:r>
            <w:r>
              <w:rPr>
                <w:rFonts w:hint="eastAsia" w:asciiTheme="minorEastAsia" w:hAnsiTheme="minorEastAsia" w:eastAsiaTheme="minorEastAsia" w:cstheme="minorEastAsia"/>
                <w:color w:val="auto"/>
                <w:sz w:val="24"/>
                <w:szCs w:val="24"/>
                <w:lang w:bidi="ar"/>
              </w:rPr>
              <w:t xml:space="preserve">粗灰分≤（%）</w:t>
            </w:r>
            <w:r/>
          </w:p>
        </w:tc>
        <w:tc>
          <w:tcPr>
            <w:tcBorders>
              <w:top w:val="none" w:color="000000" w:sz="4" w:space="0"/>
              <w:left w:val="none" w:color="000000" w:sz="4" w:space="0"/>
              <w:bottom w:val="single" w:color="000000" w:sz="8" w:space="0"/>
              <w:right w:val="single" w:color="000000" w:sz="8" w:space="0"/>
            </w:tcBorders>
            <w:tcW w:w="1911"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8</w:t>
            </w:r>
            <w:r/>
          </w:p>
        </w:tc>
        <w:tc>
          <w:tcPr>
            <w:tcBorders>
              <w:top w:val="none" w:color="000000" w:sz="4" w:space="0"/>
              <w:left w:val="none" w:color="000000" w:sz="4" w:space="0"/>
              <w:bottom w:val="single" w:color="000000" w:sz="8" w:space="0"/>
              <w:right w:val="single" w:color="000000" w:sz="8" w:space="0"/>
            </w:tcBorders>
            <w:tcW w:w="1824"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10</w:t>
            </w:r>
            <w:r/>
          </w:p>
        </w:tc>
        <w:tc>
          <w:tcPr>
            <w:tcBorders>
              <w:top w:val="none" w:color="000000" w:sz="4" w:space="0"/>
              <w:left w:val="none" w:color="000000" w:sz="4" w:space="0"/>
              <w:bottom w:val="single" w:color="000000" w:sz="8" w:space="0"/>
              <w:right w:val="single" w:color="000000" w:sz="8" w:space="0"/>
            </w:tcBorders>
            <w:tcW w:w="187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13</w:t>
            </w:r>
            <w:r/>
          </w:p>
        </w:tc>
        <w:tc>
          <w:tcPr>
            <w:tcBorders>
              <w:top w:val="none" w:color="000000" w:sz="4" w:space="0"/>
              <w:left w:val="none" w:color="000000" w:sz="4" w:space="0"/>
              <w:bottom w:val="single" w:color="000000" w:sz="8" w:space="0"/>
              <w:right w:val="single" w:color="000000" w:sz="8" w:space="0"/>
            </w:tcBorders>
            <w:tcW w:w="2040"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8</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10</w:t>
            </w:r>
            <w:r/>
          </w:p>
        </w:tc>
        <w:tc>
          <w:tcPr>
            <w:tcBorders>
              <w:top w:val="none" w:color="000000" w:sz="4" w:space="0"/>
              <w:left w:val="none" w:color="000000" w:sz="4" w:space="0"/>
              <w:bottom w:val="single" w:color="000000" w:sz="8" w:space="0"/>
              <w:right w:val="single" w:color="000000" w:sz="8" w:space="0"/>
            </w:tcBorders>
            <w:tcW w:w="1913"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9</w:t>
            </w:r>
            <w:r/>
          </w:p>
        </w:tc>
      </w:tr>
      <w:tr>
        <w:trPr>
          <w:jc w:val="center"/>
          <w:trHeight w:val="622"/>
          <w:tblHeader/>
        </w:trPr>
        <w:tc>
          <w:tcPr>
            <w:tcBorders>
              <w:top w:val="none" w:color="000000" w:sz="4" w:space="0"/>
              <w:left w:val="single" w:color="000000" w:sz="8" w:space="0"/>
              <w:bottom w:val="single" w:color="000000" w:sz="8" w:space="0"/>
              <w:right w:val="single" w:color="000000" w:sz="8" w:space="0"/>
            </w:tcBorders>
            <w:tcW w:w="211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rPr>
              <w:t xml:space="preserve">★</w:t>
            </w:r>
            <w:r>
              <w:rPr>
                <w:rFonts w:hint="eastAsia" w:asciiTheme="minorEastAsia" w:hAnsiTheme="minorEastAsia" w:eastAsiaTheme="minorEastAsia" w:cstheme="minorEastAsia"/>
                <w:color w:val="auto"/>
                <w:sz w:val="24"/>
                <w:szCs w:val="24"/>
                <w:lang w:bidi="ar"/>
              </w:rPr>
              <w:t xml:space="preserve">钙（%）</w:t>
            </w:r>
            <w:r/>
          </w:p>
        </w:tc>
        <w:tc>
          <w:tcPr>
            <w:tcBorders>
              <w:top w:val="none" w:color="000000" w:sz="4" w:space="0"/>
              <w:left w:val="none" w:color="000000" w:sz="4" w:space="0"/>
              <w:bottom w:val="single" w:color="000000" w:sz="8" w:space="0"/>
              <w:right w:val="single" w:color="000000" w:sz="8" w:space="0"/>
            </w:tcBorders>
            <w:tcW w:w="1911"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0.8-1.2</w:t>
            </w:r>
            <w:r/>
          </w:p>
        </w:tc>
        <w:tc>
          <w:tcPr>
            <w:tcBorders>
              <w:top w:val="none" w:color="000000" w:sz="4" w:space="0"/>
              <w:left w:val="none" w:color="000000" w:sz="4" w:space="0"/>
              <w:bottom w:val="single" w:color="000000" w:sz="8" w:space="0"/>
              <w:right w:val="single" w:color="000000" w:sz="8" w:space="0"/>
            </w:tcBorders>
            <w:tcW w:w="1824"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0.8-1.2</w:t>
            </w:r>
            <w:r/>
          </w:p>
        </w:tc>
        <w:tc>
          <w:tcPr>
            <w:tcBorders>
              <w:top w:val="none" w:color="000000" w:sz="4" w:space="0"/>
              <w:left w:val="none" w:color="000000" w:sz="4" w:space="0"/>
              <w:bottom w:val="single" w:color="000000" w:sz="8" w:space="0"/>
              <w:right w:val="single" w:color="000000" w:sz="8" w:space="0"/>
            </w:tcBorders>
            <w:tcW w:w="187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3.0-3.8</w:t>
            </w:r>
            <w:r/>
          </w:p>
        </w:tc>
        <w:tc>
          <w:tcPr>
            <w:tcBorders>
              <w:top w:val="none" w:color="000000" w:sz="4" w:space="0"/>
              <w:left w:val="none" w:color="000000" w:sz="4" w:space="0"/>
              <w:bottom w:val="single" w:color="000000" w:sz="8" w:space="0"/>
              <w:right w:val="single" w:color="000000" w:sz="8" w:space="0"/>
            </w:tcBorders>
            <w:tcW w:w="2040"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0.8-1.2</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0.8-1.2</w:t>
            </w:r>
            <w:r/>
          </w:p>
        </w:tc>
        <w:tc>
          <w:tcPr>
            <w:tcBorders>
              <w:top w:val="none" w:color="000000" w:sz="4" w:space="0"/>
              <w:left w:val="none" w:color="000000" w:sz="4" w:space="0"/>
              <w:bottom w:val="single" w:color="000000" w:sz="8" w:space="0"/>
              <w:right w:val="single" w:color="000000" w:sz="8" w:space="0"/>
            </w:tcBorders>
            <w:tcW w:w="1913"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0.8-1.2</w:t>
            </w:r>
            <w:r/>
          </w:p>
        </w:tc>
      </w:tr>
      <w:tr>
        <w:trPr>
          <w:jc w:val="center"/>
          <w:trHeight w:val="622"/>
          <w:tblHeader/>
        </w:trPr>
        <w:tc>
          <w:tcPr>
            <w:tcBorders>
              <w:top w:val="none" w:color="000000" w:sz="4" w:space="0"/>
              <w:left w:val="single" w:color="000000" w:sz="8" w:space="0"/>
              <w:bottom w:val="single" w:color="000000" w:sz="8" w:space="0"/>
              <w:right w:val="single" w:color="000000" w:sz="8" w:space="0"/>
            </w:tcBorders>
            <w:tcW w:w="211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rPr>
              <w:t xml:space="preserve">★</w:t>
            </w:r>
            <w:r>
              <w:rPr>
                <w:rFonts w:hint="eastAsia" w:asciiTheme="minorEastAsia" w:hAnsiTheme="minorEastAsia" w:eastAsiaTheme="minorEastAsia" w:cstheme="minorEastAsia"/>
                <w:color w:val="auto"/>
                <w:sz w:val="24"/>
                <w:szCs w:val="24"/>
                <w:lang w:bidi="ar"/>
              </w:rPr>
              <w:t xml:space="preserve">总磷≥（%）</w:t>
            </w:r>
            <w:r/>
          </w:p>
        </w:tc>
        <w:tc>
          <w:tcPr>
            <w:tcBorders>
              <w:top w:val="none" w:color="000000" w:sz="4" w:space="0"/>
              <w:left w:val="none" w:color="000000" w:sz="4" w:space="0"/>
              <w:bottom w:val="single" w:color="000000" w:sz="8" w:space="0"/>
              <w:right w:val="single" w:color="000000" w:sz="8" w:space="0"/>
            </w:tcBorders>
            <w:tcW w:w="1911"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0.5</w:t>
            </w:r>
            <w:r/>
          </w:p>
        </w:tc>
        <w:tc>
          <w:tcPr>
            <w:tcBorders>
              <w:top w:val="none" w:color="000000" w:sz="4" w:space="0"/>
              <w:left w:val="none" w:color="000000" w:sz="4" w:space="0"/>
              <w:bottom w:val="single" w:color="000000" w:sz="8" w:space="0"/>
              <w:right w:val="single" w:color="000000" w:sz="8" w:space="0"/>
            </w:tcBorders>
            <w:tcW w:w="1824"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0.5</w:t>
            </w:r>
            <w:r/>
          </w:p>
        </w:tc>
        <w:tc>
          <w:tcPr>
            <w:tcBorders>
              <w:top w:val="none" w:color="000000" w:sz="4" w:space="0"/>
              <w:left w:val="none" w:color="000000" w:sz="4" w:space="0"/>
              <w:bottom w:val="single" w:color="000000" w:sz="8" w:space="0"/>
              <w:right w:val="single" w:color="000000" w:sz="8" w:space="0"/>
            </w:tcBorders>
            <w:tcW w:w="187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0.5</w:t>
            </w:r>
            <w:r/>
          </w:p>
        </w:tc>
        <w:tc>
          <w:tcPr>
            <w:tcBorders>
              <w:top w:val="none" w:color="000000" w:sz="4" w:space="0"/>
              <w:left w:val="none" w:color="000000" w:sz="4" w:space="0"/>
              <w:bottom w:val="single" w:color="000000" w:sz="8" w:space="0"/>
              <w:right w:val="single" w:color="000000" w:sz="8" w:space="0"/>
            </w:tcBorders>
            <w:tcW w:w="2040"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0.5</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0.5</w:t>
            </w:r>
            <w:r/>
          </w:p>
        </w:tc>
        <w:tc>
          <w:tcPr>
            <w:tcBorders>
              <w:top w:val="none" w:color="000000" w:sz="4" w:space="0"/>
              <w:left w:val="none" w:color="000000" w:sz="4" w:space="0"/>
              <w:bottom w:val="single" w:color="000000" w:sz="8" w:space="0"/>
              <w:right w:val="single" w:color="000000" w:sz="8" w:space="0"/>
            </w:tcBorders>
            <w:tcW w:w="1913"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0.5</w:t>
            </w:r>
            <w:r/>
          </w:p>
        </w:tc>
      </w:tr>
      <w:tr>
        <w:trPr>
          <w:jc w:val="center"/>
          <w:trHeight w:val="622"/>
          <w:tblHeader/>
        </w:trPr>
        <w:tc>
          <w:tcPr>
            <w:tcBorders>
              <w:top w:val="none" w:color="000000" w:sz="4" w:space="0"/>
              <w:left w:val="single" w:color="000000" w:sz="8" w:space="0"/>
              <w:bottom w:val="single" w:color="000000" w:sz="8" w:space="0"/>
              <w:right w:val="single" w:color="000000" w:sz="8" w:space="0"/>
            </w:tcBorders>
            <w:tcW w:w="211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rPr>
              <w:t xml:space="preserve">★</w:t>
            </w:r>
            <w:r>
              <w:rPr>
                <w:rFonts w:hint="eastAsia" w:asciiTheme="minorEastAsia" w:hAnsiTheme="minorEastAsia" w:eastAsiaTheme="minorEastAsia" w:cstheme="minorEastAsia"/>
                <w:color w:val="auto"/>
                <w:sz w:val="24"/>
                <w:szCs w:val="24"/>
                <w:lang w:bidi="ar"/>
              </w:rPr>
              <w:t xml:space="preserve">氯化钠（%）</w:t>
            </w:r>
            <w:r/>
          </w:p>
        </w:tc>
        <w:tc>
          <w:tcPr>
            <w:tcBorders>
              <w:top w:val="none" w:color="000000" w:sz="4" w:space="0"/>
              <w:left w:val="none" w:color="000000" w:sz="4" w:space="0"/>
              <w:bottom w:val="single" w:color="000000" w:sz="8" w:space="0"/>
              <w:right w:val="single" w:color="000000" w:sz="8" w:space="0"/>
            </w:tcBorders>
            <w:tcW w:w="1911"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0.3-0.8</w:t>
            </w:r>
            <w:r/>
          </w:p>
        </w:tc>
        <w:tc>
          <w:tcPr>
            <w:tcBorders>
              <w:top w:val="none" w:color="000000" w:sz="4" w:space="0"/>
              <w:left w:val="none" w:color="000000" w:sz="4" w:space="0"/>
              <w:bottom w:val="single" w:color="000000" w:sz="8" w:space="0"/>
              <w:right w:val="single" w:color="000000" w:sz="8" w:space="0"/>
            </w:tcBorders>
            <w:tcW w:w="1824"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0.3-0.8</w:t>
            </w:r>
            <w:r/>
          </w:p>
        </w:tc>
        <w:tc>
          <w:tcPr>
            <w:tcBorders>
              <w:top w:val="none" w:color="000000" w:sz="4" w:space="0"/>
              <w:left w:val="none" w:color="000000" w:sz="4" w:space="0"/>
              <w:bottom w:val="single" w:color="000000" w:sz="8" w:space="0"/>
              <w:right w:val="single" w:color="000000" w:sz="8" w:space="0"/>
            </w:tcBorders>
            <w:tcW w:w="187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0.3-0.8</w:t>
            </w:r>
            <w:r/>
          </w:p>
        </w:tc>
        <w:tc>
          <w:tcPr>
            <w:tcBorders>
              <w:top w:val="none" w:color="000000" w:sz="4" w:space="0"/>
              <w:left w:val="none" w:color="000000" w:sz="4" w:space="0"/>
              <w:bottom w:val="single" w:color="000000" w:sz="8" w:space="0"/>
              <w:right w:val="single" w:color="000000" w:sz="8" w:space="0"/>
            </w:tcBorders>
            <w:tcW w:w="2040"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0.3-0.8</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0.3-0.8</w:t>
            </w:r>
            <w:r/>
          </w:p>
        </w:tc>
        <w:tc>
          <w:tcPr>
            <w:tcBorders>
              <w:top w:val="none" w:color="000000" w:sz="4" w:space="0"/>
              <w:left w:val="none" w:color="000000" w:sz="4" w:space="0"/>
              <w:bottom w:val="single" w:color="000000" w:sz="8" w:space="0"/>
              <w:right w:val="single" w:color="000000" w:sz="8" w:space="0"/>
            </w:tcBorders>
            <w:tcW w:w="1913"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0.3-0.8</w:t>
            </w:r>
            <w:r/>
          </w:p>
        </w:tc>
      </w:tr>
      <w:tr>
        <w:trPr>
          <w:jc w:val="center"/>
          <w:trHeight w:val="622"/>
          <w:tblHeader/>
        </w:trPr>
        <w:tc>
          <w:tcPr>
            <w:tcBorders>
              <w:top w:val="none" w:color="000000" w:sz="4" w:space="0"/>
              <w:left w:val="single" w:color="000000" w:sz="8" w:space="0"/>
              <w:bottom w:val="single" w:color="000000" w:sz="8" w:space="0"/>
              <w:right w:val="single" w:color="000000" w:sz="8" w:space="0"/>
            </w:tcBorders>
            <w:tcW w:w="211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rPr>
              <w:t xml:space="preserve">★</w:t>
            </w:r>
            <w:r>
              <w:rPr>
                <w:rFonts w:hint="eastAsia" w:asciiTheme="minorEastAsia" w:hAnsiTheme="minorEastAsia" w:eastAsiaTheme="minorEastAsia" w:cstheme="minorEastAsia"/>
                <w:color w:val="auto"/>
                <w:sz w:val="24"/>
                <w:szCs w:val="24"/>
                <w:lang w:bidi="ar"/>
              </w:rPr>
              <w:t xml:space="preserve">赖氨酸≥（%）</w:t>
            </w:r>
            <w:r/>
          </w:p>
        </w:tc>
        <w:tc>
          <w:tcPr>
            <w:tcBorders>
              <w:top w:val="none" w:color="000000" w:sz="4" w:space="0"/>
              <w:left w:val="none" w:color="000000" w:sz="4" w:space="0"/>
              <w:bottom w:val="single" w:color="000000" w:sz="8" w:space="0"/>
              <w:right w:val="single" w:color="000000" w:sz="8" w:space="0"/>
            </w:tcBorders>
            <w:tcW w:w="1911"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1824"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0.9</w:t>
            </w:r>
            <w:r/>
          </w:p>
        </w:tc>
        <w:tc>
          <w:tcPr>
            <w:tcBorders>
              <w:top w:val="none" w:color="000000" w:sz="4" w:space="0"/>
              <w:left w:val="none" w:color="000000" w:sz="4" w:space="0"/>
              <w:bottom w:val="single" w:color="000000" w:sz="8" w:space="0"/>
              <w:right w:val="single" w:color="000000" w:sz="8" w:space="0"/>
            </w:tcBorders>
            <w:tcW w:w="187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2040"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0.9</w:t>
            </w:r>
            <w:r/>
          </w:p>
        </w:tc>
        <w:tc>
          <w:tcPr>
            <w:tcBorders>
              <w:top w:val="none" w:color="000000" w:sz="4" w:space="0"/>
              <w:left w:val="none" w:color="000000" w:sz="4" w:space="0"/>
              <w:bottom w:val="single" w:color="000000" w:sz="8" w:space="0"/>
              <w:right w:val="single" w:color="000000" w:sz="8" w:space="0"/>
            </w:tcBorders>
            <w:tcW w:w="1913"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1</w:t>
            </w:r>
            <w:r/>
          </w:p>
        </w:tc>
      </w:tr>
      <w:tr>
        <w:trPr>
          <w:jc w:val="center"/>
          <w:trHeight w:val="654"/>
          <w:tblHeader/>
        </w:trPr>
        <w:tc>
          <w:tcPr>
            <w:tcBorders>
              <w:top w:val="none" w:color="000000" w:sz="4" w:space="0"/>
              <w:left w:val="single" w:color="000000" w:sz="8" w:space="0"/>
              <w:bottom w:val="single" w:color="000000" w:sz="8" w:space="0"/>
              <w:right w:val="single" w:color="000000" w:sz="8" w:space="0"/>
            </w:tcBorders>
            <w:tcW w:w="211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rPr>
              <w:t xml:space="preserve">★</w:t>
            </w:r>
            <w:r>
              <w:rPr>
                <w:rFonts w:hint="eastAsia" w:asciiTheme="minorEastAsia" w:hAnsiTheme="minorEastAsia" w:eastAsiaTheme="minorEastAsia" w:cstheme="minorEastAsia"/>
                <w:color w:val="auto"/>
                <w:sz w:val="24"/>
                <w:szCs w:val="24"/>
                <w:lang w:bidi="ar"/>
              </w:rPr>
              <w:t xml:space="preserve">蛋氨酸≥（%）</w:t>
            </w:r>
            <w:r/>
          </w:p>
        </w:tc>
        <w:tc>
          <w:tcPr>
            <w:tcBorders>
              <w:top w:val="none" w:color="000000" w:sz="4" w:space="0"/>
              <w:left w:val="none" w:color="000000" w:sz="4" w:space="0"/>
              <w:bottom w:val="single" w:color="000000" w:sz="8" w:space="0"/>
              <w:right w:val="single" w:color="000000" w:sz="8" w:space="0"/>
            </w:tcBorders>
            <w:tcW w:w="1911"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0.4</w:t>
            </w:r>
            <w:r/>
          </w:p>
        </w:tc>
        <w:tc>
          <w:tcPr>
            <w:tcBorders>
              <w:top w:val="none" w:color="000000" w:sz="4" w:space="0"/>
              <w:left w:val="none" w:color="000000" w:sz="4" w:space="0"/>
              <w:bottom w:val="single" w:color="000000" w:sz="8" w:space="0"/>
              <w:right w:val="single" w:color="000000" w:sz="8" w:space="0"/>
            </w:tcBorders>
            <w:tcW w:w="1824"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0.3</w:t>
            </w:r>
            <w:r/>
          </w:p>
        </w:tc>
        <w:tc>
          <w:tcPr>
            <w:tcBorders>
              <w:top w:val="none" w:color="000000" w:sz="4" w:space="0"/>
              <w:left w:val="none" w:color="000000" w:sz="4" w:space="0"/>
              <w:bottom w:val="single" w:color="000000" w:sz="8" w:space="0"/>
              <w:right w:val="single" w:color="000000" w:sz="8" w:space="0"/>
            </w:tcBorders>
            <w:tcW w:w="187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0.4</w:t>
            </w:r>
            <w:r/>
          </w:p>
        </w:tc>
        <w:tc>
          <w:tcPr>
            <w:tcBorders>
              <w:top w:val="none" w:color="000000" w:sz="4" w:space="0"/>
              <w:left w:val="none" w:color="000000" w:sz="4" w:space="0"/>
              <w:bottom w:val="single" w:color="000000" w:sz="8" w:space="0"/>
              <w:right w:val="single" w:color="000000" w:sz="8" w:space="0"/>
            </w:tcBorders>
            <w:tcW w:w="2040"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0.4</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0.3</w:t>
            </w:r>
            <w:r/>
          </w:p>
        </w:tc>
        <w:tc>
          <w:tcPr>
            <w:tcBorders>
              <w:top w:val="none" w:color="000000" w:sz="4" w:space="0"/>
              <w:left w:val="none" w:color="000000" w:sz="4" w:space="0"/>
              <w:bottom w:val="single" w:color="000000" w:sz="8" w:space="0"/>
              <w:right w:val="single" w:color="000000" w:sz="8" w:space="0"/>
            </w:tcBorders>
            <w:tcW w:w="1913"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bidi="ar"/>
              </w:rPr>
              <w:t xml:space="preserve">0.4</w:t>
            </w:r>
            <w:r/>
          </w:p>
        </w:tc>
      </w:tr>
    </w:tbl>
    <w:p>
      <w:pPr>
        <w:ind w:firstLine="480"/>
        <w:spacing w:line="52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859"/>
        <w:spacing w:line="520" w:lineRule="exact"/>
        <w:rPr>
          <w:rFonts w:hint="eastAsia" w:ascii="宋体" w:hAnsi="宋体" w:eastAsia="宋体" w:cs="宋体"/>
          <w:b/>
          <w:bCs/>
          <w:color w:val="auto"/>
          <w:sz w:val="24"/>
          <w:szCs w:val="24"/>
        </w:rPr>
        <w:sectPr>
          <w:footnotePr/>
          <w:endnotePr/>
          <w:type w:val="nextPage"/>
          <w:pgSz w:w="16838" w:h="11906" w:orient="landscape"/>
          <w:pgMar w:top="1701" w:right="1247" w:bottom="1276" w:left="1417" w:header="850" w:footer="992" w:gutter="0"/>
          <w:cols w:num="1" w:sep="0" w:space="0" w:equalWidth="1"/>
          <w:docGrid w:linePitch="360"/>
          <w:titlePg/>
        </w:sectPr>
      </w:pPr>
      <w:r>
        <w:rPr>
          <w:rFonts w:hint="eastAsia" w:ascii="宋体" w:hAnsi="宋体" w:eastAsia="宋体" w:cs="宋体"/>
          <w:b/>
          <w:bCs/>
          <w:color w:val="auto"/>
          <w:sz w:val="24"/>
          <w:szCs w:val="24"/>
        </w:rPr>
      </w:r>
      <w:r/>
    </w:p>
    <w:p>
      <w:pPr>
        <w:pStyle w:val="859"/>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三、商务条款</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1.采购内容：畜牧园2026年苏牧黑羽番鸭（育种）饲料采购。</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2.合同履行期限：签订合同后1年内分多次供货，每次根据采购人通知要求3日内完成供货。</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报价是根据招标文件所确定的范围内的全部内容的价格体现，是为完成招标文件规定的工作所涉及的一切费用。总价为综合报价，应包括完成本项目工作所需的各项费用，招标文件未列明，而供应商认为必需的费用也需列入报价，采购人不再支付其他任何费用。</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4.合同形式：本项目为可变价合同，以玉米和豆粕市场价格波动调整合同</w:t>
      </w:r>
      <w:r>
        <w:rPr>
          <w:rFonts w:hint="eastAsia" w:ascii="宋体" w:hAnsi="宋体" w:eastAsia="宋体" w:cs="宋体"/>
          <w:color w:val="auto"/>
          <w:sz w:val="24"/>
          <w:szCs w:val="24"/>
        </w:rPr>
        <w:t xml:space="preserve">内饲料单价（中标价格）。调整规则为：各阶段调整后单价=相应阶段中标单价＋（玉米价格波动值×60%+豆粕价格波动值×25%）。若价格波动幅度在±20元/吨（含本数）内则本期价格不调整，价格波动幅度超出20元/吨则调实调整。玉米和豆粕市场价格参照第三方资讯平台（卓创资讯：https://grain.sci99.com）周平均价格，玉米以南通港到港价格为准，豆粕以泰州港到港价格为准，基准价为招标公告发布日的周平均价。每月10日为调价基准日（节假日往后顺延至第一个工作日），中标人需向招标人提供带有单位公章的调价函。</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合同履行中，采购人需追加与合同标的相同的货物的，在不改变合同其他条款的前提下，可以与中标供应商协商签订补充合同，但所有补充合同的采购金额不超过原合同金额的10%。</w:t>
      </w:r>
      <w:r/>
    </w:p>
    <w:p>
      <w:pPr>
        <w:ind w:firstLine="480"/>
        <w:spacing w:line="520" w:lineRule="exact"/>
        <w:rPr>
          <w:rFonts w:hint="eastAsia" w:ascii="宋体" w:hAnsi="宋体" w:eastAsia="宋体" w:cs="宋体"/>
          <w:color w:val="auto"/>
          <w:sz w:val="24"/>
          <w:szCs w:val="24"/>
        </w:rPr>
      </w:pPr>
      <w:r/>
      <w:bookmarkStart w:id="50" w:name="_Hlk119487402"/>
      <w:r>
        <w:rPr>
          <w:rFonts w:hint="eastAsia" w:ascii="宋体" w:hAnsi="宋体" w:eastAsia="宋体" w:cs="宋体"/>
          <w:color w:val="auto"/>
          <w:sz w:val="24"/>
          <w:szCs w:val="24"/>
        </w:rPr>
        <w:t xml:space="preserve">5.付款方式：招标人每次购料后，中标人必须开具正式发票，单位抬头为江苏农牧科技职业学院。每次购料后凭正式发票支付货款，报销周期为1个月（如遇特殊情况则由中标人与招标人双方沟通协商确定）。</w:t>
      </w:r>
      <w:bookmarkEnd w:id="50"/>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6.履约保证金：</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金额：中标价的10%计取；</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形式：保函、电汇、转账、汇票或支票、保证保险等；</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提交时间：中标供应商必须在收到中标通知书后5日内，将履约保证金交至采购人，中标人未按上述要求提交履约保证金的，采购人可取消其中标资格；</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退还时间：在合同期限结束且经双方验收合格后，无息退还。</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注：电子履约保函相关要求执行市财政局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7.签订合同后，中标供应商不得进行转包。未经采购人同意，中标供应商不得采用分包的形式履行合同。否则采购人有权终止合同。转包或分包造成采购人损失的，中标供应商还应承担相应赔偿责任。</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8.对有失信行为的供应商，除给予列入学校采购黑名单，三年内拒绝其参加学校采购活动的，同时给予：</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（1）在采购活动环节的，取消其参与本项目的资格。</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（2）在合同签订与履约环节，尚未签订合同的，取消其本项目中标（成交）资格。已签订合同的，按合同约定追究违约责任。</w:t>
      </w:r>
      <w:r/>
    </w:p>
    <w:p>
      <w:pPr>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（3）在监督检查环节的，按合同约定追究其违约责任。</w:t>
      </w:r>
      <w:r/>
    </w:p>
    <w:p>
      <w:pPr>
        <w:ind w:firstLine="480"/>
        <w:jc w:val="left"/>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失信行为清单及认定办法详见《江苏农牧科技职业学院采购供应商管理实施细则》，文件查询网址：https://www.jsahvc.edu.cn/zcgl/2025/0701/c2858a168884/page.htm。</w:t>
      </w:r>
      <w:r/>
    </w:p>
    <w:p>
      <w:pPr>
        <w:pStyle w:val="864"/>
        <w:spacing w:line="52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四、技术方案</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（一）质量保障措施</w:t>
      </w:r>
      <w:r/>
    </w:p>
    <w:p>
      <w:pPr>
        <w:pStyle w:val="864"/>
        <w:ind w:firstLine="480"/>
        <w:spacing w:line="520" w:lineRule="exact"/>
        <w:widowControl/>
        <w:rPr>
          <w:rFonts w:hint="eastAsia" w:ascii="宋体" w:hAnsi="宋体" w:eastAsia="宋体" w:cs="宋体"/>
          <w:color w:val="auto"/>
          <w:sz w:val="24"/>
          <w:szCs w:val="24"/>
        </w:rPr>
      </w:pPr>
      <w:r>
        <w:rPr>
          <w:rFonts w:ascii="宋体" w:hAnsi="宋体" w:eastAsia="宋体" w:cs="宋体"/>
          <w:color w:val="auto"/>
          <w:sz w:val="24"/>
          <w:szCs w:val="24"/>
        </w:rPr>
        <w:t xml:space="preserve">1.每班次完整记录：大料投料、粉碎、大料配料、小料配制复核、中控、制粒/膨化、包装、标签领用、生产线清洗、清洗料使用记录，记录保存≥2年。</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ascii="宋体" w:hAnsi="宋体" w:eastAsia="宋体" w:cs="宋体"/>
          <w:color w:val="auto"/>
          <w:sz w:val="24"/>
          <w:szCs w:val="24"/>
        </w:rPr>
        <w:t xml:space="preserve">.具备完善的质量管理体系。原料质量控制（进货管控）制度包括：入厂验收（逐批）、仓储管控管理。生产过程质量控制包括配方管理、工艺与现场质量巡查。具备独立的检验化验室及检验管控制度。</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ascii="宋体" w:hAnsi="宋体" w:eastAsia="宋体" w:cs="宋体"/>
          <w:color w:val="auto"/>
          <w:sz w:val="24"/>
          <w:szCs w:val="24"/>
        </w:rPr>
        <w:t xml:space="preserve">.记录与可追溯原料进货记录、小料配制记录、配料记录、生产记录、清洗记录、检验记录、留样记录、不合格处置记录全部留存≥2年，实现从原料到成品销售全程可追溯。</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（二）配送方案及应急保障措施</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1.供货保障：建立专属货源储备，根据采购人日常用料需求提前备货，常备安全库存，确保饲料货源充足、批次稳定，杜绝缺货、断货情况。所有供货饲料均符合质量标准。</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2.配送方式：采用专用封闭式饲料运输车辆配送，专车专用，运输过程中做好防潮、防晒、防尘、防污染保护，保证饲料无受潮、无结块、无变质。根据采购人需求实行定点、定时配送，按需送货上门。</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3.到货验收：货物送达后主动配合采购人验收，核对饲料规格、数量、批次及质量情况，对破损、受潮、不合格产品一周内无条件免费更换。</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4.应急服务保障：针对本项目供货及服务内容，提供为应对突发事件、紧急任务等情况提供的应急服务保障方案。根据采购人要求在收到通知后1小时内响应，12小时内提出解决方案并完成。</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（三）生物安全防控措施</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备规范的生产工作人员生物安全防控管理制度。所有涉饲料采购、验收、仓储、作业人员必须完成生物安全专项培训并考核合格，签订生物安全责任承诺书，持证上岗。新入职、临时人员未经培训及考核，严禁进入生产仓储核心区域。严格执行分区准入制度，外来访客、外协人员未经负责人审批、登记及消杀，严禁进入饲料验收区、存储区、生产加工区等核心区域，来访全程专人陪同。建立月度培训、季度考核机制，培训内容涵盖生物安全风险识别、消杀规范、禁忌操作、应急处置等，考核结果纳入岗位绩效，不合格人员暂停上岗。</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备规范的物资生物安全管理制度。所有霉变、污染、过期、虫蛀、检测超标的不合格饲料物资，第一时间转运至专用隔离区封存，张贴明显不合格标识，严禁混入合格物料、严禁私自使用、严禁随意堆放。废弃饲料、破损包装、污染杂物实行密闭收集、集中存放，定期开展无害化处置，采用深埋、高温销毁、合规清运等方式处理，全程拍照留存、台账登记，杜绝废弃物资滋生有害生物、造成厂区二次污染。建立不合格物资处置台账，详细记录问题物资批次、数量、问题原因、处置方式、处置时间、责任人，实现问题溯源、闭环整改。</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备规范的进出生产区车辆生物安全管理制度。所有运输车辆必须进行消毒处理，所有饲料运输、外来作业车辆入场必须提前报备，登记车牌、驾乘人员信息、运输物料、进出时段，经审批后方可入场；严禁无报备、无审批、车身脏乱、携带泥土杂草、生活垃圾、虫卵污染物的车辆入场；严禁来自畜禽疫区、高污染区域车辆进入厂区。内部作业车辆统一备案管理，非作业车辆禁止进入生产仓储核心区域。</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（四）售后服务</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1.投标人须单独编制售后服务方案，提供自验收合格之日起免费售后服务期限不少于18个月。</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2.投标人完整列明售后总负责人、项目专属售后对接专员姓名及24小时联系电话，仅提供企业总机不予认可。</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3.售后服务响应时间：接到采购人服务需求时2小时内应答，并于24小时内处理完成。</w:t>
      </w:r>
      <w:r/>
    </w:p>
    <w:p>
      <w:pPr>
        <w:pStyle w:val="864"/>
        <w:ind w:firstLine="480"/>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4.提供技术指导服务、反馈处理机制、产品优化和少量定制料服务等。</w:t>
      </w:r>
      <w:r/>
    </w:p>
    <w:p>
      <w:pPr>
        <w:ind w:firstLine="480"/>
        <w:jc w:val="left"/>
        <w:spacing w:line="5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64"/>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520" w:lineRule="exact"/>
        <w:widowControl/>
        <w:rPr>
          <w:rFonts w:hint="eastAsia" w:ascii="宋体" w:hAnsi="宋体" w:eastAsia="宋体" w:cs="宋体"/>
          <w:b/>
          <w:bCs/>
          <w:color w:val="auto"/>
          <w:sz w:val="24"/>
          <w:szCs w:val="24"/>
        </w:rPr>
        <w:sectPr>
          <w:footnotePr/>
          <w:endnotePr/>
          <w:type w:val="nextPage"/>
          <w:pgSz w:w="11906" w:h="16838" w:orient="portrait"/>
          <w:pgMar w:top="1247" w:right="1276" w:bottom="1417" w:left="1701" w:header="850" w:footer="992" w:gutter="0"/>
          <w:cols w:num="1" w:sep="0" w:space="0" w:equalWidth="1"/>
          <w:docGrid w:linePitch="360"/>
          <w:titlePg/>
        </w:sectPr>
      </w:pPr>
      <w:r>
        <w:rPr>
          <w:rFonts w:hint="eastAsia" w:ascii="宋体" w:hAnsi="宋体" w:eastAsia="宋体" w:cs="宋体"/>
          <w:b/>
          <w:bCs/>
          <w:color w:val="auto"/>
          <w:sz w:val="24"/>
          <w:szCs w:val="24"/>
        </w:rPr>
      </w:r>
      <w:bookmarkEnd w:id="46"/>
      <w:r/>
      <w:bookmarkEnd w:id="48"/>
      <w:r/>
      <w:r/>
    </w:p>
    <w:p>
      <w:pPr>
        <w:pStyle w:val="846"/>
        <w:rPr>
          <w:rFonts w:hint="eastAsia"/>
          <w:color w:val="auto"/>
        </w:rPr>
      </w:pPr>
      <w:r/>
      <w:bookmarkStart w:id="51" w:name="_Toc388026588"/>
      <w:r/>
      <w:bookmarkStart w:id="52" w:name="_Toc409438821"/>
      <w:r/>
      <w:bookmarkStart w:id="53" w:name="_Toc26883"/>
      <w:r/>
      <w:bookmarkStart w:id="54" w:name="OLE_LINK32"/>
      <w:r>
        <w:rPr>
          <w:rFonts w:hint="eastAsia"/>
          <w:color w:val="auto"/>
        </w:rPr>
        <w:t xml:space="preserve">第四章 评标办法及标准</w:t>
      </w:r>
      <w:bookmarkEnd w:id="51"/>
      <w:r/>
      <w:bookmarkEnd w:id="52"/>
      <w:r/>
      <w:bookmarkEnd w:id="53"/>
      <w:r/>
      <w:bookmarkEnd w:id="54"/>
      <w:r/>
      <w:r/>
    </w:p>
    <w:p>
      <w:pPr>
        <w:pStyle w:val="1150"/>
        <w:ind w:firstLine="480"/>
        <w:spacing w:line="520" w:lineRule="exact"/>
        <w:rPr>
          <w:rFonts w:hint="eastAsia" w:hAnsi="宋体" w:eastAsia="宋体" w:cs="宋体"/>
          <w:color w:val="auto"/>
          <w:sz w:val="24"/>
          <w:szCs w:val="18"/>
        </w:rPr>
      </w:pPr>
      <w:r>
        <w:rPr>
          <w:rFonts w:hint="eastAsia" w:hAnsi="宋体" w:eastAsia="宋体" w:cs="宋体"/>
          <w:color w:val="auto"/>
          <w:sz w:val="24"/>
          <w:szCs w:val="24"/>
        </w:rPr>
        <w:t xml:space="preserve">1.本次招标评标采用</w:t>
      </w:r>
      <w:r>
        <w:rPr>
          <w:rFonts w:hint="eastAsia" w:hAnsi="宋体" w:eastAsia="宋体" w:cs="宋体"/>
          <w:b/>
          <w:bCs/>
          <w:color w:val="auto"/>
          <w:sz w:val="24"/>
          <w:szCs w:val="24"/>
          <w:u w:val="single"/>
        </w:rPr>
        <w:t xml:space="preserve">综合评分法</w:t>
      </w:r>
      <w:r>
        <w:rPr>
          <w:rFonts w:hint="eastAsia" w:hAnsi="宋体" w:eastAsia="宋体" w:cs="宋体"/>
          <w:color w:val="auto"/>
          <w:sz w:val="24"/>
          <w:szCs w:val="24"/>
        </w:rPr>
        <w:t xml:space="preserve">。即在满足招标文件实质性要求前提下，按照招标文件中规定的评分标准和各项因素进行综合评审后，以评标总得分最高的投标人作为中标候选供应商或中标人。</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2.评标时，评标委员会成员按照招标文件规定的评分标准，独立对每个投标人的投标文件进行评价、打分。价格得分按相关规定的计算公式直接计算取得。评分过程中采用“四舍五入”法，并保留小数点后2位。</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3.评分标准</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（1）评标采用综合评分法。</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（2）评标考虑的主要因素及其权值：详见评分细则。</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szCs w:val="28"/>
        </w:rPr>
        <w:t xml:space="preserve">4.</w:t>
      </w:r>
      <w:r>
        <w:rPr>
          <w:rFonts w:hint="eastAsia" w:ascii="宋体" w:hAnsi="宋体" w:eastAsia="宋体" w:cs="宋体"/>
          <w:color w:val="auto"/>
          <w:sz w:val="24"/>
        </w:rPr>
        <w:t xml:space="preserve">关于异常低价的审查（本项目</w:t>
      </w:r>
      <w:r>
        <w:rPr>
          <w:rFonts w:hint="eastAsia" w:ascii="宋体" w:hAnsi="宋体" w:eastAsia="宋体" w:cs="宋体"/>
          <w:bCs/>
          <w:color w:val="auto"/>
          <w:sz w:val="24"/>
          <w:szCs w:val="24"/>
        </w:rPr>
        <w:t xml:space="preserve">固定单价报价，报价不参与下浮，该条款不适用</w:t>
      </w:r>
      <w:r>
        <w:rPr>
          <w:rFonts w:hint="eastAsia" w:ascii="宋体" w:hAnsi="宋体" w:eastAsia="宋体" w:cs="宋体"/>
          <w:color w:val="auto"/>
          <w:sz w:val="24"/>
        </w:rPr>
        <w:t xml:space="preserve">）</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根据财库〔2026〕2号文《财政部关于推动解决政府采购异常低价问题的通知》：</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（1）政府采购评审中出现下列情形之一的，评审委员会应当启动异常低价投标（响应）审查程序：</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①投标（响应）报价低于全部通过符合性审查供应商投标（响应）报价平均值50%的，即投标（响应）报价&lt;全部通过符合性审查供应商投标（响应）报价平均值×50%；</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②投标（响应）报价低于通过符合性审查的次低报价供应商投标（响应）报价50%的，即投标（响应）报价&lt;通过符合性审查的次低报价供应商投标（响应）报价×50%；</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③投标（响应）报价低于采购项目最高限价45%的，即投标（响应）报价&lt;采购项目最高限价×45%；</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④评审委员会基于专业判断，认为供应商报价过低，有可能影响产品质量或者不能诚信履约的其他情形。</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1"/>
        <w:ind w:firstLine="480"/>
        <w:spacing w:line="520" w:lineRule="exact"/>
        <w:rPr>
          <w:rFonts w:hint="eastAsia" w:hAnsi="宋体" w:eastAsia="宋体" w:cs="宋体"/>
          <w:b/>
          <w:bCs/>
          <w:color w:val="auto"/>
          <w:sz w:val="24"/>
          <w:szCs w:val="28"/>
        </w:rPr>
      </w:pPr>
      <w:r>
        <w:rPr>
          <w:rFonts w:hint="eastAsia" w:hAnsi="宋体" w:eastAsia="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5.评标委员会应根据各投标人的最终得分，按照从高到低的顺序进行排序。当投标人最终得分相同时，投标报价低者居前，如投标报价也相同，技术得分高者居前，如技术得分也相同，招标人可抽签确定中标人。</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6.确定中标候选人：根据各投标人的排序，评标委员会应在评标报告中推选前3名作为中标候选人。</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确定中标人：招标人应当确定排名第一的中标候选人为中标人。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p>
    <w:p>
      <w:pPr>
        <w:pStyle w:val="871"/>
        <w:ind w:firstLine="480"/>
        <w:spacing w:line="520" w:lineRule="exact"/>
        <w:rPr>
          <w:rFonts w:hint="eastAsia" w:hAnsi="宋体" w:eastAsia="宋体" w:cs="宋体"/>
          <w:color w:val="auto"/>
          <w:sz w:val="24"/>
          <w:szCs w:val="24"/>
        </w:rPr>
        <w:sectPr>
          <w:footerReference w:type="default" r:id="rId14"/>
          <w:footnotePr/>
          <w:endnotePr/>
          <w:type w:val="nextPage"/>
          <w:pgSz w:w="11906" w:h="16838" w:orient="portrait"/>
          <w:pgMar w:top="1247" w:right="1276" w:bottom="1417" w:left="1701" w:header="850" w:footer="992" w:gutter="0"/>
          <w:cols w:num="1" w:sep="0" w:space="0" w:equalWidth="1"/>
          <w:docGrid w:linePitch="360"/>
          <w:titlePg/>
        </w:sectPr>
      </w:pPr>
      <w:r>
        <w:rPr>
          <w:rFonts w:hint="eastAsia" w:hAnsi="宋体" w:eastAsia="宋体" w:cs="宋体"/>
          <w:color w:val="auto"/>
          <w:sz w:val="24"/>
          <w:szCs w:val="24"/>
        </w:rPr>
        <w:t xml:space="preserve">8.本办法未尽事宜，由评标委员会依据有关法规研究解决。</w:t>
      </w:r>
      <w:r/>
    </w:p>
    <w:p>
      <w:pPr>
        <w:pStyle w:val="871"/>
        <w:ind w:firstLine="482"/>
        <w:spacing w:line="520" w:lineRule="exact"/>
        <w:rPr>
          <w:rFonts w:hint="eastAsia" w:hAnsi="宋体" w:eastAsia="宋体" w:cs="宋体"/>
          <w:b/>
          <w:bCs/>
          <w:color w:val="auto"/>
          <w:sz w:val="24"/>
          <w:szCs w:val="28"/>
        </w:rPr>
      </w:pPr>
      <w:r>
        <w:rPr>
          <w:rFonts w:hint="eastAsia" w:hAnsi="宋体" w:eastAsia="宋体" w:cs="宋体"/>
          <w:b/>
          <w:bCs/>
          <w:color w:val="auto"/>
          <w:sz w:val="24"/>
          <w:szCs w:val="28"/>
        </w:rPr>
        <w:t xml:space="preserve">评分细则：</w:t>
      </w:r>
      <w:r/>
    </w:p>
    <w:tbl>
      <w:tblPr>
        <w:tblStyle w:val="856"/>
        <w:tblpPr w:horzAnchor="margin" w:tblpX="1" w:vertAnchor="text" w:tblpY="49" w:leftFromText="180" w:topFromText="0" w:rightFromText="180" w:bottomFromText="0"/>
        <w:tblW w:w="94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241"/>
        <w:gridCol w:w="6519"/>
        <w:gridCol w:w="948"/>
      </w:tblGrid>
      <w:tr>
        <w:trPr>
          <w:trHeight w:val="567"/>
        </w:trPr>
        <w:tc>
          <w:tcPr>
            <w:tcW w:w="734" w:type="dxa"/>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tcW w:w="1241" w:type="dxa"/>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评分因素</w:t>
            </w:r>
            <w:r/>
          </w:p>
        </w:tc>
        <w:tc>
          <w:tcPr>
            <w:tcW w:w="6519" w:type="dxa"/>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评审标准</w:t>
            </w:r>
            <w:r/>
          </w:p>
        </w:tc>
        <w:tc>
          <w:tcPr>
            <w:tcW w:w="948" w:type="dxa"/>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分值</w:t>
            </w:r>
            <w:r/>
          </w:p>
        </w:tc>
      </w:tr>
      <w:tr>
        <w:trPr>
          <w:trHeight w:val="585"/>
        </w:trPr>
        <w:tc>
          <w:tcPr>
            <w:gridSpan w:val="4"/>
            <w:tcW w:w="944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一、报价部分（40分）</w:t>
            </w:r>
            <w:r/>
          </w:p>
        </w:tc>
      </w:tr>
      <w:tr>
        <w:trPr>
          <w:trHeight w:val="1153"/>
        </w:trPr>
        <w:tc>
          <w:tcPr>
            <w:tcW w:w="734"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tcW w:w="1241"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投标报价</w:t>
            </w:r>
            <w:r/>
          </w:p>
        </w:tc>
        <w:tc>
          <w:tcPr>
            <w:tcW w:w="6519"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满足招标文件要求且报价最低的投标人报价为评标基准价，其价格分为满分，其他投标人的价格分按照以下公式计算：投标报价得分=（评标基准价/该投标人的投标报价）*40。</w:t>
            </w:r>
            <w:r/>
          </w:p>
        </w:tc>
        <w:tc>
          <w:tcPr>
            <w:tcW w:w="948"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40分</w:t>
            </w:r>
            <w:r/>
          </w:p>
        </w:tc>
      </w:tr>
      <w:tr>
        <w:trPr>
          <w:trHeight w:val="585"/>
        </w:trPr>
        <w:tc>
          <w:tcPr>
            <w:gridSpan w:val="4"/>
            <w:tcW w:w="944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二、商务部分（31分）</w:t>
            </w:r>
            <w:r/>
          </w:p>
        </w:tc>
      </w:tr>
      <w:tr>
        <w:trPr>
          <w:trHeight w:val="1570"/>
        </w:trPr>
        <w:tc>
          <w:tcPr>
            <w:tcW w:w="734"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tcW w:w="124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企业业绩</w:t>
            </w:r>
            <w:r/>
          </w:p>
        </w:tc>
        <w:tc>
          <w:tcPr>
            <w:tcW w:w="6519" w:type="dxa"/>
            <w:vAlign w:val="center"/>
            <w:textDirection w:val="lrTb"/>
            <w:noWrap w:val="false"/>
          </w:tcPr>
          <w:p>
            <w:pPr>
              <w:ind w:left="41" w:hanging="4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szCs w:val="24"/>
              </w:rPr>
              <w:t xml:space="preserve">投标人提供近一年（2025年1月1日至今）已完成的本项目对应品种的供货业绩，每提供一项得4分，</w:t>
            </w:r>
            <w:r>
              <w:rPr>
                <w:rFonts w:hint="eastAsia" w:asciiTheme="minorEastAsia" w:hAnsiTheme="minorEastAsia" w:eastAsiaTheme="minorEastAsia" w:cstheme="minorEastAsia"/>
                <w:color w:val="auto"/>
                <w:sz w:val="24"/>
              </w:rPr>
              <w:t xml:space="preserve">该项最多得8分</w:t>
            </w:r>
            <w:r>
              <w:rPr>
                <w:rFonts w:hint="eastAsia" w:asciiTheme="minorEastAsia" w:hAnsiTheme="minorEastAsia" w:eastAsiaTheme="minorEastAsia" w:cstheme="minorEastAsia"/>
                <w:color w:val="auto"/>
                <w:sz w:val="24"/>
                <w:szCs w:val="24"/>
              </w:rPr>
              <w:t xml:space="preserve">。业绩证明材料包括业绩合同和货款结算财务证明加盖公章。如经评标委员会认定所提供的证明材料残缺不全、模糊难辨或未提供或提供不全者不得分。</w:t>
            </w:r>
            <w:r/>
          </w:p>
        </w:tc>
        <w:tc>
          <w:tcPr>
            <w:tcW w:w="948"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rPr>
              <w:t xml:space="preserve">8分</w:t>
            </w:r>
            <w:r/>
          </w:p>
        </w:tc>
      </w:tr>
      <w:tr>
        <w:trPr>
          <w:trHeight w:val="2948"/>
        </w:trPr>
        <w:tc>
          <w:tcPr>
            <w:tcW w:w="734"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tcW w:w="1241" w:type="dxa"/>
            <w:vAlign w:val="center"/>
            <w:textDirection w:val="lrTb"/>
            <w:noWrap w:val="false"/>
          </w:tcPr>
          <w:p>
            <w:pPr>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品质控制</w:t>
            </w:r>
            <w:r/>
          </w:p>
        </w:tc>
        <w:tc>
          <w:tcPr>
            <w:tcW w:w="6519" w:type="dxa"/>
            <w:vAlign w:val="center"/>
            <w:textDirection w:val="lrTb"/>
            <w:noWrap w:val="false"/>
          </w:tcPr>
          <w:p>
            <w:pPr>
              <w:ind w:left="1"/>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（1）投标人具有有效的ISO9001质量管理体系、ISO22000食品安全管理体系，每提供一个得3分，该项最多得6分。</w:t>
            </w:r>
            <w:r/>
          </w:p>
          <w:p>
            <w:pPr>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（2）提供2025年1月至今所投产品质量的检测报告单，每提供1份自检报告得1分，最高得2分；每提供1份具有资质的第三方检测报告得2分。该项最多得4分。</w:t>
            </w:r>
            <w:r/>
          </w:p>
          <w:p>
            <w:pPr>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（3）投标人所投产品具有的产品企业标准及标签，每提供1份，得1分，该项最多得5分。</w:t>
            </w:r>
            <w:r/>
          </w:p>
          <w:p>
            <w:pPr>
              <w:ind w:left="41" w:hanging="4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注：提供证书、报告、企业标准及标签的扫描件或复印件并加盖公章，否则不得分。</w:t>
            </w:r>
            <w:r/>
          </w:p>
        </w:tc>
        <w:tc>
          <w:tcPr>
            <w:tcW w:w="948"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rPr>
              <w:t xml:space="preserve">15分</w:t>
            </w:r>
            <w:r/>
          </w:p>
        </w:tc>
      </w:tr>
      <w:tr>
        <w:trPr>
          <w:trHeight w:val="2252"/>
        </w:trPr>
        <w:tc>
          <w:tcPr>
            <w:tcW w:w="734" w:type="dxa"/>
            <w:vAlign w:val="center"/>
            <w:textDirection w:val="lrTb"/>
            <w:noWrap w:val="false"/>
          </w:tcPr>
          <w:p>
            <w:pPr>
              <w:ind w:left="41" w:hanging="4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w:t>
            </w:r>
            <w:r/>
          </w:p>
        </w:tc>
        <w:tc>
          <w:tcPr>
            <w:tcW w:w="1241" w:type="dxa"/>
            <w:vAlign w:val="center"/>
            <w:textDirection w:val="lrTb"/>
            <w:noWrap w:val="false"/>
          </w:tcPr>
          <w:p>
            <w:pPr>
              <w:ind w:left="41" w:hanging="4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人员配备</w:t>
            </w:r>
            <w:r/>
          </w:p>
        </w:tc>
        <w:tc>
          <w:tcPr>
            <w:tcW w:w="6519" w:type="dxa"/>
            <w:vAlign w:val="center"/>
            <w:textDirection w:val="lrTb"/>
            <w:noWrap w:val="false"/>
          </w:tcPr>
          <w:p>
            <w:pPr>
              <w:ind w:left="41" w:hanging="4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投标人提供配送及服务本项目的人员为不少于3人，其中有一个本科及以上学历得1分，该项最多得3分。未提供得0分。</w:t>
            </w:r>
            <w:r/>
          </w:p>
          <w:p>
            <w:pPr>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注：提供本项目服务人员的身份证、毕业证书、有效的相关职称（如有）扫描件</w:t>
            </w:r>
            <w:r>
              <w:rPr>
                <w:rFonts w:hint="eastAsia" w:asciiTheme="minorEastAsia" w:hAnsiTheme="minorEastAsia" w:eastAsiaTheme="minorEastAsia" w:cstheme="minorEastAsia"/>
                <w:color w:val="auto"/>
                <w:sz w:val="24"/>
                <w:szCs w:val="24"/>
              </w:rPr>
              <w:t xml:space="preserve">及投标截止时间（不含投标当月）前六个月（2026年5月至2026年10月）任意一个月的社保证明扫描件加盖公章作为得分依据；如为退休返聘人员，则提供返聘合同扫描件加盖公章作为得分依据。</w:t>
            </w:r>
            <w:r/>
          </w:p>
        </w:tc>
        <w:tc>
          <w:tcPr>
            <w:tcW w:w="948" w:type="dxa"/>
            <w:vAlign w:val="center"/>
            <w:textDirection w:val="lrTb"/>
            <w:noWrap w:val="false"/>
          </w:tcPr>
          <w:p>
            <w:pPr>
              <w:ind w:left="41" w:hanging="4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3分</w:t>
            </w:r>
            <w:r/>
          </w:p>
        </w:tc>
      </w:tr>
      <w:tr>
        <w:trPr>
          <w:trHeight w:val="1369"/>
        </w:trPr>
        <w:tc>
          <w:tcPr>
            <w:tcW w:w="734"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tcW w:w="124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供货响应时间</w:t>
            </w:r>
            <w:r/>
          </w:p>
        </w:tc>
        <w:tc>
          <w:tcPr>
            <w:tcW w:w="6519" w:type="dxa"/>
            <w:vAlign w:val="center"/>
            <w:textDirection w:val="lrTb"/>
            <w:noWrap w:val="false"/>
          </w:tcPr>
          <w:p>
            <w:pPr>
              <w:pStyle w:val="913"/>
              <w:jc w:val="both"/>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0"/>
              </w:rPr>
              <w:t xml:space="preserve">投标人收到采购单位（甲方）通知后，按照甲方要求进行供货，并保证1日内到货交付的，得5分，3日（不含3日）及以内到货的，得3分。须提供承诺书（格式自拟），未提供不得分。</w:t>
            </w:r>
            <w:r/>
          </w:p>
        </w:tc>
        <w:tc>
          <w:tcPr>
            <w:tcW w:w="948"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rPr>
              <w:t xml:space="preserve">5分</w:t>
            </w:r>
            <w:r/>
          </w:p>
        </w:tc>
      </w:tr>
      <w:tr>
        <w:trPr>
          <w:trHeight w:val="559"/>
        </w:trPr>
        <w:tc>
          <w:tcPr>
            <w:gridSpan w:val="4"/>
            <w:tcW w:w="944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三、技术部分（29分）</w:t>
            </w:r>
            <w:r/>
          </w:p>
        </w:tc>
      </w:tr>
      <w:tr>
        <w:trPr>
          <w:trHeight w:val="852"/>
        </w:trPr>
        <w:tc>
          <w:tcPr>
            <w:tcW w:w="734"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tcW w:w="1241" w:type="dxa"/>
            <w:vAlign w:val="center"/>
            <w:textDirection w:val="lrTb"/>
            <w:noWrap w:val="false"/>
          </w:tcPr>
          <w:p>
            <w:pPr>
              <w:contextualSpacing/>
              <w:jc w:val="center"/>
              <w:rPr>
                <w:rFonts w:hint="eastAsia" w:asciiTheme="minorEastAsia" w:hAnsiTheme="minorEastAsia" w:eastAsiaTheme="minorEastAsia" w:cstheme="minorEastAsia"/>
                <w:bCs/>
                <w:color w:val="auto"/>
                <w:spacing w:val="7"/>
                <w:sz w:val="24"/>
              </w:rPr>
            </w:pPr>
            <w:r>
              <w:rPr>
                <w:rFonts w:hint="eastAsia" w:asciiTheme="minorEastAsia" w:hAnsiTheme="minorEastAsia" w:eastAsiaTheme="minorEastAsia" w:cstheme="minorEastAsia"/>
                <w:bCs/>
                <w:color w:val="auto"/>
                <w:spacing w:val="7"/>
                <w:sz w:val="24"/>
              </w:rPr>
              <w:t xml:space="preserve">质量保障措施</w:t>
            </w:r>
            <w:r/>
          </w:p>
        </w:tc>
        <w:tc>
          <w:tcPr>
            <w:tcW w:w="6519"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评委根据投标文件对招标文件第三章“采购需求”中“</w:t>
            </w:r>
            <w:r>
              <w:rPr>
                <w:rFonts w:hint="eastAsia" w:asciiTheme="minorEastAsia" w:hAnsiTheme="minorEastAsia" w:eastAsiaTheme="minorEastAsia" w:cstheme="minorEastAsia"/>
                <w:bCs/>
                <w:color w:val="auto"/>
                <w:spacing w:val="7"/>
                <w:sz w:val="24"/>
              </w:rPr>
              <w:t xml:space="preserve">质量保障措施</w:t>
            </w:r>
            <w:r>
              <w:rPr>
                <w:rFonts w:hint="eastAsia" w:asciiTheme="minorEastAsia" w:hAnsiTheme="minorEastAsia" w:eastAsiaTheme="minorEastAsia" w:cstheme="minorEastAsia"/>
                <w:color w:val="auto"/>
                <w:sz w:val="24"/>
              </w:rPr>
              <w:t xml:space="preserve">”要求的响应情况进行评审，包括但不限于产品检测设施、品质控制体系、产品质量控制等方面。</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（1）投标文件未针对以上每一项内容进行阐述，未符合</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bCs/>
                <w:color w:val="auto"/>
                <w:spacing w:val="7"/>
                <w:sz w:val="24"/>
              </w:rPr>
              <w:t xml:space="preserve">质量保障措施</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中全部条款要求的，视为不符合招标文件，本项得0分。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（2）投标文件针对以上每一项内容进行阐述，符合</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bCs/>
                <w:color w:val="auto"/>
                <w:spacing w:val="7"/>
                <w:sz w:val="24"/>
              </w:rPr>
              <w:t xml:space="preserve">质量保障措施</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中全部条款要求的，视为符合招标文件，本项得3分。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（3）投标文件针对以上每一项内容进行阐述，符合</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bCs/>
                <w:color w:val="auto"/>
                <w:spacing w:val="7"/>
                <w:sz w:val="24"/>
              </w:rPr>
              <w:t xml:space="preserve">质量保障措施</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中全部条款要求的，且有两项及以上优于条款要求的，本项得6分。</w:t>
            </w:r>
            <w:r/>
          </w:p>
        </w:tc>
        <w:tc>
          <w:tcPr>
            <w:tcW w:w="948" w:type="dxa"/>
            <w:vAlign w:val="center"/>
            <w:textDirection w:val="lrTb"/>
            <w:noWrap w:val="false"/>
          </w:tcPr>
          <w:p>
            <w:pPr>
              <w:jc w:val="center"/>
              <w:rPr>
                <w:rFonts w:hint="eastAsia" w:asciiTheme="minorEastAsia" w:hAnsiTheme="minorEastAsia" w:eastAsiaTheme="minorEastAsia" w:cstheme="minorEastAsia"/>
                <w:bCs/>
                <w:color w:val="auto"/>
                <w:spacing w:val="7"/>
                <w:sz w:val="24"/>
              </w:rPr>
            </w:pPr>
            <w:r>
              <w:rPr>
                <w:rFonts w:hint="eastAsia" w:asciiTheme="minorEastAsia" w:hAnsiTheme="minorEastAsia" w:eastAsiaTheme="minorEastAsia" w:cstheme="minorEastAsia"/>
                <w:bCs/>
                <w:color w:val="auto"/>
                <w:spacing w:val="7"/>
                <w:sz w:val="24"/>
              </w:rPr>
              <w:t xml:space="preserve">6分</w:t>
            </w:r>
            <w:r/>
          </w:p>
        </w:tc>
      </w:tr>
      <w:tr>
        <w:trPr>
          <w:trHeight w:val="1198"/>
        </w:trPr>
        <w:tc>
          <w:tcPr>
            <w:tcW w:w="734"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w:t>
            </w:r>
            <w:r/>
          </w:p>
        </w:tc>
        <w:tc>
          <w:tcPr>
            <w:tcW w:w="1241" w:type="dxa"/>
            <w:vAlign w:val="center"/>
            <w:textDirection w:val="lrTb"/>
            <w:noWrap w:val="false"/>
          </w:tcPr>
          <w:p>
            <w:pPr>
              <w:contextualSpacing/>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pacing w:val="7"/>
                <w:sz w:val="24"/>
              </w:rPr>
              <w:t xml:space="preserve">配送方案及应急保障措施</w:t>
            </w:r>
            <w:r/>
          </w:p>
        </w:tc>
        <w:tc>
          <w:tcPr>
            <w:tcW w:w="6519"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评委根据投标文件对招标文件第三章“采购需求”中“配送方案及应急保障措施”要求的响应情况进行评审，包括但不限于产能与生产周期，物流配送、供应应急机制等方面。</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（1）投标文件未针对以上每一项内容进行阐述，未符合</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配送方案及应急保障措施</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中全部条款要求的，视为不符合招标文件，本项得0分。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（2）投标文件针对以上每一项内容进行阐述，符合</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配送方案及应急保障措施</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中全部条款要求的，视为符合招标文件，本项得3分。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（3）投标文件针对以上每一项内容进行阐述，符合</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配送方案及应急保障措施</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中全部条款要求的，且有两项及以上优于条款要求的，本项得6分。 </w:t>
            </w:r>
            <w:r/>
          </w:p>
        </w:tc>
        <w:tc>
          <w:tcPr>
            <w:tcW w:w="948"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pacing w:val="7"/>
                <w:sz w:val="24"/>
              </w:rPr>
              <w:t xml:space="preserve">6分</w:t>
            </w:r>
            <w:r/>
          </w:p>
        </w:tc>
      </w:tr>
      <w:tr>
        <w:trPr>
          <w:trHeight w:val="1033"/>
        </w:trPr>
        <w:tc>
          <w:tcPr>
            <w:tcW w:w="734"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w:t>
            </w:r>
            <w:r/>
          </w:p>
        </w:tc>
        <w:tc>
          <w:tcPr>
            <w:tcW w:w="1241" w:type="dxa"/>
            <w:vAlign w:val="center"/>
            <w:textDirection w:val="lrTb"/>
            <w:noWrap w:val="false"/>
          </w:tcPr>
          <w:p>
            <w:pPr>
              <w:contextualSpacing/>
              <w:jc w:val="center"/>
              <w:rPr>
                <w:rFonts w:hint="eastAsia" w:asciiTheme="minorEastAsia" w:hAnsiTheme="minorEastAsia" w:eastAsiaTheme="minorEastAsia" w:cstheme="minorEastAsia"/>
                <w:bCs/>
                <w:color w:val="auto"/>
                <w:spacing w:val="7"/>
                <w:sz w:val="24"/>
              </w:rPr>
            </w:pPr>
            <w:r>
              <w:rPr>
                <w:rFonts w:hint="eastAsia" w:asciiTheme="minorEastAsia" w:hAnsiTheme="minorEastAsia" w:eastAsiaTheme="minorEastAsia" w:cstheme="minorEastAsia"/>
                <w:bCs/>
                <w:color w:val="auto"/>
                <w:spacing w:val="7"/>
                <w:sz w:val="24"/>
              </w:rPr>
              <w:t xml:space="preserve">生物安全防控措施</w:t>
            </w:r>
            <w:r/>
          </w:p>
        </w:tc>
        <w:tc>
          <w:tcPr>
            <w:tcW w:w="6519"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评委根据投标文件对招标文件第三章“采购需求”中“生物安全防控措施”要求的响应情况进行评审，包括但不限于运输车辆消毒、人员健康管理等方面。</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（1）投标文件未针对以上每一项内容进行阐述，未符合</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生物安全防控措施</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中全部条款要求的，视为不符合招标文件，本项得0分。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（2）投标文件针对以上每一项内容进行阐述，符合</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生物安全防控措施</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中全部条款要求的，视为符合招标文件，本项得3分。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（3）投标文件针对以上每一项内容进行阐述，符合</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生物安全防控措施</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中全部条款要求的，且有两项及以上优于条款要求的，本项得6分。 </w:t>
            </w:r>
            <w:r/>
          </w:p>
        </w:tc>
        <w:tc>
          <w:tcPr>
            <w:tcW w:w="948"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pacing w:val="7"/>
                <w:sz w:val="24"/>
              </w:rPr>
              <w:t xml:space="preserve">6分</w:t>
            </w:r>
            <w:r/>
          </w:p>
        </w:tc>
      </w:tr>
      <w:tr>
        <w:trPr>
          <w:trHeight w:val="90"/>
        </w:trPr>
        <w:tc>
          <w:tcPr>
            <w:tcW w:w="734"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9</w:t>
            </w:r>
            <w:r/>
          </w:p>
        </w:tc>
        <w:tc>
          <w:tcPr>
            <w:tcW w:w="1241" w:type="dxa"/>
            <w:vAlign w:val="center"/>
            <w:textDirection w:val="lrTb"/>
            <w:noWrap w:val="false"/>
          </w:tcPr>
          <w:p>
            <w:pPr>
              <w:contextualSpacing/>
              <w:jc w:val="center"/>
              <w:rPr>
                <w:rFonts w:hint="eastAsia" w:asciiTheme="minorEastAsia" w:hAnsiTheme="minorEastAsia" w:eastAsiaTheme="minorEastAsia" w:cstheme="minorEastAsia"/>
                <w:bCs/>
                <w:color w:val="auto"/>
                <w:spacing w:val="7"/>
                <w:sz w:val="24"/>
              </w:rPr>
            </w:pPr>
            <w:r>
              <w:rPr>
                <w:rFonts w:hint="eastAsia" w:asciiTheme="minorEastAsia" w:hAnsiTheme="minorEastAsia" w:eastAsiaTheme="minorEastAsia" w:cstheme="minorEastAsia"/>
                <w:color w:val="auto"/>
                <w:sz w:val="24"/>
              </w:rPr>
              <w:t xml:space="preserve">售后服务方案</w:t>
            </w:r>
            <w:r/>
          </w:p>
        </w:tc>
        <w:tc>
          <w:tcPr>
            <w:tcW w:w="6519" w:type="dxa"/>
            <w:vAlign w:val="center"/>
            <w:textDirection w:val="lrTb"/>
            <w:noWrap w:val="false"/>
          </w:tcPr>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评委根据投标文件对招标文件第三章“采购需求”中“售后服务”要求的响应情况进行评审，包括但不限于响应时间、技术指导服务、反馈处理机制、产品优化和少量定制料服务等方面。</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（1）投标文件未针对以上每一项内容进行阐述，未符合</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售后服务</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中全部条款要求的，视为不符合招标文件，本项得0分。</w:t>
            </w:r>
            <w:r/>
          </w:p>
          <w:p>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（2）投标文件针对以上每一项内容进行阐述，符合</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售后服务</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中全部条款要求的，视为符合招标文件，本项得3分。</w:t>
            </w:r>
            <w:r/>
          </w:p>
          <w:p>
            <w:pPr>
              <w:ind w:left="425" w:hanging="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（3）投标文件针对以上每一项内容进行阐述，符合</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售后</w:t>
            </w:r>
            <w:r/>
          </w:p>
          <w:p>
            <w:pPr>
              <w:ind w:left="425" w:hanging="42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服务</w:t>
            </w:r>
            <w:r>
              <w:rPr>
                <w:rFonts w:hint="cs"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rPr>
              <w:t xml:space="preserve">中全部条款要求的，且有两项及以上优于条款要求</w:t>
            </w:r>
            <w:r/>
          </w:p>
          <w:p>
            <w:pPr>
              <w:ind w:left="425" w:hanging="425"/>
              <w:rPr>
                <w:rFonts w:hint="eastAsia" w:asciiTheme="minorEastAsia" w:hAnsiTheme="minorEastAsia" w:eastAsiaTheme="minorEastAsia" w:cstheme="minorEastAsia"/>
                <w:color w:val="auto"/>
                <w:sz w:val="24"/>
                <w:lang w:val="zh-CN"/>
              </w:rPr>
            </w:pPr>
            <w:r>
              <w:rPr>
                <w:rFonts w:hint="eastAsia" w:asciiTheme="minorEastAsia" w:hAnsiTheme="minorEastAsia" w:eastAsiaTheme="minorEastAsia" w:cstheme="minorEastAsia"/>
                <w:color w:val="auto"/>
                <w:sz w:val="24"/>
              </w:rPr>
              <w:t xml:space="preserve">的，本项得6分。</w:t>
            </w:r>
            <w:r/>
          </w:p>
        </w:tc>
        <w:tc>
          <w:tcPr>
            <w:tcW w:w="948"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pacing w:val="7"/>
                <w:sz w:val="24"/>
              </w:rPr>
              <w:t xml:space="preserve">6分</w:t>
            </w:r>
            <w:r/>
          </w:p>
        </w:tc>
      </w:tr>
      <w:tr>
        <w:trPr>
          <w:trHeight w:val="1702"/>
        </w:trPr>
        <w:tc>
          <w:tcPr>
            <w:tcW w:w="734"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w:t>
            </w:r>
            <w:r/>
          </w:p>
        </w:tc>
        <w:tc>
          <w:tcPr>
            <w:tcW w:w="1241"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增值服务</w:t>
            </w:r>
            <w:r/>
          </w:p>
        </w:tc>
        <w:tc>
          <w:tcPr>
            <w:tcW w:w="6519" w:type="dxa"/>
            <w:vAlign w:val="center"/>
            <w:textDirection w:val="lrTb"/>
            <w:noWrap w:val="false"/>
          </w:tcPr>
          <w:p>
            <w:pPr>
              <w:pStyle w:val="913"/>
              <w:jc w:val="both"/>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赠送增值服务。如：实物（养殖设施设备或易耗品）等，价值每达到1万元得1分，最高5分。（投标文件中须提供相关证明材料，未提供证明材料的不得分，格式自拟）。</w:t>
            </w:r>
            <w:r/>
          </w:p>
          <w:p>
            <w:pPr>
              <w:pStyle w:val="913"/>
              <w:jc w:val="both"/>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注：承诺上述项目的投标企业，一旦中标，以上承诺列入合同内。</w:t>
            </w:r>
            <w:r/>
          </w:p>
        </w:tc>
        <w:tc>
          <w:tcPr>
            <w:tcW w:w="948"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rPr>
              <w:t xml:space="preserve">5分</w:t>
            </w:r>
            <w:r/>
          </w:p>
        </w:tc>
      </w:tr>
      <w:tr>
        <w:trPr>
          <w:trHeight w:val="785"/>
        </w:trPr>
        <w:tc>
          <w:tcPr>
            <w:gridSpan w:val="3"/>
            <w:tcW w:w="8494"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合计</w:t>
            </w:r>
            <w:r/>
          </w:p>
        </w:tc>
        <w:tc>
          <w:tcPr>
            <w:tcW w:w="948"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100分</w:t>
            </w:r>
            <w:r/>
          </w:p>
        </w:tc>
      </w:tr>
    </w:tbl>
    <w:p>
      <w:pPr>
        <w:ind w:firstLine="482"/>
        <w:spacing w:line="500" w:lineRule="exact"/>
        <w:rPr>
          <w:rFonts w:hint="eastAsia" w:ascii="宋体" w:hAnsi="宋体" w:eastAsia="宋体" w:cs="宋体"/>
          <w:b/>
          <w:color w:val="auto"/>
          <w:sz w:val="24"/>
          <w:szCs w:val="24"/>
        </w:rPr>
      </w:pPr>
      <w:r>
        <w:rPr>
          <w:rFonts w:hint="eastAsia" w:ascii="宋体" w:hAnsi="宋体" w:eastAsia="宋体" w:cs="宋体"/>
          <w:b/>
          <w:bCs/>
          <w:color w:val="auto"/>
          <w:sz w:val="24"/>
          <w:szCs w:val="28"/>
        </w:rPr>
        <w:t xml:space="preserve">注：</w:t>
      </w:r>
      <w:r>
        <w:rPr>
          <w:rFonts w:hint="eastAsia" w:ascii="宋体" w:hAnsi="宋体" w:eastAsia="宋体" w:cs="宋体"/>
          <w:b/>
          <w:color w:val="auto"/>
          <w:sz w:val="24"/>
          <w:szCs w:val="24"/>
        </w:rPr>
        <w:t xml:space="preserve">投标人必须保证全部投标资料的真实性，如有虚假或对招标文件所要求说明的情况故意隐瞒或虚报，视为不实质性响应招标文件，为无效投标。已中标的将取消中标资格，并按《中华人民共和国政府采购法》等法律法规处理。</w:t>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46"/>
        <w:rPr>
          <w:rFonts w:hint="eastAsia"/>
          <w:color w:val="auto"/>
        </w:rPr>
      </w:pPr>
      <w:r/>
      <w:bookmarkStart w:id="55" w:name="_Toc8820"/>
      <w:r>
        <w:rPr>
          <w:rFonts w:hint="eastAsia"/>
          <w:color w:val="auto"/>
        </w:rPr>
        <w:t xml:space="preserve">第五章 合同条款</w:t>
      </w:r>
      <w:bookmarkEnd w:id="55"/>
      <w:r/>
      <w:r/>
    </w:p>
    <w:p>
      <w:pPr>
        <w:contextualSpacing/>
        <w:jc w:val="center"/>
        <w:spacing w:line="360" w:lineRule="auto"/>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 xml:space="preserve">政府采购合同</w:t>
      </w:r>
      <w:r/>
    </w:p>
    <w:p>
      <w:pPr>
        <w:contextualSpacing/>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甲方：江苏农牧科技职业学院</w:t>
      </w:r>
      <w:r/>
    </w:p>
    <w:p>
      <w:pPr>
        <w:contextualSpacing/>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地址：江苏省泰州市海陵区凤凰东路8号</w:t>
      </w:r>
      <w:r/>
    </w:p>
    <w:p>
      <w:pPr>
        <w:contextualSpacing/>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乙方： </w:t>
      </w:r>
      <w:r/>
    </w:p>
    <w:p>
      <w:pPr>
        <w:contextualSpacing/>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地址： </w:t>
      </w:r>
      <w:r/>
    </w:p>
    <w:p>
      <w:pPr>
        <w:contextualSpacing/>
        <w:ind w:firstLine="480"/>
        <w:spacing w:line="360" w:lineRule="auto"/>
        <w:rPr>
          <w:rFonts w:hint="eastAsia" w:asciiTheme="minorEastAsia" w:hAnsiTheme="minorEastAsia" w:eastAsiaTheme="minorEastAsia" w:cstheme="minorEastAsia"/>
          <w:color w:val="auto"/>
          <w:sz w:val="24"/>
        </w:rPr>
      </w:pPr>
      <w:r/>
      <w:bookmarkStart w:id="56" w:name="auto_fouce_1"/>
      <w:r>
        <w:rPr>
          <w:rFonts w:hint="eastAsia" w:asciiTheme="minorEastAsia" w:hAnsiTheme="minorEastAsia" w:eastAsiaTheme="minorEastAsia" w:cstheme="minorEastAsia"/>
          <w:color w:val="auto"/>
          <w:sz w:val="24"/>
        </w:rPr>
        <w:t xml:space="preserve">本项目采用公开招标方式，依据中标结果，决定将采购合同授予乙方。乙方承诺其投标文件中所有技术参数均具备可验证性。</w:t>
      </w:r>
      <w:bookmarkEnd w:id="56"/>
      <w:r>
        <w:rPr>
          <w:rFonts w:hint="eastAsia" w:asciiTheme="minorEastAsia" w:hAnsiTheme="minorEastAsia" w:eastAsiaTheme="minorEastAsia" w:cstheme="minorEastAsia"/>
          <w:color w:val="auto"/>
          <w:sz w:val="24"/>
        </w:rPr>
        <w:t xml:space="preserve">为进一步明确甲方和乙方在采购过程中的权利、义务和经济责任，根据《中华人民共和国民法典》和《中华人民共和国政府采购法》之规定及本项目采购文件、乙方的响应文件等相关资料，经甲乙双方充分协商，遵循平等、自愿、公平和诚实信用原则，特订立本合同，以资共同遵守。</w:t>
      </w:r>
      <w:r/>
    </w:p>
    <w:p>
      <w:pPr>
        <w:contextualSpacing/>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第一条 合同标的</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1.项目名称：畜牧园2026年苏牧黑羽番鸭（育种）饲料采购项目</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2.项目编号：  </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3.项目内容：</w:t>
      </w:r>
      <w:r/>
    </w:p>
    <w:tbl>
      <w:tblPr>
        <w:tblStyle w:val="856"/>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34"/>
        <w:gridCol w:w="1801"/>
        <w:gridCol w:w="1381"/>
        <w:gridCol w:w="1805"/>
        <w:gridCol w:w="2062"/>
        <w:gridCol w:w="1046"/>
      </w:tblGrid>
      <w:tr>
        <w:trPr>
          <w:jc w:val="center"/>
          <w:trHeight w:val="30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contextualSpacing/>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contextualSpacing/>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名称</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contextualSpacing/>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数量（吨）</w:t>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contextualSpacing/>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单价（元/吨）</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contextualSpacing/>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金额（元/吨）</w:t>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contextualSpacing/>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备 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contextualSpacing/>
              <w:jc w:val="cente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tc>
      </w:tr>
    </w:tbl>
    <w:p>
      <w:pPr>
        <w:contextualSpacing/>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第二条 合同总价款</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合同总价款（含税）：（大写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），小写￥</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元 。</w:t>
      </w:r>
      <w:r/>
    </w:p>
    <w:p>
      <w:pPr>
        <w:contextualSpacing/>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合同单价应包括但不限于乙方完成本合同项下全部义务、责任及技术支持、缺陷修补、培训、质保期内的维护、税费、运费、装卸费等费用。</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本项目为可变价合同，以玉米和豆粕市场价格波动调整合同内饲料单价（中标价格）。</w:t>
      </w:r>
      <w:bookmarkStart w:id="57" w:name="auto_fouce_5"/>
      <w:r>
        <w:rPr>
          <w:rFonts w:hint="eastAsia" w:asciiTheme="minorEastAsia" w:hAnsiTheme="minorEastAsia" w:eastAsiaTheme="minorEastAsia" w:cstheme="minorEastAsia"/>
          <w:color w:val="auto"/>
          <w:sz w:val="24"/>
        </w:rPr>
        <w:t xml:space="preserve">原材料价格波动不构成不可抗力，乙方不得以此为由主张免责。</w:t>
      </w:r>
      <w:bookmarkEnd w:id="57"/>
      <w:r>
        <w:rPr>
          <w:rFonts w:hint="eastAsia" w:asciiTheme="minorEastAsia" w:hAnsiTheme="minorEastAsia" w:eastAsiaTheme="minorEastAsia" w:cstheme="minorEastAsia"/>
          <w:color w:val="auto"/>
          <w:sz w:val="24"/>
        </w:rPr>
        <w:t xml:space="preserve">调整规则为：各阶段调整后单价=相应阶段中标单价＋（玉米价格波动值×60%+豆粕价格波动值×25%）。若价格波动幅度</w:t>
      </w:r>
      <w:r>
        <w:rPr>
          <w:rFonts w:hint="eastAsia" w:ascii="宋体" w:hAnsi="宋体" w:eastAsia="宋体" w:cs="宋体"/>
          <w:color w:val="auto"/>
          <w:sz w:val="24"/>
          <w:szCs w:val="24"/>
        </w:rPr>
        <w:t xml:space="preserve">在±</w:t>
      </w:r>
      <w:r>
        <w:rPr>
          <w:rFonts w:hint="eastAsia" w:asciiTheme="minorEastAsia" w:hAnsiTheme="minorEastAsia" w:eastAsiaTheme="minorEastAsia" w:cstheme="minorEastAsia"/>
          <w:color w:val="auto"/>
          <w:sz w:val="24"/>
        </w:rPr>
        <w:t xml:space="preserve">20元/吨（含本数）</w:t>
      </w:r>
      <w:r>
        <w:rPr>
          <w:rFonts w:hint="eastAsia" w:ascii="宋体" w:hAnsi="宋体" w:eastAsia="宋体" w:cs="宋体"/>
          <w:color w:val="auto"/>
          <w:sz w:val="24"/>
          <w:szCs w:val="24"/>
        </w:rPr>
        <w:t xml:space="preserve">内</w:t>
      </w:r>
      <w:r>
        <w:rPr>
          <w:rFonts w:hint="eastAsia" w:asciiTheme="minorEastAsia" w:hAnsiTheme="minorEastAsia" w:eastAsiaTheme="minorEastAsia" w:cstheme="minorEastAsia"/>
          <w:color w:val="auto"/>
          <w:sz w:val="24"/>
        </w:rPr>
        <w:t xml:space="preserve">则本期价格不调整，价格波动幅度超出20元/吨则调实调整。</w:t>
      </w:r>
      <w:bookmarkStart w:id="58" w:name="auto_fouce_3"/>
      <w:r>
        <w:rPr>
          <w:rFonts w:hint="eastAsia" w:asciiTheme="minorEastAsia" w:hAnsiTheme="minorEastAsia" w:eastAsiaTheme="minorEastAsia" w:cstheme="minorEastAsia"/>
          <w:color w:val="auto"/>
          <w:sz w:val="24"/>
        </w:rPr>
        <w:t xml:space="preserve">玉米和豆粕市场价格参照第三方资讯平台（卓创资讯：https://grain.sci99.com）周平均价格，玉米以南通港到港价格为准，豆粕以泰州港到港价格为准，基准价为招标公告发布日的周平均价。如遇上述数据源异常波动或不可用时，以国家粮食交易中心同期同区域指导价为补充参照。</w:t>
      </w:r>
      <w:bookmarkEnd w:id="58"/>
      <w:r/>
      <w:bookmarkStart w:id="59" w:name="auto_fouce_4"/>
      <w:r>
        <w:rPr>
          <w:rFonts w:hint="eastAsia" w:asciiTheme="minorEastAsia" w:hAnsiTheme="minorEastAsia" w:eastAsiaTheme="minorEastAsia" w:cstheme="minorEastAsia"/>
          <w:color w:val="auto"/>
          <w:sz w:val="24"/>
        </w:rPr>
        <w:t xml:space="preserve">每月10日为调价基准日（节假日往后顺延至第一个工作日），中标人需向招标人提供带有单位公章的调价函。</w:t>
      </w:r>
      <w:bookmarkEnd w:id="59"/>
      <w:r/>
      <w:r/>
    </w:p>
    <w:p>
      <w:pPr>
        <w:contextualSpacing/>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第三条 付款方式</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甲方每次购料后，乙方必须开具正式发票，单位抬头为江苏农牧科技职业学院。每次购料后凭正式发票支付货款，报销周期为1个月（如遇特殊情况则由甲乙双方沟通协商确定）。</w:t>
      </w:r>
      <w:r/>
    </w:p>
    <w:p>
      <w:pPr>
        <w:contextualSpacing/>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第四条 合同履行要求</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1.合同履行期限：签订合同后1年内分多次供货，每次根据采购人通知要求3日内完成供货；</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2.合同履行地点：江苏现代畜牧科技园；</w:t>
      </w:r>
      <w:r/>
    </w:p>
    <w:p>
      <w:pPr>
        <w:pStyle w:val="867"/>
        <w:ind w:left="0" w:firstLine="480"/>
        <w:spacing w:line="360" w:lineRule="auto"/>
        <w:rPr>
          <w:rFonts w:hint="eastAsia" w:asciiTheme="minorEastAsia" w:hAnsiTheme="minorEastAsia" w:eastAsiaTheme="minorEastAsia" w:cstheme="minorEastAsia"/>
          <w:color w:val="auto"/>
          <w:spacing w:val="-1"/>
          <w:szCs w:val="21"/>
        </w:rPr>
      </w:pPr>
      <w:r>
        <w:rPr>
          <w:rFonts w:hint="eastAsia" w:asciiTheme="minorEastAsia" w:hAnsiTheme="minorEastAsia" w:eastAsiaTheme="minorEastAsia" w:cstheme="minorEastAsia"/>
          <w:color w:val="auto"/>
        </w:rPr>
        <w:t xml:space="preserve">3.履约保证金：</w:t>
      </w:r>
      <w:r>
        <w:rPr>
          <w:rFonts w:hint="eastAsia" w:asciiTheme="minorEastAsia" w:hAnsiTheme="minorEastAsia" w:eastAsiaTheme="minorEastAsia" w:cstheme="minorEastAsia"/>
          <w:color w:val="auto"/>
          <w:spacing w:val="-1"/>
          <w:szCs w:val="21"/>
        </w:rPr>
        <w:t xml:space="preserve">中标价的10%；</w:t>
      </w:r>
      <w:r/>
    </w:p>
    <w:p>
      <w:pPr>
        <w:pStyle w:val="867"/>
        <w:ind w:left="0" w:firstLine="478"/>
        <w:spacing w:line="360" w:lineRule="auto"/>
        <w:rPr>
          <w:rFonts w:hint="eastAsia" w:asciiTheme="minorEastAsia" w:hAnsiTheme="minorEastAsia" w:eastAsiaTheme="minorEastAsia" w:cstheme="minorEastAsia"/>
          <w:color w:val="auto"/>
          <w:spacing w:val="-1"/>
          <w:szCs w:val="21"/>
        </w:rPr>
      </w:pPr>
      <w:r>
        <w:rPr>
          <w:rFonts w:hint="eastAsia" w:asciiTheme="minorEastAsia" w:hAnsiTheme="minorEastAsia" w:eastAsiaTheme="minorEastAsia" w:cstheme="minorEastAsia"/>
          <w:b/>
          <w:bCs/>
          <w:color w:val="auto"/>
          <w:spacing w:val="-1"/>
          <w:szCs w:val="21"/>
        </w:rPr>
        <w:t xml:space="preserve">形式：</w:t>
      </w:r>
      <w:r>
        <w:rPr>
          <w:rFonts w:hint="eastAsia" w:asciiTheme="minorEastAsia" w:hAnsiTheme="minorEastAsia" w:eastAsiaTheme="minorEastAsia" w:cstheme="minorEastAsia"/>
          <w:color w:val="auto"/>
          <w:spacing w:val="-1"/>
          <w:szCs w:val="21"/>
        </w:rPr>
        <w:t xml:space="preserve">保函、电汇、转账、汇票或支票、保证保险等。</w:t>
      </w:r>
      <w:r/>
    </w:p>
    <w:p>
      <w:pPr>
        <w:pStyle w:val="867"/>
        <w:ind w:left="0" w:firstLine="478"/>
        <w:spacing w:line="360" w:lineRule="auto"/>
        <w:rPr>
          <w:rFonts w:hint="eastAsia" w:asciiTheme="minorEastAsia" w:hAnsiTheme="minorEastAsia" w:eastAsiaTheme="minorEastAsia" w:cstheme="minorEastAsia"/>
          <w:color w:val="auto"/>
          <w:spacing w:val="-1"/>
          <w:szCs w:val="21"/>
        </w:rPr>
      </w:pPr>
      <w:r>
        <w:rPr>
          <w:rFonts w:hint="eastAsia" w:asciiTheme="minorEastAsia" w:hAnsiTheme="minorEastAsia" w:eastAsiaTheme="minorEastAsia" w:cstheme="minorEastAsia"/>
          <w:b/>
          <w:bCs/>
          <w:color w:val="auto"/>
          <w:spacing w:val="-1"/>
          <w:szCs w:val="21"/>
        </w:rPr>
        <w:t xml:space="preserve">提交时间：</w:t>
      </w:r>
      <w:r>
        <w:rPr>
          <w:rFonts w:hint="eastAsia" w:asciiTheme="minorEastAsia" w:hAnsiTheme="minorEastAsia" w:eastAsiaTheme="minorEastAsia" w:cstheme="minorEastAsia"/>
          <w:color w:val="auto"/>
          <w:spacing w:val="-1"/>
          <w:szCs w:val="21"/>
        </w:rPr>
        <w:t xml:space="preserve">中标供应商必须在收到中标通知书后5日内，将履约保证金交至采购人，中标人未按上述要求提交履约保证金的，采购人可取消其中标资格。</w:t>
      </w:r>
      <w:r/>
    </w:p>
    <w:p>
      <w:pPr>
        <w:contextualSpacing/>
        <w:ind w:firstLine="478"/>
        <w:spacing w:line="360" w:lineRule="auto"/>
        <w:rPr>
          <w:rFonts w:hint="eastAsia" w:asciiTheme="minorEastAsia" w:hAnsiTheme="minorEastAsia" w:eastAsiaTheme="minorEastAsia" w:cstheme="minorEastAsia"/>
          <w:color w:val="auto"/>
          <w:spacing w:val="-1"/>
          <w:sz w:val="24"/>
          <w:szCs w:val="21"/>
        </w:rPr>
      </w:pPr>
      <w:r>
        <w:rPr>
          <w:rFonts w:hint="eastAsia" w:asciiTheme="minorEastAsia" w:hAnsiTheme="minorEastAsia" w:eastAsiaTheme="minorEastAsia" w:cstheme="minorEastAsia"/>
          <w:b/>
          <w:bCs/>
          <w:color w:val="auto"/>
          <w:spacing w:val="-1"/>
          <w:sz w:val="24"/>
          <w:szCs w:val="21"/>
        </w:rPr>
        <w:t xml:space="preserve">退还：</w:t>
      </w:r>
      <w:r>
        <w:rPr>
          <w:rFonts w:hint="eastAsia" w:asciiTheme="minorEastAsia" w:hAnsiTheme="minorEastAsia" w:eastAsiaTheme="minorEastAsia" w:cstheme="minorEastAsia"/>
          <w:color w:val="auto"/>
          <w:spacing w:val="-1"/>
          <w:sz w:val="24"/>
          <w:szCs w:val="21"/>
        </w:rPr>
        <w:t xml:space="preserve">在合同期限结束且经双方验收合格后，无息退还。</w:t>
      </w:r>
      <w:r/>
    </w:p>
    <w:p>
      <w:pPr>
        <w:contextualSpacing/>
        <w:ind w:firstLine="478"/>
        <w:spacing w:line="360" w:lineRule="auto"/>
        <w:rPr>
          <w:rFonts w:hint="eastAsia" w:asciiTheme="minorEastAsia" w:hAnsiTheme="minorEastAsia" w:eastAsiaTheme="minorEastAsia" w:cstheme="minorEastAsia"/>
          <w:color w:val="auto"/>
          <w:spacing w:val="-1"/>
          <w:sz w:val="24"/>
          <w:szCs w:val="21"/>
        </w:rPr>
      </w:pPr>
      <w:r>
        <w:rPr>
          <w:rFonts w:hint="eastAsia" w:asciiTheme="minorEastAsia" w:hAnsiTheme="minorEastAsia" w:eastAsiaTheme="minorEastAsia" w:cstheme="minorEastAsia"/>
          <w:color w:val="auto"/>
          <w:spacing w:val="-1"/>
          <w:sz w:val="24"/>
          <w:szCs w:val="21"/>
        </w:rPr>
        <w:t xml:space="preserve">注：电子履约保函相关要求执行市财政局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contextualSpacing/>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第五条 甲乙双方责任</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（一）甲方责任</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为项目实施提供必要的场地和便利帮助，按时验收，按约定支付合同款项等。</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（二）乙方责任</w:t>
      </w:r>
      <w:r/>
    </w:p>
    <w:p>
      <w:pPr>
        <w:contextualSpacing/>
        <w:ind w:firstLine="480"/>
        <w:spacing w:line="360" w:lineRule="auto"/>
        <w:rPr>
          <w:rFonts w:hint="eastAsia" w:asciiTheme="minorEastAsia" w:hAnsiTheme="minorEastAsia" w:eastAsiaTheme="minorEastAsia" w:cstheme="minorEastAsia"/>
          <w:color w:val="auto"/>
          <w:sz w:val="24"/>
        </w:rPr>
      </w:pPr>
      <w:r/>
      <w:bookmarkStart w:id="60" w:name="auto_fouce_10"/>
      <w:r>
        <w:rPr>
          <w:rFonts w:hint="eastAsia" w:asciiTheme="minorEastAsia" w:hAnsiTheme="minorEastAsia" w:eastAsiaTheme="minorEastAsia" w:cstheme="minorEastAsia"/>
          <w:color w:val="auto"/>
          <w:sz w:val="24"/>
        </w:rPr>
        <w:t xml:space="preserve">按采购文件及响应文件要求完成项目相关内容。</w:t>
      </w:r>
      <w:bookmarkStart w:id="61" w:name="auto_fouce_11"/>
      <w:r/>
      <w:bookmarkStart w:id="62" w:name="_Hlk203125082"/>
      <w:r>
        <w:rPr>
          <w:rFonts w:hint="eastAsia" w:asciiTheme="minorEastAsia" w:hAnsiTheme="minorEastAsia" w:eastAsiaTheme="minorEastAsia" w:cstheme="minorEastAsia"/>
          <w:color w:val="auto"/>
          <w:sz w:val="24"/>
        </w:rPr>
        <w:t xml:space="preserve">乙方如逾期交货，每迟延一日按迟交货物金额的1‰计付违约金，累计不超过合同总价30%，如违约金不能弥补亏损，还应承担经济损失，损失包括但不限于诉讼费、保全费、律师费、诉讼财产保全责任保险费、鉴定费、差旅费等。</w:t>
      </w:r>
      <w:bookmarkEnd w:id="60"/>
      <w:r/>
      <w:bookmarkEnd w:id="61"/>
      <w:r/>
      <w:bookmarkEnd w:id="62"/>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（三）提货及验收</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1.甲方订货需提前三天向乙方销售部门内勤处申报购货品种、规格及数量。乙方将按甲方申报要求安排生产供应。</w:t>
      </w:r>
      <w:r/>
    </w:p>
    <w:p>
      <w:pPr>
        <w:contextualSpacing/>
        <w:ind w:firstLine="480"/>
        <w:spacing w:line="360" w:lineRule="auto"/>
        <w:rPr>
          <w:rFonts w:hint="eastAsia" w:asciiTheme="minorEastAsia" w:hAnsiTheme="minorEastAsia" w:eastAsiaTheme="minorEastAsia" w:cstheme="minorEastAsia"/>
          <w:color w:val="auto"/>
          <w:sz w:val="24"/>
        </w:rPr>
      </w:pPr>
      <w:r/>
      <w:bookmarkStart w:id="63" w:name="auto_fouce_12"/>
      <w:r>
        <w:rPr>
          <w:rFonts w:hint="eastAsia" w:asciiTheme="minorEastAsia" w:hAnsiTheme="minorEastAsia" w:eastAsiaTheme="minorEastAsia" w:cstheme="minorEastAsia"/>
          <w:color w:val="auto"/>
          <w:sz w:val="24"/>
        </w:rPr>
        <w:t xml:space="preserve">2.甲方办好提货手续后，乙方安排车辆按照甲方指定仓库送货。运输途中产生的损耗由乙方全额承担，运费及装卸费等一切费用均由乙方自行承担。</w:t>
      </w:r>
      <w:bookmarkEnd w:id="63"/>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w:t>
      </w:r>
      <w:bookmarkStart w:id="64" w:name="auto_fouce_13"/>
      <w:r>
        <w:rPr>
          <w:rFonts w:hint="eastAsia" w:asciiTheme="minorEastAsia" w:hAnsiTheme="minorEastAsia" w:eastAsiaTheme="minorEastAsia" w:cstheme="minorEastAsia"/>
          <w:color w:val="auto"/>
          <w:sz w:val="24"/>
        </w:rPr>
        <w:t xml:space="preserve">甲方收货时，须核实产品的品名、数量、规格，最终以甲方实际验收结果为准，客户回执联签字（双方线上确认签收人）仅作为交付凭证，不能作为唯一验收依据。如产品数量、质量与合同不符，甲方有权拒收并要求乙方承担全部责任及损失。甲方有权采用红外光谱检测等快速检测方法对产品进行验收。</w:t>
      </w:r>
      <w:bookmarkEnd w:id="64"/>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（四）产品质量及异议处理</w:t>
      </w:r>
      <w:r/>
    </w:p>
    <w:p>
      <w:pPr>
        <w:contextualSpacing/>
        <w:ind w:firstLine="480"/>
        <w:spacing w:line="360" w:lineRule="auto"/>
        <w:rPr>
          <w:rFonts w:hint="eastAsia" w:asciiTheme="minorEastAsia" w:hAnsiTheme="minorEastAsia" w:eastAsiaTheme="minorEastAsia" w:cstheme="minorEastAsia"/>
          <w:color w:val="auto"/>
          <w:sz w:val="24"/>
        </w:rPr>
      </w:pPr>
      <w:r/>
      <w:bookmarkStart w:id="65" w:name="auto_fouce_15"/>
      <w:r>
        <w:rPr>
          <w:rFonts w:hint="eastAsia" w:asciiTheme="minorEastAsia" w:hAnsiTheme="minorEastAsia" w:eastAsiaTheme="minorEastAsia" w:cstheme="minorEastAsia"/>
          <w:color w:val="auto"/>
          <w:sz w:val="24"/>
        </w:rPr>
        <w:t xml:space="preserve">1.本合同涉及的产品质量以乙方产品包装标签标示标准为依据，且不得低于国家现行有效的相关产品质量标准及行业标准。如乙方标准与国家或行业标准不一致时，以较高者为准。甲方保留对到货产品随机抽样送检的权利，检测费用由乙方承担。</w:t>
      </w:r>
      <w:bookmarkEnd w:id="65"/>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w:t>
      </w:r>
      <w:bookmarkStart w:id="66" w:name="auto_fouce_17"/>
      <w:r>
        <w:rPr>
          <w:rFonts w:hint="eastAsia" w:asciiTheme="minorEastAsia" w:hAnsiTheme="minorEastAsia" w:eastAsiaTheme="minorEastAsia" w:cstheme="minorEastAsia"/>
          <w:color w:val="auto"/>
          <w:sz w:val="24"/>
        </w:rPr>
        <w:t xml:space="preserve">乙方承诺本产品用于所适用畜禽品种，并严格按照乙方推荐的使用方法和科学饲养管理的条件下，可达到预期效果。乙方应为甲方提供必要的技术支持和培训，确保甲方正确使用产品。</w:t>
      </w:r>
      <w:bookmarkEnd w:id="66"/>
      <w:r/>
      <w:bookmarkStart w:id="67" w:name="auto_fouce_18"/>
      <w:r>
        <w:rPr>
          <w:rFonts w:hint="eastAsia" w:asciiTheme="minorEastAsia" w:hAnsiTheme="minorEastAsia" w:eastAsiaTheme="minorEastAsia" w:cstheme="minorEastAsia"/>
          <w:color w:val="auto"/>
          <w:sz w:val="24"/>
        </w:rPr>
        <w:t xml:space="preserve">乙方应提供主要原料溯源证明及每批次质量检测报告，未按要求提供的视为质量不合格。</w:t>
      </w:r>
      <w:bookmarkEnd w:id="67"/>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w:t>
      </w:r>
      <w:bookmarkStart w:id="68" w:name="auto_fouce_19"/>
      <w:r>
        <w:rPr>
          <w:rFonts w:hint="eastAsia" w:asciiTheme="minorEastAsia" w:hAnsiTheme="minorEastAsia" w:eastAsiaTheme="minorEastAsia" w:cstheme="minorEastAsia"/>
          <w:color w:val="auto"/>
          <w:sz w:val="24"/>
        </w:rPr>
        <w:t xml:space="preserve">甲方如对乙方产品质量有异议，应在发现质量问题之日起15个工作日内提出质量异议告知乙方。如乙方在甲方提出异议后15个工作日内未处理，视为乙方默认甲方主张，甲方有权单方采取退货、换货、扣款、另行采购替代产品等处置措施，由此产生的全部损失由乙方承担。</w:t>
      </w:r>
      <w:bookmarkEnd w:id="68"/>
      <w:r/>
      <w:bookmarkStart w:id="69" w:name="auto_fouce_20"/>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产生质量争议时，优先由甲乙双方共同现场抽样、密封留存；乙方无正当理由拒绝到场配合抽样的，甲方有权单方独立抽样封存，单方封存样品送检形成的检测报告对乙方具有同等法律约束力。经省级（含省级）以上质检机构检验，并确定是乙方产品质量问题，由乙方负责，处理方法由双方协商解决。每批次留存3份同源样品，甲乙双方及检测机构各持1份。如检测不合格，检测费用由乙方承担。甲方有权委托第三方检测机构进行质量检测。</w:t>
      </w:r>
      <w:bookmarkEnd w:id="69"/>
      <w:r/>
      <w:r/>
    </w:p>
    <w:p>
      <w:pPr>
        <w:contextualSpacing/>
        <w:ind w:firstLine="480"/>
        <w:spacing w:line="360" w:lineRule="auto"/>
        <w:rPr>
          <w:rFonts w:hint="eastAsia" w:asciiTheme="minorEastAsia" w:hAnsiTheme="minorEastAsia" w:eastAsiaTheme="minorEastAsia" w:cstheme="minorEastAsia"/>
          <w:color w:val="auto"/>
          <w:sz w:val="24"/>
        </w:rPr>
      </w:pPr>
      <w:r/>
      <w:bookmarkStart w:id="70" w:name="auto_fouce_21"/>
      <w:r>
        <w:rPr>
          <w:rFonts w:hint="eastAsia" w:asciiTheme="minorEastAsia" w:hAnsiTheme="minorEastAsia" w:eastAsiaTheme="minorEastAsia" w:cstheme="minorEastAsia"/>
          <w:color w:val="auto"/>
          <w:sz w:val="24"/>
        </w:rPr>
        <w:t xml:space="preserve">5.</w:t>
      </w:r>
      <w:bookmarkEnd w:id="70"/>
      <w:r/>
      <w:bookmarkStart w:id="71" w:name="auto_fouce_22"/>
      <w:r>
        <w:rPr>
          <w:rFonts w:hint="eastAsia" w:asciiTheme="minorEastAsia" w:hAnsiTheme="minorEastAsia" w:eastAsiaTheme="minorEastAsia" w:cstheme="minorEastAsia"/>
          <w:color w:val="auto"/>
          <w:sz w:val="24"/>
        </w:rPr>
        <w:t xml:space="preserve">甲方对所购产品因保管、使用不当等原因导致产品品质变化或引起不良后果，乙方不承担责任。但乙方应向甲方提供专业仓储指导手册。</w:t>
      </w:r>
      <w:bookmarkEnd w:id="71"/>
      <w:r/>
      <w:r/>
    </w:p>
    <w:p>
      <w:pPr>
        <w:contextualSpacing/>
        <w:ind w:firstLine="480"/>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第六条 违约责任及索赔</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1.甲乙双方任何一方违反合同，造成对方经济损失的，应给予对方经济赔偿。</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2.如果乙方无正当理由拖延管理或不按合同提供服务，甲方可以加收违约损失赔偿，赔偿范围包括但不限于诉讼费、保全费、律师费、诉讼财产保全责任保险费、鉴定费、差旅费等。</w:t>
      </w:r>
      <w:r/>
    </w:p>
    <w:p>
      <w:pPr>
        <w:contextualSpacing/>
        <w:ind w:firstLine="480"/>
        <w:spacing w:line="360" w:lineRule="auto"/>
        <w:rPr>
          <w:rFonts w:hint="eastAsia" w:asciiTheme="minorEastAsia" w:hAnsiTheme="minorEastAsia" w:eastAsiaTheme="minorEastAsia" w:cstheme="minorEastAsia"/>
          <w:color w:val="auto"/>
          <w:sz w:val="24"/>
        </w:rPr>
      </w:pPr>
      <w:r/>
      <w:bookmarkStart w:id="72" w:name="_Hlk203125125"/>
      <w:r>
        <w:rPr>
          <w:rFonts w:hint="eastAsia" w:asciiTheme="minorEastAsia" w:hAnsiTheme="minorEastAsia" w:eastAsiaTheme="minorEastAsia" w:cstheme="minorEastAsia"/>
          <w:color w:val="auto"/>
          <w:sz w:val="24"/>
        </w:rPr>
        <w:t xml:space="preserve">3.</w:t>
      </w:r>
      <w:bookmarkStart w:id="73" w:name="auto_fouce_23"/>
      <w:r>
        <w:rPr>
          <w:rFonts w:hint="eastAsia" w:asciiTheme="minorEastAsia" w:hAnsiTheme="minorEastAsia" w:eastAsiaTheme="minorEastAsia" w:cstheme="minorEastAsia"/>
          <w:color w:val="auto"/>
          <w:sz w:val="24"/>
        </w:rPr>
        <w:t xml:space="preserve">乙方如给甲方造成的实际损失高于违约金的，对高出违约金的部分乙方应予以赔偿，赔偿范围包括但不限于诉讼费、保全费、律师费、诉讼财产保全责任保险费、鉴定费、差旅费等。</w:t>
      </w:r>
      <w:bookmarkEnd w:id="73"/>
      <w:r/>
      <w:bookmarkStart w:id="74" w:name="auto_fouce_24"/>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乙方如迟延履行合同、不完全履行合同，除支付违约金外，乙方仍应继续履行合同；不履行或履行合同不符合约定，甲方均有权单方解除合同，并就乙方违约给甲方造成的损失向乙方索赔。如乙方连续两次（或累计三次）出现质量或交付问题，甲方有权单方解除合同并追究全部损失。合同终止后，乙方应无条件配合甲方完成后续交接及善后工作。</w:t>
      </w:r>
      <w:bookmarkEnd w:id="74"/>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w:t>
      </w:r>
      <w:bookmarkStart w:id="75" w:name="auto_fouce_25"/>
      <w:r>
        <w:rPr>
          <w:rFonts w:hint="eastAsia" w:asciiTheme="minorEastAsia" w:hAnsiTheme="minorEastAsia" w:eastAsiaTheme="minorEastAsia" w:cstheme="minorEastAsia"/>
          <w:color w:val="auto"/>
          <w:sz w:val="24"/>
        </w:rPr>
        <w:t xml:space="preserve">甲方不能及时按合同付款，应当承担违约责任，但甲方有合理理由的除外。乙方违约，按照本合同约定承担违约责任，甲方有权直接从应付款项中扣除违约金、赔偿金及相关费用。乙方因违约导致甲方名誉、科研、生产等间接损失的，亦应承担赔偿责任。</w:t>
      </w:r>
      <w:bookmarkEnd w:id="75"/>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w:t>
      </w:r>
      <w:bookmarkStart w:id="76" w:name="auto_fouce_27"/>
      <w:r>
        <w:rPr>
          <w:rFonts w:hint="eastAsia" w:asciiTheme="minorEastAsia" w:hAnsiTheme="minorEastAsia" w:eastAsiaTheme="minorEastAsia" w:cstheme="minorEastAsia"/>
          <w:color w:val="auto"/>
          <w:sz w:val="24"/>
        </w:rPr>
        <w:t xml:space="preserve">如果甲方提出索赔通知后7个工作日内乙方未书面提出异议，该索赔应视为已经被乙方接受。</w:t>
      </w:r>
      <w:bookmarkEnd w:id="76"/>
      <w:r/>
      <w:bookmarkStart w:id="77" w:name="auto_fouce_28"/>
      <w:r>
        <w:rPr>
          <w:rFonts w:hint="eastAsia" w:asciiTheme="minorEastAsia" w:hAnsiTheme="minorEastAsia" w:eastAsiaTheme="minorEastAsia" w:cstheme="minorEastAsia"/>
          <w:color w:val="auto"/>
          <w:sz w:val="24"/>
        </w:rPr>
        <w:t xml:space="preserve">甲方有权从任意未付款项中抵扣违约金及赔偿金，并拥有对赔偿不足部分进一步索赔的权利。</w:t>
      </w:r>
      <w:bookmarkEnd w:id="77"/>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w:t>
      </w:r>
      <w:bookmarkStart w:id="78" w:name="auto_fouce_29"/>
      <w:r>
        <w:rPr>
          <w:rFonts w:hint="eastAsia" w:asciiTheme="minorEastAsia" w:hAnsiTheme="minorEastAsia" w:eastAsiaTheme="minorEastAsia" w:cstheme="minorEastAsia"/>
          <w:color w:val="auto"/>
          <w:sz w:val="24"/>
        </w:rPr>
        <w:t xml:space="preserve">乙方对产品质量承担终身责任，保质期内如因产品本身问题造成甲方损失，乙方应全额赔偿。乙方提供的货物在质量期内因货物本身的质量问题发生故障，乙方应免费更换。</w:t>
      </w:r>
      <w:bookmarkEnd w:id="78"/>
      <w:r>
        <w:rPr>
          <w:rFonts w:hint="eastAsia" w:asciiTheme="minorEastAsia" w:hAnsiTheme="minorEastAsia" w:eastAsiaTheme="minorEastAsia" w:cstheme="minorEastAsia"/>
          <w:color w:val="auto"/>
          <w:sz w:val="24"/>
        </w:rPr>
        <w:t xml:space="preserve">对达不到技术要求者，根据实际情况，经双方协商，可按以下办法处理：</w:t>
      </w:r>
      <w:bookmarkEnd w:id="72"/>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（1）更换：由乙方承担所发生的全部费用。</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（2）贬值处理：由甲乙双方合议定价。</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（3）退货处理：乙方应退还甲方支付的合同款，同时应承担该货物的直接费用（运输、保险、检验、货款利息及银行手续费等）。</w:t>
      </w:r>
      <w:r/>
    </w:p>
    <w:p>
      <w:pPr>
        <w:contextualSpacing/>
        <w:ind w:firstLine="480"/>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第七条 不可抗力</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2.本条所述的“不可抗力”系指那些双方无法控制，不可预见的事件，但不包括双方的违约或疏忽。</w:t>
      </w:r>
      <w:bookmarkStart w:id="79" w:name="auto_fouce_30"/>
      <w:r>
        <w:rPr>
          <w:rFonts w:hint="eastAsia" w:asciiTheme="minorEastAsia" w:hAnsiTheme="minorEastAsia" w:eastAsiaTheme="minorEastAsia" w:cstheme="minorEastAsia"/>
          <w:color w:val="auto"/>
          <w:sz w:val="24"/>
        </w:rPr>
        <w:t xml:space="preserve">这些事件包括但不限于：战争、严重火灾、洪水、台风、地震以及其他双方商定的事件。</w:t>
      </w:r>
      <w:bookmarkStart w:id="80" w:name="_Hlk203125146"/>
      <w:r>
        <w:rPr>
          <w:rFonts w:hint="eastAsia" w:asciiTheme="minorEastAsia" w:hAnsiTheme="minorEastAsia" w:eastAsiaTheme="minorEastAsia" w:cstheme="minorEastAsia"/>
          <w:color w:val="auto"/>
          <w:sz w:val="24"/>
        </w:rPr>
        <w:t xml:space="preserve">政府行为、疫情防控等突发公共卫生事件需经省级以上政府公告确认方可适用本条。</w:t>
      </w:r>
      <w:bookmarkEnd w:id="79"/>
      <w:r/>
      <w:bookmarkEnd w:id="80"/>
      <w:r/>
      <w:r/>
    </w:p>
    <w:p>
      <w:pPr>
        <w:contextualSpacing/>
        <w:ind w:firstLine="480"/>
        <w:spacing w:line="360" w:lineRule="auto"/>
        <w:rPr>
          <w:rFonts w:hint="eastAsia" w:asciiTheme="minorEastAsia" w:hAnsiTheme="minorEastAsia" w:eastAsiaTheme="minorEastAsia" w:cstheme="minorEastAsia"/>
          <w:color w:val="auto"/>
          <w:sz w:val="24"/>
        </w:rPr>
      </w:pPr>
      <w:r/>
      <w:bookmarkStart w:id="81" w:name="_Hlk203125162"/>
      <w:r>
        <w:rPr>
          <w:rFonts w:hint="eastAsia" w:asciiTheme="minorEastAsia" w:hAnsiTheme="minorEastAsia" w:eastAsiaTheme="minorEastAsia" w:cstheme="minorEastAsia"/>
          <w:color w:val="auto"/>
          <w:sz w:val="24"/>
        </w:rPr>
        <w:t xml:space="preserve">3.</w:t>
      </w:r>
      <w:bookmarkStart w:id="82" w:name="auto_fouce_31"/>
      <w:r>
        <w:rPr>
          <w:rFonts w:hint="eastAsia" w:asciiTheme="minorEastAsia" w:hAnsiTheme="minorEastAsia" w:eastAsiaTheme="minorEastAsia" w:cstheme="minorEastAsia"/>
          <w:color w:val="auto"/>
          <w:sz w:val="24"/>
        </w:rPr>
        <w:t xml:space="preserve">在不可抗力事件发生后，当事方应在事发后3个工作日内，以书面形式将不可抗力的情况和原因通知对方，并附上省级以上行业协会或主管部门出具的权威证明文件。在不可抗力消除后，乙方应立即恢复履约。</w:t>
      </w:r>
      <w:bookmarkEnd w:id="82"/>
      <w:r/>
      <w:bookmarkStart w:id="83" w:name="auto_fouce_32"/>
      <w:r>
        <w:rPr>
          <w:rFonts w:hint="eastAsia" w:asciiTheme="minorEastAsia" w:hAnsiTheme="minorEastAsia" w:eastAsiaTheme="minorEastAsia" w:cstheme="minorEastAsia"/>
          <w:color w:val="auto"/>
          <w:sz w:val="24"/>
        </w:rPr>
        <w:t xml:space="preserve">双方应尽实际可能继续履行合同义务，并积极寻求采取合理的方案履行不受不可抗力影响的其他事项。乙方应在不可抗力发生时优先保障甲方的供货需求，并采取一切合理措施减轻甲方损失。乙方因不可抗力主张免责的，应及时向甲方提供相关证明材料。</w:t>
      </w:r>
      <w:bookmarkEnd w:id="83"/>
      <w:r>
        <w:rPr>
          <w:rFonts w:hint="eastAsia" w:asciiTheme="minorEastAsia" w:hAnsiTheme="minorEastAsia" w:eastAsiaTheme="minorEastAsia" w:cstheme="minorEastAsia"/>
          <w:color w:val="auto"/>
          <w:sz w:val="24"/>
        </w:rPr>
        <w:t xml:space="preserve">双方应通过友好协商在合理的时间内达成进一步履行合同的协议。</w:t>
      </w:r>
      <w:bookmarkStart w:id="84" w:name="auto_fouce_33"/>
      <w:r>
        <w:rPr>
          <w:rFonts w:hint="eastAsia" w:asciiTheme="minorEastAsia" w:hAnsiTheme="minorEastAsia" w:eastAsiaTheme="minorEastAsia" w:cstheme="minorEastAsia"/>
          <w:color w:val="auto"/>
          <w:sz w:val="24"/>
        </w:rPr>
        <w:t xml:space="preserve">若不可抗力持续超过60日，甲方有权单方解除合同且不承担违约责任。</w:t>
      </w:r>
      <w:bookmarkEnd w:id="81"/>
      <w:r/>
      <w:bookmarkEnd w:id="84"/>
      <w:r/>
      <w:r/>
    </w:p>
    <w:p>
      <w:pPr>
        <w:contextualSpacing/>
        <w:ind w:firstLine="480"/>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第八条 争端的解决</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1.甲方和乙方应通过友好协商，解决在执行本合同过程中所发生的或与本合同有关的一切争端。如从协商开始十天内仍不能解决，可向有关合同管理部门提请调解。</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2.如果调解不成，双方中的任何一方可向甲方所在地人民法院提起诉讼。</w:t>
      </w:r>
      <w:r/>
    </w:p>
    <w:p>
      <w:pPr>
        <w:contextualSpacing/>
        <w:ind w:firstLine="480"/>
        <w:spacing w:line="360" w:lineRule="auto"/>
        <w:rPr>
          <w:rFonts w:hint="eastAsia" w:asciiTheme="minorEastAsia" w:hAnsiTheme="minorEastAsia" w:eastAsiaTheme="minorEastAsia" w:cstheme="minorEastAsia"/>
          <w:color w:val="auto"/>
          <w:sz w:val="24"/>
        </w:rPr>
      </w:pPr>
      <w:r/>
      <w:bookmarkStart w:id="85" w:name="_Hlk203125174"/>
      <w:r>
        <w:rPr>
          <w:rFonts w:hint="eastAsia" w:asciiTheme="minorEastAsia" w:hAnsiTheme="minorEastAsia" w:eastAsiaTheme="minorEastAsia" w:cstheme="minorEastAsia"/>
          <w:color w:val="auto"/>
          <w:sz w:val="24"/>
        </w:rPr>
        <w:t xml:space="preserve">3.因合同部分履行引发诉讼的，在诉讼期间，除正在进行诉讼的部分外，本合同的其他部分应继续执行，否则视为违约。</w:t>
      </w:r>
      <w:bookmarkEnd w:id="85"/>
      <w:r/>
      <w:r/>
    </w:p>
    <w:p>
      <w:pPr>
        <w:contextualSpacing/>
        <w:ind w:firstLine="480"/>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第九条 违约终止合同 </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1.在甲方因乙方违约而按合同约定采取的任何补救措施不受影响的情况下，甲方可在下列情况下向乙方发出书面通知，提出终止部分或全部合同。</w:t>
      </w:r>
      <w:bookmarkStart w:id="86" w:name="_Hlk203125198"/>
      <w:r/>
      <w:bookmarkStart w:id="87" w:name="auto_fouce_34"/>
      <w:r>
        <w:rPr>
          <w:rFonts w:hint="eastAsia" w:asciiTheme="minorEastAsia" w:hAnsiTheme="minorEastAsia" w:eastAsiaTheme="minorEastAsia" w:cstheme="minorEastAsia"/>
          <w:color w:val="auto"/>
          <w:sz w:val="24"/>
        </w:rPr>
        <w:t xml:space="preserve">累计三次交货延迟或两次质量违约时，甲方有权无条件解除合同。</w:t>
      </w:r>
      <w:bookmarkEnd w:id="86"/>
      <w:r/>
      <w:bookmarkEnd w:id="87"/>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1.1 如果乙方未能在合同规定的限期或甲方同意延长的限期内提供部分或全部服务。</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1.2 如果乙方未能履行合同规定的其他任何义务。</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w:t>
      </w:r>
      <w:bookmarkStart w:id="88" w:name="auto_fouce_35"/>
      <w:r>
        <w:rPr>
          <w:rFonts w:hint="eastAsia" w:asciiTheme="minorEastAsia" w:hAnsiTheme="minorEastAsia" w:eastAsiaTheme="minorEastAsia" w:cstheme="minorEastAsia"/>
          <w:color w:val="auto"/>
          <w:sz w:val="24"/>
        </w:rPr>
        <w:t xml:space="preserve">如果甲方根据以上规定，终止了全部或部分合同，甲方可以依其认为适当的条件和方法购买与未提供服务类似的服务，乙方应对购买类似服务所超出的那部分费用负责。</w:t>
      </w:r>
      <w:bookmarkStart w:id="89" w:name="_Hlk203125265"/>
      <w:r>
        <w:rPr>
          <w:rFonts w:hint="eastAsia" w:asciiTheme="minorEastAsia" w:hAnsiTheme="minorEastAsia" w:eastAsiaTheme="minorEastAsia" w:cstheme="minorEastAsia"/>
          <w:color w:val="auto"/>
          <w:sz w:val="24"/>
        </w:rPr>
        <w:t xml:space="preserve">甲方单方终止权的行使不受乙方异议限制，且乙方在合同终止后仍需继续履行保密及数据销毁等后合同义务。</w:t>
      </w:r>
      <w:bookmarkEnd w:id="88"/>
      <w:r/>
      <w:bookmarkEnd w:id="89"/>
      <w:r>
        <w:rPr>
          <w:rFonts w:hint="eastAsia" w:asciiTheme="minorEastAsia" w:hAnsiTheme="minorEastAsia" w:eastAsiaTheme="minorEastAsia" w:cstheme="minorEastAsia"/>
          <w:color w:val="auto"/>
          <w:sz w:val="24"/>
        </w:rPr>
        <w:t xml:space="preserve">并且，乙方应继续履行合同中未终止的部分。</w:t>
      </w:r>
      <w:r/>
    </w:p>
    <w:p>
      <w:pPr>
        <w:contextualSpacing/>
        <w:ind w:firstLine="480"/>
        <w:spacing w:line="360" w:lineRule="auto"/>
        <w:rPr>
          <w:rFonts w:hint="eastAsia" w:asciiTheme="minorEastAsia" w:hAnsiTheme="minorEastAsia" w:eastAsiaTheme="minorEastAsia" w:cstheme="minorEastAsia"/>
          <w:color w:val="auto"/>
          <w:sz w:val="24"/>
        </w:rPr>
      </w:pPr>
      <w:r/>
      <w:bookmarkStart w:id="90" w:name="auto_fouce_36"/>
      <w:r/>
      <w:bookmarkStart w:id="91" w:name="_Hlk203125277"/>
      <w:r>
        <w:rPr>
          <w:rFonts w:hint="eastAsia" w:asciiTheme="minorEastAsia" w:hAnsiTheme="minorEastAsia" w:eastAsiaTheme="minorEastAsia" w:cstheme="minorEastAsia"/>
          <w:color w:val="auto"/>
          <w:sz w:val="24"/>
        </w:rPr>
        <w:t xml:space="preserve">3.如果甲方违约，应承担相应的违约责任。但如乙方未履行合同义务或存在违约情形，甲方有权行使先履行抗辩权，暂停履行付款等义务，直至乙方纠正违约。</w:t>
      </w:r>
      <w:bookmarkEnd w:id="90"/>
      <w:r/>
      <w:bookmarkEnd w:id="91"/>
      <w:r/>
      <w:r/>
    </w:p>
    <w:p>
      <w:pPr>
        <w:contextualSpacing/>
        <w:ind w:firstLine="480"/>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第十条 合同生效</w:t>
      </w:r>
      <w:r/>
    </w:p>
    <w:p>
      <w:pPr>
        <w:contextualSpacing/>
        <w:ind w:firstLine="480"/>
        <w:spacing w:line="360" w:lineRule="auto"/>
        <w:rPr>
          <w:rFonts w:hint="eastAsia" w:asciiTheme="minorEastAsia" w:hAnsiTheme="minorEastAsia" w:eastAsiaTheme="minorEastAsia" w:cstheme="minorEastAsia"/>
          <w:color w:val="auto"/>
          <w:sz w:val="24"/>
        </w:rPr>
      </w:pPr>
      <w:r/>
      <w:bookmarkStart w:id="92" w:name="_Hlk203125291"/>
      <w:r>
        <w:rPr>
          <w:rFonts w:hint="eastAsia" w:asciiTheme="minorEastAsia" w:hAnsiTheme="minorEastAsia" w:eastAsiaTheme="minorEastAsia" w:cstheme="minorEastAsia"/>
          <w:color w:val="auto"/>
          <w:sz w:val="24"/>
        </w:rPr>
        <w:t xml:space="preserve">1.双方签约人为各自法定代表人或被授权代表，自双方法定代表人或授权代表签字并加盖单位有效备案印章后生效。</w:t>
      </w:r>
      <w:bookmarkEnd w:id="92"/>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w:t>
      </w:r>
      <w:bookmarkStart w:id="93" w:name="auto_fouce_37"/>
      <w:r>
        <w:rPr>
          <w:rFonts w:hint="eastAsia" w:asciiTheme="minorEastAsia" w:hAnsiTheme="minorEastAsia" w:eastAsiaTheme="minorEastAsia" w:cstheme="minorEastAsia"/>
          <w:color w:val="auto"/>
          <w:sz w:val="24"/>
        </w:rPr>
        <w:t xml:space="preserve">本合同系指本文件及其附件中的所有部分，招标文件、更正公告、乙方中标的投标文件、中标通知书、乙方在招标过程中的澄清和承诺以及甲乙双方商定的其他文件等为本合同不可缺少的组成部分。</w:t>
      </w:r>
      <w:bookmarkStart w:id="94" w:name="auto_fouce_38"/>
      <w:r/>
      <w:bookmarkStart w:id="95" w:name="_Hlk203125300"/>
      <w:r>
        <w:rPr>
          <w:rFonts w:hint="eastAsia" w:asciiTheme="minorEastAsia" w:hAnsiTheme="minorEastAsia" w:eastAsiaTheme="minorEastAsia" w:cstheme="minorEastAsia"/>
          <w:color w:val="auto"/>
          <w:sz w:val="24"/>
        </w:rPr>
        <w:t xml:space="preserve">合同组成部分的解释顺序为：本合同正文＞中标通知书＞投标文件＞招标文件＞其他补充协议。</w:t>
      </w:r>
      <w:bookmarkEnd w:id="94"/>
      <w:r>
        <w:rPr>
          <w:rFonts w:hint="eastAsia" w:asciiTheme="minorEastAsia" w:hAnsiTheme="minorEastAsia" w:eastAsiaTheme="minorEastAsia" w:cstheme="minorEastAsia"/>
          <w:color w:val="auto"/>
          <w:sz w:val="24"/>
        </w:rPr>
        <w:t xml:space="preserve"> 所有补充协议、会议纪要、往来函件等均为合同组成部分，且以甲方签字盖章为准。如合同条款与招标文件、投标文件等存在不一致，以甲方利益最大化为准。合同文本优先顺序为：本合同正文、补充协议、招标文件、投标文件、其他文件。</w:t>
      </w:r>
      <w:bookmarkEnd w:id="93"/>
      <w:r/>
      <w:bookmarkEnd w:id="95"/>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3.本合同壹式四份，甲乙双方各执两份，各份具有同等法律效力。</w:t>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w:t>
      </w:r>
      <w:bookmarkStart w:id="96" w:name="auto_fouce_39"/>
      <w:r>
        <w:rPr>
          <w:rFonts w:hint="eastAsia" w:asciiTheme="minorEastAsia" w:hAnsiTheme="minorEastAsia" w:eastAsiaTheme="minorEastAsia" w:cstheme="minorEastAsia"/>
          <w:color w:val="auto"/>
          <w:sz w:val="24"/>
        </w:rPr>
        <w:t xml:space="preserve">本合同应按照中华人民共和国的现行法律进行解释。</w:t>
      </w:r>
      <w:bookmarkStart w:id="97" w:name="auto_fouce_40"/>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甲乙双方确认本合同首部记载的地址为有效送达地址，通过EMS、电子数据（含微信小程序后台数据）送达的法律文书具有同等效力。</w:t>
      </w:r>
      <w:bookmarkEnd w:id="97"/>
      <w:r>
        <w:rPr>
          <w:rFonts w:hint="eastAsia" w:asciiTheme="minorEastAsia" w:hAnsiTheme="minorEastAsia" w:eastAsiaTheme="minorEastAsia" w:cstheme="minorEastAsia"/>
          <w:color w:val="auto"/>
          <w:sz w:val="24"/>
        </w:rPr>
        <w:t xml:space="preserve">乙方高级管理人员及法定代表人对乙方履约义务承担连带责任担保。本合同条款的最终解释权归甲方所有。乙方不得将合同权利义务转让或分包，未经甲方书面同意，否则甲方有权解除合同并追究责任。乙方应遵守国家法律法规及甲方各项管理制度，违者甲方有权追责。如乙方因环保、安全、税务等问题被有关部门处罚，甲方有权解除合同并追究损失。</w:t>
      </w:r>
      <w:bookmarkEnd w:id="96"/>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w:t>
      </w:r>
      <w:bookmarkStart w:id="98" w:name="auto_fouce_41"/>
      <w:r>
        <w:rPr>
          <w:rFonts w:hint="eastAsia" w:asciiTheme="minorEastAsia" w:hAnsiTheme="minorEastAsia" w:eastAsiaTheme="minorEastAsia" w:cstheme="minorEastAsia"/>
          <w:color w:val="auto"/>
          <w:sz w:val="24"/>
        </w:rPr>
        <w:t xml:space="preserve">合同修改：除甲乙双方签署书面修改、补充协议，并成为本合同不可分割的一部分之外，本合同条件不得有任何变化或修改。</w:t>
      </w:r>
      <w:bookmarkStart w:id="99" w:name="auto_fouce_42"/>
      <w:r/>
      <w:r/>
    </w:p>
    <w:p>
      <w:pPr>
        <w:contextualSpacing/>
        <w:ind w:firstLine="48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涉及价格调整、验收标准变更等重大事项必须经甲方书面确认后方可生效。</w:t>
      </w:r>
      <w:bookmarkEnd w:id="99"/>
      <w:r>
        <w:rPr>
          <w:rFonts w:hint="eastAsia" w:asciiTheme="minorEastAsia" w:hAnsiTheme="minorEastAsia" w:eastAsiaTheme="minorEastAsia" w:cstheme="minorEastAsia"/>
          <w:color w:val="auto"/>
          <w:sz w:val="24"/>
        </w:rPr>
        <w:t xml:space="preserve"> 但甲方因政策调整或不可抗力有权单方修改合同关键条款。</w:t>
      </w:r>
      <w:bookmarkEnd w:id="98"/>
      <w:r/>
      <w:r/>
    </w:p>
    <w:p>
      <w:pPr>
        <w:contextualSpacing/>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（以下无正文）</w:t>
      </w:r>
      <w:r/>
    </w:p>
    <w:p>
      <w:pPr>
        <w:contextualSpacing/>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甲方：                           </w:t>
      </w:r>
      <w:bookmarkStart w:id="100" w:name="_Hlk203125327"/>
      <w:r>
        <w:rPr>
          <w:rFonts w:hint="eastAsia" w:asciiTheme="minorEastAsia" w:hAnsiTheme="minorEastAsia" w:eastAsiaTheme="minorEastAsia" w:cstheme="minorEastAsia"/>
          <w:color w:val="auto"/>
          <w:sz w:val="24"/>
        </w:rPr>
        <w:t xml:space="preserve">有效送达地址：</w:t>
      </w:r>
      <w:bookmarkEnd w:id="100"/>
      <w:r>
        <w:rPr>
          <w:rFonts w:hint="eastAsia" w:asciiTheme="minorEastAsia" w:hAnsiTheme="minorEastAsia" w:eastAsiaTheme="minorEastAsia" w:cstheme="minorEastAsia"/>
          <w:color w:val="auto"/>
          <w:sz w:val="24"/>
        </w:rPr>
        <w:t xml:space="preserve"> </w:t>
      </w:r>
      <w:r/>
    </w:p>
    <w:p>
      <w:pPr>
        <w:contextualSpacing/>
        <w:spacing w:line="360" w:lineRule="auto"/>
        <w:rPr>
          <w:rFonts w:hint="eastAsia" w:asciiTheme="minorEastAsia" w:hAnsiTheme="minorEastAsia" w:eastAsiaTheme="minorEastAsia" w:cstheme="minorEastAsia"/>
          <w:color w:val="auto"/>
          <w:sz w:val="24"/>
        </w:rPr>
      </w:pPr>
      <w:r/>
      <w:bookmarkStart w:id="101" w:name="_Hlk203125365"/>
      <w:r>
        <w:rPr>
          <w:rFonts w:hint="eastAsia" w:asciiTheme="minorEastAsia" w:hAnsiTheme="minorEastAsia" w:eastAsiaTheme="minorEastAsia" w:cstheme="minorEastAsia"/>
          <w:color w:val="auto"/>
          <w:sz w:val="24"/>
        </w:rPr>
        <w:t xml:space="preserve">统一社会信用代码：</w:t>
      </w:r>
      <w:bookmarkEnd w:id="101"/>
      <w:r/>
      <w:r/>
    </w:p>
    <w:p>
      <w:pPr>
        <w:contextualSpacing/>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法定代表人或授权代表：</w:t>
      </w:r>
      <w:r/>
    </w:p>
    <w:p>
      <w:pPr>
        <w:contextualSpacing/>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联系电话：</w:t>
      </w:r>
      <w:r/>
    </w:p>
    <w:p>
      <w:pPr>
        <w:contextualSpacing/>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contextualSpacing/>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乙方：                            </w:t>
      </w:r>
      <w:bookmarkStart w:id="102" w:name="_Hlk203125346"/>
      <w:r>
        <w:rPr>
          <w:rFonts w:hint="eastAsia" w:asciiTheme="minorEastAsia" w:hAnsiTheme="minorEastAsia" w:eastAsiaTheme="minorEastAsia" w:cstheme="minorEastAsia"/>
          <w:color w:val="auto"/>
          <w:sz w:val="24"/>
        </w:rPr>
        <w:t xml:space="preserve">有效送达地址：</w:t>
      </w:r>
      <w:bookmarkEnd w:id="102"/>
      <w:r/>
      <w:r/>
    </w:p>
    <w:p>
      <w:pPr>
        <w:contextualSpacing/>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统一社会信用代码：</w:t>
      </w:r>
      <w:r/>
    </w:p>
    <w:p>
      <w:pPr>
        <w:contextualSpacing/>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法定代表人或授权代表：</w:t>
      </w:r>
      <w:r/>
    </w:p>
    <w:p>
      <w:pPr>
        <w:contextualSpacing/>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联系电话：</w:t>
      </w:r>
      <w:r/>
    </w:p>
    <w:p>
      <w:pPr>
        <w:contextualSpacing/>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签订日期：   年   月   日</w:t>
      </w:r>
      <w:r/>
    </w:p>
    <w:p>
      <w:pPr>
        <w:jc w:val="left"/>
        <w:spacing w:line="520" w:lineRule="exac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846"/>
        <w:rPr>
          <w:rFonts w:hint="eastAsia"/>
          <w:color w:val="auto"/>
        </w:rPr>
      </w:pPr>
      <w:r/>
      <w:bookmarkStart w:id="103" w:name="_Toc25206"/>
      <w:r>
        <w:rPr>
          <w:rFonts w:hint="eastAsia"/>
          <w:color w:val="auto"/>
        </w:rPr>
        <w:t xml:space="preserve">第六章 投标文件格式</w:t>
      </w:r>
      <w:bookmarkEnd w:id="103"/>
      <w:r/>
      <w:r/>
    </w:p>
    <w:p>
      <w:pPr>
        <w:pStyle w:val="1094"/>
        <w:ind w:firstLine="480"/>
        <w:spacing w:line="360" w:lineRule="auto"/>
        <w:rPr>
          <w:rFonts w:hint="eastAsia" w:ascii="宋体" w:hAnsi="宋体" w:eastAsia="宋体" w:cs="宋体"/>
          <w:color w:val="auto"/>
          <w:sz w:val="32"/>
          <w:szCs w:val="32"/>
        </w:rPr>
      </w:pPr>
      <w:r>
        <w:rPr>
          <w:rFonts w:hint="eastAsia" w:ascii="宋体" w:hAnsi="宋体" w:eastAsia="宋体" w:cs="宋体"/>
          <w:color w:val="auto"/>
        </w:rPr>
        <w:t xml:space="preserve">1.说明：对本章所有的投标书格式，除开标一览表外，投标人可根据自身情况进行补充和修改，但补充和修改不得造成与本格式内容有实质性的违背。</w:t>
      </w:r>
      <w:r/>
    </w:p>
    <w:p>
      <w:pPr>
        <w:ind w:firstLine="480"/>
        <w:jc w:val="left"/>
        <w:spacing w:line="360" w:lineRule="auto"/>
        <w:rPr>
          <w:rFonts w:hint="eastAsia" w:ascii="宋体" w:hAnsi="宋体" w:eastAsia="宋体" w:cs="宋体"/>
          <w:color w:val="auto"/>
          <w:sz w:val="32"/>
          <w:szCs w:val="32"/>
        </w:rPr>
      </w:pPr>
      <w:r>
        <w:rPr>
          <w:rFonts w:hint="eastAsia" w:ascii="宋体" w:hAnsi="宋体" w:eastAsia="宋体" w:cs="宋体"/>
          <w:color w:val="auto"/>
          <w:sz w:val="24"/>
        </w:rPr>
        <w:t xml:space="preserve">2.投标人应按采购包准备投标文件并清楚注明采购包名称，否则造成的一切后果由投标人自行承担。</w:t>
      </w:r>
      <w:r>
        <w:rPr>
          <w:rFonts w:hint="eastAsia" w:ascii="宋体" w:hAnsi="宋体" w:eastAsia="宋体" w:cs="宋体"/>
          <w:color w:val="auto"/>
          <w:sz w:val="32"/>
          <w:szCs w:val="32"/>
        </w:rPr>
        <w:br w:type="page" w:clear="all"/>
      </w:r>
      <w:bookmarkStart w:id="104" w:name="_Toc263753600"/>
      <w:r/>
      <w:bookmarkStart w:id="105" w:name="_Toc237145385"/>
      <w:r/>
      <w:bookmarkStart w:id="106" w:name="_Toc297204985"/>
      <w:r/>
      <w:bookmarkStart w:id="107" w:name="_Toc256175382"/>
      <w:r/>
      <w:bookmarkStart w:id="108" w:name="_Toc263768864"/>
      <w:r/>
      <w:bookmarkStart w:id="109" w:name="_Toc250041691"/>
      <w:r/>
      <w:bookmarkStart w:id="110" w:name="_Toc217446085"/>
      <w:r/>
      <w:r/>
    </w:p>
    <w:p>
      <w:pPr>
        <w:jc w:val="center"/>
        <w:rPr>
          <w:rFonts w:hint="eastAsia" w:ascii="宋体" w:hAnsi="宋体" w:eastAsia="宋体" w:cs="宋体"/>
          <w:bCs/>
          <w:color w:val="auto"/>
          <w:sz w:val="52"/>
          <w:szCs w:val="52"/>
        </w:rPr>
      </w:pPr>
      <w:r/>
      <w:bookmarkStart w:id="111" w:name="_Toc13296_WPSOffice_Level1"/>
      <w:r/>
      <w:bookmarkStart w:id="112" w:name="_Toc217446086"/>
      <w:r/>
      <w:r/>
    </w:p>
    <w:p>
      <w:pPr>
        <w:jc w:val="center"/>
        <w:rPr>
          <w:rFonts w:hint="eastAsia" w:ascii="宋体" w:hAnsi="宋体" w:eastAsia="宋体" w:cs="宋体"/>
          <w:bCs/>
          <w:color w:val="auto"/>
          <w:sz w:val="52"/>
          <w:szCs w:val="52"/>
        </w:rPr>
      </w:pPr>
      <w:r>
        <w:rPr>
          <w:rFonts w:hint="eastAsia" w:ascii="宋体" w:hAnsi="宋体" w:eastAsia="宋体" w:cs="宋体"/>
          <w:bCs/>
          <w:color w:val="auto"/>
          <w:sz w:val="52"/>
          <w:szCs w:val="52"/>
        </w:rPr>
      </w:r>
      <w:r/>
    </w:p>
    <w:p>
      <w:pPr>
        <w:jc w:val="center"/>
        <w:rPr>
          <w:rFonts w:hint="eastAsia" w:ascii="宋体" w:hAnsi="宋体" w:eastAsia="宋体" w:cs="宋体"/>
          <w:bCs/>
          <w:color w:val="auto"/>
          <w:sz w:val="52"/>
          <w:szCs w:val="52"/>
        </w:rPr>
      </w:pPr>
      <w:r>
        <w:rPr>
          <w:rFonts w:hint="eastAsia" w:ascii="宋体" w:hAnsi="宋体" w:eastAsia="宋体" w:cs="宋体"/>
          <w:bCs/>
          <w:color w:val="auto"/>
          <w:sz w:val="52"/>
          <w:szCs w:val="52"/>
        </w:rPr>
        <w:t xml:space="preserve">投</w:t>
      </w:r>
      <w:bookmarkEnd w:id="111"/>
      <w:r/>
      <w:r/>
    </w:p>
    <w:p>
      <w:pPr>
        <w:jc w:val="center"/>
        <w:rPr>
          <w:rFonts w:hint="eastAsia" w:ascii="宋体" w:hAnsi="宋体" w:eastAsia="宋体" w:cs="宋体"/>
          <w:bCs/>
          <w:color w:val="auto"/>
          <w:sz w:val="72"/>
        </w:rPr>
      </w:pPr>
      <w:r>
        <w:rPr>
          <w:rFonts w:hint="eastAsia" w:ascii="宋体" w:hAnsi="宋体" w:eastAsia="宋体" w:cs="宋体"/>
          <w:bCs/>
          <w:color w:val="auto"/>
          <w:sz w:val="72"/>
        </w:rPr>
      </w:r>
      <w:r/>
    </w:p>
    <w:p>
      <w:pPr>
        <w:jc w:val="center"/>
        <w:rPr>
          <w:rFonts w:hint="eastAsia" w:ascii="宋体" w:hAnsi="宋体" w:eastAsia="宋体" w:cs="宋体"/>
          <w:bCs/>
          <w:color w:val="auto"/>
          <w:sz w:val="52"/>
          <w:szCs w:val="52"/>
        </w:rPr>
      </w:pPr>
      <w:r/>
      <w:bookmarkStart w:id="113" w:name="_Toc677_WPSOffice_Level1"/>
      <w:r>
        <w:rPr>
          <w:rFonts w:hint="eastAsia" w:ascii="宋体" w:hAnsi="宋体" w:eastAsia="宋体" w:cs="宋体"/>
          <w:bCs/>
          <w:color w:val="auto"/>
          <w:sz w:val="52"/>
          <w:szCs w:val="52"/>
        </w:rPr>
        <w:t xml:space="preserve">标</w:t>
      </w:r>
      <w:bookmarkEnd w:id="113"/>
      <w:r/>
      <w:r/>
    </w:p>
    <w:p>
      <w:pPr>
        <w:jc w:val="center"/>
        <w:rPr>
          <w:rFonts w:hint="eastAsia" w:ascii="宋体" w:hAnsi="宋体" w:eastAsia="宋体" w:cs="宋体"/>
          <w:bCs/>
          <w:color w:val="auto"/>
          <w:sz w:val="72"/>
        </w:rPr>
      </w:pPr>
      <w:r>
        <w:rPr>
          <w:rFonts w:hint="eastAsia" w:ascii="宋体" w:hAnsi="宋体" w:eastAsia="宋体" w:cs="宋体"/>
          <w:bCs/>
          <w:color w:val="auto"/>
          <w:sz w:val="72"/>
        </w:rPr>
      </w:r>
      <w:r/>
    </w:p>
    <w:p>
      <w:pPr>
        <w:jc w:val="center"/>
        <w:rPr>
          <w:rFonts w:hint="eastAsia" w:ascii="宋体" w:hAnsi="宋体" w:eastAsia="宋体" w:cs="宋体"/>
          <w:bCs/>
          <w:color w:val="auto"/>
          <w:sz w:val="52"/>
          <w:szCs w:val="52"/>
        </w:rPr>
      </w:pPr>
      <w:r/>
      <w:bookmarkStart w:id="114" w:name="_Toc2949_WPSOffice_Level1"/>
      <w:r>
        <w:rPr>
          <w:rFonts w:hint="eastAsia" w:ascii="宋体" w:hAnsi="宋体" w:eastAsia="宋体" w:cs="宋体"/>
          <w:bCs/>
          <w:color w:val="auto"/>
          <w:sz w:val="52"/>
          <w:szCs w:val="52"/>
        </w:rPr>
        <w:t xml:space="preserve">文</w:t>
      </w:r>
      <w:bookmarkEnd w:id="114"/>
      <w:r/>
      <w:r/>
    </w:p>
    <w:p>
      <w:pPr>
        <w:rPr>
          <w:rFonts w:hint="eastAsia" w:ascii="宋体" w:hAnsi="宋体" w:eastAsia="宋体" w:cs="宋体"/>
          <w:bCs/>
          <w:color w:val="auto"/>
          <w:sz w:val="72"/>
          <w:szCs w:val="72"/>
        </w:rPr>
      </w:pPr>
      <w:r>
        <w:rPr>
          <w:rFonts w:hint="eastAsia" w:ascii="宋体" w:hAnsi="宋体" w:eastAsia="宋体" w:cs="宋体"/>
          <w:bCs/>
          <w:color w:val="auto"/>
          <w:sz w:val="72"/>
          <w:szCs w:val="72"/>
        </w:rPr>
      </w:r>
      <w:r/>
    </w:p>
    <w:p>
      <w:pPr>
        <w:jc w:val="center"/>
        <w:rPr>
          <w:rFonts w:hint="eastAsia" w:ascii="宋体" w:hAnsi="宋体" w:eastAsia="宋体" w:cs="宋体"/>
          <w:bCs/>
          <w:color w:val="auto"/>
          <w:sz w:val="52"/>
          <w:szCs w:val="52"/>
        </w:rPr>
      </w:pPr>
      <w:r/>
      <w:bookmarkStart w:id="115" w:name="_Toc31964_WPSOffice_Level1"/>
      <w:r>
        <w:rPr>
          <w:rFonts w:hint="eastAsia" w:ascii="宋体" w:hAnsi="宋体" w:eastAsia="宋体" w:cs="宋体"/>
          <w:bCs/>
          <w:color w:val="auto"/>
          <w:sz w:val="52"/>
          <w:szCs w:val="52"/>
        </w:rPr>
        <w:t xml:space="preserve">件</w:t>
      </w:r>
      <w:bookmarkEnd w:id="115"/>
      <w:r/>
      <w:r/>
    </w:p>
    <w:p>
      <w:pPr>
        <w:rPr>
          <w:rFonts w:hint="eastAsia" w:ascii="宋体" w:hAnsi="宋体" w:eastAsia="宋体" w:cs="宋体"/>
          <w:bCs/>
          <w:color w:val="auto"/>
          <w:sz w:val="72"/>
        </w:rPr>
      </w:pPr>
      <w:r>
        <w:rPr>
          <w:rFonts w:hint="eastAsia" w:ascii="宋体" w:hAnsi="宋体" w:eastAsia="宋体" w:cs="宋体"/>
          <w:bCs/>
          <w:color w:val="auto"/>
          <w:sz w:val="72"/>
        </w:rPr>
      </w:r>
      <w:r/>
    </w:p>
    <w:p>
      <w:pPr>
        <w:spacing w:line="360" w:lineRule="auto"/>
        <w:rPr>
          <w:rFonts w:hint="eastAsia" w:ascii="宋体" w:hAnsi="宋体" w:eastAsia="宋体" w:cs="宋体"/>
          <w:bCs/>
          <w:color w:val="auto"/>
          <w:sz w:val="28"/>
          <w:szCs w:val="28"/>
        </w:rPr>
      </w:pPr>
      <w:r/>
      <w:bookmarkStart w:id="116" w:name="_Toc1060_WPSOffice_Level1"/>
      <w:r/>
      <w:r/>
    </w:p>
    <w:p>
      <w:pPr>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采购项目编号：</w:t>
      </w:r>
      <w:bookmarkEnd w:id="116"/>
      <w:r/>
      <w:r/>
    </w:p>
    <w:p>
      <w:pPr>
        <w:spacing w:line="360" w:lineRule="auto"/>
        <w:rPr>
          <w:rFonts w:hint="eastAsia" w:ascii="宋体" w:hAnsi="宋体" w:eastAsia="宋体" w:cs="宋体"/>
          <w:bCs/>
          <w:color w:val="auto"/>
          <w:sz w:val="28"/>
          <w:szCs w:val="28"/>
        </w:rPr>
      </w:pPr>
      <w:r/>
      <w:bookmarkStart w:id="117" w:name="_Toc7891_WPSOffice_Level1"/>
      <w:r>
        <w:rPr>
          <w:rFonts w:hint="eastAsia" w:ascii="宋体" w:hAnsi="宋体" w:eastAsia="宋体" w:cs="宋体"/>
          <w:bCs/>
          <w:color w:val="auto"/>
          <w:sz w:val="28"/>
          <w:szCs w:val="28"/>
        </w:rPr>
        <w:t xml:space="preserve">采购项目名称：</w:t>
      </w:r>
      <w:bookmarkEnd w:id="117"/>
      <w:r/>
      <w:bookmarkStart w:id="118" w:name="_Toc13794_WPSOffice_Level1"/>
      <w:r/>
      <w:r/>
    </w:p>
    <w:p>
      <w:pPr>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投标人（盖章）：</w:t>
      </w:r>
      <w:bookmarkEnd w:id="118"/>
      <w:r/>
      <w:r/>
    </w:p>
    <w:p>
      <w:pPr>
        <w:rPr>
          <w:rFonts w:hint="eastAsia" w:ascii="宋体" w:hAnsi="宋体" w:eastAsia="宋体" w:cs="宋体"/>
          <w:bCs/>
          <w:color w:val="auto"/>
          <w:sz w:val="32"/>
        </w:rPr>
      </w:pPr>
      <w:r>
        <w:rPr>
          <w:rFonts w:hint="eastAsia" w:ascii="宋体" w:hAnsi="宋体" w:eastAsia="宋体" w:cs="宋体"/>
          <w:bCs/>
          <w:color w:val="auto"/>
          <w:sz w:val="32"/>
        </w:rPr>
      </w:r>
      <w:r/>
    </w:p>
    <w:p>
      <w:pPr>
        <w:jc w:val="center"/>
        <w:rPr>
          <w:rFonts w:hint="eastAsia" w:ascii="宋体" w:hAnsi="宋体" w:eastAsia="宋体" w:cs="宋体"/>
          <w:bCs/>
          <w:color w:val="auto"/>
          <w:sz w:val="36"/>
          <w:szCs w:val="36"/>
        </w:rPr>
      </w:pPr>
      <w:r/>
      <w:bookmarkStart w:id="119" w:name="_Toc4431_WPSOffice_Level1"/>
      <w:r>
        <w:rPr>
          <w:rFonts w:hint="eastAsia" w:ascii="宋体" w:hAnsi="宋体" w:eastAsia="宋体" w:cs="宋体"/>
          <w:bCs/>
          <w:color w:val="auto"/>
          <w:sz w:val="36"/>
          <w:szCs w:val="36"/>
        </w:rPr>
        <w:t xml:space="preserve">   年  月  日</w:t>
      </w:r>
      <w:bookmarkEnd w:id="119"/>
      <w:r/>
      <w:r/>
    </w:p>
    <w:p>
      <w:pPr>
        <w:jc w:val="left"/>
        <w:rPr>
          <w:rStyle w:val="1137"/>
          <w:rFonts w:hint="eastAsia" w:ascii="宋体" w:hAnsi="宋体" w:eastAsia="宋体" w:cs="宋体"/>
          <w:b w:val="0"/>
          <w:color w:val="auto"/>
        </w:rPr>
      </w:pPr>
      <w:r>
        <w:rPr>
          <w:rFonts w:hint="eastAsia" w:ascii="宋体" w:hAnsi="宋体" w:eastAsia="宋体" w:cs="宋体"/>
          <w:color w:val="auto"/>
          <w:sz w:val="32"/>
          <w:szCs w:val="32"/>
        </w:rPr>
        <w:br w:type="page" w:clear="all"/>
      </w:r>
      <w:bookmarkEnd w:id="112"/>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投 标 函</w:t>
      </w:r>
      <w:r/>
    </w:p>
    <w:p>
      <w:pPr>
        <w:ind w:left="48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10"/>
        <w:ind w:left="0"/>
        <w:spacing w:after="0" w:line="360" w:lineRule="auto"/>
        <w:rPr>
          <w:rFonts w:hint="eastAsia" w:ascii="宋体" w:hAnsi="宋体" w:eastAsia="宋体" w:cs="宋体"/>
          <w:bCs/>
          <w:iCs/>
          <w:color w:val="auto"/>
          <w:sz w:val="24"/>
          <w:szCs w:val="24"/>
        </w:rPr>
      </w:pPr>
      <w:r>
        <w:rPr>
          <w:rFonts w:hint="eastAsia" w:ascii="宋体" w:hAnsi="宋体" w:eastAsia="宋体" w:cs="宋体"/>
          <w:bCs/>
          <w:iCs/>
          <w:color w:val="auto"/>
          <w:sz w:val="24"/>
          <w:szCs w:val="24"/>
          <w:u w:val="single"/>
        </w:rPr>
        <w:t xml:space="preserve">江苏农牧科技职业学院</w:t>
      </w:r>
      <w:r>
        <w:rPr>
          <w:rFonts w:hint="eastAsia" w:ascii="宋体" w:hAnsi="宋体" w:eastAsia="宋体" w:cs="宋体"/>
          <w:bCs/>
          <w:iCs/>
          <w:color w:val="auto"/>
          <w:sz w:val="24"/>
          <w:szCs w:val="24"/>
        </w:rPr>
        <w:t xml:space="preserve">：</w:t>
      </w:r>
      <w:r/>
    </w:p>
    <w:p>
      <w:pPr>
        <w:pStyle w:val="111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iCs/>
          <w:color w:val="auto"/>
          <w:sz w:val="24"/>
          <w:szCs w:val="24"/>
        </w:rPr>
        <w:t xml:space="preserve">我方全面研究了 </w:t>
      </w:r>
      <w:r>
        <w:rPr>
          <w:rFonts w:hint="eastAsia" w:ascii="宋体" w:hAnsi="宋体" w:eastAsia="宋体" w:cs="宋体"/>
          <w:b/>
          <w:bCs/>
          <w:iCs/>
          <w:color w:val="auto"/>
          <w:sz w:val="24"/>
          <w:szCs w:val="24"/>
          <w:u w:val="single"/>
        </w:rPr>
        <w:t xml:space="preserve">                      </w:t>
      </w:r>
      <w:r>
        <w:rPr>
          <w:rFonts w:hint="eastAsia" w:ascii="宋体" w:hAnsi="宋体" w:eastAsia="宋体" w:cs="宋体"/>
          <w:bCs/>
          <w:color w:val="auto"/>
          <w:sz w:val="24"/>
          <w:szCs w:val="24"/>
        </w:rPr>
        <w:t xml:space="preserve">项目招标文件，决定参加贵单位组织的本项目投标。</w:t>
      </w:r>
      <w:r/>
    </w:p>
    <w:p>
      <w:pPr>
        <w:pStyle w:val="111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1.我方自愿按照招标文件规定的各项要求向采购人提供所需产品。</w:t>
      </w:r>
      <w:r/>
    </w:p>
    <w:p>
      <w:pPr>
        <w:pStyle w:val="1110"/>
        <w:ind w:left="0" w:firstLine="600"/>
        <w:spacing w:after="0"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2.一旦我方中标，</w:t>
      </w:r>
      <w:r>
        <w:rPr>
          <w:rFonts w:hint="eastAsia" w:ascii="宋体" w:hAnsi="宋体" w:eastAsia="宋体" w:cs="宋体"/>
          <w:color w:val="auto"/>
          <w:sz w:val="24"/>
          <w:szCs w:val="24"/>
        </w:rPr>
        <w:t xml:space="preserve">我们将严格履行招标文件中规定的每一项要求，按期、按质、按量履行合同的义务。</w:t>
      </w:r>
      <w:r/>
    </w:p>
    <w:p>
      <w:pPr>
        <w:pStyle w:val="1212"/>
        <w:ind w:firstLine="60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3.我们已详细审查全部招标文件，包括更正文件（如有），对招标文件及更正公告（如有）无任何异议。我们完全理解并同意放弃对这方面有不明及误解的权利。</w:t>
      </w:r>
      <w:r/>
    </w:p>
    <w:p>
      <w:pPr>
        <w:pStyle w:val="1212"/>
        <w:ind w:firstLine="60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4.我们同意按照招标文件中的规定，本投标书的有效期限为自投标截止之日起60天。</w:t>
      </w:r>
      <w:r/>
    </w:p>
    <w:p>
      <w:pPr>
        <w:pStyle w:val="1212"/>
        <w:ind w:firstLine="60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5.我们愿意提供招标采购单位在招标文件中要求的所有资料。</w:t>
      </w:r>
      <w:r/>
    </w:p>
    <w:p>
      <w:pPr>
        <w:pStyle w:val="1212"/>
        <w:ind w:firstLine="60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6.我们愿意遵守招标文件中所列的收费标准。</w:t>
      </w:r>
      <w:r/>
    </w:p>
    <w:p>
      <w:pPr>
        <w:pStyle w:val="1212"/>
        <w:ind w:firstLine="60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7.我们承诺该项投标在开标后的全过程中保持有效，不作任何更改和变动。</w:t>
      </w:r>
      <w:r/>
    </w:p>
    <w:p>
      <w:pPr>
        <w:pStyle w:val="111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8.我方愿意提供贵单位可能另外要求的，与投标有关的文件资料，并保证我方已提供和将要提供的文件资料是真实、准确的。</w:t>
      </w:r>
      <w:r/>
    </w:p>
    <w:p>
      <w:pPr>
        <w:pStyle w:val="111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111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投标人名称： （</w:t>
      </w:r>
      <w:r>
        <w:rPr>
          <w:rFonts w:hint="eastAsia" w:ascii="宋体" w:hAnsi="宋体" w:eastAsia="宋体" w:cs="宋体"/>
          <w:bCs/>
          <w:color w:val="auto"/>
          <w:sz w:val="24"/>
        </w:rPr>
        <w:t xml:space="preserve">加盖CA电子公章</w:t>
      </w:r>
      <w:r>
        <w:rPr>
          <w:rFonts w:hint="eastAsia" w:ascii="宋体" w:hAnsi="宋体" w:eastAsia="宋体" w:cs="宋体"/>
          <w:bCs/>
          <w:color w:val="auto"/>
          <w:sz w:val="24"/>
          <w:szCs w:val="24"/>
        </w:rPr>
        <w:t xml:space="preserve">）</w:t>
      </w:r>
      <w:r/>
    </w:p>
    <w:p>
      <w:pPr>
        <w:pStyle w:val="111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rPr>
        <w:t xml:space="preserve">法定代表人或授权代表</w:t>
      </w:r>
      <w:r>
        <w:rPr>
          <w:rFonts w:hint="eastAsia" w:ascii="宋体" w:hAnsi="宋体" w:eastAsia="宋体" w:cs="宋体"/>
          <w:bCs/>
          <w:color w:val="auto"/>
          <w:sz w:val="24"/>
          <w:szCs w:val="24"/>
        </w:rPr>
        <w:t xml:space="preserve">（签字或盖章）：</w:t>
      </w:r>
      <w:r/>
    </w:p>
    <w:p>
      <w:pPr>
        <w:pStyle w:val="111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地址：</w:t>
      </w:r>
      <w:r/>
    </w:p>
    <w:p>
      <w:pPr>
        <w:pStyle w:val="111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邮政编码：</w:t>
      </w:r>
      <w:r/>
    </w:p>
    <w:p>
      <w:pPr>
        <w:pStyle w:val="111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联系电话：</w:t>
      </w:r>
      <w:r/>
    </w:p>
    <w:p>
      <w:pPr>
        <w:pStyle w:val="1110"/>
        <w:ind w:left="0" w:firstLine="600"/>
        <w:spacing w:after="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日    期：</w:t>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keepLines/>
        <w:keepNext/>
        <w:spacing w:line="600" w:lineRule="exact"/>
        <w:rPr>
          <w:rFonts w:hint="eastAsia" w:ascii="宋体" w:hAnsi="宋体" w:eastAsia="宋体" w:cs="宋体"/>
          <w:b/>
          <w:bCs/>
          <w:color w:val="auto"/>
          <w:sz w:val="24"/>
        </w:rPr>
      </w:pPr>
      <w:r>
        <w:rPr>
          <w:rFonts w:hint="eastAsia" w:ascii="宋体" w:hAnsi="宋体" w:eastAsia="宋体" w:cs="宋体"/>
          <w:b/>
          <w:bCs/>
          <w:color w:val="auto"/>
          <w:sz w:val="32"/>
          <w:szCs w:val="32"/>
        </w:rPr>
        <w:t xml:space="preserve">开标一览表</w:t>
      </w:r>
      <w:r/>
    </w:p>
    <w:p>
      <w:pPr>
        <w:pStyle w:val="1125"/>
        <w:rPr>
          <w:rFonts w:hint="eastAsia" w:eastAsia="宋体"/>
          <w:color w:val="auto"/>
          <w:sz w:val="27"/>
          <w:szCs w:val="27"/>
        </w:rPr>
      </w:pPr>
      <w:r>
        <w:rPr>
          <w:rFonts w:hint="eastAsia" w:eastAsia="宋体"/>
          <w:color w:val="auto"/>
          <w:sz w:val="27"/>
          <w:szCs w:val="27"/>
        </w:rPr>
        <w:t xml:space="preserve">项目名称：</w:t>
      </w:r>
      <w:r/>
    </w:p>
    <w:p>
      <w:pPr>
        <w:pStyle w:val="1125"/>
        <w:rPr>
          <w:rFonts w:hint="eastAsia" w:eastAsia="宋体"/>
          <w:color w:val="auto"/>
          <w:sz w:val="27"/>
          <w:szCs w:val="27"/>
        </w:rPr>
      </w:pPr>
      <w:r>
        <w:rPr>
          <w:rFonts w:hint="eastAsia" w:eastAsia="宋体"/>
          <w:color w:val="auto"/>
          <w:sz w:val="27"/>
          <w:szCs w:val="27"/>
        </w:rPr>
        <w:t xml:space="preserve">项目编号： </w:t>
      </w:r>
      <w:r/>
    </w:p>
    <w:p>
      <w:pPr>
        <w:pStyle w:val="1125"/>
        <w:rPr>
          <w:rFonts w:hint="eastAsia" w:eastAsia="宋体"/>
          <w:color w:val="auto"/>
          <w:sz w:val="27"/>
          <w:szCs w:val="27"/>
        </w:rPr>
      </w:pPr>
      <w:r>
        <w:rPr>
          <w:rFonts w:hint="eastAsia" w:eastAsia="宋体"/>
          <w:color w:val="auto"/>
          <w:sz w:val="27"/>
          <w:szCs w:val="27"/>
        </w:rPr>
        <w:t xml:space="preserve">货币单位：人民币  元</w:t>
      </w:r>
      <w:r/>
    </w:p>
    <w:tbl>
      <w:tblPr>
        <w:tblStyle w:val="856"/>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rHeight w:val="617"/>
        </w:trPr>
        <w:tc>
          <w:tcPr>
            <w:tcW w:w="2270" w:type="dxa"/>
            <w:vAlign w:val="center"/>
            <w:textDirection w:val="lrTb"/>
            <w:noWrap w:val="false"/>
          </w:tcPr>
          <w:p>
            <w:pPr>
              <w:pStyle w:val="1125"/>
              <w:rPr>
                <w:rFonts w:hint="eastAsia" w:eastAsia="宋体"/>
                <w:color w:val="auto"/>
              </w:rPr>
            </w:pPr>
            <w:r>
              <w:rPr>
                <w:rFonts w:hint="eastAsia" w:eastAsia="宋体"/>
                <w:color w:val="auto"/>
                <w:sz w:val="27"/>
                <w:szCs w:val="27"/>
              </w:rPr>
              <w:t xml:space="preserve">项目名称</w:t>
            </w:r>
            <w:r/>
          </w:p>
        </w:tc>
        <w:tc>
          <w:tcPr>
            <w:tcW w:w="2700" w:type="dxa"/>
            <w:vAlign w:val="center"/>
            <w:textDirection w:val="lrTb"/>
            <w:noWrap w:val="false"/>
          </w:tcPr>
          <w:p>
            <w:pPr>
              <w:pStyle w:val="1125"/>
              <w:rPr>
                <w:rFonts w:hint="eastAsia" w:eastAsia="宋体"/>
                <w:color w:val="auto"/>
              </w:rPr>
            </w:pPr>
            <w:r>
              <w:rPr>
                <w:rFonts w:hint="eastAsia" w:eastAsia="宋体"/>
                <w:color w:val="auto"/>
                <w:sz w:val="27"/>
                <w:szCs w:val="27"/>
              </w:rPr>
              <w:t xml:space="preserve">项目内容</w:t>
            </w:r>
            <w:r/>
          </w:p>
        </w:tc>
        <w:tc>
          <w:tcPr>
            <w:tcW w:w="3927" w:type="dxa"/>
            <w:vAlign w:val="center"/>
            <w:textDirection w:val="lrTb"/>
            <w:noWrap w:val="false"/>
          </w:tcPr>
          <w:p>
            <w:pPr>
              <w:pStyle w:val="1125"/>
              <w:rPr>
                <w:rFonts w:hint="eastAsia" w:eastAsia="宋体"/>
                <w:color w:val="auto"/>
              </w:rPr>
            </w:pPr>
            <w:r>
              <w:rPr>
                <w:rFonts w:hint="eastAsia" w:eastAsia="宋体"/>
                <w:color w:val="auto"/>
                <w:sz w:val="27"/>
                <w:szCs w:val="27"/>
              </w:rPr>
              <w:t xml:space="preserve"> 总价（小写）</w:t>
            </w:r>
            <w:r/>
          </w:p>
        </w:tc>
      </w:tr>
      <w:tr>
        <w:trPr>
          <w:trHeight w:val="717"/>
        </w:trPr>
        <w:tc>
          <w:tcPr>
            <w:tcW w:w="2270" w:type="dxa"/>
            <w:vAlign w:val="center"/>
            <w:textDirection w:val="lrTb"/>
            <w:noWrap w:val="false"/>
          </w:tcPr>
          <w:p>
            <w:pPr>
              <w:pStyle w:val="1125"/>
              <w:rPr>
                <w:rFonts w:hint="eastAsia" w:eastAsia="宋体"/>
                <w:color w:val="auto"/>
              </w:rPr>
            </w:pPr>
            <w:r>
              <w:rPr>
                <w:rFonts w:hint="eastAsia" w:eastAsia="宋体"/>
                <w:color w:val="auto"/>
                <w:sz w:val="27"/>
                <w:szCs w:val="27"/>
                <w:shd w:val="clear" w:color="auto" w:fill="ffffff"/>
              </w:rPr>
              <w:t xml:space="preserve">项目名称</w:t>
            </w:r>
            <w:r>
              <w:rPr>
                <w:rFonts w:hint="eastAsia" w:eastAsia="宋体"/>
                <w:color w:val="auto"/>
                <w:sz w:val="27"/>
                <w:szCs w:val="27"/>
              </w:rPr>
              <w:t xml:space="preserve"> </w:t>
            </w:r>
            <w:r/>
          </w:p>
        </w:tc>
        <w:tc>
          <w:tcPr>
            <w:tcW w:w="2700" w:type="dxa"/>
            <w:vAlign w:val="center"/>
            <w:textDirection w:val="lrTb"/>
            <w:noWrap w:val="false"/>
          </w:tcPr>
          <w:p>
            <w:pPr>
              <w:pStyle w:val="1125"/>
              <w:rPr>
                <w:rFonts w:hint="eastAsia" w:eastAsia="宋体"/>
                <w:color w:val="auto"/>
              </w:rPr>
            </w:pPr>
            <w:r>
              <w:rPr>
                <w:rFonts w:hint="eastAsia" w:eastAsia="宋体"/>
                <w:color w:val="auto"/>
                <w:sz w:val="27"/>
                <w:szCs w:val="27"/>
              </w:rPr>
              <w:t xml:space="preserve">详见投标文件</w:t>
            </w:r>
            <w:r/>
          </w:p>
        </w:tc>
        <w:tc>
          <w:tcPr>
            <w:tcW w:w="3927" w:type="dxa"/>
            <w:vAlign w:val="center"/>
            <w:textDirection w:val="lrTb"/>
            <w:noWrap w:val="false"/>
          </w:tcPr>
          <w:p>
            <w:pPr>
              <w:pStyle w:val="1125"/>
              <w:rPr>
                <w:rFonts w:hint="eastAsia" w:eastAsia="宋体"/>
                <w:color w:val="auto"/>
              </w:rPr>
            </w:pPr>
            <w:r/>
            <w:bookmarkStart w:id="120" w:name="_1742295356"/>
            <w:r/>
            <w:bookmarkEnd w:id="120"/>
            <w:r>
              <w:rPr>
                <w:rFonts w:hint="eastAsia" w:eastAsia="宋体"/>
                <w:color w:val="auto"/>
                <w:sz w:val="27"/>
                <w:szCs w:val="27"/>
                <w:shd w:val="clear" w:color="auto" w:fill="ffffff"/>
              </w:rPr>
              <w:fldChar w:fldCharType="begin"/>
            </w:r>
            <w:r>
              <w:rPr>
                <w:color w:val="auto"/>
              </w:rPr>
              <w:instrText xml:space="preserve"> CONTROL Forms.HTML:Text.1 \s  \* MERGEFORMAT</w:instrText>
            </w:r>
            <w:r>
              <w:rPr>
                <w:rFonts w:hint="eastAsia" w:eastAsia="宋体"/>
                <w:color w:val="auto"/>
                <w:sz w:val="27"/>
                <w:szCs w:val="27"/>
                <w:shd w:val="clear" w:color="auto" w:fill="ffffff"/>
              </w:rPr>
              <w:fldChar w:fldCharType="separate"/>
            </w:r>
            <w:r>
              <w:rPr>
                <w:rFonts w:hint="eastAsia" w:eastAsia="宋体"/>
                <w:color w:val="auto"/>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7"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8"/>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0pt;height:18.0pt;mso-wrap-distance-left:0.0pt;mso-wrap-distance-top:0.0pt;mso-wrap-distance-right:0.0pt;mso-wrap-distance-bottom:0.0pt;" stroked="f">
                      <v:path textboxrect="0,0,0,0"/>
                      <v:imagedata r:id="rId18" o:title=""/>
                    </v:shape>
                  </w:pict>
                </mc:Fallback>
              </mc:AlternateContent>
            </w:r>
            <w:r>
              <w:rPr>
                <w:rFonts w:hint="eastAsia" w:eastAsia="宋体"/>
                <w:color w:val="auto"/>
                <w:sz w:val="27"/>
                <w:szCs w:val="27"/>
                <w:shd w:val="clear" w:color="auto" w:fill="ffffff"/>
              </w:rPr>
              <w:fldChar w:fldCharType="end"/>
            </w:r>
            <w:r>
              <w:rPr>
                <w:rFonts w:hint="eastAsia" w:eastAsia="宋体"/>
                <w:color w:val="auto"/>
                <w:sz w:val="27"/>
                <w:szCs w:val="27"/>
              </w:rPr>
              <w:t xml:space="preserve"> 元</w:t>
            </w:r>
            <w:r/>
          </w:p>
        </w:tc>
      </w:tr>
      <w:tr>
        <w:trPr>
          <w:trHeight w:val="692"/>
        </w:trPr>
        <w:tc>
          <w:tcPr>
            <w:tcW w:w="2270" w:type="dxa"/>
            <w:vAlign w:val="center"/>
            <w:textDirection w:val="lrTb"/>
            <w:noWrap w:val="false"/>
          </w:tcPr>
          <w:p>
            <w:pPr>
              <w:pStyle w:val="1125"/>
              <w:rPr>
                <w:rFonts w:hint="eastAsia" w:eastAsia="宋体"/>
                <w:color w:val="auto"/>
              </w:rPr>
            </w:pPr>
            <w:r>
              <w:rPr>
                <w:rFonts w:hint="eastAsia" w:eastAsia="宋体"/>
                <w:color w:val="auto"/>
                <w:sz w:val="27"/>
                <w:szCs w:val="27"/>
              </w:rPr>
              <w:t xml:space="preserve">总价（大写）：</w:t>
            </w:r>
            <w:r/>
          </w:p>
        </w:tc>
        <w:tc>
          <w:tcPr>
            <w:gridSpan w:val="2"/>
            <w:tcW w:w="6627" w:type="dxa"/>
            <w:vAlign w:val="center"/>
            <w:textDirection w:val="lrTb"/>
            <w:noWrap w:val="false"/>
          </w:tcPr>
          <w:p>
            <w:pPr>
              <w:pStyle w:val="1125"/>
              <w:rPr>
                <w:rFonts w:hint="eastAsia" w:eastAsia="宋体"/>
                <w:color w:val="auto"/>
              </w:rPr>
            </w:pPr>
            <w:r>
              <w:rPr>
                <w:rFonts w:hint="eastAsia" w:eastAsia="宋体"/>
                <w:color w:val="auto"/>
                <w:sz w:val="27"/>
                <w:szCs w:val="27"/>
              </w:rPr>
              <w:t xml:space="preserve">金额大写 </w:t>
            </w:r>
            <w:r/>
          </w:p>
        </w:tc>
      </w:tr>
    </w:tbl>
    <w:p>
      <w:pPr>
        <w:pStyle w:val="1125"/>
        <w:rPr>
          <w:rFonts w:hint="eastAsia" w:eastAsia="宋体"/>
          <w:color w:val="auto"/>
          <w:sz w:val="27"/>
          <w:szCs w:val="27"/>
        </w:rPr>
      </w:pPr>
      <w:r>
        <w:rPr>
          <w:rFonts w:hint="eastAsia" w:eastAsia="宋体"/>
          <w:color w:val="auto"/>
          <w:sz w:val="27"/>
          <w:szCs w:val="27"/>
        </w:rPr>
      </w:r>
      <w:r/>
    </w:p>
    <w:p>
      <w:pPr>
        <w:pStyle w:val="1125"/>
        <w:rPr>
          <w:rFonts w:hint="eastAsia" w:eastAsia="宋体"/>
          <w:color w:val="auto"/>
          <w:sz w:val="27"/>
          <w:szCs w:val="27"/>
        </w:rPr>
      </w:pPr>
      <w:r>
        <w:rPr>
          <w:rFonts w:hint="eastAsia" w:eastAsia="宋体"/>
          <w:color w:val="auto"/>
          <w:sz w:val="27"/>
          <w:szCs w:val="27"/>
        </w:rPr>
        <w:t xml:space="preserve">投标人公章： （电子签章）</w:t>
      </w:r>
      <w:r/>
    </w:p>
    <w:p>
      <w:pPr>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  </w:t>
      </w:r>
      <w:r>
        <w:rPr>
          <w:rFonts w:hint="eastAsia" w:ascii="宋体" w:hAnsi="宋体" w:eastAsia="宋体" w:cs="宋体"/>
          <w:color w:val="auto"/>
          <w:sz w:val="24"/>
          <w:szCs w:val="24"/>
          <w:u w:val="single"/>
        </w:rPr>
        <w:t xml:space="preserve"> </w:t>
      </w:r>
      <w:bookmarkStart w:id="121" w:name="NF"/>
      <w:r/>
      <w:bookmarkEnd w:id="121"/>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bookmarkStart w:id="122" w:name="YF"/>
      <w:r/>
      <w:bookmarkEnd w:id="122"/>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bookmarkStart w:id="123" w:name="RI"/>
      <w:r/>
      <w:bookmarkEnd w:id="123"/>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spacing w:line="400" w:lineRule="exact"/>
        <w:rPr>
          <w:rFonts w:hint="eastAsia" w:ascii="宋体" w:hAnsi="宋体" w:eastAsia="宋体" w:cs="宋体"/>
          <w:bCs/>
          <w:color w:val="auto"/>
          <w:sz w:val="32"/>
        </w:rPr>
      </w:pPr>
      <w:r>
        <w:rPr>
          <w:rFonts w:hint="eastAsia" w:ascii="宋体" w:hAnsi="宋体" w:eastAsia="宋体" w:cs="宋体"/>
          <w:bCs/>
          <w:color w:val="auto"/>
          <w:sz w:val="32"/>
        </w:rPr>
      </w:r>
      <w:r/>
    </w:p>
    <w:p>
      <w:pPr>
        <w:spacing w:line="400" w:lineRule="exact"/>
        <w:rPr>
          <w:rFonts w:hint="eastAsia" w:ascii="宋体" w:hAnsi="宋体" w:eastAsia="宋体" w:cs="宋体"/>
          <w:bCs/>
          <w:color w:val="auto"/>
          <w:sz w:val="32"/>
        </w:rPr>
      </w:pPr>
      <w:r>
        <w:rPr>
          <w:rFonts w:hint="eastAsia" w:ascii="宋体" w:hAnsi="宋体" w:eastAsia="宋体" w:cs="宋体"/>
          <w:bCs/>
          <w:color w:val="auto"/>
          <w:sz w:val="32"/>
        </w:rPr>
      </w:r>
      <w:r/>
    </w:p>
    <w:p>
      <w:pPr>
        <w:ind w:left="720" w:hanging="720"/>
        <w:spacing w:line="400" w:lineRule="exact"/>
        <w:rPr>
          <w:rFonts w:hint="eastAsia" w:ascii="宋体" w:hAnsi="宋体" w:eastAsia="宋体" w:cs="宋体"/>
          <w:bCs/>
          <w:color w:val="auto"/>
          <w:sz w:val="24"/>
        </w:rPr>
      </w:pPr>
      <w:r>
        <w:rPr>
          <w:rFonts w:hint="eastAsia" w:ascii="宋体" w:hAnsi="宋体" w:eastAsia="宋体" w:cs="宋体"/>
          <w:bCs/>
          <w:color w:val="auto"/>
          <w:sz w:val="24"/>
        </w:rPr>
      </w:r>
      <w:r/>
    </w:p>
    <w:p>
      <w:pPr>
        <w:pStyle w:val="871"/>
        <w:rPr>
          <w:rFonts w:hint="eastAsia" w:hAnsi="宋体" w:eastAsia="宋体" w:cs="宋体"/>
          <w:color w:val="auto"/>
        </w:rPr>
      </w:pPr>
      <w:r>
        <w:rPr>
          <w:rFonts w:hint="eastAsia" w:hAnsi="宋体" w:eastAsia="宋体" w:cs="宋体"/>
          <w:color w:val="auto"/>
        </w:rPr>
      </w:r>
      <w:r/>
    </w:p>
    <w:p>
      <w:pPr>
        <w:pStyle w:val="860"/>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pStyle w:val="889"/>
        <w:rPr>
          <w:rFonts w:hint="eastAsia" w:ascii="宋体" w:hAnsi="宋体" w:eastAsia="宋体" w:cs="宋体"/>
          <w:color w:val="auto"/>
        </w:rPr>
      </w:pPr>
      <w:r>
        <w:rPr>
          <w:rFonts w:hint="eastAsia" w:ascii="宋体" w:hAnsi="宋体" w:eastAsia="宋体" w:cs="宋体"/>
          <w:color w:val="auto"/>
        </w:rPr>
      </w:r>
      <w:r/>
    </w:p>
    <w:p>
      <w:pPr>
        <w:pStyle w:val="890"/>
        <w:rPr>
          <w:rFonts w:hint="eastAsia" w:ascii="宋体" w:hAnsi="宋体" w:eastAsia="宋体" w:cs="宋体"/>
          <w:color w:val="auto"/>
        </w:rPr>
      </w:pPr>
      <w:r>
        <w:rPr>
          <w:rFonts w:hint="eastAsia" w:ascii="宋体" w:hAnsi="宋体" w:eastAsia="宋体" w:cs="宋体"/>
          <w:color w:val="auto"/>
        </w:rPr>
      </w:r>
      <w:r/>
    </w:p>
    <w:p>
      <w:pPr>
        <w:pStyle w:val="857"/>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pStyle w:val="889"/>
        <w:rPr>
          <w:rFonts w:hint="eastAsia" w:ascii="宋体" w:hAnsi="宋体" w:eastAsia="宋体" w:cs="宋体"/>
          <w:color w:val="auto"/>
        </w:rPr>
      </w:pPr>
      <w:r>
        <w:rPr>
          <w:rFonts w:hint="eastAsia" w:ascii="宋体" w:hAnsi="宋体" w:eastAsia="宋体" w:cs="宋体"/>
          <w:color w:val="auto"/>
        </w:rPr>
      </w:r>
      <w:r/>
    </w:p>
    <w:p>
      <w:pPr>
        <w:pStyle w:val="857"/>
        <w:ind w:left="0"/>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报价明细表</w:t>
      </w:r>
      <w:r/>
    </w:p>
    <w:p>
      <w:pPr>
        <w:pStyle w:val="889"/>
        <w:rPr>
          <w:rFonts w:hint="eastAsia" w:ascii="宋体" w:hAnsi="宋体" w:eastAsia="宋体" w:cs="宋体"/>
          <w:color w:val="auto"/>
        </w:rPr>
      </w:pPr>
      <w:r>
        <w:rPr>
          <w:rFonts w:hint="eastAsia" w:ascii="宋体" w:hAnsi="宋体" w:eastAsia="宋体" w:cs="宋体"/>
          <w:color w:val="auto"/>
        </w:rPr>
      </w:r>
      <w:r/>
    </w:p>
    <w:p>
      <w:pPr>
        <w:pStyle w:val="1125"/>
        <w:rPr>
          <w:rFonts w:hint="eastAsia" w:eastAsia="宋体"/>
          <w:color w:val="auto"/>
          <w:sz w:val="27"/>
          <w:szCs w:val="27"/>
        </w:rPr>
      </w:pPr>
      <w:r>
        <w:rPr>
          <w:rFonts w:hint="eastAsia" w:eastAsia="宋体"/>
          <w:color w:val="auto"/>
          <w:sz w:val="27"/>
          <w:szCs w:val="27"/>
        </w:rPr>
        <w:t xml:space="preserve">项目名称：</w:t>
      </w:r>
      <w:r/>
    </w:p>
    <w:p>
      <w:pPr>
        <w:pStyle w:val="1125"/>
        <w:rPr>
          <w:rFonts w:hint="eastAsia" w:eastAsia="宋体"/>
          <w:color w:val="auto"/>
          <w:sz w:val="27"/>
          <w:szCs w:val="27"/>
        </w:rPr>
      </w:pPr>
      <w:r>
        <w:rPr>
          <w:rFonts w:hint="eastAsia" w:eastAsia="宋体"/>
          <w:color w:val="auto"/>
          <w:sz w:val="27"/>
          <w:szCs w:val="27"/>
        </w:rPr>
        <w:t xml:space="preserve">项目编号： </w:t>
      </w:r>
      <w:r/>
    </w:p>
    <w:p>
      <w:pPr>
        <w:pStyle w:val="890"/>
        <w:rPr>
          <w:color w:val="auto"/>
        </w:rPr>
      </w:pPr>
      <w:r>
        <w:rPr>
          <w:color w:val="auto"/>
        </w:rPr>
      </w:r>
      <w:r/>
    </w:p>
    <w:tbl>
      <w:tblPr>
        <w:tblStyle w:val="856"/>
        <w:tblW w:w="48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1418"/>
        <w:gridCol w:w="1502"/>
        <w:gridCol w:w="1229"/>
        <w:gridCol w:w="1746"/>
        <w:gridCol w:w="1822"/>
      </w:tblGrid>
      <w:tr>
        <w:trPr>
          <w:jc w:val="center"/>
          <w:trHeight w:val="842"/>
        </w:trPr>
        <w:tc>
          <w:tcPr>
            <w:tcW w:w="512"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序号</w:t>
            </w:r>
            <w:r/>
          </w:p>
        </w:tc>
        <w:tc>
          <w:tcPr>
            <w:tcW w:w="824"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项目需求</w:t>
            </w:r>
            <w:r/>
          </w:p>
        </w:tc>
        <w:tc>
          <w:tcPr>
            <w:tcW w:w="873"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采购内容</w:t>
            </w:r>
            <w:r/>
          </w:p>
        </w:tc>
        <w:tc>
          <w:tcPr>
            <w:tcW w:w="714"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数量</w:t>
            </w:r>
            <w:r/>
          </w:p>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（吨）</w:t>
            </w:r>
            <w:r/>
          </w:p>
        </w:tc>
        <w:tc>
          <w:tcPr>
            <w:tcW w:w="1015"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单价（元）</w:t>
            </w:r>
            <w:r/>
          </w:p>
        </w:tc>
        <w:tc>
          <w:tcPr>
            <w:tcW w:w="1059" w:type="pct"/>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合价（元）</w:t>
            </w:r>
            <w:r/>
          </w:p>
        </w:tc>
      </w:tr>
      <w:tr>
        <w:trPr>
          <w:jc w:val="center"/>
          <w:trHeight w:val="567"/>
        </w:trPr>
        <w:tc>
          <w:tcPr>
            <w:tcW w:w="881" w:type="dxa"/>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1418" w:type="dxa"/>
            <w:vAlign w:val="center"/>
            <w:vMerge w:val="restart"/>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种番鸭饲料</w:t>
            </w:r>
            <w:r/>
          </w:p>
        </w:tc>
        <w:tc>
          <w:tcPr>
            <w:tcW w:w="1502" w:type="dxa"/>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育雏料</w:t>
            </w:r>
            <w:r/>
          </w:p>
        </w:tc>
        <w:tc>
          <w:tcPr>
            <w:tcW w:w="1229"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14</w:t>
            </w:r>
            <w:r/>
          </w:p>
        </w:tc>
        <w:tc>
          <w:tcPr>
            <w:tcW w:w="1015" w:type="pct"/>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059" w:type="pct"/>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jc w:val="center"/>
          <w:trHeight w:val="567"/>
        </w:trPr>
        <w:tc>
          <w:tcPr>
            <w:tcW w:w="881" w:type="dxa"/>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W w:w="1418" w:type="dxa"/>
            <w:vAlign w:val="center"/>
            <w:vMerge w:val="continue"/>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02" w:type="dxa"/>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育成料</w:t>
            </w:r>
            <w:r/>
          </w:p>
        </w:tc>
        <w:tc>
          <w:tcPr>
            <w:tcW w:w="1229"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170</w:t>
            </w:r>
            <w:r/>
          </w:p>
        </w:tc>
        <w:tc>
          <w:tcPr>
            <w:tcW w:w="1015" w:type="pct"/>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059" w:type="pct"/>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jc w:val="center"/>
          <w:trHeight w:val="567"/>
        </w:trPr>
        <w:tc>
          <w:tcPr>
            <w:tcW w:w="881" w:type="dxa"/>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W w:w="1418" w:type="dxa"/>
            <w:vAlign w:val="center"/>
            <w:vMerge w:val="continue"/>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02" w:type="dxa"/>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产蛋料</w:t>
            </w:r>
            <w:r/>
          </w:p>
        </w:tc>
        <w:tc>
          <w:tcPr>
            <w:tcW w:w="1229"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260</w:t>
            </w:r>
            <w:r/>
          </w:p>
        </w:tc>
        <w:tc>
          <w:tcPr>
            <w:tcW w:w="1015" w:type="pct"/>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059" w:type="pct"/>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jc w:val="center"/>
          <w:trHeight w:val="567"/>
        </w:trPr>
        <w:tc>
          <w:tcPr>
            <w:tcW w:w="881" w:type="dxa"/>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c>
          <w:tcPr>
            <w:tcW w:w="1418" w:type="dxa"/>
            <w:vAlign w:val="center"/>
            <w:vMerge w:val="restart"/>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商品番鸭饲料</w:t>
            </w:r>
            <w:r/>
          </w:p>
        </w:tc>
        <w:tc>
          <w:tcPr>
            <w:tcW w:w="1502" w:type="dxa"/>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育雏料</w:t>
            </w:r>
            <w:r/>
          </w:p>
        </w:tc>
        <w:tc>
          <w:tcPr>
            <w:tcW w:w="1229"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7</w:t>
            </w:r>
            <w:r/>
          </w:p>
        </w:tc>
        <w:tc>
          <w:tcPr>
            <w:tcW w:w="1015" w:type="pct"/>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059" w:type="pct"/>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jc w:val="center"/>
          <w:trHeight w:val="567"/>
        </w:trPr>
        <w:tc>
          <w:tcPr>
            <w:tcW w:w="881" w:type="dxa"/>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p>
        </w:tc>
        <w:tc>
          <w:tcPr>
            <w:tcW w:w="1418" w:type="dxa"/>
            <w:vAlign w:val="center"/>
            <w:vMerge w:val="continue"/>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02" w:type="dxa"/>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生长料</w:t>
            </w:r>
            <w:r/>
          </w:p>
        </w:tc>
        <w:tc>
          <w:tcPr>
            <w:tcW w:w="1229"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13</w:t>
            </w:r>
            <w:r/>
          </w:p>
        </w:tc>
        <w:tc>
          <w:tcPr>
            <w:tcW w:w="1015" w:type="pct"/>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059" w:type="pct"/>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jc w:val="center"/>
          <w:trHeight w:val="567"/>
        </w:trPr>
        <w:tc>
          <w:tcPr>
            <w:tcW w:w="881" w:type="dxa"/>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w:t>
            </w:r>
            <w:r/>
          </w:p>
        </w:tc>
        <w:tc>
          <w:tcPr>
            <w:tcW w:w="1418" w:type="dxa"/>
            <w:vAlign w:val="center"/>
            <w:vMerge w:val="continue"/>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02" w:type="dxa"/>
            <w:vAlign w:val="center"/>
            <w:textDirection w:val="lrTb"/>
            <w:noWrap w:val="false"/>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育肥料</w:t>
            </w:r>
            <w:r/>
          </w:p>
        </w:tc>
        <w:tc>
          <w:tcPr>
            <w:tcW w:w="1229"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22</w:t>
            </w:r>
            <w:r/>
          </w:p>
        </w:tc>
        <w:tc>
          <w:tcPr>
            <w:tcW w:w="1015" w:type="pct"/>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059" w:type="pct"/>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jc w:val="center"/>
          <w:trHeight w:val="567"/>
        </w:trPr>
        <w:tc>
          <w:tcPr>
            <w:tcW w:w="881" w:type="dxa"/>
            <w:vAlign w:val="center"/>
            <w:textDirection w:val="lrTb"/>
            <w:noWrap/>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合计</w:t>
            </w:r>
            <w:r/>
          </w:p>
        </w:tc>
        <w:tc>
          <w:tcPr>
            <w:tcW w:w="1418" w:type="dxa"/>
            <w:vAlign w:val="center"/>
            <w:textDirection w:val="lrTb"/>
            <w:noWrap/>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502" w:type="dxa"/>
            <w:vAlign w:val="center"/>
            <w:textDirection w:val="lrTb"/>
            <w:noWrap/>
          </w:tcPr>
          <w:p>
            <w:pPr>
              <w:jc w:val="center"/>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229" w:type="dxa"/>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color w:val="auto"/>
                <w:sz w:val="24"/>
                <w:szCs w:val="24"/>
                <w:lang w:bidi="ar"/>
              </w:rPr>
              <w:t xml:space="preserve">486</w:t>
            </w:r>
            <w:r/>
          </w:p>
        </w:tc>
        <w:tc>
          <w:tcPr>
            <w:tcW w:w="1015" w:type="pct"/>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059" w:type="pct"/>
            <w:vAlign w:val="center"/>
            <w:textDirection w:val="lrTb"/>
            <w:noWrap w:val="false"/>
          </w:tcPr>
          <w:p>
            <w:pPr>
              <w:jc w:val="center"/>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bl>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1125"/>
        <w:ind w:firstLine="540"/>
        <w:rPr>
          <w:rFonts w:hint="eastAsia" w:eastAsia="宋体"/>
          <w:color w:val="auto"/>
          <w:sz w:val="27"/>
          <w:szCs w:val="27"/>
        </w:rPr>
      </w:pPr>
      <w:r>
        <w:rPr>
          <w:rFonts w:hint="eastAsia" w:eastAsia="宋体"/>
          <w:color w:val="auto"/>
          <w:sz w:val="27"/>
          <w:szCs w:val="27"/>
        </w:rPr>
        <w:t xml:space="preserve">投标人公章： （电子签章）</w:t>
      </w:r>
      <w:r/>
    </w:p>
    <w:p>
      <w:pPr>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关于资格的声明函</w:t>
      </w:r>
      <w:r/>
    </w:p>
    <w:p>
      <w:pPr>
        <w:jc w:val="center"/>
        <w:rPr>
          <w:rFonts w:hint="eastAsia" w:ascii="宋体" w:hAnsi="宋体" w:eastAsia="宋体" w:cs="宋体"/>
          <w:bCs/>
          <w:color w:val="auto"/>
          <w:sz w:val="32"/>
        </w:rPr>
      </w:pPr>
      <w:r>
        <w:rPr>
          <w:rFonts w:hint="eastAsia" w:ascii="宋体" w:hAnsi="宋体" w:eastAsia="宋体" w:cs="宋体"/>
          <w:bCs/>
          <w:color w:val="auto"/>
          <w:sz w:val="32"/>
        </w:rPr>
      </w:r>
      <w:r/>
    </w:p>
    <w:p>
      <w:pPr>
        <w:spacing w:line="480" w:lineRule="auto"/>
        <w:rPr>
          <w:rFonts w:hint="eastAsia" w:ascii="宋体" w:hAnsi="宋体" w:eastAsia="宋体" w:cs="宋体"/>
          <w:bCs/>
          <w:iCs/>
          <w:color w:val="auto"/>
          <w:sz w:val="28"/>
          <w:szCs w:val="28"/>
        </w:rPr>
      </w:pPr>
      <w:r>
        <w:rPr>
          <w:rFonts w:hint="eastAsia" w:ascii="宋体" w:hAnsi="宋体" w:eastAsia="宋体" w:cs="宋体"/>
          <w:bCs/>
          <w:iCs/>
          <w:color w:val="auto"/>
          <w:sz w:val="24"/>
          <w:szCs w:val="24"/>
          <w:u w:val="single"/>
        </w:rPr>
        <w:t xml:space="preserve">江苏农牧科技职业学院</w:t>
      </w:r>
      <w:r>
        <w:rPr>
          <w:rFonts w:hint="eastAsia" w:ascii="宋体" w:hAnsi="宋体" w:eastAsia="宋体" w:cs="宋体"/>
          <w:bCs/>
          <w:iCs/>
          <w:color w:val="auto"/>
          <w:sz w:val="24"/>
          <w:szCs w:val="24"/>
        </w:rPr>
        <w:t xml:space="preserve">：</w:t>
      </w:r>
      <w:r/>
    </w:p>
    <w:p>
      <w:pPr>
        <w:pStyle w:val="1135"/>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按照招标文件的要求，我方（投标供应商）提交的资格证明文件及有关资料，用于你方（采购人）审查我方参加</w:t>
      </w:r>
      <w:r>
        <w:rPr>
          <w:rFonts w:hint="eastAsia" w:ascii="宋体" w:hAnsi="宋体" w:cs="宋体"/>
          <w:bCs/>
          <w:color w:val="auto"/>
          <w:sz w:val="24"/>
          <w:szCs w:val="24"/>
          <w:u w:val="single"/>
        </w:rPr>
        <w:t xml:space="preserve">          （项目名称）</w:t>
      </w:r>
      <w:r>
        <w:rPr>
          <w:rFonts w:hint="eastAsia" w:ascii="宋体" w:hAnsi="宋体" w:cs="宋体"/>
          <w:bCs/>
          <w:color w:val="auto"/>
          <w:sz w:val="24"/>
          <w:szCs w:val="24"/>
        </w:rPr>
        <w:t xml:space="preserve">政府采购活动的投标资格。我方在此声明：</w:t>
      </w:r>
      <w:r/>
    </w:p>
    <w:p>
      <w:pPr>
        <w:pStyle w:val="1135"/>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1.所提交的资格证明文件及有关资料内容完整、真实和准确。</w:t>
      </w:r>
      <w:r/>
    </w:p>
    <w:p>
      <w:pPr>
        <w:pStyle w:val="1135"/>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2.我方未以他人名义投标、串标或以其他方式弄虚作假投标。</w:t>
      </w:r>
      <w:r/>
    </w:p>
    <w:p>
      <w:pPr>
        <w:pStyle w:val="1135"/>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3.我方未向采购人或评标委员会行贿谋取中标。</w:t>
      </w:r>
      <w:r/>
    </w:p>
    <w:p>
      <w:pPr>
        <w:ind w:firstLine="480"/>
        <w:spacing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我方若有违法违规行为，自愿承担违诺违规责任，取消响应资格，列入政府采购不良行为记录，并根据《中华人民共和国政府采购法》《中华人民共和国政府采购法实施条例》等有关法律法规和规章中的相关条款进行处罚。如已中标的，自动取消中标资格；给采购人造成损失的，依法承担赔偿责任。</w:t>
      </w:r>
      <w:r/>
    </w:p>
    <w:p>
      <w:pPr>
        <w:pStyle w:val="90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rPr>
      </w:pPr>
      <w:r>
        <w:rPr>
          <w:rFonts w:hint="eastAsia" w:ascii="宋体" w:hAnsi="宋体" w:eastAsia="宋体" w:cs="宋体"/>
          <w:color w:val="auto"/>
        </w:rPr>
      </w:r>
      <w:r/>
    </w:p>
    <w:p>
      <w:pPr>
        <w:ind w:firstLine="560"/>
        <w:jc w:val="right"/>
        <w:spacing w:line="360" w:lineRule="auto"/>
        <w:rPr>
          <w:rFonts w:hint="eastAsia" w:ascii="宋体" w:hAnsi="宋体" w:eastAsia="宋体" w:cs="宋体"/>
          <w:bCs/>
          <w:color w:val="auto"/>
          <w:sz w:val="24"/>
        </w:rPr>
      </w:pPr>
      <w:r>
        <w:rPr>
          <w:rFonts w:hint="eastAsia" w:ascii="宋体" w:hAnsi="宋体" w:eastAsia="宋体" w:cs="宋体"/>
          <w:bCs/>
          <w:color w:val="auto"/>
          <w:sz w:val="28"/>
          <w:szCs w:val="28"/>
        </w:rPr>
        <w:t xml:space="preserve">                        </w:t>
      </w:r>
      <w:r>
        <w:rPr>
          <w:rFonts w:hint="eastAsia" w:ascii="宋体" w:hAnsi="宋体" w:eastAsia="宋体" w:cs="宋体"/>
          <w:bCs/>
          <w:color w:val="auto"/>
          <w:sz w:val="24"/>
        </w:rPr>
        <w:t xml:space="preserve">法定代表人或授权代表（签字或盖章）：</w:t>
      </w:r>
      <w:r/>
    </w:p>
    <w:p>
      <w:pPr>
        <w:ind w:firstLine="480"/>
        <w:jc w:val="right"/>
        <w:spacing w:line="360" w:lineRule="auto"/>
        <w:rPr>
          <w:rFonts w:hint="eastAsia" w:ascii="宋体" w:hAnsi="宋体" w:eastAsia="宋体" w:cs="宋体"/>
          <w:bCs/>
          <w:color w:val="auto"/>
          <w:sz w:val="24"/>
        </w:rPr>
      </w:pPr>
      <w:r/>
      <w:bookmarkStart w:id="124" w:name="OLE_LINK21"/>
      <w:r>
        <w:rPr>
          <w:rFonts w:hint="eastAsia" w:ascii="宋体" w:hAnsi="宋体" w:eastAsia="宋体" w:cs="宋体"/>
          <w:bCs/>
          <w:color w:val="auto"/>
          <w:sz w:val="24"/>
        </w:rPr>
        <w:t xml:space="preserve">单位名称：（加盖CA电子公章）</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w:t>
      </w:r>
      <w:bookmarkEnd w:id="124"/>
      <w:r/>
      <w:r/>
    </w:p>
    <w:p>
      <w:pPr>
        <w:pStyle w:val="1134"/>
        <w:ind w:firstLine="480"/>
        <w:rPr>
          <w:rFonts w:hint="eastAsia" w:hAnsi="宋体" w:cs="宋体"/>
          <w:color w:val="auto"/>
          <w:sz w:val="24"/>
          <w:szCs w:val="24"/>
        </w:rPr>
      </w:pPr>
      <w:r>
        <w:rPr>
          <w:rFonts w:hint="eastAsia" w:hAnsi="宋体" w:cs="宋体"/>
          <w:color w:val="auto"/>
          <w:sz w:val="24"/>
          <w:szCs w:val="24"/>
        </w:rPr>
      </w:r>
      <w:r/>
    </w:p>
    <w:p>
      <w:pPr>
        <w:pStyle w:val="1134"/>
        <w:ind w:firstLine="480"/>
        <w:rPr>
          <w:rFonts w:hint="eastAsia" w:hAnsi="宋体" w:cs="宋体"/>
          <w:color w:val="auto"/>
          <w:sz w:val="24"/>
          <w:szCs w:val="24"/>
        </w:rPr>
      </w:pPr>
      <w:r>
        <w:rPr>
          <w:rFonts w:hint="eastAsia" w:hAnsi="宋体" w:cs="宋体"/>
          <w:color w:val="auto"/>
          <w:sz w:val="24"/>
          <w:szCs w:val="24"/>
        </w:rPr>
      </w:r>
      <w:r/>
    </w:p>
    <w:p>
      <w:pPr>
        <w:pStyle w:val="1134"/>
        <w:ind w:firstLine="480"/>
        <w:rPr>
          <w:rFonts w:hint="eastAsia" w:hAnsi="宋体" w:cs="宋体"/>
          <w:color w:val="auto"/>
          <w:sz w:val="24"/>
          <w:szCs w:val="24"/>
        </w:rPr>
      </w:pPr>
      <w:r>
        <w:rPr>
          <w:rFonts w:hint="eastAsia" w:hAnsi="宋体" w:cs="宋体"/>
          <w:color w:val="auto"/>
          <w:sz w:val="24"/>
          <w:szCs w:val="24"/>
        </w:rPr>
      </w:r>
      <w:r/>
    </w:p>
    <w:p>
      <w:pPr>
        <w:pStyle w:val="1134"/>
        <w:ind w:firstLine="480"/>
        <w:rPr>
          <w:rFonts w:hint="eastAsia" w:hAnsi="宋体" w:cs="宋体"/>
          <w:color w:val="auto"/>
          <w:sz w:val="24"/>
          <w:szCs w:val="24"/>
        </w:rPr>
      </w:pPr>
      <w:r>
        <w:rPr>
          <w:rFonts w:hint="eastAsia" w:hAnsi="宋体" w:cs="宋体"/>
          <w:color w:val="auto"/>
          <w:sz w:val="24"/>
          <w:szCs w:val="24"/>
        </w:rPr>
      </w:r>
      <w:r/>
    </w:p>
    <w:p>
      <w:pPr>
        <w:pStyle w:val="1134"/>
        <w:ind w:firstLine="480"/>
        <w:rPr>
          <w:rFonts w:hint="eastAsia" w:hAnsi="宋体" w:cs="宋体"/>
          <w:color w:val="auto"/>
          <w:sz w:val="24"/>
          <w:szCs w:val="24"/>
        </w:rPr>
      </w:pPr>
      <w:r>
        <w:rPr>
          <w:rFonts w:hint="eastAsia" w:hAnsi="宋体" w:cs="宋体"/>
          <w:color w:val="auto"/>
          <w:sz w:val="24"/>
          <w:szCs w:val="24"/>
        </w:rPr>
      </w:r>
      <w:r/>
    </w:p>
    <w:p>
      <w:pPr>
        <w:pStyle w:val="1134"/>
        <w:ind w:firstLine="480"/>
        <w:rPr>
          <w:rFonts w:hint="eastAsia" w:hAnsi="宋体" w:cs="宋体"/>
          <w:color w:val="auto"/>
          <w:sz w:val="24"/>
          <w:szCs w:val="24"/>
        </w:rPr>
      </w:pPr>
      <w:r>
        <w:rPr>
          <w:rFonts w:hint="eastAsia" w:hAnsi="宋体" w:cs="宋体"/>
          <w:color w:val="auto"/>
          <w:sz w:val="24"/>
          <w:szCs w:val="24"/>
        </w:rPr>
      </w:r>
      <w:r/>
    </w:p>
    <w:p>
      <w:pPr>
        <w:pStyle w:val="1134"/>
        <w:ind w:firstLine="480"/>
        <w:rPr>
          <w:rFonts w:hint="eastAsia" w:hAnsi="宋体" w:cs="宋体"/>
          <w:color w:val="auto"/>
          <w:sz w:val="24"/>
          <w:szCs w:val="24"/>
        </w:rPr>
      </w:pPr>
      <w:r>
        <w:rPr>
          <w:rFonts w:hint="eastAsia" w:hAnsi="宋体" w:cs="宋体"/>
          <w:color w:val="auto"/>
          <w:sz w:val="24"/>
          <w:szCs w:val="24"/>
        </w:rPr>
      </w:r>
      <w:r/>
    </w:p>
    <w:p>
      <w:pPr>
        <w:pStyle w:val="1134"/>
        <w:ind w:firstLine="480"/>
        <w:rPr>
          <w:rFonts w:hint="eastAsia" w:hAnsi="宋体" w:cs="宋体"/>
          <w:color w:val="auto"/>
          <w:sz w:val="24"/>
          <w:szCs w:val="24"/>
        </w:rPr>
      </w:pPr>
      <w:r>
        <w:rPr>
          <w:rFonts w:hint="eastAsia" w:hAnsi="宋体" w:cs="宋体"/>
          <w:color w:val="auto"/>
          <w:sz w:val="24"/>
          <w:szCs w:val="24"/>
        </w:rPr>
      </w:r>
      <w:r/>
    </w:p>
    <w:p>
      <w:pPr>
        <w:pStyle w:val="1134"/>
        <w:ind w:firstLine="480"/>
        <w:rPr>
          <w:rFonts w:hint="eastAsia" w:hAnsi="宋体" w:cs="宋体"/>
          <w:color w:val="auto"/>
          <w:sz w:val="24"/>
          <w:szCs w:val="24"/>
        </w:rPr>
      </w:pPr>
      <w:r>
        <w:rPr>
          <w:rFonts w:hint="eastAsia" w:hAnsi="宋体" w:cs="宋体"/>
          <w:color w:val="auto"/>
          <w:sz w:val="24"/>
          <w:szCs w:val="24"/>
        </w:rPr>
      </w:r>
      <w:r/>
    </w:p>
    <w:p>
      <w:pPr>
        <w:pStyle w:val="1134"/>
        <w:ind w:firstLine="480"/>
        <w:rPr>
          <w:rFonts w:hint="eastAsia" w:hAnsi="宋体" w:cs="宋体"/>
          <w:color w:val="auto"/>
          <w:sz w:val="24"/>
          <w:szCs w:val="24"/>
        </w:rPr>
      </w:pPr>
      <w:r>
        <w:rPr>
          <w:rFonts w:hint="eastAsia" w:hAnsi="宋体" w:cs="宋体"/>
          <w:color w:val="auto"/>
          <w:sz w:val="24"/>
          <w:szCs w:val="24"/>
        </w:rPr>
      </w:r>
      <w:r/>
    </w:p>
    <w:p>
      <w:pPr>
        <w:pStyle w:val="1134"/>
        <w:ind w:firstLine="480"/>
        <w:rPr>
          <w:rFonts w:hint="eastAsia" w:hAnsi="宋体" w:cs="宋体"/>
          <w:color w:val="auto"/>
          <w:sz w:val="24"/>
          <w:szCs w:val="24"/>
        </w:rPr>
      </w:pPr>
      <w:r>
        <w:rPr>
          <w:rFonts w:hint="eastAsia" w:hAnsi="宋体" w:cs="宋体"/>
          <w:color w:val="auto"/>
          <w:sz w:val="24"/>
          <w:szCs w:val="24"/>
        </w:rPr>
      </w:r>
      <w:r/>
    </w:p>
    <w:p>
      <w:pPr>
        <w:pStyle w:val="1134"/>
        <w:ind w:firstLine="480"/>
        <w:rPr>
          <w:rFonts w:hint="eastAsia" w:hAnsi="宋体" w:cs="宋体"/>
          <w:color w:val="auto"/>
          <w:sz w:val="24"/>
          <w:szCs w:val="24"/>
        </w:rPr>
      </w:pPr>
      <w:r>
        <w:rPr>
          <w:rFonts w:hint="eastAsia" w:hAnsi="宋体" w:cs="宋体"/>
          <w:color w:val="auto"/>
          <w:sz w:val="24"/>
          <w:szCs w:val="24"/>
        </w:rPr>
      </w:r>
      <w:r/>
    </w:p>
    <w:p>
      <w:pPr>
        <w:pStyle w:val="1134"/>
        <w:ind w:firstLine="480"/>
        <w:rPr>
          <w:rFonts w:hint="eastAsia" w:hAnsi="宋体" w:cs="宋体"/>
          <w:color w:val="auto"/>
          <w:sz w:val="24"/>
          <w:szCs w:val="24"/>
        </w:rPr>
      </w:pPr>
      <w:r>
        <w:rPr>
          <w:rFonts w:hint="eastAsia" w:hAnsi="宋体" w:cs="宋体"/>
          <w:color w:val="auto"/>
          <w:sz w:val="24"/>
          <w:szCs w:val="24"/>
        </w:rPr>
      </w:r>
      <w:r/>
    </w:p>
    <w:p>
      <w:pPr>
        <w:pStyle w:val="1134"/>
        <w:ind w:firstLine="480"/>
        <w:rPr>
          <w:rFonts w:hint="eastAsia" w:hAnsi="宋体" w:cs="宋体"/>
          <w:color w:val="auto"/>
          <w:sz w:val="24"/>
          <w:szCs w:val="24"/>
        </w:rPr>
      </w:pPr>
      <w:r>
        <w:rPr>
          <w:rFonts w:hint="eastAsia" w:hAnsi="宋体" w:cs="宋体"/>
          <w:color w:val="auto"/>
          <w:sz w:val="24"/>
          <w:szCs w:val="24"/>
        </w:rPr>
      </w:r>
      <w:r/>
    </w:p>
    <w:p>
      <w:pPr>
        <w:pStyle w:val="1134"/>
        <w:ind w:firstLine="480"/>
        <w:rPr>
          <w:rFonts w:hint="eastAsia" w:hAnsi="宋体" w:cs="宋体"/>
          <w:color w:val="auto"/>
          <w:sz w:val="24"/>
          <w:szCs w:val="24"/>
        </w:rPr>
      </w:pPr>
      <w:r>
        <w:rPr>
          <w:rFonts w:hint="eastAsia" w:hAnsi="宋体" w:cs="宋体"/>
          <w:color w:val="auto"/>
          <w:sz w:val="24"/>
          <w:szCs w:val="24"/>
        </w:rPr>
      </w:r>
      <w:r/>
    </w:p>
    <w:p>
      <w:pPr>
        <w:pStyle w:val="1134"/>
        <w:ind w:firstLine="0"/>
        <w:jc w:val="center"/>
        <w:tabs>
          <w:tab w:val="left" w:pos="3884" w:leader="none"/>
        </w:tabs>
        <w:rPr>
          <w:rFonts w:hint="eastAsia" w:hAnsi="宋体" w:cs="宋体"/>
          <w:b/>
          <w:color w:val="auto"/>
          <w:sz w:val="32"/>
          <w:szCs w:val="32"/>
        </w:rPr>
      </w:pPr>
      <w:r>
        <w:rPr>
          <w:rFonts w:hint="eastAsia" w:hAnsi="宋体" w:cs="宋体"/>
          <w:b/>
          <w:color w:val="auto"/>
          <w:sz w:val="32"/>
          <w:szCs w:val="32"/>
        </w:rPr>
        <w:t xml:space="preserve">法定代表人授权委托书</w:t>
      </w:r>
      <w:r/>
    </w:p>
    <w:p>
      <w:pPr>
        <w:pStyle w:val="1094"/>
        <w:rPr>
          <w:rFonts w:hint="eastAsia" w:ascii="宋体" w:hAnsi="宋体" w:eastAsia="宋体" w:cs="宋体"/>
          <w:color w:val="auto"/>
          <w:szCs w:val="24"/>
        </w:rPr>
      </w:pPr>
      <w:r>
        <w:rPr>
          <w:rFonts w:hint="eastAsia" w:ascii="宋体" w:hAnsi="宋体" w:eastAsia="宋体" w:cs="宋体"/>
          <w:color w:val="auto"/>
          <w:szCs w:val="24"/>
        </w:rPr>
      </w:r>
      <w:r/>
    </w:p>
    <w:p>
      <w:pPr>
        <w:pStyle w:val="1094"/>
        <w:rPr>
          <w:rFonts w:hint="eastAsia" w:ascii="宋体" w:hAnsi="宋体" w:eastAsia="宋体" w:cs="宋体"/>
          <w:bCs/>
          <w:iCs/>
          <w:color w:val="auto"/>
          <w:szCs w:val="24"/>
          <w:u w:val="single"/>
        </w:rPr>
      </w:pPr>
      <w:r>
        <w:rPr>
          <w:rFonts w:hint="eastAsia" w:ascii="宋体" w:hAnsi="宋体" w:eastAsia="宋体" w:cs="宋体"/>
          <w:bCs/>
          <w:iCs/>
          <w:color w:val="auto"/>
          <w:szCs w:val="24"/>
          <w:u w:val="single"/>
        </w:rPr>
      </w:r>
      <w:r/>
    </w:p>
    <w:p>
      <w:pPr>
        <w:pStyle w:val="1094"/>
        <w:ind w:firstLine="0"/>
        <w:rPr>
          <w:rFonts w:hint="eastAsia" w:ascii="宋体" w:hAnsi="宋体" w:eastAsia="宋体" w:cs="宋体"/>
          <w:color w:val="auto"/>
          <w:szCs w:val="24"/>
        </w:rPr>
      </w:pPr>
      <w:r>
        <w:rPr>
          <w:rFonts w:hint="eastAsia" w:ascii="宋体" w:hAnsi="宋体" w:eastAsia="宋体" w:cs="宋体"/>
          <w:bCs/>
          <w:iCs/>
          <w:color w:val="auto"/>
          <w:szCs w:val="24"/>
          <w:u w:val="single"/>
        </w:rPr>
        <w:t xml:space="preserve">江苏农牧科技职业学院</w:t>
      </w:r>
      <w:r>
        <w:rPr>
          <w:rFonts w:hint="eastAsia" w:ascii="宋体" w:hAnsi="宋体" w:eastAsia="宋体" w:cs="宋体"/>
          <w:bCs/>
          <w:iCs/>
          <w:color w:val="auto"/>
          <w:szCs w:val="24"/>
        </w:rPr>
        <w:t xml:space="preserve">：</w:t>
      </w:r>
      <w:r/>
    </w:p>
    <w:p>
      <w:pPr>
        <w:ind w:firstLine="480"/>
        <w:spacing w:line="580" w:lineRule="exact"/>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系中华人民共和国合法公司（单位），特授权</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代表我公司（单位）全权办理针对本项目（</w:t>
      </w: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u w:val="single"/>
        </w:rPr>
        <w:t xml:space="preserve">                 </w:t>
      </w:r>
      <w:r>
        <w:rPr>
          <w:rFonts w:hint="eastAsia" w:ascii="宋体" w:hAnsi="宋体" w:eastAsia="宋体" w:cs="宋体"/>
          <w:bCs/>
          <w:color w:val="auto"/>
          <w:sz w:val="24"/>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rPr>
      </w:pPr>
      <w:r>
        <w:rPr>
          <w:rFonts w:hint="eastAsia" w:ascii="宋体" w:hAnsi="宋体" w:eastAsia="宋体" w:cs="宋体"/>
          <w:bCs/>
          <w:color w:val="auto"/>
          <w:sz w:val="24"/>
        </w:rPr>
        <w:t xml:space="preserve">我公司（单位）对被授权代表的签名负全部责任。</w:t>
      </w:r>
      <w:r/>
    </w:p>
    <w:p>
      <w:pPr>
        <w:ind w:firstLine="480"/>
        <w:spacing w:line="580" w:lineRule="exact"/>
        <w:rPr>
          <w:rFonts w:hint="eastAsia" w:ascii="宋体" w:hAnsi="宋体" w:eastAsia="宋体" w:cs="宋体"/>
          <w:bCs/>
          <w:color w:val="auto"/>
          <w:sz w:val="24"/>
        </w:rPr>
      </w:pPr>
      <w:r>
        <w:rPr>
          <w:rFonts w:hint="eastAsia" w:ascii="宋体" w:hAnsi="宋体" w:eastAsia="宋体" w:cs="宋体"/>
          <w:bCs/>
          <w:color w:val="auto"/>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rPr>
      </w:pPr>
      <w:r>
        <w:rPr>
          <w:rFonts w:hint="eastAsia" w:ascii="宋体" w:hAnsi="宋体" w:eastAsia="宋体" w:cs="宋体"/>
          <w:bCs/>
          <w:color w:val="auto"/>
          <w:sz w:val="24"/>
        </w:rPr>
        <w:t xml:space="preserve">被授权代表情况：</w:t>
      </w:r>
      <w:r/>
    </w:p>
    <w:p>
      <w:pPr>
        <w:ind w:firstLine="480"/>
        <w:spacing w:line="580" w:lineRule="exact"/>
        <w:rPr>
          <w:rFonts w:hint="eastAsia" w:ascii="宋体" w:hAnsi="宋体" w:eastAsia="宋体" w:cs="宋体"/>
          <w:color w:val="auto"/>
          <w:sz w:val="21"/>
          <w:szCs w:val="21"/>
        </w:rPr>
      </w:pPr>
      <w:r>
        <w:rPr>
          <w:rFonts w:hint="eastAsia" w:ascii="宋体" w:hAnsi="宋体" w:eastAsia="宋体" w:cs="宋体"/>
          <w:bCs/>
          <w:color w:val="auto"/>
          <w:sz w:val="24"/>
        </w:rPr>
        <w:t xml:space="preserve">姓名：         性别：       电话：</w:t>
      </w:r>
      <w:r/>
    </w:p>
    <w:p>
      <w:pPr>
        <w:pStyle w:val="1094"/>
        <w:jc w:val="righ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94"/>
        <w:jc w:val="right"/>
        <w:rPr>
          <w:rFonts w:hint="eastAsia" w:ascii="宋体" w:hAnsi="宋体" w:eastAsia="宋体" w:cs="宋体"/>
          <w:color w:val="auto"/>
          <w:szCs w:val="24"/>
        </w:rPr>
      </w:pPr>
      <w:r>
        <w:rPr>
          <w:rFonts w:hint="eastAsia" w:ascii="宋体" w:hAnsi="宋体" w:eastAsia="宋体" w:cs="宋体"/>
          <w:color w:val="auto"/>
          <w:szCs w:val="24"/>
        </w:rPr>
      </w:r>
      <w:r/>
    </w:p>
    <w:p>
      <w:pPr>
        <w:pStyle w:val="1094"/>
        <w:jc w:val="center"/>
        <w:rPr>
          <w:rFonts w:hint="eastAsia" w:ascii="宋体" w:hAnsi="宋体" w:eastAsia="宋体" w:cs="宋体"/>
          <w:color w:val="auto"/>
          <w:szCs w:val="24"/>
        </w:rPr>
      </w:pPr>
      <w:r>
        <w:rPr>
          <w:rFonts w:hint="eastAsia" w:ascii="宋体" w:hAnsi="宋体" w:eastAsia="宋体" w:cs="宋体"/>
          <w:color w:val="auto"/>
          <w:szCs w:val="24"/>
        </w:rPr>
        <w:t xml:space="preserve">                                        </w:t>
      </w:r>
      <w:r/>
    </w:p>
    <w:p>
      <w:pPr>
        <w:pStyle w:val="1094"/>
        <w:jc w:val="center"/>
        <w:rPr>
          <w:rFonts w:hint="eastAsia" w:ascii="宋体" w:hAnsi="宋体" w:eastAsia="宋体" w:cs="宋体"/>
          <w:color w:val="auto"/>
          <w:szCs w:val="24"/>
        </w:rPr>
      </w:pPr>
      <w:r>
        <w:rPr>
          <w:rFonts w:hint="eastAsia" w:ascii="宋体" w:hAnsi="宋体" w:eastAsia="宋体" w:cs="宋体"/>
          <w:color w:val="auto"/>
          <w:szCs w:val="24"/>
        </w:rPr>
      </w:r>
      <w:r/>
    </w:p>
    <w:p>
      <w:pPr>
        <w:pStyle w:val="1094"/>
        <w:jc w:val="center"/>
        <w:rPr>
          <w:rFonts w:hint="eastAsia" w:ascii="宋体" w:hAnsi="宋体" w:eastAsia="宋体" w:cs="宋体"/>
          <w:color w:val="auto"/>
          <w:szCs w:val="24"/>
        </w:rPr>
      </w:pPr>
      <w:r>
        <w:rPr>
          <w:rFonts w:hint="eastAsia" w:ascii="宋体" w:hAnsi="宋体" w:eastAsia="宋体" w:cs="宋体"/>
          <w:color w:val="auto"/>
          <w:szCs w:val="24"/>
        </w:rPr>
      </w:r>
      <w:r/>
    </w:p>
    <w:p>
      <w:pPr>
        <w:ind w:firstLine="480"/>
        <w:jc w:val="right"/>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法定代表人或授权代表（签字或盖章）：</w:t>
      </w:r>
      <w:r/>
    </w:p>
    <w:p>
      <w:pPr>
        <w:ind w:firstLine="480"/>
        <w:jc w:val="right"/>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单位名称：（加盖CA电子公章）</w:t>
      </w:r>
      <w:r/>
    </w:p>
    <w:p>
      <w:pPr>
        <w:ind w:firstLine="480"/>
        <w:jc w:val="right"/>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日    期：</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pStyle w:val="1094"/>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rPr>
          <w:rFonts w:hint="eastAsia" w:ascii="宋体" w:hAnsi="宋体" w:eastAsia="宋体" w:cs="宋体"/>
          <w:color w:val="auto"/>
          <w:sz w:val="28"/>
          <w:u w:val="single"/>
        </w:rPr>
      </w:pPr>
      <w:r>
        <w:rPr>
          <w:rFonts w:hint="eastAsia" w:ascii="宋体" w:hAnsi="宋体" w:eastAsia="宋体" w:cs="宋体"/>
          <w:b/>
          <w:bCs/>
          <w:color w:val="auto"/>
          <w:sz w:val="24"/>
          <w:szCs w:val="24"/>
        </w:rPr>
        <w:t xml:space="preserve">附：法定代表人和授权代表的身份证扫描件</w:t>
      </w:r>
      <w:r>
        <w:rPr>
          <w:rFonts w:hint="eastAsia" w:ascii="宋体" w:hAnsi="宋体" w:eastAsia="宋体" w:cs="宋体"/>
          <w:color w:val="auto"/>
          <w:sz w:val="28"/>
          <w:u w:val="single"/>
        </w:rPr>
        <w:br w:type="page" w:clear="all"/>
      </w:r>
      <w:bookmarkEnd w:id="104"/>
      <w:r/>
      <w:bookmarkEnd w:id="105"/>
      <w:r/>
      <w:bookmarkEnd w:id="106"/>
      <w:r/>
      <w:bookmarkEnd w:id="107"/>
      <w:r/>
      <w:bookmarkEnd w:id="108"/>
      <w:r/>
      <w:bookmarkEnd w:id="109"/>
      <w:r/>
      <w:bookmarkEnd w:id="110"/>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无重大违法记录声明</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本公司参与贵方组织</w:t>
      </w:r>
      <w:r>
        <w:rPr>
          <w:rFonts w:hint="eastAsia" w:ascii="宋体" w:hAnsi="宋体" w:eastAsia="宋体" w:cs="宋体"/>
          <w:color w:val="auto"/>
          <w:sz w:val="24"/>
          <w:szCs w:val="24"/>
          <w:u w:val="single"/>
        </w:rPr>
        <w:t xml:space="preserve">                                 （项目名称）</w:t>
      </w:r>
      <w:r>
        <w:rPr>
          <w:rFonts w:hint="eastAsia" w:ascii="宋体" w:hAnsi="宋体" w:eastAsia="宋体" w:cs="宋体"/>
          <w:color w:val="auto"/>
          <w:sz w:val="24"/>
          <w:szCs w:val="24"/>
        </w:rPr>
        <w:t xml:space="preserve">作出如下声明：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本公司参加本次政府采购活动前3年内，在经营活动中没有重大违法记录。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本公司随时接受采购人的检查验证。如违反上述承诺，本公司将按照《中华人民共和国政府采购法》有关规定接受处罚，并通过江苏省相关政府采购媒体予以公布。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pStyle w:val="865"/>
        <w:rPr>
          <w:rFonts w:hint="eastAsia" w:ascii="宋体" w:hAnsi="宋体" w:eastAsia="宋体" w:cs="宋体"/>
          <w:color w:val="auto"/>
        </w:rPr>
      </w:pPr>
      <w:r>
        <w:rPr>
          <w:rFonts w:hint="eastAsia" w:ascii="宋体" w:hAnsi="宋体" w:eastAsia="宋体" w:cs="宋体"/>
          <w:color w:val="auto"/>
        </w:rPr>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82"/>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rPr>
        <w:t xml:space="preserve">加盖CA电子公章</w:t>
      </w:r>
      <w:r>
        <w:rPr>
          <w:rFonts w:hint="eastAsia" w:ascii="宋体" w:hAnsi="宋体" w:eastAsia="宋体" w:cs="宋体"/>
          <w:color w:val="auto"/>
          <w:sz w:val="24"/>
          <w:szCs w:val="24"/>
        </w:rPr>
        <w:t xml:space="preserve">）</w:t>
      </w:r>
      <w:r/>
    </w:p>
    <w:p>
      <w:pPr>
        <w:ind w:firstLine="482"/>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法定代表人或授权委托代理人 ：（签字或盖章）</w:t>
      </w:r>
      <w:r/>
    </w:p>
    <w:p>
      <w:pPr>
        <w:ind w:firstLine="482"/>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p>
    <w:p>
      <w:pPr>
        <w:pStyle w:val="860"/>
        <w:ind w:firstLine="0"/>
        <w:rPr>
          <w:rFonts w:hint="eastAsia" w:ascii="宋体" w:hAnsi="宋体" w:eastAsia="宋体" w:cs="宋体"/>
          <w:bCs/>
          <w:color w:val="auto"/>
          <w:szCs w:val="24"/>
        </w:rPr>
      </w:pPr>
      <w:r>
        <w:rPr>
          <w:rFonts w:hint="eastAsia" w:ascii="宋体" w:hAnsi="宋体" w:eastAsia="宋体" w:cs="宋体"/>
          <w:bCs/>
          <w:color w:val="auto"/>
          <w:szCs w:val="24"/>
        </w:rPr>
      </w:r>
      <w:r/>
    </w:p>
    <w:p>
      <w:pPr>
        <w:pStyle w:val="860"/>
        <w:ind w:firstLine="0"/>
        <w:rPr>
          <w:rFonts w:hint="eastAsia" w:ascii="宋体" w:hAnsi="宋体" w:eastAsia="宋体" w:cs="宋体"/>
          <w:bCs/>
          <w:color w:val="auto"/>
          <w:szCs w:val="24"/>
        </w:rPr>
      </w:pPr>
      <w:r>
        <w:rPr>
          <w:rFonts w:hint="eastAsia" w:ascii="宋体" w:hAnsi="宋体" w:eastAsia="宋体" w:cs="宋体"/>
          <w:bCs/>
          <w:color w:val="auto"/>
          <w:szCs w:val="24"/>
        </w:rPr>
      </w:r>
      <w:r/>
    </w:p>
    <w:p>
      <w:pPr>
        <w:pStyle w:val="1239"/>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pStyle w:val="891"/>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r>
      <w:r/>
    </w:p>
    <w:p>
      <w:pPr>
        <w:pStyle w:val="891"/>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r>
      <w:r/>
    </w:p>
    <w:p>
      <w:pPr>
        <w:pStyle w:val="891"/>
        <w:rPr>
          <w:rFonts w:hint="eastAsia" w:ascii="宋体" w:hAnsi="宋体" w:eastAsia="宋体" w:cs="宋体"/>
          <w:color w:val="auto"/>
          <w:lang w:eastAsia="zh-CN"/>
        </w:rPr>
      </w:pPr>
      <w:r>
        <w:rPr>
          <w:rFonts w:hint="eastAsia" w:ascii="宋体" w:hAnsi="宋体" w:eastAsia="宋体" w:cs="宋体"/>
          <w:color w:val="auto"/>
          <w:lang w:eastAsia="zh-CN"/>
        </w:rPr>
      </w:r>
      <w:r/>
    </w:p>
    <w:p>
      <w:pPr>
        <w:pStyle w:val="860"/>
        <w:ind w:firstLine="0"/>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pStyle w:val="860"/>
        <w:ind w:firstLine="0"/>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t xml:space="preserve">具备履行合同所必需的设备和专业技术能力的书面声明（格式自拟）</w:t>
      </w:r>
      <w:r/>
    </w:p>
    <w:p>
      <w:pPr>
        <w:jc w:val="center"/>
        <w:rPr>
          <w:rFonts w:hint="eastAsia" w:ascii="宋体" w:hAnsi="宋体" w:eastAsia="宋体" w:cs="宋体"/>
          <w:color w:val="auto"/>
          <w:sz w:val="28"/>
          <w:u w:val="single"/>
        </w:rPr>
      </w:pPr>
      <w:r>
        <w:rPr>
          <w:rFonts w:hint="eastAsia" w:ascii="宋体" w:hAnsi="宋体" w:eastAsia="宋体" w:cs="宋体"/>
          <w:color w:val="auto"/>
          <w:sz w:val="28"/>
          <w:u w:val="single"/>
        </w:rPr>
      </w:r>
      <w:r/>
    </w:p>
    <w:p>
      <w:pPr>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jc w:val="center"/>
        <w:rPr>
          <w:rFonts w:hint="eastAsia" w:ascii="宋体" w:hAnsi="宋体" w:eastAsia="宋体" w:cs="宋体"/>
          <w:b/>
          <w:color w:val="auto"/>
          <w:spacing w:val="20"/>
          <w:sz w:val="30"/>
          <w:szCs w:val="30"/>
        </w:rPr>
      </w:pPr>
      <w:r>
        <w:rPr>
          <w:rFonts w:hint="eastAsia" w:ascii="宋体" w:hAnsi="宋体" w:eastAsia="宋体" w:cs="宋体"/>
          <w:b/>
          <w:color w:val="auto"/>
          <w:spacing w:val="20"/>
          <w:sz w:val="30"/>
          <w:szCs w:val="30"/>
        </w:rPr>
      </w:r>
      <w:r/>
    </w:p>
    <w:p>
      <w:pPr>
        <w:jc w:val="center"/>
        <w:rPr>
          <w:rFonts w:hint="eastAsia" w:ascii="宋体" w:hAnsi="宋体" w:eastAsia="宋体" w:cs="宋体"/>
          <w:color w:val="auto"/>
          <w:sz w:val="32"/>
          <w:szCs w:val="32"/>
        </w:rPr>
      </w:pPr>
      <w:r>
        <w:rPr>
          <w:rFonts w:hint="eastAsia" w:ascii="宋体" w:hAnsi="宋体" w:eastAsia="宋体" w:cs="宋体"/>
          <w:b/>
          <w:color w:val="auto"/>
          <w:spacing w:val="20"/>
          <w:sz w:val="32"/>
          <w:szCs w:val="32"/>
        </w:rPr>
        <w:t xml:space="preserve">承诺书</w:t>
      </w:r>
      <w:r/>
    </w:p>
    <w:p>
      <w:pPr>
        <w:spacing w:line="400" w:lineRule="exact"/>
        <w:rPr>
          <w:rFonts w:hint="eastAsia" w:ascii="宋体" w:hAnsi="宋体" w:eastAsia="宋体" w:cs="宋体"/>
          <w:color w:val="auto"/>
        </w:rPr>
      </w:pPr>
      <w:r>
        <w:rPr>
          <w:rFonts w:hint="eastAsia" w:ascii="宋体" w:hAnsi="宋体" w:eastAsia="宋体" w:cs="宋体"/>
          <w:color w:val="auto"/>
        </w:rPr>
      </w:r>
      <w:r/>
    </w:p>
    <w:p>
      <w:pPr>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（采购人名称）：</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我单位郑重承诺以下事项：</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1.我单位对本项目（项目编号：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）所提供的产品不低于招标文件要求的标准。</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2.我单位未被“信用中国”网站（www.creditchina.gov.cn）列入失信被执行人、重大税收违法失信主体、政府采购严重违法失信行为记录名单。</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3.我单位承诺响应招标文件所有内容。</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4.我单位承诺，对招标文件中所提及的相关质量要求、验收要求、服务要求等条款，本公司将严格按照条款要求执行。</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6.我单位有良好的银行资信和商业信誉，没有处于被责令停业或破产状态，且资产未被重组、接管和冻结。</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7.我单位不存在单位法定代表人/负责人为同一人或者存在控股、管理关系的不同单位，同时参加本项目的投标的情况。</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8.我单位不存在具有投资参股关系的关联企业，或具有直接管理和被管理关系的母子公司，或法定代表人为同一人的两个及两个以上法人不得同时对本项目投标的情况。</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9.如违背上述承诺，本公司（单位）将承担一切法律责任。  </w:t>
      </w:r>
      <w:r/>
    </w:p>
    <w:p>
      <w:pPr>
        <w:spacing w:line="360" w:lineRule="auto"/>
        <w:rPr>
          <w:rFonts w:hint="eastAsia" w:ascii="宋体" w:hAnsi="宋体" w:eastAsia="宋体" w:cs="宋体"/>
          <w:color w:val="auto"/>
        </w:rPr>
      </w:pPr>
      <w:r>
        <w:rPr>
          <w:rFonts w:hint="eastAsia" w:ascii="宋体" w:hAnsi="宋体" w:eastAsia="宋体" w:cs="宋体"/>
          <w:color w:val="auto"/>
          <w:sz w:val="24"/>
          <w:szCs w:val="24"/>
        </w:rPr>
        <w:t xml:space="preserve">         </w:t>
      </w:r>
      <w:r/>
    </w:p>
    <w:p>
      <w:pPr>
        <w:spacing w:line="400" w:lineRule="exact"/>
        <w:rPr>
          <w:rFonts w:hint="eastAsia" w:ascii="宋体" w:hAnsi="宋体" w:eastAsia="宋体" w:cs="宋体"/>
          <w:color w:val="auto"/>
        </w:rPr>
      </w:pPr>
      <w:r>
        <w:rPr>
          <w:rFonts w:hint="eastAsia" w:ascii="宋体" w:hAnsi="宋体" w:eastAsia="宋体" w:cs="宋体"/>
          <w:color w:val="auto"/>
        </w:rPr>
      </w:r>
      <w:r/>
    </w:p>
    <w:p>
      <w:pPr>
        <w:pStyle w:val="1126"/>
        <w:jc w:val="righ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加盖CA电子公章</w:t>
      </w:r>
      <w:r>
        <w:rPr>
          <w:rFonts w:hint="eastAsia" w:ascii="宋体" w:hAnsi="宋体" w:eastAsia="宋体" w:cs="宋体"/>
          <w:color w:val="auto"/>
          <w:sz w:val="24"/>
          <w:szCs w:val="24"/>
        </w:rPr>
        <w:t xml:space="preserve">）</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spacing w:line="4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jc w:val="cente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br w:type="page" w:clear="all"/>
      </w:r>
      <w:r/>
    </w:p>
    <w:p>
      <w:pPr>
        <w:jc w:val="center"/>
        <w:keepLines/>
        <w:keepNext/>
        <w:spacing w:before="120" w:after="120"/>
        <w:rPr>
          <w:rFonts w:hint="eastAsia" w:ascii="宋体" w:hAnsi="宋体" w:eastAsia="宋体" w:cs="宋体"/>
          <w:b/>
          <w:bCs/>
          <w:color w:val="auto"/>
          <w:sz w:val="32"/>
          <w:szCs w:val="32"/>
        </w:rPr>
      </w:pPr>
      <w:r/>
      <w:bookmarkStart w:id="125" w:name="_Toc1623_WPSOffice_Level1"/>
      <w:r/>
      <w:bookmarkStart w:id="126" w:name="_Toc22143_WPSOffice_Level1"/>
      <w:r/>
      <w:bookmarkStart w:id="127" w:name="_Toc22881_WPSOffice_Level1"/>
      <w:r/>
      <w:bookmarkStart w:id="128" w:name="_Toc32173"/>
      <w:r>
        <w:rPr>
          <w:rFonts w:hint="eastAsia" w:ascii="宋体" w:hAnsi="宋体" w:eastAsia="宋体" w:cs="宋体"/>
          <w:b/>
          <w:bCs/>
          <w:color w:val="auto"/>
          <w:sz w:val="32"/>
          <w:szCs w:val="32"/>
        </w:rPr>
        <w:t xml:space="preserve">商务偏离表</w:t>
      </w:r>
      <w:bookmarkEnd w:id="125"/>
      <w:r/>
      <w:bookmarkEnd w:id="126"/>
      <w:r/>
      <w:bookmarkEnd w:id="127"/>
      <w:r/>
      <w:bookmarkEnd w:id="128"/>
      <w:r/>
      <w:r/>
    </w:p>
    <w:tbl>
      <w:tblPr>
        <w:tblStyle w:val="856"/>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rPr>
            </w:pPr>
            <w:r>
              <w:rPr>
                <w:rFonts w:hint="eastAsia" w:ascii="宋体" w:hAnsi="宋体" w:eastAsia="宋体" w:cs="宋体"/>
                <w:bCs/>
                <w:color w:val="auto"/>
                <w:sz w:val="24"/>
              </w:rPr>
            </w:r>
            <w:r/>
          </w:p>
        </w:tc>
      </w:tr>
    </w:tbl>
    <w:p>
      <w:pPr>
        <w:ind w:firstLine="482"/>
        <w:spacing w:line="50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ind w:firstLine="482"/>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w:t>
      </w:r>
      <w:r/>
    </w:p>
    <w:p>
      <w:pPr>
        <w:ind w:firstLine="482"/>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若无偏离，在“有无偏离”栏中填写“无”；若有偏离在“有无偏离”栏中填写“有”并在“偏离内容及原因”栏中作出说明。</w:t>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t xml:space="preserve">投标人（</w:t>
      </w:r>
      <w:r>
        <w:rPr>
          <w:rFonts w:hint="eastAsia" w:eastAsia="宋体"/>
          <w:bCs/>
          <w:color w:val="auto"/>
        </w:rPr>
        <w:t xml:space="preserve">加盖CA电子公章</w:t>
      </w:r>
      <w:r>
        <w:rPr>
          <w:rFonts w:hint="eastAsia" w:eastAsia="宋体"/>
          <w:color w:val="auto"/>
          <w:szCs w:val="24"/>
        </w:rPr>
        <w:t xml:space="preserve">）：</w:t>
      </w:r>
      <w:r/>
    </w:p>
    <w:p>
      <w:pPr>
        <w:pStyle w:val="1125"/>
        <w:spacing w:before="0" w:beforeAutospacing="0" w:after="0" w:afterAutospacing="0"/>
        <w:rPr>
          <w:rFonts w:hint="eastAsia" w:eastAsia="宋体"/>
          <w:color w:val="auto"/>
          <w:szCs w:val="24"/>
        </w:rPr>
      </w:pPr>
      <w:r>
        <w:rPr>
          <w:rFonts w:hint="eastAsia" w:eastAsia="宋体"/>
          <w:color w:val="auto"/>
          <w:szCs w:val="24"/>
        </w:rPr>
        <w:t xml:space="preserve">法定代表人或法定代表人授权代表（签字或盖章）：</w:t>
      </w:r>
      <w:r/>
    </w:p>
    <w:p>
      <w:pPr>
        <w:pStyle w:val="1125"/>
        <w:spacing w:before="0" w:beforeAutospacing="0" w:after="0" w:afterAutospacing="0"/>
        <w:rPr>
          <w:rFonts w:hint="eastAsia" w:eastAsia="宋体"/>
          <w:color w:val="auto"/>
          <w:szCs w:val="24"/>
        </w:rPr>
      </w:pPr>
      <w:r>
        <w:rPr>
          <w:rFonts w:hint="eastAsia" w:eastAsia="宋体"/>
          <w:color w:val="auto"/>
          <w:szCs w:val="24"/>
        </w:rPr>
        <w:t xml:space="preserve">日期：</w:t>
      </w:r>
      <w:r/>
    </w:p>
    <w:p>
      <w:pPr>
        <w:rPr>
          <w:rFonts w:hint="eastAsia" w:ascii="宋体" w:hAnsi="宋体" w:eastAsia="宋体" w:cs="宋体"/>
          <w:color w:val="auto"/>
        </w:rPr>
      </w:pPr>
      <w:r>
        <w:rPr>
          <w:rFonts w:hint="eastAsia" w:ascii="宋体" w:hAnsi="宋体" w:eastAsia="宋体" w:cs="宋体"/>
          <w:color w:val="auto"/>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ind w:firstLine="490"/>
        <w:jc w:val="center"/>
        <w:rPr>
          <w:rFonts w:hint="eastAsia" w:ascii="宋体" w:hAnsi="宋体" w:eastAsia="宋体" w:cs="宋体"/>
          <w:b/>
          <w:color w:val="auto"/>
          <w:spacing w:val="20"/>
          <w:sz w:val="32"/>
          <w:szCs w:val="32"/>
        </w:rPr>
        <w:outlineLvl w:val="0"/>
      </w:pPr>
      <w:r>
        <w:rPr>
          <w:rFonts w:hint="eastAsia" w:ascii="宋体" w:hAnsi="宋体" w:eastAsia="宋体" w:cs="宋体"/>
          <w:b/>
          <w:color w:val="auto"/>
          <w:spacing w:val="20"/>
          <w:sz w:val="32"/>
          <w:szCs w:val="32"/>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rPr>
      </w:pPr>
      <w:r>
        <w:rPr>
          <w:rFonts w:hint="eastAsia" w:ascii="宋体" w:hAnsi="宋体" w:eastAsia="宋体" w:cs="宋体"/>
          <w:b/>
          <w:color w:val="auto"/>
        </w:rPr>
      </w:r>
      <w:r/>
    </w:p>
    <w:tbl>
      <w:tblPr>
        <w:tblStyle w:val="856"/>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偏离内容及原因</w:t>
            </w:r>
            <w:r/>
          </w:p>
        </w:tc>
      </w:tr>
      <w:tr>
        <w:trPr>
          <w:trHeight w:val="444"/>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50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注：</w:t>
      </w:r>
      <w:r/>
    </w:p>
    <w:p>
      <w:pPr>
        <w:ind w:firstLine="482"/>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若无偏离，在“有无偏离”栏中填写“无”；若有偏离在“有无偏离”栏中填写“有”并在“偏离内容及原因”栏中作出说明，未填写内容的视为全部响应 。</w:t>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t xml:space="preserve">投标人（</w:t>
      </w:r>
      <w:r>
        <w:rPr>
          <w:rFonts w:hint="eastAsia" w:eastAsia="宋体"/>
          <w:bCs/>
          <w:color w:val="auto"/>
        </w:rPr>
        <w:t xml:space="preserve">加盖CA电子公章</w:t>
      </w:r>
      <w:r>
        <w:rPr>
          <w:rFonts w:hint="eastAsia" w:eastAsia="宋体"/>
          <w:color w:val="auto"/>
          <w:szCs w:val="24"/>
        </w:rPr>
        <w:t xml:space="preserve">）：</w:t>
      </w:r>
      <w:r/>
    </w:p>
    <w:p>
      <w:pPr>
        <w:pStyle w:val="1125"/>
        <w:spacing w:before="0" w:beforeAutospacing="0" w:after="0" w:afterAutospacing="0"/>
        <w:rPr>
          <w:rFonts w:hint="eastAsia" w:eastAsia="宋体"/>
          <w:color w:val="auto"/>
          <w:szCs w:val="24"/>
        </w:rPr>
      </w:pPr>
      <w:r>
        <w:rPr>
          <w:rFonts w:hint="eastAsia" w:eastAsia="宋体"/>
          <w:color w:val="auto"/>
          <w:szCs w:val="24"/>
        </w:rPr>
        <w:t xml:space="preserve">法定代表人或法定代表人授权代表（签字或盖章）：</w:t>
      </w:r>
      <w:r/>
    </w:p>
    <w:p>
      <w:pPr>
        <w:pStyle w:val="1125"/>
        <w:spacing w:before="0" w:beforeAutospacing="0" w:after="0" w:afterAutospacing="0"/>
        <w:rPr>
          <w:rFonts w:hint="eastAsia" w:eastAsia="宋体"/>
          <w:color w:val="auto"/>
          <w:szCs w:val="24"/>
        </w:rPr>
      </w:pPr>
      <w:r>
        <w:rPr>
          <w:rFonts w:hint="eastAsia" w:eastAsia="宋体"/>
          <w:color w:val="auto"/>
          <w:szCs w:val="24"/>
        </w:rPr>
        <w:t xml:space="preserve">日期：</w:t>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1125"/>
        <w:spacing w:before="0" w:beforeAutospacing="0" w:after="0" w:afterAutospacing="0"/>
        <w:rPr>
          <w:rFonts w:hint="eastAsia" w:eastAsia="宋体"/>
          <w:color w:val="auto"/>
          <w:szCs w:val="24"/>
        </w:rPr>
      </w:pPr>
      <w:r>
        <w:rPr>
          <w:rFonts w:hint="eastAsia" w:eastAsia="宋体"/>
          <w:color w:val="auto"/>
          <w:szCs w:val="24"/>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864"/>
        <w:rPr>
          <w:rFonts w:hint="eastAsia" w:ascii="宋体" w:hAnsi="宋体" w:eastAsia="宋体" w:cs="宋体"/>
          <w:color w:val="auto"/>
        </w:rPr>
      </w:pPr>
      <w:r>
        <w:rPr>
          <w:rFonts w:hint="eastAsia" w:ascii="宋体" w:hAnsi="宋体" w:eastAsia="宋体" w:cs="宋体"/>
          <w:color w:val="auto"/>
        </w:rPr>
      </w:r>
      <w:r/>
    </w:p>
    <w:p>
      <w:pPr>
        <w:pStyle w:val="1125"/>
        <w:jc w:val="center"/>
        <w:widowControl w:val="off"/>
        <w:rPr>
          <w:rFonts w:hint="eastAsia"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 xml:space="preserve">中小企业声明函 </w:t>
      </w:r>
      <w:r/>
    </w:p>
    <w:p>
      <w:pPr>
        <w:ind w:firstLine="480"/>
        <w:spacing w:line="360" w:lineRule="auto"/>
        <w:rPr>
          <w:rFonts w:hint="eastAsia"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本公司郑重声明，根据《政府采购促进中小企业发展管理办法》（财库﹝2020﹞46号）的规定，本公司参加</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的</w:t>
      </w:r>
      <w:r>
        <w:rPr>
          <w:rFonts w:hint="eastAsia" w:cs="宋体" w:asciiTheme="minorEastAsia" w:hAnsiTheme="minorEastAsia" w:eastAsiaTheme="minorEastAsia"/>
          <w:bCs/>
          <w:color w:val="auto"/>
          <w:sz w:val="24"/>
          <w:szCs w:val="24"/>
          <w:u w:val="single"/>
        </w:rPr>
        <w:t xml:space="preserve">（项目名称）</w:t>
      </w:r>
      <w:r>
        <w:rPr>
          <w:rFonts w:hint="eastAsia" w:cs="宋体" w:asciiTheme="minorEastAsia" w:hAnsiTheme="minorEastAsia" w:eastAsiaTheme="minorEastAsia"/>
          <w:bCs/>
          <w:color w:val="auto"/>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int="eastAsia"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1.</w:t>
      </w:r>
      <w:r>
        <w:rPr>
          <w:rFonts w:hint="eastAsia" w:cs="宋体" w:asciiTheme="minorEastAsia" w:hAnsiTheme="minorEastAsia" w:eastAsiaTheme="minorEastAsia"/>
          <w:bCs/>
          <w:color w:val="auto"/>
          <w:sz w:val="24"/>
          <w:szCs w:val="24"/>
          <w:u w:val="single"/>
        </w:rPr>
        <w:t xml:space="preserve">（标的名称）</w:t>
      </w:r>
      <w:r>
        <w:rPr>
          <w:rFonts w:hint="eastAsia" w:cs="宋体" w:asciiTheme="minorEastAsia" w:hAnsiTheme="minorEastAsia" w:eastAsiaTheme="minorEastAsia"/>
          <w:bCs/>
          <w:color w:val="auto"/>
          <w:sz w:val="24"/>
          <w:szCs w:val="24"/>
        </w:rPr>
        <w:t xml:space="preserve">，属于</w:t>
      </w:r>
      <w:r>
        <w:rPr>
          <w:rFonts w:hint="eastAsia" w:cs="宋体" w:asciiTheme="minorEastAsia" w:hAnsiTheme="minorEastAsia" w:eastAsiaTheme="minorEastAsia"/>
          <w:bCs/>
          <w:color w:val="auto"/>
          <w:sz w:val="24"/>
          <w:szCs w:val="24"/>
          <w:u w:val="single"/>
        </w:rPr>
        <w:t xml:space="preserve">工业行业</w:t>
      </w:r>
      <w:r>
        <w:rPr>
          <w:rFonts w:hint="eastAsia" w:cs="宋体" w:asciiTheme="minorEastAsia" w:hAnsiTheme="minorEastAsia" w:eastAsiaTheme="minorEastAsia"/>
          <w:bCs/>
          <w:color w:val="auto"/>
          <w:sz w:val="24"/>
          <w:szCs w:val="24"/>
        </w:rPr>
        <w:t xml:space="preserve">；</w:t>
      </w:r>
      <w:r>
        <w:rPr>
          <w:rFonts w:hint="eastAsia" w:cs="宋体" w:asciiTheme="minorEastAsia" w:hAnsiTheme="minorEastAsia" w:eastAsiaTheme="minorEastAsia"/>
          <w:b/>
          <w:color w:val="auto"/>
          <w:sz w:val="24"/>
          <w:szCs w:val="24"/>
        </w:rPr>
        <w:t xml:space="preserve">制造商</w:t>
      </w:r>
      <w:r>
        <w:rPr>
          <w:rFonts w:hint="eastAsia" w:cs="宋体" w:asciiTheme="minorEastAsia" w:hAnsiTheme="minorEastAsia" w:eastAsiaTheme="minorEastAsia"/>
          <w:bCs/>
          <w:color w:val="auto"/>
          <w:sz w:val="24"/>
          <w:szCs w:val="24"/>
        </w:rPr>
        <w:t xml:space="preserve">为</w:t>
      </w:r>
      <w:r>
        <w:rPr>
          <w:rFonts w:hint="eastAsia" w:cs="宋体" w:asciiTheme="minorEastAsia" w:hAnsiTheme="minorEastAsia" w:eastAsiaTheme="minorEastAsia"/>
          <w:bCs/>
          <w:color w:val="auto"/>
          <w:sz w:val="24"/>
          <w:szCs w:val="24"/>
          <w:u w:val="single"/>
        </w:rPr>
        <w:t xml:space="preserve">（企业名称）</w:t>
      </w:r>
      <w:r>
        <w:rPr>
          <w:rFonts w:hint="eastAsia" w:cs="宋体" w:asciiTheme="minorEastAsia" w:hAnsiTheme="minorEastAsia" w:eastAsiaTheme="minorEastAsia"/>
          <w:bCs/>
          <w:color w:val="auto"/>
          <w:sz w:val="24"/>
          <w:szCs w:val="24"/>
        </w:rPr>
        <w:t xml:space="preserve">，从业人员</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人，营业收入为</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万元，资产总额为</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万元，属于</w:t>
      </w:r>
      <w:r>
        <w:rPr>
          <w:rFonts w:hint="eastAsia" w:cs="宋体" w:asciiTheme="minorEastAsia" w:hAnsiTheme="minorEastAsia" w:eastAsiaTheme="minorEastAsia"/>
          <w:bCs/>
          <w:color w:val="auto"/>
          <w:sz w:val="24"/>
          <w:szCs w:val="24"/>
          <w:u w:val="single"/>
        </w:rPr>
        <w:t xml:space="preserve">（中型企业、小型企业、微型企业）</w:t>
      </w:r>
      <w:r>
        <w:rPr>
          <w:rFonts w:hint="eastAsia" w:cs="宋体" w:asciiTheme="minorEastAsia" w:hAnsiTheme="minorEastAsia" w:eastAsiaTheme="minorEastAsia"/>
          <w:bCs/>
          <w:color w:val="auto"/>
          <w:sz w:val="24"/>
          <w:szCs w:val="24"/>
        </w:rPr>
        <w:t xml:space="preserve">；</w:t>
      </w:r>
      <w:r/>
    </w:p>
    <w:p>
      <w:pPr>
        <w:ind w:firstLine="480"/>
        <w:spacing w:line="360" w:lineRule="auto"/>
        <w:rPr>
          <w:rFonts w:hint="eastAsia"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u w:val="single"/>
        </w:rPr>
        <w:t xml:space="preserve">（标的名称）</w:t>
      </w:r>
      <w:r>
        <w:rPr>
          <w:rFonts w:hint="eastAsia" w:cs="宋体" w:asciiTheme="minorEastAsia" w:hAnsiTheme="minorEastAsia" w:eastAsiaTheme="minorEastAsia"/>
          <w:bCs/>
          <w:color w:val="auto"/>
          <w:sz w:val="24"/>
          <w:szCs w:val="24"/>
        </w:rPr>
        <w:t xml:space="preserve">，属于（采购文件中明确的所属行业）</w:t>
      </w:r>
      <w:r>
        <w:rPr>
          <w:rFonts w:hint="eastAsia" w:cs="宋体" w:asciiTheme="minorEastAsia" w:hAnsiTheme="minorEastAsia" w:eastAsiaTheme="minorEastAsia"/>
          <w:bCs/>
          <w:color w:val="auto"/>
          <w:sz w:val="24"/>
          <w:szCs w:val="24"/>
          <w:u w:val="single"/>
        </w:rPr>
        <w:t xml:space="preserve">行业</w:t>
      </w:r>
      <w:r>
        <w:rPr>
          <w:rFonts w:hint="eastAsia" w:cs="宋体" w:asciiTheme="minorEastAsia" w:hAnsiTheme="minorEastAsia" w:eastAsiaTheme="minorEastAsia"/>
          <w:bCs/>
          <w:color w:val="auto"/>
          <w:sz w:val="24"/>
          <w:szCs w:val="24"/>
        </w:rPr>
        <w:t xml:space="preserve">；制造商为</w:t>
      </w:r>
      <w:r>
        <w:rPr>
          <w:rFonts w:hint="eastAsia" w:cs="宋体" w:asciiTheme="minorEastAsia" w:hAnsiTheme="minorEastAsia" w:eastAsiaTheme="minorEastAsia"/>
          <w:bCs/>
          <w:color w:val="auto"/>
          <w:sz w:val="24"/>
          <w:szCs w:val="24"/>
          <w:u w:val="single"/>
        </w:rPr>
        <w:t xml:space="preserve">（企业名称）</w:t>
      </w:r>
      <w:r>
        <w:rPr>
          <w:rFonts w:hint="eastAsia" w:cs="宋体" w:asciiTheme="minorEastAsia" w:hAnsiTheme="minorEastAsia" w:eastAsiaTheme="minorEastAsia"/>
          <w:bCs/>
          <w:color w:val="auto"/>
          <w:sz w:val="24"/>
          <w:szCs w:val="24"/>
        </w:rPr>
        <w:t xml:space="preserve">，从业人员</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人，营业收入为</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万元，资产总额为</w:t>
      </w:r>
      <w:r>
        <w:rPr>
          <w:rFonts w:hint="eastAsia" w:cs="宋体" w:asciiTheme="minorEastAsia" w:hAnsiTheme="minorEastAsia" w:eastAsiaTheme="minorEastAsia"/>
          <w:bCs/>
          <w:color w:val="auto"/>
          <w:sz w:val="24"/>
          <w:szCs w:val="24"/>
          <w:u w:val="single"/>
        </w:rPr>
        <w:t xml:space="preserve">      </w:t>
      </w:r>
      <w:r>
        <w:rPr>
          <w:rFonts w:hint="eastAsia" w:cs="宋体" w:asciiTheme="minorEastAsia" w:hAnsiTheme="minorEastAsia" w:eastAsiaTheme="minorEastAsia"/>
          <w:bCs/>
          <w:color w:val="auto"/>
          <w:sz w:val="24"/>
          <w:szCs w:val="24"/>
        </w:rPr>
        <w:t xml:space="preserve">万元，属于</w:t>
      </w:r>
      <w:r>
        <w:rPr>
          <w:rFonts w:hint="eastAsia" w:cs="宋体" w:asciiTheme="minorEastAsia" w:hAnsiTheme="minorEastAsia" w:eastAsiaTheme="minorEastAsia"/>
          <w:bCs/>
          <w:color w:val="auto"/>
          <w:sz w:val="24"/>
          <w:szCs w:val="24"/>
          <w:u w:val="single"/>
        </w:rPr>
        <w:t xml:space="preserve">（中型企业、小型企业、微型企业）</w:t>
      </w:r>
      <w:r>
        <w:rPr>
          <w:rFonts w:hint="eastAsia" w:cs="宋体" w:asciiTheme="minorEastAsia" w:hAnsiTheme="minorEastAsia" w:eastAsiaTheme="minorEastAsia"/>
          <w:bCs/>
          <w:color w:val="auto"/>
          <w:sz w:val="24"/>
          <w:szCs w:val="24"/>
        </w:rPr>
        <w:t xml:space="preserve">；</w:t>
      </w:r>
      <w:r/>
    </w:p>
    <w:p>
      <w:pPr>
        <w:ind w:firstLine="480"/>
        <w:spacing w:line="360" w:lineRule="auto"/>
        <w:rPr>
          <w:rFonts w:hint="eastAsia"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w:t>
      </w:r>
      <w:r/>
    </w:p>
    <w:p>
      <w:pPr>
        <w:ind w:firstLine="480"/>
        <w:spacing w:line="360" w:lineRule="auto"/>
        <w:rPr>
          <w:rFonts w:hint="eastAsia"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本企业对上述声明内容的真实性负责。如有虚假，将依法承担相应责任。</w:t>
      </w:r>
      <w:r/>
    </w:p>
    <w:p>
      <w:pPr>
        <w:ind w:right="480" w:firstLine="480"/>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bCs/>
          <w:color w:val="auto"/>
          <w:sz w:val="24"/>
          <w:szCs w:val="24"/>
        </w:rPr>
        <w:t xml:space="preserve"> </w:t>
      </w:r>
      <w:r/>
    </w:p>
    <w:p>
      <w:pPr>
        <w:spacing w:line="360" w:lineRule="exact"/>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r>
      <w:r/>
    </w:p>
    <w:p>
      <w:pPr>
        <w:ind w:firstLine="420"/>
        <w:spacing w:line="360" w:lineRule="exact"/>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企业名称：                  （加盖CA电子章）</w:t>
      </w:r>
      <w:r/>
    </w:p>
    <w:p>
      <w:pPr>
        <w:ind w:firstLine="420"/>
        <w:spacing w:line="360" w:lineRule="exact"/>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日 期：</w:t>
      </w:r>
      <w:r/>
    </w:p>
    <w:p>
      <w:pPr>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r>
      <w:r/>
    </w:p>
    <w:p>
      <w:pPr>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r>
      <w:r/>
    </w:p>
    <w:p>
      <w:pPr>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说明：</w:t>
      </w:r>
      <w:r/>
    </w:p>
    <w:p>
      <w:pPr>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1.从业人员、营业收入、资产总额填报上一年度数据，无上一年度数据的新成立企业可不填报。</w:t>
      </w:r>
      <w:r/>
    </w:p>
    <w:p>
      <w:pPr>
        <w:ind w:firstLine="420"/>
        <w:jc w:val="left"/>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2.中小微企业划型标准请对照《关于印发中小企业划型标准规定的通知》（工信部联企业〔2011〕300号）。本项目采购标的所属行业为</w:t>
      </w:r>
      <w:r>
        <w:rPr>
          <w:rFonts w:hint="eastAsia" w:cs="宋体" w:asciiTheme="minorEastAsia" w:hAnsiTheme="minorEastAsia" w:eastAsiaTheme="minorEastAsia"/>
          <w:color w:val="auto"/>
          <w:sz w:val="24"/>
          <w:szCs w:val="24"/>
          <w:u w:val="single"/>
        </w:rPr>
        <w:t xml:space="preserve">工业 </w:t>
      </w:r>
      <w:r>
        <w:rPr>
          <w:rFonts w:hint="eastAsia" w:cs="宋体" w:asciiTheme="minorEastAsia" w:hAnsiTheme="minorEastAsia" w:eastAsiaTheme="minorEastAsia"/>
          <w:color w:val="auto"/>
          <w:sz w:val="24"/>
          <w:szCs w:val="24"/>
        </w:rPr>
        <w:t xml:space="preserve">。</w:t>
      </w:r>
      <w:r/>
    </w:p>
    <w:p>
      <w:pPr>
        <w:ind w:firstLine="420"/>
        <w:spacing w:line="360" w:lineRule="auto"/>
        <w:rPr>
          <w:rFonts w:hint="eastAsia" w:cs="宋体" w:asciiTheme="minorEastAsia" w:hAnsiTheme="minorEastAsia" w:eastAsiaTheme="minorEastAsia"/>
          <w:color w:val="auto"/>
        </w:rPr>
      </w:pPr>
      <w:r>
        <w:rPr>
          <w:rFonts w:hint="eastAsia" w:cs="宋体" w:asciiTheme="minorEastAsia" w:hAnsiTheme="minorEastAsia" w:eastAsiaTheme="minorEastAsia"/>
          <w:color w:val="auto"/>
          <w:sz w:val="24"/>
          <w:szCs w:val="24"/>
        </w:rPr>
        <w:t xml:space="preserve">3.成交供应商的中小企业声明函将在结果公告中对外公示，声明函内容不实的，属于提供虚假材料谋取成交，将依照《中华人民共和国政府采购法》等国家有关规定追究相应责任。</w:t>
      </w:r>
      <w:r/>
    </w:p>
    <w:p>
      <w:pPr>
        <w:jc w:val="center"/>
        <w:spacing w:line="360" w:lineRule="auto"/>
        <w:rPr>
          <w:rFonts w:hint="eastAsia" w:cs="宋体" w:asciiTheme="minorEastAsia" w:hAnsiTheme="minorEastAsia" w:eastAsiaTheme="minorEastAsia"/>
          <w:color w:val="auto"/>
          <w:sz w:val="24"/>
        </w:rPr>
      </w:pPr>
      <w:r>
        <w:rPr>
          <w:rFonts w:hint="eastAsia" w:asciiTheme="minorEastAsia" w:hAnsiTheme="minorEastAsia" w:eastAsiaTheme="minorEastAsia"/>
          <w:color w:val="auto"/>
          <w:u w:val="single"/>
        </w:rPr>
        <w:br w:type="page" w:clear="all"/>
      </w:r>
      <w:r/>
    </w:p>
    <w:p>
      <w:pPr>
        <w:pStyle w:val="1125"/>
        <w:jc w:val="center"/>
        <w:widowControl w:val="off"/>
        <w:rPr>
          <w:rFonts w:hint="eastAsia"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 xml:space="preserve">残疾人福利性单位声明函</w:t>
      </w:r>
      <w:r/>
    </w:p>
    <w:p>
      <w:pPr>
        <w:pStyle w:val="1212"/>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单位的</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项目采购活动提供服务。</w:t>
      </w:r>
      <w:r/>
    </w:p>
    <w:p>
      <w:pPr>
        <w:pStyle w:val="1212"/>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本单位对上述声明的真实性负责。如有虚假，将依法承担相应责任。</w:t>
      </w:r>
      <w:r/>
    </w:p>
    <w:p>
      <w:pPr>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r>
      <w:r/>
    </w:p>
    <w:p>
      <w:pPr>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企业名称：                  （加盖CA电子章）</w:t>
      </w:r>
      <w:r/>
    </w:p>
    <w:p>
      <w:pPr>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日 期：</w:t>
      </w:r>
      <w:r/>
    </w:p>
    <w:p>
      <w:pPr>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r>
      <w:r/>
    </w:p>
    <w:p>
      <w:pPr>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说明：</w:t>
      </w:r>
      <w:r/>
    </w:p>
    <w:p>
      <w:pPr>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1.非残疾人福利性单位不需提供此声明函。</w:t>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jc w:val="center"/>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r>
      <w:r/>
    </w:p>
    <w:p>
      <w:pPr>
        <w:pStyle w:val="1212"/>
        <w:jc w:val="center"/>
        <w:rPr>
          <w:rFonts w:hint="eastAsia" w:cs="宋体" w:asciiTheme="minorEastAsia" w:hAnsiTheme="minorEastAsia" w:eastAsiaTheme="minorEastAsia"/>
          <w:b/>
          <w:bCs/>
          <w:color w:val="auto"/>
          <w:sz w:val="32"/>
          <w:szCs w:val="32"/>
        </w:rPr>
      </w:pPr>
      <w:r>
        <w:rPr>
          <w:rFonts w:hint="eastAsia" w:cs="宋体" w:asciiTheme="minorEastAsia" w:hAnsiTheme="minorEastAsia" w:eastAsiaTheme="minorEastAsia"/>
          <w:b/>
          <w:bCs/>
          <w:color w:val="auto"/>
          <w:sz w:val="32"/>
          <w:szCs w:val="32"/>
        </w:rPr>
        <w:t xml:space="preserve">监狱企业声明函</w:t>
      </w:r>
      <w:r/>
    </w:p>
    <w:p>
      <w:pPr>
        <w:pStyle w:val="1212"/>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r>
      <w:r/>
    </w:p>
    <w:p>
      <w:pPr>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本单位郑重声明，根据《关于政府采购支持监狱企业发展有关问题的通知》（财库〔2014〕68号）的规定，本单位为监狱企业。</w:t>
      </w:r>
      <w:r/>
    </w:p>
    <w:p>
      <w:pPr>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根据上述标准，我单位属于监狱企业的理由为：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w:t>
      </w:r>
      <w:r/>
    </w:p>
    <w:p>
      <w:pPr>
        <w:pStyle w:val="1212"/>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本单位参加</w:t>
      </w:r>
      <w:r>
        <w:rPr>
          <w:rFonts w:hint="eastAsia" w:cs="宋体" w:asciiTheme="minorEastAsia" w:hAnsiTheme="minorEastAsia" w:eastAsiaTheme="minorEastAsia"/>
          <w:color w:val="auto"/>
          <w:sz w:val="24"/>
          <w:szCs w:val="24"/>
          <w:u w:val="single"/>
        </w:rPr>
        <w:t xml:space="preserve">（采购人名称）       </w:t>
      </w:r>
      <w:r>
        <w:rPr>
          <w:rFonts w:hint="eastAsia" w:cs="宋体" w:asciiTheme="minorEastAsia" w:hAnsiTheme="minorEastAsia" w:eastAsiaTheme="minorEastAsia"/>
          <w:color w:val="auto"/>
          <w:sz w:val="24"/>
          <w:szCs w:val="24"/>
        </w:rPr>
        <w:t xml:space="preserve">单位的</w:t>
      </w:r>
      <w:r>
        <w:rPr>
          <w:rFonts w:hint="eastAsia" w:cs="宋体" w:asciiTheme="minorEastAsia" w:hAnsiTheme="minorEastAsia" w:eastAsiaTheme="minorEastAsia"/>
          <w:color w:val="auto"/>
          <w:sz w:val="24"/>
          <w:szCs w:val="24"/>
          <w:u w:val="single"/>
        </w:rPr>
        <w:t xml:space="preserve">（项目名称）         </w:t>
      </w:r>
      <w:r>
        <w:rPr>
          <w:rFonts w:hint="eastAsia" w:cs="宋体" w:asciiTheme="minorEastAsia" w:hAnsiTheme="minorEastAsia" w:eastAsiaTheme="minorEastAsia"/>
          <w:color w:val="auto"/>
          <w:sz w:val="24"/>
          <w:szCs w:val="24"/>
        </w:rPr>
        <w:t xml:space="preserve">项目的采购活动，并由本单位为本项目提供服务。</w:t>
      </w:r>
      <w:r/>
    </w:p>
    <w:p>
      <w:pPr>
        <w:pStyle w:val="1212"/>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本单位对上述声明的真实性负责。如有虚假，将依法承担相应责任。</w:t>
      </w:r>
      <w:r/>
    </w:p>
    <w:p>
      <w:pPr>
        <w:pStyle w:val="1212"/>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r>
      <w:r/>
    </w:p>
    <w:p>
      <w:pPr>
        <w:pStyle w:val="1212"/>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r>
      <w:r/>
    </w:p>
    <w:p>
      <w:pPr>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企业名称：                  （加盖CA电子章）</w:t>
      </w:r>
      <w:r/>
    </w:p>
    <w:p>
      <w:pPr>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日 期：</w:t>
      </w:r>
      <w:r/>
    </w:p>
    <w:p>
      <w:pPr>
        <w:pStyle w:val="1212"/>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r>
      <w:r/>
    </w:p>
    <w:p>
      <w:pPr>
        <w:pStyle w:val="1212"/>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说明：</w:t>
      </w:r>
      <w:r/>
    </w:p>
    <w:p>
      <w:pPr>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1.监狱企业参加采购活动时，应当提供由省级以上监狱管理局、戒毒管理局（含新疆生产建设兵团）出具的属于监狱企业的证明文件。</w:t>
      </w:r>
      <w:r/>
    </w:p>
    <w:p>
      <w:pPr>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3.非监狱企业不需提供此声明函。</w:t>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87"/>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一、质疑供应商基本信息</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质疑供应商：</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地址：邮编：</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联系人：联系电话：</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授权代表：</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联系电话：</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地址：邮编：</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二、质疑项目基本情况</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质疑项目的名称：</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质疑项目的编号：包号：</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采购人名称：</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采购文件获取日期：</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三、质疑事项具体内容</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质疑事项1：</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事实依据：</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法律依据：</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质疑事项2</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四、与质疑事项相关的质疑请求</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请求：</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签字（签字或盖章）：    公章：</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日期：</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质疑函制作说明：</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1.供应商质疑时，应提交质疑函和必要的证明材料。</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3.质疑供应商若对项目的某一分包进行质疑，质疑函中应列明具体分包号。</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4.质疑函的质疑事项应具体、明确，并有必要的事实依据和法律依据。</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5.质疑函的质疑请求应与质疑事项相关。</w:t>
      </w:r>
      <w:r/>
    </w:p>
    <w:p>
      <w:pPr>
        <w:pStyle w:val="887"/>
        <w:ind w:firstLine="480"/>
        <w:jc w:val="both"/>
        <w:spacing w:beforeAutospacing="0" w:afterAutospacing="0" w:line="52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sectPr>
      <w:footnotePr/>
      <w:endnotePr/>
      <w:type w:val="nextPage"/>
      <w:pgSz w:w="11906" w:h="16838" w:orient="portrait"/>
      <w:pgMar w:top="1247" w:right="1276" w:bottom="1417" w:left="1701"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6"/>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6"/>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6"/>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5"/>
                            <w:tabs>
                              <w:tab w:val="center" w:pos="4153" w:leader="none"/>
                              <w:tab w:val="clear" w:pos="7143" w:leader="none"/>
                              <w:tab w:val="right" w:pos="8306" w:leader="none"/>
                              <w:tab w:val="clear" w:pos="14287" w:leader="none"/>
                            </w:tabs>
                            <w:rPr>
                              <w:sz w:val="22"/>
                              <w:szCs w:val="16"/>
                            </w:rPr>
                          </w:pPr>
                          <w:r>
                            <w:rPr>
                              <w:sz w:val="20"/>
                              <w:szCs w:val="13"/>
                            </w:rPr>
                            <w:fldChar w:fldCharType="begin"/>
                          </w:r>
                          <w:r>
                            <w:rPr>
                              <w:sz w:val="20"/>
                              <w:szCs w:val="13"/>
                            </w:rPr>
                            <w:instrText xml:space="preserve"> PAGE  \* MERGEFORMAT </w:instrText>
                          </w:r>
                          <w:r>
                            <w:rPr>
                              <w:sz w:val="20"/>
                              <w:szCs w:val="13"/>
                            </w:rPr>
                            <w:fldChar w:fldCharType="separate"/>
                          </w:r>
                          <w:r>
                            <w:rPr>
                              <w:sz w:val="20"/>
                              <w:szCs w:val="13"/>
                            </w:rPr>
                            <w:t xml:space="preserve">2</w:t>
                          </w:r>
                          <w:r>
                            <w:rPr>
                              <w:sz w:val="20"/>
                              <w:szCs w:val="13"/>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tabs>
                        <w:tab w:val="center" w:pos="4153" w:leader="none"/>
                        <w:tab w:val="clear" w:pos="7143" w:leader="none"/>
                        <w:tab w:val="right" w:pos="8306" w:leader="none"/>
                        <w:tab w:val="clear" w:pos="14287" w:leader="none"/>
                      </w:tabs>
                      <w:rPr>
                        <w:sz w:val="22"/>
                        <w:szCs w:val="16"/>
                      </w:rPr>
                    </w:pPr>
                    <w:r>
                      <w:rPr>
                        <w:sz w:val="20"/>
                        <w:szCs w:val="13"/>
                      </w:rPr>
                      <w:fldChar w:fldCharType="begin"/>
                    </w:r>
                    <w:r>
                      <w:rPr>
                        <w:sz w:val="20"/>
                        <w:szCs w:val="13"/>
                      </w:rPr>
                      <w:instrText xml:space="preserve"> PAGE  \* MERGEFORMAT </w:instrText>
                    </w:r>
                    <w:r>
                      <w:rPr>
                        <w:sz w:val="20"/>
                        <w:szCs w:val="13"/>
                      </w:rPr>
                      <w:fldChar w:fldCharType="separate"/>
                    </w:r>
                    <w:r>
                      <w:rPr>
                        <w:sz w:val="20"/>
                        <w:szCs w:val="13"/>
                      </w:rPr>
                      <w:t xml:space="preserve">2</w:t>
                    </w:r>
                    <w:r>
                      <w:rPr>
                        <w:sz w:val="20"/>
                        <w:szCs w:val="13"/>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5"/>
                            <w:tabs>
                              <w:tab w:val="center" w:pos="4153" w:leader="none"/>
                              <w:tab w:val="clear" w:pos="7143" w:leader="none"/>
                              <w:tab w:val="right" w:pos="8306" w:leader="none"/>
                              <w:tab w:val="clear" w:pos="14287" w:leader="none"/>
                            </w:tabs>
                            <w:rPr>
                              <w:sz w:val="18"/>
                              <w:szCs w:val="11"/>
                            </w:rPr>
                          </w:pPr>
                          <w:r>
                            <w:rPr>
                              <w:sz w:val="18"/>
                              <w:szCs w:val="11"/>
                            </w:rPr>
                            <w:fldChar w:fldCharType="begin"/>
                          </w:r>
                          <w:r>
                            <w:rPr>
                              <w:sz w:val="18"/>
                              <w:szCs w:val="11"/>
                            </w:rPr>
                            <w:instrText xml:space="preserve"> PAGE  \* MERGEFORMAT </w:instrText>
                          </w:r>
                          <w:r>
                            <w:rPr>
                              <w:sz w:val="18"/>
                              <w:szCs w:val="11"/>
                            </w:rPr>
                            <w:fldChar w:fldCharType="separate"/>
                          </w:r>
                          <w:r>
                            <w:rPr>
                              <w:sz w:val="18"/>
                              <w:szCs w:val="11"/>
                            </w:rPr>
                            <w:t xml:space="preserve">1</w:t>
                          </w:r>
                          <w:r>
                            <w:rPr>
                              <w:sz w:val="18"/>
                              <w:szCs w:val="1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tabs>
                        <w:tab w:val="center" w:pos="4153" w:leader="none"/>
                        <w:tab w:val="clear" w:pos="7143" w:leader="none"/>
                        <w:tab w:val="right" w:pos="8306" w:leader="none"/>
                        <w:tab w:val="clear" w:pos="14287" w:leader="none"/>
                      </w:tabs>
                      <w:rPr>
                        <w:sz w:val="18"/>
                        <w:szCs w:val="11"/>
                      </w:rPr>
                    </w:pPr>
                    <w:r>
                      <w:rPr>
                        <w:sz w:val="18"/>
                        <w:szCs w:val="11"/>
                      </w:rPr>
                      <w:fldChar w:fldCharType="begin"/>
                    </w:r>
                    <w:r>
                      <w:rPr>
                        <w:sz w:val="18"/>
                        <w:szCs w:val="11"/>
                      </w:rPr>
                      <w:instrText xml:space="preserve"> PAGE  \* MERGEFORMAT </w:instrText>
                    </w:r>
                    <w:r>
                      <w:rPr>
                        <w:sz w:val="18"/>
                        <w:szCs w:val="11"/>
                      </w:rPr>
                      <w:fldChar w:fldCharType="separate"/>
                    </w:r>
                    <w:r>
                      <w:rPr>
                        <w:sz w:val="18"/>
                        <w:szCs w:val="11"/>
                      </w:rPr>
                      <w:t xml:space="preserve">1</w:t>
                    </w:r>
                    <w:r>
                      <w:rPr>
                        <w:sz w:val="18"/>
                        <w:szCs w:val="1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2"/>
      <w:spacing w:line="223"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rPr>
                              <w:sz w:val="18"/>
                              <w:szCs w:val="11"/>
                            </w:rPr>
                          </w:pPr>
                          <w:r>
                            <w:rPr>
                              <w:sz w:val="18"/>
                              <w:szCs w:val="11"/>
                            </w:rPr>
                            <w:fldChar w:fldCharType="begin"/>
                          </w:r>
                          <w:r>
                            <w:rPr>
                              <w:sz w:val="18"/>
                              <w:szCs w:val="11"/>
                            </w:rPr>
                            <w:instrText xml:space="preserve"> PAGE  \* MERGEFORMAT </w:instrText>
                          </w:r>
                          <w:r>
                            <w:rPr>
                              <w:sz w:val="18"/>
                              <w:szCs w:val="11"/>
                            </w:rPr>
                            <w:fldChar w:fldCharType="separate"/>
                          </w:r>
                          <w:r>
                            <w:rPr>
                              <w:sz w:val="18"/>
                              <w:szCs w:val="11"/>
                            </w:rPr>
                            <w:t xml:space="preserve">65</w:t>
                          </w:r>
                          <w:r>
                            <w:rPr>
                              <w:sz w:val="18"/>
                              <w:szCs w:val="1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rPr>
                        <w:sz w:val="18"/>
                        <w:szCs w:val="11"/>
                      </w:rPr>
                    </w:pPr>
                    <w:r>
                      <w:rPr>
                        <w:sz w:val="18"/>
                        <w:szCs w:val="11"/>
                      </w:rPr>
                      <w:fldChar w:fldCharType="begin"/>
                    </w:r>
                    <w:r>
                      <w:rPr>
                        <w:sz w:val="18"/>
                        <w:szCs w:val="11"/>
                      </w:rPr>
                      <w:instrText xml:space="preserve"> PAGE  \* MERGEFORMAT </w:instrText>
                    </w:r>
                    <w:r>
                      <w:rPr>
                        <w:sz w:val="18"/>
                        <w:szCs w:val="11"/>
                      </w:rPr>
                      <w:fldChar w:fldCharType="separate"/>
                    </w:r>
                    <w:r>
                      <w:rPr>
                        <w:sz w:val="18"/>
                        <w:szCs w:val="11"/>
                      </w:rPr>
                      <w:t xml:space="preserve">65</w:t>
                    </w:r>
                    <w:r>
                      <w:rPr>
                        <w:sz w:val="18"/>
                        <w:szCs w:val="1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5">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4">
    <w:name w:val="TOC Heading"/>
    <w:uiPriority w:val="39"/>
    <w:unhideWhenUsed/>
  </w:style>
  <w:style w:type="paragraph" w:styleId="845"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46">
    <w:name w:val="Heading 1"/>
    <w:basedOn w:val="845"/>
    <w:next w:val="845"/>
    <w:link w:val="1089"/>
    <w:uiPriority w:val="9"/>
    <w:qFormat/>
    <w:pPr>
      <w:jc w:val="center"/>
      <w:spacing w:line="360" w:lineRule="auto"/>
      <w:widowControl/>
      <w:outlineLvl w:val="0"/>
    </w:pPr>
    <w:rPr>
      <w:rFonts w:ascii="宋体" w:hAnsi="宋体" w:eastAsia="宋体" w:cs="宋体"/>
      <w:b/>
      <w:spacing w:val="15"/>
      <w:sz w:val="32"/>
      <w:szCs w:val="32"/>
    </w:rPr>
  </w:style>
  <w:style w:type="paragraph" w:styleId="847">
    <w:name w:val="Heading 2"/>
    <w:basedOn w:val="845"/>
    <w:next w:val="845"/>
    <w:link w:val="955"/>
    <w:uiPriority w:val="9"/>
    <w:unhideWhenUsed/>
    <w:qFormat/>
    <w:pPr>
      <w:keepLines/>
      <w:keepNext/>
      <w:spacing w:before="360" w:after="200"/>
      <w:outlineLvl w:val="1"/>
    </w:pPr>
    <w:rPr>
      <w:rFonts w:ascii="Arial" w:hAnsi="Arial" w:eastAsia="Arial" w:cs="Arial"/>
      <w:sz w:val="34"/>
    </w:rPr>
  </w:style>
  <w:style w:type="paragraph" w:styleId="848">
    <w:name w:val="Heading 3"/>
    <w:basedOn w:val="845"/>
    <w:next w:val="845"/>
    <w:link w:val="956"/>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845"/>
    <w:next w:val="845"/>
    <w:link w:val="957"/>
    <w:uiPriority w:val="9"/>
    <w:unhideWhenUsed/>
    <w:qFormat/>
    <w:pPr>
      <w:keepLines/>
      <w:keepNext/>
      <w:spacing w:before="320" w:after="200"/>
      <w:outlineLvl w:val="3"/>
    </w:pPr>
    <w:rPr>
      <w:rFonts w:ascii="Arial" w:hAnsi="Arial" w:eastAsia="Arial" w:cs="Arial"/>
      <w:b/>
      <w:bCs/>
      <w:szCs w:val="26"/>
    </w:rPr>
  </w:style>
  <w:style w:type="paragraph" w:styleId="850">
    <w:name w:val="Heading 5"/>
    <w:basedOn w:val="845"/>
    <w:next w:val="845"/>
    <w:link w:val="958"/>
    <w:uiPriority w:val="9"/>
    <w:unhideWhenUsed/>
    <w:qFormat/>
    <w:pPr>
      <w:keepLines/>
      <w:keepNext/>
      <w:spacing w:before="320" w:after="200"/>
      <w:outlineLvl w:val="4"/>
    </w:pPr>
    <w:rPr>
      <w:rFonts w:ascii="Arial" w:hAnsi="Arial" w:eastAsia="Arial" w:cs="Arial"/>
      <w:b/>
      <w:bCs/>
      <w:sz w:val="24"/>
      <w:szCs w:val="24"/>
    </w:rPr>
  </w:style>
  <w:style w:type="paragraph" w:styleId="851">
    <w:name w:val="Heading 6"/>
    <w:basedOn w:val="845"/>
    <w:next w:val="845"/>
    <w:link w:val="959"/>
    <w:uiPriority w:val="9"/>
    <w:unhideWhenUsed/>
    <w:qFormat/>
    <w:pPr>
      <w:keepLines/>
      <w:keepNext/>
      <w:spacing w:before="320" w:after="200"/>
      <w:outlineLvl w:val="5"/>
    </w:pPr>
    <w:rPr>
      <w:rFonts w:ascii="Arial" w:hAnsi="Arial" w:eastAsia="Arial" w:cs="Arial"/>
      <w:b/>
      <w:bCs/>
      <w:sz w:val="22"/>
      <w:szCs w:val="22"/>
    </w:rPr>
  </w:style>
  <w:style w:type="paragraph" w:styleId="852">
    <w:name w:val="Heading 7"/>
    <w:basedOn w:val="845"/>
    <w:next w:val="845"/>
    <w:link w:val="960"/>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link w:val="961"/>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link w:val="962"/>
    <w:uiPriority w:val="9"/>
    <w:unhideWhenUsed/>
    <w:qFormat/>
    <w:pPr>
      <w:keepLines/>
      <w:keepNext/>
      <w:spacing w:before="320" w:after="200"/>
      <w:outlineLvl w:val="8"/>
    </w:pPr>
    <w:rPr>
      <w:rFonts w:ascii="Arial" w:hAnsi="Arial" w:eastAsia="Arial" w:cs="Arial"/>
      <w:i/>
      <w:iCs/>
      <w:sz w:val="21"/>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toc 7"/>
    <w:basedOn w:val="845"/>
    <w:next w:val="845"/>
    <w:uiPriority w:val="39"/>
    <w:unhideWhenUsed/>
    <w:qFormat/>
    <w:pPr>
      <w:ind w:left="1701"/>
      <w:spacing w:after="57"/>
    </w:pPr>
  </w:style>
  <w:style w:type="paragraph" w:styleId="858">
    <w:name w:val="table of authorities"/>
    <w:basedOn w:val="845"/>
    <w:next w:val="845"/>
    <w:uiPriority w:val="99"/>
    <w:qFormat/>
    <w:pPr>
      <w:jc w:val="center"/>
      <w:spacing w:after="200"/>
    </w:pPr>
    <w:rPr>
      <w:rFonts w:eastAsia="黑体"/>
      <w:b/>
      <w:sz w:val="18"/>
    </w:rPr>
  </w:style>
  <w:style w:type="paragraph" w:styleId="859">
    <w:name w:val="Note Heading"/>
    <w:basedOn w:val="845"/>
    <w:next w:val="845"/>
    <w:uiPriority w:val="0"/>
    <w:qFormat/>
    <w:rPr>
      <w:rFonts w:ascii="Verdana" w:hAnsi="Verdana"/>
    </w:rPr>
  </w:style>
  <w:style w:type="paragraph" w:styleId="860">
    <w:name w:val="Normal Indent"/>
    <w:basedOn w:val="845"/>
    <w:next w:val="845"/>
    <w:link w:val="1235"/>
    <w:uiPriority w:val="0"/>
    <w:unhideWhenUsed/>
    <w:qFormat/>
    <w:pPr>
      <w:ind w:firstLine="420"/>
      <w:jc w:val="left"/>
    </w:pPr>
    <w:rPr>
      <w:sz w:val="24"/>
    </w:rPr>
  </w:style>
  <w:style w:type="paragraph" w:styleId="861">
    <w:name w:val="Caption"/>
    <w:basedOn w:val="845"/>
    <w:next w:val="8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2">
    <w:name w:val="Document Map"/>
    <w:basedOn w:val="845"/>
    <w:uiPriority w:val="0"/>
    <w:unhideWhenUsed/>
    <w:qFormat/>
    <w:pPr>
      <w:shd w:val="clear" w:color="auto" w:fill="000080"/>
    </w:pPr>
    <w:rPr>
      <w:rFonts w:eastAsia="宋体"/>
      <w:sz w:val="21"/>
      <w:szCs w:val="24"/>
    </w:rPr>
  </w:style>
  <w:style w:type="paragraph" w:styleId="863">
    <w:name w:val="annotation text"/>
    <w:basedOn w:val="845"/>
    <w:uiPriority w:val="0"/>
    <w:qFormat/>
    <w:pPr>
      <w:jc w:val="left"/>
    </w:pPr>
  </w:style>
  <w:style w:type="paragraph" w:styleId="864">
    <w:name w:val="Body Text"/>
    <w:basedOn w:val="845"/>
    <w:uiPriority w:val="0"/>
    <w:qFormat/>
    <w:rPr>
      <w:rFonts w:ascii="楷体_GB2312" w:hAnsi="Arial"/>
      <w:sz w:val="28"/>
    </w:rPr>
  </w:style>
  <w:style w:type="paragraph" w:styleId="865">
    <w:name w:val="Body Text Indent"/>
    <w:basedOn w:val="845"/>
    <w:next w:val="866"/>
    <w:link w:val="1276"/>
    <w:uiPriority w:val="0"/>
    <w:qFormat/>
    <w:pPr>
      <w:ind w:firstLine="645"/>
    </w:pPr>
    <w:rPr>
      <w:rFonts w:ascii="楷体_GB2312" w:hAnsiTheme="minorHAnsi" w:cstheme="minorBidi"/>
      <w:sz w:val="32"/>
      <w:szCs w:val="22"/>
    </w:rPr>
  </w:style>
  <w:style w:type="paragraph" w:styleId="866">
    <w:name w:val="Body Text First Indent 2"/>
    <w:basedOn w:val="865"/>
    <w:next w:val="860"/>
    <w:uiPriority w:val="99"/>
    <w:unhideWhenUsed/>
    <w:qFormat/>
    <w:pPr>
      <w:ind w:firstLine="200"/>
    </w:pPr>
  </w:style>
  <w:style w:type="paragraph" w:styleId="867">
    <w:name w:val="Block Text"/>
    <w:basedOn w:val="845"/>
    <w:uiPriority w:val="0"/>
    <w:qFormat/>
    <w:pPr>
      <w:ind w:left="840" w:right="210"/>
      <w:tabs>
        <w:tab w:val="left" w:pos="9420" w:leader="none"/>
      </w:tabs>
    </w:pPr>
    <w:rPr>
      <w:rFonts w:ascii="宋体" w:hAnsi="宋体"/>
      <w:sz w:val="24"/>
    </w:rPr>
  </w:style>
  <w:style w:type="paragraph" w:styleId="868">
    <w:name w:val="index 4"/>
    <w:basedOn w:val="845"/>
    <w:next w:val="845"/>
    <w:uiPriority w:val="0"/>
    <w:semiHidden/>
    <w:qFormat/>
    <w:pPr>
      <w:ind w:left="1260"/>
    </w:pPr>
  </w:style>
  <w:style w:type="paragraph" w:styleId="869">
    <w:name w:val="toc 5"/>
    <w:basedOn w:val="845"/>
    <w:next w:val="845"/>
    <w:uiPriority w:val="39"/>
    <w:unhideWhenUsed/>
    <w:qFormat/>
    <w:pPr>
      <w:ind w:left="1134"/>
      <w:spacing w:after="57"/>
    </w:pPr>
  </w:style>
  <w:style w:type="paragraph" w:styleId="870">
    <w:name w:val="toc 3"/>
    <w:basedOn w:val="845"/>
    <w:next w:val="845"/>
    <w:uiPriority w:val="39"/>
    <w:unhideWhenUsed/>
    <w:qFormat/>
    <w:pPr>
      <w:ind w:left="567"/>
      <w:spacing w:after="57"/>
    </w:pPr>
  </w:style>
  <w:style w:type="paragraph" w:styleId="871">
    <w:name w:val="Plain Text"/>
    <w:basedOn w:val="845"/>
    <w:next w:val="860"/>
    <w:link w:val="1229"/>
    <w:uiPriority w:val="0"/>
    <w:unhideWhenUsed/>
    <w:qFormat/>
    <w:rPr>
      <w:rFonts w:ascii="宋体" w:hAnsi="Courier New"/>
    </w:rPr>
  </w:style>
  <w:style w:type="paragraph" w:styleId="872">
    <w:name w:val="toc 8"/>
    <w:basedOn w:val="845"/>
    <w:next w:val="845"/>
    <w:uiPriority w:val="39"/>
    <w:unhideWhenUsed/>
    <w:qFormat/>
    <w:pPr>
      <w:ind w:left="1984"/>
      <w:spacing w:after="57"/>
    </w:pPr>
  </w:style>
  <w:style w:type="paragraph" w:styleId="873">
    <w:name w:val="endnote text"/>
    <w:basedOn w:val="845"/>
    <w:link w:val="1079"/>
    <w:uiPriority w:val="99"/>
    <w:semiHidden/>
    <w:unhideWhenUsed/>
    <w:qFormat/>
    <w:rPr>
      <w:sz w:val="20"/>
    </w:rPr>
  </w:style>
  <w:style w:type="paragraph" w:styleId="874">
    <w:name w:val="Balloon Text"/>
    <w:basedOn w:val="845"/>
    <w:link w:val="1284"/>
    <w:uiPriority w:val="99"/>
    <w:semiHidden/>
    <w:unhideWhenUsed/>
    <w:qFormat/>
    <w:rPr>
      <w:sz w:val="18"/>
      <w:szCs w:val="18"/>
    </w:rPr>
  </w:style>
  <w:style w:type="paragraph" w:styleId="875">
    <w:name w:val="Footer"/>
    <w:basedOn w:val="845"/>
    <w:link w:val="971"/>
    <w:uiPriority w:val="99"/>
    <w:unhideWhenUsed/>
    <w:qFormat/>
    <w:pPr>
      <w:tabs>
        <w:tab w:val="center" w:pos="7143" w:leader="none"/>
        <w:tab w:val="right" w:pos="14287" w:leader="none"/>
      </w:tabs>
    </w:pPr>
  </w:style>
  <w:style w:type="paragraph" w:styleId="876">
    <w:name w:val="envelope return"/>
    <w:basedOn w:val="845"/>
    <w:uiPriority w:val="0"/>
    <w:unhideWhenUsed/>
    <w:qFormat/>
    <w:rPr>
      <w:rFonts w:ascii="Arial" w:hAnsi="Arial"/>
    </w:rPr>
  </w:style>
  <w:style w:type="paragraph" w:styleId="877">
    <w:name w:val="Header"/>
    <w:basedOn w:val="845"/>
    <w:link w:val="969"/>
    <w:uiPriority w:val="99"/>
    <w:unhideWhenUsed/>
    <w:qFormat/>
    <w:pPr>
      <w:tabs>
        <w:tab w:val="center" w:pos="7143" w:leader="none"/>
        <w:tab w:val="right" w:pos="14287" w:leader="none"/>
      </w:tabs>
    </w:pPr>
  </w:style>
  <w:style w:type="paragraph" w:styleId="878">
    <w:name w:val="toc 1"/>
    <w:basedOn w:val="845"/>
    <w:next w:val="845"/>
    <w:uiPriority w:val="39"/>
    <w:unhideWhenUsed/>
    <w:qFormat/>
    <w:pPr>
      <w:spacing w:after="57"/>
    </w:pPr>
  </w:style>
  <w:style w:type="paragraph" w:styleId="879">
    <w:name w:val="toc 4"/>
    <w:basedOn w:val="845"/>
    <w:next w:val="845"/>
    <w:uiPriority w:val="39"/>
    <w:unhideWhenUsed/>
    <w:qFormat/>
    <w:pPr>
      <w:ind w:left="850"/>
      <w:spacing w:after="57"/>
    </w:pPr>
  </w:style>
  <w:style w:type="paragraph" w:styleId="880">
    <w:name w:val="Subtitle"/>
    <w:basedOn w:val="845"/>
    <w:next w:val="845"/>
    <w:link w:val="964"/>
    <w:uiPriority w:val="11"/>
    <w:qFormat/>
    <w:pPr>
      <w:spacing w:before="200" w:after="200"/>
    </w:pPr>
    <w:rPr>
      <w:sz w:val="24"/>
      <w:szCs w:val="24"/>
    </w:rPr>
  </w:style>
  <w:style w:type="paragraph" w:styleId="881">
    <w:name w:val="footnote text"/>
    <w:basedOn w:val="845"/>
    <w:link w:val="1078"/>
    <w:uiPriority w:val="99"/>
    <w:semiHidden/>
    <w:unhideWhenUsed/>
    <w:qFormat/>
    <w:pPr>
      <w:spacing w:after="40"/>
    </w:pPr>
    <w:rPr>
      <w:sz w:val="18"/>
    </w:rPr>
  </w:style>
  <w:style w:type="paragraph" w:styleId="882">
    <w:name w:val="toc 6"/>
    <w:basedOn w:val="845"/>
    <w:next w:val="845"/>
    <w:uiPriority w:val="39"/>
    <w:unhideWhenUsed/>
    <w:qFormat/>
    <w:pPr>
      <w:ind w:left="1417"/>
      <w:spacing w:after="57"/>
    </w:pPr>
  </w:style>
  <w:style w:type="paragraph" w:styleId="883">
    <w:name w:val="table of figures"/>
    <w:basedOn w:val="845"/>
    <w:next w:val="845"/>
    <w:uiPriority w:val="99"/>
    <w:unhideWhenUsed/>
    <w:qFormat/>
  </w:style>
  <w:style w:type="paragraph" w:styleId="884">
    <w:name w:val="toc 2"/>
    <w:basedOn w:val="845"/>
    <w:next w:val="845"/>
    <w:uiPriority w:val="39"/>
    <w:unhideWhenUsed/>
    <w:qFormat/>
    <w:pPr>
      <w:ind w:left="283"/>
      <w:spacing w:after="57"/>
    </w:pPr>
  </w:style>
  <w:style w:type="paragraph" w:styleId="885">
    <w:name w:val="toc 9"/>
    <w:basedOn w:val="845"/>
    <w:next w:val="845"/>
    <w:uiPriority w:val="39"/>
    <w:unhideWhenUsed/>
    <w:qFormat/>
    <w:pPr>
      <w:ind w:left="2268"/>
      <w:spacing w:after="57"/>
    </w:pPr>
  </w:style>
  <w:style w:type="paragraph" w:styleId="886">
    <w:name w:val="Body Text 2"/>
    <w:basedOn w:val="845"/>
    <w:uiPriority w:val="0"/>
    <w:qFormat/>
    <w:pPr>
      <w:jc w:val="center"/>
    </w:pPr>
    <w:rPr>
      <w:rFonts w:ascii="仿宋_GB2312" w:eastAsia="仿宋_GB2312"/>
      <w:sz w:val="44"/>
    </w:rPr>
  </w:style>
  <w:style w:type="paragraph" w:styleId="887">
    <w:name w:val="Normal (Web)"/>
    <w:basedOn w:val="845"/>
    <w:uiPriority w:val="0"/>
    <w:unhideWhenUsed/>
    <w:qFormat/>
    <w:pPr>
      <w:jc w:val="left"/>
      <w:spacing w:beforeAutospacing="1" w:afterAutospacing="1"/>
    </w:pPr>
    <w:rPr>
      <w:sz w:val="24"/>
    </w:rPr>
  </w:style>
  <w:style w:type="paragraph" w:styleId="888">
    <w:name w:val="Title"/>
    <w:basedOn w:val="845"/>
    <w:next w:val="845"/>
    <w:link w:val="963"/>
    <w:uiPriority w:val="10"/>
    <w:qFormat/>
    <w:pPr>
      <w:contextualSpacing/>
      <w:spacing w:before="300" w:after="200"/>
    </w:pPr>
    <w:rPr>
      <w:sz w:val="48"/>
      <w:szCs w:val="48"/>
    </w:rPr>
  </w:style>
  <w:style w:type="paragraph" w:styleId="889">
    <w:name w:val="annotation subject"/>
    <w:basedOn w:val="863"/>
    <w:next w:val="890"/>
    <w:uiPriority w:val="0"/>
    <w:qFormat/>
    <w:rPr>
      <w:b/>
      <w:bCs/>
    </w:rPr>
  </w:style>
  <w:style w:type="paragraph" w:styleId="890" w:customStyle="1">
    <w:name w:val="Plain Text1"/>
    <w:basedOn w:val="845"/>
    <w:next w:val="857"/>
    <w:uiPriority w:val="0"/>
    <w:qFormat/>
    <w:pPr>
      <w:ind w:firstLine="3584"/>
      <w:spacing w:line="360" w:lineRule="auto"/>
    </w:pPr>
  </w:style>
  <w:style w:type="paragraph" w:styleId="891">
    <w:name w:val="Body Text First Indent"/>
    <w:basedOn w:val="864"/>
    <w:next w:val="889"/>
    <w:uiPriority w:val="0"/>
    <w:qFormat/>
    <w:pPr>
      <w:ind w:firstLine="420"/>
    </w:pPr>
    <w:rPr>
      <w:rFonts w:ascii="Verdana" w:hAnsi="Verdana"/>
      <w:szCs w:val="28"/>
      <w:lang w:eastAsia="en-US"/>
    </w:rPr>
  </w:style>
  <w:style w:type="table" w:styleId="8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Strong"/>
    <w:basedOn w:val="855"/>
    <w:uiPriority w:val="0"/>
    <w:qFormat/>
    <w:rPr>
      <w:b/>
      <w:bCs/>
    </w:rPr>
  </w:style>
  <w:style w:type="character" w:styleId="894">
    <w:name w:val="endnote reference"/>
    <w:uiPriority w:val="99"/>
    <w:semiHidden/>
    <w:unhideWhenUsed/>
    <w:qFormat/>
    <w:rPr>
      <w:vertAlign w:val="superscript"/>
    </w:rPr>
  </w:style>
  <w:style w:type="character" w:styleId="895">
    <w:name w:val="page number"/>
    <w:uiPriority w:val="0"/>
    <w:qFormat/>
  </w:style>
  <w:style w:type="character" w:styleId="896">
    <w:name w:val="FollowedHyperlink"/>
    <w:basedOn w:val="855"/>
    <w:uiPriority w:val="99"/>
    <w:semiHidden/>
    <w:unhideWhenUsed/>
    <w:qFormat/>
    <w:rPr>
      <w:color w:val="5c5c5c"/>
      <w:u w:val="none"/>
    </w:rPr>
  </w:style>
  <w:style w:type="character" w:styleId="897">
    <w:name w:val="Emphasis"/>
    <w:basedOn w:val="855"/>
    <w:uiPriority w:val="20"/>
    <w:qFormat/>
    <w:rPr>
      <w:b/>
      <w:bCs/>
    </w:rPr>
  </w:style>
  <w:style w:type="character" w:styleId="898">
    <w:name w:val="HTML Definition"/>
    <w:basedOn w:val="855"/>
    <w:uiPriority w:val="99"/>
    <w:semiHidden/>
    <w:unhideWhenUsed/>
    <w:qFormat/>
  </w:style>
  <w:style w:type="character" w:styleId="899">
    <w:name w:val="HTML Typewriter"/>
    <w:basedOn w:val="855"/>
    <w:uiPriority w:val="99"/>
    <w:semiHidden/>
    <w:unhideWhenUsed/>
    <w:qFormat/>
    <w:rPr>
      <w:rFonts w:ascii="monospace" w:hAnsi="monospace" w:eastAsia="monospace" w:cs="monospace"/>
      <w:sz w:val="20"/>
    </w:rPr>
  </w:style>
  <w:style w:type="character" w:styleId="900">
    <w:name w:val="HTML Acronym"/>
    <w:basedOn w:val="855"/>
    <w:uiPriority w:val="99"/>
    <w:semiHidden/>
    <w:unhideWhenUsed/>
    <w:qFormat/>
  </w:style>
  <w:style w:type="character" w:styleId="901">
    <w:name w:val="HTML Variable"/>
    <w:basedOn w:val="855"/>
    <w:uiPriority w:val="99"/>
    <w:semiHidden/>
    <w:unhideWhenUsed/>
    <w:qFormat/>
  </w:style>
  <w:style w:type="character" w:styleId="902">
    <w:name w:val="Hyperlink"/>
    <w:uiPriority w:val="99"/>
    <w:unhideWhenUsed/>
    <w:qFormat/>
    <w:rPr>
      <w:color w:val="0000ff" w:themeColor="hyperlink"/>
      <w:u w:val="single"/>
      <w14:textFill>
        <w14:solidFill>
          <w14:schemeClr w14:val="hlink"/>
        </w14:solidFill>
      </w14:textFill>
    </w:rPr>
  </w:style>
  <w:style w:type="character" w:styleId="903">
    <w:name w:val="HTML Code"/>
    <w:basedOn w:val="855"/>
    <w:uiPriority w:val="99"/>
    <w:semiHidden/>
    <w:unhideWhenUsed/>
    <w:qFormat/>
    <w:rPr>
      <w:rFonts w:hint="default" w:ascii="monospace" w:hAnsi="monospace" w:eastAsia="monospace" w:cs="monospace"/>
      <w:vanish/>
      <w:sz w:val="20"/>
    </w:rPr>
  </w:style>
  <w:style w:type="character" w:styleId="904">
    <w:name w:val="annotation reference"/>
    <w:basedOn w:val="855"/>
    <w:uiPriority w:val="99"/>
    <w:semiHidden/>
    <w:unhideWhenUsed/>
    <w:qFormat/>
    <w:rPr>
      <w:sz w:val="21"/>
      <w:szCs w:val="21"/>
    </w:rPr>
  </w:style>
  <w:style w:type="character" w:styleId="905">
    <w:name w:val="HTML Cite"/>
    <w:basedOn w:val="855"/>
    <w:uiPriority w:val="99"/>
    <w:semiHidden/>
    <w:unhideWhenUsed/>
    <w:qFormat/>
  </w:style>
  <w:style w:type="character" w:styleId="906">
    <w:name w:val="footnote reference"/>
    <w:uiPriority w:val="99"/>
    <w:unhideWhenUsed/>
    <w:qFormat/>
    <w:rPr>
      <w:vertAlign w:val="superscript"/>
    </w:rPr>
  </w:style>
  <w:style w:type="character" w:styleId="907">
    <w:name w:val="HTML Keyboard"/>
    <w:basedOn w:val="855"/>
    <w:uiPriority w:val="99"/>
    <w:semiHidden/>
    <w:unhideWhenUsed/>
    <w:qFormat/>
    <w:rPr>
      <w:rFonts w:hint="default" w:ascii="monospace" w:hAnsi="monospace" w:eastAsia="monospace" w:cs="monospace"/>
      <w:sz w:val="20"/>
    </w:rPr>
  </w:style>
  <w:style w:type="character" w:styleId="908">
    <w:name w:val="HTML Sample"/>
    <w:basedOn w:val="855"/>
    <w:uiPriority w:val="99"/>
    <w:semiHidden/>
    <w:unhideWhenUsed/>
    <w:qFormat/>
    <w:rPr>
      <w:rFonts w:hint="default" w:ascii="monospace" w:hAnsi="monospace" w:eastAsia="monospace" w:cs="monospace"/>
    </w:rPr>
  </w:style>
  <w:style w:type="paragraph" w:styleId="909" w:customStyle="1">
    <w:name w:val="正文文本1"/>
    <w:basedOn w:val="845"/>
    <w:next w:val="845"/>
    <w:link w:val="1102"/>
    <w:uiPriority w:val="0"/>
    <w:unhideWhenUsed/>
    <w:qFormat/>
    <w:rPr>
      <w:rFonts w:ascii="楷体_GB2312"/>
      <w:b/>
      <w:bCs/>
      <w:sz w:val="28"/>
    </w:rPr>
  </w:style>
  <w:style w:type="paragraph" w:styleId="910" w:customStyle="1">
    <w:name w:val="正文文本缩进1"/>
    <w:basedOn w:val="845"/>
    <w:next w:val="911"/>
    <w:link w:val="1103"/>
    <w:uiPriority w:val="0"/>
    <w:unhideWhenUsed/>
    <w:qFormat/>
    <w:pPr>
      <w:ind w:firstLine="570"/>
    </w:pPr>
    <w:rPr>
      <w:rFonts w:ascii="宋体" w:eastAsia="宋体"/>
      <w:sz w:val="28"/>
    </w:rPr>
  </w:style>
  <w:style w:type="paragraph" w:styleId="911" w:customStyle="1">
    <w:name w:val="寄信人地址1"/>
    <w:basedOn w:val="845"/>
    <w:uiPriority w:val="99"/>
    <w:unhideWhenUsed/>
    <w:qFormat/>
    <w:rPr>
      <w:rFonts w:ascii="Arial" w:hAnsi="Arial"/>
    </w:rPr>
  </w:style>
  <w:style w:type="paragraph" w:styleId="912" w:customStyle="1">
    <w:name w:val="列出段落1"/>
    <w:basedOn w:val="845"/>
    <w:uiPriority w:val="0"/>
    <w:qFormat/>
    <w:pPr>
      <w:ind w:firstLine="420"/>
    </w:pPr>
    <w:rPr>
      <w:rFonts w:ascii="Calibri" w:hAnsi="Calibri" w:eastAsia="宋体"/>
      <w:sz w:val="21"/>
      <w:szCs w:val="22"/>
    </w:rPr>
  </w:style>
  <w:style w:type="paragraph" w:styleId="91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14" w:customStyle="1">
    <w:name w:val="正文文本11"/>
    <w:basedOn w:val="845"/>
    <w:next w:val="845"/>
    <w:uiPriority w:val="0"/>
    <w:qFormat/>
    <w:rPr>
      <w:rFonts w:ascii="楷体_GB2312" w:hAnsi="Arial"/>
      <w:sz w:val="28"/>
    </w:rPr>
  </w:style>
  <w:style w:type="table" w:styleId="915" w:customStyle="1">
    <w:name w:val="无格式表格 11"/>
    <w:basedOn w:val="8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无格式表格 21"/>
    <w:basedOn w:val="8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31"/>
    <w:basedOn w:val="85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无格式表格 41"/>
    <w:basedOn w:val="85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无格式表格 51"/>
    <w:basedOn w:val="85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网格表 1 浅色1"/>
    <w:basedOn w:val="8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网格表 21"/>
    <w:basedOn w:val="8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网格表 31"/>
    <w:basedOn w:val="8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网格表 41"/>
    <w:basedOn w:val="8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网格表 5 深色1"/>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网格表 6 彩色1"/>
    <w:basedOn w:val="8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网格表 7 彩色1"/>
    <w:basedOn w:val="8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清单表 1 浅色1"/>
    <w:basedOn w:val="85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清单表 21"/>
    <w:basedOn w:val="8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清单表 31"/>
    <w:basedOn w:val="8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清单表 41"/>
    <w:basedOn w:val="8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清单表 5 深色1"/>
    <w:basedOn w:val="8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清单表 6 彩色1"/>
    <w:basedOn w:val="85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清单表 7 彩色1"/>
    <w:basedOn w:val="85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4" w:customStyle="1">
    <w:name w:val="TOC 标题1"/>
    <w:uiPriority w:val="39"/>
    <w:unhideWhenUsed/>
    <w:qFormat/>
    <w:rPr>
      <w:rFonts w:ascii="Times New Roman" w:hAnsi="Times New Roman" w:eastAsia="宋体" w:cs="Times New Roman"/>
      <w:lang w:val="en-US" w:eastAsia="zh-CN" w:bidi="ar-SA"/>
    </w:rPr>
  </w:style>
  <w:style w:type="paragraph" w:styleId="935" w:customStyle="1">
    <w:name w:val="TOC 标题112"/>
    <w:uiPriority w:val="39"/>
    <w:unhideWhenUsed/>
    <w:qFormat/>
    <w:rPr>
      <w:rFonts w:ascii="Times New Roman" w:hAnsi="Times New Roman" w:eastAsia="宋体" w:cs="Times New Roman"/>
      <w:lang w:val="en-US" w:eastAsia="zh-CN" w:bidi="ar-SA"/>
    </w:rPr>
  </w:style>
  <w:style w:type="paragraph" w:styleId="936">
    <w:name w:val="List Paragraph"/>
    <w:basedOn w:val="845"/>
    <w:uiPriority w:val="34"/>
    <w:qFormat/>
    <w:pPr>
      <w:ind w:firstLine="420"/>
    </w:pPr>
    <w:rPr>
      <w:rFonts w:ascii="Calibri" w:hAnsi="Calibri" w:eastAsia="宋体"/>
      <w:sz w:val="21"/>
      <w:szCs w:val="22"/>
    </w:rPr>
  </w:style>
  <w:style w:type="character" w:styleId="937" w:customStyle="1">
    <w:name w:val="Heading 2 Char"/>
    <w:basedOn w:val="855"/>
    <w:uiPriority w:val="9"/>
    <w:qFormat/>
    <w:rPr>
      <w:rFonts w:ascii="Arial" w:hAnsi="Arial" w:eastAsia="Arial" w:cs="Arial"/>
      <w:sz w:val="34"/>
    </w:rPr>
  </w:style>
  <w:style w:type="character" w:styleId="938" w:customStyle="1">
    <w:name w:val="Heading 3 Char"/>
    <w:basedOn w:val="855"/>
    <w:uiPriority w:val="9"/>
    <w:qFormat/>
    <w:rPr>
      <w:rFonts w:ascii="Arial" w:hAnsi="Arial" w:eastAsia="Arial" w:cs="Arial"/>
      <w:sz w:val="30"/>
      <w:szCs w:val="30"/>
    </w:rPr>
  </w:style>
  <w:style w:type="character" w:styleId="939" w:customStyle="1">
    <w:name w:val="Heading 4 Char"/>
    <w:basedOn w:val="855"/>
    <w:uiPriority w:val="9"/>
    <w:qFormat/>
    <w:rPr>
      <w:rFonts w:ascii="Arial" w:hAnsi="Arial" w:eastAsia="Arial" w:cs="Arial"/>
      <w:b/>
      <w:bCs/>
      <w:sz w:val="26"/>
      <w:szCs w:val="26"/>
    </w:rPr>
  </w:style>
  <w:style w:type="character" w:styleId="940" w:customStyle="1">
    <w:name w:val="Heading 5 Char"/>
    <w:basedOn w:val="855"/>
    <w:uiPriority w:val="9"/>
    <w:qFormat/>
    <w:rPr>
      <w:rFonts w:ascii="Arial" w:hAnsi="Arial" w:eastAsia="Arial" w:cs="Arial"/>
      <w:b/>
      <w:bCs/>
      <w:sz w:val="24"/>
      <w:szCs w:val="24"/>
    </w:rPr>
  </w:style>
  <w:style w:type="character" w:styleId="941" w:customStyle="1">
    <w:name w:val="Heading 6 Char"/>
    <w:basedOn w:val="855"/>
    <w:uiPriority w:val="9"/>
    <w:qFormat/>
    <w:rPr>
      <w:rFonts w:ascii="Arial" w:hAnsi="Arial" w:eastAsia="Arial" w:cs="Arial"/>
      <w:b/>
      <w:bCs/>
      <w:sz w:val="22"/>
      <w:szCs w:val="22"/>
    </w:rPr>
  </w:style>
  <w:style w:type="character" w:styleId="942" w:customStyle="1">
    <w:name w:val="Heading 7 Char"/>
    <w:basedOn w:val="855"/>
    <w:uiPriority w:val="9"/>
    <w:qFormat/>
    <w:rPr>
      <w:rFonts w:ascii="Arial" w:hAnsi="Arial" w:eastAsia="Arial" w:cs="Arial"/>
      <w:b/>
      <w:bCs/>
      <w:i/>
      <w:iCs/>
      <w:sz w:val="22"/>
      <w:szCs w:val="22"/>
    </w:rPr>
  </w:style>
  <w:style w:type="character" w:styleId="943" w:customStyle="1">
    <w:name w:val="Heading 8 Char"/>
    <w:basedOn w:val="855"/>
    <w:uiPriority w:val="9"/>
    <w:qFormat/>
    <w:rPr>
      <w:rFonts w:ascii="Arial" w:hAnsi="Arial" w:eastAsia="Arial" w:cs="Arial"/>
      <w:i/>
      <w:iCs/>
      <w:sz w:val="22"/>
      <w:szCs w:val="22"/>
    </w:rPr>
  </w:style>
  <w:style w:type="character" w:styleId="944" w:customStyle="1">
    <w:name w:val="Heading 9 Char"/>
    <w:basedOn w:val="855"/>
    <w:uiPriority w:val="9"/>
    <w:qFormat/>
    <w:rPr>
      <w:rFonts w:ascii="Arial" w:hAnsi="Arial" w:eastAsia="Arial" w:cs="Arial"/>
      <w:i/>
      <w:iCs/>
      <w:sz w:val="21"/>
      <w:szCs w:val="21"/>
    </w:rPr>
  </w:style>
  <w:style w:type="character" w:styleId="945" w:customStyle="1">
    <w:name w:val="Title Char"/>
    <w:basedOn w:val="855"/>
    <w:uiPriority w:val="10"/>
    <w:qFormat/>
    <w:rPr>
      <w:sz w:val="48"/>
      <w:szCs w:val="48"/>
    </w:rPr>
  </w:style>
  <w:style w:type="character" w:styleId="946" w:customStyle="1">
    <w:name w:val="Subtitle Char"/>
    <w:basedOn w:val="855"/>
    <w:uiPriority w:val="11"/>
    <w:qFormat/>
    <w:rPr>
      <w:sz w:val="24"/>
      <w:szCs w:val="24"/>
    </w:rPr>
  </w:style>
  <w:style w:type="character" w:styleId="947" w:customStyle="1">
    <w:name w:val="Quote Char"/>
    <w:uiPriority w:val="29"/>
    <w:qFormat/>
    <w:rPr>
      <w:i/>
    </w:rPr>
  </w:style>
  <w:style w:type="character" w:styleId="948" w:customStyle="1">
    <w:name w:val="Intense Quote Char"/>
    <w:uiPriority w:val="30"/>
    <w:qFormat/>
    <w:rPr>
      <w:i/>
    </w:rPr>
  </w:style>
  <w:style w:type="character" w:styleId="949" w:customStyle="1">
    <w:name w:val="Header Char"/>
    <w:basedOn w:val="855"/>
    <w:uiPriority w:val="99"/>
    <w:qFormat/>
  </w:style>
  <w:style w:type="character" w:styleId="950" w:customStyle="1">
    <w:name w:val="Caption Char"/>
    <w:uiPriority w:val="99"/>
    <w:qFormat/>
  </w:style>
  <w:style w:type="character" w:styleId="951" w:customStyle="1">
    <w:name w:val="Footnote Text Char"/>
    <w:uiPriority w:val="99"/>
    <w:qFormat/>
    <w:rPr>
      <w:sz w:val="18"/>
    </w:rPr>
  </w:style>
  <w:style w:type="character" w:styleId="952" w:customStyle="1">
    <w:name w:val="Endnote Text Char"/>
    <w:uiPriority w:val="99"/>
    <w:qFormat/>
    <w:rPr>
      <w:sz w:val="20"/>
    </w:rPr>
  </w:style>
  <w:style w:type="paragraph" w:styleId="953" w:customStyle="1">
    <w:name w:val="TOC 标题111"/>
    <w:uiPriority w:val="39"/>
    <w:unhideWhenUsed/>
    <w:qFormat/>
    <w:rPr>
      <w:rFonts w:ascii="Calibri" w:hAnsi="Calibri" w:eastAsia="宋体" w:cs="Calibri"/>
      <w:lang w:val="en-US" w:eastAsia="zh-CN" w:bidi="ar-SA"/>
    </w:rPr>
  </w:style>
  <w:style w:type="character" w:styleId="954" w:customStyle="1">
    <w:name w:val="Heading 1 Char"/>
    <w:uiPriority w:val="9"/>
    <w:qFormat/>
    <w:rPr>
      <w:rFonts w:ascii="Arial" w:hAnsi="Arial" w:eastAsia="Arial" w:cs="Arial"/>
      <w:sz w:val="40"/>
      <w:szCs w:val="40"/>
    </w:rPr>
  </w:style>
  <w:style w:type="character" w:styleId="955" w:customStyle="1">
    <w:name w:val="标题 2 字符"/>
    <w:link w:val="847"/>
    <w:uiPriority w:val="9"/>
    <w:qFormat/>
    <w:rPr>
      <w:rFonts w:ascii="Arial" w:hAnsi="Arial" w:eastAsia="Arial" w:cs="Arial"/>
      <w:sz w:val="34"/>
    </w:rPr>
  </w:style>
  <w:style w:type="character" w:styleId="956" w:customStyle="1">
    <w:name w:val="标题 3 字符"/>
    <w:link w:val="848"/>
    <w:uiPriority w:val="9"/>
    <w:qFormat/>
    <w:rPr>
      <w:rFonts w:ascii="Arial" w:hAnsi="Arial" w:eastAsia="Arial" w:cs="Arial"/>
      <w:sz w:val="30"/>
      <w:szCs w:val="30"/>
    </w:rPr>
  </w:style>
  <w:style w:type="character" w:styleId="957" w:customStyle="1">
    <w:name w:val="标题 4 字符"/>
    <w:link w:val="849"/>
    <w:uiPriority w:val="9"/>
    <w:qFormat/>
    <w:rPr>
      <w:rFonts w:ascii="Arial" w:hAnsi="Arial" w:eastAsia="Arial" w:cs="Arial"/>
      <w:b/>
      <w:bCs/>
      <w:sz w:val="26"/>
      <w:szCs w:val="26"/>
    </w:rPr>
  </w:style>
  <w:style w:type="character" w:styleId="958" w:customStyle="1">
    <w:name w:val="标题 5 字符"/>
    <w:link w:val="850"/>
    <w:uiPriority w:val="9"/>
    <w:qFormat/>
    <w:rPr>
      <w:rFonts w:ascii="Arial" w:hAnsi="Arial" w:eastAsia="Arial" w:cs="Arial"/>
      <w:b/>
      <w:bCs/>
      <w:sz w:val="24"/>
      <w:szCs w:val="24"/>
    </w:rPr>
  </w:style>
  <w:style w:type="character" w:styleId="959" w:customStyle="1">
    <w:name w:val="标题 6 字符"/>
    <w:link w:val="851"/>
    <w:uiPriority w:val="9"/>
    <w:qFormat/>
    <w:rPr>
      <w:rFonts w:ascii="Arial" w:hAnsi="Arial" w:eastAsia="Arial" w:cs="Arial"/>
      <w:b/>
      <w:bCs/>
      <w:sz w:val="22"/>
      <w:szCs w:val="22"/>
    </w:rPr>
  </w:style>
  <w:style w:type="character" w:styleId="960" w:customStyle="1">
    <w:name w:val="标题 7 字符"/>
    <w:link w:val="852"/>
    <w:uiPriority w:val="9"/>
    <w:qFormat/>
    <w:rPr>
      <w:rFonts w:ascii="Arial" w:hAnsi="Arial" w:eastAsia="Arial" w:cs="Arial"/>
      <w:b/>
      <w:bCs/>
      <w:i/>
      <w:iCs/>
      <w:sz w:val="22"/>
      <w:szCs w:val="22"/>
    </w:rPr>
  </w:style>
  <w:style w:type="character" w:styleId="961" w:customStyle="1">
    <w:name w:val="标题 8 字符"/>
    <w:link w:val="853"/>
    <w:uiPriority w:val="9"/>
    <w:qFormat/>
    <w:rPr>
      <w:rFonts w:ascii="Arial" w:hAnsi="Arial" w:eastAsia="Arial" w:cs="Arial"/>
      <w:i/>
      <w:iCs/>
      <w:sz w:val="22"/>
      <w:szCs w:val="22"/>
    </w:rPr>
  </w:style>
  <w:style w:type="character" w:styleId="962" w:customStyle="1">
    <w:name w:val="标题 9 字符"/>
    <w:link w:val="854"/>
    <w:uiPriority w:val="9"/>
    <w:qFormat/>
    <w:rPr>
      <w:rFonts w:ascii="Arial" w:hAnsi="Arial" w:eastAsia="Arial" w:cs="Arial"/>
      <w:i/>
      <w:iCs/>
      <w:sz w:val="21"/>
      <w:szCs w:val="21"/>
    </w:rPr>
  </w:style>
  <w:style w:type="character" w:styleId="963" w:customStyle="1">
    <w:name w:val="标题 字符"/>
    <w:link w:val="888"/>
    <w:uiPriority w:val="10"/>
    <w:qFormat/>
    <w:rPr>
      <w:sz w:val="48"/>
      <w:szCs w:val="48"/>
    </w:rPr>
  </w:style>
  <w:style w:type="character" w:styleId="964" w:customStyle="1">
    <w:name w:val="副标题 字符"/>
    <w:link w:val="880"/>
    <w:uiPriority w:val="11"/>
    <w:qFormat/>
    <w:rPr>
      <w:sz w:val="24"/>
      <w:szCs w:val="24"/>
    </w:rPr>
  </w:style>
  <w:style w:type="paragraph" w:styleId="965">
    <w:name w:val="Quote"/>
    <w:basedOn w:val="845"/>
    <w:next w:val="845"/>
    <w:link w:val="966"/>
    <w:uiPriority w:val="29"/>
    <w:qFormat/>
    <w:pPr>
      <w:ind w:left="720" w:right="720"/>
    </w:pPr>
    <w:rPr>
      <w:i/>
    </w:rPr>
  </w:style>
  <w:style w:type="character" w:styleId="966" w:customStyle="1">
    <w:name w:val="引用 字符"/>
    <w:link w:val="965"/>
    <w:uiPriority w:val="29"/>
    <w:qFormat/>
    <w:rPr>
      <w:i/>
    </w:rPr>
  </w:style>
  <w:style w:type="paragraph" w:styleId="967">
    <w:name w:val="Intense Quote"/>
    <w:basedOn w:val="845"/>
    <w:next w:val="845"/>
    <w:link w:val="9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明显引用 字符"/>
    <w:link w:val="967"/>
    <w:uiPriority w:val="30"/>
    <w:qFormat/>
    <w:rPr>
      <w:i/>
    </w:rPr>
  </w:style>
  <w:style w:type="character" w:styleId="969" w:customStyle="1">
    <w:name w:val="页眉 字符"/>
    <w:link w:val="877"/>
    <w:uiPriority w:val="99"/>
    <w:qFormat/>
  </w:style>
  <w:style w:type="character" w:styleId="970" w:customStyle="1">
    <w:name w:val="Footer Char"/>
    <w:uiPriority w:val="99"/>
    <w:qFormat/>
  </w:style>
  <w:style w:type="character" w:styleId="971" w:customStyle="1">
    <w:name w:val="页脚 字符"/>
    <w:link w:val="875"/>
    <w:uiPriority w:val="99"/>
    <w:qFormat/>
  </w:style>
  <w:style w:type="table" w:styleId="9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8" w:customStyle="1">
    <w:name w:val="脚注文本 字符"/>
    <w:link w:val="881"/>
    <w:uiPriority w:val="99"/>
    <w:qFormat/>
    <w:rPr>
      <w:sz w:val="18"/>
    </w:rPr>
  </w:style>
  <w:style w:type="character" w:styleId="1079" w:customStyle="1">
    <w:name w:val="尾注文本 字符"/>
    <w:link w:val="873"/>
    <w:uiPriority w:val="99"/>
    <w:qFormat/>
    <w:rPr>
      <w:sz w:val="20"/>
    </w:rPr>
  </w:style>
  <w:style w:type="paragraph" w:styleId="1080" w:customStyle="1">
    <w:name w:val="TOC 标题11"/>
    <w:uiPriority w:val="39"/>
    <w:unhideWhenUsed/>
    <w:qFormat/>
    <w:rPr>
      <w:rFonts w:ascii="Times New Roman" w:hAnsi="Times New Roman" w:eastAsia="宋体" w:cs="Times New Roman"/>
      <w:lang w:val="en-US" w:eastAsia="zh-CN" w:bidi="ar-SA"/>
    </w:rPr>
  </w:style>
  <w:style w:type="paragraph" w:styleId="1081" w:customStyle="1">
    <w:name w:val="标题 11"/>
    <w:basedOn w:val="845"/>
    <w:next w:val="845"/>
    <w:uiPriority w:val="0"/>
    <w:qFormat/>
    <w:pPr>
      <w:keepLines/>
      <w:keepNext/>
      <w:spacing w:before="340" w:after="330" w:line="578" w:lineRule="auto"/>
      <w:outlineLvl w:val="0"/>
    </w:pPr>
    <w:rPr>
      <w:b/>
      <w:sz w:val="44"/>
    </w:rPr>
  </w:style>
  <w:style w:type="paragraph" w:styleId="1082" w:customStyle="1">
    <w:name w:val="标题 21"/>
    <w:basedOn w:val="845"/>
    <w:next w:val="845"/>
    <w:link w:val="1090"/>
    <w:uiPriority w:val="0"/>
    <w:qFormat/>
    <w:pPr>
      <w:keepLines/>
      <w:keepNext/>
      <w:spacing w:before="260" w:after="260" w:line="416" w:lineRule="auto"/>
      <w:outlineLvl w:val="1"/>
    </w:pPr>
    <w:rPr>
      <w:rFonts w:ascii="Cambria" w:hAnsi="Cambria" w:eastAsia="宋体"/>
      <w:b/>
      <w:bCs/>
      <w:sz w:val="32"/>
      <w:szCs w:val="32"/>
    </w:rPr>
  </w:style>
  <w:style w:type="paragraph" w:styleId="1083" w:customStyle="1">
    <w:name w:val="标题 31"/>
    <w:basedOn w:val="845"/>
    <w:next w:val="845"/>
    <w:link w:val="1091"/>
    <w:uiPriority w:val="0"/>
    <w:qFormat/>
    <w:pPr>
      <w:keepLines/>
      <w:keepNext/>
      <w:spacing w:before="260" w:after="260" w:line="416" w:lineRule="auto"/>
      <w:outlineLvl w:val="2"/>
    </w:pPr>
    <w:rPr>
      <w:b/>
      <w:bCs/>
      <w:sz w:val="32"/>
      <w:szCs w:val="32"/>
    </w:rPr>
  </w:style>
  <w:style w:type="paragraph" w:styleId="1084" w:customStyle="1">
    <w:name w:val="标题 41"/>
    <w:basedOn w:val="845"/>
    <w:next w:val="845"/>
    <w:link w:val="1092"/>
    <w:uiPriority w:val="0"/>
    <w:qFormat/>
    <w:pPr>
      <w:keepLines/>
      <w:keepNext/>
      <w:spacing w:before="280" w:after="290" w:line="376" w:lineRule="auto"/>
      <w:outlineLvl w:val="3"/>
    </w:pPr>
    <w:rPr>
      <w:rFonts w:ascii="Cambria" w:hAnsi="Cambria" w:eastAsia="宋体"/>
      <w:b/>
      <w:bCs/>
      <w:sz w:val="28"/>
      <w:szCs w:val="28"/>
    </w:rPr>
  </w:style>
  <w:style w:type="paragraph" w:styleId="1085" w:customStyle="1">
    <w:name w:val="标题 51"/>
    <w:basedOn w:val="845"/>
    <w:next w:val="845"/>
    <w:link w:val="1093"/>
    <w:uiPriority w:val="0"/>
    <w:qFormat/>
    <w:pPr>
      <w:jc w:val="center"/>
      <w:keepLines/>
      <w:keepNext/>
      <w:outlineLvl w:val="4"/>
    </w:pPr>
    <w:rPr>
      <w:rFonts w:eastAsia="宋体"/>
      <w:b/>
      <w:bCs/>
      <w:sz w:val="28"/>
      <w:szCs w:val="28"/>
    </w:rPr>
  </w:style>
  <w:style w:type="character" w:styleId="1086" w:customStyle="1">
    <w:name w:val="默认段落字体1"/>
    <w:uiPriority w:val="1"/>
    <w:unhideWhenUsed/>
    <w:qFormat/>
  </w:style>
  <w:style w:type="table" w:styleId="1087" w:customStyle="1">
    <w:name w:val="普通表格1"/>
    <w:uiPriority w:val="99"/>
    <w:unhideWhenUsed/>
    <w:qFormat/>
    <w:tblPr>
      <w:tblCellMar>
        <w:left w:w="0" w:type="dxa"/>
        <w:top w:w="0" w:type="dxa"/>
        <w:right w:w="0" w:type="dxa"/>
        <w:bottom w:w="0" w:type="dxa"/>
      </w:tblCellMar>
    </w:tblPr>
  </w:style>
  <w:style w:type="paragraph" w:styleId="1088" w:customStyle="1">
    <w:name w:val="DAS正文"/>
    <w:basedOn w:val="845"/>
    <w:uiPriority w:val="0"/>
    <w:qFormat/>
    <w:pPr>
      <w:ind w:right="181" w:firstLine="480"/>
      <w:spacing w:line="360" w:lineRule="auto"/>
    </w:pPr>
    <w:rPr>
      <w:rFonts w:ascii="Verdana" w:hAnsi="Verdana"/>
      <w:sz w:val="24"/>
      <w:szCs w:val="24"/>
    </w:rPr>
  </w:style>
  <w:style w:type="character" w:styleId="1089" w:customStyle="1">
    <w:name w:val="标题 1 字符"/>
    <w:link w:val="846"/>
    <w:uiPriority w:val="9"/>
    <w:qFormat/>
    <w:rPr>
      <w:rFonts w:ascii="宋体" w:hAnsi="宋体" w:eastAsia="宋体" w:cs="宋体"/>
      <w:b/>
      <w:spacing w:val="15"/>
      <w:sz w:val="32"/>
      <w:szCs w:val="32"/>
      <w:lang w:val="en-US" w:eastAsia="zh-CN" w:bidi="ar-SA"/>
    </w:rPr>
  </w:style>
  <w:style w:type="character" w:styleId="1090" w:customStyle="1">
    <w:name w:val="标题 2 Char"/>
    <w:link w:val="1082"/>
    <w:uiPriority w:val="0"/>
    <w:qFormat/>
    <w:rPr>
      <w:rFonts w:ascii="Cambria" w:hAnsi="Cambria" w:eastAsia="宋体" w:cs="Times New Roman"/>
      <w:b/>
      <w:bCs/>
      <w:sz w:val="32"/>
      <w:szCs w:val="32"/>
    </w:rPr>
  </w:style>
  <w:style w:type="character" w:styleId="1091" w:customStyle="1">
    <w:name w:val="标题 3 Char"/>
    <w:link w:val="1083"/>
    <w:uiPriority w:val="0"/>
    <w:qFormat/>
    <w:rPr>
      <w:rFonts w:eastAsia="楷体_GB2312"/>
      <w:b/>
      <w:bCs/>
      <w:sz w:val="32"/>
      <w:szCs w:val="32"/>
    </w:rPr>
  </w:style>
  <w:style w:type="character" w:styleId="1092" w:customStyle="1">
    <w:name w:val="标题 4 Char"/>
    <w:link w:val="1084"/>
    <w:uiPriority w:val="0"/>
    <w:qFormat/>
    <w:rPr>
      <w:rFonts w:ascii="Cambria" w:hAnsi="Cambria" w:eastAsia="宋体" w:cs="Times New Roman"/>
      <w:b/>
      <w:bCs/>
      <w:sz w:val="28"/>
      <w:szCs w:val="28"/>
    </w:rPr>
  </w:style>
  <w:style w:type="character" w:styleId="1093" w:customStyle="1">
    <w:name w:val="标题 5 Char"/>
    <w:link w:val="1085"/>
    <w:uiPriority w:val="0"/>
    <w:qFormat/>
    <w:rPr>
      <w:b/>
      <w:bCs/>
      <w:sz w:val="28"/>
      <w:szCs w:val="28"/>
    </w:rPr>
  </w:style>
  <w:style w:type="paragraph" w:styleId="1094" w:customStyle="1">
    <w:name w:val="正文缩进1"/>
    <w:basedOn w:val="845"/>
    <w:next w:val="845"/>
    <w:link w:val="1095"/>
    <w:uiPriority w:val="0"/>
    <w:unhideWhenUsed/>
    <w:qFormat/>
    <w:pPr>
      <w:ind w:firstLine="420"/>
      <w:jc w:val="left"/>
    </w:pPr>
    <w:rPr>
      <w:sz w:val="24"/>
    </w:rPr>
  </w:style>
  <w:style w:type="character" w:styleId="1095" w:customStyle="1">
    <w:name w:val="正文缩进 Char"/>
    <w:link w:val="1094"/>
    <w:uiPriority w:val="0"/>
    <w:qFormat/>
    <w:rPr>
      <w:rFonts w:eastAsia="楷体_GB2312"/>
      <w:sz w:val="24"/>
    </w:rPr>
  </w:style>
  <w:style w:type="paragraph" w:styleId="1096" w:customStyle="1">
    <w:name w:val="文档结构图1"/>
    <w:basedOn w:val="845"/>
    <w:link w:val="1097"/>
    <w:uiPriority w:val="0"/>
    <w:unhideWhenUsed/>
    <w:qFormat/>
    <w:pPr>
      <w:shd w:val="clear" w:color="auto" w:fill="000080"/>
    </w:pPr>
    <w:rPr>
      <w:rFonts w:eastAsia="宋体"/>
      <w:sz w:val="21"/>
      <w:szCs w:val="24"/>
    </w:rPr>
  </w:style>
  <w:style w:type="character" w:styleId="1097" w:customStyle="1">
    <w:name w:val="文档结构图 Char"/>
    <w:link w:val="1096"/>
    <w:uiPriority w:val="0"/>
    <w:qFormat/>
    <w:rPr>
      <w:sz w:val="21"/>
      <w:szCs w:val="24"/>
      <w:shd w:val="clear" w:color="auto" w:fill="000080"/>
    </w:rPr>
  </w:style>
  <w:style w:type="paragraph" w:styleId="1098" w:customStyle="1">
    <w:name w:val="批注文字1"/>
    <w:basedOn w:val="845"/>
    <w:link w:val="1099"/>
    <w:uiPriority w:val="0"/>
    <w:qFormat/>
    <w:pPr>
      <w:jc w:val="left"/>
    </w:pPr>
  </w:style>
  <w:style w:type="character" w:styleId="1099" w:customStyle="1">
    <w:name w:val="批注文字 Char"/>
    <w:link w:val="1098"/>
    <w:uiPriority w:val="0"/>
    <w:qFormat/>
    <w:rPr>
      <w:rFonts w:eastAsia="楷体_GB2312"/>
      <w:sz w:val="26"/>
    </w:rPr>
  </w:style>
  <w:style w:type="paragraph" w:styleId="1100" w:customStyle="1">
    <w:name w:val="正文文本 31"/>
    <w:basedOn w:val="845"/>
    <w:link w:val="1101"/>
    <w:uiPriority w:val="0"/>
    <w:unhideWhenUsed/>
    <w:qFormat/>
    <w:pPr>
      <w:jc w:val="center"/>
    </w:pPr>
    <w:rPr>
      <w:rFonts w:ascii="宋体" w:hAnsi="宋体"/>
    </w:rPr>
  </w:style>
  <w:style w:type="character" w:styleId="1101" w:customStyle="1">
    <w:name w:val="正文文本 3 Char"/>
    <w:link w:val="1100"/>
    <w:uiPriority w:val="0"/>
    <w:qFormat/>
    <w:rPr>
      <w:rFonts w:ascii="宋体" w:hAnsi="宋体" w:eastAsia="楷体_GB2312"/>
      <w:sz w:val="26"/>
    </w:rPr>
  </w:style>
  <w:style w:type="character" w:styleId="1102" w:customStyle="1">
    <w:name w:val="正文文本 Char1"/>
    <w:link w:val="909"/>
    <w:uiPriority w:val="0"/>
    <w:qFormat/>
    <w:rPr>
      <w:rFonts w:ascii="楷体_GB2312" w:eastAsia="楷体_GB2312"/>
      <w:b/>
      <w:bCs/>
      <w:sz w:val="28"/>
    </w:rPr>
  </w:style>
  <w:style w:type="character" w:styleId="1103" w:customStyle="1">
    <w:name w:val="正文文本缩进 Char"/>
    <w:link w:val="910"/>
    <w:uiPriority w:val="0"/>
    <w:qFormat/>
    <w:rPr>
      <w:rFonts w:ascii="宋体"/>
      <w:sz w:val="28"/>
    </w:rPr>
  </w:style>
  <w:style w:type="paragraph" w:styleId="1104" w:customStyle="1">
    <w:name w:val="目录 31"/>
    <w:basedOn w:val="845"/>
    <w:next w:val="845"/>
    <w:uiPriority w:val="0"/>
    <w:qFormat/>
    <w:pPr>
      <w:ind w:left="359"/>
      <w:tabs>
        <w:tab w:val="right" w:pos="8302" w:leader="dot"/>
      </w:tabs>
    </w:pPr>
    <w:rPr>
      <w:rFonts w:eastAsia="宋体"/>
      <w:sz w:val="21"/>
      <w:szCs w:val="24"/>
    </w:rPr>
  </w:style>
  <w:style w:type="paragraph" w:styleId="1105" w:customStyle="1">
    <w:name w:val="纯文本1111"/>
    <w:basedOn w:val="845"/>
    <w:next w:val="1106"/>
    <w:link w:val="1107"/>
    <w:uiPriority w:val="0"/>
    <w:unhideWhenUsed/>
    <w:qFormat/>
    <w:rPr>
      <w:rFonts w:ascii="宋体" w:hAnsi="Courier New"/>
    </w:rPr>
  </w:style>
  <w:style w:type="paragraph" w:styleId="1106" w:customStyle="1">
    <w:name w:val="正文缩进11"/>
    <w:basedOn w:val="845"/>
    <w:uiPriority w:val="0"/>
    <w:unhideWhenUsed/>
    <w:qFormat/>
    <w:pPr>
      <w:ind w:firstLine="420"/>
      <w:jc w:val="left"/>
    </w:pPr>
    <w:rPr>
      <w:sz w:val="24"/>
    </w:rPr>
  </w:style>
  <w:style w:type="character" w:styleId="1107" w:customStyle="1">
    <w:name w:val="纯文本 Char"/>
    <w:link w:val="1105"/>
    <w:uiPriority w:val="0"/>
    <w:qFormat/>
    <w:rPr>
      <w:rFonts w:ascii="宋体" w:hAnsi="Courier New" w:eastAsia="楷体_GB2312"/>
      <w:sz w:val="26"/>
    </w:rPr>
  </w:style>
  <w:style w:type="paragraph" w:styleId="1108" w:customStyle="1">
    <w:name w:val="日期1"/>
    <w:basedOn w:val="845"/>
    <w:next w:val="845"/>
    <w:link w:val="1109"/>
    <w:uiPriority w:val="0"/>
    <w:unhideWhenUsed/>
    <w:qFormat/>
    <w:rPr>
      <w:rFonts w:ascii="宋体" w:hAnsi="宋体"/>
      <w:sz w:val="24"/>
    </w:rPr>
  </w:style>
  <w:style w:type="character" w:styleId="1109" w:customStyle="1">
    <w:name w:val="日期 Char"/>
    <w:link w:val="1108"/>
    <w:uiPriority w:val="0"/>
    <w:qFormat/>
    <w:rPr>
      <w:rFonts w:ascii="宋体" w:hAnsi="宋体" w:eastAsia="楷体_GB2312"/>
      <w:sz w:val="24"/>
    </w:rPr>
  </w:style>
  <w:style w:type="paragraph" w:styleId="1110" w:customStyle="1">
    <w:name w:val="正文文本缩进 21"/>
    <w:basedOn w:val="845"/>
    <w:link w:val="1111"/>
    <w:uiPriority w:val="0"/>
    <w:unhideWhenUsed/>
    <w:qFormat/>
    <w:pPr>
      <w:ind w:left="420"/>
      <w:spacing w:after="120" w:line="480" w:lineRule="auto"/>
    </w:pPr>
  </w:style>
  <w:style w:type="character" w:styleId="1111" w:customStyle="1">
    <w:name w:val="正文文本缩进 2 Char"/>
    <w:link w:val="1110"/>
    <w:uiPriority w:val="0"/>
    <w:qFormat/>
    <w:rPr>
      <w:rFonts w:eastAsia="楷体_GB2312"/>
      <w:sz w:val="26"/>
    </w:rPr>
  </w:style>
  <w:style w:type="paragraph" w:styleId="1112" w:customStyle="1">
    <w:name w:val="尾注文本1"/>
    <w:basedOn w:val="845"/>
    <w:link w:val="1113"/>
    <w:uiPriority w:val="0"/>
    <w:unhideWhenUsed/>
    <w:qFormat/>
    <w:pPr>
      <w:jc w:val="left"/>
    </w:pPr>
    <w:rPr>
      <w:rFonts w:ascii="宋体" w:hAnsi="宋体" w:eastAsia="宋体"/>
      <w:sz w:val="21"/>
      <w:szCs w:val="24"/>
    </w:rPr>
  </w:style>
  <w:style w:type="character" w:styleId="1113" w:customStyle="1">
    <w:name w:val="尾注文本 Char"/>
    <w:link w:val="1112"/>
    <w:uiPriority w:val="0"/>
    <w:qFormat/>
    <w:rPr>
      <w:rFonts w:ascii="宋体" w:hAnsi="宋体"/>
      <w:sz w:val="21"/>
      <w:szCs w:val="24"/>
    </w:rPr>
  </w:style>
  <w:style w:type="paragraph" w:styleId="1114" w:customStyle="1">
    <w:name w:val="批注框文本1"/>
    <w:basedOn w:val="845"/>
    <w:link w:val="1115"/>
    <w:uiPriority w:val="0"/>
    <w:qFormat/>
    <w:rPr>
      <w:sz w:val="18"/>
      <w:szCs w:val="18"/>
    </w:rPr>
  </w:style>
  <w:style w:type="character" w:styleId="1115" w:customStyle="1">
    <w:name w:val="批注框文本 Char"/>
    <w:link w:val="1114"/>
    <w:uiPriority w:val="0"/>
    <w:qFormat/>
    <w:rPr>
      <w:rFonts w:eastAsia="楷体_GB2312"/>
      <w:sz w:val="18"/>
      <w:szCs w:val="18"/>
    </w:rPr>
  </w:style>
  <w:style w:type="paragraph" w:styleId="1116" w:customStyle="1">
    <w:name w:val="页脚1"/>
    <w:basedOn w:val="845"/>
    <w:link w:val="1117"/>
    <w:uiPriority w:val="0"/>
    <w:unhideWhenUsed/>
    <w:qFormat/>
    <w:pPr>
      <w:jc w:val="left"/>
      <w:tabs>
        <w:tab w:val="center" w:pos="4153" w:leader="none"/>
        <w:tab w:val="right" w:pos="8306" w:leader="none"/>
      </w:tabs>
    </w:pPr>
    <w:rPr>
      <w:sz w:val="18"/>
    </w:rPr>
  </w:style>
  <w:style w:type="character" w:styleId="1117" w:customStyle="1">
    <w:name w:val="页脚 Char"/>
    <w:link w:val="1116"/>
    <w:uiPriority w:val="0"/>
    <w:qFormat/>
    <w:rPr>
      <w:rFonts w:eastAsia="楷体_GB2312"/>
      <w:sz w:val="18"/>
    </w:rPr>
  </w:style>
  <w:style w:type="paragraph" w:styleId="1118" w:customStyle="1">
    <w:name w:val="页眉1"/>
    <w:basedOn w:val="845"/>
    <w:link w:val="1119"/>
    <w:uiPriority w:val="0"/>
    <w:unhideWhenUsed/>
    <w:qFormat/>
    <w:pPr>
      <w:jc w:val="center"/>
      <w:tabs>
        <w:tab w:val="center" w:pos="4153" w:leader="none"/>
        <w:tab w:val="right" w:pos="8306" w:leader="none"/>
      </w:tabs>
      <w:pBdr>
        <w:bottom w:val="single" w:color="000000" w:sz="6" w:space="1"/>
      </w:pBdr>
    </w:pPr>
    <w:rPr>
      <w:sz w:val="18"/>
    </w:rPr>
  </w:style>
  <w:style w:type="character" w:styleId="1119" w:customStyle="1">
    <w:name w:val="页眉 Char"/>
    <w:link w:val="1118"/>
    <w:uiPriority w:val="0"/>
    <w:qFormat/>
    <w:rPr>
      <w:rFonts w:eastAsia="楷体_GB2312"/>
      <w:sz w:val="18"/>
    </w:rPr>
  </w:style>
  <w:style w:type="paragraph" w:styleId="1120" w:customStyle="1">
    <w:name w:val="目录 11"/>
    <w:basedOn w:val="845"/>
    <w:next w:val="845"/>
    <w:uiPriority w:val="0"/>
    <w:unhideWhenUsed/>
    <w:qFormat/>
    <w:pPr>
      <w:jc w:val="left"/>
    </w:pPr>
    <w:rPr>
      <w:sz w:val="24"/>
    </w:rPr>
  </w:style>
  <w:style w:type="paragraph" w:styleId="1121" w:customStyle="1">
    <w:name w:val="副标题1"/>
    <w:basedOn w:val="845"/>
    <w:link w:val="1122"/>
    <w:uiPriority w:val="0"/>
    <w:qFormat/>
    <w:pPr>
      <w:jc w:val="center"/>
      <w:spacing w:before="240" w:after="60" w:line="312" w:lineRule="auto"/>
      <w:outlineLvl w:val="1"/>
    </w:pPr>
    <w:rPr>
      <w:rFonts w:ascii="Arial" w:hAnsi="Arial" w:eastAsia="宋体"/>
      <w:b/>
      <w:bCs/>
      <w:sz w:val="32"/>
      <w:szCs w:val="32"/>
    </w:rPr>
  </w:style>
  <w:style w:type="character" w:styleId="1122" w:customStyle="1">
    <w:name w:val="副标题 Char"/>
    <w:link w:val="1121"/>
    <w:uiPriority w:val="0"/>
    <w:qFormat/>
    <w:rPr>
      <w:rFonts w:ascii="Arial" w:hAnsi="Arial" w:cs="Arial"/>
      <w:b/>
      <w:bCs/>
      <w:sz w:val="32"/>
      <w:szCs w:val="32"/>
    </w:rPr>
  </w:style>
  <w:style w:type="paragraph" w:styleId="1123" w:customStyle="1">
    <w:name w:val="目录 21"/>
    <w:basedOn w:val="845"/>
    <w:next w:val="845"/>
    <w:uiPriority w:val="0"/>
    <w:unhideWhenUsed/>
    <w:qFormat/>
    <w:pPr>
      <w:ind w:left="420"/>
    </w:pPr>
  </w:style>
  <w:style w:type="paragraph" w:styleId="1124" w:customStyle="1">
    <w:name w:val="目录 91"/>
    <w:basedOn w:val="845"/>
    <w:next w:val="845"/>
    <w:uiPriority w:val="0"/>
    <w:semiHidden/>
    <w:qFormat/>
    <w:pPr>
      <w:ind w:left="3360"/>
    </w:pPr>
  </w:style>
  <w:style w:type="paragraph" w:styleId="1125" w:customStyle="1">
    <w:name w:val="普通(网站)1"/>
    <w:basedOn w:val="845"/>
    <w:uiPriority w:val="0"/>
    <w:unhideWhenUsed/>
    <w:qFormat/>
    <w:pPr>
      <w:jc w:val="left"/>
      <w:spacing w:before="100" w:beforeAutospacing="1" w:after="100" w:afterAutospacing="1"/>
      <w:widowControl/>
    </w:pPr>
    <w:rPr>
      <w:rFonts w:ascii="宋体" w:hAnsi="宋体" w:cs="宋体"/>
      <w:sz w:val="24"/>
    </w:rPr>
  </w:style>
  <w:style w:type="paragraph" w:styleId="1126" w:customStyle="1">
    <w:name w:val="索引 11"/>
    <w:basedOn w:val="845"/>
    <w:next w:val="845"/>
    <w:uiPriority w:val="0"/>
    <w:unhideWhenUsed/>
    <w:qFormat/>
    <w:pPr>
      <w:jc w:val="center"/>
      <w:spacing w:line="220" w:lineRule="exact"/>
    </w:pPr>
    <w:rPr>
      <w:rFonts w:ascii="仿宋_GB2312" w:eastAsia="仿宋_GB2312"/>
      <w:szCs w:val="21"/>
    </w:rPr>
  </w:style>
  <w:style w:type="paragraph" w:styleId="1127" w:customStyle="1">
    <w:name w:val="标题1"/>
    <w:basedOn w:val="845"/>
    <w:link w:val="1128"/>
    <w:uiPriority w:val="10"/>
    <w:qFormat/>
    <w:pPr>
      <w:jc w:val="center"/>
      <w:spacing w:before="240" w:after="60"/>
      <w:outlineLvl w:val="0"/>
    </w:pPr>
    <w:rPr>
      <w:rFonts w:ascii="Arial" w:hAnsi="Arial" w:eastAsia="宋体"/>
      <w:b/>
      <w:bCs/>
      <w:sz w:val="32"/>
      <w:szCs w:val="32"/>
    </w:rPr>
  </w:style>
  <w:style w:type="character" w:styleId="1128" w:customStyle="1">
    <w:name w:val="标题 Char"/>
    <w:link w:val="1127"/>
    <w:uiPriority w:val="10"/>
    <w:qFormat/>
    <w:rPr>
      <w:rFonts w:ascii="Arial" w:hAnsi="Arial"/>
      <w:b/>
      <w:bCs/>
      <w:sz w:val="32"/>
      <w:szCs w:val="32"/>
    </w:rPr>
  </w:style>
  <w:style w:type="paragraph" w:styleId="1129" w:customStyle="1">
    <w:name w:val="批注主题1"/>
    <w:basedOn w:val="1098"/>
    <w:next w:val="1098"/>
    <w:link w:val="1130"/>
    <w:uiPriority w:val="99"/>
    <w:qFormat/>
    <w:rPr>
      <w:b/>
      <w:bCs/>
    </w:rPr>
  </w:style>
  <w:style w:type="character" w:styleId="1130" w:customStyle="1">
    <w:name w:val="批注主题 Char"/>
    <w:link w:val="1129"/>
    <w:uiPriority w:val="99"/>
    <w:qFormat/>
    <w:rPr>
      <w:b/>
      <w:bCs/>
    </w:rPr>
  </w:style>
  <w:style w:type="paragraph" w:styleId="1131" w:customStyle="1">
    <w:name w:val="正文首行缩进1"/>
    <w:basedOn w:val="909"/>
    <w:link w:val="1132"/>
    <w:uiPriority w:val="0"/>
    <w:unhideWhenUsed/>
    <w:qFormat/>
    <w:pPr>
      <w:ind w:firstLine="420"/>
      <w:spacing w:after="120"/>
    </w:pPr>
    <w:rPr>
      <w:rFonts w:ascii="Times New Roman" w:eastAsia="宋体"/>
      <w:b w:val="0"/>
      <w:bCs w:val="0"/>
      <w:sz w:val="21"/>
      <w:szCs w:val="24"/>
    </w:rPr>
  </w:style>
  <w:style w:type="character" w:styleId="1132" w:customStyle="1">
    <w:name w:val="正文首行缩进 Char"/>
    <w:link w:val="1131"/>
    <w:uiPriority w:val="0"/>
    <w:qFormat/>
  </w:style>
  <w:style w:type="character" w:styleId="1133" w:customStyle="1">
    <w:name w:val="正文文本 Char"/>
    <w:uiPriority w:val="0"/>
    <w:qFormat/>
    <w:rPr>
      <w:sz w:val="21"/>
      <w:szCs w:val="24"/>
    </w:rPr>
  </w:style>
  <w:style w:type="paragraph" w:styleId="1134" w:customStyle="1">
    <w:name w:val="正文首行缩进 21"/>
    <w:basedOn w:val="910"/>
    <w:next w:val="1135"/>
    <w:uiPriority w:val="99"/>
    <w:unhideWhenUsed/>
    <w:qFormat/>
    <w:pPr>
      <w:ind w:firstLine="420"/>
    </w:pPr>
  </w:style>
  <w:style w:type="paragraph" w:styleId="1135" w:customStyle="1">
    <w:name w:val="正文11"/>
    <w:next w:val="1134"/>
    <w:uiPriority w:val="0"/>
    <w:qFormat/>
    <w:pPr>
      <w:jc w:val="both"/>
      <w:widowControl w:val="off"/>
    </w:pPr>
    <w:rPr>
      <w:rFonts w:ascii="Times New Roman" w:hAnsi="Times New Roman" w:eastAsia="宋体" w:cs="Times New Roman"/>
      <w:sz w:val="21"/>
      <w:szCs w:val="22"/>
      <w:lang w:val="en-US" w:eastAsia="zh-CN" w:bidi="ar-SA"/>
    </w:rPr>
  </w:style>
  <w:style w:type="table" w:styleId="1136" w:customStyle="1">
    <w:name w:val="网格型1"/>
    <w:basedOn w:val="1087"/>
    <w:uiPriority w:val="0"/>
    <w:unhideWhenUsed/>
    <w:qFormat/>
    <w:pPr>
      <w:jc w:val="both"/>
      <w:widowControl w:val="off"/>
    </w:pPr>
    <w:tblPr/>
  </w:style>
  <w:style w:type="character" w:styleId="1137" w:customStyle="1">
    <w:name w:val="要点1"/>
    <w:uiPriority w:val="0"/>
    <w:qFormat/>
    <w:rPr>
      <w:b/>
      <w:bCs/>
    </w:rPr>
  </w:style>
  <w:style w:type="character" w:styleId="1138" w:customStyle="1">
    <w:name w:val="页码1"/>
    <w:uiPriority w:val="0"/>
    <w:unhideWhenUsed/>
    <w:qFormat/>
  </w:style>
  <w:style w:type="character" w:styleId="1139" w:customStyle="1">
    <w:name w:val="访问过的超链接1"/>
    <w:uiPriority w:val="0"/>
    <w:qFormat/>
    <w:rPr>
      <w:rFonts w:ascii="微软雅黑" w:hAnsi="微软雅黑" w:eastAsia="微软雅黑" w:cs="微软雅黑"/>
      <w:color w:val="3d3d3d"/>
      <w:u w:val="none"/>
    </w:rPr>
  </w:style>
  <w:style w:type="character" w:styleId="1140" w:customStyle="1">
    <w:name w:val="超链接1"/>
    <w:uiPriority w:val="99"/>
    <w:unhideWhenUsed/>
    <w:qFormat/>
    <w:rPr>
      <w:rFonts w:hint="eastAsia" w:ascii="微软雅黑" w:hAnsi="微软雅黑" w:eastAsia="微软雅黑" w:cs="微软雅黑"/>
      <w:color w:val="3d3d3d"/>
      <w:u w:val="none"/>
    </w:rPr>
  </w:style>
  <w:style w:type="character" w:styleId="1141" w:customStyle="1">
    <w:name w:val="批注引用1"/>
    <w:uiPriority w:val="0"/>
    <w:qFormat/>
    <w:rPr>
      <w:sz w:val="21"/>
      <w:szCs w:val="21"/>
    </w:rPr>
  </w:style>
  <w:style w:type="character" w:styleId="1142" w:customStyle="1">
    <w:name w:val="font11"/>
    <w:uiPriority w:val="0"/>
    <w:qFormat/>
    <w:rPr>
      <w:rFonts w:hint="eastAsia" w:ascii="宋体" w:hAnsi="宋体" w:eastAsia="宋体" w:cs="宋体"/>
      <w:color w:val="000000"/>
      <w:sz w:val="20"/>
      <w:szCs w:val="20"/>
      <w:u w:val="none"/>
    </w:rPr>
  </w:style>
  <w:style w:type="character" w:styleId="1143" w:customStyle="1">
    <w:name w:val="z-窗体底端 Char"/>
    <w:link w:val="1144"/>
    <w:uiPriority w:val="0"/>
    <w:qFormat/>
    <w:rPr>
      <w:rFonts w:ascii="Arial" w:hAnsi="Arial" w:cs="Arial"/>
      <w:vanish/>
      <w:sz w:val="16"/>
      <w:szCs w:val="16"/>
    </w:rPr>
  </w:style>
  <w:style w:type="paragraph" w:styleId="1144" w:customStyle="1">
    <w:name w:val="z-窗体底端1"/>
    <w:basedOn w:val="845"/>
    <w:next w:val="845"/>
    <w:link w:val="1143"/>
    <w:uiPriority w:val="0"/>
    <w:unhideWhenUsed/>
    <w:qFormat/>
    <w:pPr>
      <w:jc w:val="center"/>
      <w:pBdr>
        <w:top w:val="single" w:color="000000" w:sz="6" w:space="1"/>
      </w:pBdr>
    </w:pPr>
    <w:rPr>
      <w:rFonts w:ascii="Arial" w:hAnsi="Arial" w:eastAsia="宋体" w:cs="Arial"/>
      <w:vanish/>
      <w:sz w:val="16"/>
      <w:szCs w:val="16"/>
    </w:rPr>
  </w:style>
  <w:style w:type="character" w:styleId="1145" w:customStyle="1">
    <w:name w:val="Char Char Char"/>
    <w:uiPriority w:val="0"/>
    <w:qFormat/>
    <w:rPr>
      <w:rFonts w:hint="eastAsia" w:ascii="黑体" w:hAnsi="黑体" w:eastAsia="黑体"/>
      <w:bCs/>
      <w:sz w:val="28"/>
      <w:szCs w:val="32"/>
      <w:lang w:val="en-US" w:eastAsia="zh-CN" w:bidi="ar-SA"/>
    </w:rPr>
  </w:style>
  <w:style w:type="character" w:styleId="1146" w:customStyle="1">
    <w:name w:val="尾注文本 Char1"/>
    <w:uiPriority w:val="99"/>
    <w:semiHidden/>
    <w:qFormat/>
    <w:rPr>
      <w:rFonts w:eastAsia="楷体_GB2312"/>
      <w:sz w:val="26"/>
    </w:rPr>
  </w:style>
  <w:style w:type="character" w:styleId="1147" w:customStyle="1">
    <w:name w:val="font01"/>
    <w:uiPriority w:val="0"/>
    <w:qFormat/>
    <w:rPr>
      <w:rFonts w:ascii="Calibri" w:hAnsi="Calibri" w:cs="Calibri"/>
      <w:color w:val="000000"/>
      <w:sz w:val="20"/>
      <w:szCs w:val="20"/>
      <w:u w:val="none"/>
    </w:rPr>
  </w:style>
  <w:style w:type="character" w:styleId="1148" w:customStyle="1">
    <w:name w:val="纯文本 Char Char"/>
    <w:uiPriority w:val="0"/>
    <w:qFormat/>
    <w:rPr>
      <w:rFonts w:ascii="宋体" w:hAnsi="Courier New" w:eastAsia="宋体" w:cs="Courier New"/>
      <w:sz w:val="21"/>
      <w:szCs w:val="21"/>
      <w:lang w:val="en-US" w:eastAsia="zh-CN" w:bidi="ar-SA"/>
    </w:rPr>
  </w:style>
  <w:style w:type="character" w:styleId="1149" w:customStyle="1">
    <w:name w:val="Plain Text Char Char"/>
    <w:link w:val="1150"/>
    <w:uiPriority w:val="0"/>
    <w:qFormat/>
    <w:rPr>
      <w:rFonts w:ascii="宋体" w:hAnsi="Courier New" w:eastAsia="楷体_GB2312"/>
      <w:sz w:val="26"/>
      <w:lang w:val="en-US" w:eastAsia="zh-CN" w:bidi="ar-SA"/>
    </w:rPr>
  </w:style>
  <w:style w:type="paragraph" w:styleId="1150" w:customStyle="1">
    <w:name w:val="纯文本1"/>
    <w:basedOn w:val="845"/>
    <w:link w:val="1149"/>
    <w:uiPriority w:val="0"/>
    <w:qFormat/>
    <w:rPr>
      <w:rFonts w:ascii="宋体" w:hAnsi="Courier New"/>
    </w:rPr>
  </w:style>
  <w:style w:type="character" w:styleId="1151" w:customStyle="1">
    <w:name w:val="样式 粉红"/>
    <w:uiPriority w:val="0"/>
    <w:qFormat/>
    <w:rPr>
      <w:color w:val="000000"/>
      <w:u w:val="none"/>
    </w:rPr>
  </w:style>
  <w:style w:type="character" w:styleId="1152" w:customStyle="1">
    <w:name w:val="Char Char5"/>
    <w:uiPriority w:val="0"/>
    <w:qFormat/>
    <w:rPr>
      <w:rFonts w:hint="eastAsia" w:ascii="黑体" w:hAnsi="黑体" w:eastAsia="黑体"/>
      <w:b/>
      <w:bCs/>
      <w:sz w:val="72"/>
      <w:szCs w:val="44"/>
      <w:lang w:val="en-US" w:eastAsia="zh-CN" w:bidi="ar-SA"/>
    </w:rPr>
  </w:style>
  <w:style w:type="character" w:styleId="1153" w:customStyle="1">
    <w:name w:val="文档结构图 Char1"/>
    <w:uiPriority w:val="99"/>
    <w:semiHidden/>
    <w:qFormat/>
    <w:rPr>
      <w:rFonts w:ascii="宋体"/>
      <w:sz w:val="18"/>
      <w:szCs w:val="18"/>
    </w:rPr>
  </w:style>
  <w:style w:type="character" w:styleId="1154" w:customStyle="1">
    <w:name w:val="font112"/>
    <w:uiPriority w:val="0"/>
    <w:qFormat/>
    <w:rPr>
      <w:rFonts w:hint="eastAsia" w:ascii="宋体" w:hAnsi="宋体" w:eastAsia="宋体" w:cs="宋体"/>
      <w:color w:val="000000"/>
      <w:sz w:val="20"/>
      <w:szCs w:val="20"/>
      <w:u w:val="none"/>
    </w:rPr>
  </w:style>
  <w:style w:type="character" w:styleId="1155" w:customStyle="1">
    <w:name w:val="Char Char1"/>
    <w:uiPriority w:val="0"/>
    <w:qFormat/>
    <w:rPr>
      <w:rFonts w:ascii="Arial" w:hAnsi="Arial" w:eastAsia="黑体"/>
      <w:b/>
      <w:bCs/>
      <w:sz w:val="32"/>
      <w:szCs w:val="32"/>
      <w:lang w:val="en-US" w:eastAsia="zh-CN" w:bidi="ar-SA"/>
    </w:rPr>
  </w:style>
  <w:style w:type="character" w:styleId="1156" w:customStyle="1">
    <w:name w:val="z-窗体顶端 Char1"/>
    <w:link w:val="1157"/>
    <w:uiPriority w:val="0"/>
    <w:qFormat/>
    <w:rPr>
      <w:rFonts w:ascii="Arial" w:hAnsi="Arial" w:cs="Arial"/>
      <w:vanish/>
      <w:sz w:val="16"/>
      <w:szCs w:val="16"/>
    </w:rPr>
  </w:style>
  <w:style w:type="paragraph" w:styleId="1157" w:customStyle="1">
    <w:name w:val="z-窗体顶端1"/>
    <w:basedOn w:val="845"/>
    <w:next w:val="845"/>
    <w:link w:val="1156"/>
    <w:uiPriority w:val="0"/>
    <w:qFormat/>
    <w:pPr>
      <w:jc w:val="center"/>
      <w:pBdr>
        <w:bottom w:val="single" w:color="000000" w:sz="6" w:space="1"/>
      </w:pBdr>
    </w:pPr>
    <w:rPr>
      <w:rFonts w:ascii="Arial" w:hAnsi="Arial" w:eastAsia="宋体" w:cs="Arial"/>
      <w:vanish/>
      <w:sz w:val="16"/>
      <w:szCs w:val="16"/>
    </w:rPr>
  </w:style>
  <w:style w:type="character" w:styleId="1158" w:customStyle="1">
    <w:name w:val="grame"/>
    <w:uiPriority w:val="0"/>
    <w:qFormat/>
  </w:style>
  <w:style w:type="character" w:styleId="1159" w:customStyle="1">
    <w:name w:val="Heading #1|1_"/>
    <w:link w:val="1160"/>
    <w:uiPriority w:val="0"/>
    <w:qFormat/>
    <w:rPr>
      <w:rFonts w:ascii="宋体" w:hAnsi="宋体" w:eastAsia="宋体" w:cs="宋体"/>
      <w:color w:val="fc5c77"/>
      <w:sz w:val="138"/>
      <w:szCs w:val="138"/>
      <w:lang w:val="zh-TW" w:eastAsia="zh-TW" w:bidi="zh-TW"/>
    </w:rPr>
  </w:style>
  <w:style w:type="paragraph" w:styleId="1160" w:customStyle="1">
    <w:name w:val="Heading #1|1"/>
    <w:basedOn w:val="845"/>
    <w:link w:val="1159"/>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161" w:customStyle="1">
    <w:name w:val="font21"/>
    <w:basedOn w:val="855"/>
    <w:uiPriority w:val="0"/>
    <w:qFormat/>
    <w:rPr>
      <w:rFonts w:hint="eastAsia" w:ascii="宋体" w:hAnsi="宋体" w:eastAsia="宋体" w:cs="宋体"/>
      <w:color w:val="000000"/>
      <w:sz w:val="20"/>
      <w:szCs w:val="20"/>
      <w:u w:val="none"/>
    </w:rPr>
  </w:style>
  <w:style w:type="character" w:styleId="1162" w:customStyle="1">
    <w:name w:val="z-窗体顶端 Char"/>
    <w:link w:val="1163"/>
    <w:uiPriority w:val="0"/>
    <w:qFormat/>
    <w:rPr>
      <w:rFonts w:ascii="Arial" w:hAnsi="Arial" w:cs="Arial"/>
      <w:vanish/>
      <w:sz w:val="16"/>
      <w:szCs w:val="16"/>
    </w:rPr>
  </w:style>
  <w:style w:type="paragraph" w:styleId="1163" w:customStyle="1">
    <w:name w:val="z-窗体顶端11"/>
    <w:basedOn w:val="845"/>
    <w:next w:val="845"/>
    <w:link w:val="1162"/>
    <w:uiPriority w:val="0"/>
    <w:unhideWhenUsed/>
    <w:qFormat/>
    <w:pPr>
      <w:jc w:val="center"/>
      <w:pBdr>
        <w:bottom w:val="single" w:color="000000" w:sz="6" w:space="1"/>
      </w:pBdr>
    </w:pPr>
    <w:rPr>
      <w:rFonts w:ascii="Arial" w:hAnsi="Arial" w:eastAsia="宋体" w:cs="Arial"/>
      <w:vanish/>
      <w:sz w:val="16"/>
      <w:szCs w:val="16"/>
    </w:rPr>
  </w:style>
  <w:style w:type="character" w:styleId="1164" w:customStyle="1">
    <w:name w:val="标题 Char1"/>
    <w:uiPriority w:val="10"/>
    <w:qFormat/>
    <w:rPr>
      <w:rFonts w:ascii="Cambria" w:hAnsi="Cambria" w:cs="Times New Roman"/>
      <w:b/>
      <w:bCs/>
      <w:sz w:val="32"/>
      <w:szCs w:val="32"/>
    </w:rPr>
  </w:style>
  <w:style w:type="character" w:styleId="1165" w:customStyle="1">
    <w:name w:val="Char Char3"/>
    <w:uiPriority w:val="0"/>
    <w:qFormat/>
    <w:rPr>
      <w:b/>
      <w:bCs/>
      <w:sz w:val="32"/>
      <w:szCs w:val="32"/>
    </w:rPr>
  </w:style>
  <w:style w:type="character" w:styleId="1166" w:customStyle="1">
    <w:name w:val="Blockquote Char Char"/>
    <w:link w:val="1167"/>
    <w:uiPriority w:val="0"/>
    <w:qFormat/>
    <w:rPr>
      <w:rFonts w:cs="宋体"/>
      <w:sz w:val="24"/>
      <w:szCs w:val="24"/>
    </w:rPr>
  </w:style>
  <w:style w:type="paragraph" w:styleId="1167" w:customStyle="1">
    <w:name w:val="Blockquote"/>
    <w:basedOn w:val="845"/>
    <w:link w:val="1166"/>
    <w:uiPriority w:val="0"/>
    <w:qFormat/>
    <w:pPr>
      <w:ind w:left="360" w:right="360"/>
      <w:jc w:val="left"/>
      <w:spacing w:before="100" w:after="100"/>
    </w:pPr>
    <w:rPr>
      <w:rFonts w:eastAsia="宋体" w:cs="宋体"/>
      <w:sz w:val="24"/>
      <w:szCs w:val="24"/>
    </w:rPr>
  </w:style>
  <w:style w:type="character" w:styleId="1168" w:customStyle="1">
    <w:name w:val="Char Char4"/>
    <w:uiPriority w:val="0"/>
    <w:qFormat/>
    <w:rPr>
      <w:rFonts w:ascii="Arial" w:hAnsi="Arial" w:eastAsia="黑体" w:cs="Arial"/>
      <w:bCs/>
      <w:sz w:val="24"/>
      <w:szCs w:val="28"/>
      <w:lang w:val="en-US" w:eastAsia="zh-CN" w:bidi="ar-SA"/>
    </w:rPr>
  </w:style>
  <w:style w:type="character" w:styleId="1169" w:customStyle="1">
    <w:name w:val="Other|1_"/>
    <w:link w:val="1170"/>
    <w:uiPriority w:val="0"/>
    <w:qFormat/>
    <w:rPr>
      <w:rFonts w:ascii="宋体" w:hAnsi="宋体" w:eastAsia="宋体" w:cs="宋体"/>
      <w:color w:val="4e4a50"/>
      <w:lang w:val="zh-TW" w:eastAsia="zh-TW" w:bidi="zh-TW"/>
    </w:rPr>
  </w:style>
  <w:style w:type="paragraph" w:styleId="1170" w:customStyle="1">
    <w:name w:val="Other|1"/>
    <w:basedOn w:val="845"/>
    <w:link w:val="1169"/>
    <w:uiPriority w:val="0"/>
    <w:qFormat/>
    <w:pPr>
      <w:jc w:val="center"/>
      <w:spacing w:line="308" w:lineRule="exact"/>
    </w:pPr>
    <w:rPr>
      <w:rFonts w:ascii="宋体" w:hAnsi="宋体" w:eastAsia="宋体" w:cs="宋体"/>
      <w:color w:val="4e4a50"/>
      <w:sz w:val="20"/>
      <w:lang w:val="zh-TW" w:eastAsia="zh-TW" w:bidi="zh-TW"/>
    </w:rPr>
  </w:style>
  <w:style w:type="character" w:styleId="1171" w:customStyle="1">
    <w:name w:val="z-窗体底端 Char2"/>
    <w:uiPriority w:val="99"/>
    <w:semiHidden/>
    <w:qFormat/>
    <w:rPr>
      <w:rFonts w:ascii="Arial" w:hAnsi="Arial" w:eastAsia="楷体_GB2312" w:cs="Arial"/>
      <w:vanish/>
      <w:sz w:val="16"/>
      <w:szCs w:val="16"/>
    </w:rPr>
  </w:style>
  <w:style w:type="character" w:styleId="1172" w:customStyle="1">
    <w:name w:val="font61"/>
    <w:uiPriority w:val="0"/>
    <w:qFormat/>
    <w:rPr>
      <w:rFonts w:ascii="Calibri" w:hAnsi="Calibri" w:cs="Calibri"/>
      <w:color w:val="000000"/>
      <w:sz w:val="20"/>
      <w:szCs w:val="20"/>
      <w:u w:val="none"/>
    </w:rPr>
  </w:style>
  <w:style w:type="character" w:styleId="1173" w:customStyle="1">
    <w:name w:val="Body text|3_"/>
    <w:link w:val="1174"/>
    <w:uiPriority w:val="0"/>
    <w:qFormat/>
    <w:rPr>
      <w:color w:val="5c575b"/>
      <w:sz w:val="26"/>
      <w:szCs w:val="26"/>
      <w:lang w:val="zh-TW" w:eastAsia="zh-TW" w:bidi="zh-TW"/>
    </w:rPr>
  </w:style>
  <w:style w:type="paragraph" w:styleId="1174" w:customStyle="1">
    <w:name w:val="Body text|3"/>
    <w:basedOn w:val="845"/>
    <w:link w:val="1173"/>
    <w:uiPriority w:val="0"/>
    <w:qFormat/>
    <w:pPr>
      <w:jc w:val="left"/>
    </w:pPr>
    <w:rPr>
      <w:rFonts w:eastAsia="宋体"/>
      <w:color w:val="5c575b"/>
      <w:szCs w:val="26"/>
      <w:lang w:val="zh-TW" w:eastAsia="zh-TW" w:bidi="zh-TW"/>
    </w:rPr>
  </w:style>
  <w:style w:type="character" w:styleId="1175" w:customStyle="1">
    <w:name w:val="Char Char2"/>
    <w:uiPriority w:val="0"/>
    <w:qFormat/>
    <w:rPr>
      <w:rFonts w:ascii="Arial" w:hAnsi="Arial" w:eastAsia="黑体" w:cs="Arial"/>
      <w:b/>
      <w:bCs/>
      <w:sz w:val="32"/>
      <w:szCs w:val="32"/>
      <w:lang w:val="en-US" w:eastAsia="zh-CN" w:bidi="ar-SA"/>
    </w:rPr>
  </w:style>
  <w:style w:type="character" w:styleId="1176" w:customStyle="1">
    <w:name w:val="z-窗体顶端 Char2"/>
    <w:uiPriority w:val="99"/>
    <w:semiHidden/>
    <w:qFormat/>
    <w:rPr>
      <w:rFonts w:ascii="Arial" w:hAnsi="Arial" w:eastAsia="楷体_GB2312" w:cs="Arial"/>
      <w:vanish/>
      <w:sz w:val="16"/>
      <w:szCs w:val="16"/>
    </w:rPr>
  </w:style>
  <w:style w:type="character" w:styleId="1177" w:customStyle="1">
    <w:name w:val="Header or footer|2_"/>
    <w:link w:val="1178"/>
    <w:uiPriority w:val="0"/>
    <w:qFormat/>
    <w:rPr>
      <w:lang w:val="zh-TW" w:eastAsia="zh-TW" w:bidi="zh-TW"/>
    </w:rPr>
  </w:style>
  <w:style w:type="paragraph" w:styleId="1178" w:customStyle="1">
    <w:name w:val="Header or footer|2"/>
    <w:basedOn w:val="845"/>
    <w:link w:val="1177"/>
    <w:uiPriority w:val="0"/>
    <w:qFormat/>
    <w:pPr>
      <w:jc w:val="left"/>
    </w:pPr>
    <w:rPr>
      <w:rFonts w:eastAsia="宋体"/>
      <w:sz w:val="20"/>
      <w:lang w:val="zh-TW" w:eastAsia="zh-TW" w:bidi="zh-TW"/>
    </w:rPr>
  </w:style>
  <w:style w:type="character" w:styleId="1179" w:customStyle="1">
    <w:name w:val="正文首行缩进 Char1"/>
    <w:uiPriority w:val="0"/>
    <w:qFormat/>
  </w:style>
  <w:style w:type="character" w:styleId="1180" w:customStyle="1">
    <w:name w:val="Body text|1_"/>
    <w:link w:val="1181"/>
    <w:uiPriority w:val="0"/>
    <w:qFormat/>
    <w:rPr>
      <w:rFonts w:ascii="宋体" w:hAnsi="宋体" w:eastAsia="宋体" w:cs="宋体"/>
      <w:color w:val="4e4a50"/>
      <w:sz w:val="26"/>
      <w:szCs w:val="26"/>
      <w:lang w:val="zh-TW" w:eastAsia="zh-TW" w:bidi="zh-TW"/>
    </w:rPr>
  </w:style>
  <w:style w:type="paragraph" w:styleId="1181" w:customStyle="1">
    <w:name w:val="Body text|1"/>
    <w:basedOn w:val="845"/>
    <w:link w:val="1180"/>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82" w:customStyle="1">
    <w:name w:val="Picture caption|1_"/>
    <w:link w:val="1183"/>
    <w:uiPriority w:val="0"/>
    <w:qFormat/>
    <w:rPr>
      <w:rFonts w:ascii="宋体" w:hAnsi="宋体" w:eastAsia="宋体" w:cs="宋体"/>
      <w:color w:val="4e4a50"/>
      <w:sz w:val="26"/>
      <w:szCs w:val="26"/>
      <w:lang w:val="zh-TW" w:eastAsia="zh-TW" w:bidi="zh-TW"/>
    </w:rPr>
  </w:style>
  <w:style w:type="paragraph" w:styleId="1183" w:customStyle="1">
    <w:name w:val="Picture caption|1"/>
    <w:basedOn w:val="845"/>
    <w:link w:val="1182"/>
    <w:uiPriority w:val="0"/>
    <w:qFormat/>
    <w:pPr>
      <w:jc w:val="left"/>
    </w:pPr>
    <w:rPr>
      <w:rFonts w:ascii="宋体" w:hAnsi="宋体" w:eastAsia="宋体" w:cs="宋体"/>
      <w:color w:val="4e4a50"/>
      <w:szCs w:val="26"/>
      <w:lang w:val="zh-TW" w:eastAsia="zh-TW" w:bidi="zh-TW"/>
    </w:rPr>
  </w:style>
  <w:style w:type="character" w:styleId="1184" w:customStyle="1">
    <w:name w:val="Char Char"/>
    <w:uiPriority w:val="0"/>
    <w:qFormat/>
    <w:rPr>
      <w:rFonts w:eastAsia="黑体"/>
      <w:bCs/>
      <w:sz w:val="28"/>
      <w:szCs w:val="32"/>
      <w:lang w:val="en-US" w:eastAsia="zh-CN" w:bidi="ar-SA"/>
    </w:rPr>
  </w:style>
  <w:style w:type="character" w:styleId="1185" w:customStyle="1">
    <w:name w:val="Heading #2|1_"/>
    <w:link w:val="1186"/>
    <w:uiPriority w:val="0"/>
    <w:qFormat/>
    <w:rPr>
      <w:rFonts w:ascii="宋体" w:hAnsi="宋体" w:eastAsia="宋体" w:cs="宋体"/>
      <w:color w:val="4e4a50"/>
      <w:sz w:val="40"/>
      <w:szCs w:val="40"/>
      <w:lang w:val="zh-TW" w:eastAsia="zh-TW" w:bidi="zh-TW"/>
    </w:rPr>
  </w:style>
  <w:style w:type="paragraph" w:styleId="1186" w:customStyle="1">
    <w:name w:val="Heading #2|1"/>
    <w:basedOn w:val="845"/>
    <w:link w:val="1185"/>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87" w:customStyle="1">
    <w:name w:val="font51"/>
    <w:uiPriority w:val="0"/>
    <w:qFormat/>
    <w:rPr>
      <w:rFonts w:hint="eastAsia" w:ascii="宋体" w:hAnsi="宋体" w:eastAsia="宋体" w:cs="宋体"/>
      <w:color w:val="000000"/>
      <w:sz w:val="20"/>
      <w:szCs w:val="20"/>
      <w:u w:val="none"/>
    </w:rPr>
  </w:style>
  <w:style w:type="character" w:styleId="1188" w:customStyle="1">
    <w:name w:val="z-窗体底端 Char1"/>
    <w:link w:val="1189"/>
    <w:uiPriority w:val="0"/>
    <w:qFormat/>
    <w:rPr>
      <w:rFonts w:ascii="Arial" w:hAnsi="Arial" w:cs="Arial"/>
      <w:vanish/>
      <w:sz w:val="16"/>
      <w:szCs w:val="16"/>
    </w:rPr>
  </w:style>
  <w:style w:type="paragraph" w:styleId="1189" w:customStyle="1">
    <w:name w:val="z-窗体底端2"/>
    <w:basedOn w:val="845"/>
    <w:next w:val="845"/>
    <w:link w:val="1188"/>
    <w:uiPriority w:val="0"/>
    <w:qFormat/>
    <w:pPr>
      <w:jc w:val="center"/>
      <w:pBdr>
        <w:top w:val="single" w:color="000000" w:sz="6" w:space="1"/>
      </w:pBdr>
    </w:pPr>
    <w:rPr>
      <w:rFonts w:ascii="Arial" w:hAnsi="Arial" w:eastAsia="宋体" w:cs="Arial"/>
      <w:vanish/>
      <w:sz w:val="16"/>
      <w:szCs w:val="16"/>
    </w:rPr>
  </w:style>
  <w:style w:type="paragraph" w:styleId="1190" w:customStyle="1">
    <w:name w:val="样式 标题 2 + Times New Roman 四号 非加粗 段前: 5 磅 段后: 0 磅 行距: 固定值 20..."/>
    <w:basedOn w:val="1082"/>
    <w:uiPriority w:val="0"/>
    <w:qFormat/>
    <w:pPr>
      <w:jc w:val="center"/>
      <w:spacing w:before="100" w:after="0" w:line="400" w:lineRule="exact"/>
    </w:pPr>
    <w:rPr>
      <w:rFonts w:ascii="Times New Roman" w:hAnsi="Times New Roman" w:cs="宋体"/>
      <w:b w:val="0"/>
      <w:bCs w:val="0"/>
      <w:sz w:val="28"/>
      <w:szCs w:val="20"/>
    </w:rPr>
  </w:style>
  <w:style w:type="paragraph" w:styleId="1191" w:customStyle="1">
    <w:name w:val="正文首行缩进两字符"/>
    <w:basedOn w:val="845"/>
    <w:uiPriority w:val="0"/>
    <w:qFormat/>
    <w:pPr>
      <w:ind w:firstLine="200"/>
      <w:spacing w:line="360" w:lineRule="auto"/>
    </w:pPr>
    <w:rPr>
      <w:rFonts w:eastAsia="宋体"/>
      <w:sz w:val="21"/>
      <w:szCs w:val="24"/>
    </w:rPr>
  </w:style>
  <w:style w:type="paragraph" w:styleId="1192" w:customStyle="1">
    <w:name w:val="red"/>
    <w:basedOn w:val="845"/>
    <w:uiPriority w:val="0"/>
    <w:qFormat/>
    <w:pPr>
      <w:jc w:val="left"/>
      <w:spacing w:before="100" w:beforeAutospacing="1" w:after="100" w:afterAutospacing="1"/>
      <w:widowControl/>
    </w:pPr>
    <w:rPr>
      <w:rFonts w:ascii="宋体" w:hAnsi="宋体" w:eastAsia="宋体" w:cs="宋体"/>
      <w:sz w:val="21"/>
      <w:szCs w:val="21"/>
    </w:rPr>
  </w:style>
  <w:style w:type="paragraph" w:styleId="1193" w:customStyle="1">
    <w:name w:val="z-窗体底端3"/>
    <w:basedOn w:val="845"/>
    <w:next w:val="845"/>
    <w:uiPriority w:val="0"/>
    <w:unhideWhenUsed/>
    <w:qFormat/>
    <w:pPr>
      <w:jc w:val="center"/>
      <w:pBdr>
        <w:top w:val="single" w:color="000000" w:sz="6" w:space="1"/>
      </w:pBdr>
    </w:pPr>
    <w:rPr>
      <w:rFonts w:ascii="Arial" w:hAnsi="Arial" w:eastAsia="宋体" w:cs="Arial"/>
      <w:vanish/>
      <w:sz w:val="16"/>
      <w:szCs w:val="16"/>
    </w:rPr>
  </w:style>
  <w:style w:type="paragraph" w:styleId="1194" w:customStyle="1">
    <w:name w:val="_Style 4"/>
    <w:basedOn w:val="845"/>
    <w:next w:val="845"/>
    <w:uiPriority w:val="0"/>
    <w:qFormat/>
    <w:pPr>
      <w:ind w:firstLine="420"/>
    </w:pPr>
    <w:rPr>
      <w:rFonts w:ascii="Calibri" w:hAnsi="Calibri" w:eastAsia="宋体"/>
      <w:sz w:val="21"/>
      <w:szCs w:val="22"/>
    </w:rPr>
  </w:style>
  <w:style w:type="paragraph" w:styleId="119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96"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97" w:customStyle="1">
    <w:name w:val="默认段落字体 Para Char Char Char Char Char Char Char"/>
    <w:basedOn w:val="845"/>
    <w:uiPriority w:val="0"/>
    <w:qFormat/>
    <w:rPr>
      <w:rFonts w:ascii="Tahoma" w:hAnsi="Tahoma" w:eastAsia="宋体"/>
      <w:sz w:val="24"/>
    </w:rPr>
  </w:style>
  <w:style w:type="paragraph" w:styleId="1198" w:customStyle="1">
    <w:name w:val="Char"/>
    <w:basedOn w:val="845"/>
    <w:uiPriority w:val="0"/>
    <w:qFormat/>
    <w:rPr>
      <w:rFonts w:ascii="Tahoma" w:hAnsi="Tahoma" w:eastAsia="宋体"/>
      <w:sz w:val="24"/>
    </w:rPr>
  </w:style>
  <w:style w:type="paragraph" w:styleId="1199" w:customStyle="1">
    <w:name w:val="样式1"/>
    <w:basedOn w:val="1084"/>
    <w:uiPriority w:val="0"/>
    <w:qFormat/>
    <w:pPr>
      <w:jc w:val="left"/>
      <w:spacing w:before="0" w:after="0" w:line="240" w:lineRule="auto"/>
    </w:pPr>
    <w:rPr>
      <w:rFonts w:ascii="黑体" w:hAnsi="宋体" w:eastAsia="黑体" w:cs="黑体"/>
      <w:b w:val="0"/>
      <w:color w:val="000000"/>
      <w:sz w:val="21"/>
    </w:rPr>
  </w:style>
  <w:style w:type="paragraph" w:styleId="1200" w:customStyle="1">
    <w:name w:val="修订1"/>
    <w:uiPriority w:val="99"/>
    <w:unhideWhenUsed/>
    <w:qFormat/>
    <w:rPr>
      <w:rFonts w:ascii="Times New Roman" w:hAnsi="Times New Roman" w:eastAsia="楷体_GB2312" w:cs="Times New Roman"/>
      <w:sz w:val="26"/>
      <w:lang w:val="en-US" w:eastAsia="zh-CN" w:bidi="ar-SA"/>
    </w:rPr>
  </w:style>
  <w:style w:type="paragraph" w:styleId="1201" w:customStyle="1">
    <w:name w:val="列出段落2"/>
    <w:basedOn w:val="845"/>
    <w:uiPriority w:val="0"/>
    <w:qFormat/>
    <w:pPr>
      <w:ind w:firstLine="420"/>
    </w:pPr>
  </w:style>
  <w:style w:type="paragraph" w:styleId="1202" w:customStyle="1">
    <w:name w:val="样式 样式 宋体 + 首行缩进:  1 字符"/>
    <w:basedOn w:val="1203"/>
    <w:uiPriority w:val="0"/>
    <w:qFormat/>
    <w:pPr>
      <w:spacing w:line="240" w:lineRule="auto"/>
    </w:pPr>
  </w:style>
  <w:style w:type="paragraph" w:styleId="1203" w:customStyle="1">
    <w:name w:val="样式 宋体"/>
    <w:basedOn w:val="845"/>
    <w:uiPriority w:val="0"/>
    <w:qFormat/>
    <w:pPr>
      <w:ind w:firstLine="100"/>
      <w:spacing w:line="360" w:lineRule="auto"/>
    </w:pPr>
    <w:rPr>
      <w:rFonts w:ascii="宋体" w:hAnsi="宋体" w:eastAsia="宋体" w:cs="宋体"/>
      <w:sz w:val="21"/>
    </w:rPr>
  </w:style>
  <w:style w:type="paragraph" w:styleId="1204" w:customStyle="1">
    <w:name w:val="正文1"/>
    <w:basedOn w:val="845"/>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205" w:customStyle="1">
    <w:name w:val="正文 + 黑体"/>
    <w:basedOn w:val="845"/>
    <w:uiPriority w:val="0"/>
    <w:qFormat/>
    <w:pPr>
      <w:jc w:val="left"/>
    </w:pPr>
    <w:rPr>
      <w:rFonts w:ascii="黑体" w:hAnsi="宋体" w:eastAsia="黑体" w:cs="TimesNewRomanPSMT"/>
      <w:sz w:val="24"/>
      <w:szCs w:val="24"/>
    </w:rPr>
  </w:style>
  <w:style w:type="paragraph" w:styleId="1206" w:customStyle="1">
    <w:name w:val="1"/>
    <w:basedOn w:val="845"/>
    <w:uiPriority w:val="0"/>
    <w:qFormat/>
    <w:rPr>
      <w:rFonts w:eastAsia="宋体"/>
      <w:sz w:val="21"/>
      <w:szCs w:val="24"/>
    </w:rPr>
  </w:style>
  <w:style w:type="paragraph" w:styleId="1207" w:customStyle="1">
    <w:name w:val="[基本段落]"/>
    <w:basedOn w:val="845"/>
    <w:uiPriority w:val="99"/>
    <w:qFormat/>
    <w:pPr>
      <w:jc w:val="left"/>
      <w:spacing w:line="288" w:lineRule="auto"/>
    </w:pPr>
    <w:rPr>
      <w:rFonts w:ascii="Myriad Roman" w:hAnsi="Myriad Roman" w:cs="Myriad Roman"/>
      <w:color w:val="000000"/>
      <w:sz w:val="24"/>
    </w:rPr>
  </w:style>
  <w:style w:type="paragraph" w:styleId="1208" w:customStyle="1">
    <w:name w:val="纯文本4"/>
    <w:basedOn w:val="845"/>
    <w:uiPriority w:val="0"/>
    <w:qFormat/>
    <w:rPr>
      <w:rFonts w:ascii="宋体" w:hAnsi="Courier New" w:eastAsia="宋体"/>
      <w:sz w:val="28"/>
      <w:szCs w:val="24"/>
    </w:rPr>
  </w:style>
  <w:style w:type="paragraph" w:styleId="1209" w:customStyle="1">
    <w:name w:val="Address"/>
    <w:basedOn w:val="845"/>
    <w:uiPriority w:val="0"/>
    <w:qFormat/>
    <w:pPr>
      <w:jc w:val="left"/>
      <w:spacing w:line="249" w:lineRule="auto"/>
      <w:widowControl/>
    </w:pPr>
    <w:rPr>
      <w:rFonts w:ascii="Centaur" w:hAnsi="Centaur"/>
      <w:sz w:val="20"/>
      <w:lang w:eastAsia="en-US"/>
    </w:rPr>
  </w:style>
  <w:style w:type="paragraph" w:styleId="1210" w:customStyle="1">
    <w:name w:val="金安桥正文"/>
    <w:basedOn w:val="910"/>
    <w:uiPriority w:val="0"/>
    <w:qFormat/>
    <w:pPr>
      <w:ind w:firstLine="200"/>
      <w:jc w:val="left"/>
      <w:spacing w:line="300" w:lineRule="auto"/>
    </w:pPr>
    <w:rPr>
      <w:rFonts w:ascii="Times New Roman"/>
      <w:sz w:val="24"/>
    </w:rPr>
  </w:style>
  <w:style w:type="paragraph" w:styleId="1211" w:customStyle="1">
    <w:name w:val="普通正文"/>
    <w:basedOn w:val="845"/>
    <w:uiPriority w:val="0"/>
    <w:qFormat/>
    <w:pPr>
      <w:ind w:firstLine="480"/>
      <w:jc w:val="left"/>
      <w:spacing w:before="120" w:after="120" w:line="360" w:lineRule="auto"/>
    </w:pPr>
    <w:rPr>
      <w:rFonts w:ascii="Arial" w:hAnsi="Arial"/>
      <w:sz w:val="24"/>
    </w:rPr>
  </w:style>
  <w:style w:type="paragraph" w:styleId="1212" w:customStyle="1">
    <w:name w:val="纯文本11"/>
    <w:basedOn w:val="845"/>
    <w:uiPriority w:val="0"/>
    <w:qFormat/>
    <w:rPr>
      <w:rFonts w:ascii="宋体" w:hAnsi="Courier New"/>
    </w:rPr>
  </w:style>
  <w:style w:type="paragraph" w:styleId="1213" w:customStyle="1">
    <w:name w:val="WPS Plain"/>
    <w:uiPriority w:val="0"/>
    <w:qFormat/>
    <w:rPr>
      <w:rFonts w:ascii="Times New Roman" w:hAnsi="Times New Roman" w:eastAsia="宋体" w:cs="Times New Roman"/>
      <w:lang w:val="en-US" w:eastAsia="zh-CN" w:bidi="ar-SA"/>
    </w:rPr>
  </w:style>
  <w:style w:type="paragraph" w:styleId="1214" w:customStyle="1">
    <w:name w:val="p0"/>
    <w:basedOn w:val="845"/>
    <w:uiPriority w:val="0"/>
    <w:qFormat/>
    <w:pPr>
      <w:widowControl/>
    </w:pPr>
    <w:rPr>
      <w:rFonts w:ascii="黑体" w:hAnsi="黑体"/>
      <w:szCs w:val="21"/>
    </w:rPr>
  </w:style>
  <w:style w:type="paragraph" w:styleId="1215" w:customStyle="1">
    <w:name w:val="首行缩进"/>
    <w:basedOn w:val="845"/>
    <w:uiPriority w:val="0"/>
    <w:qFormat/>
    <w:pPr>
      <w:ind w:firstLine="480"/>
      <w:spacing w:line="360" w:lineRule="auto"/>
    </w:pPr>
    <w:rPr>
      <w:rFonts w:hAnsi="宋体" w:eastAsia="宋体" w:cs="宋体"/>
      <w:sz w:val="24"/>
      <w:szCs w:val="24"/>
    </w:rPr>
  </w:style>
  <w:style w:type="paragraph" w:styleId="1216" w:customStyle="1">
    <w:name w:val="Char1"/>
    <w:basedOn w:val="845"/>
    <w:uiPriority w:val="0"/>
    <w:qFormat/>
    <w:pPr>
      <w:tabs>
        <w:tab w:val="left" w:pos="360" w:leader="none"/>
      </w:tabs>
    </w:pPr>
    <w:rPr>
      <w:rFonts w:eastAsia="宋体"/>
      <w:sz w:val="24"/>
      <w:szCs w:val="24"/>
    </w:rPr>
  </w:style>
  <w:style w:type="paragraph" w:styleId="1217" w:customStyle="1">
    <w:name w:val="z-窗体顶端2"/>
    <w:basedOn w:val="845"/>
    <w:next w:val="845"/>
    <w:uiPriority w:val="0"/>
    <w:unhideWhenUsed/>
    <w:qFormat/>
    <w:pPr>
      <w:jc w:val="center"/>
      <w:pBdr>
        <w:bottom w:val="single" w:color="000000" w:sz="6" w:space="1"/>
      </w:pBdr>
    </w:pPr>
    <w:rPr>
      <w:rFonts w:ascii="Arial" w:hAnsi="Arial" w:eastAsia="宋体" w:cs="Arial"/>
      <w:vanish/>
      <w:sz w:val="16"/>
      <w:szCs w:val="16"/>
    </w:rPr>
  </w:style>
  <w:style w:type="paragraph" w:styleId="1218" w:customStyle="1">
    <w:name w:val="样式 标题 3 + (中文) 黑体 小四 非加粗 段前: 7.8 磅 段后: 0 磅 行距: 固定值 20 磅"/>
    <w:basedOn w:val="1083"/>
    <w:next w:val="845"/>
    <w:uiPriority w:val="0"/>
    <w:qFormat/>
    <w:pPr>
      <w:spacing w:before="0" w:after="0" w:line="400" w:lineRule="exact"/>
    </w:pPr>
    <w:rPr>
      <w:rFonts w:eastAsia="宋体"/>
      <w:sz w:val="24"/>
      <w:szCs w:val="20"/>
    </w:rPr>
  </w:style>
  <w:style w:type="paragraph" w:styleId="1219"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22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Char Char Char Char Char Char Char Char Char Char"/>
    <w:basedOn w:val="845"/>
    <w:uiPriority w:val="0"/>
    <w:qFormat/>
    <w:pPr>
      <w:ind w:hanging="425"/>
      <w:keepNext/>
      <w:spacing w:before="80" w:after="80"/>
      <w:widowControl/>
      <w:tabs>
        <w:tab w:val="left" w:pos="425" w:leader="none"/>
      </w:tabs>
    </w:pPr>
    <w:rPr>
      <w:rFonts w:eastAsia="宋体"/>
      <w:sz w:val="20"/>
    </w:rPr>
  </w:style>
  <w:style w:type="paragraph" w:styleId="1222" w:customStyle="1">
    <w:name w:val="Style1"/>
    <w:basedOn w:val="845"/>
    <w:uiPriority w:val="0"/>
    <w:qFormat/>
    <w:pPr>
      <w:spacing w:after="120"/>
      <w:widowControl/>
      <w:tabs>
        <w:tab w:val="left" w:pos="-720" w:leader="none"/>
      </w:tabs>
    </w:pPr>
    <w:rPr>
      <w:spacing w:val="-3"/>
      <w:sz w:val="24"/>
      <w:lang w:val="en-AU" w:eastAsia="en-US"/>
    </w:rPr>
  </w:style>
  <w:style w:type="paragraph" w:styleId="1223" w:customStyle="1">
    <w:name w:val="样式2"/>
    <w:basedOn w:val="845"/>
    <w:next w:val="1085"/>
    <w:uiPriority w:val="0"/>
    <w:qFormat/>
    <w:pPr>
      <w:jc w:val="center"/>
    </w:pPr>
    <w:rPr>
      <w:rFonts w:ascii="宋体" w:hAnsi="宋体" w:eastAsia="宋体" w:cs="Arial"/>
      <w:b/>
      <w:color w:val="000000"/>
      <w:sz w:val="21"/>
      <w:szCs w:val="21"/>
    </w:rPr>
  </w:style>
  <w:style w:type="paragraph" w:styleId="1224" w:customStyle="1">
    <w:name w:val="纯文本3"/>
    <w:basedOn w:val="845"/>
    <w:uiPriority w:val="0"/>
    <w:qFormat/>
    <w:rPr>
      <w:rFonts w:hint="eastAsia" w:ascii="宋体" w:hAnsi="Courier New"/>
      <w:sz w:val="28"/>
    </w:rPr>
  </w:style>
  <w:style w:type="paragraph" w:styleId="1225" w:customStyle="1">
    <w:name w:val="Table Paragraph"/>
    <w:basedOn w:val="845"/>
    <w:uiPriority w:val="1"/>
    <w:qFormat/>
  </w:style>
  <w:style w:type="table" w:styleId="1226" w:customStyle="1">
    <w:name w:val="Table Normal"/>
    <w:uiPriority w:val="2"/>
    <w:unhideWhenUsed/>
    <w:qFormat/>
    <w:tblPr>
      <w:tblCellMar>
        <w:left w:w="0" w:type="dxa"/>
        <w:top w:w="0" w:type="dxa"/>
        <w:right w:w="0" w:type="dxa"/>
        <w:bottom w:w="0" w:type="dxa"/>
      </w:tblCellMar>
    </w:tblPr>
  </w:style>
  <w:style w:type="paragraph" w:styleId="1227" w:customStyle="1">
    <w:name w:val="段"/>
    <w:next w:val="845"/>
    <w:uiPriority w:val="0"/>
    <w:qFormat/>
    <w:pPr>
      <w:ind w:firstLine="200"/>
      <w:jc w:val="both"/>
    </w:pPr>
    <w:rPr>
      <w:rFonts w:ascii="宋体" w:hAnsi="Times New Roman" w:eastAsia="宋体" w:cs="Times New Roman"/>
      <w:sz w:val="21"/>
      <w:szCs w:val="22"/>
      <w:lang w:val="en-US" w:eastAsia="zh-CN" w:bidi="ar-SA"/>
    </w:rPr>
  </w:style>
  <w:style w:type="paragraph" w:styleId="1228" w:customStyle="1">
    <w:name w:val="纯文本111"/>
    <w:basedOn w:val="845"/>
    <w:uiPriority w:val="0"/>
    <w:qFormat/>
    <w:rPr>
      <w:rFonts w:ascii="宋体" w:hAnsi="Courier New"/>
    </w:rPr>
  </w:style>
  <w:style w:type="character" w:styleId="1229" w:customStyle="1">
    <w:name w:val="纯文本 字符"/>
    <w:basedOn w:val="855"/>
    <w:link w:val="871"/>
    <w:uiPriority w:val="0"/>
    <w:qFormat/>
    <w:rPr>
      <w:rFonts w:hint="eastAsia" w:ascii="宋体" w:hAnsi="Courier New" w:eastAsia="宋体" w:cs="Courier New"/>
      <w:sz w:val="26"/>
    </w:rPr>
  </w:style>
  <w:style w:type="character" w:styleId="1230" w:customStyle="1">
    <w:name w:val="未处理的提及1"/>
    <w:basedOn w:val="855"/>
    <w:uiPriority w:val="99"/>
    <w:semiHidden/>
    <w:unhideWhenUsed/>
    <w:qFormat/>
    <w:rPr>
      <w:color w:val="605e5c"/>
      <w:shd w:val="clear" w:color="auto" w:fill="e1dfdd"/>
    </w:rPr>
  </w:style>
  <w:style w:type="character" w:styleId="1231" w:customStyle="1">
    <w:name w:val="未处理的提及2"/>
    <w:basedOn w:val="855"/>
    <w:uiPriority w:val="99"/>
    <w:semiHidden/>
    <w:unhideWhenUsed/>
    <w:qFormat/>
    <w:rPr>
      <w:color w:val="605e5c"/>
      <w:shd w:val="clear" w:color="auto" w:fill="e1dfdd"/>
    </w:rPr>
  </w:style>
  <w:style w:type="character" w:styleId="1232" w:customStyle="1">
    <w:name w:val="font41"/>
    <w:basedOn w:val="855"/>
    <w:uiPriority w:val="0"/>
    <w:qFormat/>
    <w:rPr>
      <w:rFonts w:ascii="黑体" w:hAnsi="宋体" w:eastAsia="黑体" w:cs="黑体"/>
      <w:color w:val="000000"/>
      <w:sz w:val="18"/>
      <w:szCs w:val="18"/>
      <w:u w:val="none"/>
    </w:rPr>
  </w:style>
  <w:style w:type="character" w:styleId="1233" w:customStyle="1">
    <w:name w:val="font31"/>
    <w:basedOn w:val="855"/>
    <w:uiPriority w:val="0"/>
    <w:qFormat/>
    <w:rPr>
      <w:rFonts w:ascii="方正仿宋_GBK" w:hAnsi="方正仿宋_GBK" w:eastAsia="方正仿宋_GBK" w:cs="方正仿宋_GBK"/>
      <w:color w:val="000000"/>
      <w:sz w:val="18"/>
      <w:szCs w:val="18"/>
      <w:u w:val="none"/>
    </w:rPr>
  </w:style>
  <w:style w:type="paragraph" w:styleId="1234" w:customStyle="1">
    <w:name w:val="Table Text"/>
    <w:basedOn w:val="845"/>
    <w:uiPriority w:val="0"/>
    <w:semiHidden/>
    <w:qFormat/>
    <w:rPr>
      <w:rFonts w:ascii="宋体" w:hAnsi="宋体" w:eastAsia="宋体" w:cs="宋体"/>
      <w:sz w:val="20"/>
      <w:lang w:eastAsia="en-US"/>
    </w:rPr>
  </w:style>
  <w:style w:type="character" w:styleId="1235" w:customStyle="1">
    <w:name w:val="正文缩进 字符"/>
    <w:link w:val="860"/>
    <w:uiPriority w:val="0"/>
    <w:qFormat/>
    <w:rPr>
      <w:rFonts w:eastAsia="楷体_GB2312"/>
      <w:sz w:val="24"/>
    </w:rPr>
  </w:style>
  <w:style w:type="paragraph" w:styleId="1236" w:customStyle="1">
    <w:name w:val="正文(其它)"/>
    <w:basedOn w:val="845"/>
    <w:uiPriority w:val="0"/>
    <w:qFormat/>
    <w:pPr>
      <w:jc w:val="center"/>
      <w:spacing w:line="312" w:lineRule="auto"/>
    </w:pPr>
    <w:rPr>
      <w:rFonts w:ascii="黑体" w:eastAsia="黑体"/>
      <w:sz w:val="32"/>
      <w:szCs w:val="32"/>
    </w:rPr>
  </w:style>
  <w:style w:type="character" w:styleId="1237" w:customStyle="1">
    <w:name w:val="jj101"/>
    <w:uiPriority w:val="0"/>
    <w:qFormat/>
    <w:rPr>
      <w:sz w:val="20"/>
      <w:szCs w:val="20"/>
      <w:u w:val="none"/>
    </w:rPr>
  </w:style>
  <w:style w:type="character" w:styleId="1238" w:customStyle="1">
    <w:name w:val="apple-style-span"/>
    <w:basedOn w:val="855"/>
    <w:uiPriority w:val="0"/>
    <w:qFormat/>
  </w:style>
  <w:style w:type="paragraph" w:styleId="1239" w:customStyle="1">
    <w:name w:val="xl31"/>
    <w:basedOn w:val="845"/>
    <w:next w:val="891"/>
    <w:uiPriority w:val="0"/>
    <w:qFormat/>
    <w:pPr>
      <w:ind w:firstLine="3584"/>
      <w:spacing w:before="280" w:after="280"/>
      <w:widowControl/>
    </w:pPr>
  </w:style>
  <w:style w:type="paragraph" w:styleId="1240" w:customStyle="1">
    <w:name w:val="样式 小四 段前: 5 磅 段后: 5 磅 首行缩进:  2 字符"/>
    <w:basedOn w:val="845"/>
    <w:uiPriority w:val="0"/>
    <w:qFormat/>
    <w:pPr>
      <w:spacing w:line="360" w:lineRule="auto"/>
    </w:pPr>
    <w:rPr>
      <w:rFonts w:ascii="宋体" w:hAnsi="宋体"/>
      <w:szCs w:val="21"/>
    </w:rPr>
  </w:style>
  <w:style w:type="character" w:styleId="1241" w:customStyle="1">
    <w:name w:val="hover"/>
    <w:basedOn w:val="855"/>
    <w:uiPriority w:val="0"/>
    <w:qFormat/>
    <w:rPr>
      <w:color w:val="2590eb"/>
      <w:shd w:val="clear" w:color="auto" w:fill="e9f4fd"/>
    </w:rPr>
  </w:style>
  <w:style w:type="character" w:styleId="1242" w:customStyle="1">
    <w:name w:val="hover1"/>
    <w:basedOn w:val="855"/>
    <w:uiPriority w:val="0"/>
    <w:qFormat/>
  </w:style>
  <w:style w:type="character" w:styleId="1243" w:customStyle="1">
    <w:name w:val="hover2"/>
    <w:basedOn w:val="855"/>
    <w:uiPriority w:val="0"/>
    <w:qFormat/>
    <w:rPr>
      <w:color w:val="2590eb"/>
    </w:rPr>
  </w:style>
  <w:style w:type="character" w:styleId="1244" w:customStyle="1">
    <w:name w:val="hover3"/>
    <w:basedOn w:val="855"/>
    <w:uiPriority w:val="0"/>
    <w:qFormat/>
    <w:rPr>
      <w:color w:val="2590eb"/>
    </w:rPr>
  </w:style>
  <w:style w:type="paragraph" w:styleId="1245" w:customStyle="1">
    <w:name w:val="注释标题1"/>
    <w:basedOn w:val="845"/>
    <w:next w:val="845"/>
    <w:uiPriority w:val="0"/>
    <w:qFormat/>
    <w:pPr>
      <w:ind w:firstLine="480"/>
      <w:jc w:val="center"/>
      <w:spacing w:line="360" w:lineRule="auto"/>
    </w:pPr>
    <w:rPr>
      <w:rFonts w:eastAsia="宋体"/>
      <w:sz w:val="21"/>
      <w:szCs w:val="24"/>
      <w:lang w:val="zh-CN"/>
    </w:rPr>
  </w:style>
  <w:style w:type="paragraph" w:styleId="1246" w:customStyle="1">
    <w:name w:val="列表段落1"/>
    <w:basedOn w:val="845"/>
    <w:uiPriority w:val="34"/>
    <w:qFormat/>
    <w:pPr>
      <w:ind w:firstLine="420"/>
    </w:pPr>
    <w:rPr>
      <w:rFonts w:eastAsia="宋体"/>
      <w:sz w:val="21"/>
      <w:szCs w:val="24"/>
    </w:rPr>
  </w:style>
  <w:style w:type="character" w:styleId="1247" w:customStyle="1">
    <w:name w:val="明显强调1"/>
    <w:basedOn w:val="855"/>
    <w:uiPriority w:val="21"/>
    <w:qFormat/>
    <w:rPr>
      <w:i/>
      <w:iCs/>
      <w:color w:val="0f4761"/>
    </w:rPr>
  </w:style>
  <w:style w:type="character" w:styleId="1248" w:customStyle="1">
    <w:name w:val="明显参考1"/>
    <w:basedOn w:val="855"/>
    <w:uiPriority w:val="32"/>
    <w:qFormat/>
    <w:rPr>
      <w:b/>
      <w:bCs/>
      <w:smallCaps/>
      <w:color w:val="0f4761"/>
      <w:spacing w:val="5"/>
    </w:rPr>
  </w:style>
  <w:style w:type="table" w:styleId="1249" w:customStyle="1">
    <w:name w:val="网格型2"/>
    <w:basedOn w:val="85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50" w:customStyle="1">
    <w:name w:val="网格型11"/>
    <w:basedOn w:val="85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1" w:customStyle="1">
    <w:name w:val="msonormal"/>
    <w:basedOn w:val="845"/>
    <w:uiPriority w:val="0"/>
    <w:qFormat/>
    <w:pPr>
      <w:jc w:val="left"/>
      <w:spacing w:before="100" w:beforeAutospacing="1" w:after="100" w:afterAutospacing="1"/>
      <w:widowControl/>
    </w:pPr>
    <w:rPr>
      <w:rFonts w:ascii="宋体" w:hAnsi="宋体" w:eastAsia="宋体" w:cs="宋体"/>
      <w:sz w:val="24"/>
      <w:szCs w:val="24"/>
    </w:rPr>
  </w:style>
  <w:style w:type="paragraph" w:styleId="1252" w:customStyle="1">
    <w:name w:val="font0"/>
    <w:basedOn w:val="845"/>
    <w:uiPriority w:val="0"/>
    <w:qFormat/>
    <w:pPr>
      <w:jc w:val="left"/>
      <w:spacing w:before="100" w:beforeAutospacing="1" w:after="100" w:afterAutospacing="1"/>
      <w:widowControl/>
    </w:pPr>
    <w:rPr>
      <w:rFonts w:ascii="宋体" w:hAnsi="宋体" w:eastAsia="宋体" w:cs="宋体"/>
      <w:sz w:val="24"/>
      <w:szCs w:val="24"/>
    </w:rPr>
  </w:style>
  <w:style w:type="paragraph" w:styleId="1253" w:customStyle="1">
    <w:name w:val="font5"/>
    <w:basedOn w:val="845"/>
    <w:uiPriority w:val="0"/>
    <w:qFormat/>
    <w:pPr>
      <w:jc w:val="left"/>
      <w:spacing w:before="100" w:beforeAutospacing="1" w:after="100" w:afterAutospacing="1"/>
      <w:widowControl/>
    </w:pPr>
    <w:rPr>
      <w:rFonts w:ascii="宋体" w:hAnsi="宋体" w:eastAsia="宋体" w:cs="宋体"/>
      <w:sz w:val="18"/>
      <w:szCs w:val="18"/>
    </w:rPr>
  </w:style>
  <w:style w:type="paragraph" w:styleId="1254" w:customStyle="1">
    <w:name w:val="font6"/>
    <w:basedOn w:val="845"/>
    <w:uiPriority w:val="0"/>
    <w:qFormat/>
    <w:pPr>
      <w:jc w:val="left"/>
      <w:spacing w:before="100" w:beforeAutospacing="1" w:after="100" w:afterAutospacing="1"/>
      <w:widowControl/>
    </w:pPr>
    <w:rPr>
      <w:rFonts w:ascii="宋体" w:hAnsi="宋体" w:eastAsia="宋体" w:cs="宋体"/>
      <w:b/>
      <w:bCs/>
      <w:sz w:val="24"/>
      <w:szCs w:val="24"/>
    </w:rPr>
  </w:style>
  <w:style w:type="paragraph" w:styleId="1255" w:customStyle="1">
    <w:name w:val="font7"/>
    <w:basedOn w:val="845"/>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256" w:customStyle="1">
    <w:name w:val="font8"/>
    <w:basedOn w:val="845"/>
    <w:uiPriority w:val="0"/>
    <w:qFormat/>
    <w:pPr>
      <w:jc w:val="left"/>
      <w:spacing w:before="100" w:beforeAutospacing="1" w:after="100" w:afterAutospacing="1"/>
      <w:widowControl/>
    </w:pPr>
    <w:rPr>
      <w:rFonts w:ascii="宋体" w:hAnsi="宋体" w:eastAsia="宋体" w:cs="宋体"/>
      <w:sz w:val="24"/>
      <w:szCs w:val="24"/>
    </w:rPr>
  </w:style>
  <w:style w:type="paragraph" w:styleId="1257" w:customStyle="1">
    <w:name w:val="font9"/>
    <w:basedOn w:val="845"/>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258" w:customStyle="1">
    <w:name w:val="font10"/>
    <w:basedOn w:val="845"/>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259" w:customStyle="1">
    <w:name w:val="xl65"/>
    <w:basedOn w:val="8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60" w:customStyle="1">
    <w:name w:val="xl66"/>
    <w:basedOn w:val="8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61" w:customStyle="1">
    <w:name w:val="xl67"/>
    <w:basedOn w:val="8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62" w:customStyle="1">
    <w:name w:val="xl68"/>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63" w:customStyle="1">
    <w:name w:val="xl69"/>
    <w:basedOn w:val="8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64" w:customStyle="1">
    <w:name w:val="xl70"/>
    <w:basedOn w:val="8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65" w:customStyle="1">
    <w:name w:val="xl71"/>
    <w:basedOn w:val="84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66" w:customStyle="1">
    <w:name w:val="xl72"/>
    <w:basedOn w:val="8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67" w:customStyle="1">
    <w:name w:val="xl73"/>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68" w:customStyle="1">
    <w:name w:val="xl74"/>
    <w:basedOn w:val="8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69" w:customStyle="1">
    <w:name w:val="xl75"/>
    <w:basedOn w:val="845"/>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70" w:customStyle="1">
    <w:name w:val="xl76"/>
    <w:basedOn w:val="8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271" w:customStyle="1">
    <w:name w:val="xl77"/>
    <w:basedOn w:val="8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72" w:customStyle="1">
    <w:name w:val="xl78"/>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73" w:customStyle="1">
    <w:name w:val="xl79"/>
    <w:basedOn w:val="8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74" w:customStyle="1">
    <w:name w:val="xl80"/>
    <w:basedOn w:val="84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75" w:customStyle="1">
    <w:name w:val="xl81"/>
    <w:basedOn w:val="8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276" w:customStyle="1">
    <w:name w:val="正文文本缩进 字符"/>
    <w:basedOn w:val="855"/>
    <w:link w:val="865"/>
    <w:uiPriority w:val="0"/>
    <w:qFormat/>
    <w:rPr>
      <w:rFonts w:ascii="楷体_GB2312" w:eastAsia="楷体_GB2312" w:hAnsiTheme="minorHAnsi" w:cstheme="minorBidi"/>
      <w:sz w:val="32"/>
      <w:szCs w:val="22"/>
    </w:rPr>
  </w:style>
  <w:style w:type="paragraph" w:styleId="1277" w:customStyle="1">
    <w:name w:val="acbfdd8b-e11b-4d36-88ff-6049b138f862"/>
    <w:basedOn w:val="845"/>
    <w:link w:val="1278"/>
    <w:uiPriority w:val="0"/>
    <w:qFormat/>
    <w:pPr>
      <w:jc w:val="left"/>
      <w:spacing w:line="288" w:lineRule="auto"/>
    </w:pPr>
    <w:rPr>
      <w:rFonts w:ascii="微软雅黑" w:hAnsi="微软雅黑" w:eastAsia="微软雅黑"/>
      <w:color w:val="000000"/>
      <w:sz w:val="22"/>
      <w:szCs w:val="28"/>
    </w:rPr>
  </w:style>
  <w:style w:type="character" w:styleId="1278" w:customStyle="1">
    <w:name w:val="acbfdd8b-e11b-4d36-88ff-6049b138f862 字符"/>
    <w:basedOn w:val="855"/>
    <w:link w:val="1277"/>
    <w:uiPriority w:val="0"/>
    <w:qFormat/>
    <w:rPr>
      <w:rFonts w:ascii="微软雅黑" w:hAnsi="微软雅黑" w:eastAsia="微软雅黑"/>
      <w:color w:val="000000"/>
      <w:sz w:val="22"/>
      <w:szCs w:val="28"/>
    </w:rPr>
  </w:style>
  <w:style w:type="character" w:styleId="1279" w:customStyle="1">
    <w:name w:val="明显强调2"/>
    <w:basedOn w:val="855"/>
    <w:uiPriority w:val="21"/>
    <w:qFormat/>
    <w:rPr>
      <w:i/>
      <w:iCs/>
      <w:color w:val="4f81bd" w:themeColor="accent1"/>
      <w14:textFill>
        <w14:solidFill>
          <w14:schemeClr w14:val="accent1"/>
        </w14:solidFill>
      </w14:textFill>
    </w:rPr>
  </w:style>
  <w:style w:type="character" w:styleId="1280" w:customStyle="1">
    <w:name w:val="明显参考2"/>
    <w:basedOn w:val="855"/>
    <w:uiPriority w:val="32"/>
    <w:qFormat/>
    <w:rPr>
      <w:b/>
      <w:bCs/>
      <w:smallCaps/>
      <w:color w:val="4f81bd" w:themeColor="accent1"/>
      <w:spacing w:val="5"/>
      <w14:textFill>
        <w14:solidFill>
          <w14:schemeClr w14:val="accent1"/>
        </w14:solidFill>
      </w14:textFill>
    </w:rPr>
  </w:style>
  <w:style w:type="paragraph" w:styleId="1281" w:customStyle="1">
    <w:name w:val="BodyTextIndent"/>
    <w:basedOn w:val="845"/>
    <w:uiPriority w:val="0"/>
    <w:qFormat/>
    <w:pPr>
      <w:ind w:firstLine="425"/>
      <w:spacing w:line="360" w:lineRule="auto"/>
    </w:pPr>
  </w:style>
  <w:style w:type="paragraph" w:styleId="1282" w:customStyle="1">
    <w:name w:val="正文文本 21"/>
    <w:basedOn w:val="845"/>
    <w:uiPriority w:val="0"/>
    <w:qFormat/>
    <w:pPr>
      <w:spacing w:after="120" w:line="480" w:lineRule="auto"/>
    </w:pPr>
  </w:style>
  <w:style w:type="paragraph" w:styleId="1283" w:customStyle="1">
    <w:name w:val="_正文段落"/>
    <w:basedOn w:val="845"/>
    <w:uiPriority w:val="0"/>
    <w:qFormat/>
    <w:pPr>
      <w:ind w:firstLine="200"/>
      <w:jc w:val="left"/>
      <w:spacing w:line="360" w:lineRule="auto"/>
    </w:pPr>
    <w:rPr>
      <w:rFonts w:ascii="宋体" w:hAnsi="宋体"/>
      <w:sz w:val="24"/>
    </w:rPr>
  </w:style>
  <w:style w:type="character" w:styleId="1284" w:customStyle="1">
    <w:name w:val="批注框文本 字符"/>
    <w:basedOn w:val="855"/>
    <w:link w:val="874"/>
    <w:uiPriority w:val="99"/>
    <w:semiHidden/>
    <w:qFormat/>
    <w:rPr>
      <w:rFonts w:eastAsia="楷体_GB2312"/>
      <w:sz w:val="18"/>
      <w:szCs w:val="18"/>
    </w:rPr>
  </w:style>
  <w:style w:type="paragraph" w:styleId="1285" w:customStyle="1">
    <w:name w:val="修订2"/>
    <w:hidden/>
    <w:uiPriority w:val="99"/>
    <w:semiHidden/>
    <w:qFormat/>
    <w:rPr>
      <w:rFonts w:ascii="Times New Roman" w:hAnsi="Times New Roman" w:eastAsia="楷体_GB2312" w:cs="Times New Roman"/>
      <w:sz w:val="26"/>
      <w:lang w:val="en-US" w:eastAsia="zh-CN" w:bidi="ar-SA"/>
    </w:rPr>
  </w:style>
  <w:style w:type="character" w:styleId="1286" w:customStyle="1">
    <w:name w:val="NormalCharacter"/>
    <w:uiPriority w:val="0"/>
    <w:qFormat/>
  </w:style>
  <w:style w:type="character" w:styleId="1287" w:customStyle="1">
    <w:name w:val="19"/>
    <w:basedOn w:val="855"/>
    <w:uiPriority w:val="0"/>
    <w:qFormat/>
    <w:rPr>
      <w:rFonts w:hint="default" w:ascii="Times New Roman" w:hAnsi="Times New Roman" w:cs="Times New Roman"/>
      <w:b/>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8B35BF5-3E0F-47DA-ACED-B6ECEA82E254}"/>
</file>

<file path=customXml/itemProps2.xml><?xml version="1.0" encoding="utf-8"?>
<ds:datastoreItem xmlns:ds="http://schemas.openxmlformats.org/officeDocument/2006/customXml" ds:itemID="{F9BB5736-F45D-4037-B678-D08EE28C3D0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周纯</cp:lastModifiedBy>
  <cp:revision>18</cp:revision>
  <dcterms:created xsi:type="dcterms:W3CDTF">2026-07-08T03:30:00Z</dcterms:created>
  <dcterms:modified xsi:type="dcterms:W3CDTF">2026-10-26T09:28:07Z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DBC5CD40A2A047F3A81E5758B875671C_13</vt:lpwstr>
  </property>
  <property fmtid="{D5CDD505-2E9C-101B-9397-08002B2CF9AE}" pid="4" name="KSOTemplateDocerSaveRecord">
    <vt:lpwstr>eyJoZGlkIjoiNWNkMGZmZGUxNzNkMTZmNDUwMjEzYmY4NTVhNzIxZDgiLCJ1c2VySWQiOiIzMTU1ODEyOTcifQ==</vt:lpwstr>
  </property>
</Properties>
</file>