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0"/>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862"/>
        <w:tblW w:w="0" w:type="auto"/>
        <w:tblInd w:w="12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85"/>
        <w:gridCol w:w="4535"/>
      </w:tblGrid>
      <w:tr>
        <w:trPr/>
        <w:tc>
          <w:tcPr>
            <w:tcW w:w="1885"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p>
        </w:tc>
        <w:tc>
          <w:tcPr>
            <w:tcW w:w="4535" w:type="dxa"/>
            <w:textDirection w:val="lrTb"/>
            <w:noWrap w:val="false"/>
          </w:tcPr>
          <w:p>
            <w:pPr>
              <w:spacing w:line="480" w:lineRule="auto"/>
              <w:rPr>
                <w:rFonts w:ascii="Arial" w:hAnsi="Arial"/>
                <w:b/>
                <w:bCs/>
                <w:color w:val="000000"/>
                <w:sz w:val="32"/>
                <w:szCs w:val="24"/>
              </w:rPr>
            </w:pPr>
            <w:r>
              <w:rPr>
                <w:rFonts w:hint="eastAsia" w:ascii="Arial" w:hAnsi="Arial"/>
                <w:b/>
                <w:bCs/>
                <w:color w:val="000000"/>
                <w:sz w:val="32"/>
                <w:szCs w:val="24"/>
              </w:rPr>
              <w:t xml:space="preserve">江苏省中医院连云港医院信息机房及网络基础提升建设项目（非专门面向中小企业）</w:t>
            </w:r>
            <w:r/>
          </w:p>
        </w:tc>
      </w:tr>
      <w:tr>
        <w:trPr/>
        <w:tc>
          <w:tcPr>
            <w:tcW w:w="1885"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sz w:val="32"/>
                <w:szCs w:val="24"/>
              </w:rPr>
              <w:t xml:space="preserve">项目编号：</w:t>
            </w:r>
            <w:r/>
          </w:p>
        </w:tc>
        <w:tc>
          <w:tcPr>
            <w:tcW w:w="4535" w:type="dxa"/>
            <w:textDirection w:val="lrTb"/>
            <w:noWrap w:val="false"/>
          </w:tcPr>
          <w:p>
            <w:pPr>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JSZC-320700-JZCG-G2026-0135</w:t>
            </w:r>
            <w:r/>
          </w:p>
        </w:tc>
      </w:tr>
    </w:tbl>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2026年10月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before="156" w:after="156"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59"/>
        <w:rPr>
          <w:sz w:val="28"/>
        </w:rPr>
      </w:pPr>
      <w:r>
        <w:rPr>
          <w:sz w:val="28"/>
        </w:rPr>
      </w:r>
      <w:r/>
    </w:p>
    <w:p>
      <w:pPr>
        <w:pStyle w:val="859"/>
        <w:rPr>
          <w:sz w:val="28"/>
        </w:rPr>
      </w:pPr>
      <w:r>
        <w:rPr>
          <w:rFonts w:hint="eastAsia"/>
          <w:sz w:val="28"/>
        </w:rPr>
        <w:t xml:space="preserve">第一章</w:t>
      </w:r>
      <w:r>
        <w:rPr>
          <w:sz w:val="28"/>
        </w:rPr>
        <w:t xml:space="preserve">  </w:t>
      </w:r>
      <w:r>
        <w:rPr>
          <w:rFonts w:hint="eastAsia"/>
          <w:sz w:val="28"/>
        </w:rPr>
        <w:t xml:space="preserve">投标邀请...................................................................................</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59"/>
        <w:rPr>
          <w:sz w:val="28"/>
        </w:rPr>
      </w:pPr>
      <w:r>
        <w:rPr>
          <w:rFonts w:hint="eastAsia"/>
          <w:sz w:val="28"/>
        </w:rPr>
        <w:t xml:space="preserve">第二章</w:t>
      </w:r>
      <w:r>
        <w:rPr>
          <w:sz w:val="28"/>
        </w:rPr>
        <w:t xml:space="preserve">  </w:t>
      </w:r>
      <w:r>
        <w:rPr>
          <w:rFonts w:hint="eastAsia"/>
          <w:sz w:val="28"/>
        </w:rPr>
        <w:t xml:space="preserve">投标人须知...............................................................................</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859"/>
        <w:rPr>
          <w:sz w:val="28"/>
        </w:rPr>
      </w:pPr>
      <w:r>
        <w:rPr>
          <w:rFonts w:hint="eastAsia"/>
          <w:sz w:val="28"/>
        </w:rPr>
        <w:t xml:space="preserve">第三章</w:t>
      </w:r>
      <w:r>
        <w:rPr>
          <w:sz w:val="28"/>
        </w:rPr>
        <w:t xml:space="preserve">  </w:t>
      </w:r>
      <w:r>
        <w:rPr>
          <w:rFonts w:hint="eastAsia"/>
          <w:sz w:val="28"/>
        </w:rPr>
        <w:t xml:space="preserve">合同文本.................................................................................</w:t>
      </w:r>
      <w:r>
        <w:rPr>
          <w:sz w:val="28"/>
        </w:rPr>
        <w:fldChar w:fldCharType="begin"/>
      </w:r>
      <w:r>
        <w:rPr>
          <w:sz w:val="28"/>
        </w:rPr>
        <w:instrText xml:space="preserve"> PAGEREF _Toc162361612 \h </w:instrText>
      </w:r>
      <w:r>
        <w:rPr>
          <w:sz w:val="28"/>
        </w:rPr>
        <w:fldChar w:fldCharType="separate"/>
      </w:r>
      <w:r>
        <w:rPr>
          <w:sz w:val="28"/>
        </w:rPr>
        <w:t xml:space="preserve">20</w:t>
      </w:r>
      <w:r>
        <w:rPr>
          <w:sz w:val="28"/>
        </w:rPr>
        <w:fldChar w:fldCharType="end"/>
      </w:r>
      <w:r/>
    </w:p>
    <w:p>
      <w:pPr>
        <w:pStyle w:val="859"/>
        <w:rPr>
          <w:sz w:val="28"/>
        </w:rPr>
      </w:pPr>
      <w:r>
        <w:rPr>
          <w:rFonts w:hint="eastAsia"/>
          <w:sz w:val="28"/>
        </w:rPr>
        <w:t xml:space="preserve">第四章</w:t>
      </w:r>
      <w:r>
        <w:rPr>
          <w:sz w:val="28"/>
        </w:rPr>
        <w:t xml:space="preserve">  </w:t>
      </w:r>
      <w:r>
        <w:rPr>
          <w:rFonts w:hint="eastAsia"/>
          <w:sz w:val="28"/>
        </w:rPr>
        <w:t xml:space="preserve">采购需求.................................................................................</w:t>
      </w:r>
      <w:r>
        <w:rPr>
          <w:sz w:val="28"/>
        </w:rPr>
        <w:fldChar w:fldCharType="begin"/>
      </w:r>
      <w:r>
        <w:rPr>
          <w:sz w:val="28"/>
        </w:rPr>
        <w:instrText xml:space="preserve"> PAGEREF _Toc162361613 \h </w:instrText>
      </w:r>
      <w:r>
        <w:rPr>
          <w:sz w:val="28"/>
        </w:rPr>
        <w:fldChar w:fldCharType="separate"/>
      </w:r>
      <w:r>
        <w:rPr>
          <w:sz w:val="28"/>
        </w:rPr>
        <w:t xml:space="preserve">25</w:t>
      </w:r>
      <w:r>
        <w:rPr>
          <w:sz w:val="28"/>
        </w:rPr>
        <w:fldChar w:fldCharType="end"/>
      </w:r>
      <w:r/>
    </w:p>
    <w:p>
      <w:pPr>
        <w:pStyle w:val="859"/>
        <w:rPr>
          <w:sz w:val="28"/>
        </w:rPr>
      </w:pPr>
      <w:r>
        <w:rPr>
          <w:rFonts w:hint="eastAsia"/>
          <w:sz w:val="28"/>
        </w:rPr>
        <w:t xml:space="preserve">第五章</w:t>
      </w:r>
      <w:r>
        <w:rPr>
          <w:sz w:val="28"/>
        </w:rPr>
        <w:t xml:space="preserve">  </w:t>
      </w:r>
      <w:r>
        <w:rPr>
          <w:rFonts w:hint="eastAsia"/>
          <w:sz w:val="28"/>
        </w:rPr>
        <w:t xml:space="preserve">评标方法与评标标准.............................................................</w:t>
      </w:r>
      <w:r>
        <w:rPr>
          <w:sz w:val="28"/>
        </w:rPr>
        <w:fldChar w:fldCharType="begin"/>
      </w:r>
      <w:r>
        <w:rPr>
          <w:sz w:val="28"/>
        </w:rPr>
        <w:instrText xml:space="preserve"> PAGEREF _Toc162361614 \h </w:instrText>
      </w:r>
      <w:r>
        <w:rPr>
          <w:sz w:val="28"/>
        </w:rPr>
        <w:fldChar w:fldCharType="separate"/>
      </w:r>
      <w:r>
        <w:rPr>
          <w:sz w:val="28"/>
        </w:rPr>
        <w:t xml:space="preserve">30</w:t>
      </w:r>
      <w:r>
        <w:rPr>
          <w:sz w:val="28"/>
        </w:rPr>
        <w:fldChar w:fldCharType="end"/>
      </w:r>
      <w:r/>
    </w:p>
    <w:p>
      <w:pPr>
        <w:pStyle w:val="859"/>
        <w:rPr>
          <w:sz w:val="28"/>
        </w:rPr>
      </w:pPr>
      <w:r>
        <w:rPr>
          <w:rFonts w:hint="eastAsia"/>
          <w:sz w:val="28"/>
        </w:rPr>
        <w:t xml:space="preserve">第六章</w:t>
      </w:r>
      <w:r>
        <w:rPr>
          <w:sz w:val="28"/>
        </w:rPr>
        <w:t xml:space="preserve">  </w:t>
      </w:r>
      <w:r>
        <w:rPr>
          <w:rFonts w:hint="eastAsia"/>
          <w:sz w:val="28"/>
        </w:rPr>
        <w:t xml:space="preserve">投标文件格式.........................................................................</w:t>
      </w:r>
      <w:r>
        <w:rPr>
          <w:sz w:val="28"/>
        </w:rPr>
        <w:fldChar w:fldCharType="begin"/>
      </w:r>
      <w:r>
        <w:rPr>
          <w:sz w:val="28"/>
        </w:rPr>
        <w:instrText xml:space="preserve"> PAGEREF _Toc162361615 \h </w:instrText>
      </w:r>
      <w:r>
        <w:rPr>
          <w:sz w:val="28"/>
        </w:rPr>
        <w:fldChar w:fldCharType="separate"/>
      </w:r>
      <w:r>
        <w:rPr>
          <w:sz w:val="28"/>
        </w:rPr>
        <w:t xml:space="preserve">32</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47"/>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47"/>
        <w:jc w:val="center"/>
        <w:spacing w:before="156" w:after="156"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w:t>
      </w:r>
      <w:r>
        <w:rPr>
          <w:rFonts w:hint="eastAsia"/>
          <w:sz w:val="24"/>
          <w:szCs w:val="24"/>
        </w:rPr>
        <w:t xml:space="preserve">江苏省中医院连云港医院</w:t>
      </w:r>
      <w:r>
        <w:rPr>
          <w:rFonts w:hint="eastAsia" w:asciiTheme="minorEastAsia" w:hAnsiTheme="minorEastAsia"/>
          <w:sz w:val="24"/>
          <w:szCs w:val="24"/>
        </w:rPr>
        <w:t xml:space="preserve">的委托，连云港市公共资源交易中心就</w:t>
      </w:r>
      <w:r>
        <w:rPr>
          <w:rFonts w:hint="eastAsia"/>
          <w:sz w:val="24"/>
          <w:szCs w:val="24"/>
        </w:rPr>
        <w:t xml:space="preserve">江苏省中医院连云港医院信息机房及网络基础提升建设项目（非专门面向中小企业）</w:t>
      </w:r>
      <w:r>
        <w:rPr>
          <w:rFonts w:hint="eastAsia" w:asciiTheme="minorEastAsia" w:hAnsiTheme="minorEastAsia"/>
          <w:sz w:val="24"/>
          <w:szCs w:val="24"/>
          <w:highlight w:val="none"/>
        </w:rPr>
        <w:t xml:space="preserve">（项目编号：JSZC-320700-JZCG-G2026-0135）</w:t>
      </w:r>
      <w:r>
        <w:rPr>
          <w:rFonts w:hint="eastAsia" w:asciiTheme="minorEastAsia" w:hAnsiTheme="minorEastAsia"/>
          <w:sz w:val="24"/>
          <w:szCs w:val="24"/>
        </w:rPr>
        <w:t xml:space="preserve">项目进行公开招标采购，欢迎符合条件的供应商投标。</w:t>
      </w:r>
      <w:r/>
    </w:p>
    <w:tbl>
      <w:tblPr>
        <w:tblStyle w:val="862"/>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bCs/>
                <w:sz w:val="24"/>
                <w:szCs w:val="24"/>
                <w:u w:val="single"/>
              </w:rPr>
              <w:t xml:space="preserve">江苏省中医院连云港医院信息机房及网络基础提升建设项目（非专门面向中小企业）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2026年11月3日9:00:00</w:t>
            </w:r>
            <w:r>
              <w:rPr>
                <w:rFonts w:hint="eastAsia" w:asciiTheme="minorEastAsia" w:hAnsiTheme="minorEastAsia"/>
                <w:sz w:val="24"/>
                <w:szCs w:val="24"/>
              </w:rPr>
              <w:t xml:space="preserve">（北京时间）前递交（上传）投标文件。</w:t>
            </w:r>
            <w:r/>
          </w:p>
        </w:tc>
      </w:tr>
    </w:tbl>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项目编号：JSZC-320700-JZCG-G2026-0135</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项目名称：江苏省中医院连云港医院信息机房及网络基础提升建设项目（非专门面向中小企业）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w:t>
      </w:r>
      <w:r>
        <w:rPr>
          <w:rFonts w:hint="eastAsia" w:cs="Times New Roman" w:asciiTheme="minorEastAsia" w:hAnsiTheme="minorEastAsia"/>
          <w:color w:val="000000"/>
          <w:sz w:val="24"/>
          <w:szCs w:val="24"/>
        </w:rPr>
        <w:t xml:space="preserve">496.7万元</w:t>
      </w:r>
      <w:r>
        <w:rPr>
          <w:rFonts w:hint="eastAsia" w:asciiTheme="minorEastAsia" w:hAnsiTheme="minorEastAsia"/>
          <w:sz w:val="24"/>
          <w:szCs w:val="24"/>
        </w:rPr>
        <w:t xml:space="preserve">，</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Cs/>
          <w:color w:val="000000"/>
          <w:sz w:val="24"/>
          <w:szCs w:val="24"/>
        </w:rPr>
        <w:t xml:space="preserve">预算金额</w:t>
      </w:r>
      <w:r>
        <w:rPr>
          <w:rFonts w:hint="eastAsia" w:cs="Times New Roman" w:asciiTheme="minorEastAsia" w:hAnsiTheme="minorEastAsia"/>
          <w:color w:val="000000"/>
          <w:sz w:val="24"/>
          <w:szCs w:val="24"/>
        </w:rPr>
        <w:t xml:space="preserve">的投标无效。</w:t>
      </w:r>
      <w:r/>
    </w:p>
    <w:p>
      <w:pPr>
        <w:ind w:firstLine="480"/>
        <w:spacing w:line="500" w:lineRule="exact"/>
        <w:rPr>
          <w:rFonts w:asciiTheme="minorEastAsia" w:hAnsiTheme="minorEastAsia"/>
          <w:b/>
          <w:sz w:val="24"/>
          <w:szCs w:val="24"/>
        </w:rPr>
      </w:pPr>
      <w:r>
        <w:rPr>
          <w:rFonts w:hint="eastAsia" w:asciiTheme="minorEastAsia" w:hAnsiTheme="minorEastAsia"/>
          <w:sz w:val="24"/>
          <w:szCs w:val="24"/>
        </w:rPr>
        <w:t xml:space="preserve">采购需求：针对核心机房保障升级，院区之间互联互通裸纤连接(双链路)，购置1套云桌面一体机及配套管理软件移动办公建设,外网资源池建设，具体要求详见第四章项目需求。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合同履行期限：合同签订后60天内完成安装调试。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Theme="minorEastAsia" w:hAnsiTheme="minorEastAsia"/>
          <w:bCs/>
          <w:sz w:val="24"/>
          <w:szCs w:val="24"/>
        </w:rPr>
      </w:pPr>
      <w:r>
        <w:rPr>
          <w:rFonts w:hint="eastAsia" w:asciiTheme="minorEastAsia" w:hAnsiTheme="minorEastAsia"/>
          <w:bCs/>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4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时间：自招标公告发布之日起至2026年10月20日（北京时间）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4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提交投标文件截止时间：2026年11月3日9:00:00（北京时间）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开标时间：2026年11月3日9:00:00（北京时间）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4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4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4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称：江苏省中医院连云港医院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址：连云港市海州区朝阳中路160号</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联系方式：15305131910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联系方式：李俊怡 </w:t>
      </w:r>
      <w:r>
        <w:rPr>
          <w:rFonts w:cs="Times New Roman" w:asciiTheme="minorEastAsia" w:hAnsiTheme="minorEastAsia"/>
          <w:sz w:val="24"/>
          <w:szCs w:val="24"/>
        </w:rPr>
        <w:t xml:space="preserve">  0518-85868290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项目联系人：郑东鹏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电      话：15305131910</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847"/>
        <w:jc w:val="center"/>
        <w:spacing w:before="156" w:after="156" w:line="360" w:lineRule="auto"/>
        <w:rPr>
          <w:rFonts w:ascii="黑体" w:hAnsi="黑体" w:eastAsia="黑体"/>
          <w:b w:val="0"/>
        </w:rPr>
      </w:pPr>
      <w:r/>
      <w:bookmarkStart w:id="1" w:name="_Toc162361611"/>
      <w:r>
        <w:rPr>
          <w:rFonts w:hint="eastAsia" w:ascii="黑体" w:hAnsi="黑体" w:eastAsia="黑体"/>
          <w:b w:val="0"/>
        </w:rPr>
        <w:t xml:space="preserve">第二章  投标人须知</w:t>
      </w:r>
      <w:bookmarkEnd w:id="1"/>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ascii="新宋体" w:hAnsi="新宋体" w:eastAsia="新宋体" w:cs="宋体"/>
          <w:bCs/>
          <w:color w:val="000000"/>
          <w:sz w:val="24"/>
          <w:szCs w:val="24"/>
        </w:rPr>
      </w:pPr>
      <w:r>
        <w:rPr>
          <w:rFonts w:hint="eastAsia" w:ascii="新宋体" w:hAnsi="新宋体" w:eastAsia="新宋体" w:cs="宋体"/>
          <w:bCs/>
          <w:color w:val="000000"/>
          <w:sz w:val="24"/>
          <w:szCs w:val="24"/>
        </w:rPr>
        <w:t xml:space="preserve">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rFonts w:hint="eastAsia" w:asciiTheme="minorEastAsia" w:hAnsiTheme="minorEastAsia"/>
          <w:sz w:val="24"/>
          <w:szCs w:val="24"/>
        </w:rPr>
      </w:pPr>
      <w:r>
        <w:rPr>
          <w:rFonts w:hint="eastAsia" w:ascii="新宋体" w:hAnsi="新宋体" w:eastAsia="新宋体" w:cs="宋体"/>
          <w:bCs/>
          <w:color w:val="000000"/>
          <w:sz w:val="24"/>
          <w:szCs w:val="24"/>
        </w:rPr>
        <w:t xml:space="preserve">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1.投标报价低于全部通过符合性审查供应商投标报价平均值65%的，即投标报价&lt;全部通过符合性审查供应商投标报价平均值×65%；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2.投标报价低于通过符合性审查的次低报价供应商投标报价65%的，即投标报价&lt;通过符合性审查的次低报价供应商投标报价×65%；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3.投标报价低于采购项目最高限价65%的，即投标报价&lt;采购项目最高限价×65%；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未尽事宜，依照有关法律、法规执行。</w:t>
      </w:r>
      <w:r/>
    </w:p>
    <w:p>
      <w:pPr>
        <w:pStyle w:val="84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w:t>
      </w:r>
      <w:bookmarkStart w:id="4" w:name="OLE_LINK151"/>
      <w:r>
        <w:rPr>
          <w:rFonts w:hint="eastAsia" w:asciiTheme="minorEastAsia" w:hAnsiTheme="minorEastAsia"/>
          <w:sz w:val="24"/>
          <w:szCs w:val="24"/>
        </w:rPr>
        <w:t xml:space="preserve"> 本项目执行《关于印发&lt;政府采购促进中小企业发展管理办法&gt;的通知》（财库〔2020〕</w:t>
      </w:r>
      <w:r>
        <w:rPr>
          <w:rFonts w:hint="eastAsia" w:asciiTheme="minorEastAsia" w:hAnsiTheme="minor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本项目对提供的服务全部由小型企业、微型企业、残疾人福利性单位和监狱企业承接的报价给予10%的扣除，用扣除后的价格参与评审。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bookmarkEnd w:id="4"/>
      <w:r/>
      <w:r/>
    </w:p>
    <w:p>
      <w:pPr>
        <w:ind w:firstLine="482"/>
        <w:spacing w:line="500" w:lineRule="exact"/>
        <w:rPr>
          <w:rFonts w:asciiTheme="minorEastAsia" w:hAnsiTheme="minorEastAsia"/>
          <w:b/>
          <w:sz w:val="24"/>
        </w:rPr>
      </w:pPr>
      <w:r>
        <w:rPr>
          <w:rFonts w:hint="eastAsia" w:asciiTheme="minorEastAsia" w:hAnsiTheme="minorEastAsia"/>
          <w:b/>
          <w:sz w:val="24"/>
        </w:rPr>
        <w:t xml:space="preserve">39、采购本国产品的支持政策</w:t>
      </w:r>
      <w:r/>
    </w:p>
    <w:p>
      <w:pPr>
        <w:ind w:firstLine="480"/>
        <w:spacing w:line="500" w:lineRule="exact"/>
        <w:rPr>
          <w:rFonts w:asciiTheme="minorEastAsia" w:hAnsiTheme="minorEastAsia"/>
          <w:bCs/>
          <w:sz w:val="24"/>
        </w:rPr>
      </w:pPr>
      <w:r>
        <w:rPr>
          <w:rFonts w:hint="eastAsia" w:asciiTheme="minorEastAsia" w:hAnsiTheme="minorEastAsia"/>
          <w:bCs/>
          <w:sz w:val="24"/>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Theme="minorEastAsia" w:hAnsiTheme="minorEastAsia"/>
          <w:bCs/>
          <w:sz w:val="24"/>
        </w:rPr>
      </w:pPr>
      <w:r>
        <w:rPr>
          <w:rFonts w:hint="eastAsia" w:asciiTheme="minorEastAsia" w:hAnsiTheme="minorEastAsia"/>
          <w:bCs/>
          <w:sz w:val="24"/>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Theme="minorEastAsia" w:hAnsiTheme="minorEastAsia"/>
          <w:bCs/>
          <w:sz w:val="24"/>
        </w:rPr>
      </w:pPr>
      <w:r>
        <w:rPr>
          <w:rFonts w:hint="eastAsia" w:asciiTheme="minorEastAsia" w:hAnsiTheme="minorEastAsia"/>
          <w:bCs/>
          <w:sz w:val="24"/>
        </w:rPr>
        <w:t xml:space="preserve">39.3 供应商需按照招标文件的要求提供《关于符合本国产品标准的声明函》（以下简称《声明函》），如不提供将不享受本国产品价格评审优惠。</w:t>
      </w:r>
      <w:r/>
    </w:p>
    <w:p>
      <w:pPr>
        <w:ind w:firstLine="480"/>
        <w:spacing w:line="500" w:lineRule="exact"/>
        <w:rPr>
          <w:rFonts w:asciiTheme="minorEastAsia" w:hAnsiTheme="minorEastAsia"/>
          <w:bCs/>
          <w:sz w:val="24"/>
        </w:rPr>
      </w:pPr>
      <w:r>
        <w:rPr>
          <w:rFonts w:hint="eastAsia" w:asciiTheme="minorEastAsia" w:hAnsiTheme="minorEastAsia"/>
          <w:bCs/>
          <w:sz w:val="24"/>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Theme="minorEastAsia" w:hAnsiTheme="minorEastAsia"/>
          <w:b/>
          <w:sz w:val="24"/>
        </w:rPr>
      </w:pPr>
      <w:r>
        <w:rPr>
          <w:rFonts w:hint="eastAsia" w:asciiTheme="minorEastAsia" w:hAnsiTheme="minorEastAsia"/>
          <w:bCs/>
          <w:sz w:val="24"/>
        </w:rPr>
        <w:t xml:space="preserve">39.5政府采购中的本国产品标准及其他未尽事宜详见《国务院办公厅关于在政府采购中实施本国产品标准及相关政策的通知》（国办发〔2025〕34号）。</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41.政府采购需求标准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7"/>
        <w:jc w:val="center"/>
        <w:spacing w:before="156" w:after="156" w:line="360" w:lineRule="auto"/>
        <w:rPr>
          <w:rFonts w:ascii="黑体" w:hAnsi="黑体" w:eastAsia="黑体"/>
          <w:b w:val="0"/>
        </w:rPr>
      </w:pPr>
      <w:r/>
      <w:bookmarkStart w:id="5" w:name="_Toc162361612"/>
      <w:r>
        <w:rPr>
          <w:rFonts w:hint="eastAsia" w:ascii="黑体" w:hAnsi="黑体" w:eastAsia="黑体"/>
          <w:b w:val="0"/>
        </w:rPr>
        <w:t xml:space="preserve">第三章  合同文本</w:t>
      </w:r>
      <w:bookmarkEnd w:id="5"/>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6" w:name="OLE_LINK154"/>
      <w:r/>
      <w:bookmarkStart w:id="7" w:name="OLE_LINK155"/>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60" w:lineRule="exact"/>
        <w:rPr>
          <w:sz w:val="24"/>
          <w:szCs w:val="24"/>
        </w:rPr>
      </w:pPr>
      <w:r>
        <w:rPr>
          <w:rFonts w:hint="eastAsia"/>
          <w:sz w:val="24"/>
          <w:szCs w:val="24"/>
        </w:rPr>
        <w:t xml:space="preserve">6.1 无</w:t>
      </w:r>
      <w:r>
        <w:rPr>
          <w:rFonts w:hint="eastAsia" w:ascii="宋体" w:hAnsi="宋体" w:eastAsia="宋体" w:cs="Times New Roman"/>
          <w:sz w:val="24"/>
          <w:szCs w:val="24"/>
        </w:rPr>
        <w:t xml:space="preserve">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本合同范围内产品或服务，未经甲方同意，不得转让他人供应或部分分包给他人供应。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6"/>
      <w:r/>
      <w:bookmarkEnd w:id="7"/>
      <w:r/>
      <w:r/>
    </w:p>
    <w:p>
      <w:pPr>
        <w:jc w:val="left"/>
        <w:widowControl/>
        <w:rPr>
          <w:sz w:val="24"/>
          <w:szCs w:val="24"/>
        </w:rPr>
      </w:pPr>
      <w:r>
        <w:rPr>
          <w:sz w:val="24"/>
          <w:szCs w:val="24"/>
        </w:rPr>
        <w:br w:type="page" w:clear="all"/>
      </w:r>
      <w:r/>
    </w:p>
    <w:p>
      <w:pPr>
        <w:pStyle w:val="847"/>
        <w:jc w:val="center"/>
        <w:spacing w:before="156" w:after="156" w:line="360" w:lineRule="auto"/>
        <w:rPr>
          <w:rFonts w:ascii="黑体" w:hAnsi="黑体" w:eastAsia="黑体"/>
          <w:b w:val="0"/>
        </w:rPr>
      </w:pPr>
      <w:r/>
      <w:bookmarkStart w:id="8" w:name="_Toc162361613"/>
      <w:r>
        <w:rPr>
          <w:rFonts w:hint="eastAsia" w:ascii="黑体" w:hAnsi="黑体" w:eastAsia="黑体"/>
          <w:b w:val="0"/>
        </w:rPr>
        <w:t xml:space="preserve">第四章  采购需求</w:t>
      </w:r>
      <w:bookmarkEnd w:id="8"/>
      <w:r/>
      <w:r/>
    </w:p>
    <w:p>
      <w:pPr>
        <w:ind w:firstLine="482"/>
        <w:jc w:val="left"/>
        <w:spacing w:line="500" w:lineRule="exact"/>
        <w:rPr>
          <w:rFonts w:ascii="Times New Roman" w:hAnsi="Times New Roman" w:cs="Times New Roman"/>
          <w:b/>
          <w:sz w:val="24"/>
          <w:szCs w:val="24"/>
        </w:rPr>
      </w:pPr>
      <w:r>
        <w:rPr>
          <w:rFonts w:ascii="Times New Roman" w:hAnsi="Times New Roman" w:cs="Times New Roman"/>
          <w:b/>
          <w:sz w:val="24"/>
          <w:szCs w:val="24"/>
        </w:rPr>
        <w:t xml:space="preserve">说明：</w:t>
      </w:r>
      <w:r>
        <w:rPr>
          <w:rFonts w:hint="eastAsia" w:ascii="Times New Roman" w:hAnsi="Times New Roman" w:cs="Times New Roman"/>
          <w:b/>
          <w:sz w:val="24"/>
          <w:szCs w:val="24"/>
        </w:rPr>
        <w:t xml:space="preserve">按照有利于项目实施原则，</w:t>
      </w:r>
      <w:r>
        <w:rPr>
          <w:rFonts w:ascii="Times New Roman" w:hAnsi="Times New Roman" w:cs="Times New Roman"/>
          <w:b/>
          <w:sz w:val="24"/>
          <w:szCs w:val="24"/>
        </w:rPr>
        <w:t xml:space="preserve">本项目属性为服务，采购标的对应的中小企业划分标准所属行业为：</w:t>
      </w:r>
      <w:r>
        <w:rPr>
          <w:rFonts w:ascii="Times New Roman" w:hAnsi="Times New Roman" w:cs="Times New Roman"/>
          <w:b/>
          <w:sz w:val="24"/>
          <w:szCs w:val="24"/>
          <w:u w:val="single"/>
        </w:rPr>
        <w:t xml:space="preserve">   软件与信息技术服务</w:t>
      </w:r>
      <w:r>
        <w:rPr>
          <w:rFonts w:hint="eastAsia" w:ascii="Times New Roman" w:hAnsi="Times New Roman" w:cs="Times New Roman"/>
          <w:b/>
          <w:sz w:val="24"/>
          <w:szCs w:val="24"/>
          <w:u w:val="single"/>
        </w:rPr>
        <w:t xml:space="preserve">业   </w:t>
      </w:r>
      <w:r>
        <w:rPr>
          <w:rFonts w:ascii="Times New Roman" w:hAnsi="Times New Roman" w:cs="Times New Roman"/>
          <w:b/>
          <w:sz w:val="24"/>
          <w:szCs w:val="24"/>
        </w:rPr>
        <w:t xml:space="preserve">。</w:t>
      </w:r>
      <w:r/>
    </w:p>
    <w:p>
      <w:pPr>
        <w:ind w:firstLine="480"/>
        <w:spacing w:line="500" w:lineRule="exact"/>
        <w:rPr>
          <w:rFonts w:ascii="宋体" w:hAnsi="宋体"/>
          <w:b/>
          <w:bCs/>
          <w:sz w:val="24"/>
          <w:szCs w:val="24"/>
        </w:rPr>
      </w:pPr>
      <w:r>
        <w:rPr>
          <w:rFonts w:hint="eastAsia" w:ascii="宋体" w:hAnsi="宋体"/>
          <w:b/>
          <w:sz w:val="24"/>
          <w:szCs w:val="24"/>
        </w:rPr>
        <w:t xml:space="preserve">依据《关于印发中小企业划型标准规定的通知》（工信部联企业〔2011〕300号）行业划型标准如下：（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jc w:val="left"/>
        <w:spacing w:line="500" w:lineRule="exact"/>
        <w:rPr>
          <w:rFonts w:ascii="Times New Roman" w:hAnsi="Times New Roman" w:cs="Times New Roman"/>
          <w:b/>
          <w:sz w:val="24"/>
          <w:szCs w:val="24"/>
        </w:rPr>
      </w:pPr>
      <w:r>
        <w:rPr>
          <w:rFonts w:ascii="Times New Roman" w:hAnsi="Times New Roman" w:cs="Times New Roman"/>
          <w:b/>
          <w:sz w:val="24"/>
          <w:szCs w:val="24"/>
        </w:rPr>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1.根据《政府采购需求管理办法》等有关规定，采购人确定采购需求。</w:t>
      </w:r>
      <w:r/>
    </w:p>
    <w:p>
      <w:pPr>
        <w:ind w:firstLine="480"/>
        <w:jc w:val="left"/>
        <w:spacing w:line="500" w:lineRule="exact"/>
        <w:rPr>
          <w:rFonts w:ascii="Times New Roman" w:hAnsi="Times New Roman" w:cs="Times New Roman"/>
          <w:sz w:val="24"/>
          <w:szCs w:val="24"/>
        </w:rPr>
      </w:pPr>
      <w:r>
        <w:rPr>
          <w:rFonts w:ascii="Times New Roman" w:hAnsi="Times New Roman" w:cs="Times New Roman"/>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879"/>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3.特别提醒：</w:t>
      </w:r>
      <w:r/>
    </w:p>
    <w:p>
      <w:pPr>
        <w:pStyle w:val="879"/>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3.1本项目对采购本国产品给予政策支持，具体内容见招标文件“第二章 九、政府采购政策功能”。</w:t>
      </w:r>
      <w:r/>
    </w:p>
    <w:p>
      <w:pPr>
        <w:pStyle w:val="879"/>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9"/>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sz w:val="24"/>
          <w:szCs w:val="24"/>
        </w:rPr>
      </w:pPr>
      <w:r>
        <w:rPr>
          <w:sz w:val="24"/>
          <w:szCs w:val="24"/>
        </w:rPr>
      </w:r>
      <w:r/>
    </w:p>
    <w:p>
      <w:pPr>
        <w:ind w:firstLine="480"/>
        <w:rPr>
          <w:sz w:val="24"/>
          <w:szCs w:val="24"/>
        </w:rPr>
      </w:pPr>
      <w:r>
        <w:rPr>
          <w:sz w:val="24"/>
          <w:szCs w:val="24"/>
        </w:rPr>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500" w:lineRule="exact"/>
        <w:rPr>
          <w:rFonts w:ascii="宋体" w:hAnsi="宋体"/>
          <w:b/>
          <w:sz w:val="24"/>
          <w:szCs w:val="24"/>
        </w:rPr>
      </w:pPr>
      <w:r>
        <w:rPr>
          <w:rFonts w:hint="eastAsia" w:ascii="宋体" w:hAnsi="宋体"/>
          <w:b/>
          <w:sz w:val="24"/>
          <w:szCs w:val="24"/>
        </w:rPr>
        <w:t xml:space="preserve">一、项目概况</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针对核心机房保障升级，院区之间互联互通裸纤连接(双链路)，购置1套云桌面一体机及配套管理软件移动办公建设,外网资源池建设。</w:t>
      </w:r>
      <w:r/>
    </w:p>
    <w:p>
      <w:pPr>
        <w:ind w:firstLine="480"/>
        <w:spacing w:line="500" w:lineRule="exact"/>
        <w:rPr>
          <w:rFonts w:ascii="宋体" w:hAnsi="宋体"/>
          <w:b/>
          <w:sz w:val="24"/>
          <w:szCs w:val="24"/>
        </w:rPr>
      </w:pPr>
      <w:r>
        <w:rPr>
          <w:rFonts w:hint="eastAsia" w:ascii="宋体" w:hAnsi="宋体"/>
          <w:b/>
          <w:sz w:val="24"/>
          <w:szCs w:val="24"/>
        </w:rPr>
        <w:t xml:space="preserve">二、服务技术要求</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1.服务范围</w:t>
      </w:r>
      <w:r/>
    </w:p>
    <w:p>
      <w:pPr>
        <w:ind w:firstLine="480"/>
        <w:spacing w:line="360" w:lineRule="auto"/>
        <w:rPr>
          <w:rFonts w:asciiTheme="minorEastAsia" w:hAnsiTheme="minorEastAsia"/>
          <w:sz w:val="24"/>
        </w:rPr>
      </w:pPr>
      <w:r>
        <w:rPr>
          <w:rFonts w:hint="eastAsia" w:asciiTheme="minorEastAsia" w:hAnsiTheme="minorEastAsia"/>
          <w:sz w:val="24"/>
        </w:rPr>
        <w:t xml:space="preserve">本项目建设内容包含核心机房保障升级、院区网络建设（院区互联互通裸纤双链路）、外网资源池建设、移动办公建设，集成实施等。</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2.服务技术要求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2.1项目实施货物采购清单</w:t>
      </w:r>
      <w:r/>
    </w:p>
    <w:tbl>
      <w:tblPr>
        <w:tblStyle w:val="851"/>
        <w:tblW w:w="4853" w:type="pct"/>
        <w:tblInd w:w="250" w:type="dxa"/>
        <w:tblLayout w:type="fixed"/>
        <w:tblCellMar>
          <w:left w:w="108" w:type="dxa"/>
          <w:top w:w="0" w:type="dxa"/>
          <w:right w:w="108" w:type="dxa"/>
          <w:bottom w:w="0" w:type="dxa"/>
        </w:tblCellMar>
        <w:tblLook w:val="04A0" w:firstRow="1" w:lastRow="0" w:firstColumn="1" w:lastColumn="0" w:noHBand="0" w:noVBand="1"/>
      </w:tblPr>
      <w:tblGrid>
        <w:gridCol w:w="789"/>
        <w:gridCol w:w="3446"/>
        <w:gridCol w:w="1305"/>
        <w:gridCol w:w="1290"/>
        <w:gridCol w:w="1441"/>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备注</w:t>
            </w:r>
            <w:r/>
          </w:p>
        </w:tc>
      </w:tr>
      <w:tr>
        <w:trPr>
          <w:trHeight w:val="440"/>
        </w:trPr>
        <w:tc>
          <w:tcPr>
            <w:gridSpan w:val="5"/>
            <w:shd w:val="clear" w:color="auto" w:fill="auto"/>
            <w:tcBorders>
              <w:top w:val="single" w:color="000000" w:sz="4" w:space="0"/>
              <w:left w:val="single" w:color="000000" w:sz="4" w:space="0"/>
              <w:bottom w:val="single" w:color="000000" w:sz="4" w:space="0"/>
              <w:right w:val="single" w:color="000000" w:sz="4" w:space="0"/>
            </w:tcBorders>
            <w:tcW w:w="8272" w:type="dxa"/>
            <w:vAlign w:val="center"/>
            <w:textDirection w:val="lrTb"/>
            <w:noWrap w:val="false"/>
          </w:tcPr>
          <w:p>
            <w:pPr>
              <w:jc w:val="left"/>
              <w:spacing w:line="360" w:lineRule="auto"/>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一、核心机房保障升级</w:t>
            </w:r>
            <w:r/>
          </w:p>
        </w:tc>
      </w:tr>
      <w:tr>
        <w:trPr>
          <w:trHeight w:val="440"/>
        </w:trPr>
        <w:tc>
          <w:tcPr>
            <w:gridSpan w:val="5"/>
            <w:shd w:val="clear" w:color="auto" w:fill="auto"/>
            <w:tcBorders>
              <w:top w:val="single" w:color="000000" w:sz="4" w:space="0"/>
              <w:left w:val="single" w:color="000000" w:sz="4" w:space="0"/>
              <w:bottom w:val="single" w:color="000000" w:sz="4" w:space="0"/>
              <w:right w:val="single" w:color="000000" w:sz="4" w:space="0"/>
            </w:tcBorders>
            <w:tcW w:w="8272" w:type="dxa"/>
            <w:vAlign w:val="center"/>
            <w:textDirection w:val="lrTb"/>
            <w:noWrap/>
          </w:tcPr>
          <w:p>
            <w:pPr>
              <w:jc w:val="left"/>
              <w:spacing w:line="360" w:lineRule="auto"/>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1.1灾备机房精密空调部分</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精密空调</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gridSpan w:val="5"/>
            <w:shd w:val="clear" w:color="auto" w:fill="auto"/>
            <w:tcBorders>
              <w:top w:val="single" w:color="000000" w:sz="4" w:space="0"/>
              <w:left w:val="single" w:color="000000" w:sz="4" w:space="0"/>
              <w:bottom w:val="single" w:color="000000" w:sz="4" w:space="0"/>
              <w:right w:val="single" w:color="000000" w:sz="4" w:space="0"/>
            </w:tcBorders>
            <w:tcW w:w="8272" w:type="dxa"/>
            <w:vAlign w:val="center"/>
            <w:textDirection w:val="lrTb"/>
            <w:noWrap/>
          </w:tcPr>
          <w:p>
            <w:pPr>
              <w:jc w:val="left"/>
              <w:spacing w:line="360" w:lineRule="auto"/>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1.2灾备机房UPS部分</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ATS/市电配电柜</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精密配电柜</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UPS主机</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电池柜</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电池开关箱</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UPS后备电池</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UPS系统配套</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PDU电缆</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工业连接器</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gridSpan w:val="5"/>
            <w:shd w:val="clear" w:color="auto" w:fill="auto"/>
            <w:tcBorders>
              <w:top w:val="single" w:color="000000" w:sz="4" w:space="0"/>
              <w:left w:val="single" w:color="000000" w:sz="4" w:space="0"/>
              <w:bottom w:val="single" w:color="000000" w:sz="4" w:space="0"/>
              <w:right w:val="single" w:color="000000" w:sz="4" w:space="0"/>
            </w:tcBorders>
            <w:tcW w:w="8272" w:type="dxa"/>
            <w:vAlign w:val="center"/>
            <w:textDirection w:val="lrTb"/>
            <w:noWrap w:val="false"/>
          </w:tcPr>
          <w:p>
            <w:pPr>
              <w:jc w:val="left"/>
              <w:spacing w:line="360" w:lineRule="auto"/>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1.3灾备机房机柜扩容</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42U国标机柜</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防雷接地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gridSpan w:val="5"/>
            <w:shd w:val="clear" w:color="auto" w:fill="auto"/>
            <w:tcBorders>
              <w:top w:val="single" w:color="000000" w:sz="4" w:space="0"/>
              <w:left w:val="single" w:color="000000" w:sz="4" w:space="0"/>
              <w:bottom w:val="single" w:color="000000" w:sz="4" w:space="0"/>
              <w:right w:val="single" w:color="000000" w:sz="4" w:space="0"/>
            </w:tcBorders>
            <w:tcW w:w="8272" w:type="dxa"/>
            <w:vAlign w:val="center"/>
            <w:textDirection w:val="lrTb"/>
            <w:noWrap w:val="false"/>
          </w:tcPr>
          <w:p>
            <w:pPr>
              <w:jc w:val="left"/>
              <w:spacing w:line="360" w:lineRule="auto"/>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1.4数据中心公区3风口+数据中心UPS间1风口多联空调</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空调内风机</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空调外主机</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线控器</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铁皮风道加厚保温</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进、出风口</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主铜管加保温</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铜管加保温</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水管加保温</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分歧管</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外机特殊支架</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440"/>
        </w:trPr>
        <w:tc>
          <w:tcPr>
            <w:gridSpan w:val="5"/>
            <w:shd w:val="clear" w:color="auto" w:fill="auto"/>
            <w:tcBorders>
              <w:top w:val="single" w:color="000000" w:sz="4" w:space="0"/>
              <w:left w:val="single" w:color="000000" w:sz="4" w:space="0"/>
              <w:bottom w:val="single" w:color="000000" w:sz="4" w:space="0"/>
              <w:right w:val="single" w:color="000000" w:sz="4" w:space="0"/>
            </w:tcBorders>
            <w:tcW w:w="8272" w:type="dxa"/>
            <w:vAlign w:val="center"/>
            <w:textDirection w:val="lrTb"/>
            <w:noWrap/>
          </w:tcPr>
          <w:p>
            <w:pPr>
              <w:jc w:val="left"/>
              <w:spacing w:line="360" w:lineRule="auto"/>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二、院区网络建设</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tcPr>
          <w:p>
            <w:pPr>
              <w:jc w:val="left"/>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48芯光缆</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cs="新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tcPr>
          <w:p>
            <w:pPr>
              <w:jc w:val="left"/>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96芯光缆</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cs="新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tcPr>
          <w:p>
            <w:pPr>
              <w:jc w:val="left"/>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48芯国标接头盒</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cs="新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tcPr>
          <w:p>
            <w:pPr>
              <w:jc w:val="left"/>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96芯国标接头盒</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cs="新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tcPr>
          <w:p>
            <w:pPr>
              <w:jc w:val="left"/>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小口径塑料管</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cs="新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tcPr>
          <w:p>
            <w:pPr>
              <w:jc w:val="left"/>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光纤一体熔接托盘</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cs="新宋体" w:asciiTheme="minorEastAsia" w:hAnsiTheme="minorEastAsia"/>
                <w:color w:val="000000"/>
                <w:sz w:val="24"/>
                <w:szCs w:val="24"/>
              </w:rPr>
            </w:r>
            <w:r/>
          </w:p>
        </w:tc>
      </w:tr>
      <w:tr>
        <w:trPr>
          <w:trHeight w:val="440"/>
        </w:trPr>
        <w:tc>
          <w:tcPr>
            <w:gridSpan w:val="5"/>
            <w:shd w:val="clear" w:color="auto" w:fill="auto"/>
            <w:tcBorders>
              <w:top w:val="single" w:color="000000" w:sz="4" w:space="0"/>
              <w:left w:val="single" w:color="000000" w:sz="4" w:space="0"/>
              <w:bottom w:val="single" w:color="000000" w:sz="4" w:space="0"/>
              <w:right w:val="single" w:color="000000" w:sz="4" w:space="0"/>
            </w:tcBorders>
            <w:tcW w:w="8272" w:type="dxa"/>
            <w:vAlign w:val="center"/>
            <w:textDirection w:val="lrTb"/>
            <w:noWrap/>
          </w:tcPr>
          <w:p>
            <w:pPr>
              <w:jc w:val="left"/>
              <w:spacing w:line="360" w:lineRule="auto"/>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三、外网资源池建设</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tcPr>
          <w:p>
            <w:pPr>
              <w:jc w:val="left"/>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外网虚拟化资源池-软件</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cs="新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tcPr>
          <w:p>
            <w:pPr>
              <w:jc w:val="left"/>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外网虚拟化资源池-硬件</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cs="新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tcPr>
          <w:p>
            <w:pPr>
              <w:jc w:val="left"/>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万兆交换机</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cs="新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tcPr>
          <w:p>
            <w:pPr>
              <w:jc w:val="left"/>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管理交换机</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cs="新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tcPr>
          <w:p>
            <w:pPr>
              <w:jc w:val="left"/>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运维堡垒机</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cs="新宋体" w:asciiTheme="minorEastAsia" w:hAnsiTheme="minorEastAsia"/>
                <w:color w:val="000000"/>
                <w:sz w:val="24"/>
                <w:szCs w:val="24"/>
              </w:rPr>
            </w:r>
            <w:r/>
          </w:p>
        </w:tc>
      </w:tr>
      <w:tr>
        <w:trPr>
          <w:trHeight w:val="440"/>
        </w:trPr>
        <w:tc>
          <w:tcPr>
            <w:gridSpan w:val="5"/>
            <w:shd w:val="clear" w:color="auto" w:fill="auto"/>
            <w:tcBorders>
              <w:top w:val="single" w:color="000000" w:sz="4" w:space="0"/>
              <w:left w:val="single" w:color="000000" w:sz="4" w:space="0"/>
              <w:bottom w:val="single" w:color="000000" w:sz="4" w:space="0"/>
              <w:right w:val="single" w:color="000000" w:sz="4" w:space="0"/>
            </w:tcBorders>
            <w:tcW w:w="8272" w:type="dxa"/>
            <w:vAlign w:val="center"/>
            <w:textDirection w:val="lrTb"/>
            <w:noWrap/>
          </w:tcPr>
          <w:p>
            <w:pPr>
              <w:jc w:val="left"/>
              <w:spacing w:line="360" w:lineRule="auto"/>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四、移动办公建设</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桌面云一体机</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cs="新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云接入终端</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cs="新宋体" w:asciiTheme="minorEastAsia" w:hAnsiTheme="minorEastAsia"/>
                <w:color w:val="000000"/>
                <w:sz w:val="24"/>
                <w:szCs w:val="24"/>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left"/>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虚拟化管理接入授权</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新宋体" w:asciiTheme="minorEastAsia" w:hAnsiTheme="minorEastAsia"/>
                <w:color w:val="000000"/>
                <w:sz w:val="24"/>
                <w:szCs w:val="24"/>
              </w:rPr>
            </w:pPr>
            <w:r>
              <w:rPr>
                <w:rFonts w:cs="新宋体" w:asciiTheme="minorEastAsia" w:hAnsiTheme="minorEastAsia"/>
                <w:color w:val="000000"/>
                <w:sz w:val="24"/>
                <w:szCs w:val="24"/>
              </w:rPr>
            </w:r>
            <w:r/>
          </w:p>
        </w:tc>
      </w:tr>
    </w:tbl>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2.2货物技术参数及功能指标</w:t>
      </w:r>
      <w:r/>
    </w:p>
    <w:tbl>
      <w:tblPr>
        <w:tblStyle w:val="851"/>
        <w:tblW w:w="4852" w:type="pct"/>
        <w:tblInd w:w="250" w:type="dxa"/>
        <w:tblLayout w:type="autofit"/>
        <w:tblCellMar>
          <w:left w:w="108" w:type="dxa"/>
          <w:top w:w="0" w:type="dxa"/>
          <w:right w:w="108" w:type="dxa"/>
          <w:bottom w:w="0" w:type="dxa"/>
        </w:tblCellMar>
        <w:tblLook w:val="04A0" w:firstRow="1" w:lastRow="0" w:firstColumn="1" w:lastColumn="0" w:noHBand="0" w:noVBand="1"/>
      </w:tblPr>
      <w:tblGrid>
        <w:gridCol w:w="819"/>
        <w:gridCol w:w="2160"/>
        <w:gridCol w:w="5291"/>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center"/>
              <w:spacing w:line="480" w:lineRule="exact"/>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技术参数及功能指标</w:t>
            </w:r>
            <w:r/>
          </w:p>
        </w:tc>
      </w:tr>
      <w:tr>
        <w:trPr>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480" w:lineRule="exact"/>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一、核心机房保障升级</w:t>
            </w:r>
            <w:r/>
          </w:p>
        </w:tc>
      </w:tr>
      <w:tr>
        <w:trPr>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pacing w:line="480" w:lineRule="exact"/>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1.1、灾备机房精密空调部分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精密空调</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▲1、基本要求：应为恒温恒湿，变频，上送风，精密空调机组，采用R410A制冷剂，制冷量≥31 kW（室内回风 24℃），风量≥9000m3/h，加湿量≥6kg/h，加热量≥6kW，能效比≥3.27（室内侧要求干球温度24℃左右，湿球温度17℃左右，室外侧干球温度35℃左右）</w:t>
            </w:r>
            <w:r>
              <w:rPr>
                <w:rFonts w:hint="eastAsia" w:cs="宋体" w:asciiTheme="minorEastAsia" w:hAnsiTheme="minorEastAsia"/>
                <w:b/>
                <w:bCs/>
                <w:color w:val="000000"/>
                <w:sz w:val="24"/>
                <w:szCs w:val="24"/>
              </w:rPr>
              <w:t xml:space="preserve">（投标文件中提供所投产品的第三方检测报告证明材料并加盖投标人公章）  </w:t>
            </w:r>
            <w:r>
              <w:rPr>
                <w:rFonts w:hint="eastAsia" w:cs="宋体" w:asciiTheme="minorEastAsia" w:hAnsiTheme="minorEastAsia"/>
                <w:color w:val="000000"/>
                <w:sz w:val="24"/>
                <w:szCs w:val="24"/>
              </w:rPr>
              <w:t xml:space="preserve">       </w:t>
            </w:r>
            <w:r>
              <w:rPr>
                <w:rFonts w:hint="eastAsia" w:cs="宋体" w:asciiTheme="minorEastAsia" w:hAnsiTheme="minorEastAsia"/>
                <w:color w:val="000000"/>
                <w:sz w:val="24"/>
                <w:szCs w:val="24"/>
              </w:rPr>
              <w:br/>
            </w:r>
            <w:r>
              <w:rPr>
                <w:rFonts w:hint="eastAsia" w:cs="宋体" w:asciiTheme="minorEastAsia" w:hAnsiTheme="minorEastAsia"/>
                <w:color w:val="000000"/>
                <w:sz w:val="24"/>
                <w:szCs w:val="24"/>
              </w:rPr>
              <w:t xml:space="preserve">2、精密空调应具有良好性能指标，常规满足室内 0℃~50℃，室外 -20℃~45℃，20%~80%RH 运行，温度调节范围：+18℃~+40℃，温度调节精度：±1℃，温度变化率&lt;5℃/小时；湿度调节范围：20%~60%RH，湿度调节精度：±5 %RH； </w:t>
            </w:r>
            <w:r>
              <w:rPr>
                <w:rFonts w:hint="eastAsia" w:cs="宋体" w:asciiTheme="minorEastAsia" w:hAnsiTheme="minorEastAsia"/>
                <w:color w:val="000000"/>
                <w:sz w:val="24"/>
                <w:szCs w:val="24"/>
              </w:rPr>
              <w:br/>
            </w:r>
            <w:r>
              <w:rPr>
                <w:rFonts w:hint="eastAsia" w:cs="宋体" w:asciiTheme="minorEastAsia" w:hAnsiTheme="minorEastAsia"/>
                <w:color w:val="000000"/>
                <w:sz w:val="24"/>
                <w:szCs w:val="24"/>
              </w:rPr>
              <w:t xml:space="preserve">3、室内空调机组应支持100%全正面维护，可靠装、并柜安装。操作及维修安全、方便，电控盒采用可抽拉设计，便于维护；           </w:t>
            </w:r>
            <w:r>
              <w:rPr>
                <w:rFonts w:hint="eastAsia" w:cs="宋体" w:asciiTheme="minorEastAsia" w:hAnsiTheme="minorEastAsia"/>
                <w:color w:val="000000"/>
                <w:sz w:val="24"/>
                <w:szCs w:val="24"/>
              </w:rPr>
              <w:br/>
            </w:r>
            <w:r>
              <w:rPr>
                <w:rFonts w:hint="eastAsia" w:cs="宋体" w:asciiTheme="minorEastAsia" w:hAnsiTheme="minorEastAsia"/>
                <w:color w:val="000000"/>
                <w:sz w:val="24"/>
                <w:szCs w:val="24"/>
              </w:rPr>
              <w:t xml:space="preserve">4、为保证良好的制冷效果，应采用较大送风量的EC风机；                    </w:t>
            </w:r>
            <w:r>
              <w:rPr>
                <w:rFonts w:hint="eastAsia" w:cs="宋体" w:asciiTheme="minorEastAsia" w:hAnsiTheme="minorEastAsia"/>
                <w:color w:val="000000"/>
                <w:sz w:val="24"/>
                <w:szCs w:val="24"/>
              </w:rPr>
              <w:br/>
            </w:r>
            <w:r>
              <w:rPr>
                <w:rFonts w:hint="eastAsia" w:cs="宋体" w:asciiTheme="minorEastAsia" w:hAnsiTheme="minorEastAsia"/>
                <w:color w:val="000000"/>
                <w:sz w:val="24"/>
                <w:szCs w:val="24"/>
              </w:rPr>
              <w:t xml:space="preserve">5、精密空调加湿系统应具备加湿速度快，效率高，耗水量低，便于维护等特点；</w:t>
            </w:r>
            <w:r>
              <w:rPr>
                <w:rFonts w:hint="eastAsia" w:cs="宋体" w:asciiTheme="minorEastAsia" w:hAnsiTheme="minorEastAsia"/>
                <w:color w:val="000000"/>
                <w:sz w:val="24"/>
                <w:szCs w:val="24"/>
              </w:rPr>
              <w:br/>
            </w:r>
            <w:r>
              <w:rPr>
                <w:rFonts w:hint="eastAsia" w:cs="宋体" w:asciiTheme="minorEastAsia" w:hAnsiTheme="minorEastAsia"/>
                <w:color w:val="000000"/>
                <w:sz w:val="24"/>
                <w:szCs w:val="24"/>
              </w:rPr>
              <w:t xml:space="preserve">▲6、精密空调机组应标称采用直流变频压缩机，可自动或手动调节压缩机制冷量，标称手动调节范围可设置为10%~100%</w:t>
            </w:r>
            <w:r>
              <w:rPr>
                <w:rFonts w:hint="eastAsia" w:cs="宋体" w:asciiTheme="minorEastAsia" w:hAnsiTheme="minorEastAsia"/>
                <w:b/>
                <w:bCs/>
                <w:color w:val="000000"/>
                <w:sz w:val="24"/>
                <w:szCs w:val="24"/>
              </w:rPr>
              <w:t xml:space="preserve">（投标文件中提供所投产品的第三方检测报告证明材料并加盖投标人公章）  </w:t>
            </w:r>
            <w:r>
              <w:rPr>
                <w:rFonts w:hint="eastAsia" w:cs="宋体" w:asciiTheme="minorEastAsia" w:hAnsiTheme="minorEastAsia"/>
                <w:color w:val="000000"/>
                <w:sz w:val="24"/>
                <w:szCs w:val="24"/>
              </w:rPr>
              <w:t xml:space="preserve">       </w:t>
            </w:r>
            <w:r/>
          </w:p>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▲7、精密空调机组室内风机应采用EC风机，风机可自动调节风扇转速，也支持手动调速模式</w:t>
            </w:r>
            <w:r>
              <w:rPr>
                <w:rFonts w:hint="eastAsia" w:cs="宋体" w:asciiTheme="minorEastAsia" w:hAnsiTheme="minorEastAsia"/>
                <w:b/>
                <w:bCs/>
                <w:color w:val="000000"/>
                <w:sz w:val="24"/>
                <w:szCs w:val="24"/>
              </w:rPr>
              <w:t xml:space="preserve">（投标文件中提供所投产品的第三方检测报告证明材料并加盖投标人公章）  </w:t>
            </w:r>
            <w:r>
              <w:rPr>
                <w:rFonts w:hint="eastAsia" w:cs="宋体" w:asciiTheme="minorEastAsia" w:hAnsiTheme="minorEastAsia"/>
                <w:color w:val="000000"/>
                <w:sz w:val="24"/>
                <w:szCs w:val="24"/>
              </w:rPr>
              <w:t xml:space="preserve">   </w:t>
            </w:r>
            <w:r/>
          </w:p>
          <w:p>
            <w:pPr>
              <w:jc w:val="left"/>
              <w:spacing w:line="480" w:lineRule="exact"/>
              <w:widowControl/>
              <w:rPr>
                <w:rFonts w:cs="宋体" w:asciiTheme="minorEastAsia" w:hAnsiTheme="minorEastAsia"/>
                <w:b/>
                <w:bCs/>
                <w:color w:val="000000"/>
                <w:sz w:val="24"/>
                <w:szCs w:val="24"/>
              </w:rPr>
            </w:pPr>
            <w:r>
              <w:rPr>
                <w:rFonts w:hint="eastAsia" w:cs="宋体" w:asciiTheme="minorEastAsia" w:hAnsiTheme="minorEastAsia"/>
                <w:color w:val="000000"/>
                <w:sz w:val="24"/>
                <w:szCs w:val="24"/>
              </w:rPr>
              <w:t xml:space="preserve">8、</w:t>
            </w:r>
            <w:r>
              <w:rPr>
                <w:rFonts w:hint="eastAsia" w:cs="宋体" w:asciiTheme="minorEastAsia" w:hAnsiTheme="minorEastAsia"/>
                <w:color w:val="000000" w:themeColor="text1"/>
                <w:sz w:val="24"/>
                <w:szCs w:val="24"/>
              </w:rPr>
              <w:t xml:space="preserve">精密空调机组应采用V型大面积蒸发器。</w:t>
            </w:r>
            <w:r/>
          </w:p>
          <w:p>
            <w:pPr>
              <w:jc w:val="left"/>
              <w:spacing w:line="480" w:lineRule="exact"/>
              <w:widowControl/>
            </w:pPr>
            <w:r>
              <w:rPr>
                <w:rFonts w:hint="eastAsia" w:asciiTheme="minorEastAsia" w:hAnsiTheme="minorEastAsia" w:cstheme="minorEastAsia"/>
                <w:b/>
                <w:bCs/>
                <w:i/>
                <w:iCs/>
                <w:sz w:val="24"/>
                <w:szCs w:val="24"/>
                <w:u w:val="single"/>
              </w:rPr>
              <w:t xml:space="preserve">9、</w:t>
            </w:r>
            <w:r>
              <w:rPr>
                <w:rFonts w:hint="eastAsia" w:cs="宋体" w:asciiTheme="minorEastAsia" w:hAnsiTheme="minorEastAsia"/>
                <w:b/>
                <w:bCs/>
                <w:i/>
                <w:iCs/>
                <w:color w:val="000000"/>
                <w:sz w:val="24"/>
                <w:szCs w:val="24"/>
                <w:u w:val="single"/>
              </w:rPr>
              <w:t xml:space="preserve">所投精密空调具有节能产品认证证书（投标文件中提供有效证书（如有附录须提供）扫描件并加盖投标人公章，否则投标无效。所投产品型号须与第六章 投标分项报价表一致）。</w:t>
            </w:r>
            <w:r/>
          </w:p>
        </w:tc>
      </w:tr>
      <w:tr>
        <w:trPr>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pacing w:line="480" w:lineRule="exact"/>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1.2、灾备机房UPS部分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ATS/市电配电柜</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定制ATS配电柜，600*600*2000mm，下进线，前/后维护，含辅材，含浪涌保护器、多功能表等。</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精密配电柜</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双路精密列头柜，柜体尺寸约：600*600*2000，支持双路供电，配置消防脱扣；带主支路监控功能，输入总空开160A/3P*2 ，2*18路25/1P支路空开输出；C级防雷，智能监控，≥7 寸触摸屏，含辅材，含浪涌保护器、多功能表等。</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UPS主机</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spacing w:line="480" w:lineRule="exact"/>
              <w:widowControl/>
              <w:rPr>
                <w:rFonts w:asciiTheme="minorEastAsia" w:hAnsiTheme="minorEastAsia" w:cstheme="minorEastAsia"/>
                <w:color w:val="000000"/>
                <w:sz w:val="24"/>
                <w:szCs w:val="24"/>
              </w:rPr>
            </w:pPr>
            <w:r>
              <w:rPr>
                <w:rFonts w:hint="eastAsia" w:cs="宋体" w:asciiTheme="minorEastAsia" w:hAnsiTheme="minorEastAsia"/>
                <w:color w:val="000000"/>
                <w:sz w:val="24"/>
                <w:szCs w:val="24"/>
              </w:rPr>
              <w:t xml:space="preserve">1、UPS主机基本要求为：为塔式高频三进三出UPS，带载能力不低于80KW，如设备低于80KW带载能力，应按更大功率段UPS去提供，标配触摸液晶屏，标配维修旁路开关，方便维护。</w:t>
            </w:r>
            <w:r>
              <w:rPr>
                <w:rFonts w:hint="eastAsia" w:cs="宋体" w:asciiTheme="minorEastAsia" w:hAnsiTheme="minorEastAsia"/>
                <w:color w:val="000000"/>
                <w:sz w:val="24"/>
                <w:szCs w:val="24"/>
              </w:rPr>
              <w:br/>
            </w:r>
            <w:r>
              <w:rPr>
                <w:rFonts w:hint="eastAsia" w:cs="宋体" w:asciiTheme="minorEastAsia" w:hAnsiTheme="minorEastAsia"/>
                <w:color w:val="000000"/>
                <w:sz w:val="24"/>
                <w:szCs w:val="24"/>
              </w:rPr>
              <w:t xml:space="preserve">2、输入电压范围应不低于：138Vac~485Vac，电池可调节范围不低于：±15～±24，提供相关证明文件。</w:t>
            </w:r>
            <w:r>
              <w:rPr>
                <w:rFonts w:hint="eastAsia" w:cs="宋体" w:asciiTheme="minorEastAsia" w:hAnsiTheme="minorEastAsia"/>
                <w:color w:val="000000"/>
                <w:sz w:val="24"/>
                <w:szCs w:val="24"/>
              </w:rPr>
              <w:br/>
            </w:r>
            <w:r>
              <w:rPr>
                <w:rFonts w:hint="eastAsia" w:asciiTheme="minorEastAsia" w:hAnsiTheme="minorEastAsia" w:cstheme="minorEastAsia"/>
                <w:color w:val="000000"/>
                <w:sz w:val="24"/>
                <w:szCs w:val="24"/>
              </w:rPr>
              <w:t xml:space="preserve">3、性能指标要求：</w:t>
            </w:r>
            <w:r/>
          </w:p>
          <w:p>
            <w:pPr>
              <w:spacing w:line="480" w:lineRule="exact"/>
              <w:widowControl/>
              <w:rPr>
                <w:rFonts w:cs="宋体" w:asciiTheme="minorEastAsia" w:hAnsiTheme="minorEastAsia"/>
                <w:b/>
                <w:bCs/>
                <w:color w:val="000000"/>
                <w:sz w:val="24"/>
                <w:szCs w:val="24"/>
              </w:rPr>
            </w:pPr>
            <w:r>
              <w:rPr>
                <w:rFonts w:hint="eastAsia" w:asciiTheme="minorEastAsia" w:hAnsiTheme="minorEastAsia" w:cstheme="minorEastAsia"/>
                <w:color w:val="000000"/>
                <w:sz w:val="24"/>
                <w:szCs w:val="24"/>
              </w:rPr>
              <w:t xml:space="preserve">输入功率因数：100%/50%/30%，非线性负载≥0.99，输入电流谐波成分：100%非线性负载＜1.5%，效率：100%/50%/30%阻性负载≥96%，输出稳压精度：＜0.13%，接触电流和保护导体电流：＜1.13 mA，过载能力：125%负载≥10.8min。</w:t>
            </w:r>
            <w:r/>
          </w:p>
          <w:p>
            <w:pPr>
              <w:numPr>
                <w:ilvl w:val="0"/>
                <w:numId w:val="1"/>
              </w:numP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UPS主机应对其内部易损器件具有智能化管理功能，要求可开启或关闭母线电容使用年限告警功能、可设置母线电容使用年限、可开启或关闭风机使用年限告警功能、可设置风机电容使用年限等，智能化管理易损部件，将UPS易损器件故障排除在初始阶段。用户享受智能化设备的轻松管理,减少运维工作。</w:t>
            </w:r>
            <w:r/>
          </w:p>
          <w:p>
            <w:pPr>
              <w:numPr>
                <w:ilvl w:val="0"/>
                <w:numId w:val="1"/>
              </w:numP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UPS主机应具备除尘功能，当设备运行周期较长或设备积尘过多时，UPS可设置并启动自动除尘功能，防范未然，提高供电可靠性。</w:t>
            </w:r>
            <w:r/>
          </w:p>
          <w:p>
            <w:pPr>
              <w:numPr>
                <w:ilvl w:val="0"/>
                <w:numId w:val="1"/>
              </w:numP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UPS主机应具有智能录波功能，当UPS设备故障时，完整记录故障发生瞬间前后5个周期的波形，有助于故障诊断和快速故障定位，方便现场分析，提高维护工作效率。</w:t>
            </w:r>
            <w:r/>
          </w:p>
          <w:p>
            <w:pPr>
              <w:numPr>
                <w:ilvl w:val="0"/>
                <w:numId w:val="1"/>
              </w:numP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UPS主机应具备自老化功能，有效解决现场调试及老化的负载问题，减少假负载投资成本。</w:t>
            </w:r>
            <w:r/>
          </w:p>
          <w:p>
            <w:pPr>
              <w:numPr>
                <w:ilvl w:val="0"/>
                <w:numId w:val="1"/>
              </w:numP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UPS主机应具备EPO远程干接点接口，灵活使用，确保现场紧急状况下能够快速断电，保护设备安全。</w:t>
            </w:r>
            <w:r>
              <w:rPr>
                <w:rFonts w:hint="eastAsia" w:cs="宋体" w:asciiTheme="minorEastAsia" w:hAnsiTheme="minorEastAsia"/>
                <w:color w:val="000000"/>
                <w:sz w:val="24"/>
                <w:szCs w:val="24"/>
              </w:rPr>
              <w:br/>
            </w:r>
            <w:r>
              <w:rPr>
                <w:rFonts w:hint="eastAsia" w:cs="宋体" w:asciiTheme="minorEastAsia" w:hAnsiTheme="minorEastAsia"/>
                <w:color w:val="000000"/>
                <w:sz w:val="24"/>
                <w:szCs w:val="24"/>
              </w:rPr>
              <w:t xml:space="preserve">9、并机系统应可支持在主机界面查看其它所有并联机型运行参数，通过触摸屏设置该机为监控主机，并联机器通过协议通讯，在主机中实现信息汇总，可统一与外部通讯，无需对并机系统的每台主机进行逐个查阅。</w:t>
            </w:r>
            <w:r/>
          </w:p>
          <w:p>
            <w:pP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10、为了减少大功率UPS启动对电网的冲击，要求UPS应具有缓启动功能，当市电恢复，由电池态切回市电态供电时，UPS整流器是个缓启动过程，输入电流缓慢上升，避免较大电流/电压直接对电网造成冲击。</w:t>
            </w:r>
            <w:r>
              <w:rPr>
                <w:rFonts w:hint="eastAsia" w:cs="宋体" w:asciiTheme="minorEastAsia" w:hAnsiTheme="minorEastAsia"/>
                <w:b/>
                <w:bCs/>
                <w:color w:val="000000"/>
                <w:sz w:val="24"/>
                <w:szCs w:val="24"/>
              </w:rPr>
              <w:br/>
            </w:r>
            <w:r>
              <w:rPr>
                <w:rFonts w:hint="eastAsia" w:cs="宋体" w:asciiTheme="minorEastAsia" w:hAnsiTheme="minorEastAsia"/>
                <w:color w:val="000000"/>
                <w:sz w:val="24"/>
                <w:szCs w:val="24"/>
              </w:rPr>
              <w:t xml:space="preserve">11、大功率UPS应具备电池无风险放电测试功能，当市电态转为电池态供电时，整流器母线电压不断电，当电池态切回市电态时，市电态处于热备份，防止两者在切换状态下掉电风险。</w:t>
            </w:r>
            <w:r>
              <w:rPr>
                <w:rFonts w:hint="eastAsia" w:cs="宋体" w:asciiTheme="minorEastAsia" w:hAnsiTheme="minorEastAsia"/>
                <w:color w:val="000000"/>
                <w:sz w:val="24"/>
                <w:szCs w:val="24"/>
              </w:rPr>
              <w:br/>
            </w:r>
            <w:r>
              <w:rPr>
                <w:rFonts w:hint="eastAsia" w:cs="宋体" w:asciiTheme="minorEastAsia" w:hAnsiTheme="minorEastAsia"/>
                <w:color w:val="000000"/>
                <w:sz w:val="24"/>
                <w:szCs w:val="24"/>
              </w:rPr>
              <w:t xml:space="preserve">12、UPS主机应通过8、9烈度抗震检测。</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电池柜</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32节/组，含配套电池连接线缆或铜排。</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电池开关箱</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电池开关箱，含直流塑壳断路器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UPS后备电池</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1、基本要求：容量不低于12V100AH，重量≥28KG，设计浮充寿命≥12年（25℃以下）</w:t>
            </w:r>
            <w:r/>
          </w:p>
          <w:p>
            <w:pPr>
              <w:jc w:val="left"/>
              <w:spacing w:line="480" w:lineRule="exact"/>
              <w:widowControl/>
              <w:rPr>
                <w:rFonts w:asciiTheme="minorEastAsia" w:hAnsiTheme="minorEastAsia" w:cstheme="minorEastAsia"/>
                <w:b/>
                <w:color w:val="000000"/>
                <w:sz w:val="24"/>
                <w:szCs w:val="24"/>
                <w:highlight w:val="yellow"/>
              </w:rPr>
            </w:pPr>
            <w:r>
              <w:rPr>
                <w:rFonts w:hint="eastAsia" w:cs="宋体" w:asciiTheme="minorEastAsia" w:hAnsiTheme="minorEastAsia"/>
                <w:color w:val="000000"/>
                <w:sz w:val="24"/>
                <w:szCs w:val="24"/>
              </w:rPr>
              <w:t xml:space="preserve">2、蓄电池需为原厂生产，不接受OEM/ODM产品；</w:t>
            </w:r>
            <w:r>
              <w:rPr>
                <w:rFonts w:hint="eastAsia" w:cs="宋体" w:asciiTheme="minorEastAsia" w:hAnsiTheme="minorEastAsia"/>
                <w:color w:val="000000"/>
                <w:sz w:val="24"/>
                <w:szCs w:val="24"/>
              </w:rPr>
              <w:br/>
            </w:r>
            <w:r>
              <w:rPr>
                <w:rFonts w:hint="eastAsia" w:cs="宋体" w:asciiTheme="minorEastAsia" w:hAnsiTheme="minorEastAsia"/>
                <w:color w:val="000000"/>
                <w:sz w:val="24"/>
                <w:szCs w:val="24"/>
              </w:rPr>
              <w:t xml:space="preserve">3、温度范围：工作温度0℃～+40℃；储运温度-15℃～+50℃；</w:t>
            </w:r>
            <w:r>
              <w:rPr>
                <w:rFonts w:hint="eastAsia" w:cs="宋体" w:asciiTheme="minorEastAsia" w:hAnsiTheme="minorEastAsia"/>
                <w:color w:val="000000"/>
                <w:sz w:val="24"/>
                <w:szCs w:val="24"/>
              </w:rPr>
              <w:br/>
            </w:r>
            <w:r>
              <w:rPr>
                <w:rFonts w:hint="eastAsia" w:cs="宋体" w:asciiTheme="minorEastAsia" w:hAnsiTheme="minorEastAsia"/>
                <w:color w:val="000000"/>
                <w:sz w:val="24"/>
                <w:szCs w:val="24"/>
              </w:rPr>
              <w:t xml:space="preserve">4、在25℃±5℃环境中静置28天后，容量保持率≥99.2%；</w:t>
            </w:r>
            <w:r/>
          </w:p>
          <w:p>
            <w:pPr>
              <w:jc w:val="left"/>
              <w:spacing w:line="480" w:lineRule="exact"/>
              <w:widowControl/>
              <w:rPr>
                <w:rFonts w:asciiTheme="minorEastAsia" w:hAnsiTheme="minorEastAsia" w:cstheme="minorEastAsia"/>
                <w:b/>
                <w:color w:val="000000"/>
                <w:sz w:val="24"/>
                <w:szCs w:val="24"/>
                <w:highlight w:val="yellow"/>
              </w:rPr>
            </w:pPr>
            <w:r>
              <w:rPr>
                <w:rFonts w:hint="eastAsia" w:cs="宋体" w:asciiTheme="minorEastAsia" w:hAnsiTheme="minorEastAsia"/>
                <w:color w:val="000000"/>
                <w:sz w:val="24"/>
                <w:szCs w:val="24"/>
              </w:rPr>
              <w:t xml:space="preserve">5、密封反应效率≥99.2%；</w:t>
            </w:r>
            <w:r/>
          </w:p>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6、过度放电，容量恢复值≥99.2%；</w:t>
            </w:r>
            <w:r/>
          </w:p>
          <w:p>
            <w:pPr>
              <w:jc w:val="left"/>
              <w:spacing w:line="480" w:lineRule="exact"/>
              <w:widowControl/>
              <w:rPr>
                <w:rFonts w:cs="宋体" w:asciiTheme="minorEastAsia" w:hAnsiTheme="minorEastAsia"/>
                <w:b/>
                <w:bCs/>
                <w:color w:val="000000"/>
                <w:sz w:val="24"/>
                <w:szCs w:val="24"/>
              </w:rPr>
            </w:pPr>
            <w:r>
              <w:rPr>
                <w:rFonts w:hint="eastAsia" w:cs="宋体" w:asciiTheme="minorEastAsia" w:hAnsiTheme="minorEastAsia"/>
                <w:color w:val="000000"/>
                <w:sz w:val="24"/>
                <w:szCs w:val="24"/>
              </w:rPr>
              <w:t xml:space="preserve">7、电池间连接电压降不大于4.5mV，同组蓄电池内阻偏差不大于2.0%；</w:t>
            </w:r>
            <w:r>
              <w:rPr>
                <w:rFonts w:hint="eastAsia" w:cs="宋体" w:asciiTheme="minorEastAsia" w:hAnsiTheme="minorEastAsia"/>
                <w:color w:val="000000"/>
                <w:sz w:val="24"/>
                <w:szCs w:val="24"/>
              </w:rPr>
              <w:br/>
            </w:r>
            <w:r>
              <w:rPr>
                <w:rFonts w:hint="eastAsia" w:cs="宋体" w:asciiTheme="minorEastAsia" w:hAnsiTheme="minorEastAsia"/>
                <w:color w:val="000000"/>
                <w:sz w:val="24"/>
                <w:szCs w:val="24"/>
              </w:rPr>
              <w:t xml:space="preserve">8、最大实际容量与最小实际容量的差值与整组蓄电池的平均容量值之比不大于1.0%；</w:t>
            </w:r>
            <w:r/>
          </w:p>
          <w:p>
            <w:pPr>
              <w:jc w:val="left"/>
              <w:spacing w:line="480" w:lineRule="exact"/>
              <w:widowControl/>
              <w:rPr>
                <w:rFonts w:cs="宋体" w:asciiTheme="minorEastAsia" w:hAnsiTheme="minorEastAsia"/>
                <w:b/>
                <w:bCs/>
                <w:color w:val="000000"/>
                <w:sz w:val="24"/>
                <w:szCs w:val="24"/>
              </w:rPr>
            </w:pPr>
            <w:r>
              <w:rPr>
                <w:rFonts w:hint="eastAsia" w:cs="宋体" w:asciiTheme="minorEastAsia" w:hAnsiTheme="minorEastAsia"/>
                <w:color w:val="000000"/>
                <w:sz w:val="24"/>
                <w:szCs w:val="24"/>
              </w:rPr>
              <w:t xml:space="preserve">9、蓄电池充电效率不低于96.2%；</w:t>
            </w:r>
            <w:r/>
          </w:p>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10、蓄电池自身或同系列蓄电池产品通过不低于8、9烈度抗震检验；</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UPS系统配套</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UPS输入输出线缆、电池组连接线缆、端子辅材等。</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PDU电缆</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ZB-RVV 3*4平方。</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工业连接器</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3P 32A工业连接器，防护等级≥IP44。</w:t>
            </w:r>
            <w:r/>
          </w:p>
        </w:tc>
      </w:tr>
      <w:tr>
        <w:trPr>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480" w:lineRule="exact"/>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1.3、灾备机房机柜扩容</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42U国标机柜</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约600mm*1200mm*2000mm，42U国标机柜,前后网孔门，配置并柜组件，每台机柜配置2条≥16位10A+≥4位16A PDU。</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防雷接地</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30mm*3mm紫铜排防雷接地汇流排、6mm</w:t>
            </w:r>
            <w:r>
              <w:rPr>
                <w:rStyle w:val="881"/>
                <w:rFonts w:hint="default" w:asciiTheme="minorEastAsia" w:hAnsiTheme="minorEastAsia" w:eastAsiaTheme="minorEastAsia"/>
              </w:rPr>
              <w:t xml:space="preserve">2</w:t>
            </w:r>
            <w:r>
              <w:rPr>
                <w:rStyle w:val="882"/>
                <w:rFonts w:hint="default" w:asciiTheme="minorEastAsia" w:hAnsiTheme="minorEastAsia" w:eastAsiaTheme="minorEastAsia"/>
              </w:rPr>
              <w:t xml:space="preserve">接地线。</w:t>
            </w:r>
            <w:r/>
          </w:p>
        </w:tc>
      </w:tr>
      <w:tr>
        <w:trPr>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480" w:lineRule="exact"/>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1.4、数据中心公区3风口+数据中心UPS间1风口多联空调</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空调内风机</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vMerge w:val="restart"/>
            <w:textDirection w:val="lrTb"/>
            <w:noWrap w:val="false"/>
          </w:tcPr>
          <w:p>
            <w:pPr>
              <w:numPr>
                <w:ilvl w:val="0"/>
                <w:numId w:val="2"/>
              </w:num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制冷量:≥15.57KW ；</w:t>
            </w:r>
            <w:r>
              <w:rPr>
                <w:rFonts w:hint="eastAsia" w:cs="宋体" w:asciiTheme="minorEastAsia" w:hAnsiTheme="minorEastAsia"/>
                <w:color w:val="000000"/>
                <w:sz w:val="24"/>
                <w:szCs w:val="24"/>
              </w:rPr>
              <w:br/>
            </w:r>
            <w:r>
              <w:rPr>
                <w:rFonts w:hint="eastAsia" w:cs="宋体" w:asciiTheme="minorEastAsia" w:hAnsiTheme="minorEastAsia"/>
                <w:color w:val="000000"/>
                <w:sz w:val="24"/>
                <w:szCs w:val="24"/>
              </w:rPr>
              <w:t xml:space="preserve">2.制冷消耗功率:≤ 4.58KW；</w:t>
            </w:r>
            <w:r>
              <w:rPr>
                <w:rFonts w:hint="eastAsia" w:cs="宋体" w:asciiTheme="minorEastAsia" w:hAnsiTheme="minorEastAsia"/>
                <w:color w:val="000000"/>
                <w:sz w:val="24"/>
                <w:szCs w:val="24"/>
              </w:rPr>
              <w:br/>
            </w:r>
            <w:r>
              <w:rPr>
                <w:rFonts w:hint="eastAsia" w:cs="宋体" w:asciiTheme="minorEastAsia" w:hAnsiTheme="minorEastAsia"/>
                <w:color w:val="000000"/>
                <w:sz w:val="24"/>
                <w:szCs w:val="24"/>
              </w:rPr>
              <w:t xml:space="preserve">3.制热量：≥18KW；</w:t>
            </w:r>
            <w:r>
              <w:rPr>
                <w:rFonts w:hint="eastAsia" w:cs="宋体" w:asciiTheme="minorEastAsia" w:hAnsiTheme="minorEastAsia"/>
                <w:color w:val="000000"/>
                <w:sz w:val="24"/>
                <w:szCs w:val="24"/>
              </w:rPr>
              <w:br/>
            </w:r>
            <w:r>
              <w:rPr>
                <w:rFonts w:hint="eastAsia" w:cs="宋体" w:asciiTheme="minorEastAsia" w:hAnsiTheme="minorEastAsia"/>
                <w:color w:val="000000"/>
                <w:sz w:val="24"/>
                <w:szCs w:val="24"/>
              </w:rPr>
              <w:t xml:space="preserve">4.制热消耗功率：≤4.65KW；</w:t>
            </w:r>
            <w:r>
              <w:rPr>
                <w:rFonts w:hint="eastAsia" w:cs="宋体" w:asciiTheme="minorEastAsia" w:hAnsiTheme="minorEastAsia"/>
                <w:color w:val="000000"/>
                <w:sz w:val="24"/>
                <w:szCs w:val="24"/>
              </w:rPr>
              <w:br/>
            </w:r>
            <w:r>
              <w:rPr>
                <w:rFonts w:hint="eastAsia" w:cs="宋体" w:asciiTheme="minorEastAsia" w:hAnsiTheme="minorEastAsia"/>
                <w:color w:val="000000"/>
                <w:sz w:val="24"/>
                <w:szCs w:val="24"/>
              </w:rPr>
              <w:t xml:space="preserve">5.全年季节耗电量：≤2280kW·h</w:t>
            </w:r>
            <w:r>
              <w:rPr>
                <w:rFonts w:hint="eastAsia" w:cs="宋体" w:asciiTheme="minorEastAsia" w:hAnsiTheme="minorEastAsia"/>
                <w:color w:val="000000"/>
                <w:sz w:val="24"/>
                <w:szCs w:val="24"/>
              </w:rPr>
              <w:br/>
            </w:r>
            <w:r>
              <w:rPr>
                <w:rFonts w:hint="eastAsia" w:cs="宋体" w:asciiTheme="minorEastAsia" w:hAnsiTheme="minorEastAsia"/>
                <w:color w:val="000000"/>
                <w:sz w:val="24"/>
                <w:szCs w:val="24"/>
              </w:rPr>
              <w:t xml:space="preserve">6.全年性能系数（APF）：≥5.48W·h/ W·h，并达到1级APF标准；</w:t>
            </w:r>
            <w:r>
              <w:rPr>
                <w:rFonts w:hint="eastAsia" w:cs="宋体" w:asciiTheme="minorEastAsia" w:hAnsiTheme="minorEastAsia"/>
                <w:color w:val="000000"/>
                <w:sz w:val="24"/>
                <w:szCs w:val="24"/>
              </w:rPr>
              <w:br/>
            </w:r>
            <w:r>
              <w:rPr>
                <w:rFonts w:hint="eastAsia" w:cs="宋体" w:asciiTheme="minorEastAsia" w:hAnsiTheme="minorEastAsia"/>
                <w:color w:val="000000"/>
                <w:sz w:val="24"/>
                <w:szCs w:val="24"/>
              </w:rPr>
              <w:t xml:space="preserve">7.具有空调群控控制系统；</w:t>
            </w:r>
            <w:r/>
          </w:p>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b/>
                <w:bCs/>
                <w:color w:val="000000"/>
                <w:sz w:val="24"/>
                <w:szCs w:val="24"/>
              </w:rPr>
              <w:t xml:space="preserve">8.</w:t>
            </w:r>
            <w:r>
              <w:rPr>
                <w:rFonts w:hint="eastAsia" w:cs="宋体" w:asciiTheme="minorEastAsia" w:hAnsiTheme="minorEastAsia"/>
                <w:b/>
                <w:bCs/>
                <w:i/>
                <w:iCs/>
                <w:color w:val="000000"/>
                <w:sz w:val="24"/>
                <w:szCs w:val="24"/>
                <w:u w:val="single"/>
              </w:rPr>
              <w:t xml:space="preserve">所投空调产品具有节能产品认证证书（投标文件中提供有效证书（如有附录须提供）扫描件并加盖投标人公章，否则投标无效。所投产品型号须与第六章 投标分项报价表一致）。</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空调外主机</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vMerge w:val="continue"/>
            <w:textDirection w:val="lrTb"/>
            <w:noWrap w:val="false"/>
          </w:tcPr>
          <w:p>
            <w:pPr>
              <w:jc w:val="left"/>
              <w:spacing w:line="480" w:lineRule="exact"/>
              <w:rPr>
                <w:rFonts w:cs="宋体" w:asciiTheme="minorEastAsia" w:hAnsiTheme="minorEastAsia"/>
                <w:color w:val="000000"/>
                <w:sz w:val="24"/>
                <w:szCs w:val="24"/>
              </w:rPr>
            </w:pPr>
            <w:r>
              <w:rPr>
                <w:rFonts w:cs="宋体" w:asciiTheme="minorEastAsia" w:hAnsiTheme="minorEastAsia"/>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线控器</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与空调内风机、外主机配套配套线控器。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铁皮风道加厚保温</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与空调内风机、外主机配套配套国标铁皮风道加厚保温。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进、出风口</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与空调内风机、外主机配套配套国标进、出风口。</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主铜管加保温</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与空调内风机、外主机配套配套国标主铜管加保温。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铜管加保温</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与空调内风机、外主机配套配套铜管加保温。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水管加保温</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与空调内风机、外主机配套配套水管加保温。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分歧管</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与空调内风机、外主机配套配套分歧管。</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与空调内风机、外主机配套配套信号线。</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外机特殊支架</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与空调内风机、外主机配套配套外机特殊支架。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与空调内风机、外主机配套配套冷媒。</w:t>
            </w:r>
            <w:r/>
          </w:p>
        </w:tc>
      </w:tr>
      <w:tr>
        <w:trPr>
          <w:trHeight w:val="285"/>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pacing w:line="480" w:lineRule="exact"/>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二、院区网络建设</w:t>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48芯光缆</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管道光缆，</w:t>
            </w:r>
            <w:r>
              <w:rPr>
                <w:rStyle w:val="883"/>
                <w:rFonts w:hint="default" w:asciiTheme="minorEastAsia" w:hAnsiTheme="minorEastAsia" w:eastAsiaTheme="minorEastAsia"/>
              </w:rPr>
              <w:t xml:space="preserve">国标GYTA</w:t>
            </w:r>
            <w:r>
              <w:rPr>
                <w:rStyle w:val="884"/>
                <w:rFonts w:asciiTheme="minorEastAsia" w:hAnsiTheme="minorEastAsia"/>
              </w:rPr>
              <w:noBreakHyphen/>
            </w:r>
            <w:r>
              <w:rPr>
                <w:rStyle w:val="883"/>
                <w:rFonts w:hint="default" w:asciiTheme="minorEastAsia" w:hAnsiTheme="minorEastAsia" w:eastAsiaTheme="minorEastAsia"/>
              </w:rPr>
              <w:t xml:space="preserve">48B1</w:t>
            </w:r>
            <w:r>
              <w:rPr>
                <w:rStyle w:val="883"/>
                <w:rFonts w:hint="default" w:asciiTheme="minorEastAsia" w:hAnsiTheme="minorEastAsia"/>
              </w:rPr>
              <w:t xml:space="preserve">。</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96芯光缆</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管道光缆，国标GYTA</w:t>
            </w:r>
            <w:r>
              <w:rPr>
                <w:rStyle w:val="884"/>
                <w:rFonts w:asciiTheme="minorEastAsia" w:hAnsiTheme="minorEastAsia"/>
              </w:rPr>
              <w:noBreakHyphen/>
            </w:r>
            <w:r>
              <w:rPr>
                <w:rStyle w:val="883"/>
                <w:rFonts w:hint="default" w:asciiTheme="minorEastAsia" w:hAnsiTheme="minorEastAsia" w:eastAsiaTheme="minorEastAsia"/>
              </w:rPr>
              <w:t xml:space="preserve">96B1</w:t>
            </w:r>
            <w:r>
              <w:rPr>
                <w:rStyle w:val="883"/>
                <w:rFonts w:hint="default" w:asciiTheme="minorEastAsia" w:hAnsiTheme="minorEastAsia"/>
              </w:rPr>
              <w:t xml:space="preserve">。</w:t>
            </w:r>
            <w:r/>
          </w:p>
        </w:tc>
      </w:tr>
      <w:tr>
        <w:trPr>
          <w:trHeight w:val="817"/>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48芯国标接头盒</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48芯国标接头盒</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96芯国标接头盒</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96芯国标接头盒</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小口径塑料管</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管材规格（国标HDPE/Φ40/33mm）：HDPE 硅芯管，外径约40mm、内径约33mm。</w:t>
            </w:r>
            <w:r/>
          </w:p>
        </w:tc>
      </w:tr>
      <w:tr>
        <w:trPr>
          <w:trHeight w:val="238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left"/>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光纤一体熔接托盘</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1、单盘容量：12芯一体化熔接盘；</w:t>
            </w:r>
            <w:r>
              <w:rPr>
                <w:rFonts w:hint="eastAsia" w:cs="新宋体" w:asciiTheme="minorEastAsia" w:hAnsiTheme="minorEastAsia"/>
                <w:color w:val="000000"/>
                <w:sz w:val="24"/>
                <w:szCs w:val="24"/>
              </w:rPr>
              <w:br/>
            </w:r>
            <w:r>
              <w:rPr>
                <w:rFonts w:hint="eastAsia" w:cs="新宋体" w:asciiTheme="minorEastAsia" w:hAnsiTheme="minorEastAsia"/>
                <w:color w:val="000000"/>
                <w:sz w:val="24"/>
                <w:szCs w:val="24"/>
              </w:rPr>
              <w:t xml:space="preserve">2、功能：光纤熔接收容、盘纤，可固定热缩管，支持尾纤出跳；</w:t>
            </w:r>
            <w:r>
              <w:rPr>
                <w:rFonts w:hint="eastAsia" w:cs="新宋体" w:asciiTheme="minorEastAsia" w:hAnsiTheme="minorEastAsia"/>
                <w:color w:val="000000"/>
                <w:sz w:val="24"/>
                <w:szCs w:val="24"/>
              </w:rPr>
              <w:br/>
            </w:r>
            <w:r>
              <w:rPr>
                <w:rFonts w:hint="eastAsia" w:cs="新宋体" w:asciiTheme="minorEastAsia" w:hAnsiTheme="minorEastAsia"/>
                <w:color w:val="000000"/>
                <w:sz w:val="24"/>
                <w:szCs w:val="24"/>
              </w:rPr>
              <w:t xml:space="preserve">3、材质：ABS 阻燃塑料；</w:t>
            </w:r>
            <w:r>
              <w:rPr>
                <w:rFonts w:hint="eastAsia" w:cs="新宋体" w:asciiTheme="minorEastAsia" w:hAnsiTheme="minorEastAsia"/>
                <w:color w:val="000000"/>
                <w:sz w:val="24"/>
                <w:szCs w:val="24"/>
              </w:rPr>
              <w:br/>
            </w:r>
            <w:r>
              <w:rPr>
                <w:rFonts w:hint="eastAsia" w:cs="新宋体" w:asciiTheme="minorEastAsia" w:hAnsiTheme="minorEastAsia"/>
                <w:color w:val="000000"/>
                <w:sz w:val="24"/>
                <w:szCs w:val="24"/>
              </w:rPr>
              <w:t xml:space="preserve">4、配套：含盘纤柱、热缩管固定座，不含尾纤、法兰适配器。</w:t>
            </w:r>
            <w:r/>
          </w:p>
        </w:tc>
      </w:tr>
      <w:tr>
        <w:trPr>
          <w:trHeight w:val="285"/>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pacing w:line="480" w:lineRule="exact"/>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三、外网资源池建设</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外网虚拟化资源池-软件</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新宋体" w:asciiTheme="minorEastAsia" w:hAnsiTheme="minorEastAsia"/>
                <w:b/>
                <w:bCs/>
                <w:i/>
                <w:iCs/>
                <w:color w:val="000000"/>
                <w:sz w:val="24"/>
                <w:szCs w:val="24"/>
                <w:u w:val="single"/>
              </w:rPr>
            </w:pPr>
            <w:r>
              <w:rPr>
                <w:rFonts w:hint="eastAsia" w:cs="新宋体" w:asciiTheme="minorEastAsia" w:hAnsiTheme="minorEastAsia"/>
                <w:b/>
                <w:bCs/>
                <w:i/>
                <w:iCs/>
                <w:color w:val="000000"/>
                <w:sz w:val="24"/>
                <w:szCs w:val="24"/>
                <w:u w:val="single"/>
              </w:rPr>
              <w:t xml:space="preserve">1、软件授权：软件底层提供Linux系统内核授权。总共提供不低于6颗CPU的计算虚拟化授权、网络虚拟化授权、存储虚拟化授权、安全虚拟化授权、云计算管理软件授权，提供三年原厂质保服务。</w:t>
            </w:r>
            <w:r>
              <w:rPr>
                <w:rStyle w:val="885"/>
                <w:rFonts w:hint="default" w:asciiTheme="minorEastAsia" w:hAnsiTheme="minorEastAsia" w:eastAsiaTheme="minorEastAsia"/>
                <w:b/>
                <w:bCs/>
                <w:u w:val="single"/>
              </w:rPr>
              <w:t xml:space="preserve">（</w:t>
            </w:r>
            <w:r>
              <w:rPr>
                <w:rStyle w:val="885"/>
                <w:rFonts w:hint="default" w:asciiTheme="minorEastAsia" w:hAnsiTheme="minorEastAsia"/>
                <w:b/>
                <w:bCs/>
                <w:u w:val="single"/>
              </w:rPr>
              <w:t xml:space="preserve">投标文件中提供加盖投标人公章的</w:t>
            </w:r>
            <w:r>
              <w:rPr>
                <w:rStyle w:val="885"/>
                <w:rFonts w:hint="default" w:asciiTheme="minorEastAsia" w:hAnsiTheme="minorEastAsia" w:eastAsiaTheme="minorEastAsia"/>
                <w:b/>
                <w:bCs/>
                <w:u w:val="single"/>
              </w:rPr>
              <w:t xml:space="preserve">承诺函</w:t>
            </w:r>
            <w:r>
              <w:rPr>
                <w:rStyle w:val="885"/>
                <w:rFonts w:hint="default" w:asciiTheme="minorEastAsia" w:hAnsiTheme="minorEastAsia"/>
                <w:b/>
                <w:bCs/>
                <w:u w:val="single"/>
              </w:rPr>
              <w:t xml:space="preserve">，</w:t>
            </w:r>
            <w:r>
              <w:rPr>
                <w:rStyle w:val="885"/>
                <w:rFonts w:hint="default" w:asciiTheme="minorEastAsia" w:hAnsiTheme="minorEastAsia" w:eastAsiaTheme="minorEastAsia"/>
                <w:b/>
                <w:bCs/>
                <w:u w:val="single"/>
              </w:rPr>
              <w:t xml:space="preserve">格式自拟</w:t>
            </w:r>
            <w:r>
              <w:rPr>
                <w:rStyle w:val="885"/>
                <w:rFonts w:hint="default" w:asciiTheme="minorEastAsia" w:hAnsiTheme="minorEastAsia"/>
                <w:b/>
                <w:bCs/>
                <w:u w:val="single"/>
              </w:rPr>
              <w:t xml:space="preserve">，否则投标无效</w:t>
            </w:r>
            <w:r>
              <w:rPr>
                <w:rStyle w:val="885"/>
                <w:rFonts w:hint="default" w:asciiTheme="minorEastAsia" w:hAnsiTheme="minorEastAsia" w:eastAsiaTheme="minorEastAsia"/>
                <w:b/>
                <w:bCs/>
                <w:u w:val="single"/>
              </w:rPr>
              <w:t xml:space="preserve">）</w:t>
            </w:r>
            <w:r>
              <w:rPr>
                <w:rStyle w:val="885"/>
                <w:rFonts w:hint="default" w:asciiTheme="minorEastAsia" w:hAnsiTheme="minorEastAsia" w:eastAsiaTheme="minorEastAsia"/>
                <w:b/>
                <w:bCs/>
                <w:u w:val="single"/>
              </w:rPr>
              <w:br/>
            </w:r>
            <w:r>
              <w:rPr>
                <w:rStyle w:val="885"/>
                <w:rFonts w:hint="default" w:asciiTheme="minorEastAsia" w:hAnsiTheme="minorEastAsia" w:eastAsiaTheme="minorEastAsia"/>
                <w:i w:val="0"/>
                <w:iCs w:val="0"/>
              </w:rPr>
              <w:t xml:space="preserve">2、云计算管理平台：</w:t>
            </w:r>
            <w:r>
              <w:rPr>
                <w:rStyle w:val="886"/>
                <w:rFonts w:hint="default" w:asciiTheme="minorEastAsia" w:hAnsiTheme="minorEastAsia" w:eastAsiaTheme="minorEastAsia"/>
                <w:i w:val="0"/>
                <w:iCs w:val="0"/>
                <w:u w:val="none"/>
              </w:rPr>
              <w:br/>
            </w:r>
            <w:r>
              <w:rPr>
                <w:rStyle w:val="886"/>
                <w:rFonts w:hint="default" w:asciiTheme="minorEastAsia" w:hAnsiTheme="minorEastAsia" w:eastAsiaTheme="minorEastAsia"/>
                <w:b/>
                <w:bCs/>
              </w:rPr>
              <w:t xml:space="preserve">2.1</w:t>
            </w:r>
            <w:r>
              <w:rPr>
                <w:rStyle w:val="883"/>
                <w:rFonts w:hint="default" w:asciiTheme="minorEastAsia" w:hAnsiTheme="minorEastAsia" w:eastAsiaTheme="minorEastAsia"/>
              </w:rPr>
              <w:t xml:space="preserve">支持查看镜像页面，包括公共镜像、私有镜像和网络设备镜像，可对公共镜像、私有镜像和网络设备镜像进行统一上传镜像和管理操作；</w:t>
            </w:r>
            <w:r>
              <w:rPr>
                <w:rStyle w:val="883"/>
                <w:rFonts w:hint="default" w:asciiTheme="minorEastAsia" w:hAnsiTheme="minorEastAsia" w:eastAsiaTheme="minorEastAsia"/>
              </w:rPr>
              <w:br/>
            </w:r>
            <w:r>
              <w:rPr>
                <w:rStyle w:val="883"/>
                <w:rFonts w:hint="default" w:asciiTheme="minorEastAsia" w:hAnsiTheme="minorEastAsia" w:eastAsiaTheme="minorEastAsia"/>
              </w:rPr>
              <w:t xml:space="preserve">3、计算虚拟化：</w:t>
            </w:r>
            <w:r>
              <w:rPr>
                <w:rStyle w:val="883"/>
                <w:rFonts w:hint="default" w:asciiTheme="minorEastAsia" w:hAnsiTheme="minorEastAsia" w:eastAsiaTheme="minorEastAsia"/>
              </w:rPr>
              <w:br/>
            </w:r>
            <w:r>
              <w:rPr>
                <w:rStyle w:val="883"/>
                <w:rFonts w:hint="default" w:asciiTheme="minorEastAsia" w:hAnsiTheme="minorEastAsia" w:eastAsiaTheme="minorEastAsia"/>
              </w:rPr>
              <w:t xml:space="preserve">▲3.1虚拟机资源告警项支持虚拟机CPU、网络、磁盘、内存等指标，支持检测虚拟机镜像文件损坏，备份失败，虚拟机与外部网络不通等监控告警</w:t>
            </w:r>
            <w:r>
              <w:rPr>
                <w:rStyle w:val="883"/>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rPr>
                <w:rStyle w:val="882"/>
                <w:rFonts w:hint="default" w:asciiTheme="minorEastAsia" w:hAnsiTheme="minorEastAsia" w:eastAsiaTheme="minorEastAsia"/>
              </w:rPr>
              <w:br/>
            </w:r>
            <w:r>
              <w:rPr>
                <w:rStyle w:val="883"/>
                <w:rFonts w:hint="default" w:asciiTheme="minorEastAsia" w:hAnsiTheme="minorEastAsia" w:eastAsiaTheme="minorEastAsia"/>
              </w:rPr>
              <w:t xml:space="preserve">▲3.2为保障新平台与现有平台（VMware平台）的互操作性，需支持双向迁移操作，可将VMware虚拟机迁移到平台上，也可将平台上的虚拟机迁移到VMware vCenter的集群中，迁移结束后的虚拟机可进行手动或自动重启操作</w:t>
            </w:r>
            <w:r>
              <w:rPr>
                <w:rStyle w:val="883"/>
                <w:rFonts w:hint="default" w:asciiTheme="minorEastAsia" w:hAnsiTheme="minorEastAsia"/>
              </w:rPr>
              <w:t xml:space="preserve">；</w:t>
            </w:r>
            <w:r>
              <w:rPr>
                <w:rFonts w:hint="eastAsia" w:cs="宋体" w:asciiTheme="minorEastAsia" w:hAnsiTheme="minorEastAsia"/>
                <w:b/>
                <w:bCs/>
                <w:color w:val="000000"/>
                <w:sz w:val="24"/>
                <w:szCs w:val="24"/>
              </w:rPr>
              <w:t xml:space="preserve">（投标文件中提供所投产品的第三方检测报告证明材料并加盖投标人公章） </w:t>
            </w:r>
            <w:r/>
          </w:p>
          <w:p>
            <w:pPr>
              <w:jc w:val="left"/>
              <w:spacing w:line="480" w:lineRule="exact"/>
              <w:widowControl/>
              <w:rPr>
                <w:rFonts w:cs="宋体" w:asciiTheme="minorEastAsia" w:hAnsiTheme="minorEastAsia"/>
                <w:b/>
                <w:bCs/>
                <w:color w:val="000000"/>
                <w:sz w:val="24"/>
                <w:szCs w:val="24"/>
              </w:rPr>
            </w:pPr>
            <w:r>
              <w:rPr>
                <w:rStyle w:val="883"/>
                <w:rFonts w:hint="default" w:asciiTheme="minorEastAsia" w:hAnsiTheme="minorEastAsia" w:eastAsiaTheme="minorEastAsia"/>
              </w:rPr>
              <w:t xml:space="preserve">3.3此次建设的部分业务需要使用USB设备，需支持物理机上的USB映射给虚拟机使用，且虚拟机迁移或故障迁移到其他主机上也能自动映射USB设备。</w:t>
            </w:r>
            <w:r>
              <w:rPr>
                <w:rStyle w:val="883"/>
                <w:rFonts w:hint="default" w:asciiTheme="minorEastAsia" w:hAnsiTheme="minorEastAsia" w:eastAsiaTheme="minorEastAsia"/>
              </w:rPr>
              <w:br/>
            </w:r>
            <w:r>
              <w:rPr>
                <w:rStyle w:val="883"/>
                <w:rFonts w:hint="default" w:asciiTheme="minorEastAsia" w:hAnsiTheme="minorEastAsia" w:eastAsiaTheme="minorEastAsia"/>
              </w:rPr>
              <w:t xml:space="preserve">▲3.4为避免机房断电会导致我院核心业务中断，平台需支持与UPS电源联动，在机房断电时通过UPS临时供应电量，当UPS电量过低时，支持将不重要的虚拟机进行软关机</w:t>
            </w:r>
            <w:r>
              <w:rPr>
                <w:rStyle w:val="883"/>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rPr>
                <w:rStyle w:val="882"/>
                <w:rFonts w:hint="default" w:asciiTheme="minorEastAsia" w:hAnsiTheme="minorEastAsia" w:eastAsiaTheme="minorEastAsia"/>
              </w:rPr>
              <w:br/>
            </w:r>
            <w:r>
              <w:rPr>
                <w:rStyle w:val="883"/>
                <w:rFonts w:hint="default" w:asciiTheme="minorEastAsia" w:hAnsiTheme="minorEastAsia" w:eastAsiaTheme="minorEastAsia"/>
              </w:rPr>
              <w:t xml:space="preserve">3.5虚拟机迁移支持指定网口迁移、限制迁移速度、启用压缩传输，当虚拟机迁移过程中因数据写入量过大迁移无法结束，可支持强制切换操作；</w:t>
            </w:r>
            <w:r>
              <w:rPr>
                <w:rStyle w:val="883"/>
                <w:rFonts w:hint="default" w:asciiTheme="minorEastAsia" w:hAnsiTheme="minorEastAsia" w:eastAsiaTheme="minorEastAsia"/>
              </w:rPr>
              <w:br/>
            </w:r>
            <w:r>
              <w:rPr>
                <w:rStyle w:val="883"/>
                <w:rFonts w:hint="default" w:asciiTheme="minorEastAsia" w:hAnsiTheme="minorEastAsia" w:eastAsiaTheme="minorEastAsia"/>
              </w:rPr>
              <w:t xml:space="preserve">4、存储虚拟化：</w:t>
            </w:r>
            <w:r>
              <w:rPr>
                <w:rStyle w:val="883"/>
                <w:rFonts w:hint="default" w:asciiTheme="minorEastAsia" w:hAnsiTheme="minorEastAsia" w:eastAsiaTheme="minorEastAsia"/>
              </w:rPr>
              <w:br/>
            </w:r>
            <w:r>
              <w:rPr>
                <w:rStyle w:val="883"/>
                <w:rFonts w:hint="default" w:asciiTheme="minorEastAsia" w:hAnsiTheme="minorEastAsia" w:eastAsiaTheme="minorEastAsia"/>
              </w:rPr>
              <w:t xml:space="preserve">4.1支持条带化功能以提高存储性能，并支持以虚拟磁盘为粒度设置不同的条带数。</w:t>
            </w:r>
            <w:r>
              <w:rPr>
                <w:rStyle w:val="883"/>
                <w:rFonts w:hint="default" w:asciiTheme="minorEastAsia" w:hAnsiTheme="minorEastAsia" w:eastAsiaTheme="minorEastAsia"/>
              </w:rPr>
              <w:br/>
            </w:r>
            <w:r>
              <w:rPr>
                <w:rStyle w:val="883"/>
                <w:rFonts w:hint="default" w:asciiTheme="minorEastAsia" w:hAnsiTheme="minorEastAsia" w:eastAsiaTheme="minorEastAsia"/>
              </w:rPr>
              <w:t xml:space="preserve">▲4.2平台应具备磁盘坏道预测功能，能够提前预警磁盘可能出现的故障风险，确保医疗数据存储的可靠性。在管理界面中，需提供磁盘坏道预测页面，展示包括坏道预测结果、坏道扫描情况以及坏道数据修复状态等详细信息。此外，系统应支持查看磁盘坏道列表项信息，内容涵盖硬盘名称、坏道预测结果、最近7天内的坏道扫描记录、坏道数据修复状态以及硬盘风险级别</w:t>
            </w:r>
            <w:r>
              <w:rPr>
                <w:rStyle w:val="883"/>
                <w:rFonts w:hint="default" w:asciiTheme="minorEastAsia" w:hAnsiTheme="minorEastAsia"/>
              </w:rPr>
              <w:t xml:space="preserve">；</w:t>
            </w:r>
            <w:r>
              <w:rPr>
                <w:rFonts w:hint="eastAsia" w:cs="宋体" w:asciiTheme="minorEastAsia" w:hAnsiTheme="minorEastAsia"/>
                <w:b/>
                <w:bCs/>
                <w:color w:val="000000"/>
                <w:sz w:val="24"/>
                <w:szCs w:val="24"/>
              </w:rPr>
              <w:t xml:space="preserve">（投标文件中提供所投产品的第三方检测报告证明材料并加盖投标人公章） </w:t>
            </w:r>
            <w:r>
              <w:rPr>
                <w:rStyle w:val="882"/>
                <w:rFonts w:hint="default" w:asciiTheme="minorEastAsia" w:hAnsiTheme="minorEastAsia" w:eastAsiaTheme="minorEastAsia"/>
              </w:rPr>
              <w:br/>
            </w:r>
            <w:r>
              <w:rPr>
                <w:rStyle w:val="883"/>
                <w:rFonts w:hint="default" w:asciiTheme="minorEastAsia" w:hAnsiTheme="minorEastAsia" w:eastAsiaTheme="minorEastAsia"/>
              </w:rPr>
              <w:t xml:space="preserve">5、网络虚拟化：</w:t>
            </w:r>
            <w:r>
              <w:rPr>
                <w:rStyle w:val="883"/>
                <w:rFonts w:hint="default" w:asciiTheme="minorEastAsia" w:hAnsiTheme="minorEastAsia" w:eastAsiaTheme="minorEastAsia"/>
              </w:rPr>
              <w:br/>
            </w:r>
            <w:r>
              <w:rPr>
                <w:rStyle w:val="883"/>
                <w:rFonts w:hint="default" w:asciiTheme="minorEastAsia" w:hAnsiTheme="minorEastAsia" w:eastAsiaTheme="minorEastAsia"/>
              </w:rPr>
              <w:t xml:space="preserve">▲5.1为了提升我院运维人员部署效率，需要能够在图形化管理平台上，通过托、拉等图形化方式完成虚拟网络拓扑构建，可以在网络拓扑页面通过功能按键，实现虚拟网络连接、开启和关闭等操作</w:t>
            </w:r>
            <w:r>
              <w:rPr>
                <w:rStyle w:val="883"/>
                <w:rFonts w:hint="default" w:asciiTheme="minorEastAsia" w:hAnsiTheme="minorEastAsia"/>
              </w:rPr>
              <w:t xml:space="preserve">；</w:t>
            </w:r>
            <w:r>
              <w:rPr>
                <w:rFonts w:hint="eastAsia" w:cs="宋体" w:asciiTheme="minorEastAsia" w:hAnsiTheme="minorEastAsia"/>
                <w:b/>
                <w:bCs/>
                <w:color w:val="000000"/>
                <w:sz w:val="24"/>
                <w:szCs w:val="24"/>
              </w:rPr>
              <w:t xml:space="preserve">（投标文件中提供所投产品的第三方检测报告证明材料并加盖投标人公章） </w:t>
            </w:r>
            <w:r>
              <w:rPr>
                <w:rStyle w:val="883"/>
                <w:rFonts w:hint="default" w:asciiTheme="minorEastAsia" w:hAnsiTheme="minorEastAsia" w:eastAsiaTheme="minorEastAsia"/>
              </w:rPr>
              <w:br/>
            </w:r>
            <w:r>
              <w:rPr>
                <w:rStyle w:val="883"/>
                <w:rFonts w:hint="default" w:asciiTheme="minorEastAsia" w:hAnsiTheme="minorEastAsia" w:eastAsiaTheme="minorEastAsia"/>
              </w:rPr>
              <w:t xml:space="preserve">5.2平台提供虚拟路由器支持高可用功能，当虚拟路由器所在的主机发生故障时，系统应能够自动进行故障恢复，以确保业务的高可靠性。</w:t>
            </w:r>
            <w:r>
              <w:rPr>
                <w:rStyle w:val="883"/>
                <w:rFonts w:hint="default" w:asciiTheme="minorEastAsia" w:hAnsiTheme="minorEastAsia" w:eastAsiaTheme="minorEastAsia"/>
              </w:rPr>
              <w:br/>
            </w:r>
            <w:r>
              <w:rPr>
                <w:rStyle w:val="883"/>
                <w:rFonts w:hint="default" w:asciiTheme="minorEastAsia" w:hAnsiTheme="minorEastAsia" w:eastAsiaTheme="minorEastAsia"/>
              </w:rPr>
              <w:t xml:space="preserve">▲6、业务安全：基于业务安全考虑，支持云平台扩展安全防护能力，支持勒索病毒防护，包括病毒检测、自动快照等防护能力</w:t>
            </w:r>
            <w:r>
              <w:rPr>
                <w:rStyle w:val="883"/>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rPr>
                <w:rStyle w:val="882"/>
                <w:rFonts w:hint="default" w:asciiTheme="minorEastAsia" w:hAnsiTheme="minorEastAsia" w:eastAsiaTheme="minorEastAsia"/>
              </w:rPr>
              <w:br/>
            </w:r>
            <w:r>
              <w:rPr>
                <w:rStyle w:val="883"/>
                <w:rFonts w:hint="default" w:asciiTheme="minorEastAsia" w:hAnsiTheme="minorEastAsia" w:eastAsiaTheme="minorEastAsia"/>
              </w:rPr>
              <w:t xml:space="preserve">▲7.运维管理：为方便运维管理员及时监控和感知平台风险，应当提供智能化的运维管理平台，实现对云平台的软硬件指标进行监控、检测和分析，并输出相应告警信息，并能通过微信小程序、短信、邮件等形式第一时间告知到运维人员</w:t>
            </w:r>
            <w:r>
              <w:rPr>
                <w:rStyle w:val="883"/>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外网虚拟化资源池-硬件</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Style w:val="883"/>
                <w:rFonts w:hint="default" w:asciiTheme="minorEastAsia" w:hAnsiTheme="minorEastAsia" w:eastAsiaTheme="minorEastAsia"/>
                <w:b/>
                <w:bCs/>
              </w:rPr>
            </w:pPr>
            <w:r>
              <w:rPr>
                <w:rFonts w:hint="eastAsia" w:cs="新宋体" w:asciiTheme="minorEastAsia" w:hAnsiTheme="minorEastAsia"/>
                <w:b/>
                <w:bCs/>
                <w:i/>
                <w:iCs/>
                <w:color w:val="000000"/>
                <w:sz w:val="24"/>
                <w:szCs w:val="24"/>
                <w:u w:val="single"/>
              </w:rPr>
              <w:t xml:space="preserve">1、配置2颗CPU,主频≥2.5GHz,单CPU物理核心数≥32C,64线程,三级缓存≥64MB；配置≥16根64G DDR5内存；配置≥2块480G SSD，≥2块3.84T NVME SSD，≥6块8T 7.2K SATA企业级硬盘；配置独立RAID卡，支持直通、RAID 0/1/5/6/10/50/60等多种存储方案；配置≥2个板载千兆以太网RJ45接口，≥4个千兆电口，≥4个万兆光口（含万兆多模光模块）；配置1+1冗余电源；提供三年整机硬件保修，原厂工程师上门服务。</w:t>
            </w:r>
            <w:r>
              <w:rPr>
                <w:rStyle w:val="885"/>
                <w:rFonts w:hint="default" w:asciiTheme="minorEastAsia" w:hAnsiTheme="minorEastAsia" w:eastAsiaTheme="minorEastAsia"/>
                <w:b/>
                <w:bCs/>
                <w:u w:val="single"/>
              </w:rPr>
              <w:t xml:space="preserve">（</w:t>
            </w:r>
            <w:r>
              <w:rPr>
                <w:rStyle w:val="885"/>
                <w:rFonts w:hint="default" w:asciiTheme="minorEastAsia" w:hAnsiTheme="minorEastAsia"/>
                <w:b/>
                <w:bCs/>
                <w:u w:val="single"/>
              </w:rPr>
              <w:t xml:space="preserve">投标文件中提供加盖投标人公章的</w:t>
            </w:r>
            <w:r>
              <w:rPr>
                <w:rStyle w:val="885"/>
                <w:rFonts w:hint="default" w:asciiTheme="minorEastAsia" w:hAnsiTheme="minorEastAsia" w:eastAsiaTheme="minorEastAsia"/>
                <w:b/>
                <w:bCs/>
                <w:u w:val="single"/>
              </w:rPr>
              <w:t xml:space="preserve">承诺函</w:t>
            </w:r>
            <w:r>
              <w:rPr>
                <w:rStyle w:val="885"/>
                <w:rFonts w:hint="default" w:asciiTheme="minorEastAsia" w:hAnsiTheme="minorEastAsia"/>
                <w:b/>
                <w:bCs/>
                <w:u w:val="single"/>
              </w:rPr>
              <w:t xml:space="preserve">，</w:t>
            </w:r>
            <w:r>
              <w:rPr>
                <w:rStyle w:val="885"/>
                <w:rFonts w:hint="default" w:asciiTheme="minorEastAsia" w:hAnsiTheme="minorEastAsia" w:eastAsiaTheme="minorEastAsia"/>
                <w:b/>
                <w:bCs/>
                <w:u w:val="single"/>
              </w:rPr>
              <w:t xml:space="preserve">格式自拟</w:t>
            </w:r>
            <w:r>
              <w:rPr>
                <w:rStyle w:val="885"/>
                <w:rFonts w:hint="default" w:asciiTheme="minorEastAsia" w:hAnsiTheme="minorEastAsia"/>
                <w:b/>
                <w:bCs/>
                <w:u w:val="single"/>
              </w:rPr>
              <w:t xml:space="preserve">，否则投标无效</w:t>
            </w:r>
            <w:r>
              <w:rPr>
                <w:rStyle w:val="885"/>
                <w:rFonts w:hint="default" w:asciiTheme="minorEastAsia" w:hAnsiTheme="minorEastAsia" w:eastAsiaTheme="minorEastAsia"/>
                <w:b/>
                <w:bCs/>
                <w:u w:val="single"/>
              </w:rPr>
              <w:t xml:space="preserve">）</w:t>
            </w:r>
            <w:r>
              <w:rPr>
                <w:rStyle w:val="885"/>
                <w:rFonts w:hint="default" w:asciiTheme="minorEastAsia" w:hAnsiTheme="minorEastAsia" w:eastAsiaTheme="minorEastAsia"/>
                <w:b/>
                <w:bCs/>
                <w:u w:val="single"/>
              </w:rPr>
              <w:br/>
            </w:r>
            <w:r>
              <w:rPr>
                <w:rStyle w:val="883"/>
                <w:rFonts w:hint="default" w:asciiTheme="minorEastAsia" w:hAnsiTheme="minorEastAsia" w:eastAsiaTheme="minorEastAsia"/>
              </w:rPr>
              <w:t xml:space="preserve">2、配置</w:t>
            </w:r>
            <w:r>
              <w:rPr>
                <w:rStyle w:val="883"/>
                <w:rFonts w:hint="default" w:asciiTheme="minorEastAsia" w:hAnsiTheme="minorEastAsia" w:eastAsiaTheme="minorEastAsia"/>
                <w:color w:val="000000" w:themeColor="text1"/>
              </w:rPr>
              <w:t xml:space="preserve">管理软</w:t>
            </w:r>
            <w:r>
              <w:rPr>
                <w:rStyle w:val="883"/>
                <w:rFonts w:hint="default" w:asciiTheme="minorEastAsia" w:hAnsiTheme="minorEastAsia" w:eastAsiaTheme="minorEastAsia"/>
              </w:rPr>
              <w:t xml:space="preserve">件，可提供以下功能：</w:t>
            </w:r>
            <w:r>
              <w:rPr>
                <w:rStyle w:val="883"/>
                <w:rFonts w:hint="default" w:asciiTheme="minorEastAsia" w:hAnsiTheme="minorEastAsia" w:eastAsiaTheme="minorEastAsia"/>
              </w:rPr>
              <w:br/>
            </w:r>
            <w:r>
              <w:rPr>
                <w:rStyle w:val="883"/>
                <w:rFonts w:hint="default" w:asciiTheme="minorEastAsia" w:hAnsiTheme="minorEastAsia" w:eastAsiaTheme="minorEastAsia"/>
              </w:rPr>
              <w:t xml:space="preserve">2.1支持依照合同内容对到货服务器整机及部件配置信息验收</w:t>
            </w:r>
            <w:r>
              <w:rPr>
                <w:rStyle w:val="883"/>
                <w:rFonts w:hint="default" w:asciiTheme="minorEastAsia" w:hAnsiTheme="minorEastAsia"/>
              </w:rPr>
              <w:t xml:space="preserve">；</w:t>
            </w:r>
            <w:r>
              <w:rPr>
                <w:rStyle w:val="883"/>
                <w:rFonts w:hint="default" w:asciiTheme="minorEastAsia" w:hAnsiTheme="minorEastAsia" w:eastAsiaTheme="minorEastAsia"/>
              </w:rPr>
              <w:t xml:space="preserve">支持物联网技术，实现离线资产管理，包括线下库房的整机、整箱散件、单散件、配置、合同、退库单、盘点的统一管理，满足用户线上+线下资产统一管理的需求</w:t>
            </w:r>
            <w:r>
              <w:rPr>
                <w:rStyle w:val="883"/>
                <w:rFonts w:hint="default" w:asciiTheme="minorEastAsia" w:hAnsiTheme="minorEastAsia"/>
              </w:rPr>
              <w:t xml:space="preserve">。</w:t>
            </w:r>
            <w:r>
              <w:rPr>
                <w:rStyle w:val="883"/>
                <w:rFonts w:hint="default" w:asciiTheme="minorEastAsia" w:hAnsiTheme="minorEastAsia" w:eastAsiaTheme="minorEastAsia"/>
              </w:rPr>
              <w:br/>
            </w:r>
            <w:r>
              <w:rPr>
                <w:rStyle w:val="883"/>
                <w:rFonts w:hint="default" w:asciiTheme="minorEastAsia" w:hAnsiTheme="minorEastAsia" w:eastAsiaTheme="minorEastAsia"/>
              </w:rPr>
              <w:t xml:space="preserve">▲2.2支持服务器系统指标监控，包括但不限于系统概览、CPU、内存、TCP、UDP、硬盘IO</w:t>
            </w:r>
            <w:r>
              <w:rPr>
                <w:rStyle w:val="883"/>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p>
          <w:p>
            <w:pPr>
              <w:jc w:val="left"/>
              <w:spacing w:line="480" w:lineRule="exact"/>
              <w:widowControl/>
              <w:rPr>
                <w:rFonts w:cs="新宋体" w:asciiTheme="minorEastAsia" w:hAnsiTheme="minorEastAsia"/>
                <w:i/>
                <w:iCs/>
                <w:color w:val="000000"/>
                <w:sz w:val="24"/>
                <w:szCs w:val="24"/>
                <w:u w:val="single"/>
              </w:rPr>
            </w:pPr>
            <w:r>
              <w:rPr>
                <w:rStyle w:val="883"/>
                <w:rFonts w:hint="default" w:asciiTheme="minorEastAsia" w:hAnsiTheme="minorEastAsia" w:eastAsiaTheme="minorEastAsia"/>
              </w:rPr>
              <w:t xml:space="preserve">▲2.3支持分析数据中心设备性能，全面监测和分析多个关键指标，为管理员提供有效的运维决策支持，支持服务器总功耗，出风口温度，五分钟系统负载，CPU使用率，内存使用率的性能预测</w:t>
            </w:r>
            <w:r>
              <w:rPr>
                <w:rStyle w:val="883"/>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万兆交换机</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新宋体" w:asciiTheme="minorEastAsia" w:hAnsiTheme="minorEastAsia"/>
                <w:i/>
                <w:iCs/>
                <w:color w:val="000000"/>
                <w:sz w:val="24"/>
                <w:szCs w:val="24"/>
                <w:u w:val="single"/>
              </w:rPr>
            </w:pPr>
            <w:r>
              <w:rPr>
                <w:rFonts w:hint="eastAsia" w:cs="新宋体" w:asciiTheme="minorEastAsia" w:hAnsiTheme="minorEastAsia"/>
                <w:color w:val="000000"/>
                <w:sz w:val="24"/>
                <w:szCs w:val="24"/>
              </w:rPr>
              <w:t xml:space="preserve">1、交换容量≥4.8Tbps，包转发率≥2000Mpps。接口配置≥48个万兆光口（配置≥24个万兆多模模块），≥8个100G光口。</w:t>
            </w:r>
            <w:r>
              <w:rPr>
                <w:rFonts w:hint="eastAsia" w:cs="新宋体" w:asciiTheme="minorEastAsia" w:hAnsiTheme="minorEastAsia"/>
                <w:color w:val="000000"/>
                <w:sz w:val="24"/>
                <w:szCs w:val="24"/>
              </w:rPr>
              <w:br/>
            </w:r>
            <w:r>
              <w:rPr>
                <w:rFonts w:hint="eastAsia" w:cs="新宋体" w:asciiTheme="minorEastAsia" w:hAnsiTheme="minorEastAsia"/>
                <w:color w:val="000000"/>
                <w:sz w:val="24"/>
                <w:szCs w:val="24"/>
              </w:rPr>
              <w:t xml:space="preserve">2、整机最大ARP地址表≥270K、整机最大MAC地址表≥280K；</w:t>
            </w:r>
            <w:r>
              <w:rPr>
                <w:rFonts w:hint="eastAsia" w:cs="新宋体" w:asciiTheme="minorEastAsia" w:hAnsiTheme="minorEastAsia"/>
                <w:color w:val="000000"/>
                <w:sz w:val="24"/>
                <w:szCs w:val="24"/>
              </w:rPr>
              <w:br/>
            </w:r>
            <w:r>
              <w:rPr>
                <w:rFonts w:hint="eastAsia" w:cs="新宋体" w:asciiTheme="minorEastAsia" w:hAnsiTheme="minorEastAsia"/>
                <w:color w:val="000000"/>
                <w:sz w:val="24"/>
                <w:szCs w:val="24"/>
              </w:rPr>
              <w:t xml:space="preserve">3、支持常见动态路由协议；</w:t>
            </w:r>
            <w:r>
              <w:rPr>
                <w:rFonts w:hint="eastAsia" w:cs="新宋体" w:asciiTheme="minorEastAsia" w:hAnsiTheme="minorEastAsia"/>
                <w:color w:val="000000"/>
                <w:sz w:val="24"/>
                <w:szCs w:val="24"/>
              </w:rPr>
              <w:br/>
            </w:r>
            <w:r>
              <w:rPr>
                <w:rFonts w:hint="eastAsia" w:cs="新宋体" w:asciiTheme="minorEastAsia" w:hAnsiTheme="minorEastAsia"/>
                <w:color w:val="000000"/>
                <w:sz w:val="24"/>
                <w:szCs w:val="24"/>
              </w:rPr>
              <w:t xml:space="preserve">4、支持BFD功能；</w:t>
            </w:r>
            <w:r>
              <w:rPr>
                <w:rFonts w:hint="eastAsia" w:cs="新宋体" w:asciiTheme="minorEastAsia" w:hAnsiTheme="minorEastAsia"/>
                <w:color w:val="000000"/>
                <w:sz w:val="24"/>
                <w:szCs w:val="24"/>
              </w:rPr>
              <w:br/>
            </w:r>
            <w:r>
              <w:rPr>
                <w:rFonts w:hint="eastAsia" w:cs="新宋体" w:asciiTheme="minorEastAsia" w:hAnsiTheme="minorEastAsia"/>
                <w:color w:val="000000"/>
                <w:sz w:val="24"/>
                <w:szCs w:val="24"/>
              </w:rPr>
              <w:t xml:space="preserve">5、支持Telemetry Stream功能；</w:t>
            </w:r>
            <w:r>
              <w:rPr>
                <w:rFonts w:hint="eastAsia" w:cs="新宋体" w:asciiTheme="minorEastAsia" w:hAnsiTheme="minorEastAsia"/>
                <w:color w:val="000000"/>
                <w:sz w:val="24"/>
                <w:szCs w:val="24"/>
              </w:rPr>
              <w:br/>
            </w:r>
            <w:r>
              <w:rPr>
                <w:rFonts w:hint="eastAsia" w:cs="新宋体" w:asciiTheme="minorEastAsia" w:hAnsiTheme="minorEastAsia"/>
                <w:color w:val="000000"/>
                <w:sz w:val="24"/>
                <w:szCs w:val="24"/>
              </w:rPr>
              <w:t xml:space="preserve">6、支持IP、MAC、端口和VLAN的组合绑定、支持自动防御。</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管理交换机</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numPr>
                <w:numId w:val="0"/>
              </w:numPr>
              <w:jc w:val="left"/>
              <w:spacing w:line="480" w:lineRule="exact"/>
              <w:widowControl/>
              <w:rPr>
                <w:rFonts w:cs="新宋体" w:asciiTheme="minorEastAsia" w:hAnsiTheme="minorEastAsia"/>
                <w:b/>
                <w:bCs/>
                <w:i/>
                <w:iCs/>
                <w:color w:val="000000"/>
                <w:sz w:val="24"/>
                <w:szCs w:val="24"/>
                <w:u w:val="single"/>
              </w:rPr>
            </w:pPr>
            <w:r>
              <w:rPr>
                <w:rFonts w:hint="eastAsia" w:cs="新宋体" w:asciiTheme="minorEastAsia" w:hAnsiTheme="minorEastAsia"/>
                <w:b/>
                <w:bCs/>
                <w:i/>
                <w:iCs/>
                <w:color w:val="000000"/>
                <w:sz w:val="24"/>
                <w:szCs w:val="24"/>
                <w:u w:val="single"/>
                <w:lang w:val="en-US" w:eastAsia="zh-CN"/>
              </w:rPr>
              <w:t xml:space="preserve">1、</w:t>
            </w:r>
            <w:r>
              <w:rPr>
                <w:rFonts w:hint="eastAsia" w:cs="新宋体" w:asciiTheme="minorEastAsia" w:hAnsiTheme="minorEastAsia"/>
                <w:b/>
                <w:bCs/>
                <w:i/>
                <w:iCs/>
                <w:color w:val="000000"/>
                <w:sz w:val="24"/>
                <w:szCs w:val="24"/>
                <w:u w:val="single"/>
              </w:rPr>
              <w:t xml:space="preserve">交换容量≥670Gbps，包转发率≥200Mpps；</w:t>
            </w:r>
            <w:r/>
          </w:p>
          <w:p>
            <w:pPr>
              <w:jc w:val="left"/>
              <w:spacing w:line="480" w:lineRule="exact"/>
              <w:widowControl/>
              <w:rPr>
                <w:rFonts w:cs="新宋体" w:asciiTheme="minorEastAsia" w:hAnsiTheme="minorEastAsia"/>
                <w:i/>
                <w:iCs/>
                <w:color w:val="000000"/>
                <w:sz w:val="24"/>
                <w:szCs w:val="24"/>
                <w:u w:val="single"/>
              </w:rPr>
            </w:pPr>
            <w:r>
              <w:rPr>
                <w:rFonts w:hint="eastAsia" w:cs="新宋体" w:asciiTheme="minorEastAsia" w:hAnsiTheme="minorEastAsia"/>
                <w:b/>
                <w:bCs/>
                <w:i/>
                <w:iCs/>
                <w:color w:val="000000"/>
                <w:sz w:val="24"/>
                <w:szCs w:val="24"/>
                <w:u w:val="single"/>
              </w:rPr>
              <w:t xml:space="preserve">2、支持千兆电口≥48个，万兆SFP+接口≥6个。</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新宋体" w:asciiTheme="minorEastAsia" w:hAnsiTheme="minorEastAsia"/>
                <w:color w:val="000000"/>
                <w:sz w:val="24"/>
                <w:szCs w:val="24"/>
              </w:rPr>
            </w:pPr>
            <w:r>
              <w:rPr>
                <w:rFonts w:hint="eastAsia" w:cs="新宋体" w:asciiTheme="minorEastAsia" w:hAnsiTheme="minorEastAsia"/>
                <w:color w:val="000000"/>
                <w:sz w:val="24"/>
                <w:szCs w:val="24"/>
              </w:rPr>
              <w:t xml:space="preserve">运维堡垒机</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新宋体" w:asciiTheme="minorEastAsia" w:hAnsiTheme="minorEastAsia"/>
                <w:i/>
                <w:iCs/>
                <w:color w:val="000000"/>
                <w:sz w:val="24"/>
                <w:szCs w:val="24"/>
                <w:u w:val="single"/>
              </w:rPr>
            </w:pPr>
            <w:r>
              <w:rPr>
                <w:rFonts w:hint="eastAsia" w:cs="新宋体" w:asciiTheme="minorEastAsia" w:hAnsiTheme="minorEastAsia"/>
                <w:b/>
                <w:bCs/>
                <w:i/>
                <w:iCs/>
                <w:color w:val="000000"/>
                <w:sz w:val="24"/>
                <w:szCs w:val="24"/>
                <w:u w:val="single"/>
              </w:rPr>
              <w:t xml:space="preserve">1、标准机架式服务器硬件；≥32G内存，≥2*2TB硬盘，硬盘最大支持扩展到8块；正版操作系统授权；冗余电源；≥2个千兆自适应电口，支持≥200图形并发，≥600字符并发;不限制用户数；含双因素认证模块；支持应用发布模块,支持C/S客户端工具的操作审计；支持管理化信息设备和操作系统。三年原厂升级、维护、质保。</w:t>
            </w:r>
            <w:r>
              <w:rPr>
                <w:rStyle w:val="885"/>
                <w:rFonts w:hint="default" w:asciiTheme="minorEastAsia" w:hAnsiTheme="minorEastAsia" w:eastAsiaTheme="minorEastAsia"/>
                <w:b/>
                <w:bCs/>
                <w:u w:val="single"/>
              </w:rPr>
              <w:t xml:space="preserve">（</w:t>
            </w:r>
            <w:r>
              <w:rPr>
                <w:rStyle w:val="885"/>
                <w:rFonts w:hint="default" w:asciiTheme="minorEastAsia" w:hAnsiTheme="minorEastAsia"/>
                <w:b/>
                <w:bCs/>
                <w:u w:val="single"/>
              </w:rPr>
              <w:t xml:space="preserve">投标文件中提供加盖投标人公章的</w:t>
            </w:r>
            <w:r>
              <w:rPr>
                <w:rStyle w:val="885"/>
                <w:rFonts w:hint="default" w:asciiTheme="minorEastAsia" w:hAnsiTheme="minorEastAsia" w:eastAsiaTheme="minorEastAsia"/>
                <w:b/>
                <w:bCs/>
                <w:u w:val="single"/>
              </w:rPr>
              <w:t xml:space="preserve">承诺函</w:t>
            </w:r>
            <w:r>
              <w:rPr>
                <w:rStyle w:val="885"/>
                <w:rFonts w:hint="default" w:asciiTheme="minorEastAsia" w:hAnsiTheme="minorEastAsia"/>
                <w:b/>
                <w:bCs/>
                <w:u w:val="single"/>
              </w:rPr>
              <w:t xml:space="preserve">，</w:t>
            </w:r>
            <w:r>
              <w:rPr>
                <w:rStyle w:val="885"/>
                <w:rFonts w:hint="default" w:asciiTheme="minorEastAsia" w:hAnsiTheme="minorEastAsia" w:eastAsiaTheme="minorEastAsia"/>
                <w:b/>
                <w:bCs/>
                <w:u w:val="single"/>
              </w:rPr>
              <w:t xml:space="preserve">格式自拟</w:t>
            </w:r>
            <w:r>
              <w:rPr>
                <w:rStyle w:val="885"/>
                <w:rFonts w:hint="default" w:asciiTheme="minorEastAsia" w:hAnsiTheme="minorEastAsia"/>
                <w:b/>
                <w:bCs/>
                <w:u w:val="single"/>
              </w:rPr>
              <w:t xml:space="preserve">，否则投标无效</w:t>
            </w:r>
            <w:r>
              <w:rPr>
                <w:rStyle w:val="885"/>
                <w:rFonts w:hint="default" w:asciiTheme="minorEastAsia" w:hAnsiTheme="minorEastAsia" w:eastAsiaTheme="minorEastAsia"/>
                <w:b/>
                <w:bCs/>
                <w:u w:val="single"/>
              </w:rPr>
              <w:t xml:space="preserve">）</w:t>
            </w:r>
            <w:r>
              <w:rPr>
                <w:rStyle w:val="883"/>
                <w:rFonts w:hint="default" w:asciiTheme="minorEastAsia" w:hAnsiTheme="minorEastAsia" w:eastAsiaTheme="minorEastAsia"/>
                <w:b/>
                <w:bCs/>
                <w:u w:val="single"/>
              </w:rPr>
              <w:br/>
            </w:r>
            <w:r>
              <w:rPr>
                <w:rStyle w:val="883"/>
                <w:rFonts w:hint="default" w:asciiTheme="minorEastAsia" w:hAnsiTheme="minorEastAsia" w:eastAsiaTheme="minorEastAsia"/>
              </w:rPr>
              <w:t xml:space="preserve">2、具有防暴力猜测功能，支持密码错误锁定、客户端锁定，可以设置锁定时长；</w:t>
            </w:r>
            <w:r>
              <w:rPr>
                <w:rStyle w:val="883"/>
                <w:rFonts w:hint="default" w:asciiTheme="minorEastAsia" w:hAnsiTheme="minorEastAsia" w:eastAsiaTheme="minorEastAsia"/>
              </w:rPr>
              <w:br/>
            </w:r>
            <w:r>
              <w:rPr>
                <w:rStyle w:val="883"/>
                <w:rFonts w:hint="default" w:asciiTheme="minorEastAsia" w:hAnsiTheme="minorEastAsia" w:eastAsiaTheme="minorEastAsia"/>
              </w:rPr>
              <w:t xml:space="preserve">▲3、支持自定义弱口令，用户口令不能设置为弱口令中的任何口令</w:t>
            </w:r>
            <w:r>
              <w:rPr>
                <w:rStyle w:val="883"/>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rPr>
                <w:rStyle w:val="882"/>
                <w:rFonts w:hint="default" w:asciiTheme="minorEastAsia" w:hAnsiTheme="minorEastAsia" w:eastAsiaTheme="minorEastAsia"/>
              </w:rPr>
              <w:br/>
            </w:r>
            <w:r>
              <w:rPr>
                <w:rStyle w:val="883"/>
                <w:rFonts w:hint="default" w:asciiTheme="minorEastAsia" w:hAnsiTheme="minorEastAsia" w:eastAsiaTheme="minorEastAsia"/>
              </w:rPr>
              <w:t xml:space="preserve">4、支持用户通过邮箱找回账号密码；</w:t>
            </w:r>
            <w:r>
              <w:rPr>
                <w:rStyle w:val="883"/>
                <w:rFonts w:hint="default" w:asciiTheme="minorEastAsia" w:hAnsiTheme="minorEastAsia" w:eastAsiaTheme="minorEastAsia"/>
              </w:rPr>
              <w:br/>
            </w:r>
            <w:r>
              <w:rPr>
                <w:rStyle w:val="883"/>
                <w:rFonts w:hint="default" w:asciiTheme="minorEastAsia" w:hAnsiTheme="minorEastAsia" w:eastAsiaTheme="minorEastAsia"/>
              </w:rPr>
              <w:t xml:space="preserve">5、支持对windows、linux、unix、网络及安全设备、数据库以及各类B/S应用的管理；</w:t>
            </w:r>
            <w:r>
              <w:rPr>
                <w:rStyle w:val="883"/>
                <w:rFonts w:hint="default" w:asciiTheme="minorEastAsia" w:hAnsiTheme="minorEastAsia" w:eastAsiaTheme="minorEastAsia"/>
              </w:rPr>
              <w:br/>
            </w:r>
            <w:r>
              <w:rPr>
                <w:rStyle w:val="883"/>
                <w:rFonts w:hint="default" w:asciiTheme="minorEastAsia" w:hAnsiTheme="minorEastAsia" w:eastAsiaTheme="minorEastAsia"/>
              </w:rPr>
              <w:t xml:space="preserve">6、支持系统账号密码触发式校验功能，对托管的口令进行验证；</w:t>
            </w:r>
            <w:r>
              <w:rPr>
                <w:rStyle w:val="883"/>
                <w:rFonts w:hint="default" w:asciiTheme="minorEastAsia" w:hAnsiTheme="minorEastAsia" w:eastAsiaTheme="minorEastAsia"/>
              </w:rPr>
              <w:br/>
            </w:r>
            <w:r>
              <w:rPr>
                <w:rStyle w:val="883"/>
                <w:rFonts w:hint="default" w:asciiTheme="minorEastAsia" w:hAnsiTheme="minorEastAsia" w:eastAsiaTheme="minorEastAsia"/>
              </w:rPr>
              <w:t xml:space="preserve">7、支持自动改密功能，管理员可自定义密码策略、改密周期、密码备份方式；</w:t>
            </w:r>
            <w:r>
              <w:rPr>
                <w:rStyle w:val="883"/>
                <w:rFonts w:hint="default" w:asciiTheme="minorEastAsia" w:hAnsiTheme="minorEastAsia" w:eastAsiaTheme="minorEastAsia"/>
              </w:rPr>
              <w:br/>
            </w:r>
            <w:r>
              <w:rPr>
                <w:rStyle w:val="883"/>
                <w:rFonts w:hint="default" w:asciiTheme="minorEastAsia" w:hAnsiTheme="minorEastAsia" w:eastAsiaTheme="minorEastAsia"/>
              </w:rPr>
              <w:t xml:space="preserve">▲8、支持多台应用发布服务器以集群的方式部署，且支持参与负载均衡调度</w:t>
            </w:r>
            <w:r>
              <w:rPr>
                <w:rStyle w:val="883"/>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rPr>
                <w:rStyle w:val="882"/>
                <w:rFonts w:hint="default" w:asciiTheme="minorEastAsia" w:hAnsiTheme="minorEastAsia" w:eastAsiaTheme="minorEastAsia"/>
              </w:rPr>
              <w:br/>
            </w:r>
            <w:r>
              <w:rPr>
                <w:rStyle w:val="883"/>
                <w:rFonts w:hint="default" w:asciiTheme="minorEastAsia" w:hAnsiTheme="minorEastAsia" w:eastAsiaTheme="minorEastAsia"/>
              </w:rPr>
              <w:t xml:space="preserve">▲9、由于实际业务中数据库操作比较频繁，支持根据任意SQL语句中的内容为关键字进行会话查询，查询结果可直接定位到相关操作画面</w:t>
            </w:r>
            <w:r>
              <w:rPr>
                <w:rStyle w:val="883"/>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rPr>
                <w:rStyle w:val="883"/>
                <w:rFonts w:hint="default" w:asciiTheme="minorEastAsia" w:hAnsiTheme="minorEastAsia" w:eastAsiaTheme="minorEastAsia"/>
                <w:b/>
                <w:bCs/>
              </w:rPr>
              <w:br/>
            </w:r>
            <w:r>
              <w:rPr>
                <w:rStyle w:val="883"/>
                <w:rFonts w:hint="default" w:asciiTheme="minorEastAsia" w:hAnsiTheme="minorEastAsia" w:eastAsiaTheme="minorEastAsia"/>
              </w:rPr>
              <w:t xml:space="preserve">▲10、支持文件传输功能，可向linux系统上传和下载文件</w:t>
            </w:r>
            <w:r>
              <w:rPr>
                <w:rStyle w:val="883"/>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rPr>
                <w:rStyle w:val="882"/>
                <w:rFonts w:hint="default" w:asciiTheme="minorEastAsia" w:hAnsiTheme="minorEastAsia" w:eastAsiaTheme="minorEastAsia"/>
              </w:rPr>
              <w:br/>
            </w:r>
            <w:r>
              <w:rPr>
                <w:rStyle w:val="883"/>
                <w:rFonts w:hint="default" w:asciiTheme="minorEastAsia" w:hAnsiTheme="minorEastAsia" w:eastAsiaTheme="minorEastAsia"/>
              </w:rPr>
              <w:t xml:space="preserve">11、支持设备收藏功能，用户可以对经常需要访问的目标设备做一键收藏，以便于下次可以直接在收藏夹中找到；</w:t>
            </w:r>
            <w:r>
              <w:rPr>
                <w:rStyle w:val="883"/>
                <w:rFonts w:hint="default" w:asciiTheme="minorEastAsia" w:hAnsiTheme="minorEastAsia" w:eastAsiaTheme="minorEastAsia"/>
              </w:rPr>
              <w:br/>
            </w:r>
            <w:r>
              <w:rPr>
                <w:rStyle w:val="883"/>
                <w:rFonts w:hint="default" w:asciiTheme="minorEastAsia" w:hAnsiTheme="minorEastAsia" w:eastAsiaTheme="minorEastAsia"/>
              </w:rPr>
              <w:t xml:space="preserve">12、能够实时显示在线会话、在线字符会话、在线图形会话、在线数据库会话数量，能够直接点击查看审计会话；</w:t>
            </w:r>
            <w:r>
              <w:rPr>
                <w:rStyle w:val="883"/>
                <w:rFonts w:hint="default" w:asciiTheme="minorEastAsia" w:hAnsiTheme="minorEastAsia" w:eastAsiaTheme="minorEastAsia"/>
              </w:rPr>
              <w:br/>
            </w:r>
            <w:r>
              <w:rPr>
                <w:rStyle w:val="883"/>
                <w:rFonts w:hint="default" w:asciiTheme="minorEastAsia" w:hAnsiTheme="minorEastAsia" w:eastAsiaTheme="minorEastAsia"/>
              </w:rPr>
              <w:t xml:space="preserve">13、能够查看目前在线运维会话数量；</w:t>
            </w:r>
            <w:r>
              <w:rPr>
                <w:rStyle w:val="883"/>
                <w:rFonts w:hint="default" w:asciiTheme="minorEastAsia" w:hAnsiTheme="minorEastAsia" w:eastAsiaTheme="minorEastAsia"/>
              </w:rPr>
              <w:br/>
            </w:r>
            <w:r>
              <w:rPr>
                <w:rStyle w:val="883"/>
                <w:rFonts w:hint="default" w:asciiTheme="minorEastAsia" w:hAnsiTheme="minorEastAsia" w:eastAsiaTheme="minorEastAsia"/>
              </w:rPr>
              <w:t xml:space="preserve">14、支持开启或者关闭键盘记录；</w:t>
            </w:r>
            <w:r/>
          </w:p>
        </w:tc>
      </w:tr>
      <w:tr>
        <w:trPr>
          <w:trHeight w:val="285"/>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pacing w:line="480" w:lineRule="exact"/>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四、移动办公建设</w:t>
            </w:r>
            <w:r/>
          </w:p>
        </w:tc>
      </w:tr>
      <w:tr>
        <w:trPr>
          <w:trHeight w:val="996"/>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桌面云一体机</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numPr>
                <w:numId w:val="0"/>
              </w:numPr>
              <w:jc w:val="left"/>
              <w:spacing w:line="480" w:lineRule="exact"/>
              <w:widowControl/>
              <w:rPr>
                <w:rFonts w:cs="宋体" w:asciiTheme="minorEastAsia" w:hAnsiTheme="minorEastAsia"/>
                <w:b/>
                <w:bCs/>
                <w:i/>
                <w:iCs/>
                <w:color w:val="000000"/>
                <w:sz w:val="24"/>
                <w:szCs w:val="24"/>
                <w:u w:val="single"/>
              </w:rPr>
            </w:pPr>
            <w:r>
              <w:rPr>
                <w:rFonts w:hint="eastAsia" w:cs="宋体" w:asciiTheme="minorEastAsia" w:hAnsiTheme="minorEastAsia"/>
                <w:b/>
                <w:bCs/>
                <w:i/>
                <w:iCs/>
                <w:color w:val="000000"/>
                <w:sz w:val="24"/>
                <w:szCs w:val="24"/>
                <w:u w:val="single"/>
                <w:lang w:val="en-US" w:eastAsia="zh-CN"/>
              </w:rPr>
              <w:t xml:space="preserve">1、</w:t>
            </w:r>
            <w:r>
              <w:rPr>
                <w:rFonts w:hint="eastAsia" w:cs="宋体" w:asciiTheme="minorEastAsia" w:hAnsiTheme="minorEastAsia"/>
                <w:b/>
                <w:bCs/>
                <w:i/>
                <w:iCs/>
                <w:color w:val="000000"/>
                <w:sz w:val="24"/>
                <w:szCs w:val="24"/>
                <w:u w:val="single"/>
              </w:rPr>
              <w:t xml:space="preserve">硬件规格：规格：2U，CPU：≥2颗国产自研CPU，单颗配置≥32C，≥2.5GHZ，内存：≥384G DDR5 5600，系统盘：≥2*480GB SATA SSD，≥2个* 1.92T SSD，≥4个* 机械硬盘8T，冗余电源，接口：≥4千兆电口、≥2万兆光口；</w:t>
            </w:r>
            <w:r/>
          </w:p>
          <w:p>
            <w:pPr>
              <w:numPr>
                <w:numId w:val="0"/>
              </w:numPr>
              <w:jc w:val="left"/>
              <w:spacing w:line="480" w:lineRule="exact"/>
              <w:widowControl/>
              <w:rPr>
                <w:rStyle w:val="883"/>
                <w:rFonts w:hint="default" w:asciiTheme="minorEastAsia" w:hAnsiTheme="minorEastAsia" w:eastAsiaTheme="minorEastAsia"/>
                <w:b/>
                <w:bCs/>
              </w:rPr>
            </w:pPr>
            <w:r>
              <w:rPr>
                <w:rFonts w:hint="eastAsia" w:cs="宋体" w:asciiTheme="minorEastAsia" w:hAnsiTheme="minorEastAsia"/>
                <w:b/>
                <w:bCs/>
                <w:i/>
                <w:iCs/>
                <w:color w:val="000000"/>
                <w:sz w:val="24"/>
                <w:szCs w:val="24"/>
                <w:u w:val="single"/>
                <w:lang w:val="en-US" w:eastAsia="zh-CN"/>
              </w:rPr>
              <w:t xml:space="preserve">2、</w:t>
            </w:r>
            <w:r>
              <w:rPr>
                <w:rFonts w:hint="eastAsia" w:cs="宋体" w:asciiTheme="minorEastAsia" w:hAnsiTheme="minorEastAsia"/>
                <w:b/>
                <w:bCs/>
                <w:i/>
                <w:iCs/>
                <w:color w:val="000000"/>
                <w:sz w:val="24"/>
                <w:szCs w:val="24"/>
                <w:u w:val="single"/>
              </w:rPr>
              <w:t xml:space="preserve">软件授权：每台服务器提供不低于2颗CPU的云计算管理软件授权、服务器虚拟化软件授权、存储虚拟化软件授权；</w:t>
            </w:r>
            <w:r>
              <w:rPr>
                <w:rStyle w:val="885"/>
                <w:rFonts w:hint="default" w:asciiTheme="minorEastAsia" w:hAnsiTheme="minorEastAsia" w:eastAsiaTheme="minorEastAsia"/>
                <w:b/>
                <w:bCs/>
                <w:u w:val="single"/>
              </w:rPr>
              <w:t xml:space="preserve">（</w:t>
            </w:r>
            <w:r>
              <w:rPr>
                <w:rStyle w:val="885"/>
                <w:rFonts w:hint="default" w:asciiTheme="minorEastAsia" w:hAnsiTheme="minorEastAsia"/>
                <w:b/>
                <w:bCs/>
                <w:u w:val="single"/>
              </w:rPr>
              <w:t xml:space="preserve">投标文件中提供加盖投标人公章的</w:t>
            </w:r>
            <w:r>
              <w:rPr>
                <w:rStyle w:val="885"/>
                <w:rFonts w:hint="default" w:asciiTheme="minorEastAsia" w:hAnsiTheme="minorEastAsia" w:eastAsiaTheme="minorEastAsia"/>
                <w:b/>
                <w:bCs/>
                <w:u w:val="single"/>
              </w:rPr>
              <w:t xml:space="preserve">承诺函</w:t>
            </w:r>
            <w:r>
              <w:rPr>
                <w:rStyle w:val="885"/>
                <w:rFonts w:hint="default" w:asciiTheme="minorEastAsia" w:hAnsiTheme="minorEastAsia"/>
                <w:b/>
                <w:bCs/>
                <w:u w:val="single"/>
              </w:rPr>
              <w:t xml:space="preserve">，</w:t>
            </w:r>
            <w:r>
              <w:rPr>
                <w:rStyle w:val="885"/>
                <w:rFonts w:hint="default" w:asciiTheme="minorEastAsia" w:hAnsiTheme="minorEastAsia" w:eastAsiaTheme="minorEastAsia"/>
                <w:b/>
                <w:bCs/>
                <w:u w:val="single"/>
              </w:rPr>
              <w:t xml:space="preserve">格式自拟</w:t>
            </w:r>
            <w:r>
              <w:rPr>
                <w:rStyle w:val="885"/>
                <w:rFonts w:hint="default" w:asciiTheme="minorEastAsia" w:hAnsiTheme="minorEastAsia"/>
                <w:b/>
                <w:bCs/>
                <w:u w:val="single"/>
              </w:rPr>
              <w:t xml:space="preserve">，否则投标无效</w:t>
            </w:r>
            <w:r>
              <w:rPr>
                <w:rStyle w:val="885"/>
                <w:rFonts w:hint="default" w:asciiTheme="minorEastAsia" w:hAnsiTheme="minorEastAsia" w:eastAsiaTheme="minorEastAsia"/>
                <w:b/>
                <w:bCs/>
                <w:u w:val="single"/>
              </w:rPr>
              <w:t xml:space="preserve">）</w:t>
            </w:r>
            <w:r>
              <w:rPr>
                <w:rStyle w:val="882"/>
                <w:rFonts w:hint="default" w:asciiTheme="minorEastAsia" w:hAnsiTheme="minorEastAsia" w:eastAsiaTheme="minorEastAsia"/>
                <w:b/>
                <w:bCs/>
                <w:u w:val="single"/>
              </w:rPr>
              <w:br/>
            </w:r>
            <w:r>
              <w:rPr>
                <w:rStyle w:val="882"/>
                <w:rFonts w:hint="default" w:asciiTheme="minorEastAsia" w:hAnsiTheme="minorEastAsia" w:eastAsiaTheme="minorEastAsia"/>
              </w:rPr>
              <w:t xml:space="preserve">3、云计算管理：</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▲3.1平台支持热升级，升级期间对于已接入的用户桌面使用不会造成影响</w:t>
            </w:r>
            <w:r>
              <w:rPr>
                <w:rStyle w:val="882"/>
                <w:rFonts w:hint="default" w:asciiTheme="minorEastAsia" w:hAnsiTheme="minorEastAsia"/>
              </w:rPr>
              <w:t xml:space="preserve">；</w:t>
            </w:r>
            <w:r>
              <w:rPr>
                <w:rFonts w:hint="eastAsia" w:cs="宋体" w:asciiTheme="minorEastAsia" w:hAnsiTheme="minorEastAsia"/>
                <w:b/>
                <w:bCs/>
                <w:color w:val="000000"/>
                <w:sz w:val="24"/>
                <w:szCs w:val="24"/>
              </w:rPr>
              <w:t xml:space="preserve">（投标文件中提供所投产品的第三方检测报告证明材料并加盖投标人公章） </w:t>
            </w:r>
            <w:r>
              <w:rPr>
                <w:rStyle w:val="883"/>
                <w:rFonts w:hint="default" w:asciiTheme="minorEastAsia" w:hAnsiTheme="minorEastAsia" w:eastAsiaTheme="minorEastAsia"/>
              </w:rPr>
              <w:br/>
            </w:r>
            <w:r>
              <w:rPr>
                <w:rStyle w:val="882"/>
                <w:rFonts w:hint="default" w:asciiTheme="minorEastAsia" w:hAnsiTheme="minorEastAsia" w:eastAsiaTheme="minorEastAsia"/>
              </w:rPr>
              <w:t xml:space="preserve">3.2平台应提供基于PowerShell的CLI命令行功能，以简化运维操作并方便使用。通过命令行可进行虚拟机管理、存储管理、主机管理等操作；</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▲3.3平台需提供东西向微隔离，支持基于用户、虚拟机及IP的精细化ACL控制；同时支持南北向访问联动，可根据用户接入位置（内/外网）及设备，自动管控桌面云对目标业务系统的访问权限</w:t>
            </w:r>
            <w:r>
              <w:rPr>
                <w:rStyle w:val="882"/>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p>
          <w:p>
            <w:pPr>
              <w:jc w:val="left"/>
              <w:spacing w:line="480" w:lineRule="exact"/>
              <w:widowControl/>
              <w:rPr>
                <w:rStyle w:val="883"/>
                <w:rFonts w:hint="default" w:asciiTheme="minorEastAsia" w:hAnsiTheme="minorEastAsia" w:eastAsiaTheme="minorEastAsia"/>
                <w:b/>
                <w:bCs/>
              </w:rPr>
            </w:pPr>
            <w:r>
              <w:rPr>
                <w:rStyle w:val="882"/>
                <w:rFonts w:hint="default" w:asciiTheme="minorEastAsia" w:hAnsiTheme="minorEastAsia" w:eastAsiaTheme="minorEastAsia"/>
              </w:rPr>
              <w:t xml:space="preserve">3.4支持对组内服务器进行平滑扩容，并且扩容后需要自动匹配分组已经设置的策略以及应用程序关联关系；</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3.5平台支持自动监控服务器组和单台服务器的健康与负载状态，在服务器连接状态不通的情况下，用户不会分配到这些服务器，且管理员应该收到告警；</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▲3.6平台支持软件商城以及软件分发功能，能够实现基础的软件包、文件、脚本分发给指定的虚拟机</w:t>
            </w:r>
            <w:r>
              <w:rPr>
                <w:rStyle w:val="882"/>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p>
          <w:p>
            <w:pPr>
              <w:jc w:val="left"/>
              <w:spacing w:line="480" w:lineRule="exact"/>
              <w:widowControl/>
              <w:rPr>
                <w:rStyle w:val="883"/>
                <w:rFonts w:hint="default" w:asciiTheme="minorEastAsia" w:hAnsiTheme="minorEastAsia" w:eastAsiaTheme="minorEastAsia"/>
                <w:b/>
                <w:bCs/>
              </w:rPr>
            </w:pPr>
            <w:r>
              <w:rPr>
                <w:rStyle w:val="882"/>
                <w:rFonts w:hint="default" w:asciiTheme="minorEastAsia" w:hAnsiTheme="minorEastAsia" w:eastAsiaTheme="minorEastAsia"/>
              </w:rPr>
              <w:t xml:space="preserve">4、服务器虚拟化：</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4.1支持以EXCEL表格形式导出虚拟机的配置信息，信息包括但不限于名称、IP、CPU内存磁盘配置以及使用率信息；</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4.2支持热添加CPU、内存、磁盘的功能，在不中断或停机的情况下，能够在线添加虚拟资源；</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4.3支持快照功能，能够新增快照策略，并设置快照频率，如按周、按天或按小时进行快照；</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▲4.4支持集群环境的快速检测，避免因平台故障影响业务。检测对象包括但不限于系统运行状态检测、存储空间检测、网口配置检）、硬件健康检测等纬度</w:t>
            </w:r>
            <w:r>
              <w:rPr>
                <w:rStyle w:val="882"/>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p>
          <w:p>
            <w:pPr>
              <w:jc w:val="left"/>
              <w:spacing w:line="480" w:lineRule="exact"/>
              <w:widowControl/>
              <w:rPr>
                <w:rFonts w:cs="宋体" w:asciiTheme="minorEastAsia" w:hAnsiTheme="minorEastAsia"/>
                <w:color w:val="000000"/>
                <w:sz w:val="24"/>
                <w:szCs w:val="24"/>
              </w:rPr>
            </w:pPr>
            <w:r>
              <w:rPr>
                <w:rStyle w:val="882"/>
                <w:rFonts w:hint="default" w:asciiTheme="minorEastAsia" w:hAnsiTheme="minorEastAsia" w:eastAsiaTheme="minorEastAsia"/>
              </w:rPr>
              <w:t xml:space="preserve">4.5支持对漏洞及版本信息进行巡检的能力，能够推送补丁及升级信息，同时支持对补丁进行管理、更新以及回滚操作；</w:t>
            </w:r>
            <w:r>
              <w:rPr>
                <w:rStyle w:val="883"/>
                <w:rFonts w:hint="default" w:asciiTheme="minorEastAsia" w:hAnsiTheme="minorEastAsia" w:eastAsiaTheme="minorEastAsia"/>
              </w:rPr>
              <w:br/>
            </w:r>
            <w:r>
              <w:rPr>
                <w:rStyle w:val="882"/>
                <w:rFonts w:hint="default" w:asciiTheme="minorEastAsia" w:hAnsiTheme="minorEastAsia" w:eastAsiaTheme="minorEastAsia"/>
              </w:rPr>
              <w:t xml:space="preserve">5、存储虚拟化：</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5.1采用分布式软件定义存储架构，将所有服务器硬盘整合为一个虚拟存储资源池，以提供分布式存储服务；</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5.2支持备份复制策略，依据设定的备份频率、数据传输速率等策略，把虚拟机的备份复制到多个不同位置，以进行存储和归档；</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5.3支持虚拟机备份至外置存储（NFS、IP-SAN、FC-SAN等）；</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▲5.4支持在不同场景下满足存储对性能和可靠性的需求，支持为虚拟桌面的磁盘配置不同的存储策略，如重要虚拟桌面选择三副本高性能策略，普通虚拟机选择二副本默认策略</w:t>
            </w:r>
            <w:r>
              <w:rPr>
                <w:rStyle w:val="882"/>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5.5支持对虚拟磁盘设置QoS，可以在虚拟机开机和关机状态下对虚拟机的虚拟磁盘占用资源进行限制操作，包括磁盘IO限制，最大读写速率限制等。</w:t>
            </w:r>
            <w:r/>
          </w:p>
        </w:tc>
      </w:tr>
      <w:tr>
        <w:trPr>
          <w:trHeight w:val="1025"/>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云接入终端</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jc w:val="left"/>
              <w:spacing w:line="480" w:lineRule="exact"/>
              <w:widowControl/>
              <w:rPr>
                <w:rFonts w:cs="宋体" w:asciiTheme="minorEastAsia" w:hAnsiTheme="minorEastAsia"/>
                <w:i/>
                <w:iCs/>
                <w:color w:val="000000"/>
                <w:sz w:val="24"/>
                <w:szCs w:val="24"/>
                <w:u w:val="single"/>
              </w:rPr>
            </w:pPr>
            <w:r>
              <w:rPr>
                <w:rFonts w:hint="eastAsia" w:cs="宋体" w:asciiTheme="minorEastAsia" w:hAnsiTheme="minorEastAsia"/>
                <w:b/>
                <w:bCs/>
                <w:i/>
                <w:iCs/>
                <w:color w:val="000000"/>
                <w:sz w:val="24"/>
                <w:szCs w:val="24"/>
                <w:u w:val="single"/>
              </w:rPr>
              <w:t xml:space="preserve">1、硬件规格：规格：国产自研CPU，主频：≥3.0GHz，8核，内存：≥8G 3200MHz，硬盘容量：≥256G SSD，显卡：国产集成显卡，屏幕尺寸：≥14英寸，屏幕分辨率：≥1920*1080，USB-C接口数量：≥1个，USB-A接口数：≥2个，显示端口：≥1个HDMI接口，无线网卡：≥双天线WI-FI 6；</w:t>
            </w:r>
            <w:r>
              <w:rPr>
                <w:rFonts w:hint="eastAsia" w:cs="宋体" w:asciiTheme="minorEastAsia" w:hAnsiTheme="minorEastAsia"/>
                <w:b/>
                <w:bCs/>
                <w:i/>
                <w:iCs/>
                <w:color w:val="000000"/>
                <w:sz w:val="24"/>
                <w:szCs w:val="24"/>
                <w:u w:val="single"/>
              </w:rPr>
              <w:br/>
            </w:r>
            <w:r>
              <w:rPr>
                <w:rFonts w:hint="eastAsia" w:cs="宋体" w:asciiTheme="minorEastAsia" w:hAnsiTheme="minorEastAsia"/>
                <w:b/>
                <w:bCs/>
                <w:i/>
                <w:iCs/>
                <w:color w:val="000000"/>
                <w:sz w:val="24"/>
                <w:szCs w:val="24"/>
                <w:u w:val="single"/>
              </w:rPr>
              <w:t xml:space="preserve">2、软件要求：</w:t>
            </w:r>
            <w:r>
              <w:rPr>
                <w:rFonts w:hint="eastAsia" w:cs="宋体" w:asciiTheme="minorEastAsia" w:hAnsiTheme="minorEastAsia"/>
                <w:b/>
                <w:bCs/>
                <w:i/>
                <w:iCs/>
                <w:color w:val="000000"/>
                <w:sz w:val="24"/>
                <w:szCs w:val="24"/>
                <w:u w:val="single"/>
              </w:rPr>
              <w:br/>
            </w:r>
            <w:r>
              <w:rPr>
                <w:rFonts w:hint="eastAsia" w:cs="宋体" w:asciiTheme="minorEastAsia" w:hAnsiTheme="minorEastAsia"/>
                <w:b/>
                <w:bCs/>
                <w:i/>
                <w:iCs/>
                <w:color w:val="000000"/>
                <w:sz w:val="24"/>
                <w:szCs w:val="24"/>
                <w:u w:val="single"/>
              </w:rPr>
              <w:t xml:space="preserve">2.1软件要求：终端需兼容云桌面接入授权软件，与桌面云一体机无缝接入使用；</w:t>
            </w:r>
            <w:r>
              <w:rPr>
                <w:rFonts w:hint="eastAsia" w:cs="宋体" w:asciiTheme="minorEastAsia" w:hAnsiTheme="minorEastAsia"/>
                <w:b/>
                <w:bCs/>
                <w:i/>
                <w:iCs/>
                <w:color w:val="000000"/>
                <w:sz w:val="24"/>
                <w:szCs w:val="24"/>
                <w:u w:val="single"/>
              </w:rPr>
              <w:br/>
            </w:r>
            <w:r>
              <w:rPr>
                <w:rFonts w:hint="eastAsia" w:cs="宋体" w:asciiTheme="minorEastAsia" w:hAnsiTheme="minorEastAsia"/>
                <w:b/>
                <w:bCs/>
                <w:i/>
                <w:iCs/>
                <w:color w:val="000000"/>
                <w:sz w:val="24"/>
                <w:szCs w:val="24"/>
                <w:u w:val="single"/>
              </w:rPr>
              <w:t xml:space="preserve">2.2为保障接入安全，支持云终端接入桌面环境需要输入密码。</w:t>
            </w:r>
            <w:r/>
          </w:p>
        </w:tc>
      </w:tr>
      <w:tr>
        <w:trPr/>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虚拟化管理接入授权</w:t>
            </w:r>
            <w:r/>
          </w:p>
        </w:tc>
        <w:tc>
          <w:tcPr>
            <w:shd w:val="clear" w:color="auto" w:fill="auto"/>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numPr>
                <w:numId w:val="0"/>
              </w:numPr>
              <w:jc w:val="left"/>
              <w:spacing w:line="480" w:lineRule="exact"/>
              <w:widowControl/>
              <w:rPr>
                <w:rFonts w:cs="宋体" w:asciiTheme="minorEastAsia" w:hAnsiTheme="minorEastAsia"/>
                <w:color w:val="000000"/>
                <w:sz w:val="24"/>
                <w:szCs w:val="24"/>
              </w:rPr>
            </w:pPr>
            <w:r>
              <w:rPr>
                <w:rFonts w:hint="eastAsia" w:cs="宋体" w:asciiTheme="minorEastAsia" w:hAnsiTheme="minorEastAsia"/>
                <w:b/>
                <w:bCs/>
                <w:i/>
                <w:iCs/>
                <w:color w:val="000000"/>
                <w:sz w:val="24"/>
                <w:szCs w:val="24"/>
                <w:u w:val="single"/>
                <w:lang w:val="en-US" w:eastAsia="zh-CN"/>
              </w:rPr>
              <w:t xml:space="preserve">1、</w:t>
            </w:r>
            <w:r>
              <w:rPr>
                <w:rFonts w:hint="eastAsia" w:cs="宋体" w:asciiTheme="minorEastAsia" w:hAnsiTheme="minorEastAsia"/>
                <w:b/>
                <w:bCs/>
                <w:i/>
                <w:iCs/>
                <w:color w:val="000000"/>
                <w:sz w:val="24"/>
                <w:szCs w:val="24"/>
                <w:u w:val="single"/>
              </w:rPr>
              <w:t xml:space="preserve">软件授权：提供不低于150套的并发接入桌面授权以及1套云桌面智能运维软件；</w:t>
            </w:r>
            <w:r>
              <w:rPr>
                <w:rFonts w:hint="eastAsia" w:cs="宋体" w:asciiTheme="minorEastAsia" w:hAnsiTheme="minorEastAsia"/>
                <w:b/>
                <w:bCs/>
                <w:i/>
                <w:iCs/>
                <w:color w:val="000000"/>
                <w:sz w:val="24"/>
                <w:szCs w:val="24"/>
                <w:u w:val="single"/>
              </w:rPr>
              <w:br/>
            </w:r>
            <w:r>
              <w:rPr>
                <w:rFonts w:hint="eastAsia" w:cs="宋体" w:asciiTheme="minorEastAsia" w:hAnsiTheme="minorEastAsia"/>
                <w:b/>
                <w:bCs/>
                <w:i/>
                <w:iCs/>
                <w:color w:val="000000"/>
                <w:sz w:val="24"/>
                <w:szCs w:val="24"/>
                <w:u w:val="single"/>
              </w:rPr>
              <w:t xml:space="preserve">2、虚拟桌面控制器：为提升桌面云接入性能及稳定性，需提供1套虚拟桌面控制器软件，提供统一的用户身份认证能力。支持对桌面资源、云终端实现统一的状态监控与运维管理；</w:t>
            </w:r>
            <w:r>
              <w:rPr>
                <w:rStyle w:val="882"/>
                <w:rFonts w:hint="default" w:asciiTheme="minorEastAsia" w:hAnsiTheme="minorEastAsia" w:eastAsiaTheme="minorEastAsia"/>
                <w:b/>
                <w:bCs/>
                <w:u w:val="single"/>
              </w:rPr>
              <w:br/>
            </w:r>
            <w:r>
              <w:rPr>
                <w:rStyle w:val="882"/>
                <w:rFonts w:hint="default" w:asciiTheme="minorEastAsia" w:hAnsiTheme="minorEastAsia" w:eastAsiaTheme="minorEastAsia"/>
              </w:rPr>
              <w:t xml:space="preserve">3、软件功能：</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3.1支持多种类型终端登录云桌面，包括PC台式机、笔记本以及移动终端等设备；</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▲3.2为了提高维护效率，支持管理员通过管理平台直接下发远程协助用户处理问题</w:t>
            </w:r>
            <w:r>
              <w:rPr>
                <w:rStyle w:val="882"/>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3.3为了保障外设兼容性，需支持USB映射，兼容主流的外设，包括但不限于如扫描枪、扫描仪、摄像头、身份证读卡器、手写板、打印机等不同外设。</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3.4支持随机池桌面，当用户需要时从桌面资源池中随机获取一个闲置虚拟机，用户注销后系统自动关闭虚拟机以释放资源。</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▲3.5为了保证在网络条件较差场景下的桌面接入体验，需支持UDP和TCP两种传输模式、根据网络条件自动选择传输模式，无需用户手动调整</w:t>
            </w:r>
            <w:r>
              <w:rPr>
                <w:rStyle w:val="882"/>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▲3.6支持自助快照恢复，当用户误操作导致云桌面卡慢、蓝屏、死机或者中病毒的时候，支持自助进行系统盘快照还原操作</w:t>
            </w:r>
            <w:r>
              <w:rPr>
                <w:rStyle w:val="882"/>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3.7为确保数据安全性，需支持虚拟机加密技术，对云桌面虚拟机进行全盘加密处理，保障数据安全；</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▲3.8支持文件导出内容审计，虚拟机通过剪切板、PC设备和USB设备外发文件的操作将被管控，支持通过文件导出工具实现文件外发</w:t>
            </w:r>
            <w:r>
              <w:rPr>
                <w:rStyle w:val="882"/>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3.9平台支持管理员给在线用户推送消息和通知，管理员可以根据需求发给指定用户或者发给所有用户；</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▲3.10支持用户自助申请虚拟机配置调整，管理审核通过后自动调整用户虚拟机配置</w:t>
            </w:r>
            <w:r>
              <w:rPr>
                <w:rStyle w:val="882"/>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3.11支持屏幕水印，支持水印内容、透明度、水印字体大小、倾斜度调整；</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4、智能运维：</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4.1为了实现大规模部署及简化管理，需提供全局模板功能，实现云桌面统一创建、统一更新、统一管理。</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▲4.2为提升云桌面中业务软件的使用体验，可针对当下使用频率较高的软件做进程加速，管理员也可自定义需加速应用进程名，以保障应用的流畅运行</w:t>
            </w:r>
            <w:r>
              <w:rPr>
                <w:rStyle w:val="882"/>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▲4.3支持就近打印配置，可以根据客户机对象或者终端ip对象关联打印机配置，用户通过终端登录桌面，自动匹配终端管理的打印机配置，实现就近打印</w:t>
            </w:r>
            <w:r>
              <w:rPr>
                <w:rStyle w:val="882"/>
                <w:rFonts w:hint="default" w:asciiTheme="minorEastAsia" w:hAnsiTheme="minorEastAsia"/>
              </w:rPr>
              <w:t xml:space="preserve">；</w:t>
            </w:r>
            <w:r>
              <w:rPr>
                <w:rFonts w:hint="eastAsia" w:cs="宋体" w:asciiTheme="minorEastAsia" w:hAnsiTheme="minorEastAsia"/>
                <w:b/>
                <w:bCs/>
                <w:color w:val="000000"/>
                <w:sz w:val="24"/>
                <w:szCs w:val="24"/>
              </w:rPr>
              <w:t xml:space="preserve">（投标文件中提供所投产品的第三方检测报告证明材料并加盖投标人公章） </w:t>
            </w:r>
            <w:r>
              <w:rPr>
                <w:rStyle w:val="883"/>
                <w:rFonts w:hint="default" w:asciiTheme="minorEastAsia" w:hAnsiTheme="minorEastAsia" w:eastAsiaTheme="minorEastAsia"/>
              </w:rPr>
              <w:br/>
            </w:r>
            <w:r>
              <w:rPr>
                <w:rStyle w:val="882"/>
                <w:rFonts w:hint="default" w:asciiTheme="minorEastAsia" w:hAnsiTheme="minorEastAsia" w:eastAsiaTheme="minorEastAsia"/>
              </w:rPr>
              <w:t xml:space="preserve">4.4为了提高虚拟桌面与虚拟应用的会话稳定性，所投产品需支持会话连接保持功能，在更换不同终端接入、临时性网络中断等情况下，用户重新登录后依然可以返回之前的会话界面，保障工作连续性。</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▲4.5为了提升虚拟资源的利用效率，平台支持智能识别闲置桌面虚拟机，实现闲置资源进行统一清理、回收或重新调度</w:t>
            </w:r>
            <w:r>
              <w:rPr>
                <w:rStyle w:val="882"/>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▲4.6为了更好地平衡体验和资源利用效率，支持根据用户的使用情况智能化识别虚拟机是否需要扩容和减配，并给出智能扩容/降配的建议</w:t>
            </w:r>
            <w:r>
              <w:rPr>
                <w:rStyle w:val="882"/>
                <w:rFonts w:hint="default" w:asciiTheme="minorEastAsia" w:hAnsiTheme="minorEastAsia"/>
              </w:rPr>
              <w:t xml:space="preserve">；</w:t>
            </w:r>
            <w:r>
              <w:rPr>
                <w:rStyle w:val="883"/>
                <w:rFonts w:hint="default" w:asciiTheme="minorEastAsia" w:hAnsiTheme="minorEastAsia"/>
                <w:b/>
                <w:bCs/>
              </w:rPr>
              <w:t xml:space="preserve">（投标文件中</w:t>
            </w:r>
            <w:r>
              <w:rPr>
                <w:rStyle w:val="883"/>
                <w:rFonts w:hint="default" w:asciiTheme="minorEastAsia" w:hAnsiTheme="minorEastAsia" w:eastAsiaTheme="minorEastAsia"/>
                <w:b/>
                <w:bCs/>
              </w:rPr>
              <w:t xml:space="preserve">提供功能截图并加盖投标人公章）</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4.7为了保证桌面云平台安全性，需支持设置用户账户闲置超过一定期限后自动禁用，避免管理员未能及时清理闲置账户时，闲置账户被第三方恶意利用风险。</w:t>
            </w:r>
            <w:r>
              <w:rPr>
                <w:rStyle w:val="882"/>
                <w:rFonts w:hint="default" w:asciiTheme="minorEastAsia" w:hAnsiTheme="minorEastAsia" w:eastAsiaTheme="minorEastAsia"/>
              </w:rPr>
              <w:br/>
            </w:r>
            <w:r>
              <w:rPr>
                <w:rStyle w:val="882"/>
                <w:rFonts w:hint="default" w:asciiTheme="minorEastAsia" w:hAnsiTheme="minorEastAsia" w:eastAsiaTheme="minorEastAsia"/>
              </w:rPr>
              <w:t xml:space="preserve">4.8为了保障虚拟桌面的稳定运行，避免因负载异常引发的终端卡慢、业务中断等问题，提升运维故障排查的效率与精准度，平台应支持监控虚拟</w:t>
            </w:r>
            <w:r>
              <w:rPr>
                <w:rStyle w:val="882"/>
                <w:rFonts w:hint="default" w:asciiTheme="minorEastAsia" w:hAnsiTheme="minorEastAsia"/>
              </w:rPr>
              <w:t xml:space="preserve">；</w:t>
            </w:r>
            <w:r/>
          </w:p>
        </w:tc>
      </w:tr>
    </w:tbl>
    <w:p>
      <w:pPr>
        <w:ind w:firstLine="480"/>
        <w:spacing w:line="360" w:lineRule="auto"/>
        <w:rPr>
          <w:rFonts w:ascii="宋体" w:hAnsi="宋体"/>
          <w:sz w:val="24"/>
          <w:szCs w:val="24"/>
        </w:rPr>
      </w:pPr>
      <w:r>
        <w:rPr>
          <w:rFonts w:hint="eastAsia" w:ascii="宋体" w:hAnsi="宋体"/>
          <w:sz w:val="24"/>
          <w:szCs w:val="24"/>
        </w:rPr>
        <w:t xml:space="preserve">注：上述所有技术参数及功能指标中所要求的检测报告检测项与技术参数及功能指标中所列要求表述不完全一致，功能相近的，由评标委员会统一认定。</w:t>
      </w:r>
      <w:r/>
    </w:p>
    <w:p>
      <w:pPr>
        <w:ind w:firstLine="480"/>
        <w:spacing w:line="360" w:lineRule="auto"/>
        <w:rPr>
          <w:rFonts w:ascii="宋体" w:hAnsi="宋体"/>
          <w:b/>
          <w:bCs/>
          <w:sz w:val="24"/>
          <w:szCs w:val="24"/>
        </w:rPr>
      </w:pPr>
      <w:r>
        <w:rPr>
          <w:rFonts w:hint="eastAsia" w:ascii="宋体" w:hAnsi="宋体"/>
          <w:b/>
          <w:bCs/>
          <w:sz w:val="24"/>
          <w:szCs w:val="24"/>
        </w:rPr>
        <w:t xml:space="preserve">2.3项目实施服务技术要求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投标人在中标后</w:t>
      </w:r>
      <w:r>
        <w:rPr>
          <w:rFonts w:ascii="宋体" w:hAnsi="宋体" w:eastAsia="宋体" w:cs="宋体"/>
          <w:sz w:val="24"/>
          <w:szCs w:val="24"/>
        </w:rPr>
        <w:t xml:space="preserve">应充分完成现场踏勘，充分掌握灾备机房现场现状、院区管线环境、医院现有网络架构、现有虚拟化平台软硬件环境，充分考虑新旧设备对接、业务迁移、现有设备利旧复用等场景，踏勘风险、现场适配风险全部由中标人承担。 </w:t>
      </w:r>
      <w:r/>
    </w:p>
    <w:p>
      <w:pPr>
        <w:ind w:firstLine="562"/>
        <w:jc w:val="left"/>
        <w:spacing w:line="360" w:lineRule="auto"/>
        <w:rPr>
          <w:rFonts w:ascii="宋体" w:hAnsi="宋体" w:eastAsia="宋体" w:cs="宋体"/>
          <w:sz w:val="24"/>
          <w:szCs w:val="24"/>
        </w:rPr>
      </w:pPr>
      <w:r>
        <w:rPr>
          <w:rFonts w:ascii="宋体" w:hAnsi="宋体" w:eastAsia="宋体" w:cs="宋体"/>
          <w:sz w:val="24"/>
          <w:szCs w:val="24"/>
        </w:rPr>
        <w:t xml:space="preserve">项目全部施工、安装、调试作业落实安全文明施工以及机房安全生产管理要求，做好成品保护；施工过程中造成采购人原有设施损坏的，由中标人无偿修复或者更换。</w:t>
      </w:r>
      <w:r/>
    </w:p>
    <w:p>
      <w:pPr>
        <w:ind w:firstLine="562"/>
        <w:jc w:val="left"/>
        <w:spacing w:line="360" w:lineRule="auto"/>
        <w:rPr>
          <w:rFonts w:ascii="宋体" w:hAnsi="宋体" w:eastAsia="宋体" w:cs="宋体"/>
          <w:sz w:val="24"/>
          <w:szCs w:val="24"/>
        </w:rPr>
      </w:pPr>
      <w:r>
        <w:rPr>
          <w:rFonts w:ascii="宋体" w:hAnsi="宋体" w:eastAsia="宋体" w:cs="宋体"/>
          <w:sz w:val="24"/>
          <w:szCs w:val="24"/>
        </w:rPr>
        <w:t xml:space="preserve">项目实施全过程形成的施工图纸、设备配置文档、系统测试报告、业务迁移记录、运维操作手册等全套技术资料，在项目验收时同步向采购人移交纸质版、电子版两套完整资料。</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各子系统集成实施具体要求如下：</w:t>
      </w:r>
      <w:r/>
    </w:p>
    <w:p>
      <w:pPr>
        <w:ind w:firstLine="56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1.核心机房保障升级集成实施</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1.1灾备机房精密空调、多联机空调系统：完成设备就位安装，风道、风口、铜管、水管、信号线、支架安装，冷媒加注调试；完成空调群控功能配置，机房温湿度自动调控调试，完成消防联动、来电自启等功能验证；完成空调系统检漏、排水测试，各项指标满足机房散热制冷要求；</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1.2UPS 及供配电系统：完成 ATS 市电配电柜、精密配电柜、UPS 主机、电池柜、电池开关箱、蓄电池安装接线；完成 PDU、工业连接器、防雷接地汇流排、接地线缆施工调试；完成 UPS 参数配置、蓄电池组调试、告警功能验证、并机功能调试，完成 UPS 与虚拟化平台断电联动功能验证；防雷接地指标满足数据中心相关规范；</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1.3机柜扩容：完成 42U 国标机柜就位、并柜安装，机柜配套 PDU 安装调试，机柜内部理线、接地施工。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1.4机房全部配套线缆、辅材、标识标签、防火封堵按照规范完成施工，机房强弱电布线分离，所有线缆设置清晰标签标识。</w:t>
      </w:r>
      <w:r/>
    </w:p>
    <w:p>
      <w:pPr>
        <w:ind w:firstLine="562"/>
        <w:jc w:val="left"/>
        <w:spacing w:line="360" w:lineRule="auto"/>
        <w:rPr>
          <w:rFonts w:ascii="宋体" w:hAnsi="宋体" w:eastAsia="宋体" w:cs="宋体"/>
          <w:sz w:val="24"/>
          <w:szCs w:val="24"/>
        </w:rPr>
      </w:pPr>
      <w:r>
        <w:rPr>
          <w:rFonts w:hint="eastAsia" w:ascii="宋体" w:hAnsi="宋体" w:eastAsia="宋体" w:cs="宋体"/>
          <w:b/>
          <w:bCs/>
          <w:sz w:val="24"/>
          <w:szCs w:val="24"/>
        </w:rPr>
        <w:t xml:space="preserve">2.院区网络建设（院区互联互通裸纤双链路）</w:t>
      </w:r>
      <w:r/>
    </w:p>
    <w:p>
      <w:pPr>
        <w:ind w:firstLine="562"/>
        <w:jc w:val="left"/>
        <w:spacing w:line="360" w:lineRule="auto"/>
        <w:rPr>
          <w:rFonts w:ascii="宋体" w:hAnsi="宋体" w:eastAsia="宋体" w:cs="宋体"/>
          <w:sz w:val="24"/>
          <w:szCs w:val="24"/>
        </w:rPr>
      </w:pPr>
      <w:r>
        <w:rPr>
          <w:rFonts w:hint="eastAsia" w:ascii="新宋体" w:hAnsi="新宋体" w:eastAsia="新宋体" w:cs="新宋体"/>
          <w:color w:val="000000"/>
          <w:sz w:val="24"/>
          <w:szCs w:val="24"/>
          <w:lang w:bidi="ar"/>
        </w:rPr>
        <w:t xml:space="preserve">2.1管道光缆工程施工测：</w:t>
      </w:r>
      <w:r>
        <w:rPr>
          <w:rFonts w:hint="eastAsia" w:ascii="宋体" w:hAnsi="宋体" w:eastAsia="宋体" w:cs="宋体"/>
          <w:sz w:val="24"/>
          <w:szCs w:val="24"/>
        </w:rPr>
        <w:t xml:space="preserve">本次管道光缆工程共计70公里，对本次建设敷设的70公里进行施工测量，以保障工程顺利实施；与敷设管道光缆配套测量，全程70公里管道路由勘查、过路井、拐弯井确定；为后续敷设管道光缆提供精确的位置依据，核对现场实际地形，确认光缆穿越铁路、公路、河流、地下管线等障碍物的具体位置和保护措施；提交测量结果说明，说明必须包含全程70公里内的路由勘查、过路井、拐弯井、穿越铁路、公路、河流、地下管线等障碍物的说明和保护措施；</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2.2GPS定位：GPS定位用于通信光缆测绘、 竣工资料制作，主要给机房、光缆接头盒采集 GPS 经纬度坐标；点位合计为2 处机房 + 32 个光缆接头盒，一共 34 个点位，用手持 GPS 设备实地采集地理位置，一般用于光缆台账、GIS 地图、运维巡检、竣工资料；</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2.3接头盒：光缆接续盒，两根光缆对接保护的盒子，埋地 / 挂杆上，成端机房是光缆终结的机房站点；</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2.4光缆单盘检验：光缆单盘检验：光缆到货之后，敷设之前的进场检测，向业主单位提交检测说明；检查光缆盘外包装、护套有无破损、进水、挤压损伤；检测GYTA</w:t>
      </w:r>
      <w:r>
        <w:rPr>
          <w:rFonts w:hint="eastAsia" w:ascii="宋体" w:hAnsi="宋体" w:eastAsia="宋体" w:cs="宋体"/>
          <w:sz w:val="24"/>
          <w:szCs w:val="24"/>
        </w:rPr>
        <w:noBreakHyphen/>
      </w:r>
      <w:r>
        <w:rPr>
          <w:rFonts w:hint="eastAsia" w:ascii="宋体" w:hAnsi="宋体" w:eastAsia="宋体" w:cs="宋体"/>
          <w:sz w:val="24"/>
          <w:szCs w:val="24"/>
        </w:rPr>
        <w:t xml:space="preserve">48B1 / GYTA</w:t>
      </w:r>
      <w:r>
        <w:rPr>
          <w:rFonts w:hint="eastAsia" w:ascii="宋体" w:hAnsi="宋体" w:eastAsia="宋体" w:cs="宋体"/>
          <w:sz w:val="24"/>
          <w:szCs w:val="24"/>
        </w:rPr>
        <w:noBreakHyphen/>
      </w:r>
      <w:r>
        <w:rPr>
          <w:rFonts w:hint="eastAsia" w:ascii="宋体" w:hAnsi="宋体" w:eastAsia="宋体" w:cs="宋体"/>
          <w:sz w:val="24"/>
          <w:szCs w:val="24"/>
        </w:rPr>
        <w:t xml:space="preserve">96B1层绞式室外通信光缆，分别是 48 芯、96 芯，B1 是单模光纤，合计各 35 公里；OTDR（光时域反射仪） 通信核心测试仪器检测，复测光缆实际长度，核对出厂盘长；测每根光纤的损耗；看反射曲线，排查光纤内部有没有断芯、暗伤、挤压缺陷；</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2.5敷设管道96芯及48芯光缆：整体敷设管道光缆96芯35公里、敷设管道光缆48芯35公里；敷设光缆型号为国标GYTA</w:t>
      </w:r>
      <w:r>
        <w:rPr>
          <w:rFonts w:hint="eastAsia" w:ascii="宋体" w:hAnsi="宋体" w:eastAsia="宋体" w:cs="宋体"/>
          <w:sz w:val="24"/>
          <w:szCs w:val="24"/>
        </w:rPr>
        <w:noBreakHyphen/>
      </w:r>
      <w:r>
        <w:rPr>
          <w:rFonts w:hint="eastAsia" w:ascii="宋体" w:hAnsi="宋体" w:eastAsia="宋体" w:cs="宋体"/>
          <w:sz w:val="24"/>
          <w:szCs w:val="24"/>
        </w:rPr>
        <w:t xml:space="preserve">96B1（光缆96芯35公里）、国标GYTA</w:t>
      </w:r>
      <w:r>
        <w:rPr>
          <w:rFonts w:hint="eastAsia" w:ascii="宋体" w:hAnsi="宋体" w:eastAsia="宋体" w:cs="宋体"/>
          <w:sz w:val="24"/>
          <w:szCs w:val="24"/>
        </w:rPr>
        <w:noBreakHyphen/>
      </w:r>
      <w:r>
        <w:rPr>
          <w:rFonts w:hint="eastAsia" w:ascii="宋体" w:hAnsi="宋体" w:eastAsia="宋体" w:cs="宋体"/>
          <w:sz w:val="24"/>
          <w:szCs w:val="24"/>
        </w:rPr>
        <w:t xml:space="preserve">48B1（光缆48芯35公里）；敷设方式为采用人工或机械牵引方式，严格控制光缆的弯曲半径不小于光缆外径的20倍，在人（手）井内光缆需要留有适当的余量，光缆通常会用塑料软管保护，接头处更需加强保护；</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2.6光缆成端接头：光缆成端：光缆进到机房之后，剥开外护套，把里面的裸光纤和尾纤熔接在一起，做成带束状接头SC的尾纤，插在 ODF 光纤配线架上，连接交换机、传输设备；连接设备的尾纤288芯：本项目机房成端总芯数；实现光缆与设备连接，每12芯光纤平行排列成一整条；连接使用材料国标一体化熔纤托盘；</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2.7光缆接续:一盘光缆只有3km，整条线路70km，整体敷设管道光缆96芯35公里、敷设管道光缆48芯35公里，光缆在人井里对接，光纤熔接在一起，装在光缆接头盒里面密封防水，放在通信人井；采用48芯国标接头盒可以容纳48芯光纤熔接保护，本项目共计 16 处中间接头；采用96芯国标接头盒可以容纳96芯光纤熔接保护，本项目共计 16 处中间接头；工序位置,管道光缆布放完成之后，机房成端之前，在各个井位做中间熔接。</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2.8 40km以下中继段光缆测试96芯以下中继段测试：整条线路全部施工结束后的竣工测试；OTDR 光时域反射仪测试每一根光纤全程损耗、接头损耗，定位断点、大损耗点，输出测试曲线报告，作为竣工验收资料；本项目线路总长70km，整体敷设管道光缆96芯35公里、敷设管道光缆48芯35公里，48芯、96芯为被测光纤芯数；全程光缆布放、接头盒熔接、末端成端完成后，使用光时域反射仪（OTDR）仪器对整体敷设管道光缆96芯35公里、敷设管道光缆48芯35公里的每一芯衰减质量进行测试;</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2.9布放光缆人孔抽水、积水:城市管道井地下容易积水，下井放缆、做接头盒之前，必须先把井内积水抽排干净，保障井下作业安全；在人（手）井内施工中，使用抽水机对有积水的管道井进行抽水70处，确保敷设过程中无积水作业;</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2.10直埋光缆工程施工测量:针对硅芯管连接管道进行测量；直埋光缆开工前的现场勘测放线，用测距仪、GPS 等工具，沿着设计路由实地确认走向、拐点、穿越点，打桩放线，标出开挖沟的位置；给后续挖沟、敷缆提供精确位置，避免挖错路由、穿越障碍，为后续挖沟、敷缆提供精确的位置依据；提供本项测量说明报告;</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2.11平原地区人工敷设小口径塑料管2管:管材规格（国标HDPE/Φ40/33mm）：HDPE 硅芯管，外径 40mm、内径 33mm，同时双管敷设（一次性敷设 2 根硅芯管），共计1.5公里；开挖好的管沟底部清理、找平，避免石块硌坏管子；人工下管放入沟内；管节之间用专用接头接续锁紧；管子敷设完毕、回填之后，再把光缆敷设进硅芯管内;</w:t>
      </w:r>
      <w:r/>
    </w:p>
    <w:p>
      <w:pPr>
        <w:ind w:firstLine="562"/>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2.12光纤一体熔接托盘:两端机房内扩装光纤一体熔接托盘共计24套，采用机架抽拉式方式安装。</w:t>
      </w:r>
      <w:r>
        <w:rPr>
          <w:rFonts w:hint="eastAsia" w:ascii="宋体" w:hAnsi="宋体" w:eastAsia="宋体" w:cs="宋体"/>
          <w:sz w:val="24"/>
          <w:szCs w:val="24"/>
        </w:rPr>
        <w:br/>
      </w:r>
      <w:r>
        <w:rPr>
          <w:rFonts w:hint="eastAsia" w:ascii="宋体" w:hAnsi="宋体" w:eastAsia="宋体" w:cs="宋体"/>
          <w:sz w:val="24"/>
          <w:szCs w:val="24"/>
        </w:rPr>
        <w:t xml:space="preserve">    </w:t>
      </w:r>
      <w:r>
        <w:rPr>
          <w:rFonts w:hint="eastAsia" w:ascii="宋体" w:hAnsi="宋体" w:eastAsia="宋体" w:cs="宋体"/>
          <w:b/>
          <w:bCs/>
          <w:sz w:val="24"/>
          <w:szCs w:val="24"/>
        </w:rPr>
        <w:t xml:space="preserve"> 3.外网资源池建设系统集成实施</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3.1虚拟化平台部署：完成外网虚拟化资源池硬件服务器、万兆交换机、管理交换机、运维堡垒机上架安装、布线调试；完成计算、存储、网络、安全虚拟化软件部署配置，搭建完整云计算管理平台；</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3.2业务迁移实施：编制业务迁移专项方案，完成现有业务系统向新虚拟化平台迁移，包含迁移前全量备份、迁移实施、迁移完成后业务验证，落实迁移全流程业务保障；实现现有 VMware 平台双向迁移功能落地验证；</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3.3网络与安全集成：新购网络、安全设备与采购人现有网络环境、现有计算存储、现有虚拟化环境深度集成；完成外网网络架构调优、安全设备逻辑位置调整复用、安全策略优化配置，落实勒索病毒防护、平台告警通知、UPS 断电联动、磁盘故障预警等平台全部功能；</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3.4运维堡垒机部署配置，完成账号安全策略、弱口令管控、会话审计、数据库审计、文件传输审计等功能配置，实现外网运维操作全流程审计管控；</w:t>
      </w:r>
      <w:r/>
    </w:p>
    <w:p>
      <w:pPr>
        <w:ind w:firstLine="56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4.移动办公（云桌面）建设集成实施</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4.1完成桌面云一体机硬件部署，部署云计算管理、服务器虚拟化、存储虚拟化软件，完成分布式存储资源池配置；</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4.2部署虚拟化管理接入授权软件，完成云接入终端配置调试，实现终端和云桌面平台无缝对接；</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4.3完成云桌面资源池、用户权限策略、USB 外设映射、自助快照恢复、文件外发审计、屏幕水印、客户端准入检测、就近打印等全部功能配置；配置虚拟机备份、快照策略；</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4.4完成云桌面全功能测试验证，满足医院移动办公业务实际使用需求。</w:t>
      </w:r>
      <w:r/>
    </w:p>
    <w:p>
      <w:pPr>
        <w:ind w:firstLine="56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5.系统测试与报告要求</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5.1单机设备测试：硬件设备到货安装完毕后开展单机通电测试，设备参数、功能满足招标技术指标；</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5.2分系统联调测试：依次完成机房供配电制冷子系统、院区光缆链路子系统、外网虚拟化资源池子系统、云桌面移动办公子系统的分系统联调测试；</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5.3全系统联合测试：全部子系统部署完成后开展整体联合调试，验证各系统协同运行效果，验证业务迁移后业务运行稳定性，验证告警、联动、安全审计等全部业务功能；</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5.4输出完整测试文档，包含设备单机测试记录、光缆链路竣工测试报告、虚拟化平台功能测试记录、业务迁移验证记录等，作为项目竣工验收支撑材料。</w:t>
      </w:r>
      <w:r/>
    </w:p>
    <w:p>
      <w:pPr>
        <w:ind w:firstLine="56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三、供货要求</w:t>
      </w:r>
      <w:r/>
    </w:p>
    <w:p>
      <w:pPr>
        <w:ind w:firstLine="480"/>
        <w:jc w:val="left"/>
        <w:spacing w:line="360" w:lineRule="auto"/>
        <w:rPr>
          <w:rFonts w:ascii="宋体" w:hAnsi="宋体"/>
          <w:sz w:val="24"/>
          <w:szCs w:val="24"/>
        </w:rPr>
      </w:pPr>
      <w:r>
        <w:rPr>
          <w:rFonts w:hint="eastAsia" w:ascii="宋体" w:hAnsi="宋体"/>
          <w:sz w:val="24"/>
          <w:szCs w:val="24"/>
        </w:rPr>
        <w:t xml:space="preserve">1.交货期：合同签订后60天内完成安装调试，达到预期效果。</w:t>
      </w:r>
      <w:r/>
    </w:p>
    <w:p>
      <w:pPr>
        <w:ind w:firstLine="480"/>
        <w:jc w:val="left"/>
        <w:spacing w:line="360" w:lineRule="auto"/>
        <w:rPr>
          <w:rFonts w:ascii="宋体" w:hAnsi="宋体"/>
          <w:sz w:val="24"/>
          <w:szCs w:val="24"/>
        </w:rPr>
      </w:pPr>
      <w:r>
        <w:rPr>
          <w:rFonts w:hint="eastAsia" w:ascii="宋体" w:hAnsi="宋体"/>
          <w:sz w:val="24"/>
          <w:szCs w:val="24"/>
        </w:rPr>
        <w:t xml:space="preserve">2.交货方式：中标人运送到采购人指定地点。</w:t>
      </w:r>
      <w:r/>
    </w:p>
    <w:p>
      <w:pPr>
        <w:ind w:firstLine="480"/>
        <w:jc w:val="left"/>
        <w:spacing w:line="360" w:lineRule="auto"/>
        <w:rPr>
          <w:rFonts w:ascii="宋体" w:hAnsi="宋体"/>
          <w:sz w:val="24"/>
          <w:szCs w:val="24"/>
        </w:rPr>
      </w:pPr>
      <w:r>
        <w:rPr>
          <w:rFonts w:hint="eastAsia" w:ascii="宋体" w:hAnsi="宋体"/>
          <w:sz w:val="24"/>
          <w:szCs w:val="24"/>
        </w:rPr>
        <w:t xml:space="preserve">3.交货地点：采购人指定地点。</w:t>
      </w:r>
      <w:r/>
    </w:p>
    <w:p>
      <w:pPr>
        <w:ind w:firstLine="480"/>
        <w:jc w:val="left"/>
        <w:spacing w:line="360" w:lineRule="auto"/>
        <w:rPr>
          <w:rFonts w:ascii="宋体" w:hAnsi="宋体"/>
          <w:sz w:val="24"/>
          <w:szCs w:val="24"/>
        </w:rPr>
      </w:pPr>
      <w:r>
        <w:rPr>
          <w:rFonts w:hint="eastAsia" w:ascii="宋体" w:hAnsi="宋体"/>
          <w:sz w:val="24"/>
          <w:szCs w:val="24"/>
        </w:rPr>
        <w:t xml:space="preserve">4.交货要求：提供的软硬件设备技术指标符合采购文件要求和国家规定的出厂要求，其产品的质量性能、技术指标和使用功能达到合同要求。使用说明书、随配附件和工具以及清单一并附于货物内。所提供的技术资料（包含货物及软件）完整正确，数据和资料准确无误，能够保证项目顺利进行，正确地安装调试和验收，满足正常运行和维修保养的需要。</w:t>
      </w:r>
      <w:r/>
    </w:p>
    <w:p>
      <w:pPr>
        <w:ind w:firstLine="480"/>
        <w:jc w:val="left"/>
        <w:spacing w:line="360" w:lineRule="auto"/>
        <w:rPr>
          <w:rFonts w:ascii="宋体" w:hAnsi="宋体"/>
          <w:sz w:val="24"/>
          <w:szCs w:val="24"/>
        </w:rPr>
      </w:pPr>
      <w:r>
        <w:rPr>
          <w:rFonts w:hint="eastAsia" w:ascii="宋体" w:hAnsi="宋体"/>
          <w:sz w:val="24"/>
          <w:szCs w:val="24"/>
        </w:rPr>
        <w:t xml:space="preserve">5.交货接收：货物送达指定地点后，采购人现场开箱检查，根据合同对货物的质量、规格、数量进行检验，如有缺漏、损坏，由中标人负责调换、补齐。根据验货情况做开箱记录，双方签字确认。在未验收前，货物保管、安全均由中标人负责，货物送到采购人指定地点，并负责办理运输和装卸，费用由中标人负责。</w:t>
      </w:r>
      <w:r/>
    </w:p>
    <w:p>
      <w:pPr>
        <w:ind w:firstLine="480"/>
        <w:spacing w:line="360" w:lineRule="auto"/>
        <w:rPr>
          <w:rFonts w:ascii="宋体" w:hAnsi="宋体"/>
          <w:b/>
          <w:bCs/>
          <w:sz w:val="24"/>
          <w:szCs w:val="24"/>
        </w:rPr>
      </w:pPr>
      <w:r>
        <w:rPr>
          <w:rFonts w:hint="eastAsia" w:ascii="宋体" w:hAnsi="宋体"/>
          <w:b/>
          <w:bCs/>
          <w:sz w:val="24"/>
          <w:szCs w:val="24"/>
        </w:rPr>
        <w:t xml:space="preserve">四、项目实施辅材、配件</w:t>
      </w:r>
      <w:r/>
    </w:p>
    <w:p>
      <w:pPr>
        <w:ind w:firstLine="480"/>
        <w:spacing w:line="360" w:lineRule="auto"/>
        <w:widowControl/>
        <w:rPr>
          <w:rFonts w:ascii="宋体" w:hAnsi="宋体" w:eastAsia="宋体" w:cs="宋体"/>
          <w:sz w:val="24"/>
          <w:szCs w:val="24"/>
        </w:rPr>
      </w:pPr>
      <w:r>
        <w:rPr>
          <w:rFonts w:hint="eastAsia" w:ascii="宋体" w:hAnsi="宋体"/>
          <w:sz w:val="24"/>
          <w:szCs w:val="24"/>
        </w:rPr>
        <w:t xml:space="preserve">项目实施所需的辅材及配件包含</w:t>
      </w:r>
      <w:r>
        <w:rPr>
          <w:rFonts w:hint="eastAsia" w:ascii="宋体" w:hAnsi="宋体" w:cs="宋体"/>
          <w:bCs/>
          <w:sz w:val="24"/>
          <w:szCs w:val="24"/>
        </w:rPr>
        <w:t xml:space="preserve">招标文件中未列出而项目实施必需的软件、硬件辅材配件，以保证项目顺利进行。至少包含如些内容：</w:t>
      </w:r>
      <w:r>
        <w:rPr>
          <w:rFonts w:ascii="宋体" w:hAnsi="宋体" w:eastAsia="宋体" w:cs="宋体"/>
          <w:sz w:val="24"/>
          <w:szCs w:val="24"/>
        </w:rPr>
        <w:t xml:space="preserve">网线、</w:t>
      </w:r>
      <w:r>
        <w:rPr>
          <w:rFonts w:hint="eastAsia" w:ascii="宋体" w:hAnsi="宋体" w:eastAsia="宋体" w:cs="宋体"/>
          <w:sz w:val="24"/>
          <w:szCs w:val="24"/>
        </w:rPr>
        <w:t xml:space="preserve">光纤</w:t>
      </w:r>
      <w:r>
        <w:rPr>
          <w:rFonts w:ascii="宋体" w:hAnsi="宋体" w:eastAsia="宋体" w:cs="宋体"/>
          <w:sz w:val="24"/>
          <w:szCs w:val="24"/>
        </w:rPr>
        <w:t xml:space="preserve">、桥架、线槽、弯头、直接、锁母、固定件、理线件、水晶头、模块、面板、防水接头、接地材料、防火封堵材料、标识标签</w:t>
      </w:r>
      <w:r>
        <w:rPr>
          <w:rFonts w:hint="eastAsia" w:ascii="宋体" w:hAnsi="宋体" w:eastAsia="宋体" w:cs="宋体"/>
          <w:sz w:val="24"/>
          <w:szCs w:val="24"/>
        </w:rPr>
        <w:t xml:space="preserve">、</w:t>
      </w:r>
      <w:r>
        <w:rPr>
          <w:rFonts w:hint="eastAsia" w:cs="宋体" w:asciiTheme="minorEastAsia" w:hAnsiTheme="minorEastAsia"/>
          <w:color w:val="000000"/>
          <w:sz w:val="24"/>
          <w:szCs w:val="24"/>
        </w:rPr>
        <w:t xml:space="preserve">冷媒管、管道绝热、电源线、通讯线、给水管、冷媒管支架、散流器百叶风口</w:t>
      </w:r>
      <w:r>
        <w:rPr>
          <w:rFonts w:ascii="宋体" w:hAnsi="宋体" w:eastAsia="宋体" w:cs="宋体"/>
          <w:sz w:val="24"/>
          <w:szCs w:val="24"/>
        </w:rPr>
        <w:t xml:space="preserve">等全部施工辅材</w:t>
      </w:r>
      <w:r>
        <w:rPr>
          <w:rFonts w:hint="eastAsia" w:ascii="宋体" w:hAnsi="宋体" w:eastAsia="宋体" w:cs="宋体"/>
          <w:sz w:val="24"/>
          <w:szCs w:val="24"/>
        </w:rPr>
        <w:t xml:space="preserve">。</w:t>
      </w:r>
      <w:r/>
    </w:p>
    <w:p>
      <w:pPr>
        <w:ind w:firstLine="480"/>
        <w:spacing w:line="360" w:lineRule="auto"/>
        <w:widowControl/>
        <w:rPr>
          <w:rFonts w:ascii="宋体" w:hAnsi="宋体"/>
          <w:sz w:val="24"/>
          <w:szCs w:val="24"/>
        </w:rPr>
      </w:pPr>
      <w:r>
        <w:rPr>
          <w:rFonts w:hint="eastAsia" w:ascii="宋体" w:hAnsi="宋体"/>
          <w:bCs/>
          <w:sz w:val="24"/>
          <w:szCs w:val="24"/>
        </w:rPr>
        <w:t xml:space="preserve">因不同投标人的设备设计原理未必完全相同，投标人可视自身情况配置辅材，应能充分满足采购人需求的功能及参数要求。</w:t>
      </w:r>
      <w:r>
        <w:rPr>
          <w:rFonts w:hint="eastAsia" w:ascii="宋体" w:hAnsi="宋体" w:cs="宋体"/>
          <w:bCs/>
          <w:color w:val="000000"/>
          <w:sz w:val="24"/>
          <w:szCs w:val="24"/>
        </w:rPr>
        <w:t xml:space="preserve">此部分包含在投标报价中。</w:t>
      </w:r>
      <w:r>
        <w:rPr>
          <w:rFonts w:hint="eastAsia" w:ascii="宋体" w:hAnsi="宋体" w:cs="宋体"/>
          <w:bCs/>
          <w:sz w:val="24"/>
          <w:szCs w:val="24"/>
        </w:rPr>
        <w:t xml:space="preserve">如果投标人中标并签署合同后，在供货或项目实施时出现辅材和配件的任何遗漏，均由中标人及时配齐提供，不影响项目正常实施，</w:t>
      </w:r>
      <w:r>
        <w:rPr>
          <w:rFonts w:hint="eastAsia" w:ascii="宋体" w:hAnsi="宋体"/>
          <w:bCs/>
          <w:color w:val="000000"/>
          <w:sz w:val="24"/>
          <w:szCs w:val="24"/>
        </w:rPr>
        <w:t xml:space="preserve">采购人不在额外支付费用</w:t>
      </w:r>
      <w:r>
        <w:rPr>
          <w:rFonts w:hint="eastAsia" w:ascii="宋体" w:hAnsi="宋体" w:cs="宋体"/>
          <w:bCs/>
          <w:sz w:val="24"/>
          <w:szCs w:val="24"/>
        </w:rPr>
        <w:t xml:space="preserve">。</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五、国家或行业相关规范标准</w:t>
      </w:r>
      <w:r/>
    </w:p>
    <w:p>
      <w:pPr>
        <w:ind w:firstLine="480"/>
        <w:jc w:val="left"/>
        <w:spacing w:line="360" w:lineRule="auto"/>
        <w:rPr>
          <w:rFonts w:ascii="Times New Roman" w:hAnsi="Times New Roman"/>
          <w:b/>
          <w:bCs/>
          <w:sz w:val="24"/>
          <w:szCs w:val="24"/>
        </w:rPr>
      </w:pPr>
      <w:r>
        <w:rPr>
          <w:rFonts w:ascii="宋体" w:hAnsi="宋体" w:cs="宋体"/>
          <w:b/>
          <w:bCs/>
          <w:sz w:val="24"/>
          <w:szCs w:val="24"/>
        </w:rPr>
        <w:t xml:space="preserve">数据中心 / 机房工程建设规范</w:t>
      </w:r>
      <w:r>
        <w:rPr>
          <w:rFonts w:hint="eastAsia" w:ascii="Times New Roman" w:hAnsi="Times New Roman"/>
          <w:b/>
          <w:bCs/>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GB 50174</w:t>
      </w:r>
      <w:r>
        <w:rPr>
          <w:rFonts w:hint="eastAsia" w:ascii="宋体" w:hAnsi="宋体"/>
          <w:sz w:val="24"/>
          <w:szCs w:val="24"/>
        </w:rPr>
        <w:noBreakHyphen/>
      </w:r>
      <w:r>
        <w:rPr>
          <w:rFonts w:hint="eastAsia" w:ascii="宋体" w:hAnsi="宋体"/>
          <w:sz w:val="24"/>
          <w:szCs w:val="24"/>
        </w:rPr>
        <w:t xml:space="preserve">2017《数据中心设计规范》；</w:t>
      </w:r>
      <w:r/>
    </w:p>
    <w:p>
      <w:pPr>
        <w:ind w:firstLine="480"/>
        <w:jc w:val="left"/>
        <w:spacing w:line="360" w:lineRule="auto"/>
        <w:rPr>
          <w:rFonts w:ascii="宋体" w:hAnsi="宋体"/>
          <w:sz w:val="24"/>
          <w:szCs w:val="24"/>
        </w:rPr>
      </w:pPr>
      <w:r>
        <w:rPr>
          <w:rFonts w:hint="eastAsia" w:ascii="宋体" w:hAnsi="宋体"/>
          <w:sz w:val="24"/>
          <w:szCs w:val="24"/>
        </w:rPr>
        <w:t xml:space="preserve">GB 50462</w:t>
      </w:r>
      <w:r>
        <w:rPr>
          <w:rFonts w:hint="eastAsia" w:ascii="宋体" w:hAnsi="宋体"/>
          <w:sz w:val="24"/>
          <w:szCs w:val="24"/>
        </w:rPr>
        <w:noBreakHyphen/>
      </w:r>
      <w:r>
        <w:rPr>
          <w:rFonts w:hint="eastAsia" w:ascii="宋体" w:hAnsi="宋体"/>
          <w:sz w:val="24"/>
          <w:szCs w:val="24"/>
        </w:rPr>
        <w:t xml:space="preserve">2015《数据中心基础设施施工及验收规范》；</w:t>
      </w:r>
      <w:r/>
    </w:p>
    <w:p>
      <w:pPr>
        <w:ind w:firstLine="480"/>
        <w:jc w:val="left"/>
        <w:spacing w:line="360" w:lineRule="auto"/>
        <w:rPr>
          <w:rFonts w:ascii="宋体" w:hAnsi="宋体"/>
          <w:sz w:val="24"/>
          <w:szCs w:val="24"/>
        </w:rPr>
      </w:pPr>
      <w:r>
        <w:rPr>
          <w:rFonts w:hint="eastAsia" w:ascii="宋体" w:hAnsi="宋体"/>
          <w:sz w:val="24"/>
          <w:szCs w:val="24"/>
        </w:rPr>
        <w:t xml:space="preserve">GB 50303</w:t>
      </w:r>
      <w:r>
        <w:rPr>
          <w:rFonts w:hint="eastAsia" w:ascii="宋体" w:hAnsi="宋体"/>
          <w:sz w:val="24"/>
          <w:szCs w:val="24"/>
        </w:rPr>
        <w:noBreakHyphen/>
      </w:r>
      <w:r>
        <w:rPr>
          <w:rFonts w:hint="eastAsia" w:ascii="宋体" w:hAnsi="宋体"/>
          <w:sz w:val="24"/>
          <w:szCs w:val="24"/>
        </w:rPr>
        <w:t xml:space="preserve">2015《建筑电气工程施工质量验收规范》；</w:t>
      </w:r>
      <w:r/>
    </w:p>
    <w:p>
      <w:pPr>
        <w:ind w:firstLine="480"/>
        <w:jc w:val="left"/>
        <w:spacing w:line="360" w:lineRule="auto"/>
        <w:rPr>
          <w:rFonts w:ascii="宋体" w:hAnsi="宋体"/>
          <w:sz w:val="24"/>
          <w:szCs w:val="24"/>
        </w:rPr>
      </w:pPr>
      <w:r>
        <w:rPr>
          <w:rFonts w:hint="eastAsia" w:ascii="宋体" w:hAnsi="宋体"/>
          <w:sz w:val="24"/>
          <w:szCs w:val="24"/>
        </w:rPr>
        <w:t xml:space="preserve">GB 50057</w:t>
      </w:r>
      <w:r>
        <w:rPr>
          <w:rFonts w:hint="eastAsia" w:ascii="宋体" w:hAnsi="宋体"/>
          <w:sz w:val="24"/>
          <w:szCs w:val="24"/>
        </w:rPr>
        <w:noBreakHyphen/>
      </w:r>
      <w:r>
        <w:rPr>
          <w:rFonts w:hint="eastAsia" w:ascii="宋体" w:hAnsi="宋体"/>
          <w:sz w:val="24"/>
          <w:szCs w:val="24"/>
        </w:rPr>
        <w:t xml:space="preserve">2010《建筑物防雷设计规范》；</w:t>
      </w:r>
      <w:r/>
    </w:p>
    <w:p>
      <w:pPr>
        <w:ind w:firstLine="480"/>
        <w:jc w:val="left"/>
        <w:spacing w:line="360" w:lineRule="auto"/>
        <w:rPr>
          <w:rFonts w:ascii="宋体" w:hAnsi="宋体"/>
          <w:sz w:val="24"/>
          <w:szCs w:val="24"/>
        </w:rPr>
      </w:pPr>
      <w:r>
        <w:rPr>
          <w:rFonts w:hint="eastAsia" w:ascii="宋体" w:hAnsi="宋体"/>
          <w:sz w:val="24"/>
          <w:szCs w:val="24"/>
        </w:rPr>
        <w:t xml:space="preserve">GB/T 2887</w:t>
      </w:r>
      <w:r>
        <w:rPr>
          <w:rFonts w:hint="eastAsia" w:ascii="宋体" w:hAnsi="宋体"/>
          <w:sz w:val="24"/>
          <w:szCs w:val="24"/>
        </w:rPr>
        <w:noBreakHyphen/>
      </w:r>
      <w:r>
        <w:rPr>
          <w:rFonts w:hint="eastAsia" w:ascii="宋体" w:hAnsi="宋体"/>
          <w:sz w:val="24"/>
          <w:szCs w:val="24"/>
        </w:rPr>
        <w:t xml:space="preserve">2011《计算机场地通用规范》。</w:t>
      </w:r>
      <w:r/>
    </w:p>
    <w:p>
      <w:pPr>
        <w:ind w:firstLine="480"/>
        <w:jc w:val="left"/>
        <w:spacing w:line="360" w:lineRule="auto"/>
        <w:rPr>
          <w:rFonts w:ascii="Times New Roman" w:hAnsi="Times New Roman"/>
          <w:b/>
          <w:bCs/>
          <w:sz w:val="24"/>
          <w:szCs w:val="24"/>
        </w:rPr>
      </w:pPr>
      <w:r>
        <w:rPr>
          <w:rFonts w:ascii="宋体" w:hAnsi="宋体" w:cs="宋体"/>
          <w:b/>
          <w:bCs/>
          <w:sz w:val="24"/>
          <w:szCs w:val="24"/>
        </w:rPr>
        <w:t xml:space="preserve">UPS、蓄电池、精密空调设备相关标准</w:t>
      </w:r>
      <w:r>
        <w:rPr>
          <w:rFonts w:hint="eastAsia" w:ascii="Times New Roman" w:hAnsi="Times New Roman"/>
          <w:b/>
          <w:bCs/>
          <w:sz w:val="24"/>
          <w:szCs w:val="24"/>
        </w:rPr>
        <w:t xml:space="preserve">：</w:t>
      </w:r>
      <w:r/>
    </w:p>
    <w:p>
      <w:pPr>
        <w:pStyle w:val="879"/>
        <w:ind w:firstLine="436"/>
        <w:rPr>
          <w:rFonts w:ascii="宋体" w:hAnsi="宋体" w:eastAsia="宋体" w:cs="宋体"/>
          <w:sz w:val="24"/>
          <w:szCs w:val="24"/>
          <w:lang w:eastAsia="zh-CN"/>
        </w:rPr>
      </w:pPr>
      <w:r>
        <w:rPr>
          <w:rFonts w:ascii="宋体" w:hAnsi="宋体" w:eastAsia="宋体" w:cs="宋体"/>
          <w:sz w:val="24"/>
          <w:szCs w:val="24"/>
        </w:rPr>
        <w:t xml:space="preserve">GB/T 7260.1</w:t>
      </w:r>
      <w:r>
        <w:rPr>
          <w:rFonts w:ascii="宋体" w:hAnsi="宋体" w:eastAsia="宋体" w:cs="宋体"/>
          <w:sz w:val="24"/>
          <w:szCs w:val="24"/>
        </w:rPr>
        <w:noBreakHyphen/>
      </w:r>
      <w:r>
        <w:rPr>
          <w:rFonts w:ascii="宋体" w:hAnsi="宋体" w:eastAsia="宋体" w:cs="宋体"/>
          <w:sz w:val="24"/>
          <w:szCs w:val="24"/>
        </w:rPr>
        <w:t xml:space="preserve">2023不间断电源系统（UPS）第 1 部分：安全要求</w:t>
      </w:r>
      <w:r>
        <w:rPr>
          <w:rFonts w:hint="eastAsia" w:ascii="宋体" w:hAnsi="宋体" w:eastAsia="宋体" w:cs="宋体"/>
          <w:sz w:val="24"/>
          <w:szCs w:val="24"/>
          <w:lang w:eastAsia="zh-CN"/>
        </w:rPr>
        <w:t xml:space="preserve">；</w:t>
      </w:r>
      <w:r/>
    </w:p>
    <w:p>
      <w:pPr>
        <w:pStyle w:val="879"/>
        <w:ind w:firstLine="436"/>
        <w:rPr>
          <w:rFonts w:ascii="宋体" w:hAnsi="宋体" w:eastAsia="宋体" w:cs="宋体"/>
          <w:sz w:val="24"/>
          <w:szCs w:val="24"/>
          <w:lang w:eastAsia="zh-CN"/>
        </w:rPr>
      </w:pPr>
      <w:r>
        <w:rPr>
          <w:rFonts w:ascii="宋体" w:hAnsi="宋体" w:eastAsia="宋体" w:cs="宋体"/>
          <w:sz w:val="24"/>
          <w:szCs w:val="24"/>
        </w:rPr>
        <w:t xml:space="preserve">GB/T 7260.2</w:t>
      </w:r>
      <w:r>
        <w:rPr>
          <w:rFonts w:ascii="宋体" w:hAnsi="宋体" w:eastAsia="宋体" w:cs="宋体"/>
          <w:sz w:val="24"/>
          <w:szCs w:val="24"/>
        </w:rPr>
        <w:noBreakHyphen/>
      </w:r>
      <w:r>
        <w:rPr>
          <w:rFonts w:ascii="宋体" w:hAnsi="宋体" w:eastAsia="宋体" w:cs="宋体"/>
          <w:sz w:val="24"/>
          <w:szCs w:val="24"/>
        </w:rPr>
        <w:t xml:space="preserve">2026不间断电源系统（UPS）第 2 部分：电磁兼容</w:t>
      </w:r>
      <w:r>
        <w:rPr>
          <w:rFonts w:hint="eastAsia" w:ascii="宋体" w:hAnsi="宋体" w:eastAsia="宋体" w:cs="宋体"/>
          <w:sz w:val="24"/>
          <w:szCs w:val="24"/>
          <w:lang w:eastAsia="zh-CN"/>
        </w:rPr>
        <w:t xml:space="preserve">；</w:t>
      </w:r>
      <w:r/>
    </w:p>
    <w:p>
      <w:pPr>
        <w:pStyle w:val="879"/>
        <w:ind w:firstLine="436"/>
        <w:rPr>
          <w:rFonts w:ascii="宋体" w:hAnsi="宋体" w:eastAsia="宋体" w:cs="宋体"/>
          <w:sz w:val="24"/>
          <w:szCs w:val="24"/>
          <w:lang w:eastAsia="zh-CN"/>
        </w:rPr>
      </w:pPr>
      <w:r>
        <w:rPr>
          <w:rFonts w:ascii="宋体" w:hAnsi="宋体" w:eastAsia="宋体" w:cs="宋体"/>
          <w:sz w:val="24"/>
          <w:szCs w:val="24"/>
        </w:rPr>
        <w:t xml:space="preserve">YD/T 1095</w:t>
      </w:r>
      <w:r>
        <w:rPr>
          <w:rFonts w:ascii="宋体" w:hAnsi="宋体" w:eastAsia="宋体" w:cs="宋体"/>
          <w:sz w:val="24"/>
          <w:szCs w:val="24"/>
        </w:rPr>
        <w:noBreakHyphen/>
      </w:r>
      <w:r>
        <w:rPr>
          <w:rFonts w:ascii="宋体" w:hAnsi="宋体" w:eastAsia="宋体" w:cs="宋体"/>
          <w:sz w:val="24"/>
          <w:szCs w:val="24"/>
        </w:rPr>
        <w:t xml:space="preserve">2018通信用不间断电源 (UPS)</w:t>
      </w:r>
      <w:r>
        <w:rPr>
          <w:rFonts w:hint="eastAsia" w:ascii="宋体" w:hAnsi="宋体" w:eastAsia="宋体" w:cs="宋体"/>
          <w:sz w:val="24"/>
          <w:szCs w:val="24"/>
          <w:lang w:eastAsia="zh-CN"/>
        </w:rPr>
        <w:t xml:space="preserve">；</w:t>
      </w:r>
      <w:r/>
    </w:p>
    <w:p>
      <w:pPr>
        <w:pStyle w:val="879"/>
        <w:ind w:firstLine="436"/>
        <w:rPr>
          <w:rFonts w:ascii="宋体" w:hAnsi="宋体" w:eastAsia="宋体" w:cs="宋体"/>
          <w:sz w:val="24"/>
          <w:szCs w:val="24"/>
          <w:lang w:eastAsia="zh-CN"/>
        </w:rPr>
      </w:pPr>
      <w:r>
        <w:rPr>
          <w:rFonts w:ascii="宋体" w:hAnsi="宋体" w:eastAsia="宋体" w:cs="宋体"/>
          <w:sz w:val="24"/>
          <w:szCs w:val="24"/>
        </w:rPr>
        <w:t xml:space="preserve">YD/T 799</w:t>
      </w:r>
      <w:r>
        <w:rPr>
          <w:rFonts w:ascii="宋体" w:hAnsi="宋体" w:eastAsia="宋体" w:cs="宋体"/>
          <w:sz w:val="24"/>
          <w:szCs w:val="24"/>
        </w:rPr>
        <w:noBreakHyphen/>
      </w:r>
      <w:r>
        <w:rPr>
          <w:rFonts w:ascii="宋体" w:hAnsi="宋体" w:eastAsia="宋体" w:cs="宋体"/>
          <w:sz w:val="24"/>
          <w:szCs w:val="24"/>
        </w:rPr>
        <w:t xml:space="preserve">2010通信用阀控式密封铅酸蓄电池</w:t>
      </w:r>
      <w:r>
        <w:rPr>
          <w:rFonts w:hint="eastAsia" w:ascii="宋体" w:hAnsi="宋体" w:eastAsia="宋体" w:cs="宋体"/>
          <w:sz w:val="24"/>
          <w:szCs w:val="24"/>
          <w:lang w:eastAsia="zh-CN"/>
        </w:rPr>
        <w:t xml:space="preserve">；</w:t>
      </w:r>
      <w:r/>
    </w:p>
    <w:p>
      <w:pPr>
        <w:pStyle w:val="879"/>
        <w:ind w:firstLine="436"/>
        <w:rPr>
          <w:rFonts w:ascii="宋体" w:hAnsi="宋体" w:eastAsia="宋体" w:cs="宋体"/>
          <w:sz w:val="24"/>
          <w:szCs w:val="24"/>
          <w:lang w:eastAsia="zh-CN"/>
        </w:rPr>
      </w:pPr>
      <w:r>
        <w:rPr>
          <w:rFonts w:ascii="宋体" w:hAnsi="宋体" w:eastAsia="宋体" w:cs="宋体"/>
          <w:sz w:val="24"/>
          <w:szCs w:val="24"/>
        </w:rPr>
        <w:t xml:space="preserve">T/CECS 487</w:t>
      </w:r>
      <w:r>
        <w:rPr>
          <w:rFonts w:ascii="宋体" w:hAnsi="宋体" w:eastAsia="宋体" w:cs="宋体"/>
          <w:sz w:val="24"/>
          <w:szCs w:val="24"/>
        </w:rPr>
        <w:noBreakHyphen/>
      </w:r>
      <w:r>
        <w:rPr>
          <w:rFonts w:ascii="宋体" w:hAnsi="宋体" w:eastAsia="宋体" w:cs="宋体"/>
          <w:sz w:val="24"/>
          <w:szCs w:val="24"/>
        </w:rPr>
        <w:t xml:space="preserve">2017《数据中心制冷与空调设计标准》</w:t>
      </w:r>
      <w:r>
        <w:rPr>
          <w:rFonts w:hint="eastAsia" w:ascii="宋体" w:hAnsi="宋体" w:eastAsia="宋体" w:cs="宋体"/>
          <w:sz w:val="24"/>
          <w:szCs w:val="24"/>
          <w:lang w:eastAsia="zh-CN"/>
        </w:rPr>
        <w:t xml:space="preserve">。</w:t>
      </w:r>
      <w:r/>
    </w:p>
    <w:p>
      <w:pPr>
        <w:pStyle w:val="879"/>
        <w:ind w:firstLine="436"/>
        <w:rPr>
          <w:rFonts w:ascii="宋体" w:hAnsi="宋体" w:eastAsia="宋体" w:cs="宋体"/>
          <w:b/>
          <w:bCs/>
          <w:sz w:val="24"/>
          <w:szCs w:val="24"/>
          <w:lang w:eastAsia="zh-CN"/>
        </w:rPr>
      </w:pPr>
      <w:r>
        <w:rPr>
          <w:rFonts w:ascii="宋体" w:hAnsi="宋体" w:eastAsia="宋体" w:cs="宋体"/>
          <w:b/>
          <w:bCs/>
          <w:sz w:val="24"/>
          <w:szCs w:val="24"/>
        </w:rPr>
        <w:t xml:space="preserve">院区光缆管道通信线路工程建设规范</w:t>
      </w:r>
      <w:r>
        <w:rPr>
          <w:rFonts w:hint="eastAsia" w:ascii="宋体" w:hAnsi="宋体" w:eastAsia="宋体" w:cs="宋体"/>
          <w:b/>
          <w:bCs/>
          <w:sz w:val="24"/>
          <w:szCs w:val="24"/>
          <w:lang w:eastAsia="zh-CN"/>
        </w:rPr>
        <w:t xml:space="preserve">：</w:t>
      </w:r>
      <w:r/>
    </w:p>
    <w:p>
      <w:pPr>
        <w:pStyle w:val="879"/>
        <w:ind w:firstLine="436"/>
        <w:rPr>
          <w:rFonts w:ascii="宋体" w:hAnsi="宋体" w:eastAsia="宋体" w:cs="宋体"/>
          <w:sz w:val="24"/>
          <w:szCs w:val="24"/>
          <w:lang w:eastAsia="zh-CN"/>
        </w:rPr>
      </w:pPr>
      <w:r>
        <w:rPr>
          <w:rFonts w:hint="eastAsia" w:ascii="宋体" w:hAnsi="宋体" w:eastAsia="宋体" w:cs="宋体"/>
          <w:sz w:val="24"/>
          <w:szCs w:val="24"/>
          <w:lang w:eastAsia="zh-CN"/>
        </w:rPr>
        <w:t xml:space="preserve">GB 50373‑2019</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通信管道与通道工程设计标准；</w:t>
      </w:r>
      <w:r/>
    </w:p>
    <w:p>
      <w:pPr>
        <w:pStyle w:val="879"/>
        <w:ind w:firstLine="436"/>
        <w:rPr>
          <w:rFonts w:ascii="宋体" w:hAnsi="宋体" w:eastAsia="宋体" w:cs="宋体"/>
          <w:sz w:val="24"/>
          <w:szCs w:val="24"/>
          <w:lang w:eastAsia="zh-CN"/>
        </w:rPr>
      </w:pPr>
      <w:r>
        <w:rPr>
          <w:rFonts w:hint="eastAsia" w:ascii="宋体" w:hAnsi="宋体" w:eastAsia="宋体" w:cs="宋体"/>
          <w:sz w:val="24"/>
          <w:szCs w:val="24"/>
          <w:lang w:eastAsia="zh-CN"/>
        </w:rPr>
        <w:t xml:space="preserve">GB 51158‑2015</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通信线路工程设计规范；</w:t>
      </w:r>
      <w:r/>
    </w:p>
    <w:p>
      <w:pPr>
        <w:pStyle w:val="879"/>
        <w:ind w:firstLine="436"/>
        <w:rPr>
          <w:rFonts w:ascii="宋体" w:hAnsi="宋体" w:eastAsia="宋体" w:cs="宋体"/>
          <w:sz w:val="24"/>
          <w:szCs w:val="24"/>
          <w:lang w:eastAsia="zh-CN"/>
        </w:rPr>
      </w:pPr>
      <w:r>
        <w:rPr>
          <w:rFonts w:hint="eastAsia" w:ascii="宋体" w:hAnsi="宋体" w:eastAsia="宋体" w:cs="宋体"/>
          <w:sz w:val="24"/>
          <w:szCs w:val="24"/>
          <w:lang w:eastAsia="zh-CN"/>
        </w:rPr>
        <w:t xml:space="preserve">YD/T 5121‑2015</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通信线路工程验收规范；</w:t>
      </w:r>
      <w:r/>
    </w:p>
    <w:p>
      <w:pPr>
        <w:pStyle w:val="879"/>
        <w:ind w:firstLine="436"/>
        <w:rPr>
          <w:rFonts w:ascii="宋体" w:hAnsi="宋体" w:eastAsia="宋体" w:cs="宋体"/>
          <w:sz w:val="24"/>
          <w:szCs w:val="24"/>
          <w:lang w:eastAsia="zh-CN"/>
        </w:rPr>
      </w:pPr>
      <w:r>
        <w:rPr>
          <w:rFonts w:hint="eastAsia" w:ascii="宋体" w:hAnsi="宋体" w:eastAsia="宋体" w:cs="宋体"/>
          <w:sz w:val="24"/>
          <w:szCs w:val="24"/>
          <w:lang w:eastAsia="zh-CN"/>
        </w:rPr>
        <w:t xml:space="preserve">YD/T 901‑2018</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通信用层绞式光缆；</w:t>
      </w:r>
      <w:r>
        <w:rPr>
          <w:rFonts w:hint="eastAsia" w:ascii="宋体" w:hAnsi="宋体" w:eastAsia="宋体" w:cs="宋体"/>
          <w:sz w:val="24"/>
          <w:szCs w:val="24"/>
          <w:lang w:eastAsia="zh-CN"/>
        </w:rPr>
        <w:tab/>
      </w:r>
      <w:r/>
    </w:p>
    <w:p>
      <w:pPr>
        <w:pStyle w:val="879"/>
        <w:ind w:firstLine="436"/>
        <w:rPr>
          <w:rFonts w:ascii="宋体" w:hAnsi="宋体" w:eastAsia="宋体" w:cs="宋体"/>
          <w:sz w:val="24"/>
          <w:szCs w:val="24"/>
          <w:lang w:eastAsia="zh-CN"/>
        </w:rPr>
      </w:pPr>
      <w:r>
        <w:rPr>
          <w:rFonts w:hint="eastAsia" w:ascii="宋体" w:hAnsi="宋体" w:eastAsia="宋体" w:cs="宋体"/>
          <w:sz w:val="24"/>
          <w:szCs w:val="24"/>
          <w:lang w:eastAsia="zh-CN"/>
        </w:rPr>
        <w:t xml:space="preserve">GYTA‑48B1、GYTA‑96B1 光缆产品标准。</w:t>
      </w:r>
      <w:r/>
    </w:p>
    <w:p>
      <w:pPr>
        <w:pStyle w:val="879"/>
        <w:ind w:firstLine="436"/>
        <w:rPr>
          <w:rFonts w:ascii="宋体" w:hAnsi="宋体" w:eastAsia="宋体" w:cs="宋体"/>
          <w:b/>
          <w:bCs/>
          <w:sz w:val="24"/>
          <w:szCs w:val="24"/>
          <w:lang w:eastAsia="zh-CN"/>
        </w:rPr>
      </w:pPr>
      <w:r>
        <w:rPr>
          <w:rFonts w:ascii="宋体" w:hAnsi="宋体" w:eastAsia="宋体" w:cs="宋体"/>
          <w:b/>
          <w:bCs/>
          <w:sz w:val="24"/>
          <w:szCs w:val="24"/>
        </w:rPr>
        <w:t xml:space="preserve">云计算、超融合、桌面云建设标准（外网虚拟化资源池、桌面云一体机、云接入终端）</w:t>
      </w:r>
      <w:r>
        <w:rPr>
          <w:rFonts w:hint="eastAsia" w:ascii="宋体" w:hAnsi="宋体" w:eastAsia="宋体" w:cs="宋体"/>
          <w:b/>
          <w:bCs/>
          <w:sz w:val="24"/>
          <w:szCs w:val="24"/>
          <w:lang w:eastAsia="zh-CN"/>
        </w:rPr>
        <w:t xml:space="preserve">：</w:t>
      </w:r>
      <w:r/>
    </w:p>
    <w:p>
      <w:pPr>
        <w:pStyle w:val="879"/>
        <w:ind w:firstLine="436"/>
        <w:rPr>
          <w:rFonts w:ascii="宋体" w:hAnsi="宋体" w:eastAsia="宋体" w:cs="宋体"/>
          <w:sz w:val="24"/>
          <w:szCs w:val="24"/>
          <w:lang w:eastAsia="zh-CN"/>
        </w:rPr>
      </w:pPr>
      <w:r>
        <w:rPr>
          <w:rFonts w:ascii="宋体" w:hAnsi="宋体" w:eastAsia="宋体" w:cs="宋体"/>
          <w:sz w:val="24"/>
          <w:szCs w:val="24"/>
        </w:rPr>
        <w:t xml:space="preserve">GB/T 37950</w:t>
      </w:r>
      <w:r>
        <w:rPr>
          <w:rFonts w:ascii="宋体" w:hAnsi="宋体" w:eastAsia="宋体" w:cs="宋体"/>
          <w:sz w:val="24"/>
          <w:szCs w:val="24"/>
        </w:rPr>
        <w:noBreakHyphen/>
      </w:r>
      <w:r>
        <w:rPr>
          <w:rFonts w:ascii="宋体" w:hAnsi="宋体" w:eastAsia="宋体" w:cs="宋体"/>
          <w:sz w:val="24"/>
          <w:szCs w:val="24"/>
        </w:rPr>
        <w:t xml:space="preserve">2019信息安全技术 桌面云安全技术要求</w:t>
      </w:r>
      <w:r>
        <w:rPr>
          <w:rFonts w:hint="eastAsia" w:ascii="宋体" w:hAnsi="宋体" w:eastAsia="宋体" w:cs="宋体"/>
          <w:sz w:val="24"/>
          <w:szCs w:val="24"/>
          <w:lang w:eastAsia="zh-CN"/>
        </w:rPr>
        <w:t xml:space="preserve">；</w:t>
      </w:r>
      <w:r/>
    </w:p>
    <w:p>
      <w:pPr>
        <w:pStyle w:val="879"/>
        <w:ind w:firstLine="436"/>
        <w:rPr>
          <w:rFonts w:ascii="宋体" w:hAnsi="宋体" w:eastAsia="宋体" w:cs="宋体"/>
          <w:sz w:val="24"/>
          <w:szCs w:val="24"/>
          <w:lang w:eastAsia="zh-CN"/>
        </w:rPr>
      </w:pPr>
      <w:r>
        <w:rPr>
          <w:rFonts w:ascii="宋体" w:hAnsi="宋体" w:eastAsia="宋体" w:cs="宋体"/>
          <w:sz w:val="24"/>
          <w:szCs w:val="24"/>
        </w:rPr>
        <w:t xml:space="preserve">GB/T 34982</w:t>
      </w:r>
      <w:r>
        <w:rPr>
          <w:rFonts w:ascii="宋体" w:hAnsi="宋体" w:eastAsia="宋体" w:cs="宋体"/>
          <w:sz w:val="24"/>
          <w:szCs w:val="24"/>
        </w:rPr>
        <w:noBreakHyphen/>
      </w:r>
      <w:r>
        <w:rPr>
          <w:rFonts w:ascii="宋体" w:hAnsi="宋体" w:eastAsia="宋体" w:cs="宋体"/>
          <w:sz w:val="24"/>
          <w:szCs w:val="24"/>
        </w:rPr>
        <w:t xml:space="preserve">2017云计算数据中心基本要求</w:t>
      </w:r>
      <w:r>
        <w:rPr>
          <w:rFonts w:hint="eastAsia" w:ascii="宋体" w:hAnsi="宋体" w:eastAsia="宋体" w:cs="宋体"/>
          <w:sz w:val="24"/>
          <w:szCs w:val="24"/>
          <w:lang w:eastAsia="zh-CN"/>
        </w:rPr>
        <w:t xml:space="preserve">；</w:t>
      </w:r>
      <w:r/>
    </w:p>
    <w:p>
      <w:pPr>
        <w:pStyle w:val="879"/>
        <w:ind w:firstLine="436"/>
        <w:rPr>
          <w:rFonts w:ascii="宋体" w:hAnsi="宋体" w:eastAsia="宋体" w:cs="宋体"/>
          <w:sz w:val="24"/>
          <w:szCs w:val="24"/>
          <w:lang w:eastAsia="zh-CN"/>
        </w:rPr>
      </w:pPr>
      <w:r>
        <w:rPr>
          <w:rFonts w:ascii="宋体" w:hAnsi="宋体" w:eastAsia="宋体" w:cs="宋体"/>
          <w:sz w:val="24"/>
          <w:szCs w:val="24"/>
        </w:rPr>
        <w:t xml:space="preserve">GB/T 31167</w:t>
      </w:r>
      <w:r>
        <w:rPr>
          <w:rFonts w:ascii="宋体" w:hAnsi="宋体" w:eastAsia="宋体" w:cs="宋体"/>
          <w:sz w:val="24"/>
          <w:szCs w:val="24"/>
        </w:rPr>
        <w:noBreakHyphen/>
      </w:r>
      <w:r>
        <w:rPr>
          <w:rFonts w:ascii="宋体" w:hAnsi="宋体" w:eastAsia="宋体" w:cs="宋体"/>
          <w:sz w:val="24"/>
          <w:szCs w:val="24"/>
        </w:rPr>
        <w:t xml:space="preserve">2014信息安全技术 云计算服务安全指南</w:t>
      </w:r>
      <w:r>
        <w:rPr>
          <w:rFonts w:hint="eastAsia" w:ascii="宋体" w:hAnsi="宋体" w:eastAsia="宋体" w:cs="宋体"/>
          <w:sz w:val="24"/>
          <w:szCs w:val="24"/>
          <w:lang w:eastAsia="zh-CN"/>
        </w:rPr>
        <w:t xml:space="preserve">。</w:t>
      </w:r>
      <w:r/>
    </w:p>
    <w:p>
      <w:pPr>
        <w:pStyle w:val="879"/>
        <w:ind w:firstLine="436"/>
        <w:rPr>
          <w:rFonts w:ascii="宋体" w:hAnsi="宋体" w:eastAsia="宋体" w:cs="宋体"/>
          <w:b/>
          <w:bCs/>
          <w:sz w:val="24"/>
          <w:szCs w:val="24"/>
          <w:lang w:eastAsia="zh-CN"/>
        </w:rPr>
      </w:pPr>
      <w:r>
        <w:rPr>
          <w:rFonts w:ascii="宋体" w:hAnsi="宋体" w:eastAsia="宋体" w:cs="宋体"/>
          <w:b/>
          <w:bCs/>
          <w:sz w:val="24"/>
          <w:szCs w:val="24"/>
        </w:rPr>
        <w:t xml:space="preserve">网络与信息安全建设规范（交换机、堡垒机、等保、数据安全）</w:t>
      </w:r>
      <w:r>
        <w:rPr>
          <w:rFonts w:hint="eastAsia" w:ascii="宋体" w:hAnsi="宋体" w:eastAsia="宋体" w:cs="宋体"/>
          <w:b/>
          <w:bCs/>
          <w:sz w:val="24"/>
          <w:szCs w:val="24"/>
          <w:lang w:eastAsia="zh-CN"/>
        </w:rPr>
        <w:t xml:space="preserve">：</w:t>
      </w:r>
      <w:r/>
    </w:p>
    <w:p>
      <w:pPr>
        <w:pStyle w:val="879"/>
        <w:ind w:firstLine="436"/>
        <w:rPr>
          <w:rFonts w:ascii="宋体" w:hAnsi="宋体" w:eastAsia="宋体" w:cs="宋体"/>
          <w:sz w:val="24"/>
          <w:szCs w:val="24"/>
          <w:lang w:eastAsia="zh-CN"/>
        </w:rPr>
      </w:pPr>
      <w:r>
        <w:rPr>
          <w:rFonts w:ascii="宋体" w:hAnsi="宋体" w:eastAsia="宋体" w:cs="宋体"/>
          <w:sz w:val="24"/>
          <w:szCs w:val="24"/>
        </w:rPr>
        <w:t xml:space="preserve">GB/T 22239</w:t>
      </w:r>
      <w:r>
        <w:rPr>
          <w:rFonts w:ascii="宋体" w:hAnsi="宋体" w:eastAsia="宋体" w:cs="宋体"/>
          <w:sz w:val="24"/>
          <w:szCs w:val="24"/>
        </w:rPr>
        <w:noBreakHyphen/>
      </w:r>
      <w:r>
        <w:rPr>
          <w:rFonts w:ascii="宋体" w:hAnsi="宋体" w:eastAsia="宋体" w:cs="宋体"/>
          <w:sz w:val="24"/>
          <w:szCs w:val="24"/>
        </w:rPr>
        <w:t xml:space="preserve">2019信息安全技术 网络安全等级保护基本要求</w:t>
      </w:r>
      <w:r>
        <w:rPr>
          <w:rFonts w:hint="eastAsia" w:ascii="宋体" w:hAnsi="宋体" w:eastAsia="宋体" w:cs="宋体"/>
          <w:sz w:val="24"/>
          <w:szCs w:val="24"/>
          <w:lang w:eastAsia="zh-CN"/>
        </w:rPr>
        <w:t xml:space="preserve">；</w:t>
      </w:r>
      <w:r/>
    </w:p>
    <w:p>
      <w:pPr>
        <w:pStyle w:val="879"/>
        <w:ind w:firstLine="436"/>
        <w:rPr>
          <w:rFonts w:ascii="宋体" w:hAnsi="宋体" w:eastAsia="宋体" w:cs="宋体"/>
          <w:sz w:val="24"/>
          <w:szCs w:val="24"/>
          <w:lang w:eastAsia="zh-CN"/>
        </w:rPr>
      </w:pPr>
      <w:r>
        <w:rPr>
          <w:rFonts w:ascii="宋体" w:hAnsi="宋体" w:eastAsia="宋体" w:cs="宋体"/>
          <w:sz w:val="24"/>
          <w:szCs w:val="24"/>
        </w:rPr>
        <w:t xml:space="preserve">GB/T 37988</w:t>
      </w:r>
      <w:r>
        <w:rPr>
          <w:rFonts w:ascii="宋体" w:hAnsi="宋体" w:eastAsia="宋体" w:cs="宋体"/>
          <w:sz w:val="24"/>
          <w:szCs w:val="24"/>
        </w:rPr>
        <w:noBreakHyphen/>
      </w:r>
      <w:r>
        <w:rPr>
          <w:rFonts w:ascii="宋体" w:hAnsi="宋体" w:eastAsia="宋体" w:cs="宋体"/>
          <w:sz w:val="24"/>
          <w:szCs w:val="24"/>
        </w:rPr>
        <w:t xml:space="preserve">2019数据安全能力成熟度模型</w:t>
      </w:r>
      <w:r>
        <w:rPr>
          <w:rFonts w:hint="eastAsia" w:ascii="宋体" w:hAnsi="宋体" w:eastAsia="宋体" w:cs="宋体"/>
          <w:sz w:val="24"/>
          <w:szCs w:val="24"/>
          <w:lang w:eastAsia="zh-CN"/>
        </w:rPr>
        <w:t xml:space="preserve">；</w:t>
      </w:r>
      <w:r/>
    </w:p>
    <w:p>
      <w:pPr>
        <w:pStyle w:val="879"/>
        <w:ind w:firstLine="436"/>
        <w:rPr>
          <w:rFonts w:ascii="宋体" w:hAnsi="宋体" w:eastAsia="宋体" w:cs="宋体"/>
          <w:sz w:val="24"/>
          <w:szCs w:val="24"/>
          <w:lang w:eastAsia="zh-CN"/>
        </w:rPr>
      </w:pPr>
      <w:r>
        <w:rPr>
          <w:rFonts w:ascii="宋体" w:hAnsi="宋体" w:eastAsia="宋体" w:cs="宋体"/>
          <w:sz w:val="24"/>
          <w:szCs w:val="24"/>
        </w:rPr>
        <w:t xml:space="preserve">GB/T 35273</w:t>
      </w:r>
      <w:r>
        <w:rPr>
          <w:rFonts w:ascii="宋体" w:hAnsi="宋体" w:eastAsia="宋体" w:cs="宋体"/>
          <w:sz w:val="24"/>
          <w:szCs w:val="24"/>
        </w:rPr>
        <w:noBreakHyphen/>
      </w:r>
      <w:r>
        <w:rPr>
          <w:rFonts w:ascii="宋体" w:hAnsi="宋体" w:eastAsia="宋体" w:cs="宋体"/>
          <w:sz w:val="24"/>
          <w:szCs w:val="24"/>
        </w:rPr>
        <w:t xml:space="preserve">2020信息安全技术 个人信息安全规范</w:t>
      </w:r>
      <w:r>
        <w:rPr>
          <w:rFonts w:hint="eastAsia" w:ascii="宋体" w:hAnsi="宋体" w:eastAsia="宋体" w:cs="宋体"/>
          <w:sz w:val="24"/>
          <w:szCs w:val="24"/>
          <w:lang w:eastAsia="zh-CN"/>
        </w:rPr>
        <w:t xml:space="preserve">。</w:t>
      </w:r>
      <w:r/>
    </w:p>
    <w:p>
      <w:pPr>
        <w:pStyle w:val="879"/>
        <w:ind w:firstLine="436"/>
        <w:rPr>
          <w:rFonts w:ascii="宋体" w:hAnsi="宋体" w:eastAsia="宋体" w:cs="宋体"/>
          <w:b/>
          <w:bCs/>
          <w:sz w:val="24"/>
          <w:szCs w:val="24"/>
          <w:lang w:eastAsia="zh-CN"/>
        </w:rPr>
      </w:pPr>
      <w:r>
        <w:rPr>
          <w:rFonts w:ascii="宋体" w:hAnsi="宋体" w:eastAsia="宋体" w:cs="宋体"/>
          <w:b/>
          <w:bCs/>
          <w:sz w:val="24"/>
          <w:szCs w:val="24"/>
        </w:rPr>
        <w:t xml:space="preserve">医疗行业信息化建设规范</w:t>
      </w:r>
      <w:r>
        <w:rPr>
          <w:rFonts w:hint="eastAsia" w:ascii="宋体" w:hAnsi="宋体" w:eastAsia="宋体" w:cs="宋体"/>
          <w:b/>
          <w:bCs/>
          <w:sz w:val="24"/>
          <w:szCs w:val="24"/>
          <w:lang w:eastAsia="zh-CN"/>
        </w:rPr>
        <w:t xml:space="preserve">：</w:t>
      </w:r>
      <w:r/>
    </w:p>
    <w:p>
      <w:pPr>
        <w:pStyle w:val="879"/>
        <w:ind w:firstLine="436"/>
        <w:rPr>
          <w:rFonts w:ascii="宋体" w:hAnsi="宋体" w:eastAsia="宋体" w:cs="宋体"/>
          <w:sz w:val="24"/>
          <w:szCs w:val="24"/>
          <w:lang w:eastAsia="zh-CN"/>
        </w:rPr>
      </w:pPr>
      <w:r>
        <w:rPr>
          <w:rFonts w:ascii="宋体" w:hAnsi="宋体" w:eastAsia="宋体" w:cs="宋体"/>
          <w:sz w:val="24"/>
          <w:szCs w:val="24"/>
        </w:rPr>
        <w:t xml:space="preserve">《中医医院信息与数字化建设规范（2024 版）》（国家中医药管理局）：中医院机房、服务器存储网络、国产化、灾备机房建设要求，二级 / 三级中医院机房等级建议 B/C 级</w:t>
      </w:r>
      <w:r>
        <w:rPr>
          <w:rFonts w:hint="eastAsia" w:ascii="宋体" w:hAnsi="宋体" w:eastAsia="宋体" w:cs="宋体"/>
          <w:sz w:val="24"/>
          <w:szCs w:val="24"/>
          <w:lang w:eastAsia="zh-CN"/>
        </w:rPr>
        <w:t xml:space="preserve">。</w:t>
      </w:r>
      <w:r/>
    </w:p>
    <w:p>
      <w:pPr>
        <w:pStyle w:val="879"/>
        <w:ind w:firstLine="436"/>
        <w:rPr>
          <w:rFonts w:ascii="Times New Roman" w:eastAsia="宋体"/>
          <w:sz w:val="24"/>
          <w:szCs w:val="24"/>
          <w:lang w:eastAsia="zh-CN"/>
        </w:rPr>
      </w:pPr>
      <w:r>
        <w:rPr>
          <w:rFonts w:hint="eastAsia" w:ascii="Times New Roman" w:eastAsia="宋体"/>
          <w:sz w:val="24"/>
          <w:szCs w:val="24"/>
          <w:lang w:eastAsia="zh-CN"/>
        </w:rPr>
        <w:t xml:space="preserve">上述标准为一般性要求，如有最新要求，按最新标准执行。</w:t>
      </w:r>
      <w:r/>
    </w:p>
    <w:p>
      <w:pPr>
        <w:ind w:firstLine="56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六、人员配备要求</w:t>
      </w:r>
      <w:r/>
    </w:p>
    <w:p>
      <w:pPr>
        <w:ind w:firstLine="480"/>
        <w:jc w:val="left"/>
        <w:spacing w:line="360" w:lineRule="auto"/>
        <w:rPr>
          <w:rFonts w:ascii="宋体" w:hAnsi="宋体"/>
          <w:sz w:val="24"/>
          <w:szCs w:val="24"/>
        </w:rPr>
      </w:pPr>
      <w:r>
        <w:rPr>
          <w:rFonts w:hint="eastAsia" w:ascii="宋体" w:hAnsi="宋体"/>
          <w:sz w:val="24"/>
          <w:szCs w:val="24"/>
        </w:rPr>
        <w:t xml:space="preserve">本项目配备项目组成员不低于5名，至少包含1名项目负责人、1名技术负责人，项目组成员不低于4名（含质保期内维护人员）需具有本项目相关领域的专业知识、工作经验，与项目实施内容和要求相适应。负责所有设备安装、网络调试，质保期内售后服务等工作，同时配合医院做好验收工作。</w:t>
      </w:r>
      <w:r/>
    </w:p>
    <w:p>
      <w:pPr>
        <w:ind w:firstLine="480"/>
        <w:jc w:val="left"/>
        <w:spacing w:line="360" w:lineRule="auto"/>
        <w:rPr>
          <w:rFonts w:ascii="宋体" w:hAnsi="宋体"/>
          <w:sz w:val="24"/>
          <w:szCs w:val="24"/>
        </w:rPr>
      </w:pPr>
      <w:r>
        <w:rPr>
          <w:rFonts w:hint="eastAsia" w:ascii="宋体" w:hAnsi="宋体"/>
          <w:sz w:val="24"/>
          <w:szCs w:val="24"/>
        </w:rPr>
        <w:t xml:space="preserve">项目负责人：协调项目全过程的各项工作，把握项目进度、质量把控、产品验收、包装运输、指导安装、调试及验收等，有机电安装工程、通讯工程、室外管网工程、信息安全管理、网络运行等相关经验，及时与采购人对接工作，指导项目团队成员认真完成每一项工作。</w:t>
      </w:r>
      <w:r/>
    </w:p>
    <w:p>
      <w:pPr>
        <w:ind w:firstLine="480"/>
        <w:jc w:val="left"/>
        <w:spacing w:line="360" w:lineRule="auto"/>
        <w:rPr>
          <w:rFonts w:ascii="宋体" w:hAnsi="宋体"/>
          <w:sz w:val="24"/>
          <w:szCs w:val="24"/>
        </w:rPr>
      </w:pPr>
      <w:r>
        <w:rPr>
          <w:rFonts w:hint="eastAsia" w:ascii="宋体" w:hAnsi="宋体"/>
          <w:sz w:val="24"/>
          <w:szCs w:val="24"/>
        </w:rPr>
        <w:t xml:space="preserve">技术负责人：</w:t>
      </w:r>
      <w:r>
        <w:rPr>
          <w:rFonts w:ascii="宋体" w:hAnsi="宋体" w:eastAsia="宋体" w:cs="宋体"/>
          <w:sz w:val="24"/>
          <w:szCs w:val="24"/>
        </w:rPr>
        <w:t xml:space="preserve">负责本项目的技术方案、实施方案把控、技术难题处置、系统集成、调试测试、质量管控、技术交底、变更管理以及对接采购人技术对接工作。</w:t>
      </w:r>
      <w:r/>
    </w:p>
    <w:p>
      <w:pPr>
        <w:ind w:firstLine="480"/>
        <w:jc w:val="left"/>
        <w:spacing w:line="360" w:lineRule="auto"/>
        <w:rPr>
          <w:rFonts w:ascii="宋体" w:hAnsi="宋体"/>
          <w:sz w:val="24"/>
          <w:szCs w:val="24"/>
        </w:rPr>
      </w:pPr>
      <w:r>
        <w:rPr>
          <w:rFonts w:hint="eastAsia" w:ascii="宋体" w:hAnsi="宋体"/>
          <w:sz w:val="24"/>
          <w:szCs w:val="24"/>
        </w:rPr>
        <w:t xml:space="preserve">项目组成人员需为专业人员且具有参与类似项目的经验，以保证项目实施质量。负责网络的运行维护，信息安全管理，根据业务需求调整设备配置。负责系统的建设、维护与管理。</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七、履约验收要求</w:t>
      </w:r>
      <w:r/>
    </w:p>
    <w:p>
      <w:pPr>
        <w:ind w:firstLine="480"/>
        <w:jc w:val="left"/>
        <w:spacing w:line="360" w:lineRule="auto"/>
      </w:pPr>
      <w:r>
        <w:rPr>
          <w:rFonts w:hint="eastAsia" w:ascii="宋体" w:hAnsi="宋体"/>
          <w:sz w:val="24"/>
          <w:szCs w:val="24"/>
        </w:rPr>
        <w:t xml:space="preserve">按招标文件要求，采购人先对采购的产品进行验收。中标人按照要求整体建设内容调试完毕并完整上线，功能满足采购清单及技术参数、系统满足质量要求及安全要求，即最终验收合格</w:t>
      </w:r>
      <w:r>
        <w:rPr>
          <w:rFonts w:hint="eastAsia"/>
        </w:rPr>
        <w:t xml:space="preserve">，具体内容如下：</w:t>
      </w:r>
      <w:r/>
    </w:p>
    <w:p>
      <w:pPr>
        <w:ind w:firstLine="480"/>
        <w:spacing w:line="360" w:lineRule="auto"/>
        <w:rPr>
          <w:sz w:val="24"/>
        </w:rPr>
      </w:pPr>
      <w:r>
        <w:rPr>
          <w:rFonts w:hint="eastAsia" w:asciiTheme="minorEastAsia" w:hAnsiTheme="minorEastAsia"/>
          <w:sz w:val="24"/>
        </w:rPr>
        <w:t xml:space="preserve">1.</w:t>
      </w:r>
      <w:r>
        <w:rPr>
          <w:rFonts w:hint="eastAsia"/>
          <w:sz w:val="24"/>
        </w:rPr>
        <w:t xml:space="preserve">验收标准：符合相关国家标准和行业标准的规定；符合本合同、中标人的投标文件及招标文件中规定的各项标准和要求；</w:t>
      </w:r>
      <w:r/>
    </w:p>
    <w:p>
      <w:pPr>
        <w:ind w:firstLine="480"/>
        <w:spacing w:line="360" w:lineRule="auto"/>
        <w:rPr>
          <w:sz w:val="24"/>
        </w:rPr>
      </w:pPr>
      <w:r>
        <w:rPr>
          <w:rFonts w:hint="eastAsia" w:asciiTheme="minorEastAsia" w:hAnsiTheme="minorEastAsia"/>
          <w:sz w:val="24"/>
        </w:rPr>
        <w:t xml:space="preserve">2.</w:t>
      </w:r>
      <w:r>
        <w:rPr>
          <w:rFonts w:hint="eastAsia"/>
          <w:sz w:val="24"/>
        </w:rPr>
        <w:t xml:space="preserve">本合同内容任一项验收不合格的，中标人应负责在采购人限定的期限内完成整改，因整改而导致的费用和损失由中标人自行承担，若导致项目逾期的，中标人承担逾期违约责任。中标人未按采购人要求进行整改或经三次整改仍不合格的，视为中标人违约，采购人有权解除本合同，给采购人造成损失的，中标人应赔偿一切直接、间接损失；</w:t>
      </w:r>
      <w:r/>
    </w:p>
    <w:p>
      <w:pPr>
        <w:ind w:firstLine="562"/>
        <w:jc w:val="left"/>
        <w:spacing w:line="360" w:lineRule="auto"/>
        <w:rPr>
          <w:sz w:val="24"/>
        </w:rPr>
      </w:pPr>
      <w:r>
        <w:rPr>
          <w:rFonts w:hint="eastAsia" w:ascii="宋体" w:hAnsi="宋体" w:eastAsia="宋体" w:cs="宋体"/>
          <w:sz w:val="24"/>
          <w:szCs w:val="24"/>
        </w:rPr>
        <w:t xml:space="preserve">3.本项目执行《绿色数据中心政府采购需求标准（试行）》、国家或行业相关规范标准的相关要求。涉及本次采购标的的设备采购人有权在履约验收时对中标人提供的产品或服务进行抽查检测，必要时可委托取得相关资质的第三方机构对其进行检测、认证。</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八、培训要求</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为保证项目建设质量，更好地满足采购人的需要，制定以下培训方案要求：</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中标人须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培训计划需明确培训目标、培训对象、培训方式、培训地点、培训内容、培训记录等。培训所需要的费用（包括但不限于培训材料费用、专家费用、交通费用等）由投标人承担。</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1.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2.培训对象：培训对象包括但不限于以下人员：系统业务应用人员、系统运行维护管理人员等。</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3.培训方式：集中授课、现场应用操作指导等。</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4.培训内容：内容包含但不限于系统总体情况进行介绍、应用操作、常见故障分析、系统运维工作等。</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5.培训师资：专业工程师、专业资格人员和行业专家等。</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6.培训次数：建设期及质量保证期内不少于2次/年。</w:t>
      </w:r>
      <w:r/>
    </w:p>
    <w:p>
      <w:pPr>
        <w:ind w:firstLine="482"/>
        <w:spacing w:line="360" w:lineRule="auto"/>
        <w:rPr>
          <w:rFonts w:asciiTheme="minorEastAsia" w:hAnsiTheme="minorEastAsia"/>
          <w:b/>
          <w:sz w:val="24"/>
        </w:rPr>
      </w:pPr>
      <w:r>
        <w:rPr>
          <w:rFonts w:hint="eastAsia" w:ascii="宋体" w:hAnsi="宋体" w:eastAsia="宋体" w:cs="宋体"/>
          <w:b/>
          <w:bCs/>
          <w:sz w:val="24"/>
          <w:szCs w:val="24"/>
        </w:rPr>
        <w:t xml:space="preserve">九、</w:t>
      </w:r>
      <w:r>
        <w:rPr>
          <w:rFonts w:hint="eastAsia" w:asciiTheme="minorEastAsia" w:hAnsiTheme="minorEastAsia"/>
          <w:b/>
          <w:sz w:val="24"/>
        </w:rPr>
        <w:t xml:space="preserve">绿色数据中心需求标准</w:t>
      </w:r>
      <w:r/>
    </w:p>
    <w:p>
      <w:pPr>
        <w:ind w:firstLine="482"/>
        <w:spacing w:line="360" w:lineRule="auto"/>
        <w:rPr>
          <w:rFonts w:asciiTheme="minorEastAsia" w:hAnsiTheme="minorEastAsia"/>
          <w:sz w:val="24"/>
        </w:rPr>
      </w:pPr>
      <w:r>
        <w:rPr>
          <w:rFonts w:hint="eastAsia" w:asciiTheme="minorEastAsia" w:hAnsiTheme="minorEastAsia"/>
          <w:sz w:val="24"/>
        </w:rPr>
        <w:t xml:space="preserve">1.以太网交换机</w:t>
      </w:r>
      <w:r/>
    </w:p>
    <w:tbl>
      <w:tblPr>
        <w:tblStyle w:val="851"/>
        <w:tblW w:w="836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701"/>
        <w:gridCol w:w="3359"/>
        <w:gridCol w:w="2310"/>
      </w:tblGrid>
      <w:tr>
        <w:trPr/>
        <w:tc>
          <w:tcPr>
            <w:shd w:val="clear" w:color="auto" w:fill="auto"/>
            <w:tcW w:w="993" w:type="dxa"/>
            <w:vAlign w:val="center"/>
            <w:textDirection w:val="lrTb"/>
            <w:noWrap w:val="false"/>
          </w:tcPr>
          <w:p>
            <w:pPr>
              <w:ind w:right="153"/>
              <w:jc w:val="center"/>
              <w:spacing w:line="400" w:lineRule="atLeast"/>
              <w:widowControl/>
              <w:rPr>
                <w:rFonts w:cs="宋体" w:asciiTheme="minorEastAsia" w:hAnsiTheme="minorEastAsia"/>
                <w:b/>
                <w:color w:val="000000"/>
                <w:sz w:val="24"/>
                <w:szCs w:val="24"/>
              </w:rPr>
            </w:pPr>
            <w:r>
              <w:rPr>
                <w:rFonts w:cs="宋体" w:asciiTheme="minorEastAsia" w:hAnsiTheme="minorEastAsia"/>
                <w:b/>
                <w:color w:val="000000"/>
                <w:sz w:val="24"/>
                <w:szCs w:val="24"/>
              </w:rPr>
              <w:t xml:space="preserve">序号</w:t>
            </w:r>
            <w:r/>
          </w:p>
        </w:tc>
        <w:tc>
          <w:tcPr>
            <w:gridSpan w:val="2"/>
            <w:shd w:val="clear" w:color="auto" w:fill="auto"/>
            <w:tcW w:w="5060" w:type="dxa"/>
            <w:vAlign w:val="center"/>
            <w:textDirection w:val="lrTb"/>
            <w:noWrap w:val="false"/>
          </w:tcPr>
          <w:p>
            <w:pPr>
              <w:ind w:right="153"/>
              <w:jc w:val="center"/>
              <w:spacing w:line="400" w:lineRule="atLeast"/>
              <w:widowControl/>
              <w:rPr>
                <w:rFonts w:cs="宋体" w:asciiTheme="minorEastAsia" w:hAnsiTheme="minorEastAsia"/>
                <w:b/>
                <w:color w:val="000000"/>
                <w:sz w:val="24"/>
                <w:szCs w:val="24"/>
              </w:rPr>
            </w:pPr>
            <w:r>
              <w:rPr>
                <w:rFonts w:hint="eastAsia" w:cs="Times New Roman" w:asciiTheme="minorEastAsia" w:hAnsiTheme="minorEastAsia"/>
                <w:b/>
                <w:color w:val="000000"/>
                <w:sz w:val="24"/>
                <w:szCs w:val="24"/>
              </w:rPr>
              <w:t xml:space="preserve">指标</w:t>
            </w:r>
            <w:r/>
          </w:p>
        </w:tc>
        <w:tc>
          <w:tcPr>
            <w:shd w:val="clear" w:color="auto" w:fill="auto"/>
            <w:tcW w:w="2310" w:type="dxa"/>
            <w:vAlign w:val="center"/>
            <w:textDirection w:val="lrTb"/>
            <w:noWrap w:val="false"/>
          </w:tcPr>
          <w:p>
            <w:pPr>
              <w:ind w:right="153"/>
              <w:jc w:val="center"/>
              <w:spacing w:line="400" w:lineRule="atLeast"/>
              <w:widowControl/>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限制值</w:t>
            </w:r>
            <w:r/>
          </w:p>
        </w:tc>
      </w:tr>
      <w:tr>
        <w:trPr/>
        <w:tc>
          <w:tcPr>
            <w:shd w:val="clear" w:color="auto" w:fill="auto"/>
            <w:tcW w:w="993" w:type="dxa"/>
            <w:vAlign w:val="center"/>
            <w:textDirection w:val="lrTb"/>
            <w:noWrap w:val="false"/>
          </w:tcPr>
          <w:p>
            <w:pPr>
              <w:jc w:val="center"/>
              <w:spacing w:line="400" w:lineRule="atLeas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1</w:t>
            </w:r>
            <w:r/>
          </w:p>
        </w:tc>
        <w:tc>
          <w:tcPr>
            <w:gridSpan w:val="2"/>
            <w:shd w:val="clear" w:color="auto" w:fill="auto"/>
            <w:tcW w:w="5060" w:type="dxa"/>
            <w:vAlign w:val="center"/>
            <w:textDirection w:val="lrTb"/>
            <w:noWrap w:val="false"/>
          </w:tcPr>
          <w:p>
            <w:pPr>
              <w:ind w:right="153"/>
              <w:jc w:val="left"/>
              <w:spacing w:line="400" w:lineRule="atLeast"/>
              <w:widowControl/>
              <w:rPr>
                <w:rFonts w:cs="宋体" w:asciiTheme="minorEastAsia" w:hAnsiTheme="minorEastAsia"/>
                <w:color w:val="000000"/>
                <w:sz w:val="24"/>
                <w:szCs w:val="24"/>
              </w:rPr>
            </w:pPr>
            <w:r>
              <w:rPr>
                <w:rFonts w:hint="eastAsia" w:cs="Times New Roman" w:asciiTheme="minorEastAsia" w:hAnsiTheme="minorEastAsia"/>
                <w:color w:val="000000"/>
                <w:sz w:val="24"/>
                <w:szCs w:val="24"/>
              </w:rPr>
              <w:t xml:space="preserve">固定端口以太网交换机能效比值（</w:t>
            </w:r>
            <w:r>
              <w:rPr>
                <w:rFonts w:cs="Times New Roman" w:asciiTheme="minorEastAsia" w:hAnsiTheme="minorEastAsia"/>
                <w:color w:val="000000"/>
                <w:sz w:val="24"/>
                <w:szCs w:val="24"/>
              </w:rPr>
              <w:t xml:space="preserve">TEER</w:t>
            </w:r>
            <w:r>
              <w:rPr>
                <w:rFonts w:hint="eastAsia" w:cs="Times New Roman" w:asciiTheme="minorEastAsia" w:hAnsiTheme="minorEastAsia"/>
                <w:color w:val="000000"/>
                <w:sz w:val="24"/>
                <w:szCs w:val="24"/>
              </w:rPr>
              <w:t xml:space="preserve">）</w:t>
            </w:r>
            <w:r/>
          </w:p>
        </w:tc>
        <w:tc>
          <w:tcPr>
            <w:shd w:val="clear" w:color="auto" w:fill="auto"/>
            <w:tcW w:w="2310" w:type="dxa"/>
            <w:vAlign w:val="center"/>
            <w:textDirection w:val="lrTb"/>
            <w:noWrap w:val="false"/>
          </w:tcPr>
          <w:p>
            <w:pPr>
              <w:ind w:right="153"/>
              <w:jc w:val="center"/>
              <w:spacing w:line="400" w:lineRule="atLeas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300</w:t>
            </w:r>
            <w:r/>
          </w:p>
        </w:tc>
      </w:tr>
      <w:tr>
        <w:trPr/>
        <w:tc>
          <w:tcPr>
            <w:shd w:val="clear" w:color="auto" w:fill="auto"/>
            <w:tcW w:w="993" w:type="dxa"/>
            <w:vAlign w:val="center"/>
            <w:vMerge w:val="restart"/>
            <w:textDirection w:val="lrTb"/>
            <w:noWrap w:val="false"/>
          </w:tcPr>
          <w:p>
            <w:pPr>
              <w:jc w:val="center"/>
              <w:spacing w:line="400" w:lineRule="atLeas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2</w:t>
            </w:r>
            <w:r/>
          </w:p>
        </w:tc>
        <w:tc>
          <w:tcPr>
            <w:shd w:val="clear" w:color="auto" w:fill="auto"/>
            <w:tcW w:w="1701" w:type="dxa"/>
            <w:vAlign w:val="center"/>
            <w:vMerge w:val="restart"/>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单路电源输出效率</w:t>
            </w:r>
            <w:r/>
          </w:p>
        </w:tc>
        <w:tc>
          <w:tcPr>
            <w:shd w:val="clear" w:color="auto" w:fill="auto"/>
            <w:tcW w:w="3359" w:type="dxa"/>
            <w:vAlign w:val="center"/>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20%</w:t>
            </w:r>
            <w:r>
              <w:rPr>
                <w:rFonts w:hint="eastAsia" w:cs="Times New Roman" w:asciiTheme="minorEastAsia" w:hAnsiTheme="minorEastAsia"/>
                <w:color w:val="000000"/>
                <w:sz w:val="24"/>
                <w:szCs w:val="24"/>
              </w:rPr>
              <w:t xml:space="preserve">负载</w:t>
            </w:r>
            <w:r/>
          </w:p>
        </w:tc>
        <w:tc>
          <w:tcPr>
            <w:shd w:val="clear" w:color="auto" w:fill="auto"/>
            <w:tcW w:w="2310" w:type="dxa"/>
            <w:vAlign w:val="center"/>
            <w:textDirection w:val="lrTb"/>
            <w:noWrap w:val="false"/>
          </w:tcPr>
          <w:p>
            <w:pPr>
              <w:ind w:right="153"/>
              <w:jc w:val="center"/>
              <w:spacing w:line="400" w:lineRule="atLeas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88%</w:t>
            </w:r>
            <w:r/>
          </w:p>
        </w:tc>
      </w:tr>
      <w:tr>
        <w:trPr>
          <w:trHeight w:val="544"/>
        </w:trPr>
        <w:tc>
          <w:tcPr>
            <w:shd w:val="clear" w:color="auto" w:fill="auto"/>
            <w:tcW w:w="993" w:type="dxa"/>
            <w:vAlign w:val="center"/>
            <w:vMerge w:val="continue"/>
            <w:textDirection w:val="lrTb"/>
            <w:noWrap w:val="false"/>
          </w:tcPr>
          <w:p>
            <w:pPr>
              <w:jc w:val="center"/>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3359" w:type="dxa"/>
            <w:vAlign w:val="center"/>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50%</w:t>
            </w:r>
            <w:r>
              <w:rPr>
                <w:rFonts w:hint="eastAsia" w:cs="Times New Roman" w:asciiTheme="minorEastAsia" w:hAnsiTheme="minorEastAsia"/>
                <w:color w:val="000000"/>
                <w:sz w:val="24"/>
                <w:szCs w:val="24"/>
              </w:rPr>
              <w:t xml:space="preserve">负载</w:t>
            </w:r>
            <w:r/>
          </w:p>
        </w:tc>
        <w:tc>
          <w:tcPr>
            <w:shd w:val="clear" w:color="auto" w:fill="auto"/>
            <w:tcW w:w="2310" w:type="dxa"/>
            <w:vAlign w:val="center"/>
            <w:textDirection w:val="lrTb"/>
            <w:noWrap w:val="false"/>
          </w:tcPr>
          <w:p>
            <w:pPr>
              <w:ind w:right="153"/>
              <w:jc w:val="center"/>
              <w:spacing w:line="400" w:lineRule="atLeas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92%</w:t>
            </w:r>
            <w:r/>
          </w:p>
        </w:tc>
      </w:tr>
      <w:tr>
        <w:trPr/>
        <w:tc>
          <w:tcPr>
            <w:shd w:val="clear" w:color="auto" w:fill="auto"/>
            <w:tcW w:w="993" w:type="dxa"/>
            <w:vAlign w:val="center"/>
            <w:vMerge w:val="continue"/>
            <w:textDirection w:val="lrTb"/>
            <w:noWrap w:val="false"/>
          </w:tcPr>
          <w:p>
            <w:pPr>
              <w:jc w:val="center"/>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3359" w:type="dxa"/>
            <w:vAlign w:val="center"/>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100%</w:t>
            </w:r>
            <w:r>
              <w:rPr>
                <w:rFonts w:hint="eastAsia" w:cs="Times New Roman" w:asciiTheme="minorEastAsia" w:hAnsiTheme="minorEastAsia"/>
                <w:color w:val="000000"/>
                <w:sz w:val="24"/>
                <w:szCs w:val="24"/>
              </w:rPr>
              <w:t xml:space="preserve">负载</w:t>
            </w:r>
            <w:r/>
          </w:p>
        </w:tc>
        <w:tc>
          <w:tcPr>
            <w:shd w:val="clear" w:color="auto" w:fill="auto"/>
            <w:tcW w:w="2310" w:type="dxa"/>
            <w:vAlign w:val="center"/>
            <w:textDirection w:val="lrTb"/>
            <w:noWrap w:val="false"/>
          </w:tcPr>
          <w:p>
            <w:pPr>
              <w:ind w:right="153"/>
              <w:jc w:val="center"/>
              <w:spacing w:line="400" w:lineRule="atLeas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88%</w:t>
            </w:r>
            <w:r/>
          </w:p>
        </w:tc>
      </w:tr>
      <w:tr>
        <w:trPr/>
        <w:tc>
          <w:tcPr>
            <w:shd w:val="clear" w:color="auto" w:fill="auto"/>
            <w:tcW w:w="993" w:type="dxa"/>
            <w:vAlign w:val="center"/>
            <w:textDirection w:val="lrTb"/>
            <w:noWrap w:val="false"/>
          </w:tcPr>
          <w:p>
            <w:pPr>
              <w:jc w:val="center"/>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3</w:t>
            </w:r>
            <w:r/>
          </w:p>
        </w:tc>
        <w:tc>
          <w:tcPr>
            <w:gridSpan w:val="2"/>
            <w:shd w:val="clear" w:color="auto" w:fill="auto"/>
            <w:tcW w:w="5060" w:type="dxa"/>
            <w:vAlign w:val="center"/>
            <w:textDirection w:val="lrTb"/>
            <w:noWrap w:val="false"/>
          </w:tcPr>
          <w:p>
            <w:pPr>
              <w:ind w:right="153"/>
              <w:jc w:val="left"/>
              <w:spacing w:line="400" w:lineRule="atLeast"/>
              <w:widowControl/>
              <w:rPr>
                <w:rFonts w:cs="宋体" w:asciiTheme="minorEastAsia" w:hAnsiTheme="minorEastAsia"/>
                <w:color w:val="000000"/>
                <w:sz w:val="24"/>
                <w:szCs w:val="24"/>
              </w:rPr>
            </w:pPr>
            <w:r>
              <w:rPr>
                <w:rFonts w:hint="eastAsia" w:cs="Times New Roman" w:asciiTheme="minorEastAsia" w:hAnsiTheme="minorEastAsia"/>
                <w:color w:val="000000"/>
                <w:sz w:val="24"/>
                <w:szCs w:val="24"/>
              </w:rPr>
              <w:t xml:space="preserve">单路电源最低功率因数</w:t>
            </w:r>
            <w:r>
              <w:rPr>
                <w:rFonts w:cs="Times New Roman" w:asciiTheme="minorEastAsia" w:hAnsiTheme="minorEastAsia"/>
                <w:color w:val="000000"/>
                <w:sz w:val="24"/>
                <w:szCs w:val="24"/>
              </w:rPr>
              <w:t xml:space="preserve">(50%</w:t>
            </w:r>
            <w:r>
              <w:rPr>
                <w:rFonts w:hint="eastAsia" w:cs="Times New Roman" w:asciiTheme="minorEastAsia" w:hAnsiTheme="minorEastAsia"/>
                <w:color w:val="000000"/>
                <w:sz w:val="24"/>
                <w:szCs w:val="24"/>
              </w:rPr>
              <w:t xml:space="preserve">负载下的</w:t>
            </w:r>
            <w:r>
              <w:rPr>
                <w:rFonts w:cs="Times New Roman" w:asciiTheme="minorEastAsia" w:hAnsiTheme="minorEastAsia"/>
                <w:color w:val="000000"/>
                <w:sz w:val="24"/>
                <w:szCs w:val="24"/>
              </w:rPr>
              <w:t xml:space="preserve">)</w:t>
            </w:r>
            <w:r/>
          </w:p>
        </w:tc>
        <w:tc>
          <w:tcPr>
            <w:shd w:val="clear" w:color="auto" w:fill="auto"/>
            <w:tcW w:w="2310" w:type="dxa"/>
            <w:vAlign w:val="center"/>
            <w:textDirection w:val="lrTb"/>
            <w:noWrap w:val="false"/>
          </w:tcPr>
          <w:p>
            <w:pPr>
              <w:ind w:right="153"/>
              <w:jc w:val="center"/>
              <w:spacing w:line="400" w:lineRule="atLeas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0.90</w:t>
            </w:r>
            <w:r/>
          </w:p>
        </w:tc>
      </w:tr>
      <w:tr>
        <w:trPr/>
        <w:tc>
          <w:tcPr>
            <w:shd w:val="clear" w:color="auto" w:fill="auto"/>
            <w:tcW w:w="993" w:type="dxa"/>
            <w:vAlign w:val="center"/>
            <w:vMerge w:val="restart"/>
            <w:textDirection w:val="lrTb"/>
            <w:noWrap w:val="false"/>
          </w:tcPr>
          <w:p>
            <w:pPr>
              <w:jc w:val="center"/>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4</w:t>
            </w:r>
            <w:r/>
          </w:p>
        </w:tc>
        <w:tc>
          <w:tcPr>
            <w:shd w:val="clear" w:color="auto" w:fill="auto"/>
            <w:tcW w:w="1701" w:type="dxa"/>
            <w:vAlign w:val="center"/>
            <w:vMerge w:val="restart"/>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多路电源输出效率</w:t>
            </w:r>
            <w:r/>
          </w:p>
        </w:tc>
        <w:tc>
          <w:tcPr>
            <w:shd w:val="clear" w:color="auto" w:fill="auto"/>
            <w:tcW w:w="3359" w:type="dxa"/>
            <w:vAlign w:val="center"/>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20%</w:t>
            </w:r>
            <w:r>
              <w:rPr>
                <w:rFonts w:hint="eastAsia" w:cs="Times New Roman" w:asciiTheme="minorEastAsia" w:hAnsiTheme="minorEastAsia"/>
                <w:color w:val="000000"/>
                <w:sz w:val="24"/>
                <w:szCs w:val="24"/>
              </w:rPr>
              <w:t xml:space="preserve">负载</w:t>
            </w:r>
            <w:r/>
          </w:p>
        </w:tc>
        <w:tc>
          <w:tcPr>
            <w:shd w:val="clear" w:color="auto" w:fill="auto"/>
            <w:tcW w:w="2310" w:type="dxa"/>
            <w:vAlign w:val="center"/>
            <w:textDirection w:val="lrTb"/>
            <w:noWrap w:val="false"/>
          </w:tcPr>
          <w:p>
            <w:pPr>
              <w:ind w:right="153"/>
              <w:jc w:val="center"/>
              <w:spacing w:line="400" w:lineRule="atLeas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85%</w:t>
            </w:r>
            <w:r/>
          </w:p>
        </w:tc>
      </w:tr>
      <w:tr>
        <w:trPr/>
        <w:tc>
          <w:tcPr>
            <w:shd w:val="clear" w:color="auto" w:fill="auto"/>
            <w:tcW w:w="993" w:type="dxa"/>
            <w:vAlign w:val="center"/>
            <w:vMerge w:val="continue"/>
            <w:textDirection w:val="lrTb"/>
            <w:noWrap w:val="false"/>
          </w:tcPr>
          <w:p>
            <w:pPr>
              <w:jc w:val="center"/>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3359" w:type="dxa"/>
            <w:vAlign w:val="center"/>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50%</w:t>
            </w:r>
            <w:r>
              <w:rPr>
                <w:rFonts w:hint="eastAsia" w:cs="Times New Roman" w:asciiTheme="minorEastAsia" w:hAnsiTheme="minorEastAsia"/>
                <w:color w:val="000000"/>
                <w:sz w:val="24"/>
                <w:szCs w:val="24"/>
              </w:rPr>
              <w:t xml:space="preserve">负载</w:t>
            </w:r>
            <w:r/>
          </w:p>
        </w:tc>
        <w:tc>
          <w:tcPr>
            <w:shd w:val="clear" w:color="auto" w:fill="auto"/>
            <w:tcW w:w="2310" w:type="dxa"/>
            <w:vAlign w:val="center"/>
            <w:textDirection w:val="lrTb"/>
            <w:noWrap w:val="false"/>
          </w:tcPr>
          <w:p>
            <w:pPr>
              <w:ind w:right="153"/>
              <w:jc w:val="center"/>
              <w:spacing w:line="400" w:lineRule="atLeas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89%</w:t>
            </w:r>
            <w:r/>
          </w:p>
        </w:tc>
      </w:tr>
      <w:tr>
        <w:trPr/>
        <w:tc>
          <w:tcPr>
            <w:shd w:val="clear" w:color="auto" w:fill="auto"/>
            <w:tcW w:w="993" w:type="dxa"/>
            <w:vAlign w:val="center"/>
            <w:vMerge w:val="continue"/>
            <w:textDirection w:val="lrTb"/>
            <w:noWrap w:val="false"/>
          </w:tcPr>
          <w:p>
            <w:pPr>
              <w:jc w:val="center"/>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3359" w:type="dxa"/>
            <w:vAlign w:val="center"/>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100%</w:t>
            </w:r>
            <w:r>
              <w:rPr>
                <w:rFonts w:hint="eastAsia" w:cs="Times New Roman" w:asciiTheme="minorEastAsia" w:hAnsiTheme="minorEastAsia"/>
                <w:color w:val="000000"/>
                <w:sz w:val="24"/>
                <w:szCs w:val="24"/>
              </w:rPr>
              <w:t xml:space="preserve">负载</w:t>
            </w:r>
            <w:r/>
          </w:p>
        </w:tc>
        <w:tc>
          <w:tcPr>
            <w:shd w:val="clear" w:color="auto" w:fill="auto"/>
            <w:tcW w:w="2310" w:type="dxa"/>
            <w:vAlign w:val="center"/>
            <w:textDirection w:val="lrTb"/>
            <w:noWrap w:val="false"/>
          </w:tcPr>
          <w:p>
            <w:pPr>
              <w:ind w:right="153"/>
              <w:jc w:val="center"/>
              <w:spacing w:line="400" w:lineRule="atLeas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85%</w:t>
            </w:r>
            <w:r/>
          </w:p>
        </w:tc>
      </w:tr>
      <w:tr>
        <w:trPr/>
        <w:tc>
          <w:tcPr>
            <w:shd w:val="clear" w:color="auto" w:fill="auto"/>
            <w:tcW w:w="993" w:type="dxa"/>
            <w:vAlign w:val="center"/>
            <w:textDirection w:val="lrTb"/>
            <w:noWrap w:val="false"/>
          </w:tcPr>
          <w:p>
            <w:pPr>
              <w:jc w:val="center"/>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5</w:t>
            </w:r>
            <w:r/>
          </w:p>
        </w:tc>
        <w:tc>
          <w:tcPr>
            <w:gridSpan w:val="2"/>
            <w:shd w:val="clear" w:color="auto" w:fill="auto"/>
            <w:tcW w:w="5060" w:type="dxa"/>
            <w:vAlign w:val="center"/>
            <w:textDirection w:val="lrTb"/>
            <w:noWrap w:val="false"/>
          </w:tcPr>
          <w:p>
            <w:pPr>
              <w:ind w:right="153"/>
              <w:jc w:val="left"/>
              <w:spacing w:line="400" w:lineRule="atLeast"/>
              <w:widowControl/>
              <w:rPr>
                <w:rFonts w:cs="宋体" w:asciiTheme="minorEastAsia" w:hAnsiTheme="minorEastAsia"/>
                <w:color w:val="000000"/>
                <w:sz w:val="24"/>
                <w:szCs w:val="24"/>
              </w:rPr>
            </w:pPr>
            <w:r>
              <w:rPr>
                <w:rFonts w:hint="eastAsia" w:cs="Times New Roman" w:asciiTheme="minorEastAsia" w:hAnsiTheme="minorEastAsia"/>
                <w:color w:val="000000"/>
                <w:sz w:val="24"/>
                <w:szCs w:val="24"/>
              </w:rPr>
              <w:t xml:space="preserve">多路电源最低功率因数</w:t>
            </w:r>
            <w:r>
              <w:rPr>
                <w:rFonts w:cs="Times New Roman" w:asciiTheme="minorEastAsia" w:hAnsiTheme="minorEastAsia"/>
                <w:color w:val="000000"/>
                <w:sz w:val="24"/>
                <w:szCs w:val="24"/>
              </w:rPr>
              <w:t xml:space="preserve">(50%</w:t>
            </w:r>
            <w:r>
              <w:rPr>
                <w:rFonts w:hint="eastAsia" w:cs="Times New Roman" w:asciiTheme="minorEastAsia" w:hAnsiTheme="minorEastAsia"/>
                <w:color w:val="000000"/>
                <w:sz w:val="24"/>
                <w:szCs w:val="24"/>
              </w:rPr>
              <w:t xml:space="preserve">负载下的</w:t>
            </w:r>
            <w:r>
              <w:rPr>
                <w:rFonts w:cs="Times New Roman" w:asciiTheme="minorEastAsia" w:hAnsiTheme="minorEastAsia"/>
                <w:color w:val="000000"/>
                <w:sz w:val="24"/>
                <w:szCs w:val="24"/>
              </w:rPr>
              <w:t xml:space="preserve">)</w:t>
            </w:r>
            <w:r/>
          </w:p>
        </w:tc>
        <w:tc>
          <w:tcPr>
            <w:shd w:val="clear" w:color="auto" w:fill="auto"/>
            <w:tcW w:w="2310" w:type="dxa"/>
            <w:vAlign w:val="center"/>
            <w:textDirection w:val="lrTb"/>
            <w:noWrap w:val="false"/>
          </w:tcPr>
          <w:p>
            <w:pPr>
              <w:ind w:right="153"/>
              <w:jc w:val="center"/>
              <w:spacing w:line="400" w:lineRule="atLeas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0.90</w:t>
            </w:r>
            <w:r/>
          </w:p>
        </w:tc>
      </w:tr>
      <w:tr>
        <w:trPr/>
        <w:tc>
          <w:tcPr>
            <w:shd w:val="clear" w:color="auto" w:fill="auto"/>
            <w:tcW w:w="993" w:type="dxa"/>
            <w:vAlign w:val="center"/>
            <w:vMerge w:val="restart"/>
            <w:textDirection w:val="lrTb"/>
            <w:noWrap w:val="false"/>
          </w:tcPr>
          <w:p>
            <w:pPr>
              <w:jc w:val="center"/>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6</w:t>
            </w:r>
            <w:r/>
          </w:p>
        </w:tc>
        <w:tc>
          <w:tcPr>
            <w:shd w:val="clear" w:color="auto" w:fill="auto"/>
            <w:tcW w:w="1701" w:type="dxa"/>
            <w:vAlign w:val="center"/>
            <w:vMerge w:val="restart"/>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噪声发射</w:t>
            </w:r>
            <w:r/>
          </w:p>
        </w:tc>
        <w:tc>
          <w:tcPr>
            <w:shd w:val="clear" w:color="auto" w:fill="auto"/>
            <w:tcW w:w="3359" w:type="dxa"/>
            <w:vAlign w:val="center"/>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有人值守</w:t>
            </w:r>
            <w:r/>
          </w:p>
        </w:tc>
        <w:tc>
          <w:tcPr>
            <w:shd w:val="clear" w:color="auto" w:fill="auto"/>
            <w:tcW w:w="2310" w:type="dxa"/>
            <w:vAlign w:val="center"/>
            <w:textDirection w:val="lrTb"/>
            <w:noWrap w:val="false"/>
          </w:tcPr>
          <w:p>
            <w:pPr>
              <w:ind w:right="153"/>
              <w:jc w:val="center"/>
              <w:spacing w:line="400" w:lineRule="atLeast"/>
              <w:widowControl/>
              <w:rPr>
                <w:rFonts w:cs="Times New Roman"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7.6 Bels</w:t>
            </w:r>
            <w:r/>
          </w:p>
        </w:tc>
      </w:tr>
      <w:tr>
        <w:trPr/>
        <w:tc>
          <w:tcPr>
            <w:shd w:val="clear" w:color="auto" w:fill="auto"/>
            <w:tcW w:w="993" w:type="dxa"/>
            <w:vAlign w:val="center"/>
            <w:vMerge w:val="continue"/>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3359" w:type="dxa"/>
            <w:vAlign w:val="center"/>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无人值守</w:t>
            </w:r>
            <w:r/>
          </w:p>
        </w:tc>
        <w:tc>
          <w:tcPr>
            <w:shd w:val="clear" w:color="auto" w:fill="auto"/>
            <w:tcW w:w="2310" w:type="dxa"/>
            <w:vAlign w:val="center"/>
            <w:textDirection w:val="lrTb"/>
            <w:noWrap w:val="false"/>
          </w:tcPr>
          <w:p>
            <w:pPr>
              <w:ind w:right="153"/>
              <w:jc w:val="center"/>
              <w:spacing w:line="400" w:lineRule="atLeast"/>
              <w:widowControl/>
              <w:rPr>
                <w:rFonts w:cs="Times New Roman"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8.1 Bels</w:t>
            </w:r>
            <w:r/>
          </w:p>
        </w:tc>
      </w:tr>
    </w:tbl>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信息设备的不间断电源(UPS)能效应符合GB/T 14715中一级。 </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电源分配单元（PDU） 每个可用电源插座(电源插座或连接端子)的功率不应大于0.5 W。</w:t>
      </w:r>
      <w:r/>
    </w:p>
    <w:p>
      <w:pPr>
        <w:ind w:firstLine="562"/>
        <w:jc w:val="left"/>
        <w:spacing w:line="360" w:lineRule="auto"/>
        <w:rPr>
          <w:rFonts w:ascii="宋体" w:hAnsi="宋体" w:eastAsia="宋体" w:cs="宋体"/>
          <w:sz w:val="24"/>
          <w:szCs w:val="24"/>
        </w:rPr>
      </w:pPr>
      <w:r>
        <w:rPr>
          <w:rFonts w:hint="eastAsia" w:ascii="宋体" w:hAnsi="宋体" w:eastAsia="宋体" w:cs="宋体"/>
          <w:sz w:val="24"/>
          <w:szCs w:val="24"/>
        </w:rPr>
        <w:t xml:space="preserve">4.敷设在隐蔽通风空间的配电线路电缆应满足的要求。</w:t>
      </w:r>
      <w:r/>
    </w:p>
    <w:tbl>
      <w:tblPr>
        <w:tblStyle w:val="851"/>
        <w:tblW w:w="0" w:type="auto"/>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1464"/>
        <w:gridCol w:w="3189"/>
        <w:gridCol w:w="2791"/>
      </w:tblGrid>
      <w:tr>
        <w:trPr/>
        <w:tc>
          <w:tcPr>
            <w:shd w:val="clear" w:color="auto" w:fill="auto"/>
            <w:tcW w:w="1065" w:type="dxa"/>
            <w:textDirection w:val="lrTb"/>
            <w:noWrap w:val="false"/>
          </w:tcPr>
          <w:p>
            <w:pPr>
              <w:jc w:val="center"/>
              <w:spacing w:line="360" w:lineRule="auto"/>
              <w:rPr>
                <w:rFonts w:asciiTheme="minorEastAsia" w:hAnsiTheme="minorEastAsia" w:cstheme="minorEastAsia"/>
                <w:b/>
                <w:bCs/>
                <w:color w:val="000000" w:themeColor="text1"/>
                <w:sz w:val="24"/>
                <w:szCs w:val="24"/>
              </w:rPr>
            </w:pPr>
            <w:r>
              <w:rPr>
                <w:rFonts w:hint="eastAsia" w:asciiTheme="minorEastAsia" w:hAnsiTheme="minorEastAsia" w:cstheme="minorEastAsia"/>
                <w:b/>
                <w:bCs/>
                <w:color w:val="000000" w:themeColor="text1"/>
                <w:sz w:val="24"/>
                <w:szCs w:val="24"/>
              </w:rPr>
              <w:t xml:space="preserve">序号</w:t>
            </w:r>
            <w:r/>
          </w:p>
        </w:tc>
        <w:tc>
          <w:tcPr>
            <w:shd w:val="clear" w:color="auto" w:fill="auto"/>
            <w:tcW w:w="1655" w:type="dxa"/>
            <w:textDirection w:val="lrTb"/>
            <w:noWrap w:val="false"/>
          </w:tcPr>
          <w:p>
            <w:pPr>
              <w:jc w:val="center"/>
              <w:spacing w:line="360" w:lineRule="auto"/>
              <w:rPr>
                <w:rFonts w:asciiTheme="minorEastAsia" w:hAnsiTheme="minorEastAsia" w:cstheme="minorEastAsia"/>
                <w:b/>
                <w:bCs/>
                <w:color w:val="000000" w:themeColor="text1"/>
                <w:sz w:val="24"/>
                <w:szCs w:val="24"/>
              </w:rPr>
            </w:pPr>
            <w:r>
              <w:rPr>
                <w:rFonts w:hint="eastAsia" w:asciiTheme="minorEastAsia" w:hAnsiTheme="minorEastAsia" w:cstheme="minorEastAsia"/>
                <w:b/>
                <w:bCs/>
                <w:color w:val="000000" w:themeColor="text1"/>
                <w:sz w:val="24"/>
                <w:szCs w:val="24"/>
              </w:rPr>
              <w:t xml:space="preserve">指标</w:t>
            </w:r>
            <w:r/>
          </w:p>
        </w:tc>
        <w:tc>
          <w:tcPr>
            <w:shd w:val="clear" w:color="auto" w:fill="auto"/>
            <w:tcW w:w="3685" w:type="dxa"/>
            <w:textDirection w:val="lrTb"/>
            <w:noWrap w:val="false"/>
          </w:tcPr>
          <w:p>
            <w:pPr>
              <w:jc w:val="center"/>
              <w:spacing w:line="360" w:lineRule="auto"/>
              <w:rPr>
                <w:rFonts w:asciiTheme="minorEastAsia" w:hAnsiTheme="minorEastAsia" w:cstheme="minorEastAsia"/>
                <w:b/>
                <w:bCs/>
                <w:color w:val="000000" w:themeColor="text1"/>
                <w:sz w:val="24"/>
                <w:szCs w:val="24"/>
              </w:rPr>
            </w:pPr>
            <w:r>
              <w:rPr>
                <w:rFonts w:hint="eastAsia" w:asciiTheme="minorEastAsia" w:hAnsiTheme="minorEastAsia" w:cstheme="minorEastAsia"/>
                <w:b/>
                <w:bCs/>
                <w:color w:val="000000" w:themeColor="text1"/>
                <w:sz w:val="24"/>
                <w:szCs w:val="24"/>
              </w:rPr>
              <w:t xml:space="preserve">限制值</w:t>
            </w:r>
            <w:r/>
          </w:p>
        </w:tc>
        <w:tc>
          <w:tcPr>
            <w:shd w:val="clear" w:color="auto" w:fill="auto"/>
            <w:tcW w:w="3120" w:type="dxa"/>
            <w:textDirection w:val="lrTb"/>
            <w:noWrap w:val="false"/>
          </w:tcPr>
          <w:p>
            <w:pPr>
              <w:jc w:val="center"/>
              <w:spacing w:line="360" w:lineRule="auto"/>
              <w:rPr>
                <w:rFonts w:asciiTheme="minorEastAsia" w:hAnsiTheme="minorEastAsia" w:cstheme="minorEastAsia"/>
                <w:b/>
                <w:bCs/>
                <w:color w:val="000000" w:themeColor="text1"/>
                <w:sz w:val="24"/>
                <w:szCs w:val="24"/>
              </w:rPr>
            </w:pPr>
            <w:r>
              <w:rPr>
                <w:rFonts w:hint="eastAsia" w:asciiTheme="minorEastAsia" w:hAnsiTheme="minorEastAsia" w:cstheme="minorEastAsia"/>
                <w:b/>
                <w:bCs/>
                <w:color w:val="000000" w:themeColor="text1"/>
                <w:sz w:val="24"/>
                <w:szCs w:val="24"/>
              </w:rPr>
              <w:t xml:space="preserve">判定依据/方法</w:t>
            </w:r>
            <w:r/>
          </w:p>
        </w:tc>
      </w:tr>
      <w:tr>
        <w:trPr/>
        <w:tc>
          <w:tcPr>
            <w:shd w:val="clear" w:color="auto" w:fill="auto"/>
            <w:tcW w:w="1065" w:type="dxa"/>
            <w:textDirection w:val="lrTb"/>
            <w:noWrap w:val="false"/>
          </w:tcPr>
          <w:p>
            <w:pPr>
              <w:jc w:val="center"/>
              <w:spacing w:line="360" w:lineRule="auto"/>
              <w:rPr>
                <w:rFonts w:asciiTheme="minorEastAsia" w:hAnsiTheme="minorEastAsia" w:cstheme="minorEastAsia"/>
                <w:color w:val="000000" w:themeColor="text1"/>
                <w:sz w:val="24"/>
                <w:szCs w:val="24"/>
              </w:rPr>
            </w:pPr>
            <w:r>
              <w:rPr>
                <w:rFonts w:hint="eastAsia" w:asciiTheme="minorEastAsia" w:hAnsiTheme="minorEastAsia" w:cstheme="minorEastAsia"/>
                <w:color w:val="000000" w:themeColor="text1"/>
                <w:sz w:val="24"/>
                <w:szCs w:val="24"/>
              </w:rPr>
              <w:t xml:space="preserve">1</w:t>
            </w:r>
            <w:r/>
          </w:p>
        </w:tc>
        <w:tc>
          <w:tcPr>
            <w:shd w:val="clear" w:color="auto" w:fill="auto"/>
            <w:tcW w:w="1655" w:type="dxa"/>
            <w:textDirection w:val="lrTb"/>
            <w:noWrap w:val="false"/>
          </w:tcPr>
          <w:p>
            <w:pPr>
              <w:spacing w:line="360" w:lineRule="auto"/>
              <w:rPr>
                <w:rFonts w:asciiTheme="minorEastAsia" w:hAnsiTheme="minorEastAsia" w:cstheme="minorEastAsia"/>
                <w:color w:val="000000" w:themeColor="text1"/>
                <w:sz w:val="24"/>
                <w:szCs w:val="24"/>
              </w:rPr>
            </w:pPr>
            <w:r>
              <w:rPr>
                <w:rFonts w:hint="eastAsia" w:asciiTheme="minorEastAsia" w:hAnsiTheme="minorEastAsia" w:cstheme="minorEastAsia"/>
                <w:color w:val="000000" w:themeColor="text1"/>
                <w:sz w:val="24"/>
                <w:szCs w:val="24"/>
              </w:rPr>
              <w:t xml:space="preserve">产品燃烧产生烟气</w:t>
            </w:r>
            <w:r/>
          </w:p>
        </w:tc>
        <w:tc>
          <w:tcPr>
            <w:shd w:val="clear" w:color="auto" w:fill="auto"/>
            <w:tcW w:w="3685" w:type="dxa"/>
            <w:textDirection w:val="lrTb"/>
            <w:noWrap w:val="false"/>
          </w:tcPr>
          <w:p>
            <w:pPr>
              <w:spacing w:line="360" w:lineRule="auto"/>
              <w:rPr>
                <w:rFonts w:asciiTheme="minorEastAsia" w:hAnsiTheme="minorEastAsia" w:cstheme="minorEastAsia"/>
                <w:color w:val="000000" w:themeColor="text1"/>
                <w:sz w:val="24"/>
                <w:szCs w:val="24"/>
              </w:rPr>
            </w:pPr>
            <w:r>
              <w:rPr>
                <w:rFonts w:hint="eastAsia" w:asciiTheme="minorEastAsia" w:hAnsiTheme="minorEastAsia" w:cstheme="minorEastAsia"/>
                <w:color w:val="000000" w:themeColor="text1"/>
                <w:sz w:val="24"/>
                <w:szCs w:val="24"/>
              </w:rPr>
              <w:t xml:space="preserve">烟气最小透光率不得小于 60% </w:t>
            </w:r>
            <w:r/>
          </w:p>
        </w:tc>
        <w:tc>
          <w:tcPr>
            <w:shd w:val="clear" w:color="auto" w:fill="auto"/>
            <w:tcW w:w="3120" w:type="dxa"/>
            <w:textDirection w:val="lrTb"/>
            <w:noWrap w:val="false"/>
          </w:tcPr>
          <w:p>
            <w:pPr>
              <w:spacing w:line="360" w:lineRule="auto"/>
              <w:rPr>
                <w:rFonts w:asciiTheme="minorEastAsia" w:hAnsiTheme="minorEastAsia" w:cstheme="minorEastAsia"/>
                <w:color w:val="000000" w:themeColor="text1"/>
                <w:sz w:val="24"/>
                <w:szCs w:val="24"/>
              </w:rPr>
            </w:pPr>
            <w:r>
              <w:rPr>
                <w:rFonts w:hint="eastAsia" w:asciiTheme="minorEastAsia" w:hAnsiTheme="minorEastAsia" w:cstheme="minorEastAsia"/>
                <w:color w:val="000000" w:themeColor="text1"/>
                <w:sz w:val="24"/>
                <w:szCs w:val="24"/>
              </w:rPr>
              <w:t xml:space="preserve">测试方法按照GB/T 17651.2要求执行</w:t>
            </w:r>
            <w:r/>
          </w:p>
        </w:tc>
      </w:tr>
    </w:tbl>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十、维护服务要求</w:t>
      </w:r>
      <w:r/>
    </w:p>
    <w:p>
      <w:pPr>
        <w:ind w:firstLine="482"/>
        <w:spacing w:line="360" w:lineRule="auto"/>
        <w:rPr>
          <w:rFonts w:asciiTheme="minorEastAsia" w:hAnsiTheme="minorEastAsia" w:cstheme="minorEastAsia"/>
          <w:b/>
          <w:bCs/>
          <w:color w:val="000000"/>
          <w:sz w:val="24"/>
          <w:szCs w:val="24"/>
        </w:rPr>
      </w:pPr>
      <w:r>
        <w:rPr>
          <w:rFonts w:hint="eastAsia" w:asciiTheme="minorEastAsia" w:hAnsiTheme="minorEastAsia" w:cstheme="minorEastAsia"/>
          <w:b/>
          <w:bCs/>
          <w:color w:val="000000"/>
          <w:sz w:val="24"/>
          <w:szCs w:val="24"/>
        </w:rPr>
        <w:t xml:space="preserve">1.设备质保期</w:t>
      </w:r>
      <w:r/>
    </w:p>
    <w:p>
      <w:pPr>
        <w:ind w:firstLine="482"/>
        <w:spacing w:line="360" w:lineRule="auto"/>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验收合格之日起，硬件质保期不少于 3 年、软件质保期不少于 2 年、整体运维服务期限不少于3年。本项目全部设备，包括精密空调、UPS、蓄电池、机柜、网络交换机、运维堡垒机、外网虚拟化资源池硬件及软件、云桌面一体机、云接入终端、院区光缆链路等全部纳入统一运维保障范围。</w:t>
      </w:r>
      <w:r/>
    </w:p>
    <w:p>
      <w:pPr>
        <w:ind w:firstLine="480"/>
        <w:jc w:val="left"/>
        <w:spacing w:line="360" w:lineRule="auto"/>
        <w:rPr>
          <w:rFonts w:asciiTheme="minorEastAsia" w:hAnsiTheme="minorEastAsia" w:cstheme="minorEastAsia"/>
          <w:b/>
          <w:bCs/>
          <w:color w:val="000000"/>
          <w:sz w:val="24"/>
          <w:szCs w:val="24"/>
        </w:rPr>
      </w:pPr>
      <w:r>
        <w:rPr>
          <w:rFonts w:hint="eastAsia" w:asciiTheme="minorEastAsia" w:hAnsiTheme="minorEastAsia" w:cstheme="minorEastAsia"/>
          <w:b/>
          <w:bCs/>
          <w:color w:val="000000"/>
          <w:sz w:val="24"/>
          <w:szCs w:val="24"/>
        </w:rPr>
        <w:t xml:space="preserve">2.运维信息技术服务流程规范化</w:t>
      </w:r>
      <w:r/>
    </w:p>
    <w:p>
      <w:pPr>
        <w:ind w:firstLine="480"/>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质保期内提供 7×24 小时技术支持服务，建立专项运维台账，完整记录故障现象、处置过程、处理结果及巡检记录，定期向采购人提交运维服务报告。接到故障报修后 15 分钟内远程响应，远程无法处置的 1 小时内到达采购人现场开展故障排查修复；硬件发生故障优先采用原厂备件维修更换，若故障设备 7 个工作日内无法修复完成，须提供同档次备用设备供采购人临时使用，直至故障设备维修完毕取回，无法修复则免费更换同档次全新设备，未按上述要求履约的，每发生一次对应系统质保期顺延 30 日历天。</w:t>
      </w:r>
      <w:r/>
    </w:p>
    <w:p>
      <w:pPr>
        <w:ind w:firstLine="48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3.信息业务连续性运维管理</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t xml:space="preserve">本项目承载医院移动办公业务，存在机房断电、平台故障等业务中断风险；该体系用于评价投标人业务中断应急处置、灾难恢复、业务连续性保障能力，与 UPS</w:t>
      </w:r>
      <w:r>
        <w:rPr>
          <w:rFonts w:ascii="宋体" w:hAnsi="宋体" w:eastAsia="宋体" w:cs="宋体"/>
          <w:sz w:val="24"/>
          <w:szCs w:val="24"/>
        </w:rPr>
        <w:noBreakHyphen/>
      </w:r>
      <w:r>
        <w:rPr>
          <w:rFonts w:ascii="宋体" w:hAnsi="宋体" w:eastAsia="宋体" w:cs="宋体"/>
          <w:sz w:val="24"/>
          <w:szCs w:val="24"/>
        </w:rPr>
        <w:t xml:space="preserve">虚拟化断电联动、重大故障应急处置业务场景直接相关</w:t>
      </w:r>
      <w:r>
        <w:rPr>
          <w:rFonts w:hint="eastAsia" w:ascii="宋体" w:hAnsi="宋体" w:eastAsia="宋体" w:cs="宋体"/>
          <w:sz w:val="24"/>
          <w:szCs w:val="24"/>
        </w:rPr>
        <w:t xml:space="preserve">，同时质保售后运维期间，提供</w:t>
      </w:r>
      <w:r>
        <w:rPr>
          <w:rFonts w:hint="eastAsia" w:ascii="Times New Roman" w:hAnsi="Times New Roman"/>
          <w:sz w:val="24"/>
          <w:szCs w:val="24"/>
        </w:rPr>
        <w:t xml:space="preserve">网络安全优化服务，外网安全设备逻辑位置调整和复用，网络和安全策略和架构调优、安全防护能力提升</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4.</w:t>
      </w:r>
      <w:r>
        <w:rPr>
          <w:rFonts w:ascii="宋体" w:hAnsi="宋体" w:eastAsia="宋体" w:cs="宋体"/>
          <w:b/>
          <w:bCs/>
          <w:sz w:val="24"/>
          <w:szCs w:val="24"/>
        </w:rPr>
        <w:t xml:space="preserve">信息系统安全运维</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t xml:space="preserve">本项目包含堡垒机安全审计、虚拟化安全防护、云桌面访问安全管控、系统安全运维工作；资质体现投标人信息安全运维服务实施能力，匹配本项目网络安全优化、安全策略调优、安全审计运维需求</w:t>
      </w:r>
      <w:r>
        <w:rPr>
          <w:rFonts w:hint="eastAsia" w:ascii="宋体" w:hAnsi="宋体" w:eastAsia="宋体" w:cs="宋体"/>
          <w:sz w:val="24"/>
          <w:szCs w:val="24"/>
        </w:rPr>
        <w:t xml:space="preserve">。</w:t>
      </w:r>
      <w:r/>
    </w:p>
    <w:p>
      <w:pPr>
        <w:ind w:firstLine="480"/>
        <w:jc w:val="left"/>
        <w:spacing w:line="360" w:lineRule="auto"/>
        <w:rPr>
          <w:rFonts w:ascii="Times New Roman" w:hAnsi="Times New Roman"/>
          <w:b/>
          <w:bCs/>
          <w:color w:val="000000"/>
          <w:sz w:val="24"/>
          <w:szCs w:val="24"/>
        </w:rPr>
      </w:pPr>
      <w:r>
        <w:rPr>
          <w:rFonts w:hint="eastAsia" w:ascii="Times New Roman" w:hAnsi="Times New Roman"/>
          <w:b/>
          <w:bCs/>
          <w:color w:val="000000"/>
          <w:sz w:val="24"/>
          <w:szCs w:val="24"/>
        </w:rPr>
        <w:t xml:space="preserve">5.隐私性运维服务</w:t>
      </w:r>
      <w:r/>
    </w:p>
    <w:p>
      <w:pPr>
        <w:ind w:firstLine="480"/>
        <w:jc w:val="left"/>
        <w:spacing w:line="360" w:lineRule="auto"/>
        <w:rPr>
          <w:rFonts w:ascii="宋体" w:hAnsi="宋体" w:eastAsia="宋体" w:cs="宋体"/>
          <w:sz w:val="24"/>
          <w:szCs w:val="24"/>
        </w:rPr>
      </w:pPr>
      <w:r>
        <w:rPr>
          <w:rFonts w:hint="eastAsia" w:ascii="Times New Roman" w:hAnsi="Times New Roman"/>
          <w:color w:val="000000"/>
          <w:sz w:val="24"/>
          <w:szCs w:val="24"/>
        </w:rPr>
        <w:t xml:space="preserve">运维服务全过程中，运维人员对接触到的医院业务数据、患者隐私信息、网络拓扑、账号密码、机房资料承担保密义务，严禁复制、外传、泄露相关敏感信息。</w:t>
      </w:r>
      <w:r/>
    </w:p>
    <w:p>
      <w:pPr>
        <w:ind w:firstLine="480"/>
        <w:jc w:val="left"/>
        <w:spacing w:line="360" w:lineRule="auto"/>
        <w:rPr>
          <w:rFonts w:asciiTheme="minorEastAsia" w:hAnsiTheme="minorEastAsia" w:cstheme="minorEastAsia"/>
          <w:b/>
          <w:bCs/>
          <w:color w:val="000000"/>
          <w:sz w:val="24"/>
          <w:szCs w:val="24"/>
        </w:rPr>
      </w:pPr>
      <w:r>
        <w:rPr>
          <w:rFonts w:hint="eastAsia" w:asciiTheme="minorEastAsia" w:hAnsiTheme="minorEastAsia" w:cstheme="minorEastAsia"/>
          <w:b/>
          <w:bCs/>
          <w:color w:val="000000"/>
          <w:sz w:val="24"/>
          <w:szCs w:val="24"/>
        </w:rPr>
        <w:t xml:space="preserve">6.应急预案处置服务</w:t>
      </w:r>
      <w:r/>
    </w:p>
    <w:p>
      <w:pPr>
        <w:ind w:firstLine="480"/>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针对机房供电制冷、虚拟化平台、云桌面、网络链路等引发业务影响的重大故障须立即启动应急预案，优先保障医院核心业务恢复，事后提交故障分析报告，明确故障原因、处置过程及整改预防措施。</w:t>
      </w:r>
      <w:r/>
    </w:p>
    <w:p>
      <w:pPr>
        <w:ind w:firstLine="480"/>
        <w:jc w:val="left"/>
        <w:spacing w:line="360" w:lineRule="auto"/>
        <w:rPr>
          <w:rFonts w:ascii="Times New Roman" w:hAnsi="Times New Roman"/>
          <w:b/>
          <w:bCs/>
          <w:color w:val="000000"/>
          <w:sz w:val="24"/>
          <w:szCs w:val="24"/>
        </w:rPr>
      </w:pPr>
      <w:r>
        <w:rPr>
          <w:rFonts w:hint="eastAsia" w:ascii="宋体" w:hAnsi="宋体" w:eastAsia="宋体" w:cs="宋体"/>
          <w:b/>
          <w:bCs/>
          <w:sz w:val="24"/>
          <w:szCs w:val="24"/>
        </w:rPr>
        <w:t xml:space="preserve">7.</w:t>
      </w:r>
      <w:r>
        <w:rPr>
          <w:rFonts w:ascii="宋体" w:hAnsi="宋体" w:eastAsia="宋体" w:cs="宋体"/>
          <w:b/>
          <w:bCs/>
          <w:sz w:val="24"/>
          <w:szCs w:val="24"/>
        </w:rPr>
        <w:t xml:space="preserve">信息技术服务标准符合性</w:t>
      </w:r>
      <w:r>
        <w:rPr>
          <w:rFonts w:hint="eastAsia" w:ascii="Times New Roman" w:hAnsi="Times New Roman"/>
          <w:b/>
          <w:bCs/>
          <w:color w:val="000000"/>
          <w:sz w:val="24"/>
          <w:szCs w:val="24"/>
        </w:rPr>
        <w:t xml:space="preserve">服务</w:t>
      </w:r>
      <w:r/>
    </w:p>
    <w:p>
      <w:pPr>
        <w:ind w:firstLine="480"/>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中标人须配合采购人开展业务迁移、等保测评、应急演练、备份有效性核查等工作，提供技术咨询与配置指导；设置固定专项运维对接人，人员更换需提前书面告知采购人，运维过程形成的巡检报告、故障处置、优化调整记录完整移交采购人归档。</w:t>
      </w:r>
      <w:r/>
    </w:p>
    <w:p>
      <w:pPr>
        <w:ind w:firstLine="480"/>
        <w:jc w:val="left"/>
        <w:spacing w:line="360" w:lineRule="auto"/>
        <w:rPr>
          <w:rFonts w:ascii="Times New Roman" w:hAnsi="Times New Roman"/>
          <w:b/>
          <w:bCs/>
          <w:color w:val="000000"/>
          <w:sz w:val="24"/>
          <w:szCs w:val="24"/>
        </w:rPr>
      </w:pPr>
      <w:r>
        <w:rPr>
          <w:rFonts w:hint="eastAsia" w:ascii="Times New Roman" w:hAnsi="Times New Roman"/>
          <w:b/>
          <w:bCs/>
          <w:color w:val="000000"/>
          <w:sz w:val="24"/>
          <w:szCs w:val="24"/>
        </w:rPr>
        <w:t xml:space="preserve">8.持续性运维巡检</w:t>
      </w:r>
      <w:r/>
    </w:p>
    <w:p>
      <w:pPr>
        <w:ind w:firstLine="480"/>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质</w:t>
      </w:r>
      <w:r>
        <w:rPr>
          <w:rFonts w:hint="eastAsia" w:ascii="Times New Roman" w:hAnsi="Times New Roman"/>
          <w:color w:val="000000"/>
          <w:sz w:val="24"/>
          <w:szCs w:val="24"/>
        </w:rPr>
        <w:t xml:space="preserve">保期内每季度开展一次现场巡检，覆盖机房基础设施、院区光缆双链路、外网虚拟化资源池、云桌面移动办公系统，完成设备参数核查、硬件健康检测、链路光损耗测试、集群与备份策略校验、安全策略有效性核查等工作，每次巡检完成后出具正式季度巡检报告。质保期内免费提供软件安全补丁、BUG 修复及小版本升级服务，升级前编制方案并做好业务备份，在采购人确认的业务低峰窗口实施；持续提供外网资源池网络安全优化服务，开展安全设备策略梳理、网络架构调优、安全防护策略优化，结合医院业务变化按需调整虚拟化、云桌面相关访问控制、权限及审计策略。</w:t>
      </w:r>
      <w:r/>
    </w:p>
    <w:p>
      <w:pPr>
        <w:ind w:firstLine="480"/>
        <w:jc w:val="left"/>
        <w:spacing w:line="360" w:lineRule="auto"/>
        <w:rPr>
          <w:rFonts w:ascii="Times New Roman" w:hAnsi="Times New Roman"/>
          <w:b/>
          <w:bCs/>
          <w:color w:val="000000"/>
          <w:sz w:val="24"/>
          <w:szCs w:val="24"/>
        </w:rPr>
      </w:pPr>
      <w:r>
        <w:rPr>
          <w:rFonts w:hint="eastAsia" w:ascii="Times New Roman" w:hAnsi="Times New Roman"/>
          <w:b/>
          <w:bCs/>
          <w:color w:val="000000"/>
          <w:sz w:val="24"/>
          <w:szCs w:val="24"/>
        </w:rPr>
        <w:t xml:space="preserve">十一、商品包装及快递包装要求</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（1）商品包装层数不得超过 3 层，空隙率不大于 40%；</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（2）商品包装尽可能使用单一材质的包装材料，如因功能需求必需使用不同材质，不同材质间应便于分离；</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（3）商品包装中铅、汞、镉、六价铬的总含量应不大于100mg/kg；</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（4）商品包装印刷使用的油墨中挥发性有机化合物(VOCs)含量应不大于 5%（以重量计）；</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（5）塑料材质商品包装上呈现的印刷颜色不得超过 6 色；</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（6）纸质商品包装应使用 75%以上的可再生纤维原料生产；</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（7）木质商品包装的原料应来源于可持续性森林。</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2.快递包装环保要求：</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（1）快递包装中重金属（铅、汞、镉、六价铬）总量应不大于 100mg/kg；</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（2）快递包装印刷使用的油墨中不应添加邻苯二甲酸酯，其挥发性有机化合物(VOCs)含量应不大于5%（以重量计）；</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（3）快递包装中使用纸基材的包装材料，纸基材中的有机氯的含量应不大于 150 mg/kg；</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（5）快递中使用的塑料包装袋不得使用聚氯乙烯作为原料，且原料应为单一材质制成，生物分解率大于60%；</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（6）快递中使用的充气类填充物不得使用聚氯乙烯作为原料，且原料为单一材质制成，生物分解率大于60%；</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（7）快递中使用的集装袋应为单一材质制成，其重复使用次数应不小于 80 次；</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（8）快递中应使用幅宽不大于45mm 的生物降解胶带；</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（9）快递包装中不得使用溶剂型胶粘剂；</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（10）快递应使用电子面单；</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（11）直接使用商品包装作为快递包装的商品，其商品包装满足《商品包装政府采购需求标准（试行）》即可；</w:t>
      </w:r>
      <w:r/>
    </w:p>
    <w:p>
      <w:pPr>
        <w:ind w:firstLine="480"/>
        <w:jc w:val="left"/>
        <w:spacing w:line="360" w:lineRule="auto"/>
        <w:rPr>
          <w:rFonts w:asciiTheme="minorEastAsia" w:hAnsiTheme="minorEastAsia" w:cstheme="minorEastAsia"/>
          <w:sz w:val="24"/>
          <w:szCs w:val="24"/>
        </w:rPr>
      </w:pPr>
      <w:r>
        <w:rPr>
          <w:rFonts w:hint="eastAsia" w:asciiTheme="minorEastAsia" w:hAnsiTheme="minorEastAsia" w:cstheme="minorEastAsia"/>
          <w:bCs/>
          <w:sz w:val="24"/>
          <w:szCs w:val="24"/>
        </w:rPr>
        <w:t xml:space="preserve">（12）快递包装产品质量和封装方式应符合相关国家或行业标准技术指标要求。</w:t>
      </w:r>
      <w:r/>
    </w:p>
    <w:p>
      <w:pPr>
        <w:ind w:firstLine="480"/>
        <w:jc w:val="left"/>
        <w:spacing w:line="360" w:lineRule="auto"/>
        <w:rPr>
          <w:rFonts w:ascii="Times New Roman" w:hAnsi="Times New Roman"/>
          <w:b/>
          <w:bCs/>
          <w:color w:val="000000"/>
          <w:sz w:val="24"/>
          <w:szCs w:val="24"/>
        </w:rPr>
      </w:pPr>
      <w:r>
        <w:rPr>
          <w:rFonts w:hint="eastAsia" w:ascii="Times New Roman" w:hAnsi="Times New Roman"/>
          <w:b/>
          <w:bCs/>
          <w:color w:val="000000"/>
          <w:sz w:val="24"/>
          <w:szCs w:val="24"/>
        </w:rPr>
        <w:t xml:space="preserve">十二、付款方式与履约保证金</w:t>
      </w:r>
      <w:r/>
    </w:p>
    <w:p>
      <w:pPr>
        <w:ind w:firstLine="480"/>
        <w:jc w:val="left"/>
        <w:spacing w:line="360" w:lineRule="auto"/>
        <w:rPr>
          <w:rFonts w:ascii="宋体" w:hAnsi="宋体" w:eastAsia="宋体"/>
          <w:bCs/>
          <w:color w:val="000000" w:themeColor="text1"/>
          <w:sz w:val="24"/>
        </w:rPr>
      </w:pPr>
      <w:r>
        <w:rPr>
          <w:rFonts w:hint="eastAsia" w:ascii="宋体" w:hAnsi="宋体"/>
          <w:sz w:val="24"/>
          <w:szCs w:val="24"/>
        </w:rPr>
        <w:t xml:space="preserve">1．付款方式：</w:t>
      </w:r>
      <w:r>
        <w:rPr>
          <w:rFonts w:hint="eastAsia" w:ascii="宋体" w:hAnsi="宋体" w:eastAsia="宋体"/>
          <w:bCs/>
          <w:color w:val="000000" w:themeColor="text1"/>
          <w:sz w:val="24"/>
        </w:rPr>
        <w:t xml:space="preserve">合同签订后采购人向成交供应商支付合同总价款的50%；</w:t>
      </w:r>
      <w:r>
        <w:rPr>
          <w:rFonts w:hint="eastAsia" w:cs="Times New Roman"/>
          <w:sz w:val="24"/>
          <w:szCs w:val="24"/>
        </w:rPr>
        <w:t xml:space="preserve">项目建成验收合格且试运行合格后支付至合同价款总额的100%</w:t>
      </w:r>
      <w:r>
        <w:rPr>
          <w:rFonts w:hint="eastAsia" w:cs="Times New Roman" w:asciiTheme="minorEastAsia" w:hAnsiTheme="minorEastAsia"/>
          <w:bCs/>
          <w:iCs/>
          <w:sz w:val="24"/>
          <w:szCs w:val="24"/>
        </w:rPr>
        <w:t xml:space="preserve">。</w:t>
      </w:r>
      <w:r/>
    </w:p>
    <w:p>
      <w:pPr>
        <w:ind w:firstLine="480"/>
        <w:spacing w:line="360" w:lineRule="auto"/>
        <w:rPr>
          <w:rFonts w:ascii="宋体" w:hAnsi="宋体" w:eastAsia="宋体"/>
          <w:color w:val="000000" w:themeColor="text1"/>
          <w:sz w:val="24"/>
        </w:rPr>
      </w:pPr>
      <w:r>
        <w:rPr>
          <w:rFonts w:hint="eastAsia" w:ascii="宋体" w:hAnsi="宋体"/>
          <w:color w:val="000000"/>
          <w:sz w:val="24"/>
          <w:szCs w:val="24"/>
        </w:rPr>
        <w:t xml:space="preserve">2．</w:t>
      </w:r>
      <w:r>
        <w:rPr>
          <w:rFonts w:hint="eastAsia" w:ascii="宋体" w:hAnsi="宋体" w:eastAsia="宋体"/>
          <w:color w:val="000000" w:themeColor="text1"/>
          <w:sz w:val="24"/>
        </w:rPr>
        <w:t xml:space="preserve">履约保证金</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本项目不收取履约保证金。</w:t>
      </w:r>
      <w:r/>
    </w:p>
    <w:p>
      <w:pPr>
        <w:ind w:firstLine="480"/>
        <w:jc w:val="left"/>
        <w:spacing w:line="360" w:lineRule="auto"/>
        <w:rPr>
          <w:rFonts w:ascii="Times New Roman" w:hAnsi="Times New Roman"/>
          <w:b/>
          <w:bCs/>
          <w:color w:val="000000"/>
          <w:sz w:val="24"/>
          <w:szCs w:val="24"/>
        </w:rPr>
      </w:pPr>
      <w:r>
        <w:rPr>
          <w:rFonts w:hint="eastAsia" w:ascii="Times New Roman" w:hAnsi="Times New Roman"/>
          <w:b/>
          <w:bCs/>
          <w:color w:val="000000"/>
          <w:sz w:val="24"/>
          <w:szCs w:val="24"/>
        </w:rPr>
        <w:t xml:space="preserve">十三、报价及其他要求</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1.本项目报价不得超过预算价。</w:t>
      </w:r>
      <w:r>
        <w:rPr>
          <w:rFonts w:hint="eastAsia" w:asciiTheme="minorEastAsia" w:hAnsiTheme="minorEastAsia" w:cstheme="minorEastAsia"/>
          <w:sz w:val="24"/>
        </w:rPr>
        <w:t xml:space="preserve">应根据国家收费标准并结合市场实际进行报价，总价包干。</w:t>
      </w:r>
      <w:r>
        <w:rPr>
          <w:rFonts w:hint="eastAsia" w:asciiTheme="minorEastAsia" w:hAnsiTheme="minorEastAsia" w:cstheme="minorEastAsia"/>
          <w:sz w:val="24"/>
          <w:szCs w:val="24"/>
        </w:rPr>
        <w:t xml:space="preserve">投标报价应是招标文件所确定的采购范围内的全部工作内容的价格体现，应涵盖采购人在采购文件中所要求的所有工作内容，</w:t>
      </w:r>
      <w:r>
        <w:rPr>
          <w:rFonts w:hint="eastAsia" w:asciiTheme="minorEastAsia" w:hAnsiTheme="minorEastAsia" w:cstheme="minorEastAsia"/>
          <w:sz w:val="24"/>
        </w:rPr>
        <w:t xml:space="preserve">包含但不限于设备、人员、维护、测试、维护服务、伴随配套服务等所有含税费用。</w:t>
      </w:r>
      <w:r>
        <w:rPr>
          <w:rFonts w:hint="eastAsia" w:asciiTheme="minorEastAsia" w:hAnsiTheme="minorEastAsia" w:cstheme="minorEastAsia"/>
          <w:sz w:val="24"/>
          <w:szCs w:val="24"/>
        </w:rPr>
        <w:t xml:space="preserve">报价时需充分考虑本项目技术支持与维护服务费用以及投标人确认为需要发生的其它费用等，直至交付至采购人使用时所需要的各种费用（包含所有隐含的费用），采购人不支付报价以外的任何费用。</w:t>
      </w:r>
      <w:r/>
    </w:p>
    <w:p>
      <w:pPr>
        <w:ind w:firstLine="480"/>
        <w:spacing w:line="360" w:lineRule="auto"/>
        <w:rPr>
          <w:rFonts w:ascii="黑体" w:hAnsi="黑体" w:eastAsia="黑体"/>
          <w:b/>
        </w:rPr>
      </w:pPr>
      <w:r>
        <w:rPr>
          <w:rFonts w:hint="eastAsia" w:asciiTheme="minorEastAsia" w:hAnsiTheme="minorEastAsia" w:cstheme="minorEastAsia"/>
          <w:sz w:val="24"/>
          <w:szCs w:val="24"/>
        </w:rPr>
        <w:t xml:space="preserve">2.特别提醒投标人：应根据国家收费标准并结合市场实际进行报价，总价包干。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pStyle w:val="847"/>
        <w:jc w:val="center"/>
        <w:spacing w:before="156" w:after="156" w:line="360" w:lineRule="auto"/>
        <w:rPr>
          <w:rFonts w:ascii="黑体" w:hAnsi="黑体" w:eastAsia="黑体"/>
          <w:b w:val="0"/>
        </w:rPr>
      </w:pPr>
      <w:r/>
      <w:bookmarkStart w:id="9"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9"/>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评标结果按评审后得分由高到低顺序排列。得分相同的，按投标报价由低到高顺序排列。得分且投标报价相同的并列。评标委员会按照评审得分由高到低顺序推荐1名中标候选人。</w:t>
      </w:r>
      <w:r/>
    </w:p>
    <w:p>
      <w:pPr>
        <w:ind w:firstLine="480"/>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Theme="minorEastAsia" w:hAnsiTheme="minorEastAsia"/>
          <w:b/>
          <w:sz w:val="24"/>
          <w:szCs w:val="24"/>
        </w:rPr>
        <w:t xml:space="preserve">1.价格分（10分）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投标报价得分=（评标基准价/投标报价）×10分。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2.商务分（50分）</w:t>
      </w:r>
      <w:r/>
    </w:p>
    <w:tbl>
      <w:tblPr>
        <w:tblStyle w:val="851"/>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4"/>
        <w:gridCol w:w="6433"/>
      </w:tblGrid>
      <w:tr>
        <w:trPr>
          <w:jc w:val="center"/>
          <w:trHeight w:val="621"/>
        </w:trPr>
        <w:tc>
          <w:tcPr>
            <w:tcW w:w="186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3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64" w:type="dxa"/>
            <w:vAlign w:val="center"/>
            <w:textDirection w:val="lrTb"/>
            <w:noWrap w:val="false"/>
          </w:tcPr>
          <w:p>
            <w:pPr>
              <w:jc w:val="center"/>
              <w:spacing w:line="480" w:lineRule="exact"/>
              <w:rPr>
                <w:rFonts w:asciiTheme="minorEastAsia" w:hAnsiTheme="minorEastAsia" w:cstheme="minorEastAsia"/>
                <w:color w:val="auto"/>
                <w:sz w:val="24"/>
                <w:szCs w:val="24"/>
                <w:lang w:bidi="ar"/>
              </w:rPr>
            </w:pPr>
            <w:r>
              <w:rPr>
                <w:rFonts w:hint="eastAsia" w:asciiTheme="minorEastAsia" w:hAnsiTheme="minorEastAsia" w:cstheme="minorEastAsia"/>
                <w:color w:val="auto"/>
                <w:sz w:val="24"/>
                <w:szCs w:val="24"/>
                <w:lang w:bidi="ar"/>
              </w:rPr>
              <w:t xml:space="preserve">综合服务能力</w:t>
            </w:r>
            <w:r/>
          </w:p>
          <w:p>
            <w:pPr>
              <w:jc w:val="center"/>
              <w:spacing w:line="480" w:lineRule="exact"/>
              <w:rPr>
                <w:color w:val="auto"/>
              </w:rPr>
            </w:pPr>
            <w:r>
              <w:rPr>
                <w:rFonts w:hint="eastAsia" w:asciiTheme="minorEastAsia" w:hAnsiTheme="minorEastAsia" w:cstheme="minorEastAsia"/>
                <w:color w:val="auto"/>
                <w:sz w:val="24"/>
                <w:szCs w:val="24"/>
                <w:lang w:bidi="ar"/>
              </w:rPr>
              <w:t xml:space="preserve">（3分）</w:t>
            </w:r>
            <w:r/>
          </w:p>
        </w:tc>
        <w:tc>
          <w:tcPr>
            <w:tcW w:w="6433" w:type="dxa"/>
            <w:vAlign w:val="center"/>
            <w:textDirection w:val="lrTb"/>
            <w:noWrap w:val="false"/>
          </w:tcPr>
          <w:p>
            <w:pPr>
              <w:spacing w:line="480" w:lineRule="exact"/>
              <w:widowControl/>
              <w:rPr>
                <w:rFonts w:asciiTheme="minorEastAsia" w:hAnsiTheme="minorEastAsia" w:cstheme="minorEastAsia"/>
                <w:b/>
                <w:bCs/>
                <w:color w:val="auto"/>
                <w:sz w:val="24"/>
                <w:szCs w:val="24"/>
                <w:lang w:bidi="ar"/>
              </w:rPr>
            </w:pPr>
            <w:r>
              <w:rPr>
                <w:rFonts w:hint="eastAsia" w:asciiTheme="minorEastAsia" w:hAnsiTheme="minorEastAsia" w:cstheme="minorEastAsia"/>
                <w:color w:val="auto"/>
                <w:sz w:val="24"/>
                <w:szCs w:val="24"/>
                <w:lang w:bidi="ar"/>
              </w:rPr>
              <w:t xml:space="preserve">1.投标人具有质量管理体系认证证书的</w:t>
            </w:r>
            <w:r>
              <w:rPr>
                <w:rFonts w:hint="eastAsia" w:asciiTheme="minorEastAsia" w:hAnsiTheme="minorEastAsia" w:cstheme="minorEastAsia"/>
                <w:b/>
                <w:bCs/>
                <w:color w:val="auto"/>
                <w:sz w:val="24"/>
                <w:szCs w:val="24"/>
                <w:lang w:bidi="ar"/>
              </w:rPr>
              <w:t xml:space="preserve">得1分。</w:t>
            </w:r>
            <w:r/>
          </w:p>
          <w:p>
            <w:pPr>
              <w:spacing w:line="480" w:lineRule="exact"/>
              <w:widowControl/>
              <w:rPr>
                <w:rFonts w:asciiTheme="minorEastAsia" w:hAnsiTheme="minorEastAsia" w:cstheme="minorEastAsia"/>
                <w:b/>
                <w:bCs/>
                <w:color w:val="auto"/>
                <w:sz w:val="24"/>
                <w:szCs w:val="24"/>
                <w:lang w:bidi="ar"/>
              </w:rPr>
            </w:pPr>
            <w:r>
              <w:rPr>
                <w:rFonts w:hint="eastAsia" w:asciiTheme="minorEastAsia" w:hAnsiTheme="minorEastAsia" w:cstheme="minorEastAsia"/>
                <w:color w:val="auto"/>
                <w:sz w:val="24"/>
                <w:szCs w:val="24"/>
                <w:lang w:bidi="ar"/>
              </w:rPr>
              <w:t xml:space="preserve">2.投标人具有信息安全管理体系认证证书的</w:t>
            </w:r>
            <w:r>
              <w:rPr>
                <w:rFonts w:hint="eastAsia" w:asciiTheme="minorEastAsia" w:hAnsiTheme="minorEastAsia" w:cstheme="minorEastAsia"/>
                <w:b/>
                <w:bCs/>
                <w:color w:val="auto"/>
                <w:sz w:val="24"/>
                <w:szCs w:val="24"/>
                <w:lang w:bidi="ar"/>
              </w:rPr>
              <w:t xml:space="preserve">得1分。</w:t>
            </w:r>
            <w:r/>
          </w:p>
          <w:p>
            <w:pPr>
              <w:spacing w:line="480" w:lineRule="exact"/>
              <w:widowControl/>
              <w:rPr>
                <w:rFonts w:asciiTheme="minorEastAsia" w:hAnsiTheme="minorEastAsia" w:cstheme="minorEastAsia"/>
                <w:b/>
                <w:bCs/>
                <w:color w:val="auto"/>
                <w:sz w:val="24"/>
                <w:szCs w:val="24"/>
              </w:rPr>
            </w:pPr>
            <w:r>
              <w:rPr>
                <w:rFonts w:hint="eastAsia" w:asciiTheme="minorEastAsia" w:hAnsiTheme="minorEastAsia" w:cstheme="minorEastAsia"/>
                <w:color w:val="auto"/>
                <w:sz w:val="24"/>
                <w:szCs w:val="24"/>
                <w:lang w:bidi="ar"/>
              </w:rPr>
              <w:t xml:space="preserve">3.投标人具有数据治理管理体系认证证书的</w:t>
            </w:r>
            <w:r>
              <w:rPr>
                <w:rFonts w:hint="eastAsia" w:asciiTheme="minorEastAsia" w:hAnsiTheme="minorEastAsia" w:cstheme="minorEastAsia"/>
                <w:b/>
                <w:bCs/>
                <w:color w:val="auto"/>
                <w:sz w:val="24"/>
                <w:szCs w:val="24"/>
                <w:lang w:bidi="ar"/>
              </w:rPr>
              <w:t xml:space="preserve">得1分。</w:t>
            </w:r>
            <w:r/>
          </w:p>
          <w:p>
            <w:pPr>
              <w:jc w:val="left"/>
              <w:spacing w:line="480" w:lineRule="exact"/>
              <w:rPr>
                <w:color w:val="auto"/>
              </w:rPr>
            </w:pPr>
            <w:r>
              <w:rPr>
                <w:rFonts w:hint="eastAsia" w:asciiTheme="minorEastAsia" w:hAnsiTheme="minorEastAsia" w:cstheme="minorEastAsia"/>
                <w:b/>
                <w:bCs/>
                <w:color w:val="auto"/>
                <w:sz w:val="24"/>
                <w:szCs w:val="24"/>
                <w:lang w:bidi="ar"/>
              </w:rPr>
              <w:t xml:space="preserve">（上述1-3项投标文件中同时提供有效证书证明材料及国家市场监督管理总局全国认可认证信息公共服务平台查询的对应证书信息截图，上述证明材料缺项或未提供均不得分）</w:t>
            </w:r>
            <w:r/>
          </w:p>
        </w:tc>
      </w:tr>
      <w:tr>
        <w:trPr>
          <w:jc w:val="center"/>
          <w:trHeight w:val="621"/>
        </w:trPr>
        <w:tc>
          <w:tcPr>
            <w:tcW w:w="1864" w:type="dxa"/>
            <w:vAlign w:val="center"/>
            <w:textDirection w:val="lrTb"/>
            <w:noWrap w:val="false"/>
          </w:tcPr>
          <w:p>
            <w:pPr>
              <w:jc w:val="center"/>
              <w:spacing w:line="480" w:lineRule="exact"/>
              <w:rPr>
                <w:rFonts w:asciiTheme="minorEastAsia" w:hAnsiTheme="minorEastAsia" w:cstheme="minorEastAsia"/>
                <w:color w:val="auto"/>
                <w:sz w:val="24"/>
                <w:szCs w:val="24"/>
                <w:lang w:bidi="ar"/>
              </w:rPr>
            </w:pPr>
            <w:r>
              <w:rPr>
                <w:rFonts w:hint="eastAsia" w:asciiTheme="minorEastAsia" w:hAnsiTheme="minorEastAsia" w:cstheme="minorEastAsia"/>
                <w:color w:val="auto"/>
                <w:sz w:val="24"/>
                <w:szCs w:val="24"/>
                <w:lang w:bidi="ar"/>
              </w:rPr>
              <w:t xml:space="preserve">运维服务实力</w:t>
            </w:r>
            <w:r/>
          </w:p>
          <w:p>
            <w:pPr>
              <w:jc w:val="center"/>
              <w:spacing w:line="480" w:lineRule="exact"/>
              <w:rPr>
                <w:color w:val="auto"/>
              </w:rPr>
            </w:pPr>
            <w:r>
              <w:rPr>
                <w:rFonts w:hint="eastAsia" w:asciiTheme="minorEastAsia" w:hAnsiTheme="minorEastAsia" w:cstheme="minorEastAsia"/>
                <w:color w:val="auto"/>
                <w:sz w:val="24"/>
                <w:szCs w:val="24"/>
                <w:lang w:bidi="ar"/>
              </w:rPr>
              <w:t xml:space="preserve">（4分）</w:t>
            </w:r>
            <w:r/>
          </w:p>
        </w:tc>
        <w:tc>
          <w:tcPr>
            <w:tcW w:w="6433" w:type="dxa"/>
            <w:vAlign w:val="center"/>
            <w:textDirection w:val="lrTb"/>
            <w:noWrap w:val="false"/>
          </w:tcPr>
          <w:p>
            <w:pPr>
              <w:spacing w:line="480" w:lineRule="exact"/>
              <w:widowControl/>
              <w:rPr>
                <w:rFonts w:asciiTheme="minorEastAsia" w:hAnsiTheme="minorEastAsia" w:cstheme="minorEastAsia"/>
                <w:color w:val="auto"/>
                <w:sz w:val="24"/>
                <w:szCs w:val="24"/>
                <w:lang w:bidi="ar"/>
              </w:rPr>
            </w:pPr>
            <w:r>
              <w:rPr>
                <w:rFonts w:hint="eastAsia" w:asciiTheme="minorEastAsia" w:hAnsiTheme="minorEastAsia" w:cstheme="minorEastAsia"/>
                <w:color w:val="auto"/>
                <w:sz w:val="24"/>
                <w:szCs w:val="24"/>
                <w:lang w:bidi="ar"/>
              </w:rPr>
              <w:t xml:space="preserve">1.投标人具有信息技术服务管理体系认证证书的</w:t>
            </w:r>
            <w:r>
              <w:rPr>
                <w:rFonts w:hint="eastAsia" w:asciiTheme="minorEastAsia" w:hAnsiTheme="minorEastAsia" w:cstheme="minorEastAsia"/>
                <w:b/>
                <w:bCs/>
                <w:color w:val="auto"/>
                <w:sz w:val="24"/>
                <w:szCs w:val="24"/>
                <w:lang w:bidi="ar"/>
              </w:rPr>
              <w:t xml:space="preserve">得1分。</w:t>
            </w:r>
            <w:r/>
          </w:p>
          <w:p>
            <w:pPr>
              <w:spacing w:line="480" w:lineRule="exact"/>
              <w:widowControl/>
              <w:rPr>
                <w:rFonts w:asciiTheme="minorEastAsia" w:hAnsiTheme="minorEastAsia" w:cstheme="minorEastAsia"/>
                <w:color w:val="auto"/>
                <w:sz w:val="24"/>
                <w:szCs w:val="24"/>
              </w:rPr>
            </w:pPr>
            <w:r>
              <w:rPr>
                <w:rFonts w:hint="eastAsia" w:asciiTheme="minorEastAsia" w:hAnsiTheme="minorEastAsia" w:cstheme="minorEastAsia"/>
                <w:color w:val="auto"/>
                <w:sz w:val="24"/>
                <w:szCs w:val="24"/>
                <w:lang w:bidi="ar"/>
              </w:rPr>
              <w:t xml:space="preserve">2.投标人具有业务连续性管理体系认证证书的</w:t>
            </w:r>
            <w:r>
              <w:rPr>
                <w:rFonts w:hint="eastAsia" w:asciiTheme="minorEastAsia" w:hAnsiTheme="minorEastAsia" w:cstheme="minorEastAsia"/>
                <w:b/>
                <w:bCs/>
                <w:color w:val="auto"/>
                <w:sz w:val="24"/>
                <w:szCs w:val="24"/>
                <w:lang w:bidi="ar"/>
              </w:rPr>
              <w:t xml:space="preserve">得1分。</w:t>
            </w:r>
            <w:r/>
          </w:p>
          <w:p>
            <w:pPr>
              <w:spacing w:line="480" w:lineRule="exact"/>
              <w:widowControl/>
              <w:rPr>
                <w:rFonts w:asciiTheme="minorEastAsia" w:hAnsiTheme="minorEastAsia" w:cstheme="minorEastAsia"/>
                <w:b/>
                <w:bCs/>
                <w:color w:val="auto"/>
                <w:sz w:val="24"/>
                <w:szCs w:val="24"/>
              </w:rPr>
            </w:pPr>
            <w:r>
              <w:rPr>
                <w:rFonts w:hint="eastAsia" w:asciiTheme="minorEastAsia" w:hAnsiTheme="minorEastAsia" w:cstheme="minorEastAsia"/>
                <w:color w:val="auto"/>
                <w:sz w:val="24"/>
                <w:szCs w:val="24"/>
                <w:lang w:bidi="ar"/>
              </w:rPr>
              <w:t xml:space="preserve">3.投标人具有CCRC信息安全服务资质认证证书的</w:t>
            </w:r>
            <w:r>
              <w:rPr>
                <w:rFonts w:hint="eastAsia" w:asciiTheme="minorEastAsia" w:hAnsiTheme="minorEastAsia" w:cstheme="minorEastAsia"/>
                <w:b/>
                <w:bCs/>
                <w:color w:val="auto"/>
                <w:sz w:val="24"/>
                <w:szCs w:val="24"/>
                <w:lang w:bidi="ar"/>
              </w:rPr>
              <w:t xml:space="preserve">得1分。</w:t>
            </w:r>
            <w:r/>
          </w:p>
          <w:p>
            <w:pPr>
              <w:jc w:val="left"/>
              <w:spacing w:line="480" w:lineRule="exact"/>
              <w:rPr>
                <w:rFonts w:asciiTheme="minorEastAsia" w:hAnsiTheme="minorEastAsia" w:cstheme="minorEastAsia"/>
                <w:b/>
                <w:bCs/>
                <w:color w:val="auto"/>
                <w:sz w:val="24"/>
                <w:szCs w:val="24"/>
                <w:lang w:bidi="ar"/>
              </w:rPr>
            </w:pPr>
            <w:r>
              <w:rPr>
                <w:rFonts w:hint="eastAsia" w:asciiTheme="minorEastAsia" w:hAnsiTheme="minorEastAsia" w:cstheme="minorEastAsia"/>
                <w:b/>
                <w:bCs/>
                <w:color w:val="auto"/>
                <w:sz w:val="24"/>
                <w:szCs w:val="24"/>
                <w:lang w:bidi="ar"/>
              </w:rPr>
              <w:t xml:space="preserve">（上述1-3项投标文件中同时提供有效证书证明材料及国家市场监督管理总局全国认可认证信息公共服务平台查询的对应证书信息截图，上述证明材料缺项或未提供均不得分）</w:t>
            </w:r>
            <w:r/>
          </w:p>
          <w:p>
            <w:pPr>
              <w:jc w:val="left"/>
              <w:spacing w:line="480" w:lineRule="exact"/>
              <w:rPr>
                <w:color w:val="auto"/>
              </w:rPr>
            </w:pPr>
            <w:r>
              <w:rPr>
                <w:rFonts w:hint="eastAsia" w:asciiTheme="minorEastAsia" w:hAnsiTheme="minorEastAsia" w:cstheme="minorEastAsia"/>
                <w:color w:val="auto"/>
                <w:sz w:val="24"/>
                <w:szCs w:val="24"/>
                <w:lang w:bidi="ar"/>
              </w:rPr>
              <w:t xml:space="preserve">4.投标人具有ITSS信息技术服务标准符合性证书的</w:t>
            </w:r>
            <w:r>
              <w:rPr>
                <w:rFonts w:hint="eastAsia" w:asciiTheme="minorEastAsia" w:hAnsiTheme="minorEastAsia" w:cstheme="minorEastAsia"/>
                <w:b/>
                <w:bCs/>
                <w:color w:val="auto"/>
                <w:sz w:val="24"/>
                <w:szCs w:val="24"/>
                <w:lang w:bidi="ar"/>
              </w:rPr>
              <w:t xml:space="preserve">得1分。</w:t>
            </w:r>
            <w:r>
              <w:rPr>
                <w:rFonts w:hint="eastAsia" w:asciiTheme="minorEastAsia" w:hAnsiTheme="minorEastAsia" w:cstheme="minorEastAsia"/>
                <w:color w:val="auto"/>
                <w:sz w:val="24"/>
                <w:szCs w:val="24"/>
                <w:lang w:bidi="ar"/>
              </w:rPr>
              <w:br/>
            </w:r>
            <w:r>
              <w:rPr>
                <w:rFonts w:hint="eastAsia" w:asciiTheme="minorEastAsia" w:hAnsiTheme="minorEastAsia" w:cstheme="minorEastAsia"/>
                <w:b/>
                <w:bCs/>
                <w:color w:val="auto"/>
                <w:sz w:val="24"/>
                <w:szCs w:val="24"/>
                <w:lang w:bidi="ar"/>
              </w:rPr>
              <w:t xml:space="preserve">（投标文件中提供有效证书证明材料并加盖投标人公章，否则不得分）</w:t>
            </w:r>
            <w:r/>
          </w:p>
        </w:tc>
      </w:tr>
      <w:tr>
        <w:trPr>
          <w:jc w:val="center"/>
          <w:trHeight w:val="621"/>
        </w:trPr>
        <w:tc>
          <w:tcPr>
            <w:tcW w:w="1864" w:type="dxa"/>
            <w:vAlign w:val="center"/>
            <w:textDirection w:val="lrTb"/>
            <w:noWrap w:val="false"/>
          </w:tcPr>
          <w:p>
            <w:pPr>
              <w:jc w:val="center"/>
              <w:spacing w:line="480" w:lineRule="exact"/>
            </w:pPr>
            <w:r>
              <w:rPr>
                <w:rFonts w:hint="eastAsia" w:asciiTheme="minorEastAsia" w:hAnsiTheme="minorEastAsia" w:cstheme="minorEastAsia"/>
                <w:color w:val="000000"/>
                <w:sz w:val="24"/>
                <w:szCs w:val="24"/>
                <w:lang w:bidi="ar"/>
              </w:rPr>
              <w:t xml:space="preserve">信息安全保障能力（1分）</w:t>
            </w:r>
            <w:r/>
          </w:p>
        </w:tc>
        <w:tc>
          <w:tcPr>
            <w:tcW w:w="6433" w:type="dxa"/>
            <w:vAlign w:val="center"/>
            <w:textDirection w:val="lrTb"/>
            <w:noWrap w:val="false"/>
          </w:tcPr>
          <w:p>
            <w:pPr>
              <w:jc w:val="left"/>
              <w:spacing w:line="480" w:lineRule="exact"/>
              <w:rPr>
                <w:rFonts w:asciiTheme="minorEastAsia" w:hAnsiTheme="minorEastAsia" w:cstheme="minorEastAsia"/>
                <w:b/>
                <w:bCs/>
                <w:color w:val="000000"/>
                <w:sz w:val="24"/>
                <w:szCs w:val="24"/>
                <w:lang w:bidi="ar"/>
              </w:rPr>
            </w:pPr>
            <w:r>
              <w:rPr>
                <w:rFonts w:hint="eastAsia" w:asciiTheme="minorEastAsia" w:hAnsiTheme="minorEastAsia" w:cstheme="minorEastAsia"/>
                <w:color w:val="000000"/>
                <w:sz w:val="24"/>
                <w:szCs w:val="24"/>
                <w:lang w:bidi="ar"/>
              </w:rPr>
              <w:t xml:space="preserve">投标人通过GB/T37988数据安全能力成熟度模型等级认证三级及以上的</w:t>
            </w:r>
            <w:r>
              <w:rPr>
                <w:rFonts w:hint="eastAsia" w:asciiTheme="minorEastAsia" w:hAnsiTheme="minorEastAsia" w:cstheme="minorEastAsia"/>
                <w:b/>
                <w:bCs/>
                <w:color w:val="000000"/>
                <w:sz w:val="24"/>
                <w:szCs w:val="24"/>
                <w:lang w:bidi="ar"/>
              </w:rPr>
              <w:t xml:space="preserve">得1分。</w:t>
            </w:r>
            <w:r/>
          </w:p>
          <w:p>
            <w:pPr>
              <w:jc w:val="left"/>
              <w:spacing w:line="480" w:lineRule="exact"/>
            </w:pPr>
            <w:r>
              <w:rPr>
                <w:rFonts w:hint="eastAsia" w:asciiTheme="minorEastAsia" w:hAnsiTheme="minorEastAsia" w:cstheme="minorEastAsia"/>
                <w:b/>
                <w:bCs/>
                <w:color w:val="000000"/>
                <w:sz w:val="24"/>
                <w:szCs w:val="24"/>
                <w:lang w:bidi="ar"/>
              </w:rPr>
              <w:t xml:space="preserve">（投标文件中同时提供有效证书证明材料及国家市场监督管理总局全国认可认证信息公共服务平台查询的对应证书信息截图，上述证明材料缺项或未提供均不得分）</w:t>
            </w:r>
            <w:r/>
          </w:p>
        </w:tc>
      </w:tr>
      <w:tr>
        <w:trPr>
          <w:jc w:val="center"/>
          <w:trHeight w:val="621"/>
        </w:trPr>
        <w:tc>
          <w:tcPr>
            <w:tcW w:w="1864" w:type="dxa"/>
            <w:vAlign w:val="center"/>
            <w:textDirection w:val="lrTb"/>
            <w:noWrap w:val="false"/>
          </w:tcPr>
          <w:p>
            <w:pPr>
              <w:jc w:val="center"/>
              <w:spacing w:line="480" w:lineRule="exact"/>
              <w:rPr>
                <w:rFonts w:asciiTheme="minorEastAsia" w:hAnsiTheme="minorEastAsia" w:cstheme="minorEastAsia"/>
                <w:color w:val="000000"/>
                <w:sz w:val="24"/>
                <w:szCs w:val="24"/>
                <w:lang w:bidi="ar"/>
              </w:rPr>
            </w:pPr>
            <w:r>
              <w:rPr>
                <w:rFonts w:hint="eastAsia" w:asciiTheme="minorEastAsia" w:hAnsiTheme="minorEastAsia" w:cstheme="minorEastAsia"/>
                <w:color w:val="000000"/>
                <w:sz w:val="24"/>
                <w:szCs w:val="24"/>
                <w:lang w:bidi="ar"/>
              </w:rPr>
              <w:t xml:space="preserve">团队人员保障</w:t>
            </w:r>
            <w:r/>
          </w:p>
          <w:p>
            <w:pPr>
              <w:jc w:val="center"/>
              <w:spacing w:line="480" w:lineRule="exact"/>
            </w:pPr>
            <w:r>
              <w:rPr>
                <w:rFonts w:hint="eastAsia" w:asciiTheme="minorEastAsia" w:hAnsiTheme="minorEastAsia" w:cstheme="minorEastAsia"/>
                <w:color w:val="000000"/>
                <w:sz w:val="24"/>
                <w:szCs w:val="24"/>
                <w:lang w:bidi="ar"/>
              </w:rPr>
              <w:t xml:space="preserve">（10分）</w:t>
            </w:r>
            <w:r/>
          </w:p>
        </w:tc>
        <w:tc>
          <w:tcPr>
            <w:tcW w:w="6433" w:type="dxa"/>
            <w:vAlign w:val="center"/>
            <w:textDirection w:val="lrTb"/>
            <w:noWrap w:val="false"/>
          </w:tcPr>
          <w:p>
            <w:pPr>
              <w:jc w:val="left"/>
              <w:spacing w:line="480" w:lineRule="exact"/>
              <w:rPr>
                <w:rFonts w:asciiTheme="minorEastAsia" w:hAnsiTheme="minorEastAsia" w:cstheme="minorEastAsia"/>
                <w:b/>
                <w:bCs/>
                <w:color w:val="000000"/>
                <w:sz w:val="24"/>
                <w:szCs w:val="24"/>
                <w:lang w:bidi="ar"/>
              </w:rPr>
            </w:pPr>
            <w:r>
              <w:rPr>
                <w:rFonts w:hint="eastAsia" w:asciiTheme="minorEastAsia" w:hAnsiTheme="minorEastAsia" w:cstheme="minorEastAsia"/>
                <w:color w:val="000000"/>
                <w:sz w:val="24"/>
                <w:szCs w:val="24"/>
                <w:lang w:bidi="ar"/>
              </w:rPr>
              <w:t xml:space="preserve">1.拟派项目负责人具有信息系统项目管理师证书（高级）、网络工程师中级、数据治理工程师证书的，每提供一个证书得1分，</w:t>
            </w:r>
            <w:r>
              <w:rPr>
                <w:rFonts w:hint="eastAsia" w:asciiTheme="minorEastAsia" w:hAnsiTheme="minorEastAsia" w:cstheme="minorEastAsia"/>
                <w:b/>
                <w:bCs/>
                <w:color w:val="000000"/>
                <w:sz w:val="24"/>
                <w:szCs w:val="24"/>
                <w:lang w:bidi="ar"/>
              </w:rPr>
              <w:t xml:space="preserve">最高得3分。</w:t>
            </w:r>
            <w:r/>
          </w:p>
          <w:p>
            <w:pPr>
              <w:jc w:val="left"/>
              <w:spacing w:line="480" w:lineRule="exact"/>
              <w:rPr>
                <w:rFonts w:asciiTheme="minorEastAsia" w:hAnsiTheme="minorEastAsia" w:cstheme="minorEastAsia"/>
                <w:b/>
                <w:bCs/>
                <w:color w:val="000000"/>
                <w:sz w:val="24"/>
                <w:szCs w:val="24"/>
                <w:lang w:bidi="ar"/>
              </w:rPr>
            </w:pPr>
            <w:r>
              <w:rPr>
                <w:rFonts w:hint="eastAsia" w:asciiTheme="minorEastAsia" w:hAnsiTheme="minorEastAsia" w:cstheme="minorEastAsia"/>
                <w:color w:val="000000"/>
                <w:sz w:val="24"/>
                <w:szCs w:val="24"/>
                <w:lang w:bidi="ar"/>
              </w:rPr>
              <w:t xml:space="preserve">2.拟派技术负责人具有通信专业技术人员职业资格中级及以上、网络工程师中级及以上、注册信息安全专业人员（CISP）的，每提供一个证书得1分，</w:t>
            </w:r>
            <w:r>
              <w:rPr>
                <w:rFonts w:hint="eastAsia" w:asciiTheme="minorEastAsia" w:hAnsiTheme="minorEastAsia" w:cstheme="minorEastAsia"/>
                <w:b/>
                <w:bCs/>
                <w:color w:val="000000"/>
                <w:sz w:val="24"/>
                <w:szCs w:val="24"/>
                <w:lang w:bidi="ar"/>
              </w:rPr>
              <w:t xml:space="preserve">最高得3分。</w:t>
            </w:r>
            <w:r/>
          </w:p>
          <w:p>
            <w:pPr>
              <w:jc w:val="left"/>
              <w:spacing w:line="480" w:lineRule="exact"/>
              <w:rPr>
                <w:rFonts w:asciiTheme="minorEastAsia" w:hAnsiTheme="minorEastAsia" w:cstheme="minorEastAsia"/>
                <w:b/>
                <w:bCs/>
                <w:color w:val="000000"/>
                <w:sz w:val="24"/>
                <w:szCs w:val="24"/>
                <w:lang w:bidi="ar"/>
              </w:rPr>
            </w:pPr>
            <w:r>
              <w:rPr>
                <w:rFonts w:hint="eastAsia" w:asciiTheme="minorEastAsia" w:hAnsiTheme="minorEastAsia" w:cstheme="minorEastAsia"/>
                <w:color w:val="000000"/>
                <w:sz w:val="24"/>
                <w:szCs w:val="24"/>
                <w:lang w:bidi="ar"/>
              </w:rPr>
              <w:t xml:space="preserve">3.拟派项目团队成员（项目负责人、技术负责人除外）中具有网络与信息安全工程师证书、数据治理工程师证书、密码技术应用员证书、系统集成项目管理工程师证书的，每提供一个证书得1分，</w:t>
            </w:r>
            <w:r>
              <w:rPr>
                <w:rFonts w:hint="eastAsia" w:asciiTheme="minorEastAsia" w:hAnsiTheme="minorEastAsia" w:cstheme="minorEastAsia"/>
                <w:b/>
                <w:bCs/>
                <w:color w:val="000000"/>
                <w:sz w:val="24"/>
                <w:szCs w:val="24"/>
                <w:lang w:bidi="ar"/>
              </w:rPr>
              <w:t xml:space="preserve">最高得4分。 </w:t>
            </w:r>
            <w:r/>
          </w:p>
          <w:p>
            <w:pPr>
              <w:jc w:val="left"/>
              <w:spacing w:line="480" w:lineRule="exact"/>
              <w:rPr>
                <w:rFonts w:asciiTheme="minorEastAsia" w:hAnsiTheme="minorEastAsia" w:cstheme="minorEastAsia"/>
                <w:color w:val="000000"/>
                <w:sz w:val="24"/>
                <w:szCs w:val="24"/>
                <w:lang w:bidi="ar"/>
              </w:rPr>
            </w:pPr>
            <w:r>
              <w:rPr>
                <w:rFonts w:hint="eastAsia" w:asciiTheme="minorEastAsia" w:hAnsiTheme="minorEastAsia" w:cstheme="minorEastAsia"/>
                <w:b/>
                <w:bCs/>
                <w:sz w:val="24"/>
                <w:szCs w:val="24"/>
              </w:rPr>
              <w:t xml:space="preserve">（1.上述1-3项投标文件中同时提供有效证书及2026年4月以来任意一个月投标人为其缴纳的社保证明材料，缺项或未提供均不得分；2.项目负责人、技术负责人一人一岗不得重复使用，重复不得分；3.项目团队成员一人多证不重复得分）</w:t>
            </w:r>
            <w:r/>
          </w:p>
        </w:tc>
      </w:tr>
      <w:tr>
        <w:trPr>
          <w:jc w:val="center"/>
          <w:trHeight w:val="621"/>
        </w:trPr>
        <w:tc>
          <w:tcPr>
            <w:tcW w:w="1864" w:type="dxa"/>
            <w:vAlign w:val="center"/>
            <w:textDirection w:val="lrTb"/>
            <w:noWrap w:val="false"/>
          </w:tcPr>
          <w:p>
            <w:pPr>
              <w:jc w:val="center"/>
              <w:spacing w:line="480" w:lineRule="exact"/>
              <w:widowControl/>
              <w:rPr>
                <w:rFonts w:asciiTheme="minorEastAsia" w:hAnsiTheme="minorEastAsia" w:cstheme="minorEastAsia"/>
                <w:color w:val="000000"/>
                <w:sz w:val="24"/>
                <w:szCs w:val="24"/>
                <w:lang w:bidi="ar"/>
              </w:rPr>
            </w:pPr>
            <w:r>
              <w:rPr>
                <w:rFonts w:hint="eastAsia" w:asciiTheme="minorEastAsia" w:hAnsiTheme="minorEastAsia" w:cstheme="minorEastAsia"/>
                <w:color w:val="000000"/>
                <w:sz w:val="24"/>
                <w:szCs w:val="24"/>
                <w:lang w:bidi="ar"/>
              </w:rPr>
              <w:t xml:space="preserve">业绩</w:t>
            </w:r>
            <w:r/>
          </w:p>
          <w:p>
            <w:pPr>
              <w:jc w:val="center"/>
              <w:spacing w:line="480" w:lineRule="exact"/>
              <w:widowControl/>
            </w:pPr>
            <w:r>
              <w:rPr>
                <w:rFonts w:hint="eastAsia" w:asciiTheme="minorEastAsia" w:hAnsiTheme="minorEastAsia" w:cstheme="minorEastAsia"/>
                <w:color w:val="000000"/>
                <w:sz w:val="24"/>
                <w:szCs w:val="24"/>
                <w:lang w:bidi="ar"/>
              </w:rPr>
              <w:t xml:space="preserve">（2分）</w:t>
            </w:r>
            <w:r/>
          </w:p>
        </w:tc>
        <w:tc>
          <w:tcPr>
            <w:tcW w:w="6433" w:type="dxa"/>
            <w:vAlign w:val="center"/>
            <w:textDirection w:val="lrTb"/>
            <w:noWrap w:val="false"/>
          </w:tcPr>
          <w:p>
            <w:pPr>
              <w:jc w:val="left"/>
              <w:spacing w:line="480" w:lineRule="exact"/>
              <w:widowControl/>
              <w:rPr>
                <w:rFonts w:asciiTheme="minorEastAsia" w:hAnsiTheme="minorEastAsia"/>
                <w:b/>
                <w:sz w:val="24"/>
              </w:rPr>
            </w:pPr>
            <w:r>
              <w:rPr>
                <w:rFonts w:hint="eastAsia" w:asciiTheme="minorEastAsia" w:hAnsiTheme="minorEastAsia" w:cstheme="minorEastAsia"/>
                <w:color w:val="000000"/>
                <w:sz w:val="24"/>
                <w:szCs w:val="24"/>
                <w:lang w:bidi="ar"/>
              </w:rPr>
              <w:t xml:space="preserve">自2022年1月1日以来，投标人承担过类似项目（合同内容至少包含云桌面系统建设或虚拟化系统建设或机房改造或通信相关）业绩的，每提供一个业绩得1分，</w:t>
            </w:r>
            <w:r>
              <w:rPr>
                <w:rFonts w:hint="eastAsia" w:asciiTheme="minorEastAsia" w:hAnsiTheme="minorEastAsia" w:cstheme="minorEastAsia"/>
                <w:b/>
                <w:bCs/>
                <w:color w:val="000000"/>
                <w:sz w:val="24"/>
                <w:szCs w:val="24"/>
                <w:lang w:bidi="ar"/>
              </w:rPr>
              <w:t xml:space="preserve">最高得2分。</w:t>
            </w:r>
            <w:r>
              <w:rPr>
                <w:rFonts w:hint="eastAsia" w:asciiTheme="minorEastAsia" w:hAnsiTheme="minorEastAsia" w:cstheme="minorEastAsia"/>
                <w:b/>
                <w:bCs/>
                <w:color w:val="000000"/>
                <w:sz w:val="24"/>
                <w:szCs w:val="24"/>
                <w:lang w:bidi="ar"/>
              </w:rPr>
              <w:br/>
            </w:r>
            <w:r>
              <w:rPr>
                <w:rFonts w:hint="eastAsia" w:asciiTheme="minorEastAsia" w:hAnsiTheme="minorEastAsia" w:cstheme="minorEastAsia"/>
                <w:b/>
                <w:bCs/>
                <w:color w:val="000000"/>
                <w:sz w:val="24"/>
                <w:szCs w:val="24"/>
                <w:lang w:bidi="ar"/>
              </w:rPr>
              <w:t xml:space="preserve">（</w:t>
            </w:r>
            <w:r>
              <w:rPr>
                <w:rFonts w:hint="eastAsia" w:asciiTheme="minorEastAsia" w:hAnsiTheme="minorEastAsia" w:cstheme="minorEastAsia"/>
                <w:b/>
                <w:bCs/>
                <w:sz w:val="24"/>
                <w:szCs w:val="24"/>
              </w:rPr>
              <w:t xml:space="preserve">投标文件中提供合同扫描件并加盖投标人公章，否则不得分。时间、内容以合同为准，合同内容经评审委员会一致认定)</w:t>
            </w:r>
            <w:r/>
          </w:p>
        </w:tc>
      </w:tr>
      <w:tr>
        <w:trPr>
          <w:jc w:val="center"/>
          <w:trHeight w:val="621"/>
        </w:trPr>
        <w:tc>
          <w:tcPr>
            <w:tcW w:w="1864" w:type="dxa"/>
            <w:vAlign w:val="center"/>
            <w:textDirection w:val="lrTb"/>
            <w:noWrap w:val="false"/>
          </w:tcPr>
          <w:p>
            <w:pPr>
              <w:jc w:val="center"/>
              <w:spacing w:line="480" w:lineRule="exact"/>
              <w:widowControl/>
              <w:rPr>
                <w:rFonts w:asciiTheme="minorEastAsia" w:hAnsiTheme="minorEastAsia" w:cstheme="minorEastAsia"/>
                <w:color w:val="000000"/>
                <w:sz w:val="24"/>
                <w:szCs w:val="24"/>
                <w:lang w:bidi="ar"/>
              </w:rPr>
            </w:pPr>
            <w:r>
              <w:rPr>
                <w:rFonts w:hint="eastAsia" w:asciiTheme="minorEastAsia" w:hAnsiTheme="minorEastAsia" w:cstheme="minorEastAsia"/>
                <w:color w:val="000000"/>
                <w:sz w:val="24"/>
                <w:szCs w:val="24"/>
                <w:lang w:bidi="ar"/>
              </w:rPr>
              <w:t xml:space="preserve">技术参数响应</w:t>
            </w:r>
            <w:r/>
          </w:p>
          <w:p>
            <w:pPr>
              <w:jc w:val="center"/>
              <w:spacing w:line="480" w:lineRule="exact"/>
              <w:widowControl/>
              <w:rPr>
                <w:rFonts w:asciiTheme="minorEastAsia" w:hAnsiTheme="minorEastAsia" w:cstheme="minorEastAsia"/>
                <w:color w:val="000000"/>
                <w:sz w:val="24"/>
                <w:szCs w:val="24"/>
                <w:lang w:bidi="ar"/>
              </w:rPr>
            </w:pPr>
            <w:r>
              <w:rPr>
                <w:rFonts w:hint="eastAsia" w:asciiTheme="minorEastAsia" w:hAnsiTheme="minorEastAsia" w:cstheme="minorEastAsia"/>
                <w:color w:val="000000"/>
                <w:sz w:val="24"/>
                <w:szCs w:val="24"/>
                <w:lang w:bidi="ar"/>
              </w:rPr>
              <w:t xml:space="preserve">（30分）</w:t>
            </w:r>
            <w:r/>
          </w:p>
        </w:tc>
        <w:tc>
          <w:tcPr>
            <w:tcW w:w="6433" w:type="dxa"/>
            <w:vAlign w:val="center"/>
            <w:textDirection w:val="lrTb"/>
            <w:noWrap w:val="false"/>
          </w:tcPr>
          <w:p>
            <w:pPr>
              <w:spacing w:line="480" w:lineRule="exact"/>
              <w:widowControl/>
              <w:rPr>
                <w:rFonts w:asciiTheme="minorEastAsia" w:hAnsiTheme="minorEastAsia" w:cstheme="minorEastAsia"/>
                <w:color w:val="000000"/>
                <w:sz w:val="24"/>
                <w:szCs w:val="24"/>
                <w:lang w:bidi="ar"/>
              </w:rPr>
            </w:pPr>
            <w:r>
              <w:rPr>
                <w:rFonts w:hint="eastAsia" w:asciiTheme="minorEastAsia" w:hAnsiTheme="minorEastAsia" w:cstheme="minorEastAsia"/>
                <w:color w:val="000000"/>
                <w:sz w:val="24"/>
                <w:szCs w:val="24"/>
                <w:lang w:bidi="ar"/>
              </w:rPr>
              <w:t xml:space="preserve">技术参数响应评审基准分30分，标注“▲”项的参数每有一项负偏离扣1分，非“▲”项的参数每有一项负偏离扣0.5分，扣完为止。</w:t>
            </w:r>
            <w:r>
              <w:rPr>
                <w:rFonts w:hint="eastAsia" w:asciiTheme="minorEastAsia" w:hAnsiTheme="minorEastAsia" w:cstheme="minorEastAsia"/>
                <w:color w:val="000000"/>
                <w:sz w:val="24"/>
                <w:szCs w:val="24"/>
                <w:lang w:bidi="ar"/>
              </w:rPr>
              <w:br/>
            </w:r>
            <w:r>
              <w:rPr>
                <w:rFonts w:hint="eastAsia" w:asciiTheme="minorEastAsia" w:hAnsiTheme="minorEastAsia" w:cstheme="minorEastAsia"/>
                <w:b/>
                <w:bCs/>
                <w:color w:val="000000"/>
                <w:sz w:val="24"/>
                <w:szCs w:val="24"/>
                <w:lang w:bidi="ar"/>
              </w:rPr>
              <w:t xml:space="preserve">（投标文件中详细填写技术要求响应及偏离表，须逐条响应。标注“▲”项要求提供证明材料的未提供证明材料或所提供材料与招标文件要求不符的视为负偏离。如内容表述不完全一致但功能一样由评标委员会现场认定。投标人可在证明材料中做明显标识及说明，便于评审）</w:t>
            </w:r>
            <w:r/>
          </w:p>
        </w:tc>
      </w:tr>
    </w:tbl>
    <w:p>
      <w:pPr>
        <w:ind w:firstLine="482"/>
        <w:jc w:val="left"/>
        <w:spacing w:line="360" w:lineRule="auto"/>
        <w:rPr>
          <w:rFonts w:ascii="宋体" w:hAnsi="宋体" w:cs="宋体"/>
          <w:b/>
          <w:sz w:val="24"/>
          <w:szCs w:val="24"/>
        </w:rPr>
      </w:pPr>
      <w:r>
        <w:rPr>
          <w:rFonts w:hint="eastAsia" w:ascii="宋体" w:hAnsi="宋体" w:eastAsia="宋体" w:cs="宋体"/>
          <w:b/>
          <w:sz w:val="24"/>
          <w:szCs w:val="24"/>
        </w:rPr>
        <w:t xml:space="preserve">3.技术分（40分）（本部分</w:t>
      </w:r>
      <w:r>
        <w:rPr>
          <w:rFonts w:hint="eastAsia" w:ascii="宋体" w:hAnsi="宋体" w:cs="Calibri"/>
          <w:b/>
          <w:color w:val="000000"/>
          <w:sz w:val="24"/>
          <w:szCs w:val="24"/>
        </w:rPr>
        <w:t xml:space="preserve">采用暗标方式进行评审）</w:t>
      </w:r>
      <w:r/>
    </w:p>
    <w:tbl>
      <w:tblPr>
        <w:tblStyle w:val="851"/>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57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754" w:type="dxa"/>
            <w:vAlign w:val="center"/>
            <w:textDirection w:val="lrTb"/>
            <w:noWrap w:val="false"/>
          </w:tcPr>
          <w:p>
            <w:pPr>
              <w:jc w:val="center"/>
              <w:spacing w:line="48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项目建设方案</w:t>
            </w:r>
            <w:r/>
          </w:p>
          <w:p>
            <w:pPr>
              <w:jc w:val="center"/>
              <w:spacing w:line="480" w:lineRule="exact"/>
            </w:pPr>
            <w:r>
              <w:rPr>
                <w:rFonts w:hint="eastAsia" w:asciiTheme="minorEastAsia" w:hAnsiTheme="minorEastAsia" w:cstheme="minorEastAsia"/>
                <w:sz w:val="24"/>
                <w:szCs w:val="24"/>
              </w:rPr>
              <w:t xml:space="preserve">（8分）</w:t>
            </w:r>
            <w:r/>
          </w:p>
        </w:tc>
        <w:tc>
          <w:tcPr>
            <w:tcW w:w="6576" w:type="dxa"/>
            <w:vAlign w:val="center"/>
            <w:textDirection w:val="lrTb"/>
            <w:noWrap w:val="false"/>
          </w:tcPr>
          <w:p>
            <w:pPr>
              <w:jc w:val="left"/>
              <w:spacing w:line="48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投标人结合项目需求提供项目建设方案。方案包含</w:t>
            </w:r>
            <w:r>
              <w:rPr>
                <w:rFonts w:hint="eastAsia" w:asciiTheme="minorEastAsia" w:hAnsiTheme="minorEastAsia"/>
                <w:sz w:val="24"/>
                <w:szCs w:val="24"/>
              </w:rPr>
              <w:t xml:space="preserve">但不限于项目基本概述、建设任务、对本项目的理解、项目实施过程中的关键点、建设内容以及相应的措施等。评委</w:t>
            </w:r>
            <w:r>
              <w:rPr>
                <w:rFonts w:hint="eastAsia" w:asciiTheme="minorEastAsia" w:hAnsiTheme="minorEastAsia" w:cstheme="minorEastAsia"/>
                <w:sz w:val="24"/>
                <w:szCs w:val="24"/>
              </w:rPr>
              <w:t xml:space="preserve">对项目整体建设方案内容的合理性、安全性、完整性和可行性综合评价，功能指标是否满足招标文件要求等情况进行综合评定。</w:t>
            </w:r>
            <w:r/>
          </w:p>
          <w:p>
            <w:pPr>
              <w:jc w:val="left"/>
              <w:spacing w:line="480" w:lineRule="exact"/>
              <w:rPr>
                <w:rFonts w:asciiTheme="minorEastAsia" w:hAnsiTheme="minorEastAsia" w:cstheme="minorEastAsia"/>
                <w:b/>
                <w:bCs/>
                <w:sz w:val="24"/>
                <w:szCs w:val="24"/>
              </w:rPr>
            </w:pPr>
            <w:r>
              <w:rPr>
                <w:rFonts w:hint="eastAsia" w:asciiTheme="minorEastAsia" w:hAnsiTheme="minorEastAsia" w:cstheme="minorEastAsia"/>
                <w:sz w:val="24"/>
                <w:szCs w:val="24"/>
              </w:rPr>
              <w:t xml:space="preserve">建设内容全面详细，阐述清晰，措施完善，针对性、可操作性强，完全满足项目要求的</w:t>
            </w:r>
            <w:r>
              <w:rPr>
                <w:rFonts w:hint="eastAsia" w:asciiTheme="minorEastAsia" w:hAnsiTheme="minorEastAsia" w:cstheme="minorEastAsia"/>
                <w:b/>
                <w:bCs/>
                <w:sz w:val="24"/>
                <w:szCs w:val="24"/>
              </w:rPr>
              <w:t xml:space="preserve">得8分；</w:t>
            </w:r>
            <w:r/>
          </w:p>
          <w:p>
            <w:pPr>
              <w:jc w:val="left"/>
              <w:spacing w:line="480" w:lineRule="exact"/>
              <w:rPr>
                <w:rFonts w:asciiTheme="minorEastAsia" w:hAnsiTheme="minorEastAsia" w:cstheme="minorEastAsia"/>
                <w:b/>
                <w:bCs/>
                <w:sz w:val="24"/>
                <w:szCs w:val="24"/>
              </w:rPr>
            </w:pPr>
            <w:r>
              <w:rPr>
                <w:rFonts w:hint="eastAsia" w:asciiTheme="minorEastAsia" w:hAnsiTheme="minorEastAsia" w:cstheme="minorEastAsia"/>
                <w:sz w:val="24"/>
                <w:szCs w:val="24"/>
              </w:rPr>
              <w:t xml:space="preserve">建设内容较全面详细，阐述较清晰，措施较完善，针对性、可操作性较强，较满足项目要求的</w:t>
            </w:r>
            <w:r>
              <w:rPr>
                <w:rFonts w:hint="eastAsia" w:asciiTheme="minorEastAsia" w:hAnsiTheme="minorEastAsia" w:cstheme="minorEastAsia"/>
                <w:b/>
                <w:bCs/>
                <w:sz w:val="24"/>
                <w:szCs w:val="24"/>
              </w:rPr>
              <w:t xml:space="preserve">得6分；</w:t>
            </w:r>
            <w:r/>
          </w:p>
          <w:p>
            <w:pPr>
              <w:jc w:val="left"/>
              <w:spacing w:line="480" w:lineRule="exact"/>
              <w:rPr>
                <w:rFonts w:asciiTheme="minorEastAsia" w:hAnsiTheme="minorEastAsia" w:cstheme="minorEastAsia"/>
                <w:b/>
                <w:bCs/>
                <w:sz w:val="24"/>
                <w:szCs w:val="24"/>
              </w:rPr>
            </w:pPr>
            <w:r>
              <w:rPr>
                <w:rFonts w:hint="eastAsia" w:asciiTheme="minorEastAsia" w:hAnsiTheme="minorEastAsia" w:cstheme="minorEastAsia"/>
                <w:sz w:val="24"/>
                <w:szCs w:val="24"/>
              </w:rPr>
              <w:t xml:space="preserve">建设内容有但不够具体，措施合理性一般，针对性、可操作性一般，基本满足项目要求的</w:t>
            </w:r>
            <w:r>
              <w:rPr>
                <w:rFonts w:hint="eastAsia" w:asciiTheme="minorEastAsia" w:hAnsiTheme="minorEastAsia" w:cstheme="minorEastAsia"/>
                <w:b/>
                <w:bCs/>
                <w:sz w:val="24"/>
                <w:szCs w:val="24"/>
              </w:rPr>
              <w:t xml:space="preserve">得4分；</w:t>
            </w:r>
            <w:r/>
          </w:p>
          <w:p>
            <w:pPr>
              <w:jc w:val="left"/>
              <w:spacing w:line="480" w:lineRule="exact"/>
              <w:rPr>
                <w:rFonts w:asciiTheme="minorEastAsia" w:hAnsiTheme="minorEastAsia" w:cstheme="minorEastAsia"/>
                <w:b/>
                <w:bCs/>
                <w:sz w:val="24"/>
                <w:szCs w:val="24"/>
              </w:rPr>
            </w:pPr>
            <w:r>
              <w:rPr>
                <w:rFonts w:hint="eastAsia" w:asciiTheme="minorEastAsia" w:hAnsiTheme="minorEastAsia" w:cstheme="minorEastAsia"/>
                <w:sz w:val="24"/>
                <w:szCs w:val="24"/>
              </w:rPr>
              <w:t xml:space="preserve">建设内容有缺项，内容简单粗糙，针对性、可操作性不强，与项目要求存在偏差的</w:t>
            </w:r>
            <w:r>
              <w:rPr>
                <w:rFonts w:hint="eastAsia" w:asciiTheme="minorEastAsia" w:hAnsiTheme="minorEastAsia" w:cstheme="minorEastAsia"/>
                <w:b/>
                <w:bCs/>
                <w:sz w:val="24"/>
                <w:szCs w:val="24"/>
              </w:rPr>
              <w:t xml:space="preserve">得2分；</w:t>
            </w:r>
            <w:r/>
          </w:p>
          <w:p>
            <w:pPr>
              <w:jc w:val="left"/>
              <w:spacing w:line="480" w:lineRule="exact"/>
            </w:pPr>
            <w:r>
              <w:rPr>
                <w:rFonts w:hint="eastAsia" w:asciiTheme="minorEastAsia" w:hAnsiTheme="minorEastAsia"/>
                <w:b/>
                <w:sz w:val="24"/>
                <w:szCs w:val="24"/>
              </w:rPr>
              <w:t xml:space="preserve">该项未见阐述不得分。</w:t>
            </w:r>
            <w:r/>
          </w:p>
        </w:tc>
      </w:tr>
      <w:tr>
        <w:trPr>
          <w:jc w:val="center"/>
          <w:trHeight w:val="621"/>
        </w:trPr>
        <w:tc>
          <w:tcPr>
            <w:tcW w:w="1754" w:type="dxa"/>
            <w:vAlign w:val="center"/>
            <w:textDirection w:val="lrTb"/>
            <w:noWrap w:val="false"/>
          </w:tcPr>
          <w:p>
            <w:pPr>
              <w:jc w:val="center"/>
              <w:spacing w:line="48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项目实施方案</w:t>
            </w:r>
            <w:r/>
          </w:p>
          <w:p>
            <w:pPr>
              <w:jc w:val="center"/>
              <w:spacing w:line="480" w:lineRule="exact"/>
            </w:pPr>
            <w:r>
              <w:rPr>
                <w:rFonts w:hint="eastAsia" w:asciiTheme="minorEastAsia" w:hAnsiTheme="minorEastAsia" w:cstheme="minorEastAsia"/>
                <w:sz w:val="24"/>
                <w:szCs w:val="24"/>
              </w:rPr>
              <w:t xml:space="preserve">（8分）</w:t>
            </w:r>
            <w:r/>
          </w:p>
        </w:tc>
        <w:tc>
          <w:tcPr>
            <w:tcW w:w="6576" w:type="dxa"/>
            <w:vAlign w:val="center"/>
            <w:textDirection w:val="lrTb"/>
            <w:noWrap w:val="false"/>
          </w:tcPr>
          <w:p>
            <w:pPr>
              <w:jc w:val="left"/>
              <w:spacing w:line="480" w:lineRule="exact"/>
              <w:rPr>
                <w:rFonts w:asciiTheme="minorEastAsia" w:hAnsiTheme="minorEastAsia" w:cstheme="minorEastAsia"/>
                <w:sz w:val="24"/>
                <w:szCs w:val="24"/>
              </w:rPr>
            </w:pPr>
            <w:r>
              <w:rPr>
                <w:rFonts w:hint="eastAsia" w:ascii="宋体" w:hAnsi="宋体" w:eastAsia="宋体" w:cs="Times New Roman"/>
                <w:sz w:val="24"/>
                <w:szCs w:val="24"/>
              </w:rPr>
              <w:t xml:space="preserve">投标人结合项目需求提供项目实施方案，方案包含但不限于</w:t>
            </w:r>
            <w:r>
              <w:rPr>
                <w:rFonts w:hint="eastAsia" w:asciiTheme="minorEastAsia" w:hAnsiTheme="minorEastAsia" w:cstheme="minorEastAsia"/>
                <w:sz w:val="24"/>
                <w:szCs w:val="24"/>
              </w:rPr>
              <w:t xml:space="preserve">项目实施组织机构是否健全、项目管理措施完善及规范性、是否能有效地保障总体项目衔接、部署与调试、实施计划及分工、协调措施及进度内容、实施风险应对措施等。</w:t>
            </w:r>
            <w:r/>
          </w:p>
          <w:p>
            <w:pPr>
              <w:jc w:val="left"/>
              <w:spacing w:line="480" w:lineRule="exact"/>
              <w:rPr>
                <w:rFonts w:asciiTheme="minorEastAsia" w:hAnsiTheme="minorEastAsia" w:cstheme="minorEastAsia"/>
                <w:b/>
                <w:bCs/>
                <w:sz w:val="24"/>
                <w:szCs w:val="24"/>
              </w:rPr>
            </w:pPr>
            <w:r>
              <w:rPr>
                <w:rFonts w:hint="eastAsia" w:ascii="宋体" w:hAnsi="宋体" w:eastAsia="宋体" w:cs="Times New Roman"/>
                <w:sz w:val="24"/>
                <w:szCs w:val="24"/>
              </w:rPr>
              <w:t xml:space="preserve">方案包含上述全部内容，实施流程清晰，</w:t>
            </w:r>
            <w:r>
              <w:rPr>
                <w:rFonts w:hint="eastAsia" w:asciiTheme="minorEastAsia" w:hAnsiTheme="minorEastAsia" w:cstheme="minorEastAsia"/>
                <w:sz w:val="24"/>
                <w:szCs w:val="24"/>
              </w:rPr>
              <w:t xml:space="preserve">组织方案内容全面详细，针对性、可操作性强，完全满足项目要求的</w:t>
            </w:r>
            <w:r>
              <w:rPr>
                <w:rFonts w:hint="eastAsia" w:asciiTheme="minorEastAsia" w:hAnsiTheme="minorEastAsia" w:cstheme="minorEastAsia"/>
                <w:b/>
                <w:bCs/>
                <w:sz w:val="24"/>
                <w:szCs w:val="24"/>
              </w:rPr>
              <w:t xml:space="preserve">得8分；</w:t>
            </w:r>
            <w:r/>
          </w:p>
          <w:p>
            <w:pPr>
              <w:jc w:val="left"/>
              <w:spacing w:line="480" w:lineRule="exact"/>
              <w:rPr>
                <w:rFonts w:asciiTheme="minorEastAsia" w:hAnsiTheme="minorEastAsia" w:cstheme="minorEastAsia"/>
                <w:b/>
                <w:bCs/>
                <w:sz w:val="24"/>
                <w:szCs w:val="24"/>
              </w:rPr>
            </w:pPr>
            <w:r>
              <w:rPr>
                <w:rFonts w:hint="eastAsia" w:ascii="宋体" w:hAnsi="宋体" w:eastAsia="宋体" w:cs="Times New Roman"/>
                <w:sz w:val="24"/>
                <w:szCs w:val="24"/>
              </w:rPr>
              <w:t xml:space="preserve">方案基本包含上述全部内容，流程较清晰，</w:t>
            </w:r>
            <w:r>
              <w:rPr>
                <w:rFonts w:hint="eastAsia" w:asciiTheme="minorEastAsia" w:hAnsiTheme="minorEastAsia" w:cstheme="minorEastAsia"/>
                <w:sz w:val="24"/>
                <w:szCs w:val="24"/>
              </w:rPr>
              <w:t xml:space="preserve">组织方案内容较为详细，针对性、可操作性较强，较满足项目要求的</w:t>
            </w:r>
            <w:r>
              <w:rPr>
                <w:rFonts w:hint="eastAsia" w:asciiTheme="minorEastAsia" w:hAnsiTheme="minorEastAsia" w:cstheme="minorEastAsia"/>
                <w:b/>
                <w:bCs/>
                <w:sz w:val="24"/>
                <w:szCs w:val="24"/>
              </w:rPr>
              <w:t xml:space="preserve">得6分；</w:t>
            </w:r>
            <w:r/>
          </w:p>
          <w:p>
            <w:pPr>
              <w:spacing w:line="440" w:lineRule="exact"/>
              <w:rPr>
                <w:rFonts w:asciiTheme="minorEastAsia" w:hAnsiTheme="minorEastAsia" w:cstheme="minorEastAsia"/>
                <w:b/>
                <w:bCs/>
                <w:sz w:val="24"/>
                <w:szCs w:val="24"/>
              </w:rPr>
            </w:pPr>
            <w:r>
              <w:rPr>
                <w:rFonts w:hint="eastAsia" w:ascii="宋体" w:hAnsi="宋体" w:eastAsia="宋体" w:cs="Times New Roman"/>
                <w:sz w:val="24"/>
                <w:szCs w:val="24"/>
              </w:rPr>
              <w:t xml:space="preserve">基本包含上述内容，内容合理性一般，措施简单，可操作性一般，基本能够满足本项目需求的</w:t>
            </w:r>
            <w:r>
              <w:rPr>
                <w:rFonts w:hint="eastAsia" w:ascii="宋体" w:hAnsi="宋体" w:eastAsia="宋体" w:cs="Times New Roman"/>
                <w:b/>
                <w:sz w:val="24"/>
                <w:szCs w:val="24"/>
              </w:rPr>
              <w:t xml:space="preserve">得4分；</w:t>
            </w:r>
            <w:r/>
          </w:p>
          <w:p>
            <w:pPr>
              <w:spacing w:line="440" w:lineRule="exact"/>
              <w:rPr>
                <w:rFonts w:ascii="宋体" w:hAnsi="宋体" w:eastAsia="宋体" w:cs="Times New Roman"/>
                <w:b/>
                <w:sz w:val="24"/>
                <w:szCs w:val="24"/>
              </w:rPr>
            </w:pPr>
            <w:r>
              <w:rPr>
                <w:rFonts w:hint="eastAsia" w:ascii="宋体" w:hAnsi="宋体" w:eastAsia="宋体" w:cs="Times New Roman"/>
                <w:sz w:val="24"/>
                <w:szCs w:val="24"/>
              </w:rPr>
              <w:t xml:space="preserve">上述内容有缺项，内容合理性一般，措施简单粗糙，可操作性不强，与本项目需求存在一定偏差的</w:t>
            </w:r>
            <w:r>
              <w:rPr>
                <w:rFonts w:hint="eastAsia" w:ascii="宋体" w:hAnsi="宋体" w:eastAsia="宋体" w:cs="Times New Roman"/>
                <w:b/>
                <w:sz w:val="24"/>
                <w:szCs w:val="24"/>
              </w:rPr>
              <w:t xml:space="preserve">得2分；</w:t>
            </w:r>
            <w:r/>
          </w:p>
          <w:p>
            <w:pPr>
              <w:jc w:val="left"/>
              <w:spacing w:line="480" w:lineRule="exact"/>
            </w:pPr>
            <w:r>
              <w:rPr>
                <w:rFonts w:hint="eastAsia" w:asciiTheme="minorEastAsia" w:hAnsiTheme="minorEastAsia"/>
                <w:b/>
                <w:sz w:val="24"/>
                <w:szCs w:val="24"/>
              </w:rPr>
              <w:t xml:space="preserve">该项未见阐述不得分。</w:t>
            </w:r>
            <w:r/>
          </w:p>
        </w:tc>
      </w:tr>
      <w:tr>
        <w:trPr>
          <w:jc w:val="center"/>
          <w:trHeight w:val="621"/>
        </w:trPr>
        <w:tc>
          <w:tcPr>
            <w:tcW w:w="1754" w:type="dxa"/>
            <w:vAlign w:val="center"/>
            <w:textDirection w:val="lrTb"/>
            <w:noWrap w:val="false"/>
          </w:tcPr>
          <w:p>
            <w:pPr>
              <w:jc w:val="center"/>
              <w:spacing w:line="48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维护服务方案</w:t>
            </w:r>
            <w:r/>
          </w:p>
          <w:p>
            <w:pPr>
              <w:jc w:val="center"/>
              <w:spacing w:line="480" w:lineRule="exact"/>
            </w:pPr>
            <w:r>
              <w:rPr>
                <w:rFonts w:hint="eastAsia" w:asciiTheme="minorEastAsia" w:hAnsiTheme="minorEastAsia" w:cstheme="minorEastAsia"/>
                <w:sz w:val="24"/>
                <w:szCs w:val="24"/>
              </w:rPr>
              <w:t xml:space="preserve">（8分）</w:t>
            </w:r>
            <w:r/>
          </w:p>
        </w:tc>
        <w:tc>
          <w:tcPr>
            <w:tcW w:w="6576" w:type="dxa"/>
            <w:vAlign w:val="center"/>
            <w:textDirection w:val="lrTb"/>
            <w:noWrap w:val="false"/>
          </w:tcPr>
          <w:p>
            <w:pPr>
              <w:jc w:val="left"/>
              <w:spacing w:line="480" w:lineRule="exact"/>
              <w:rPr>
                <w:rFonts w:asciiTheme="minorEastAsia" w:hAnsiTheme="minorEastAsia" w:cstheme="minorEastAsia"/>
                <w:sz w:val="24"/>
                <w:szCs w:val="24"/>
              </w:rPr>
            </w:pPr>
            <w:r>
              <w:rPr>
                <w:rFonts w:hint="eastAsia" w:ascii="宋体" w:hAnsi="宋体" w:eastAsia="宋体" w:cs="Times New Roman"/>
                <w:sz w:val="24"/>
                <w:szCs w:val="24"/>
              </w:rPr>
              <w:t xml:space="preserve">投标人结合项目需求提供项目</w:t>
            </w:r>
            <w:r>
              <w:rPr>
                <w:rFonts w:hint="eastAsia" w:asciiTheme="minorEastAsia" w:hAnsiTheme="minorEastAsia" w:cstheme="minorEastAsia"/>
                <w:sz w:val="24"/>
                <w:szCs w:val="24"/>
              </w:rPr>
              <w:t xml:space="preserve">维护</w:t>
            </w:r>
            <w:r>
              <w:rPr>
                <w:rFonts w:hint="eastAsia" w:ascii="宋体" w:hAnsi="宋体" w:eastAsia="宋体" w:cs="Times New Roman"/>
                <w:sz w:val="24"/>
                <w:szCs w:val="24"/>
              </w:rPr>
              <w:t xml:space="preserve">服务方案，</w:t>
            </w:r>
            <w:r>
              <w:rPr>
                <w:rFonts w:hint="eastAsia" w:asciiTheme="minorEastAsia" w:hAnsiTheme="minorEastAsia" w:cstheme="minorEastAsia"/>
                <w:sz w:val="24"/>
                <w:szCs w:val="24"/>
              </w:rPr>
              <w:t xml:space="preserve">包括但不限于详细的维护服务内容、维护故障处理措施、响应机制及时间、售后服务机构及人员配备等。</w:t>
            </w:r>
            <w:r/>
          </w:p>
          <w:p>
            <w:pPr>
              <w:jc w:val="left"/>
              <w:spacing w:line="480" w:lineRule="exact"/>
              <w:rPr>
                <w:rFonts w:asciiTheme="minorEastAsia" w:hAnsiTheme="minorEastAsia" w:cstheme="minorEastAsia"/>
                <w:b/>
                <w:bCs/>
                <w:sz w:val="24"/>
                <w:szCs w:val="24"/>
              </w:rPr>
            </w:pPr>
            <w:r>
              <w:rPr>
                <w:rFonts w:hint="eastAsia" w:asciiTheme="minorEastAsia" w:hAnsiTheme="minorEastAsia" w:cstheme="minorEastAsia"/>
                <w:sz w:val="24"/>
                <w:szCs w:val="24"/>
              </w:rPr>
              <w:t xml:space="preserve">维护服务方案内容全面详细，响应机制及时间迅速，可操作性强，完全满足项目要求的</w:t>
            </w:r>
            <w:r>
              <w:rPr>
                <w:rFonts w:hint="eastAsia" w:asciiTheme="minorEastAsia" w:hAnsiTheme="minorEastAsia" w:cstheme="minorEastAsia"/>
                <w:b/>
                <w:bCs/>
                <w:sz w:val="24"/>
                <w:szCs w:val="24"/>
              </w:rPr>
              <w:t xml:space="preserve">得8分；</w:t>
            </w:r>
            <w:r/>
          </w:p>
          <w:p>
            <w:pPr>
              <w:jc w:val="left"/>
              <w:spacing w:line="480" w:lineRule="exact"/>
              <w:rPr>
                <w:rFonts w:asciiTheme="minorEastAsia" w:hAnsiTheme="minorEastAsia" w:cstheme="minorEastAsia"/>
                <w:b/>
                <w:bCs/>
                <w:sz w:val="24"/>
                <w:szCs w:val="24"/>
              </w:rPr>
            </w:pPr>
            <w:r>
              <w:rPr>
                <w:rFonts w:hint="eastAsia" w:asciiTheme="minorEastAsia" w:hAnsiTheme="minorEastAsia" w:cstheme="minorEastAsia"/>
                <w:sz w:val="24"/>
                <w:szCs w:val="24"/>
              </w:rPr>
              <w:t xml:space="preserve">维护服务方案内容较为详细,响应机制及时间符合项目要求，可操作性较强，满足项目要求的</w:t>
            </w:r>
            <w:r>
              <w:rPr>
                <w:rFonts w:hint="eastAsia" w:asciiTheme="minorEastAsia" w:hAnsiTheme="minorEastAsia" w:cstheme="minorEastAsia"/>
                <w:b/>
                <w:bCs/>
                <w:sz w:val="24"/>
                <w:szCs w:val="24"/>
              </w:rPr>
              <w:t xml:space="preserve">得6分；</w:t>
            </w:r>
            <w:r/>
          </w:p>
          <w:p>
            <w:pPr>
              <w:jc w:val="left"/>
              <w:spacing w:line="480" w:lineRule="exact"/>
              <w:rPr>
                <w:rFonts w:asciiTheme="minorEastAsia" w:hAnsiTheme="minorEastAsia" w:cstheme="minorEastAsia"/>
                <w:b/>
                <w:bCs/>
                <w:sz w:val="24"/>
                <w:szCs w:val="24"/>
              </w:rPr>
            </w:pPr>
            <w:r>
              <w:rPr>
                <w:rFonts w:hint="eastAsia" w:asciiTheme="minorEastAsia" w:hAnsiTheme="minorEastAsia" w:cstheme="minorEastAsia"/>
                <w:sz w:val="24"/>
                <w:szCs w:val="24"/>
              </w:rPr>
              <w:t xml:space="preserve">维护服务方案内容简单，基本符合项目要求，可操作性一般</w:t>
            </w:r>
            <w:r>
              <w:rPr>
                <w:rFonts w:hint="eastAsia" w:asciiTheme="minorEastAsia" w:hAnsiTheme="minorEastAsia" w:cstheme="minorEastAsia"/>
                <w:b/>
                <w:bCs/>
                <w:sz w:val="24"/>
                <w:szCs w:val="24"/>
              </w:rPr>
              <w:t xml:space="preserve">得4分；</w:t>
            </w:r>
            <w:r/>
          </w:p>
          <w:p>
            <w:pPr>
              <w:jc w:val="left"/>
              <w:spacing w:line="48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维护服务方案内容与采购需求存在偏差，内容简单，可操作性不强的</w:t>
            </w:r>
            <w:r>
              <w:rPr>
                <w:rFonts w:hint="eastAsia" w:asciiTheme="minorEastAsia" w:hAnsiTheme="minorEastAsia" w:cstheme="minorEastAsia"/>
                <w:b/>
                <w:bCs/>
                <w:sz w:val="24"/>
                <w:szCs w:val="24"/>
              </w:rPr>
              <w:t xml:space="preserve">得2分；</w:t>
            </w:r>
            <w:r/>
          </w:p>
          <w:p>
            <w:pPr>
              <w:jc w:val="left"/>
              <w:spacing w:line="480" w:lineRule="exact"/>
            </w:pPr>
            <w:r>
              <w:rPr>
                <w:rFonts w:hint="eastAsia" w:asciiTheme="minorEastAsia" w:hAnsiTheme="minorEastAsia"/>
                <w:b/>
                <w:sz w:val="24"/>
                <w:szCs w:val="24"/>
              </w:rPr>
              <w:t xml:space="preserve">该项未见阐述不得分。</w:t>
            </w:r>
            <w:r/>
          </w:p>
        </w:tc>
      </w:tr>
      <w:tr>
        <w:trPr>
          <w:jc w:val="center"/>
          <w:trHeight w:val="621"/>
        </w:trPr>
        <w:tc>
          <w:tcPr>
            <w:tcW w:w="1754" w:type="dxa"/>
            <w:vAlign w:val="center"/>
            <w:textDirection w:val="lrTb"/>
            <w:noWrap w:val="false"/>
          </w:tcPr>
          <w:p>
            <w:pPr>
              <w:jc w:val="center"/>
              <w:spacing w:line="48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质量保证方案</w:t>
            </w:r>
            <w:r/>
          </w:p>
          <w:p>
            <w:pPr>
              <w:jc w:val="center"/>
              <w:spacing w:line="480" w:lineRule="exact"/>
            </w:pPr>
            <w:r>
              <w:rPr>
                <w:rFonts w:hint="eastAsia" w:asciiTheme="minorEastAsia" w:hAnsiTheme="minorEastAsia" w:cstheme="minorEastAsia"/>
                <w:sz w:val="24"/>
                <w:szCs w:val="24"/>
              </w:rPr>
              <w:t xml:space="preserve">（8分）</w:t>
            </w:r>
            <w:r/>
          </w:p>
        </w:tc>
        <w:tc>
          <w:tcPr>
            <w:tcW w:w="6576" w:type="dxa"/>
            <w:vAlign w:val="center"/>
            <w:textDirection w:val="lrTb"/>
            <w:noWrap w:val="false"/>
          </w:tcPr>
          <w:p>
            <w:pPr>
              <w:jc w:val="left"/>
              <w:spacing w:line="48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投标人结合项目需求提供质量保证方案，包含但不限于对本项目的质量把控、安全保证措施等。</w:t>
            </w:r>
            <w:r/>
          </w:p>
          <w:p>
            <w:pPr>
              <w:jc w:val="left"/>
              <w:spacing w:line="480" w:lineRule="exact"/>
              <w:rPr>
                <w:rFonts w:asciiTheme="minorEastAsia" w:hAnsiTheme="minorEastAsia" w:cstheme="minorEastAsia"/>
                <w:b/>
                <w:bCs/>
                <w:sz w:val="24"/>
                <w:szCs w:val="24"/>
              </w:rPr>
            </w:pPr>
            <w:r>
              <w:rPr>
                <w:rFonts w:hint="eastAsia" w:asciiTheme="minorEastAsia" w:hAnsiTheme="minorEastAsia" w:cstheme="minorEastAsia"/>
                <w:sz w:val="24"/>
                <w:szCs w:val="24"/>
              </w:rPr>
              <w:t xml:space="preserve">产品质量保证体系健全，措施完善，切实可行，满足项目需求，安全措施得当的</w:t>
            </w:r>
            <w:r>
              <w:rPr>
                <w:rFonts w:hint="eastAsia" w:asciiTheme="minorEastAsia" w:hAnsiTheme="minorEastAsia" w:cstheme="minorEastAsia"/>
                <w:b/>
                <w:bCs/>
                <w:sz w:val="24"/>
                <w:szCs w:val="24"/>
              </w:rPr>
              <w:t xml:space="preserve">得8分；</w:t>
            </w:r>
            <w:r/>
          </w:p>
          <w:p>
            <w:pPr>
              <w:jc w:val="left"/>
              <w:spacing w:line="480" w:lineRule="exact"/>
              <w:rPr>
                <w:rFonts w:asciiTheme="minorEastAsia" w:hAnsiTheme="minorEastAsia" w:cstheme="minorEastAsia"/>
                <w:b/>
                <w:bCs/>
                <w:sz w:val="24"/>
                <w:szCs w:val="24"/>
              </w:rPr>
            </w:pPr>
            <w:r>
              <w:rPr>
                <w:rFonts w:hint="eastAsia" w:asciiTheme="minorEastAsia" w:hAnsiTheme="minorEastAsia" w:cstheme="minorEastAsia"/>
                <w:sz w:val="24"/>
                <w:szCs w:val="24"/>
              </w:rPr>
              <w:t xml:space="preserve">产品质量保证体系较健全措施较完善，安全措施合理，基本满足项目需求的</w:t>
            </w:r>
            <w:r>
              <w:rPr>
                <w:rFonts w:hint="eastAsia" w:asciiTheme="minorEastAsia" w:hAnsiTheme="minorEastAsia" w:cstheme="minorEastAsia"/>
                <w:b/>
                <w:bCs/>
                <w:sz w:val="24"/>
                <w:szCs w:val="24"/>
              </w:rPr>
              <w:t xml:space="preserve">得6分；</w:t>
            </w:r>
            <w:r/>
          </w:p>
          <w:p>
            <w:pPr>
              <w:jc w:val="left"/>
              <w:spacing w:line="480" w:lineRule="exact"/>
              <w:rPr>
                <w:rFonts w:asciiTheme="minorEastAsia" w:hAnsiTheme="minorEastAsia" w:cstheme="minorEastAsia"/>
                <w:b/>
                <w:bCs/>
                <w:sz w:val="24"/>
                <w:szCs w:val="24"/>
              </w:rPr>
            </w:pPr>
            <w:r>
              <w:rPr>
                <w:rFonts w:hint="eastAsia" w:asciiTheme="minorEastAsia" w:hAnsiTheme="minorEastAsia" w:cstheme="minorEastAsia"/>
                <w:sz w:val="24"/>
                <w:szCs w:val="24"/>
              </w:rPr>
              <w:t xml:space="preserve">产品质量保证体系基本健全，措施一般，保障一般，安全措施一般，与项目需求存在偏差的</w:t>
            </w:r>
            <w:r>
              <w:rPr>
                <w:rFonts w:hint="eastAsia" w:asciiTheme="minorEastAsia" w:hAnsiTheme="minorEastAsia" w:cstheme="minorEastAsia"/>
                <w:b/>
                <w:bCs/>
                <w:sz w:val="24"/>
                <w:szCs w:val="24"/>
              </w:rPr>
              <w:t xml:space="preserve">得4分；</w:t>
            </w:r>
            <w:r/>
          </w:p>
          <w:p>
            <w:pPr>
              <w:jc w:val="left"/>
              <w:spacing w:line="480" w:lineRule="exact"/>
              <w:rPr>
                <w:rFonts w:asciiTheme="minorEastAsia" w:hAnsiTheme="minorEastAsia" w:cstheme="minorEastAsia"/>
                <w:b/>
                <w:bCs/>
                <w:sz w:val="24"/>
                <w:szCs w:val="24"/>
              </w:rPr>
            </w:pPr>
            <w:r>
              <w:rPr>
                <w:rFonts w:hint="eastAsia" w:asciiTheme="minorEastAsia" w:hAnsiTheme="minorEastAsia" w:cstheme="minorEastAsia"/>
                <w:sz w:val="24"/>
                <w:szCs w:val="24"/>
              </w:rPr>
              <w:t xml:space="preserve">产品质量保证体系与采购需求存在偏差，内容简单，可操作性不强的</w:t>
            </w:r>
            <w:r>
              <w:rPr>
                <w:rFonts w:hint="eastAsia" w:asciiTheme="minorEastAsia" w:hAnsiTheme="minorEastAsia" w:cstheme="minorEastAsia"/>
                <w:b/>
                <w:bCs/>
                <w:sz w:val="24"/>
                <w:szCs w:val="24"/>
              </w:rPr>
              <w:t xml:space="preserve">得2分；</w:t>
            </w:r>
            <w:r/>
          </w:p>
          <w:p>
            <w:pPr>
              <w:jc w:val="left"/>
              <w:spacing w:line="480" w:lineRule="exact"/>
            </w:pPr>
            <w:r>
              <w:rPr>
                <w:rFonts w:hint="eastAsia" w:asciiTheme="minorEastAsia" w:hAnsiTheme="minorEastAsia"/>
                <w:b/>
                <w:sz w:val="24"/>
                <w:szCs w:val="24"/>
              </w:rPr>
              <w:t xml:space="preserve">该项未见阐述不得分。</w:t>
            </w:r>
            <w:r/>
          </w:p>
        </w:tc>
      </w:tr>
      <w:tr>
        <w:trPr>
          <w:jc w:val="center"/>
          <w:trHeight w:val="621"/>
        </w:trPr>
        <w:tc>
          <w:tcPr>
            <w:tcW w:w="1754" w:type="dxa"/>
            <w:vAlign w:val="center"/>
            <w:textDirection w:val="lrTb"/>
            <w:noWrap w:val="false"/>
          </w:tcPr>
          <w:p>
            <w:pPr>
              <w:jc w:val="center"/>
              <w:spacing w:line="48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项目培训方案</w:t>
            </w:r>
            <w:r/>
          </w:p>
          <w:p>
            <w:pPr>
              <w:jc w:val="center"/>
              <w:spacing w:line="480" w:lineRule="exact"/>
            </w:pPr>
            <w:r>
              <w:rPr>
                <w:rFonts w:hint="eastAsia" w:asciiTheme="minorEastAsia" w:hAnsiTheme="minorEastAsia" w:cstheme="minorEastAsia"/>
                <w:sz w:val="24"/>
                <w:szCs w:val="24"/>
              </w:rPr>
              <w:t xml:space="preserve">（8分）</w:t>
            </w:r>
            <w:r/>
          </w:p>
        </w:tc>
        <w:tc>
          <w:tcPr>
            <w:tcW w:w="6576" w:type="dxa"/>
            <w:vAlign w:val="center"/>
            <w:textDirection w:val="lrTb"/>
            <w:noWrap w:val="false"/>
          </w:tcPr>
          <w:p>
            <w:pPr>
              <w:spacing w:line="440" w:lineRule="exact"/>
              <w:rPr>
                <w:rFonts w:asciiTheme="minorEastAsia" w:hAnsiTheme="minorEastAsia" w:cstheme="minorEastAsia"/>
                <w:sz w:val="24"/>
                <w:szCs w:val="24"/>
              </w:rPr>
            </w:pPr>
            <w:r>
              <w:rPr>
                <w:rFonts w:hint="eastAsia" w:ascii="宋体" w:hAnsi="宋体" w:eastAsia="宋体" w:cs="宋体"/>
                <w:sz w:val="24"/>
                <w:szCs w:val="21"/>
              </w:rPr>
              <w:t xml:space="preserve">投标人结合项目需求提供培训方案，内容包括但不限于培训计划、培训内容、培训对象等</w:t>
            </w:r>
            <w:r>
              <w:rPr>
                <w:rFonts w:hint="eastAsia" w:asciiTheme="minorEastAsia" w:hAnsiTheme="minorEastAsia" w:cstheme="minorEastAsia"/>
                <w:sz w:val="24"/>
                <w:szCs w:val="24"/>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内容丰富，科学合理，培训形式多样，具有可操作性的</w:t>
            </w:r>
            <w:r>
              <w:rPr>
                <w:rFonts w:hint="eastAsia" w:ascii="宋体" w:hAnsi="宋体" w:eastAsia="宋体" w:cs="宋体"/>
                <w:b/>
                <w:sz w:val="24"/>
                <w:szCs w:val="21"/>
              </w:rPr>
              <w:t xml:space="preserve">得8分；</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内容较丰富，较合理，培训形式较多样，可操作性较强的</w:t>
            </w:r>
            <w:r>
              <w:rPr>
                <w:rFonts w:hint="eastAsia" w:ascii="宋体" w:hAnsi="宋体" w:eastAsia="宋体" w:cs="宋体"/>
                <w:b/>
                <w:sz w:val="24"/>
                <w:szCs w:val="21"/>
              </w:rPr>
              <w:t xml:space="preserve">得6分；</w:t>
            </w:r>
            <w:r/>
          </w:p>
          <w:p>
            <w:pPr>
              <w:spacing w:line="440" w:lineRule="exact"/>
              <w:rPr>
                <w:rFonts w:ascii="宋体" w:hAnsi="宋体" w:eastAsia="宋体" w:cs="宋体"/>
                <w:b/>
                <w:sz w:val="24"/>
                <w:szCs w:val="21"/>
              </w:rPr>
            </w:pPr>
            <w:r>
              <w:rPr>
                <w:rFonts w:hint="eastAsia" w:ascii="宋体" w:hAnsi="宋体" w:eastAsia="宋体" w:cs="宋体"/>
                <w:sz w:val="24"/>
                <w:szCs w:val="21"/>
              </w:rPr>
              <w:t xml:space="preserve">内容简单，合理性一般，形式单一，可操作性一般的</w:t>
            </w:r>
            <w:r>
              <w:rPr>
                <w:rFonts w:hint="eastAsia" w:ascii="宋体" w:hAnsi="宋体" w:eastAsia="宋体" w:cs="宋体"/>
                <w:b/>
                <w:sz w:val="24"/>
                <w:szCs w:val="21"/>
              </w:rPr>
              <w:t xml:space="preserve">得4分；</w:t>
            </w:r>
            <w:r/>
          </w:p>
          <w:p>
            <w:pPr>
              <w:spacing w:line="440" w:lineRule="exact"/>
              <w:rPr>
                <w:rFonts w:ascii="宋体" w:hAnsi="宋体" w:eastAsia="宋体" w:cs="宋体"/>
                <w:b/>
                <w:sz w:val="24"/>
                <w:szCs w:val="21"/>
              </w:rPr>
            </w:pPr>
            <w:r>
              <w:rPr>
                <w:rFonts w:hint="eastAsia" w:ascii="宋体" w:hAnsi="宋体" w:eastAsia="宋体" w:cs="宋体"/>
                <w:bCs/>
                <w:sz w:val="24"/>
                <w:szCs w:val="21"/>
              </w:rPr>
              <w:t xml:space="preserve">内容存在偏差，培训安排不合理，形式安排不合理，可操作性不合理的</w:t>
            </w:r>
            <w:r>
              <w:rPr>
                <w:rFonts w:hint="eastAsia" w:ascii="宋体" w:hAnsi="宋体" w:eastAsia="宋体" w:cs="宋体"/>
                <w:b/>
                <w:sz w:val="24"/>
                <w:szCs w:val="21"/>
              </w:rPr>
              <w:t xml:space="preserve">得2分；</w:t>
            </w:r>
            <w:r/>
          </w:p>
          <w:p>
            <w:pPr>
              <w:jc w:val="left"/>
              <w:spacing w:line="480" w:lineRule="exact"/>
            </w:pPr>
            <w:r>
              <w:rPr>
                <w:rFonts w:hint="eastAsia" w:ascii="宋体" w:hAnsi="宋体" w:eastAsia="宋体" w:cs="宋体"/>
                <w:b/>
                <w:sz w:val="24"/>
                <w:szCs w:val="21"/>
              </w:rPr>
              <w:t xml:space="preserve">该项未见阐述不得分。</w:t>
            </w:r>
            <w:r/>
          </w:p>
        </w:tc>
      </w:tr>
    </w:tbl>
    <w:p>
      <w:pPr>
        <w:spacing w:line="360" w:lineRule="auto"/>
        <w:rPr>
          <w:rFonts w:ascii="宋体" w:hAnsi="宋体" w:eastAsia="宋体" w:cs="Calibri"/>
          <w:b/>
          <w:color w:val="000000"/>
          <w:sz w:val="24"/>
          <w:szCs w:val="24"/>
        </w:rPr>
      </w:pPr>
      <w:r/>
      <w:bookmarkStart w:id="10" w:name="_Toc162361615"/>
      <w:r>
        <w:rPr>
          <w:rFonts w:hint="eastAsia" w:ascii="宋体" w:hAnsi="宋体" w:cs="Calibri"/>
          <w:b/>
          <w:color w:val="000000"/>
          <w:sz w:val="24"/>
          <w:szCs w:val="24"/>
        </w:rPr>
        <w:t xml:space="preserve">注;</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1.本项目评标标准中的技术分（</w:t>
      </w:r>
      <w:r>
        <w:rPr>
          <w:rFonts w:hint="eastAsia" w:ascii="宋体" w:hAnsi="宋体" w:cs="Calibri"/>
          <w:b/>
          <w:color w:val="000000"/>
          <w:sz w:val="24"/>
          <w:szCs w:val="24"/>
          <w:lang w:val="en-US" w:eastAsia="zh-CN"/>
        </w:rPr>
        <w:t xml:space="preserve">40</w:t>
      </w:r>
      <w:r>
        <w:rPr>
          <w:rFonts w:hint="eastAsia" w:ascii="宋体" w:hAnsi="宋体" w:cs="Calibri"/>
          <w:b/>
          <w:color w:val="000000"/>
          <w:sz w:val="24"/>
          <w:szCs w:val="24"/>
        </w:rPr>
        <w:t xml:space="preserve">分）采用暗标方式进行评审。</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p>
    <w:p>
      <w:pPr>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rPr>
      </w:pPr>
      <w:r>
        <w:rPr>
          <w:rFonts w:hint="eastAsia" w:ascii="宋体" w:hAnsi="宋体" w:cs="Calibri"/>
          <w:b/>
          <w:color w:val="000000"/>
          <w:sz w:val="24"/>
          <w:szCs w:val="24"/>
        </w:rPr>
        <w:t xml:space="preserve">2.3供应商需按照上述要求编制方案，未按要求编制的本项（</w:t>
      </w:r>
      <w:r>
        <w:rPr>
          <w:rFonts w:hint="eastAsia" w:ascii="宋体" w:hAnsi="宋体" w:cs="Calibri"/>
          <w:b/>
          <w:color w:val="000000"/>
          <w:sz w:val="24"/>
          <w:szCs w:val="24"/>
          <w:lang w:val="en-US" w:eastAsia="zh-CN"/>
        </w:rPr>
        <w:t xml:space="preserve">40</w:t>
      </w:r>
      <w:r>
        <w:rPr>
          <w:rFonts w:hint="eastAsia" w:ascii="宋体" w:hAnsi="宋体" w:cs="Calibri"/>
          <w:b/>
          <w:color w:val="000000"/>
          <w:sz w:val="24"/>
          <w:szCs w:val="24"/>
        </w:rPr>
        <w:t xml:space="preserve">分）不得分。</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bookmarkStart w:id="24" w:name="_GoBack"/>
      <w:r/>
      <w:bookmarkEnd w:id="24"/>
      <w:r/>
      <w:r/>
    </w:p>
    <w:p>
      <w:pPr>
        <w:pStyle w:val="847"/>
        <w:jc w:val="center"/>
        <w:spacing w:before="156" w:after="156" w:line="360" w:lineRule="auto"/>
        <w:rPr>
          <w:rFonts w:ascii="黑体" w:hAnsi="黑体" w:eastAsia="黑体"/>
          <w:b w:val="0"/>
        </w:rPr>
      </w:pPr>
      <w:r>
        <w:rPr>
          <w:rFonts w:hint="eastAsia" w:ascii="黑体" w:hAnsi="黑体" w:eastAsia="黑体"/>
          <w:b w:val="0"/>
        </w:rPr>
        <w:t xml:space="preserve">第六章  投标文件格式</w:t>
      </w:r>
      <w:bookmarkEnd w:id="10"/>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Times New Roman" w:hAnsi="Times New Roman" w:eastAsia="宋体" w:cs="Times New Roman"/>
          <w:b/>
          <w:iCs/>
          <w:sz w:val="36"/>
        </w:rPr>
        <w:outlineLvl w:val="1"/>
      </w:pPr>
      <w:r>
        <w:rPr>
          <w:rFonts w:ascii="Times New Roman" w:hAnsi="Times New Roman" w:eastAsia="宋体" w:cs="Times New Roman"/>
          <w:b/>
          <w:iCs/>
          <w:sz w:val="36"/>
        </w:rPr>
        <w:t xml:space="preserve">十</w:t>
      </w:r>
      <w:r>
        <w:rPr>
          <w:rFonts w:hint="eastAsia" w:ascii="Times New Roman" w:hAnsi="Times New Roman" w:eastAsia="宋体" w:cs="Times New Roman"/>
          <w:b/>
          <w:iCs/>
          <w:sz w:val="36"/>
        </w:rPr>
        <w:t xml:space="preserve">三</w:t>
      </w:r>
      <w:r>
        <w:rPr>
          <w:rFonts w:ascii="Times New Roman" w:hAnsi="Times New Roman" w:eastAsia="宋体" w:cs="Times New Roman"/>
          <w:b/>
          <w:iCs/>
          <w:sz w:val="36"/>
        </w:rPr>
        <w:t xml:space="preserve">、投标分项报价表</w:t>
      </w:r>
      <w:r>
        <w:rPr>
          <w:rFonts w:hint="eastAsia" w:ascii="Times New Roman" w:hAnsi="Times New Roman" w:eastAsia="宋体" w:cs="Times New Roman"/>
          <w:b/>
          <w:iCs/>
          <w:sz w:val="36"/>
        </w:rPr>
        <w:t xml:space="preserve">（2个）</w:t>
      </w:r>
      <w:r/>
    </w:p>
    <w:p>
      <w:pPr>
        <w:jc w:val="center"/>
        <w:spacing w:line="360" w:lineRule="auto"/>
        <w:tabs>
          <w:tab w:val="left" w:pos="360" w:leader="none"/>
        </w:tabs>
        <w:rPr>
          <w:rFonts w:ascii="Times New Roman" w:hAnsi="Times New Roman" w:eastAsia="黑体" w:cs="Times New Roman"/>
          <w:bCs/>
          <w:sz w:val="36"/>
          <w:szCs w:val="28"/>
        </w:rPr>
      </w:pPr>
      <w:r>
        <w:rPr>
          <w:rFonts w:ascii="Times New Roman" w:hAnsi="Times New Roman" w:eastAsia="黑体" w:cs="Times New Roman"/>
          <w:bCs/>
          <w:sz w:val="36"/>
          <w:szCs w:val="28"/>
        </w:rPr>
        <w:t xml:space="preserve">投标分项报价</w:t>
      </w:r>
      <w:r>
        <w:rPr>
          <w:rFonts w:hint="eastAsia" w:ascii="Times New Roman" w:hAnsi="Times New Roman" w:eastAsia="黑体" w:cs="Times New Roman"/>
          <w:bCs/>
          <w:sz w:val="36"/>
          <w:szCs w:val="28"/>
        </w:rPr>
        <w:t xml:space="preserve">总</w:t>
      </w:r>
      <w:r>
        <w:rPr>
          <w:rFonts w:ascii="Times New Roman" w:hAnsi="Times New Roman" w:eastAsia="黑体" w:cs="Times New Roman"/>
          <w:bCs/>
          <w:sz w:val="36"/>
          <w:szCs w:val="28"/>
        </w:rPr>
        <w:t xml:space="preserve">表</w:t>
      </w:r>
      <w:r>
        <w:rPr>
          <w:rFonts w:hint="eastAsia" w:ascii="Times New Roman" w:hAnsi="Times New Roman" w:eastAsia="黑体" w:cs="Times New Roman"/>
          <w:bCs/>
          <w:sz w:val="36"/>
          <w:szCs w:val="28"/>
        </w:rPr>
        <w:t xml:space="preserve">（一）</w:t>
      </w:r>
      <w:r/>
    </w:p>
    <w:p>
      <w:pPr>
        <w:jc w:val="left"/>
        <w:spacing w:line="560" w:lineRule="exact"/>
        <w:rPr>
          <w:rFonts w:ascii="Times New Roman" w:hAnsi="Times New Roman" w:cs="Times New Roman"/>
          <w:b/>
          <w:bCs/>
          <w:color w:val="000000"/>
          <w:sz w:val="24"/>
        </w:rPr>
      </w:pPr>
      <w:r>
        <w:rPr>
          <w:rFonts w:hint="eastAsia" w:ascii="Times New Roman" w:hAnsi="Times New Roman" w:cs="Times New Roman"/>
          <w:b/>
          <w:bCs/>
          <w:color w:val="000000"/>
          <w:sz w:val="24"/>
        </w:rPr>
        <w:t xml:space="preserve">注：本表格为总报价表（包含服务、货物等涉及本项目所有报价）</w:t>
      </w:r>
      <w:r/>
    </w:p>
    <w:p>
      <w:pPr>
        <w:jc w:val="left"/>
        <w:spacing w:line="360" w:lineRule="auto"/>
        <w:rPr>
          <w:rFonts w:ascii="Times New Roman" w:hAnsi="Times New Roman" w:eastAsia="宋体" w:cs="Times New Roman"/>
          <w:bCs/>
          <w:color w:val="000000"/>
          <w:sz w:val="24"/>
          <w:szCs w:val="24"/>
        </w:rPr>
      </w:pPr>
      <w:r>
        <w:rPr>
          <w:rFonts w:ascii="Times New Roman" w:hAnsi="Times New Roman" w:eastAsia="宋体" w:cs="Times New Roman"/>
          <w:color w:val="000000"/>
          <w:sz w:val="24"/>
          <w:szCs w:val="24"/>
        </w:rPr>
        <w:t xml:space="preserve">项目名称：      项目编号：      分包号：</w:t>
      </w:r>
      <w:r>
        <w:rPr>
          <w:rFonts w:ascii="Times New Roman" w:hAnsi="Times New Roman" w:eastAsia="宋体" w:cs="Times New Roman"/>
          <w:bCs/>
          <w:color w:val="000000"/>
          <w:sz w:val="24"/>
          <w:szCs w:val="24"/>
        </w:rPr>
        <w:t xml:space="preserve"> </w:t>
      </w:r>
      <w:r/>
    </w:p>
    <w:p>
      <w:pPr>
        <w:jc w:val="righ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单位：元</w:t>
      </w:r>
      <w:r/>
    </w:p>
    <w:tbl>
      <w:tblPr>
        <w:tblStyle w:val="851"/>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t xml:space="preserve">序号</w:t>
            </w:r>
            <w:r/>
          </w:p>
        </w:tc>
        <w:tc>
          <w:tcPr>
            <w:tcW w:w="2083" w:type="dxa"/>
            <w:vAlign w:val="center"/>
            <w:textDirection w:val="lrTb"/>
            <w:noWrap w:val="false"/>
          </w:tcPr>
          <w:p>
            <w:pPr>
              <w:jc w:val="center"/>
              <w:spacing w:line="560" w:lineRule="exact"/>
              <w:rPr>
                <w:rFonts w:ascii="Times New Roman" w:hAnsi="Times New Roman" w:cs="Times New Roman"/>
                <w:color w:val="000000"/>
                <w:sz w:val="24"/>
              </w:rPr>
            </w:pPr>
            <w:r>
              <w:rPr>
                <w:rFonts w:hint="eastAsia" w:ascii="Times New Roman" w:hAnsi="Times New Roman" w:cs="Times New Roman"/>
                <w:color w:val="000000"/>
                <w:sz w:val="24"/>
              </w:rPr>
              <w:t xml:space="preserve">产品、</w:t>
            </w:r>
            <w:r>
              <w:rPr>
                <w:rFonts w:ascii="Times New Roman" w:hAnsi="Times New Roman" w:cs="Times New Roman"/>
                <w:color w:val="000000"/>
                <w:sz w:val="24"/>
              </w:rPr>
              <w:t xml:space="preserve">服务（标的）名称</w:t>
            </w:r>
            <w:r/>
          </w:p>
        </w:tc>
        <w:tc>
          <w:tcPr>
            <w:tcW w:w="146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t xml:space="preserve">分项单位</w:t>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t xml:space="preserve">数量</w:t>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t xml:space="preserve">单价</w:t>
            </w:r>
            <w:r/>
          </w:p>
        </w:tc>
        <w:tc>
          <w:tcPr>
            <w:tcW w:w="149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t xml:space="preserve">单项</w:t>
            </w:r>
            <w:r/>
          </w:p>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208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46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49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208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46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49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208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46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49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b/>
                <w:bCs/>
                <w:color w:val="000000"/>
                <w:sz w:val="24"/>
              </w:rPr>
              <w:t xml:space="preserve">总计（元）</w:t>
            </w:r>
            <w:r>
              <w:rPr>
                <w:rFonts w:hint="eastAsia" w:ascii="Times New Roman" w:hAnsi="Times New Roman" w:cs="Times New Roman"/>
                <w:b/>
                <w:bCs/>
                <w:color w:val="000000"/>
                <w:sz w:val="24"/>
              </w:rPr>
              <w:t xml:space="preserve">（须与开标一览表中总价一致）</w:t>
            </w:r>
            <w:r/>
          </w:p>
        </w:tc>
        <w:tc>
          <w:tcPr>
            <w:tcW w:w="149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法定代表人（单位负责人）或委托代理人（签字或盖章）：</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日期：    年     月     日</w:t>
      </w:r>
      <w:r/>
    </w:p>
    <w:p>
      <w:pPr>
        <w:ind w:firstLine="480"/>
        <w:spacing w:line="500" w:lineRule="exact"/>
        <w:rPr>
          <w:rFonts w:ascii="Times New Roman" w:hAnsi="Times New Roman" w:eastAsia="宋体" w:cs="Times New Roman"/>
          <w:color w:val="000000"/>
          <w:sz w:val="24"/>
          <w:szCs w:val="24"/>
          <w:highlight w:val="yellow"/>
        </w:rPr>
      </w:pPr>
      <w:r>
        <w:rPr>
          <w:rFonts w:ascii="Times New Roman" w:hAnsi="Times New Roman" w:eastAsia="宋体" w:cs="Times New Roman"/>
          <w:color w:val="000000"/>
          <w:sz w:val="24"/>
          <w:szCs w:val="24"/>
          <w:highlight w:val="yellow"/>
        </w:rPr>
      </w:r>
      <w:r/>
    </w:p>
    <w:p>
      <w:pPr>
        <w:jc w:val="center"/>
        <w:spacing w:line="360" w:lineRule="auto"/>
        <w:tabs>
          <w:tab w:val="left" w:pos="360" w:leader="none"/>
        </w:tabs>
        <w:rPr>
          <w:rFonts w:ascii="Times New Roman" w:hAnsi="Times New Roman" w:cs="Times New Roman"/>
          <w:b/>
          <w:bCs/>
          <w:color w:val="000000"/>
          <w:sz w:val="24"/>
        </w:rPr>
      </w:pPr>
      <w:r>
        <w:rPr>
          <w:rFonts w:hint="eastAsia" w:ascii="黑体" w:hAnsi="黑体" w:eastAsia="黑体" w:cs="宋体"/>
          <w:bCs/>
          <w:sz w:val="36"/>
          <w:szCs w:val="28"/>
        </w:rPr>
        <w:t xml:space="preserve">货物投标分项报价表（二）</w:t>
      </w:r>
      <w:r/>
    </w:p>
    <w:p>
      <w:pPr>
        <w:jc w:val="left"/>
        <w:spacing w:line="560" w:lineRule="exact"/>
        <w:rPr>
          <w:rFonts w:ascii="Times New Roman" w:hAnsi="Times New Roman" w:cs="Times New Roman"/>
          <w:b/>
          <w:bCs/>
          <w:color w:val="000000"/>
          <w:sz w:val="24"/>
        </w:rPr>
      </w:pPr>
      <w:r>
        <w:rPr>
          <w:rFonts w:hint="eastAsia" w:ascii="Times New Roman" w:hAnsi="Times New Roman" w:cs="Times New Roman"/>
          <w:b/>
          <w:bCs/>
          <w:color w:val="000000"/>
          <w:sz w:val="24"/>
        </w:rPr>
        <w:t xml:space="preserve">注：本表格仅针对本项目中涉及的货物报价详细表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851"/>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val="false"/>
          </w:tcPr>
          <w:p>
            <w:pPr>
              <w:jc w:val="center"/>
              <w:spacing w:line="360" w:lineRule="auto"/>
              <w:widowControl/>
              <w:rPr>
                <w:rFonts w:ascii="Times New Roman" w:hAnsi="Times New Roman" w:eastAsia="宋体"/>
                <w:bCs/>
                <w:color w:val="000000"/>
                <w:szCs w:val="24"/>
              </w:rPr>
            </w:pPr>
            <w:r>
              <w:rPr>
                <w:rFonts w:hint="eastAsia" w:ascii="Times New Roman" w:hAnsi="Times New Roman"/>
                <w:b/>
                <w:color w:val="000000"/>
                <w:szCs w:val="24"/>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2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0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ascii="Times New Roman" w:hAnsi="Times New Roman"/>
                <w:color w:val="000000"/>
                <w:szCs w:val="24"/>
              </w:rPr>
            </w:pPr>
            <w:r>
              <w:rPr>
                <w:rFonts w:ascii="Times New Roman" w:hAnsi="Times New Roman"/>
                <w:color w:val="000000"/>
                <w:szCs w:val="24"/>
              </w:rPr>
            </w:r>
            <w:r/>
          </w:p>
        </w:tc>
        <w:tc>
          <w:tcPr>
            <w:gridSpan w:val="5"/>
            <w:tcW w:w="3916"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00" w:type="dxa"/>
            <w:vAlign w:val="center"/>
            <w:textDirection w:val="lrTb"/>
            <w:noWrap/>
          </w:tcPr>
          <w:p>
            <w:pPr>
              <w:spacing w:line="360" w:lineRule="auto"/>
              <w:widowControl/>
              <w:rPr>
                <w:rFonts w:ascii="宋体" w:hAnsi="宋体" w:eastAsia="宋体" w:cs="Times New Roman"/>
                <w:b/>
                <w:bCs/>
                <w:sz w:val="24"/>
                <w:szCs w:val="32"/>
                <w:highlight w:val="green"/>
              </w:rPr>
            </w:pPr>
            <w:r>
              <w:rPr>
                <w:rFonts w:hint="eastAsia" w:ascii="宋体" w:hAnsi="宋体" w:eastAsia="宋体" w:cs="Times New Roman"/>
                <w:b/>
                <w:bCs/>
                <w:sz w:val="24"/>
                <w:szCs w:val="32"/>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ind w:firstLine="480"/>
        <w:jc w:val="left"/>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填报说明：</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1.“制造商企业类型”栏填写内容为“大型”“中型”“小型”“微型”“监狱企业”或“残疾人福利性单位”。</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2.请供应商如实、正确填写本表，所填内容将作为评审的依据，其内容应与对应的证明资料相符。</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3.行数或事项不够，可自行增加。投标人需认真填写本报价表，尤其注意规格型号的准确填写。</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p>
      <w:pPr>
        <w:ind w:firstLine="480"/>
        <w:jc w:val="left"/>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p>
      <w:pPr>
        <w:ind w:firstLine="480"/>
        <w:jc w:val="left"/>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keepLines/>
        <w:keepNext/>
        <w:spacing w:before="360" w:after="200" w:line="360" w:lineRule="auto"/>
        <w:rPr>
          <w:rFonts w:ascii="Arial" w:hAnsi="Arial" w:eastAsia="宋体" w:cs="Arial"/>
          <w:b/>
          <w:bCs/>
          <w:sz w:val="32"/>
        </w:rPr>
        <w:outlineLvl w:val="1"/>
      </w:pPr>
      <w:r>
        <w:rPr>
          <w:rFonts w:hint="eastAsia" w:ascii="Arial" w:hAnsi="Arial" w:eastAsia="宋体" w:cs="Arial"/>
          <w:b/>
          <w:bCs/>
          <w:sz w:val="32"/>
        </w:rPr>
        <w:t xml:space="preserve">十四、关于符合本国产品标准的声明函</w:t>
      </w:r>
      <w:r/>
    </w:p>
    <w:p>
      <w:pPr>
        <w:pStyle w:val="860"/>
        <w:ind w:firstLine="420"/>
        <w:spacing w:beforeAutospacing="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60"/>
        <w:ind w:firstLine="420"/>
        <w:spacing w:beforeAutospacing="0" w:afterAutospacing="0" w:line="360" w:lineRule="auto"/>
        <w:rPr>
          <w:rFonts w:ascii="宋体" w:hAnsi="宋体" w:eastAsia="宋体" w:cs="宋体"/>
          <w:szCs w:val="24"/>
        </w:rPr>
      </w:pPr>
      <w:r>
        <w:rPr>
          <w:rFonts w:hint="eastAsia" w:ascii="宋体" w:hAnsi="宋体" w:eastAsia="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0"/>
        <w:ind w:firstLine="420"/>
        <w:spacing w:before="30" w:beforeAutospacing="0" w:after="30" w:afterAutospacing="0" w:line="360" w:lineRule="auto"/>
        <w:rPr>
          <w:rFonts w:ascii="宋体" w:hAnsi="宋体" w:eastAsia="宋体" w:cs="宋体"/>
          <w:szCs w:val="24"/>
        </w:rPr>
      </w:pP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Cs w:val="24"/>
          <w:shd w:val="clear" w:color="auto" w:fill="ffffff"/>
        </w:rPr>
        <w:t xml:space="preserve">1.</w:t>
      </w:r>
      <w:r>
        <w:rPr>
          <w:rStyle w:val="864"/>
          <w:rFonts w:hint="eastAsia" w:ascii="宋体" w:hAnsi="宋体" w:eastAsia="宋体" w:cs="宋体"/>
          <w:i w:val="0"/>
          <w:szCs w:val="24"/>
          <w:u w:val="single"/>
          <w:shd w:val="clear" w:color="auto" w:fill="ffffff"/>
        </w:rPr>
        <w:t xml:space="preserve">（产品名称1）</w:t>
      </w:r>
      <w:r>
        <w:rPr>
          <w:rStyle w:val="864"/>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Style w:val="864"/>
          <w:rFonts w:hint="eastAsia" w:ascii="宋体" w:hAnsi="宋体" w:eastAsia="宋体" w:cs="宋体"/>
          <w:i w:val="0"/>
          <w:szCs w:val="24"/>
          <w:u w:val="single"/>
          <w:shd w:val="clear" w:color="auto" w:fill="ffffff"/>
        </w:rPr>
        <w:t xml:space="preserve">（厂名）</w:t>
      </w:r>
      <w:r>
        <w:rPr>
          <w:rStyle w:val="864"/>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Style w:val="864"/>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Fonts w:hint="eastAsia" w:ascii="宋体" w:hAnsi="宋体" w:eastAsia="宋体" w:cs="宋体"/>
          <w:szCs w:val="24"/>
          <w:u w:val="single"/>
          <w:shd w:val="clear" w:color="auto" w:fill="ffffff"/>
        </w:rPr>
        <w:t xml:space="preserve"> </w:t>
      </w:r>
      <w:r>
        <w:rPr>
          <w:rStyle w:val="864"/>
          <w:rFonts w:hint="eastAsia" w:ascii="宋体" w:hAnsi="宋体" w:eastAsia="宋体" w:cs="宋体"/>
          <w:i w:val="0"/>
          <w:szCs w:val="24"/>
          <w:u w:val="single"/>
          <w:shd w:val="clear" w:color="auto" w:fill="ffffff"/>
        </w:rPr>
        <w:t xml:space="preserve">（产品名称1） </w:t>
      </w:r>
      <w:r>
        <w:rPr>
          <w:rFonts w:hint="eastAsia" w:ascii="宋体" w:hAnsi="宋体" w:eastAsia="宋体" w:cs="宋体"/>
          <w:szCs w:val="24"/>
          <w:shd w:val="clear" w:color="auto" w:fill="ffffff"/>
        </w:rPr>
        <w:t xml:space="preserve">的中国境内生产的组件成本占比≥</w:t>
      </w:r>
      <w:r>
        <w:rPr>
          <w:rStyle w:val="864"/>
          <w:rFonts w:hint="eastAsia" w:ascii="宋体" w:hAnsi="宋体" w:eastAsia="宋体" w:cs="宋体"/>
          <w:i w:val="0"/>
          <w:szCs w:val="24"/>
          <w:u w:val="single"/>
          <w:shd w:val="clear" w:color="auto" w:fill="ffffff"/>
        </w:rPr>
        <w:t xml:space="preserve">（规定比例）</w:t>
      </w:r>
      <w:r>
        <w:rPr>
          <w:rStyle w:val="864"/>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Style w:val="86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864"/>
          <w:rFonts w:hint="eastAsia" w:ascii="宋体" w:hAnsi="宋体" w:eastAsia="宋体" w:cs="宋体"/>
          <w:i w:val="0"/>
          <w:szCs w:val="24"/>
          <w:u w:val="single"/>
          <w:shd w:val="clear" w:color="auto" w:fill="ffffff"/>
        </w:rPr>
        <w:t xml:space="preserve">（关键组件）</w:t>
      </w:r>
      <w:r>
        <w:rPr>
          <w:rStyle w:val="864"/>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Style w:val="86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864"/>
          <w:rFonts w:hint="eastAsia" w:ascii="宋体" w:hAnsi="宋体" w:eastAsia="宋体" w:cs="宋体"/>
          <w:i w:val="0"/>
          <w:szCs w:val="24"/>
          <w:u w:val="single"/>
          <w:shd w:val="clear" w:color="auto" w:fill="ffffff"/>
        </w:rPr>
        <w:t xml:space="preserve">（关键工序）</w:t>
      </w:r>
      <w:r>
        <w:rPr>
          <w:rStyle w:val="864"/>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pStyle w:val="860"/>
        <w:ind w:firstLine="420"/>
        <w:spacing w:before="30" w:beforeAutospacing="0" w:after="30" w:afterAutospacing="0" w:line="360" w:lineRule="auto"/>
        <w:rPr>
          <w:rFonts w:ascii="宋体" w:hAnsi="宋体" w:eastAsia="宋体" w:cs="宋体"/>
          <w:szCs w:val="24"/>
        </w:rPr>
      </w:pP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Cs w:val="24"/>
          <w:shd w:val="clear" w:color="auto" w:fill="ffffff"/>
        </w:rPr>
        <w:t xml:space="preserve">2.</w:t>
      </w:r>
      <w:r>
        <w:rPr>
          <w:rStyle w:val="86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，生产厂为</w:t>
      </w:r>
      <w:r>
        <w:rPr>
          <w:rStyle w:val="864"/>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864"/>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86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的中国境内生产的组件成本占比≥</w:t>
      </w:r>
      <w:r>
        <w:rPr>
          <w:rStyle w:val="864"/>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86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864"/>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86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864"/>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860"/>
        <w:ind w:firstLine="42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w:t>
      </w:r>
      <w:r/>
    </w:p>
    <w:p>
      <w:pPr>
        <w:pStyle w:val="860"/>
        <w:ind w:firstLine="42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本公司（单位）对上述声明内容的真实性负责。如有虚假，愿承担相应法律责任。</w:t>
      </w:r>
      <w:r/>
    </w:p>
    <w:p>
      <w:pPr>
        <w:pStyle w:val="860"/>
        <w:ind w:right="480" w:firstLine="372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公司（单位）名称（盖章）：　        </w:t>
      </w:r>
      <w:r/>
    </w:p>
    <w:p>
      <w:pPr>
        <w:pStyle w:val="860"/>
        <w:jc w:val="center"/>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                                日期：　   年　  月　  日         </w:t>
      </w:r>
      <w:r/>
    </w:p>
    <w:p>
      <w:pPr>
        <w:pStyle w:val="86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1.产品如有型号，请在“产品名称”栏一并填写。</w:t>
      </w:r>
      <w:r/>
    </w:p>
    <w:p>
      <w:pPr>
        <w:pStyle w:val="86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2.生产厂名与厂址应与生产厂营业执照载明的相关信息保持一致。</w:t>
      </w:r>
      <w:r/>
    </w:p>
    <w:p>
      <w:pPr>
        <w:pStyle w:val="86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3.该产品的中国境内生产的组件成本占比相关要求实施前，“规定比例”栏可不填，下同。</w:t>
      </w:r>
      <w:r/>
    </w:p>
    <w:p>
      <w:pPr>
        <w:pStyle w:val="86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4.该产品的关键组件要求实施前，“关键组件”栏可不填，下同。</w:t>
      </w:r>
      <w:r/>
    </w:p>
    <w:p>
      <w:pPr>
        <w:pStyle w:val="860"/>
        <w:spacing w:before="30" w:beforeAutospacing="0" w:after="3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5.该产品的关键工序要求实施前，“关键工序”栏可不填，下同。</w:t>
      </w:r>
      <w:r/>
    </w:p>
    <w:p>
      <w:pPr>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6.用斜线划除的地方无需填写。</w:t>
      </w:r>
      <w:r/>
    </w:p>
    <w:p>
      <w:pPr>
        <w:jc w:val="left"/>
        <w:spacing w:line="360" w:lineRule="auto"/>
        <w:rPr>
          <w:rFonts w:ascii="宋体" w:hAnsi="宋体"/>
          <w:sz w:val="24"/>
          <w:szCs w:val="24"/>
        </w:rPr>
      </w:pPr>
      <w:r>
        <w:rPr>
          <w:rFonts w:hint="eastAsia" w:ascii="宋体" w:hAnsi="宋体"/>
          <w:sz w:val="24"/>
          <w:szCs w:val="24"/>
        </w:rPr>
        <w:t xml:space="preserve">7.请供应商如实填写，如填写有误，将承担一切不利后果。</w:t>
      </w:r>
      <w:r/>
    </w:p>
    <w:p>
      <w:pPr>
        <w:pStyle w:val="860"/>
        <w:spacing w:beforeAutospacing="0" w:after="150" w:afterAutospacing="0" w:line="27" w:lineRule="atLeast"/>
        <w:shd w:val="clear" w:color="auto" w:fill="ffffff"/>
        <w:widowControl/>
        <w:rPr>
          <w:rFonts w:ascii="宋体" w:hAnsi="宋体"/>
          <w:szCs w:val="24"/>
        </w:rPr>
      </w:pPr>
      <w:r>
        <w:rPr>
          <w:rFonts w:hint="eastAsia" w:ascii="宋体" w:hAnsi="宋体"/>
          <w:szCs w:val="24"/>
        </w:rPr>
        <w:t xml:space="preserve">8.供应商提供虚假《声明函》、虚假证明文件谋取中标的，依照《中华人民共</w:t>
      </w:r>
      <w:r/>
    </w:p>
    <w:p>
      <w:pPr>
        <w:pStyle w:val="860"/>
        <w:spacing w:beforeAutospacing="0" w:after="150" w:afterAutospacing="0" w:line="27" w:lineRule="atLeast"/>
        <w:shd w:val="clear" w:color="auto" w:fill="ffffff"/>
        <w:widowControl/>
        <w:rPr>
          <w:rFonts w:ascii="宋体" w:hAnsi="宋体"/>
          <w:szCs w:val="24"/>
        </w:rPr>
      </w:pPr>
      <w:r>
        <w:rPr>
          <w:rFonts w:hint="eastAsia" w:ascii="宋体" w:hAnsi="宋体"/>
          <w:szCs w:val="24"/>
        </w:rPr>
        <w:t xml:space="preserve">国政府采购法》等法律法规规定追究相应责任。</w:t>
      </w:r>
      <w:r/>
    </w:p>
    <w:p>
      <w:pPr>
        <w:pStyle w:val="860"/>
        <w:spacing w:beforeAutospacing="0" w:after="150" w:afterAutospacing="0" w:line="27" w:lineRule="atLeast"/>
        <w:shd w:val="clear" w:color="auto" w:fill="ffffff"/>
        <w:widowControl/>
      </w:pPr>
      <w:r>
        <w:rPr>
          <w:rFonts w:hint="eastAsia" w:ascii="宋体" w:hAnsi="宋体" w:eastAsia="宋体" w:cs="宋体"/>
          <w:color w:val="333333"/>
          <w:szCs w:val="24"/>
          <w:shd w:val="clear" w:color="auto" w:fill="ffffff"/>
        </w:rPr>
        <w:t xml:space="preserve">9.</w:t>
      </w:r>
      <w:r>
        <w:rPr>
          <w:rFonts w:hint="eastAsia" w:ascii="宋体" w:hAnsi="宋体"/>
          <w:szCs w:val="24"/>
        </w:rPr>
        <w:t xml:space="preserve">中标人的</w:t>
      </w:r>
      <w:r>
        <w:rPr>
          <w:rFonts w:hint="eastAsia" w:ascii="宋体" w:hAnsi="宋体" w:eastAsia="宋体" w:cs="宋体"/>
          <w:color w:val="333333"/>
          <w:szCs w:val="24"/>
          <w:shd w:val="clear" w:color="auto" w:fill="ffffff"/>
        </w:rPr>
        <w:t xml:space="preserve">《声明函》或有关证明文件</w:t>
      </w:r>
      <w:r>
        <w:rPr>
          <w:rFonts w:hint="eastAsia" w:ascii="宋体" w:hAnsi="宋体"/>
          <w:szCs w:val="24"/>
        </w:rPr>
        <w:t xml:space="preserve">随中标结果公开，接受社会监督。</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十五、技术要求响应及偏离表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1"/>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1" w:name="_Hlt26955054"/>
      <w:r/>
      <w:bookmarkEnd w:id="11"/>
      <w:r>
        <w:rPr>
          <w:rFonts w:hint="eastAsia" w:ascii="Arial" w:hAnsi="Arial" w:eastAsia="宋体" w:cs="Arial"/>
          <w:b/>
          <w:iCs/>
          <w:sz w:val="36"/>
        </w:rPr>
        <w:t xml:space="preserve">十六、商务要求响应及偏离表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1"/>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ascii="宋体" w:hAnsi="宋体" w:eastAsia="宋体" w:cs="Times New Roman"/>
                <w:color w:val="000000"/>
                <w:sz w:val="24"/>
                <w:szCs w:val="24"/>
              </w:rPr>
            </w:pPr>
            <w:r/>
            <w:bookmarkStart w:id="12" w:name="_Hlt26782999"/>
            <w:r/>
            <w:bookmarkEnd w:id="12"/>
            <w:r/>
            <w:bookmarkStart w:id="13" w:name="_Hlt26580838"/>
            <w:r/>
            <w:bookmarkEnd w:id="13"/>
            <w:r/>
            <w:bookmarkStart w:id="14" w:name="_Hlt24879081"/>
            <w:r/>
            <w:bookmarkEnd w:id="14"/>
            <w:r/>
            <w:bookmarkStart w:id="15" w:name="_Hlt26671372"/>
            <w:r/>
            <w:bookmarkEnd w:id="15"/>
            <w:r/>
            <w:bookmarkStart w:id="16" w:name="_Hlt26955064"/>
            <w:r/>
            <w:bookmarkEnd w:id="16"/>
            <w:r/>
            <w:bookmarkStart w:id="17" w:name="_Hlt26609391"/>
            <w:r/>
            <w:bookmarkEnd w:id="17"/>
            <w:r/>
            <w:bookmarkStart w:id="18" w:name="_Hlt26955056"/>
            <w:r/>
            <w:bookmarkEnd w:id="18"/>
            <w:r/>
            <w:bookmarkStart w:id="19" w:name="_Hlt26671343"/>
            <w:r/>
            <w:bookmarkEnd w:id="19"/>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0" w:name="_Hlt26671374"/>
      <w:r/>
      <w:bookmarkEnd w:id="20"/>
      <w:r/>
      <w:bookmarkStart w:id="21" w:name="_Hlt26955066"/>
      <w:r/>
      <w:bookmarkEnd w:id="21"/>
      <w:r/>
      <w:bookmarkStart w:id="22" w:name="_格式2__法定代表人授权书"/>
      <w:r/>
      <w:bookmarkEnd w:id="22"/>
      <w:r/>
      <w:bookmarkStart w:id="23" w:name="_Hlt26609389"/>
      <w:r/>
      <w:bookmarkEnd w:id="23"/>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1"/>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十八、项目团队人员一览表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1"/>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十九、开标一览表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rPr>
          <w:rFonts w:ascii="宋体" w:hAnsi="宋体" w:eastAsia="宋体" w:cs="Times New Roman"/>
          <w:bCs/>
          <w:color w:val="000000" w:themeColor="text1"/>
          <w:sz w:val="24"/>
          <w:szCs w:val="24"/>
        </w:rPr>
        <w:t xml:space="preserve"> </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862"/>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（电子签章）</w:t>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54"/>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方正仿宋_GBK">
    <w:panose1 w:val="020B0503020202020204"/>
  </w:font>
  <w:font w:name="Wingdings">
    <w:panose1 w:val="05000000000000000000"/>
  </w:font>
  <w:font w:name="Symbol">
    <w:panose1 w:val="05050102010706020507"/>
  </w:font>
  <w:font w:name="新宋体">
    <w:panose1 w:val="02010609030101010101"/>
  </w:font>
  <w:font w:name="楷体_GB2312">
    <w:panose1 w:val="02010609060101010101"/>
  </w:font>
  <w:font w:name="黑体">
    <w:panose1 w:val="02010609060101010101"/>
  </w:font>
  <w:font w:name="仿宋_GB2312">
    <w:panose1 w:val="02010609060101010101"/>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r/>
  </w:p>
  <w:p>
    <w:pPr>
      <w:pStyle w:val="8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57"/>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8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50"/>
    <w:link w:val="847"/>
    <w:uiPriority w:val="9"/>
    <w:rPr>
      <w:rFonts w:ascii="Arial" w:hAnsi="Arial" w:eastAsia="Arial" w:cs="Arial"/>
      <w:sz w:val="40"/>
      <w:szCs w:val="40"/>
    </w:rPr>
  </w:style>
  <w:style w:type="character" w:styleId="677">
    <w:name w:val="Heading 2 Char"/>
    <w:basedOn w:val="850"/>
    <w:link w:val="848"/>
    <w:uiPriority w:val="9"/>
    <w:rPr>
      <w:rFonts w:ascii="Arial" w:hAnsi="Arial" w:eastAsia="Arial" w:cs="Arial"/>
      <w:sz w:val="34"/>
    </w:rPr>
  </w:style>
  <w:style w:type="character" w:styleId="678">
    <w:name w:val="Heading 3 Char"/>
    <w:basedOn w:val="850"/>
    <w:link w:val="849"/>
    <w:uiPriority w:val="9"/>
    <w:rPr>
      <w:rFonts w:ascii="Arial" w:hAnsi="Arial" w:eastAsia="Arial" w:cs="Arial"/>
      <w:sz w:val="30"/>
      <w:szCs w:val="30"/>
    </w:rPr>
  </w:style>
  <w:style w:type="paragraph" w:styleId="679">
    <w:name w:val="Heading 4"/>
    <w:basedOn w:val="846"/>
    <w:next w:val="846"/>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basedOn w:val="850"/>
    <w:link w:val="679"/>
    <w:uiPriority w:val="9"/>
    <w:rPr>
      <w:rFonts w:ascii="Arial" w:hAnsi="Arial" w:eastAsia="Arial" w:cs="Arial"/>
      <w:b/>
      <w:bCs/>
      <w:sz w:val="26"/>
      <w:szCs w:val="26"/>
    </w:rPr>
  </w:style>
  <w:style w:type="paragraph" w:styleId="681">
    <w:name w:val="Heading 5"/>
    <w:basedOn w:val="846"/>
    <w:next w:val="846"/>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basedOn w:val="850"/>
    <w:link w:val="681"/>
    <w:uiPriority w:val="9"/>
    <w:rPr>
      <w:rFonts w:ascii="Arial" w:hAnsi="Arial" w:eastAsia="Arial" w:cs="Arial"/>
      <w:b/>
      <w:bCs/>
      <w:sz w:val="24"/>
      <w:szCs w:val="24"/>
    </w:rPr>
  </w:style>
  <w:style w:type="paragraph" w:styleId="683">
    <w:name w:val="Heading 6"/>
    <w:basedOn w:val="846"/>
    <w:next w:val="846"/>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basedOn w:val="850"/>
    <w:link w:val="683"/>
    <w:uiPriority w:val="9"/>
    <w:rPr>
      <w:rFonts w:ascii="Arial" w:hAnsi="Arial" w:eastAsia="Arial" w:cs="Arial"/>
      <w:b/>
      <w:bCs/>
      <w:sz w:val="22"/>
      <w:szCs w:val="22"/>
    </w:rPr>
  </w:style>
  <w:style w:type="paragraph" w:styleId="685">
    <w:name w:val="Heading 7"/>
    <w:basedOn w:val="846"/>
    <w:next w:val="846"/>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basedOn w:val="850"/>
    <w:link w:val="685"/>
    <w:uiPriority w:val="9"/>
    <w:rPr>
      <w:rFonts w:ascii="Arial" w:hAnsi="Arial" w:eastAsia="Arial" w:cs="Arial"/>
      <w:b/>
      <w:bCs/>
      <w:i/>
      <w:iCs/>
      <w:sz w:val="22"/>
      <w:szCs w:val="22"/>
    </w:rPr>
  </w:style>
  <w:style w:type="paragraph" w:styleId="687">
    <w:name w:val="Heading 8"/>
    <w:basedOn w:val="846"/>
    <w:next w:val="846"/>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basedOn w:val="850"/>
    <w:link w:val="687"/>
    <w:uiPriority w:val="9"/>
    <w:rPr>
      <w:rFonts w:ascii="Arial" w:hAnsi="Arial" w:eastAsia="Arial" w:cs="Arial"/>
      <w:i/>
      <w:iCs/>
      <w:sz w:val="22"/>
      <w:szCs w:val="22"/>
    </w:rPr>
  </w:style>
  <w:style w:type="paragraph" w:styleId="689">
    <w:name w:val="Heading 9"/>
    <w:basedOn w:val="846"/>
    <w:next w:val="846"/>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basedOn w:val="850"/>
    <w:link w:val="689"/>
    <w:uiPriority w:val="9"/>
    <w:rPr>
      <w:rFonts w:ascii="Arial" w:hAnsi="Arial" w:eastAsia="Arial" w:cs="Arial"/>
      <w:i/>
      <w:iCs/>
      <w:sz w:val="21"/>
      <w:szCs w:val="21"/>
    </w:rPr>
  </w:style>
  <w:style w:type="paragraph" w:styleId="691">
    <w:name w:val="List Paragraph"/>
    <w:basedOn w:val="846"/>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846"/>
    <w:next w:val="846"/>
    <w:link w:val="694"/>
    <w:uiPriority w:val="10"/>
    <w:qFormat/>
    <w:pPr>
      <w:contextualSpacing/>
      <w:spacing w:before="300" w:after="200"/>
    </w:pPr>
    <w:rPr>
      <w:sz w:val="48"/>
      <w:szCs w:val="48"/>
    </w:rPr>
  </w:style>
  <w:style w:type="character" w:styleId="694">
    <w:name w:val="Title Char"/>
    <w:basedOn w:val="850"/>
    <w:link w:val="693"/>
    <w:uiPriority w:val="10"/>
    <w:rPr>
      <w:sz w:val="48"/>
      <w:szCs w:val="48"/>
    </w:rPr>
  </w:style>
  <w:style w:type="paragraph" w:styleId="695">
    <w:name w:val="Subtitle"/>
    <w:basedOn w:val="846"/>
    <w:next w:val="846"/>
    <w:link w:val="696"/>
    <w:uiPriority w:val="11"/>
    <w:qFormat/>
    <w:pPr>
      <w:spacing w:before="200" w:after="200"/>
    </w:pPr>
    <w:rPr>
      <w:sz w:val="24"/>
      <w:szCs w:val="24"/>
    </w:rPr>
  </w:style>
  <w:style w:type="character" w:styleId="696">
    <w:name w:val="Subtitle Char"/>
    <w:basedOn w:val="850"/>
    <w:link w:val="695"/>
    <w:uiPriority w:val="11"/>
    <w:rPr>
      <w:sz w:val="24"/>
      <w:szCs w:val="24"/>
    </w:rPr>
  </w:style>
  <w:style w:type="paragraph" w:styleId="697">
    <w:name w:val="Quote"/>
    <w:basedOn w:val="846"/>
    <w:next w:val="846"/>
    <w:link w:val="698"/>
    <w:uiPriority w:val="29"/>
    <w:qFormat/>
    <w:pPr>
      <w:ind w:left="720" w:right="720"/>
    </w:pPr>
    <w:rPr>
      <w:i/>
    </w:rPr>
  </w:style>
  <w:style w:type="character" w:styleId="698">
    <w:name w:val="Quote Char"/>
    <w:link w:val="697"/>
    <w:uiPriority w:val="29"/>
    <w:rPr>
      <w:i/>
    </w:rPr>
  </w:style>
  <w:style w:type="paragraph" w:styleId="699">
    <w:name w:val="Intense Quote"/>
    <w:basedOn w:val="846"/>
    <w:next w:val="846"/>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50"/>
    <w:link w:val="858"/>
    <w:uiPriority w:val="99"/>
  </w:style>
  <w:style w:type="character" w:styleId="702">
    <w:name w:val="Footer Char"/>
    <w:basedOn w:val="850"/>
    <w:link w:val="857"/>
    <w:uiPriority w:val="99"/>
  </w:style>
  <w:style w:type="paragraph" w:styleId="703">
    <w:name w:val="Caption"/>
    <w:basedOn w:val="846"/>
    <w:next w:val="846"/>
    <w:uiPriority w:val="35"/>
    <w:semiHidden/>
    <w:unhideWhenUsed/>
    <w:qFormat/>
    <w:pPr>
      <w:spacing w:line="276" w:lineRule="auto"/>
    </w:pPr>
    <w:rPr>
      <w:b/>
      <w:bCs/>
      <w:color w:val="4f81bd" w:themeColor="accent1"/>
      <w:sz w:val="18"/>
      <w:szCs w:val="18"/>
    </w:rPr>
  </w:style>
  <w:style w:type="character" w:styleId="704">
    <w:name w:val="Caption Char"/>
    <w:basedOn w:val="703"/>
    <w:link w:val="857"/>
    <w:uiPriority w:val="99"/>
  </w:style>
  <w:style w:type="table" w:styleId="705">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0">
    <w:name w:val="footnote text"/>
    <w:basedOn w:val="846"/>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50"/>
    <w:uiPriority w:val="99"/>
    <w:unhideWhenUsed/>
    <w:rPr>
      <w:vertAlign w:val="superscript"/>
    </w:rPr>
  </w:style>
  <w:style w:type="paragraph" w:styleId="833">
    <w:name w:val="endnote text"/>
    <w:basedOn w:val="846"/>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50"/>
    <w:uiPriority w:val="99"/>
    <w:semiHidden/>
    <w:unhideWhenUsed/>
    <w:rPr>
      <w:vertAlign w:val="superscript"/>
    </w:r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7">
    <w:name w:val="Heading 1"/>
    <w:basedOn w:val="846"/>
    <w:next w:val="846"/>
    <w:link w:val="869"/>
    <w:uiPriority w:val="9"/>
    <w:qFormat/>
    <w:pPr>
      <w:keepLines/>
      <w:keepNext/>
      <w:spacing w:before="340" w:after="330" w:line="578" w:lineRule="auto"/>
      <w:outlineLvl w:val="0"/>
    </w:pPr>
    <w:rPr>
      <w:b/>
      <w:bCs/>
      <w:sz w:val="44"/>
      <w:szCs w:val="44"/>
    </w:rPr>
  </w:style>
  <w:style w:type="paragraph" w:styleId="848">
    <w:name w:val="Heading 2"/>
    <w:basedOn w:val="846"/>
    <w:next w:val="846"/>
    <w:link w:val="87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9">
    <w:name w:val="Heading 3"/>
    <w:basedOn w:val="846"/>
    <w:next w:val="846"/>
    <w:link w:val="872"/>
    <w:uiPriority w:val="9"/>
    <w:unhideWhenUsed/>
    <w:qFormat/>
    <w:pPr>
      <w:keepLines/>
      <w:keepNext/>
      <w:spacing w:before="260" w:after="260" w:line="416" w:lineRule="auto"/>
      <w:outlineLvl w:val="2"/>
    </w:pPr>
    <w:rPr>
      <w:b/>
      <w:bCs/>
      <w:sz w:val="32"/>
      <w:szCs w:val="32"/>
    </w:rPr>
  </w:style>
  <w:style w:type="character" w:styleId="850" w:default="1">
    <w:name w:val="Default Paragraph Font"/>
    <w:uiPriority w:val="1"/>
    <w:semiHidden/>
    <w:unhideWhenUsed/>
  </w:style>
  <w:style w:type="table" w:styleId="851" w:default="1">
    <w:name w:val="Normal Table"/>
    <w:uiPriority w:val="99"/>
    <w:semiHidden/>
    <w:unhideWhenUsed/>
    <w:tblPr>
      <w:tblCellMar>
        <w:left w:w="108" w:type="dxa"/>
        <w:top w:w="0" w:type="dxa"/>
        <w:right w:w="108" w:type="dxa"/>
        <w:bottom w:w="0" w:type="dxa"/>
      </w:tblCellMar>
    </w:tblPr>
  </w:style>
  <w:style w:type="paragraph" w:styleId="852">
    <w:name w:val="Document Map"/>
    <w:basedOn w:val="846"/>
    <w:link w:val="870"/>
    <w:uiPriority w:val="99"/>
    <w:semiHidden/>
    <w:unhideWhenUsed/>
    <w:qFormat/>
    <w:rPr>
      <w:rFonts w:ascii="宋体" w:eastAsia="宋体"/>
      <w:sz w:val="18"/>
      <w:szCs w:val="18"/>
    </w:rPr>
  </w:style>
  <w:style w:type="paragraph" w:styleId="853">
    <w:name w:val="annotation text"/>
    <w:basedOn w:val="846"/>
    <w:link w:val="874"/>
    <w:uiPriority w:val="0"/>
    <w:qFormat/>
    <w:pPr>
      <w:ind w:firstLine="922"/>
      <w:jc w:val="left"/>
      <w:spacing w:line="360" w:lineRule="auto"/>
    </w:pPr>
    <w:rPr>
      <w:rFonts w:ascii="Times New Roman" w:hAnsi="Times New Roman" w:eastAsia="宋体" w:cs="Times New Roman"/>
      <w:szCs w:val="24"/>
    </w:rPr>
  </w:style>
  <w:style w:type="paragraph" w:styleId="854">
    <w:name w:val="Plain Text"/>
    <w:basedOn w:val="846"/>
    <w:link w:val="878"/>
    <w:uiPriority w:val="0"/>
    <w:qFormat/>
    <w:rPr>
      <w:rFonts w:ascii="宋体" w:hAnsi="Courier New" w:eastAsia="宋体" w:cs="Times New Roman"/>
      <w:szCs w:val="20"/>
    </w:rPr>
  </w:style>
  <w:style w:type="paragraph" w:styleId="855">
    <w:name w:val="Date"/>
    <w:basedOn w:val="846"/>
    <w:next w:val="846"/>
    <w:link w:val="873"/>
    <w:uiPriority w:val="99"/>
    <w:semiHidden/>
    <w:unhideWhenUsed/>
    <w:qFormat/>
    <w:pPr>
      <w:ind w:left="100"/>
    </w:pPr>
  </w:style>
  <w:style w:type="paragraph" w:styleId="856">
    <w:name w:val="Balloon Text"/>
    <w:basedOn w:val="846"/>
    <w:link w:val="875"/>
    <w:uiPriority w:val="99"/>
    <w:semiHidden/>
    <w:unhideWhenUsed/>
    <w:qFormat/>
    <w:rPr>
      <w:sz w:val="18"/>
      <w:szCs w:val="18"/>
    </w:rPr>
  </w:style>
  <w:style w:type="paragraph" w:styleId="857">
    <w:name w:val="Footer"/>
    <w:basedOn w:val="846"/>
    <w:link w:val="868"/>
    <w:uiPriority w:val="99"/>
    <w:unhideWhenUsed/>
    <w:qFormat/>
    <w:pPr>
      <w:jc w:val="left"/>
      <w:tabs>
        <w:tab w:val="center" w:pos="4153" w:leader="none"/>
        <w:tab w:val="right" w:pos="8306" w:leader="none"/>
      </w:tabs>
    </w:pPr>
    <w:rPr>
      <w:sz w:val="18"/>
      <w:szCs w:val="18"/>
    </w:rPr>
  </w:style>
  <w:style w:type="paragraph" w:styleId="858">
    <w:name w:val="Header"/>
    <w:basedOn w:val="846"/>
    <w:link w:val="86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9">
    <w:name w:val="toc 1"/>
    <w:basedOn w:val="846"/>
    <w:next w:val="846"/>
    <w:uiPriority w:val="39"/>
    <w:unhideWhenUsed/>
    <w:qFormat/>
    <w:pPr>
      <w:jc w:val="center"/>
      <w:spacing w:line="360" w:lineRule="auto"/>
      <w:tabs>
        <w:tab w:val="right" w:pos="9628" w:leader="dot"/>
      </w:tabs>
    </w:pPr>
    <w:rPr>
      <w:sz w:val="32"/>
    </w:rPr>
  </w:style>
  <w:style w:type="paragraph" w:styleId="860">
    <w:name w:val="Normal (Web)"/>
    <w:basedOn w:val="846"/>
    <w:uiPriority w:val="99"/>
    <w:semiHidden/>
    <w:unhideWhenUsed/>
    <w:qFormat/>
    <w:pPr>
      <w:jc w:val="left"/>
      <w:spacing w:beforeAutospacing="1" w:afterAutospacing="1"/>
    </w:pPr>
    <w:rPr>
      <w:rFonts w:cs="Times New Roman"/>
      <w:sz w:val="24"/>
    </w:rPr>
  </w:style>
  <w:style w:type="paragraph" w:styleId="861">
    <w:name w:val="annotation subject"/>
    <w:basedOn w:val="853"/>
    <w:next w:val="853"/>
    <w:link w:val="887"/>
    <w:uiPriority w:val="99"/>
    <w:semiHidden/>
    <w:unhideWhenUsed/>
    <w:qFormat/>
    <w:pPr>
      <w:ind w:firstLine="0"/>
      <w:spacing w:line="240" w:lineRule="auto"/>
    </w:pPr>
    <w:rPr>
      <w:rFonts w:asciiTheme="minorHAnsi" w:hAnsiTheme="minorHAnsi" w:eastAsiaTheme="minorEastAsia" w:cstheme="minorBidi"/>
      <w:b/>
      <w:bCs/>
      <w:szCs w:val="22"/>
    </w:rPr>
  </w:style>
  <w:style w:type="table" w:styleId="862">
    <w:name w:val="Table Grid"/>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Strong"/>
    <w:basedOn w:val="850"/>
    <w:uiPriority w:val="22"/>
    <w:qFormat/>
    <w:rPr>
      <w:b/>
    </w:rPr>
  </w:style>
  <w:style w:type="character" w:styleId="864">
    <w:name w:val="Emphasis"/>
    <w:uiPriority w:val="0"/>
    <w:qFormat/>
    <w:rPr>
      <w:i/>
    </w:rPr>
  </w:style>
  <w:style w:type="character" w:styleId="865">
    <w:name w:val="Hyperlink"/>
    <w:uiPriority w:val="99"/>
    <w:qFormat/>
    <w:rPr>
      <w:color w:val="0000ff"/>
      <w:u w:val="none"/>
    </w:rPr>
  </w:style>
  <w:style w:type="character" w:styleId="866">
    <w:name w:val="annotation reference"/>
    <w:uiPriority w:val="0"/>
    <w:qFormat/>
    <w:rPr>
      <w:sz w:val="21"/>
      <w:szCs w:val="21"/>
    </w:rPr>
  </w:style>
  <w:style w:type="character" w:styleId="867" w:customStyle="1">
    <w:name w:val="页眉 字符"/>
    <w:basedOn w:val="850"/>
    <w:link w:val="858"/>
    <w:uiPriority w:val="99"/>
    <w:qFormat/>
    <w:rPr>
      <w:sz w:val="18"/>
      <w:szCs w:val="18"/>
    </w:rPr>
  </w:style>
  <w:style w:type="character" w:styleId="868" w:customStyle="1">
    <w:name w:val="页脚 字符"/>
    <w:basedOn w:val="850"/>
    <w:link w:val="857"/>
    <w:uiPriority w:val="99"/>
    <w:qFormat/>
    <w:rPr>
      <w:sz w:val="18"/>
      <w:szCs w:val="18"/>
    </w:rPr>
  </w:style>
  <w:style w:type="character" w:styleId="869" w:customStyle="1">
    <w:name w:val="标题 1 字符"/>
    <w:basedOn w:val="850"/>
    <w:link w:val="847"/>
    <w:uiPriority w:val="9"/>
    <w:qFormat/>
    <w:rPr>
      <w:b/>
      <w:bCs/>
      <w:sz w:val="44"/>
      <w:szCs w:val="44"/>
    </w:rPr>
  </w:style>
  <w:style w:type="character" w:styleId="870" w:customStyle="1">
    <w:name w:val="文档结构图 字符"/>
    <w:basedOn w:val="850"/>
    <w:link w:val="852"/>
    <w:uiPriority w:val="99"/>
    <w:semiHidden/>
    <w:qFormat/>
    <w:rPr>
      <w:rFonts w:ascii="宋体" w:eastAsia="宋体"/>
      <w:sz w:val="18"/>
      <w:szCs w:val="18"/>
    </w:rPr>
  </w:style>
  <w:style w:type="character" w:styleId="871" w:customStyle="1">
    <w:name w:val="标题 2 字符"/>
    <w:basedOn w:val="850"/>
    <w:link w:val="848"/>
    <w:uiPriority w:val="9"/>
    <w:qFormat/>
    <w:rPr>
      <w:rFonts w:asciiTheme="majorHAnsi" w:hAnsiTheme="majorHAnsi" w:eastAsiaTheme="majorEastAsia" w:cstheme="majorBidi"/>
      <w:b/>
      <w:bCs/>
      <w:sz w:val="32"/>
      <w:szCs w:val="32"/>
    </w:rPr>
  </w:style>
  <w:style w:type="character" w:styleId="872" w:customStyle="1">
    <w:name w:val="标题 3 字符"/>
    <w:basedOn w:val="850"/>
    <w:link w:val="849"/>
    <w:uiPriority w:val="9"/>
    <w:qFormat/>
    <w:rPr>
      <w:b/>
      <w:bCs/>
      <w:sz w:val="32"/>
      <w:szCs w:val="32"/>
    </w:rPr>
  </w:style>
  <w:style w:type="character" w:styleId="873" w:customStyle="1">
    <w:name w:val="日期 字符"/>
    <w:basedOn w:val="850"/>
    <w:link w:val="855"/>
    <w:uiPriority w:val="99"/>
    <w:semiHidden/>
    <w:qFormat/>
  </w:style>
  <w:style w:type="character" w:styleId="874" w:customStyle="1">
    <w:name w:val="批注文字 字符"/>
    <w:basedOn w:val="850"/>
    <w:link w:val="853"/>
    <w:uiPriority w:val="0"/>
    <w:qFormat/>
    <w:rPr>
      <w:rFonts w:ascii="Times New Roman" w:hAnsi="Times New Roman" w:eastAsia="宋体" w:cs="Times New Roman"/>
      <w:szCs w:val="24"/>
    </w:rPr>
  </w:style>
  <w:style w:type="character" w:styleId="875" w:customStyle="1">
    <w:name w:val="批注框文本 字符"/>
    <w:basedOn w:val="850"/>
    <w:link w:val="856"/>
    <w:uiPriority w:val="99"/>
    <w:semiHidden/>
    <w:qFormat/>
    <w:rPr>
      <w:sz w:val="18"/>
      <w:szCs w:val="18"/>
    </w:rPr>
  </w:style>
  <w:style w:type="paragraph" w:styleId="876" w:customStyle="1">
    <w:name w:val="Default"/>
    <w:link w:val="877"/>
    <w:uiPriority w:val="99"/>
    <w:qFormat/>
    <w:pPr>
      <w:widowControl w:val="off"/>
    </w:pPr>
    <w:rPr>
      <w:rFonts w:ascii="MS Mincho" w:hAnsi="Calibri" w:eastAsia="宋体" w:cs="Times New Roman"/>
      <w:color w:val="000000"/>
      <w:sz w:val="21"/>
      <w:szCs w:val="24"/>
      <w:lang w:val="en-US" w:eastAsia="zh-CN" w:bidi="ar-SA"/>
    </w:rPr>
  </w:style>
  <w:style w:type="character" w:styleId="877" w:customStyle="1">
    <w:name w:val="Default Char"/>
    <w:link w:val="876"/>
    <w:uiPriority w:val="99"/>
    <w:qFormat/>
    <w:rPr>
      <w:rFonts w:ascii="MS Mincho" w:hAnsi="Calibri" w:eastAsia="宋体" w:cs="Times New Roman"/>
      <w:color w:val="000000"/>
      <w:szCs w:val="24"/>
    </w:rPr>
  </w:style>
  <w:style w:type="character" w:styleId="878" w:customStyle="1">
    <w:name w:val="纯文本 字符"/>
    <w:basedOn w:val="850"/>
    <w:link w:val="854"/>
    <w:uiPriority w:val="0"/>
    <w:qFormat/>
    <w:rPr>
      <w:rFonts w:ascii="宋体" w:hAnsi="Courier New" w:eastAsia="宋体" w:cs="Times New Roman"/>
      <w:szCs w:val="20"/>
    </w:rPr>
  </w:style>
  <w:style w:type="paragraph" w:styleId="879" w:customStyle="1">
    <w:name w:val="正文首行缩进11"/>
    <w:basedOn w:val="880"/>
    <w:uiPriority w:val="0"/>
    <w:qFormat/>
    <w:pPr>
      <w:ind w:firstLine="200"/>
      <w:spacing w:line="360" w:lineRule="auto"/>
    </w:pPr>
    <w:rPr>
      <w:rFonts w:ascii="仿宋_GB2312" w:hAnsi="Times New Roman" w:eastAsia="仿宋_GB2312"/>
      <w:sz w:val="30"/>
      <w:szCs w:val="30"/>
    </w:rPr>
  </w:style>
  <w:style w:type="paragraph" w:styleId="880" w:customStyle="1">
    <w:name w:val="正文文本11"/>
    <w:basedOn w:val="846"/>
    <w:next w:val="846"/>
    <w:uiPriority w:val="0"/>
    <w:qFormat/>
    <w:rPr>
      <w:rFonts w:ascii="楷体_GB2312" w:hAnsi="Arial" w:eastAsia="楷体_GB2312"/>
      <w:sz w:val="28"/>
      <w:szCs w:val="28"/>
      <w:lang w:eastAsia="en-US"/>
    </w:rPr>
  </w:style>
  <w:style w:type="character" w:styleId="881" w:customStyle="1">
    <w:name w:val="font91"/>
    <w:basedOn w:val="850"/>
    <w:uiPriority w:val="0"/>
    <w:qFormat/>
    <w:rPr>
      <w:rFonts w:hint="eastAsia" w:ascii="宋体" w:hAnsi="宋体" w:eastAsia="宋体" w:cs="宋体"/>
      <w:color w:val="000000"/>
      <w:sz w:val="24"/>
      <w:szCs w:val="24"/>
      <w:u w:val="none"/>
      <w:vertAlign w:val="superscript"/>
    </w:rPr>
  </w:style>
  <w:style w:type="character" w:styleId="882" w:customStyle="1">
    <w:name w:val="font12"/>
    <w:basedOn w:val="850"/>
    <w:uiPriority w:val="0"/>
    <w:qFormat/>
    <w:rPr>
      <w:rFonts w:hint="eastAsia" w:ascii="宋体" w:hAnsi="宋体" w:eastAsia="宋体" w:cs="宋体"/>
      <w:color w:val="000000"/>
      <w:sz w:val="24"/>
      <w:szCs w:val="24"/>
      <w:u w:val="none"/>
    </w:rPr>
  </w:style>
  <w:style w:type="character" w:styleId="883" w:customStyle="1">
    <w:name w:val="font51"/>
    <w:basedOn w:val="850"/>
    <w:uiPriority w:val="0"/>
    <w:qFormat/>
    <w:rPr>
      <w:rFonts w:hint="eastAsia" w:ascii="新宋体" w:hAnsi="新宋体" w:eastAsia="新宋体" w:cs="新宋体"/>
      <w:color w:val="000000"/>
      <w:sz w:val="24"/>
      <w:szCs w:val="24"/>
      <w:u w:val="none"/>
    </w:rPr>
  </w:style>
  <w:style w:type="character" w:styleId="884" w:customStyle="1">
    <w:name w:val="font101"/>
    <w:basedOn w:val="850"/>
    <w:uiPriority w:val="0"/>
    <w:qFormat/>
    <w:rPr>
      <w:rFonts w:hint="default" w:ascii="Times New Roman" w:hAnsi="Times New Roman" w:cs="Times New Roman"/>
      <w:color w:val="000000"/>
      <w:sz w:val="24"/>
      <w:szCs w:val="24"/>
      <w:u w:val="none"/>
    </w:rPr>
  </w:style>
  <w:style w:type="character" w:styleId="885" w:customStyle="1">
    <w:name w:val="font111"/>
    <w:basedOn w:val="850"/>
    <w:uiPriority w:val="0"/>
    <w:qFormat/>
    <w:rPr>
      <w:rFonts w:hint="eastAsia" w:ascii="新宋体" w:hAnsi="新宋体" w:eastAsia="新宋体" w:cs="新宋体"/>
      <w:i/>
      <w:iCs/>
      <w:color w:val="000000"/>
      <w:sz w:val="24"/>
      <w:szCs w:val="24"/>
      <w:u w:val="none"/>
    </w:rPr>
  </w:style>
  <w:style w:type="character" w:styleId="886" w:customStyle="1">
    <w:name w:val="font61"/>
    <w:basedOn w:val="850"/>
    <w:uiPriority w:val="0"/>
    <w:qFormat/>
    <w:rPr>
      <w:rFonts w:hint="eastAsia" w:ascii="新宋体" w:hAnsi="新宋体" w:eastAsia="新宋体" w:cs="新宋体"/>
      <w:i/>
      <w:iCs/>
      <w:color w:val="000000"/>
      <w:sz w:val="24"/>
      <w:szCs w:val="24"/>
      <w:u w:val="single"/>
    </w:rPr>
  </w:style>
  <w:style w:type="character" w:styleId="887" w:customStyle="1">
    <w:name w:val="批注主题 字符"/>
    <w:basedOn w:val="874"/>
    <w:link w:val="861"/>
    <w:uiPriority w:val="99"/>
    <w:semiHidden/>
    <w:qFormat/>
    <w:rPr>
      <w:rFonts w:asciiTheme="minorHAnsi" w:hAnsiTheme="minorHAnsi" w:eastAsiaTheme="minorEastAsia" w:cstheme="minorBidi"/>
      <w:b/>
      <w:bCs/>
      <w:sz w:val="21"/>
      <w:szCs w:val="22"/>
    </w:rPr>
  </w:style>
  <w:style w:type="numbering" w:styleId="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2053"/>
    <customShpInfo spid="_x0000_s2062"/>
    <customShpInfo spid="_x0000_s2052"/>
    <customShpInfo spid="_x0000_s2054"/>
    <customShpInfo spid="_x0000_s2058"/>
    <customShpInfo spid="_x0000_s2055"/>
    <customShpInfo spid="_x0000_s2059"/>
    <customShpInfo spid="_x0000_s2056"/>
    <customShpInfo spid="_x0000_s2060"/>
    <customShpInfo spid="_x0000_s2061"/>
    <customShpInfo spid="_x0000_s2057"/>
    <customShpInfo spid="_x0000_s2051"/>
    <customShpInfo spid="_x0000_s2050"/>
  </customShpExts>
</s:customData>
</file>

<file path=customXml/itemProps1.xml><?xml version="1.0" encoding="utf-8"?>
<ds:datastoreItem xmlns:ds="http://schemas.openxmlformats.org/officeDocument/2006/customXml" ds:itemID="{C85F2EE9-497F-4950-B707-651A72FA54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78</cp:revision>
  <dcterms:created xsi:type="dcterms:W3CDTF">2024-01-04T03:50:00Z</dcterms:created>
  <dcterms:modified xsi:type="dcterms:W3CDTF">2026-10-12T03:23:22Z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2052-12.1.0.28505</vt:lpwstr>
  </property>
  <property fmtid="{D5CDD505-2E9C-101B-9397-08002B2CF9AE}" pid="4" name="ICV">
    <vt:lpwstr>2B6B6913094943BCAFD6F4F53D099A69_12</vt:lpwstr>
  </property>
</Properties>
</file>