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9"/>
        <w:jc w:val="righ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mc:AlternateContent>
          <mc:Choice Requires="wpg">
            <w:drawing>
              <wp:inline xmlns:wp="http://schemas.openxmlformats.org/drawingml/2006/wordprocessingDrawing" distT="0" distB="0" distL="0" distR="0">
                <wp:extent cx="1457770" cy="494574"/>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457770" cy="4945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14.8pt;height:38.9pt;mso-wrap-distance-left:0.0pt;mso-wrap-distance-top:0.0pt;mso-wrap-distance-right:0.0pt;mso-wrap-distance-bottom:0.0pt;" stroked="f">
                <v:path textboxrect="0,0,0,0"/>
                <v:imagedata r:id="rId14" o:title=""/>
              </v:shape>
            </w:pict>
          </mc:Fallback>
        </mc:AlternateContent>
      </w:r>
      <w:r>
        <w:rPr>
          <w:rFonts w:hint="eastAsia" w:ascii="宋体" w:hAnsi="宋体" w:eastAsia="宋体" w:cs="宋体"/>
          <w:color w:val="000000"/>
          <w:highlight w:val="none"/>
        </w:rPr>
      </w:r>
      <w:r/>
    </w:p>
    <w:p>
      <w:pPr>
        <w:pStyle w:val="92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9"/>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92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9"/>
        <w:jc w:val="center"/>
        <w:rPr>
          <w:rFonts w:hint="eastAsia" w:ascii="宋体" w:hAnsi="宋体" w:eastAsia="宋体" w:cs="宋体"/>
          <w:b/>
          <w:color w:val="000000"/>
          <w:spacing w:val="76"/>
          <w:sz w:val="96"/>
          <w:szCs w:val="22"/>
          <w:highlight w:val="none"/>
        </w:rPr>
      </w:pPr>
      <w:r>
        <w:rPr>
          <w:rFonts w:hint="eastAsia" w:ascii="宋体" w:hAnsi="宋体" w:eastAsia="宋体" w:cs="宋体"/>
          <w:color w:val="000000"/>
          <w:spacing w:val="76"/>
          <w:sz w:val="144"/>
          <w:highlight w:val="none"/>
        </w:rPr>
        <w:t xml:space="preserve">招标文件</w:t>
      </w:r>
      <w:r>
        <w:rPr>
          <w:rFonts w:hint="eastAsia" w:ascii="宋体" w:hAnsi="宋体" w:eastAsia="宋体" w:cs="宋体"/>
          <w:b/>
          <w:color w:val="000000"/>
          <w:spacing w:val="76"/>
          <w:sz w:val="96"/>
          <w:szCs w:val="22"/>
          <w:highlight w:val="none"/>
        </w:rPr>
      </w:r>
      <w:r/>
    </w:p>
    <w:p>
      <w:pPr>
        <w:pStyle w:val="940"/>
        <w:jc w:val="right"/>
        <w:rPr>
          <w:rFonts w:hint="eastAsia" w:ascii="宋体" w:hAnsi="宋体" w:eastAsia="宋体" w:cs="宋体"/>
          <w:color w:val="000000"/>
          <w:spacing w:val="76"/>
          <w:sz w:val="156"/>
          <w:highlight w:val="none"/>
        </w:rPr>
      </w:pPr>
      <w:r>
        <w:rPr>
          <w:rFonts w:hint="eastAsia" w:ascii="宋体" w:hAnsi="宋体" w:eastAsia="宋体" w:cs="宋体"/>
          <w:color w:val="000000"/>
          <w:spacing w:val="76"/>
          <w:sz w:val="156"/>
          <w:highlight w:val="none"/>
        </w:rPr>
      </w:r>
      <w:r/>
    </w:p>
    <w:p>
      <w:pPr>
        <w:pStyle w:val="92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9"/>
        <w:ind w:firstLine="1285"/>
        <w:spacing w:line="500" w:lineRule="exact"/>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rPr>
        <w:t xml:space="preserve">项目名称：</w:t>
      </w:r>
      <w:r>
        <w:rPr>
          <w:rFonts w:hint="eastAsia" w:ascii="宋体" w:hAnsi="宋体" w:eastAsia="宋体" w:cs="宋体"/>
          <w:b/>
          <w:bCs/>
          <w:color w:val="000000"/>
          <w:sz w:val="32"/>
          <w:szCs w:val="32"/>
          <w:highlight w:val="none"/>
          <w:lang w:eastAsia="zh-CN"/>
        </w:rPr>
        <w:t xml:space="preserve">徐州市公安局JZ租用机房机柜</w:t>
      </w:r>
      <w:r>
        <w:rPr>
          <w:rFonts w:hint="eastAsia" w:ascii="宋体" w:hAnsi="宋体" w:eastAsia="宋体" w:cs="宋体"/>
          <w:b/>
          <w:bCs/>
          <w:color w:val="000000"/>
          <w:sz w:val="32"/>
          <w:szCs w:val="32"/>
          <w:highlight w:val="none"/>
          <w:lang w:eastAsia="zh-CN"/>
        </w:rPr>
      </w:r>
      <w:r/>
    </w:p>
    <w:p>
      <w:pPr>
        <w:pStyle w:val="929"/>
        <w:ind w:firstLine="1285"/>
        <w:spacing w:line="500" w:lineRule="exact"/>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rPr>
        <w:t xml:space="preserve">项目编号：</w:t>
      </w:r>
      <w:r>
        <w:rPr>
          <w:rFonts w:hint="eastAsia" w:ascii="宋体" w:hAnsi="宋体" w:eastAsia="宋体" w:cs="宋体"/>
          <w:b/>
          <w:bCs/>
          <w:color w:val="000000"/>
          <w:sz w:val="32"/>
          <w:szCs w:val="32"/>
          <w:highlight w:val="none"/>
          <w:lang w:eastAsia="zh-CN"/>
        </w:rPr>
        <w:t xml:space="preserve">JSZC-320300-JSZR-G2026-0084</w:t>
      </w:r>
      <w:r>
        <w:rPr>
          <w:rFonts w:hint="eastAsia" w:ascii="宋体" w:hAnsi="宋体" w:eastAsia="宋体" w:cs="宋体"/>
          <w:b/>
          <w:bCs/>
          <w:color w:val="000000"/>
          <w:sz w:val="32"/>
          <w:szCs w:val="32"/>
          <w:highlight w:val="none"/>
          <w:lang w:eastAsia="zh-CN"/>
        </w:rPr>
      </w:r>
      <w:r/>
    </w:p>
    <w:p>
      <w:pPr>
        <w:pStyle w:val="929"/>
        <w:ind w:firstLine="1285"/>
        <w:spacing w:line="500" w:lineRule="exact"/>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rPr>
        <w:t xml:space="preserve">采 购 人：</w:t>
      </w:r>
      <w:r>
        <w:rPr>
          <w:rFonts w:hint="eastAsia" w:ascii="宋体" w:hAnsi="宋体" w:eastAsia="宋体" w:cs="宋体"/>
          <w:b/>
          <w:bCs/>
          <w:color w:val="000000"/>
          <w:sz w:val="32"/>
          <w:szCs w:val="32"/>
          <w:highlight w:val="none"/>
          <w:lang w:eastAsia="zh-CN"/>
        </w:rPr>
        <w:t xml:space="preserve">徐州市公安局</w:t>
      </w:r>
      <w:r>
        <w:rPr>
          <w:rFonts w:hint="eastAsia" w:ascii="宋体" w:hAnsi="宋体" w:eastAsia="宋体" w:cs="宋体"/>
          <w:b/>
          <w:bCs/>
          <w:color w:val="000000"/>
          <w:sz w:val="32"/>
          <w:szCs w:val="32"/>
          <w:highlight w:val="none"/>
          <w:lang w:eastAsia="zh-CN"/>
        </w:rPr>
      </w:r>
      <w:r/>
    </w:p>
    <w:p>
      <w:pPr>
        <w:pStyle w:val="942"/>
        <w:ind w:left="0" w:right="1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42"/>
        <w:ind w:left="0" w:right="1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42"/>
        <w:ind w:left="0" w:right="1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42"/>
        <w:ind w:left="0" w:right="1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29"/>
        <w:ind w:firstLine="1205"/>
        <w:spacing w:line="5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采购代理机构：江苏中瑞建设项目管理有限公司</w:t>
      </w:r>
      <w:r>
        <w:rPr>
          <w:rFonts w:hint="eastAsia" w:ascii="宋体" w:hAnsi="宋体" w:eastAsia="宋体" w:cs="宋体"/>
          <w:b/>
          <w:bCs/>
          <w:color w:val="000000"/>
          <w:sz w:val="32"/>
          <w:szCs w:val="32"/>
          <w:highlight w:val="none"/>
        </w:rPr>
      </w:r>
      <w:r/>
    </w:p>
    <w:p>
      <w:pPr>
        <w:pStyle w:val="941"/>
        <w:ind w:firstLine="0"/>
        <w:jc w:val="center"/>
        <w:spacing w:line="500" w:lineRule="exact"/>
        <w:rPr>
          <w:rFonts w:hint="eastAsia" w:ascii="宋体" w:hAnsi="宋体" w:eastAsia="宋体" w:cs="宋体"/>
          <w:b/>
          <w:color w:val="000000"/>
          <w:sz w:val="48"/>
          <w:szCs w:val="28"/>
          <w:highlight w:val="none"/>
        </w:rPr>
      </w:pPr>
      <w:r>
        <w:rPr>
          <w:rFonts w:hint="eastAsia" w:ascii="宋体" w:hAnsi="宋体" w:eastAsia="宋体" w:cs="宋体"/>
          <w:b/>
          <w:bCs/>
          <w:color w:val="000000"/>
          <w:sz w:val="32"/>
          <w:szCs w:val="32"/>
          <w:highlight w:val="none"/>
        </w:rPr>
        <w:t xml:space="preserve">二〇二六年</w:t>
      </w:r>
      <w:r>
        <w:rPr>
          <w:rFonts w:hint="eastAsia" w:ascii="宋体" w:hAnsi="宋体" w:eastAsia="宋体" w:cs="宋体"/>
          <w:b/>
          <w:bCs/>
          <w:color w:val="000000"/>
          <w:sz w:val="32"/>
          <w:szCs w:val="32"/>
          <w:highlight w:val="none"/>
          <w:lang w:val="en-US" w:eastAsia="zh-CN"/>
        </w:rPr>
        <w:t xml:space="preserve">十</w:t>
      </w:r>
      <w:r>
        <w:rPr>
          <w:rFonts w:hint="eastAsia" w:ascii="宋体" w:hAnsi="宋体" w:eastAsia="宋体" w:cs="宋体"/>
          <w:b/>
          <w:bCs/>
          <w:color w:val="000000"/>
          <w:sz w:val="32"/>
          <w:szCs w:val="32"/>
          <w:highlight w:val="none"/>
        </w:rPr>
        <w:t xml:space="preserve">月</w:t>
      </w:r>
      <w:r>
        <w:rPr>
          <w:rFonts w:hint="eastAsia" w:ascii="宋体" w:hAnsi="宋体" w:eastAsia="宋体" w:cs="宋体"/>
          <w:b/>
          <w:color w:val="000000"/>
          <w:sz w:val="48"/>
          <w:szCs w:val="28"/>
          <w:highlight w:val="none"/>
        </w:rPr>
      </w:r>
      <w:r/>
    </w:p>
    <w:p>
      <w:pPr>
        <w:pStyle w:val="779"/>
        <w:rPr>
          <w:rFonts w:hint="eastAsia" w:ascii="宋体" w:hAnsi="宋体" w:eastAsia="宋体" w:cs="宋体"/>
          <w:color w:val="000000"/>
          <w:sz w:val="24"/>
          <w:highlight w:val="none"/>
        </w:rPr>
        <w:sectPr>
          <w:headerReference w:type="default" r:id="rId9"/>
          <w:footnotePr/>
          <w:endnotePr/>
          <w:type w:val="nextPage"/>
          <w:pgSz w:w="11906" w:h="16838" w:orient="portrait"/>
          <w:pgMar w:top="1474" w:right="1486" w:bottom="1474" w:left="1474" w:header="851" w:footer="992" w:gutter="0"/>
          <w:pgNumType w:start="1"/>
          <w:cols w:num="1" w:sep="0" w:space="1701" w:equalWidth="1"/>
          <w:docGrid w:linePitch="360"/>
        </w:sectPr>
      </w:pPr>
      <w:r>
        <w:rPr>
          <w:rFonts w:hint="eastAsia" w:ascii="宋体" w:hAnsi="宋体" w:eastAsia="宋体" w:cs="宋体"/>
          <w:color w:val="000000"/>
          <w:sz w:val="24"/>
          <w:highlight w:val="none"/>
        </w:rPr>
      </w:r>
      <w:r/>
    </w:p>
    <w:p>
      <w:pPr>
        <w:pStyle w:val="779"/>
        <w:jc w:val="center"/>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r>
      <w:r/>
    </w:p>
    <w:p>
      <w:pPr>
        <w:pStyle w:val="779"/>
        <w:jc w:val="center"/>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r>
      <w:r/>
    </w:p>
    <w:p>
      <w:pPr>
        <w:pStyle w:val="779"/>
        <w:jc w:val="cente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t xml:space="preserve">目 录</w:t>
      </w:r>
      <w:r>
        <w:rPr>
          <w:rFonts w:hint="eastAsia" w:ascii="宋体" w:hAnsi="宋体" w:eastAsia="宋体" w:cs="宋体"/>
          <w:color w:val="000000"/>
          <w:highlight w:val="none"/>
        </w:rPr>
      </w:r>
      <w:r/>
    </w:p>
    <w:p>
      <w:pPr>
        <w:pStyle w:val="779"/>
        <w:jc w:val="center"/>
        <w:spacing w:line="51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pStyle w:val="779"/>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000000"/>
          <w:highlight w:val="none"/>
        </w:rPr>
        <w:fldChar w:fldCharType="separate"/>
      </w:r>
      <w:r>
        <w:rPr>
          <w:rStyle w:val="898"/>
          <w:rFonts w:hint="eastAsia" w:ascii="宋体" w:hAnsi="宋体" w:eastAsia="宋体" w:cs="宋体"/>
          <w:color w:val="000000"/>
          <w:sz w:val="30"/>
          <w:highlight w:val="none"/>
          <w:u w:val="none"/>
        </w:rPr>
        <w:t xml:space="preserve">第一章  投标邀请</w:t>
      </w:r>
      <w:r>
        <w:rPr>
          <w:rFonts w:hint="eastAsia" w:ascii="宋体" w:hAnsi="宋体" w:eastAsia="宋体" w:cs="宋体"/>
          <w:color w:val="000000"/>
          <w:sz w:val="30"/>
          <w:highlight w:val="none"/>
        </w:rPr>
        <w:fldChar w:fldCharType="end"/>
      </w:r>
      <w:r>
        <w:rPr>
          <w:rFonts w:hint="eastAsia" w:ascii="宋体" w:hAnsi="宋体" w:eastAsia="宋体" w:cs="宋体"/>
          <w:color w:val="000000"/>
          <w:highlight w:val="none"/>
        </w:rPr>
      </w:r>
      <w:r/>
    </w:p>
    <w:p>
      <w:pPr>
        <w:pStyle w:val="779"/>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pStyle w:val="779"/>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000000"/>
          <w:highlight w:val="none"/>
        </w:rPr>
        <w:fldChar w:fldCharType="separate"/>
      </w:r>
      <w:r>
        <w:rPr>
          <w:rStyle w:val="898"/>
          <w:rFonts w:hint="eastAsia" w:ascii="宋体" w:hAnsi="宋体" w:eastAsia="宋体" w:cs="宋体"/>
          <w:color w:val="000000"/>
          <w:sz w:val="30"/>
          <w:highlight w:val="none"/>
          <w:u w:val="none"/>
        </w:rPr>
        <w:t xml:space="preserve">第二章  投标人须知</w:t>
      </w:r>
      <w:r>
        <w:rPr>
          <w:rFonts w:hint="eastAsia" w:ascii="宋体" w:hAnsi="宋体" w:eastAsia="宋体" w:cs="宋体"/>
          <w:color w:val="000000"/>
          <w:sz w:val="30"/>
          <w:highlight w:val="none"/>
        </w:rPr>
        <w:fldChar w:fldCharType="end"/>
      </w:r>
      <w:r>
        <w:rPr>
          <w:rFonts w:hint="eastAsia" w:ascii="宋体" w:hAnsi="宋体" w:eastAsia="宋体" w:cs="宋体"/>
          <w:color w:val="000000"/>
          <w:highlight w:val="none"/>
        </w:rPr>
      </w:r>
      <w:r/>
    </w:p>
    <w:p>
      <w:pPr>
        <w:pStyle w:val="779"/>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pStyle w:val="779"/>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000000"/>
          <w:highlight w:val="none"/>
        </w:rPr>
        <w:fldChar w:fldCharType="separate"/>
      </w:r>
      <w:r>
        <w:rPr>
          <w:rStyle w:val="898"/>
          <w:rFonts w:hint="eastAsia" w:ascii="宋体" w:hAnsi="宋体" w:eastAsia="宋体" w:cs="宋体"/>
          <w:color w:val="000000"/>
          <w:sz w:val="30"/>
          <w:highlight w:val="none"/>
          <w:u w:val="none"/>
        </w:rPr>
        <w:t xml:space="preserve">第三章  投标资料表</w:t>
      </w:r>
      <w:r>
        <w:rPr>
          <w:rFonts w:hint="eastAsia" w:ascii="宋体" w:hAnsi="宋体" w:eastAsia="宋体" w:cs="宋体"/>
          <w:color w:val="000000"/>
          <w:sz w:val="30"/>
          <w:highlight w:val="none"/>
        </w:rPr>
        <w:fldChar w:fldCharType="end"/>
      </w:r>
      <w:r>
        <w:rPr>
          <w:rFonts w:hint="eastAsia" w:ascii="宋体" w:hAnsi="宋体" w:eastAsia="宋体" w:cs="宋体"/>
          <w:color w:val="000000"/>
          <w:highlight w:val="none"/>
        </w:rPr>
      </w:r>
      <w:r/>
    </w:p>
    <w:p>
      <w:pPr>
        <w:pStyle w:val="779"/>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pStyle w:val="779"/>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000000"/>
          <w:highlight w:val="none"/>
        </w:rPr>
        <w:fldChar w:fldCharType="separate"/>
      </w:r>
      <w:r>
        <w:rPr>
          <w:rStyle w:val="898"/>
          <w:rFonts w:hint="eastAsia" w:ascii="宋体" w:hAnsi="宋体" w:eastAsia="宋体" w:cs="宋体"/>
          <w:color w:val="000000"/>
          <w:sz w:val="30"/>
          <w:highlight w:val="none"/>
          <w:u w:val="none"/>
        </w:rPr>
        <w:t xml:space="preserve">第四章  评标标准</w:t>
      </w:r>
      <w:r>
        <w:rPr>
          <w:rFonts w:hint="eastAsia" w:ascii="宋体" w:hAnsi="宋体" w:eastAsia="宋体" w:cs="宋体"/>
          <w:color w:val="000000"/>
          <w:sz w:val="30"/>
          <w:highlight w:val="none"/>
        </w:rPr>
        <w:fldChar w:fldCharType="end"/>
      </w:r>
      <w:r>
        <w:rPr>
          <w:rFonts w:hint="eastAsia" w:ascii="宋体" w:hAnsi="宋体" w:eastAsia="宋体" w:cs="宋体"/>
          <w:color w:val="000000"/>
          <w:highlight w:val="none"/>
        </w:rPr>
      </w:r>
      <w:r/>
    </w:p>
    <w:p>
      <w:pPr>
        <w:pStyle w:val="779"/>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pStyle w:val="779"/>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000000"/>
          <w:highlight w:val="none"/>
        </w:rPr>
        <w:fldChar w:fldCharType="separate"/>
      </w:r>
      <w:r>
        <w:rPr>
          <w:rStyle w:val="898"/>
          <w:rFonts w:hint="eastAsia" w:ascii="宋体" w:hAnsi="宋体" w:eastAsia="宋体" w:cs="宋体"/>
          <w:color w:val="000000"/>
          <w:sz w:val="30"/>
          <w:highlight w:val="none"/>
          <w:u w:val="none"/>
        </w:rPr>
        <w:t xml:space="preserve">第五章  拟签订的合同文本</w:t>
      </w:r>
      <w:r>
        <w:rPr>
          <w:rFonts w:hint="eastAsia" w:ascii="宋体" w:hAnsi="宋体" w:eastAsia="宋体" w:cs="宋体"/>
          <w:color w:val="000000"/>
          <w:sz w:val="30"/>
          <w:highlight w:val="none"/>
        </w:rPr>
        <w:fldChar w:fldCharType="end"/>
      </w:r>
      <w:r>
        <w:rPr>
          <w:rFonts w:hint="eastAsia" w:ascii="宋体" w:hAnsi="宋体" w:eastAsia="宋体" w:cs="宋体"/>
          <w:color w:val="000000"/>
          <w:highlight w:val="none"/>
        </w:rPr>
      </w:r>
      <w:r/>
    </w:p>
    <w:p>
      <w:pPr>
        <w:pStyle w:val="779"/>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pStyle w:val="779"/>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000000"/>
          <w:highlight w:val="none"/>
        </w:rPr>
        <w:fldChar w:fldCharType="separate"/>
      </w:r>
      <w:r>
        <w:rPr>
          <w:rStyle w:val="898"/>
          <w:rFonts w:hint="eastAsia" w:ascii="宋体" w:hAnsi="宋体" w:eastAsia="宋体" w:cs="宋体"/>
          <w:color w:val="000000"/>
          <w:sz w:val="30"/>
          <w:highlight w:val="none"/>
          <w:u w:val="none"/>
        </w:rPr>
        <w:t xml:space="preserve">第六章  采购需求</w:t>
      </w:r>
      <w:r>
        <w:rPr>
          <w:rFonts w:hint="eastAsia" w:ascii="宋体" w:hAnsi="宋体" w:eastAsia="宋体" w:cs="宋体"/>
          <w:color w:val="000000"/>
          <w:sz w:val="30"/>
          <w:highlight w:val="none"/>
        </w:rPr>
        <w:fldChar w:fldCharType="end"/>
      </w:r>
      <w:r>
        <w:rPr>
          <w:rFonts w:hint="eastAsia" w:ascii="宋体" w:hAnsi="宋体" w:eastAsia="宋体" w:cs="宋体"/>
          <w:color w:val="000000"/>
          <w:highlight w:val="none"/>
        </w:rPr>
      </w:r>
      <w:r/>
    </w:p>
    <w:p>
      <w:pPr>
        <w:pStyle w:val="779"/>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pStyle w:val="779"/>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000000"/>
          <w:highlight w:val="none"/>
        </w:rPr>
        <w:fldChar w:fldCharType="separate"/>
      </w:r>
      <w:r>
        <w:rPr>
          <w:rStyle w:val="898"/>
          <w:rFonts w:hint="eastAsia" w:ascii="宋体" w:hAnsi="宋体" w:eastAsia="宋体" w:cs="宋体"/>
          <w:color w:val="000000"/>
          <w:sz w:val="30"/>
          <w:highlight w:val="none"/>
          <w:u w:val="none"/>
        </w:rPr>
        <w:t xml:space="preserve">第七章  投标文件相关格式</w:t>
      </w:r>
      <w:r>
        <w:rPr>
          <w:rFonts w:hint="eastAsia" w:ascii="宋体" w:hAnsi="宋体" w:eastAsia="宋体" w:cs="宋体"/>
          <w:color w:val="000000"/>
          <w:sz w:val="30"/>
          <w:highlight w:val="none"/>
        </w:rPr>
        <w:fldChar w:fldCharType="end"/>
      </w:r>
      <w:r>
        <w:rPr>
          <w:rFonts w:hint="eastAsia" w:ascii="宋体" w:hAnsi="宋体" w:eastAsia="宋体" w:cs="宋体"/>
          <w:color w:val="000000"/>
          <w:highlight w:val="none"/>
        </w:rPr>
      </w:r>
      <w:r/>
    </w:p>
    <w:p>
      <w:pPr>
        <w:pStyle w:val="779"/>
        <w:jc w:val="center"/>
        <w:spacing w:line="51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pStyle w:val="779"/>
        <w:jc w:val="center"/>
        <w:spacing w:line="519" w:lineRule="atLeast"/>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sectPr>
          <w:headerReference w:type="default" r:id="rId10"/>
          <w:footerReference w:type="default" r:id="rId12"/>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eastAsia="宋体" w:cs="宋体"/>
          <w:b/>
          <w:color w:val="000000"/>
          <w:sz w:val="44"/>
          <w:highlight w:val="none"/>
        </w:rPr>
      </w:r>
      <w:r/>
    </w:p>
    <w:p>
      <w:pPr>
        <w:pStyle w:val="779"/>
        <w:jc w:val="center"/>
        <w:spacing w:line="519"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lang w:eastAsia="zh-CN"/>
        </w:rPr>
        <w:t xml:space="preserve">徐州市公安局</w:t>
      </w:r>
      <w:r>
        <w:rPr>
          <w:rFonts w:hint="eastAsia" w:ascii="宋体" w:hAnsi="宋体" w:eastAsia="宋体" w:cs="宋体"/>
          <w:b/>
          <w:color w:val="000000"/>
          <w:sz w:val="28"/>
          <w:szCs w:val="28"/>
          <w:highlight w:val="none"/>
        </w:rPr>
        <w:t xml:space="preserve">《</w:t>
      </w:r>
      <w:r>
        <w:rPr>
          <w:rFonts w:hint="eastAsia" w:ascii="宋体" w:hAnsi="宋体" w:eastAsia="宋体" w:cs="宋体"/>
          <w:b/>
          <w:color w:val="000000"/>
          <w:sz w:val="28"/>
          <w:szCs w:val="28"/>
          <w:highlight w:val="none"/>
          <w:lang w:eastAsia="zh-CN"/>
        </w:rPr>
        <w:t xml:space="preserve">徐州市公安局JZ租用机房机柜</w:t>
      </w:r>
      <w:r>
        <w:rPr>
          <w:rFonts w:hint="eastAsia" w:ascii="宋体" w:hAnsi="宋体" w:eastAsia="宋体" w:cs="宋体"/>
          <w:b/>
          <w:color w:val="000000"/>
          <w:sz w:val="28"/>
          <w:szCs w:val="28"/>
          <w:highlight w:val="none"/>
        </w:rPr>
        <w:t xml:space="preserve">》招标文件</w:t>
      </w:r>
      <w:r>
        <w:rPr>
          <w:rFonts w:hint="eastAsia" w:ascii="宋体" w:hAnsi="宋体" w:eastAsia="宋体" w:cs="宋体"/>
          <w:color w:val="000000"/>
          <w:sz w:val="28"/>
          <w:szCs w:val="28"/>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rFonts w:hint="eastAsia" w:ascii="宋体" w:hAnsi="宋体" w:eastAsia="宋体" w:cs="宋体"/>
          <w:color w:val="000000"/>
          <w:sz w:val="24"/>
          <w:highlight w:val="none"/>
        </w:rPr>
      </w:r>
      <w:r/>
    </w:p>
    <w:p>
      <w:pPr>
        <w:pStyle w:val="779"/>
        <w:spacing w:line="360"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779"/>
        <w:jc w:val="center"/>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28"/>
          <w:szCs w:val="28"/>
          <w:highlight w:val="none"/>
        </w:rPr>
        <w:t xml:space="preserve">第一章  投标邀请</w:t>
      </w:r>
      <w:r>
        <w:rPr>
          <w:rFonts w:hint="eastAsia" w:ascii="宋体" w:hAnsi="宋体" w:eastAsia="宋体" w:cs="宋体"/>
          <w:color w:val="000000"/>
          <w:sz w:val="28"/>
          <w:szCs w:val="28"/>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江苏中瑞建设项目管理有限公司</w:t>
      </w:r>
      <w:r>
        <w:rPr>
          <w:rFonts w:hint="eastAsia" w:ascii="宋体" w:hAnsi="宋体" w:eastAsia="宋体" w:cs="宋体"/>
          <w:color w:val="000000"/>
          <w:sz w:val="24"/>
          <w:highlight w:val="none"/>
        </w:rPr>
        <w:t xml:space="preserve">对</w:t>
      </w:r>
      <w:r>
        <w:rPr>
          <w:rFonts w:hint="eastAsia" w:ascii="宋体" w:hAnsi="宋体" w:eastAsia="宋体" w:cs="宋体"/>
          <w:color w:val="000000"/>
          <w:sz w:val="24"/>
          <w:highlight w:val="none"/>
          <w:u w:val="single"/>
          <w:lang w:eastAsia="zh-CN"/>
        </w:rPr>
        <w:t xml:space="preserve">徐州市公安局JZ租用机房机柜</w:t>
      </w:r>
      <w:r>
        <w:rPr>
          <w:rFonts w:hint="eastAsia" w:ascii="宋体" w:hAnsi="宋体" w:eastAsia="宋体" w:cs="宋体"/>
          <w:color w:val="000000"/>
          <w:sz w:val="24"/>
          <w:highlight w:val="none"/>
        </w:rPr>
        <w:t xml:space="preserve">进行公开招标采购，现邀请符合相关条件的供应商投标。</w:t>
      </w:r>
      <w:r>
        <w:rPr>
          <w:rFonts w:hint="eastAsia" w:ascii="宋体" w:hAnsi="宋体" w:eastAsia="宋体" w:cs="宋体"/>
          <w:color w:val="000000"/>
          <w:sz w:val="24"/>
          <w:highlight w:val="none"/>
        </w:rPr>
      </w:r>
      <w:r/>
    </w:p>
    <w:p>
      <w:pPr>
        <w:pStyle w:val="779"/>
        <w:ind w:firstLine="3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一、项目名称和项目编号</w:t>
      </w:r>
      <w:r>
        <w:rPr>
          <w:rFonts w:hint="eastAsia" w:ascii="宋体" w:hAnsi="宋体" w:eastAsia="宋体" w:cs="宋体"/>
          <w:color w:val="000000"/>
          <w:sz w:val="24"/>
          <w:highlight w:val="none"/>
        </w:rPr>
      </w:r>
      <w:r/>
    </w:p>
    <w:p>
      <w:pPr>
        <w:pStyle w:val="779"/>
        <w:ind w:firstLine="300"/>
        <w:spacing w:line="51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（一）项目名称：</w:t>
      </w:r>
      <w:r>
        <w:rPr>
          <w:rFonts w:hint="eastAsia" w:ascii="宋体" w:hAnsi="宋体" w:eastAsia="宋体" w:cs="宋体"/>
          <w:color w:val="000000"/>
          <w:sz w:val="24"/>
          <w:highlight w:val="none"/>
          <w:lang w:eastAsia="zh-CN"/>
        </w:rPr>
        <w:t xml:space="preserve">徐州市公安局JZ租用机房机柜</w:t>
      </w:r>
      <w:r>
        <w:rPr>
          <w:rFonts w:hint="eastAsia" w:ascii="宋体" w:hAnsi="宋体" w:eastAsia="宋体" w:cs="宋体"/>
          <w:color w:val="000000"/>
          <w:sz w:val="24"/>
          <w:highlight w:val="none"/>
          <w:lang w:eastAsia="zh-CN"/>
        </w:rPr>
      </w:r>
      <w:r/>
    </w:p>
    <w:p>
      <w:pPr>
        <w:pStyle w:val="779"/>
        <w:ind w:firstLine="300"/>
        <w:spacing w:line="51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（二）项目编号：</w:t>
      </w:r>
      <w:r>
        <w:rPr>
          <w:rFonts w:hint="eastAsia" w:ascii="宋体" w:hAnsi="宋体" w:eastAsia="宋体" w:cs="宋体"/>
          <w:color w:val="000000"/>
          <w:sz w:val="24"/>
          <w:highlight w:val="none"/>
          <w:lang w:eastAsia="zh-CN"/>
        </w:rPr>
        <w:t xml:space="preserve">JSZC-320300-JSZR-G2026-0084</w:t>
      </w:r>
      <w:r>
        <w:rPr>
          <w:rFonts w:hint="eastAsia" w:ascii="宋体" w:hAnsi="宋体" w:eastAsia="宋体" w:cs="宋体"/>
          <w:color w:val="000000"/>
          <w:sz w:val="24"/>
          <w:highlight w:val="none"/>
          <w:lang w:eastAsia="zh-CN"/>
        </w:rPr>
      </w:r>
      <w:r/>
    </w:p>
    <w:p>
      <w:pPr>
        <w:pStyle w:val="779"/>
        <w:ind w:firstLine="3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二、对投标人的资格要求</w:t>
      </w:r>
      <w:r>
        <w:rPr>
          <w:rFonts w:hint="eastAsia" w:ascii="宋体" w:hAnsi="宋体" w:eastAsia="宋体" w:cs="宋体"/>
          <w:color w:val="000000"/>
          <w:sz w:val="24"/>
          <w:highlight w:val="none"/>
        </w:rPr>
      </w:r>
      <w:r/>
    </w:p>
    <w:p>
      <w:pPr>
        <w:pStyle w:val="779"/>
        <w:ind w:firstLine="3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详见本项目公开招标公告。</w:t>
      </w:r>
      <w:r>
        <w:rPr>
          <w:rFonts w:hint="eastAsia" w:ascii="宋体" w:hAnsi="宋体" w:eastAsia="宋体" w:cs="宋体"/>
          <w:color w:val="000000"/>
          <w:sz w:val="24"/>
          <w:highlight w:val="none"/>
        </w:rPr>
      </w:r>
      <w:r/>
    </w:p>
    <w:p>
      <w:pPr>
        <w:pStyle w:val="779"/>
        <w:ind w:firstLine="301"/>
        <w:spacing w:line="519" w:lineRule="atLeast"/>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三、获取招标文件</w:t>
      </w:r>
      <w:r>
        <w:rPr>
          <w:rFonts w:hint="eastAsia" w:ascii="宋体" w:hAnsi="宋体" w:eastAsia="宋体" w:cs="宋体"/>
          <w:b/>
          <w:bCs/>
          <w:color w:val="000000"/>
          <w:sz w:val="24"/>
          <w:highlight w:val="none"/>
        </w:rPr>
      </w:r>
      <w:r/>
    </w:p>
    <w:p>
      <w:pPr>
        <w:pStyle w:val="779"/>
        <w:ind w:firstLine="3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（一）潜在投标人访问电子招标投标交易平台的网络地址和方法：</w:t>
      </w:r>
      <w:r>
        <w:rPr>
          <w:rFonts w:hint="eastAsia" w:ascii="宋体" w:hAnsi="宋体" w:eastAsia="宋体" w:cs="宋体"/>
          <w:color w:val="000000"/>
          <w:sz w:val="24"/>
          <w:highlight w:val="none"/>
        </w:rPr>
      </w:r>
      <w:r/>
    </w:p>
    <w:p>
      <w:pPr>
        <w:pStyle w:val="779"/>
        <w:ind w:firstLine="3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hint="eastAsia" w:ascii="宋体" w:hAnsi="宋体" w:eastAsia="宋体" w:cs="宋体"/>
          <w:color w:val="000000"/>
          <w:sz w:val="24"/>
          <w:highlight w:val="none"/>
        </w:rPr>
      </w:r>
      <w:r/>
    </w:p>
    <w:p>
      <w:pPr>
        <w:pStyle w:val="779"/>
        <w:ind w:firstLine="300"/>
        <w:jc w:val="left"/>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潜在投标人访问“苏采云”系统的网络地址和方法：“苏采云”系统的网址：http://jszfcg.jsczt.cn/；或进入徐州政府采购网（网址：https://czj.xz.gov.cn/zfcg/index.html）--办事指南--供应商--供应商登录入口，点击“苏采云”进入系统。</w:t>
      </w:r>
      <w:r>
        <w:rPr>
          <w:rFonts w:hint="eastAsia" w:ascii="宋体" w:hAnsi="宋体" w:eastAsia="宋体" w:cs="宋体"/>
          <w:color w:val="000000"/>
          <w:sz w:val="24"/>
          <w:highlight w:val="none"/>
        </w:rPr>
      </w:r>
      <w:r/>
    </w:p>
    <w:p>
      <w:pPr>
        <w:pStyle w:val="779"/>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CA数字证书”的获取：供应商需办理CA锁，“苏采云”系统目前仅支持“苏采云”系统下的政务CA，省内各地区办理的“苏采云”系统下的政务CA全省通用。“CA数字证书”的办理材料详见“徐州政府采购网-苏采云”中的《常用下载》。</w:t>
      </w:r>
      <w:r>
        <w:rPr>
          <w:rFonts w:hint="eastAsia" w:ascii="宋体" w:hAnsi="宋体" w:eastAsia="宋体" w:cs="宋体"/>
          <w:color w:val="000000"/>
          <w:sz w:val="24"/>
          <w:highlight w:val="none"/>
        </w:rPr>
      </w:r>
      <w:r/>
    </w:p>
    <w:p>
      <w:pPr>
        <w:pStyle w:val="779"/>
        <w:ind w:firstLine="3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rPr>
          <w:rFonts w:hint="eastAsia" w:ascii="宋体" w:hAnsi="宋体" w:eastAsia="宋体" w:cs="宋体"/>
          <w:color w:val="000000"/>
          <w:sz w:val="24"/>
          <w:highlight w:val="none"/>
        </w:rPr>
      </w:r>
      <w:r/>
    </w:p>
    <w:p>
      <w:pPr>
        <w:pStyle w:val="779"/>
        <w:ind w:firstLine="3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（二）采购代理机构将数据电文形式的招标文件加载至电子招标投标交易平台，供潜在投标人下载或者查阅。</w:t>
      </w:r>
      <w:r>
        <w:rPr>
          <w:rFonts w:hint="eastAsia" w:ascii="宋体" w:hAnsi="宋体" w:eastAsia="宋体" w:cs="宋体"/>
          <w:color w:val="000000"/>
          <w:sz w:val="24"/>
          <w:highlight w:val="none"/>
        </w:rPr>
      </w:r>
      <w:r/>
    </w:p>
    <w:p>
      <w:pPr>
        <w:pStyle w:val="779"/>
        <w:ind w:firstLine="3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（三）售价：免费。</w:t>
      </w:r>
      <w:r>
        <w:rPr>
          <w:rFonts w:hint="eastAsia" w:ascii="宋体" w:hAnsi="宋体" w:eastAsia="宋体" w:cs="宋体"/>
          <w:color w:val="000000"/>
          <w:sz w:val="24"/>
          <w:highlight w:val="none"/>
        </w:rPr>
      </w:r>
      <w:r/>
    </w:p>
    <w:p>
      <w:pPr>
        <w:pStyle w:val="779"/>
        <w:ind w:firstLine="3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四、投标有关信息</w:t>
      </w:r>
      <w:r>
        <w:rPr>
          <w:rFonts w:hint="eastAsia" w:ascii="宋体" w:hAnsi="宋体" w:eastAsia="宋体" w:cs="宋体"/>
          <w:color w:val="000000"/>
          <w:sz w:val="24"/>
          <w:highlight w:val="none"/>
        </w:rPr>
      </w:r>
      <w:r/>
    </w:p>
    <w:p>
      <w:pPr>
        <w:pStyle w:val="779"/>
        <w:ind w:firstLine="3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（一）投标截止时间：</w:t>
      </w:r>
      <w:r>
        <w:rPr>
          <w:rFonts w:hint="eastAsia" w:ascii="宋体" w:hAnsi="宋体" w:eastAsia="宋体" w:cs="宋体"/>
          <w:b/>
          <w:color w:val="000000"/>
          <w:sz w:val="24"/>
          <w:highlight w:val="none"/>
          <w:lang w:eastAsia="zh-CN"/>
        </w:rPr>
        <w:t xml:space="preserve">2026年</w:t>
      </w:r>
      <w:r>
        <w:rPr>
          <w:rFonts w:hint="eastAsia" w:ascii="宋体" w:hAnsi="宋体" w:eastAsia="宋体" w:cs="宋体"/>
          <w:b/>
          <w:color w:val="000000"/>
          <w:sz w:val="24"/>
          <w:highlight w:val="none"/>
          <w:lang w:val="en-US" w:eastAsia="zh-CN"/>
        </w:rPr>
        <w:t xml:space="preserve">1</w:t>
      </w:r>
      <w:r>
        <w:rPr>
          <w:rFonts w:hint="eastAsia" w:ascii="宋体" w:hAnsi="宋体" w:eastAsia="宋体" w:cs="宋体"/>
          <w:b/>
          <w:color w:val="000000"/>
          <w:sz w:val="24"/>
          <w:highlight w:val="none"/>
          <w:lang w:val="en-US" w:eastAsia="zh-CN"/>
        </w:rPr>
        <w:t xml:space="preserve">1</w:t>
      </w:r>
      <w:r>
        <w:rPr>
          <w:rFonts w:hint="eastAsia" w:ascii="宋体" w:hAnsi="宋体" w:eastAsia="宋体" w:cs="宋体"/>
          <w:b/>
          <w:color w:val="000000"/>
          <w:sz w:val="24"/>
          <w:highlight w:val="none"/>
          <w:lang w:eastAsia="zh-CN"/>
        </w:rPr>
        <w:t xml:space="preserve">月</w:t>
      </w:r>
      <w:r>
        <w:rPr>
          <w:rFonts w:hint="eastAsia" w:ascii="宋体" w:hAnsi="宋体" w:eastAsia="宋体" w:cs="宋体"/>
          <w:b/>
          <w:color w:val="000000"/>
          <w:sz w:val="24"/>
          <w:highlight w:val="none"/>
          <w:lang w:val="en-US" w:eastAsia="zh-CN"/>
        </w:rPr>
        <w:t xml:space="preserve">1</w:t>
      </w:r>
      <w:r>
        <w:rPr>
          <w:rFonts w:hint="eastAsia" w:ascii="宋体" w:hAnsi="宋体" w:eastAsia="宋体" w:cs="宋体"/>
          <w:b/>
          <w:color w:val="000000"/>
          <w:sz w:val="24"/>
          <w:highlight w:val="none"/>
          <w:lang w:val="en-US" w:eastAsia="zh-CN"/>
        </w:rPr>
        <w:t xml:space="preserve">8</w:t>
      </w:r>
      <w:r>
        <w:rPr>
          <w:rFonts w:hint="eastAsia" w:ascii="宋体" w:hAnsi="宋体" w:eastAsia="宋体" w:cs="宋体"/>
          <w:b/>
          <w:color w:val="000000"/>
          <w:sz w:val="24"/>
          <w:highlight w:val="none"/>
        </w:rPr>
        <w:t xml:space="preserve">日北京时间09：30</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79"/>
        <w:ind w:firstLine="3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（二）开标时间：</w:t>
      </w:r>
      <w:r>
        <w:rPr>
          <w:rFonts w:hint="eastAsia" w:ascii="宋体" w:hAnsi="宋体" w:eastAsia="宋体" w:cs="宋体"/>
          <w:b/>
          <w:color w:val="000000"/>
          <w:sz w:val="24"/>
          <w:highlight w:val="none"/>
          <w:lang w:eastAsia="zh-CN"/>
        </w:rPr>
        <w:t xml:space="preserve">2026年</w:t>
      </w:r>
      <w:r>
        <w:rPr>
          <w:rFonts w:hint="eastAsia" w:ascii="宋体" w:hAnsi="宋体" w:eastAsia="宋体" w:cs="宋体"/>
          <w:b/>
          <w:color w:val="000000"/>
          <w:sz w:val="24"/>
          <w:highlight w:val="none"/>
          <w:lang w:val="en-US" w:eastAsia="zh-CN"/>
        </w:rPr>
        <w:t xml:space="preserve">11</w:t>
      </w:r>
      <w:r>
        <w:rPr>
          <w:rFonts w:hint="eastAsia" w:ascii="宋体" w:hAnsi="宋体" w:eastAsia="宋体" w:cs="宋体"/>
          <w:b/>
          <w:color w:val="000000"/>
          <w:sz w:val="24"/>
          <w:highlight w:val="none"/>
          <w:lang w:eastAsia="zh-CN"/>
        </w:rPr>
        <w:t xml:space="preserve">月</w:t>
      </w:r>
      <w:r>
        <w:rPr>
          <w:rFonts w:hint="eastAsia" w:ascii="宋体" w:hAnsi="宋体" w:eastAsia="宋体" w:cs="宋体"/>
          <w:b/>
          <w:color w:val="000000"/>
          <w:sz w:val="24"/>
          <w:highlight w:val="none"/>
          <w:lang w:val="en-US" w:eastAsia="zh-CN"/>
        </w:rPr>
        <w:t xml:space="preserve">18</w:t>
      </w:r>
      <w:r>
        <w:rPr>
          <w:rFonts w:hint="eastAsia" w:ascii="宋体" w:hAnsi="宋体" w:eastAsia="宋体" w:cs="宋体"/>
          <w:b/>
          <w:color w:val="000000"/>
          <w:sz w:val="24"/>
          <w:highlight w:val="none"/>
        </w:rPr>
        <w:t xml:space="preserve">日</w:t>
      </w:r>
      <w:r>
        <w:rPr>
          <w:rFonts w:hint="eastAsia" w:ascii="宋体" w:hAnsi="宋体" w:eastAsia="宋体" w:cs="宋体"/>
          <w:b/>
          <w:color w:val="000000"/>
          <w:sz w:val="24"/>
          <w:highlight w:val="none"/>
        </w:rPr>
        <w:t xml:space="preserve">北京时间09：30</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79"/>
        <w:ind w:firstLine="3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（三）开标地点：“苏采云”系统“开标大厅”或进入徐州政府采购网——业务工作——用户登录，点击“苏采云”进入系统“开标大厅”。</w:t>
      </w:r>
      <w:r>
        <w:rPr>
          <w:rFonts w:hint="eastAsia" w:ascii="宋体" w:hAnsi="宋体" w:eastAsia="宋体" w:cs="宋体"/>
          <w:color w:val="000000"/>
          <w:sz w:val="24"/>
          <w:highlight w:val="none"/>
        </w:rPr>
      </w:r>
      <w:r/>
    </w:p>
    <w:p>
      <w:pPr>
        <w:pStyle w:val="779"/>
        <w:ind w:firstLine="3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五、采购人</w:t>
      </w:r>
      <w:r>
        <w:rPr>
          <w:rFonts w:hint="eastAsia" w:ascii="宋体" w:hAnsi="宋体" w:eastAsia="宋体" w:cs="宋体"/>
          <w:color w:val="000000"/>
          <w:sz w:val="24"/>
          <w:highlight w:val="none"/>
        </w:rPr>
      </w:r>
      <w:r/>
    </w:p>
    <w:p>
      <w:pPr>
        <w:pStyle w:val="779"/>
        <w:ind w:firstLine="300"/>
        <w:spacing w:line="51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（一）名称：</w:t>
      </w:r>
      <w:r>
        <w:rPr>
          <w:rFonts w:hint="eastAsia" w:ascii="宋体" w:hAnsi="宋体" w:eastAsia="宋体" w:cs="宋体"/>
          <w:color w:val="000000"/>
          <w:sz w:val="24"/>
          <w:highlight w:val="none"/>
          <w:lang w:eastAsia="zh-CN"/>
        </w:rPr>
        <w:t xml:space="preserve">徐州市公安局</w:t>
      </w:r>
      <w:r>
        <w:rPr>
          <w:rFonts w:hint="eastAsia" w:ascii="宋体" w:hAnsi="宋体" w:eastAsia="宋体" w:cs="宋体"/>
          <w:color w:val="000000"/>
          <w:sz w:val="24"/>
          <w:highlight w:val="none"/>
          <w:lang w:eastAsia="zh-CN"/>
        </w:rPr>
      </w:r>
      <w:r/>
    </w:p>
    <w:p>
      <w:pPr>
        <w:pStyle w:val="779"/>
        <w:ind w:firstLine="300"/>
        <w:spacing w:line="51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（二）地址：徐州市金山东路6号</w:t>
      </w:r>
      <w:r>
        <w:rPr>
          <w:rFonts w:hint="eastAsia" w:ascii="宋体" w:hAnsi="宋体" w:eastAsia="宋体" w:cs="宋体"/>
          <w:color w:val="000000"/>
          <w:sz w:val="24"/>
          <w:highlight w:val="none"/>
          <w:lang w:eastAsia="zh-CN"/>
        </w:rPr>
      </w:r>
      <w:r/>
    </w:p>
    <w:p>
      <w:pPr>
        <w:pStyle w:val="779"/>
        <w:ind w:firstLine="300"/>
        <w:spacing w:line="51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（三）采购项目联系人：</w:t>
      </w:r>
      <w:r>
        <w:rPr>
          <w:rFonts w:hint="eastAsia" w:ascii="宋体" w:hAnsi="宋体" w:eastAsia="宋体" w:cs="宋体"/>
          <w:color w:val="000000"/>
          <w:sz w:val="24"/>
          <w:highlight w:val="none"/>
          <w:lang w:val="en-US" w:eastAsia="zh-CN"/>
        </w:rPr>
        <w:t xml:space="preserve">胡松</w:t>
      </w:r>
      <w:r>
        <w:rPr>
          <w:rFonts w:hint="eastAsia" w:ascii="宋体" w:hAnsi="宋体" w:eastAsia="宋体" w:cs="宋体"/>
          <w:color w:val="000000"/>
          <w:sz w:val="24"/>
          <w:highlight w:val="none"/>
          <w:lang w:eastAsia="zh-CN"/>
        </w:rPr>
      </w:r>
      <w:r/>
    </w:p>
    <w:p>
      <w:pPr>
        <w:pStyle w:val="779"/>
        <w:ind w:firstLine="300"/>
        <w:spacing w:line="519" w:lineRule="atLeas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（四）联系方式：</w:t>
      </w:r>
      <w:r>
        <w:rPr>
          <w:rFonts w:hint="eastAsia" w:ascii="宋体" w:hAnsi="宋体" w:eastAsia="宋体" w:cs="宋体"/>
          <w:color w:val="000000"/>
          <w:sz w:val="24"/>
          <w:highlight w:val="none"/>
          <w:lang w:val="en-US" w:eastAsia="zh-CN"/>
        </w:rPr>
        <w:t xml:space="preserve">0516</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83978280</w:t>
      </w:r>
      <w:r>
        <w:rPr>
          <w:rFonts w:hint="eastAsia" w:ascii="宋体" w:hAnsi="宋体" w:eastAsia="宋体" w:cs="宋体"/>
          <w:color w:val="000000"/>
          <w:sz w:val="24"/>
          <w:highlight w:val="none"/>
          <w:lang w:val="en-US" w:eastAsia="zh-CN"/>
        </w:rPr>
      </w:r>
      <w:r/>
    </w:p>
    <w:p>
      <w:pPr>
        <w:pStyle w:val="779"/>
        <w:ind w:firstLine="3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六、采购代理机构</w:t>
      </w:r>
      <w:r>
        <w:rPr>
          <w:rFonts w:hint="eastAsia" w:ascii="宋体" w:hAnsi="宋体" w:eastAsia="宋体" w:cs="宋体"/>
          <w:color w:val="000000"/>
          <w:sz w:val="24"/>
          <w:highlight w:val="none"/>
        </w:rPr>
      </w:r>
      <w:r/>
    </w:p>
    <w:p>
      <w:pPr>
        <w:pStyle w:val="779"/>
        <w:ind w:firstLine="3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（一）名称：江苏中瑞建设项目管理有限公司</w:t>
      </w:r>
      <w:r>
        <w:rPr>
          <w:rFonts w:hint="eastAsia" w:ascii="宋体" w:hAnsi="宋体" w:eastAsia="宋体" w:cs="宋体"/>
          <w:color w:val="000000"/>
          <w:sz w:val="24"/>
          <w:highlight w:val="none"/>
        </w:rPr>
      </w:r>
      <w:r/>
    </w:p>
    <w:p>
      <w:pPr>
        <w:pStyle w:val="779"/>
        <w:ind w:firstLine="3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（二）地址：徐州市云龙区郭庄路世茂广场SOHO3号楼17楼</w:t>
      </w:r>
      <w:r>
        <w:rPr>
          <w:rFonts w:hint="eastAsia" w:ascii="宋体" w:hAnsi="宋体" w:eastAsia="宋体" w:cs="宋体"/>
          <w:color w:val="000000"/>
          <w:sz w:val="24"/>
          <w:highlight w:val="none"/>
        </w:rPr>
      </w:r>
      <w:r/>
    </w:p>
    <w:p>
      <w:pPr>
        <w:pStyle w:val="779"/>
        <w:ind w:firstLine="3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（三）采购项目联系人：张娟</w:t>
      </w:r>
      <w:r>
        <w:rPr>
          <w:rFonts w:hint="eastAsia" w:ascii="宋体" w:hAnsi="宋体" w:eastAsia="宋体" w:cs="宋体"/>
          <w:color w:val="000000"/>
          <w:sz w:val="24"/>
          <w:highlight w:val="none"/>
        </w:rPr>
      </w:r>
      <w:r/>
    </w:p>
    <w:p>
      <w:pPr>
        <w:pStyle w:val="779"/>
        <w:ind w:firstLine="3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（四）联系电话：0516-83906677</w:t>
      </w:r>
      <w:r>
        <w:rPr>
          <w:rFonts w:hint="eastAsia" w:ascii="宋体" w:hAnsi="宋体" w:eastAsia="宋体" w:cs="宋体"/>
          <w:color w:val="000000"/>
          <w:sz w:val="24"/>
          <w:highlight w:val="none"/>
        </w:rPr>
      </w:r>
      <w:r/>
    </w:p>
    <w:p>
      <w:pPr>
        <w:pStyle w:val="779"/>
        <w:ind w:firstLine="600"/>
        <w:jc w:val="right"/>
        <w:spacing w:line="360" w:lineRule="atLeast"/>
        <w:tabs>
          <w:tab w:val="left" w:pos="4223" w:leader="none"/>
        </w:tabs>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 </w:t>
      </w:r>
      <w:r>
        <w:rPr>
          <w:rFonts w:hint="eastAsia" w:ascii="宋体" w:hAnsi="宋体" w:eastAsia="宋体" w:cs="宋体"/>
          <w:color w:val="000000"/>
          <w:highlight w:val="none"/>
        </w:rPr>
      </w:r>
      <w:r/>
    </w:p>
    <w:p>
      <w:pPr>
        <w:pStyle w:val="779"/>
        <w:jc w:val="center"/>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28"/>
          <w:szCs w:val="28"/>
          <w:highlight w:val="none"/>
        </w:rPr>
        <w:t xml:space="preserve">第二章 投标人须知</w:t>
      </w:r>
      <w:r>
        <w:rPr>
          <w:rFonts w:hint="eastAsia" w:ascii="宋体" w:hAnsi="宋体" w:eastAsia="宋体" w:cs="宋体"/>
          <w:color w:val="000000"/>
          <w:sz w:val="28"/>
          <w:szCs w:val="28"/>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一、总则</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（一）采购人。采购人即指依法进行政府采购的国家机关、事业单位和团体组织。</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（二）政府招标采购方式。政府采购货物或服务（以下简称“货物服务”）的招标方式，分为公开招标和邀请招标。</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（三）采购人在采购货物服务的招标投标活动中，应当贯彻落实“节约能源、保护环境、扶持不发达地区和少数民族地区和促进中小企业发展”等政府采购政策。</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（五）采购人委托采购代理机构代理招标的，采购代理机构必须在采购人委托的范围内依法开展采购活动。</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（六）投标人的资格条件：</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投标人是指响应招标、参加投标竞争的法人、其他组织或者自然人。</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2.投标人授权代表系指法定代表人或受法人委托的受托人。</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（七）投标费用：投标人应承担所有与准备和参加投标有关的费用。无论投标的结果如何，采购代理机构对上述费用不承担任何责任和义务。</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二、招标</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（八）招标文件应包括以下内容：</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第一章：投标邀请；</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第二章：投标人须知；</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第三章：投标资料表；</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第四章：评标标准；</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第五章：拟签订的合同文本；</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第六章：采购需求；</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第七章：投标文件相关格式。</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（九）招标文件澄清或者修改：</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2.现场考察以本文件第三章《投标资料表》中的要求为准。</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3.开标前答疑会以本文件第三章《投标资料表》中的要求为准。</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三、投标</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（十）投标人应当按照招标文件的要求编制投标文件。投标文件应对招标文件提出的要求和条件作出实质性响应。</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（十一）投标文件的语言。投标文件以及投标人与采购代理机构就有关投标的往来函电均应使用本文件第三章《投标资料表》规定的语言书写，否则无效。</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（十二）投标文件的构成：</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1.投标文件的构成以本文件第三章《投标资料表》中的要求为准。</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2.投标人应当提交的资格、资信证明文件，以本文件第三章《投标资料表》中的所提要求为准。</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（十三）投标函和价格表、商务条件、交货和提供服务的时间：</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1.投标函和价格表的要求见本章（十二）、（十三），格式见本文件第七章《投标文件相关格式》中《投标函》和《开标一览表》。</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2.商务条件以本文件第三章《投标资料表》中的要求为准。</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3.交货和提供服务的时间，以本文件第三章《投标资料表》中所提要求为准。</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（十四）投标报价要求：</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1.投标人应按照招标文件的要求报出分项价格和总价。</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2.投标人应按照招标文件的要求进行报价，如投标人作出偏离，应在《偏离表》中列出。</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3.采购人不支付报价以外的任何费用。</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4.投标人所报的价格，在合同执行过程中是固定的，不得以任何理由予以变更。投标人提交滑动价格的投标文件，在资格性、符合性检查时按照无效投标处理。</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5.投标人只能提交一个投标价格，投标人提交多个价格的投标文件，在资格性、符合性检查时按照无效投标处理。</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（十五）投标货币。以本文件第三章《投标资料表》中所提要求为准。</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（十六）投标有效期：</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1.投标有效期为开标之日后90天。采购人可以要求对投标有效期延长一次，但该延长期最长不得超过30天。</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3.如果采购人发出要求延长投标有效期的通知，并在投标有效期届满前，没有收到投标人同意的书面通知，则视为该投标人不接受上述延期的要求。</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（十七）投标文件的编制要求和签署要求：</w:t>
      </w:r>
      <w:r>
        <w:rPr>
          <w:rFonts w:hint="eastAsia" w:ascii="宋体" w:hAnsi="宋体" w:eastAsia="宋体" w:cs="宋体"/>
          <w:color w:val="000000"/>
          <w:sz w:val="24"/>
          <w:highlight w:val="none"/>
        </w:rPr>
      </w:r>
      <w:r/>
    </w:p>
    <w:p>
      <w:pPr>
        <w:pStyle w:val="779"/>
        <w:ind w:firstLine="482"/>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（1）投标人应由其法定代表人或法定代表人授权代表在规定的网上投标时间，凭 CA 证书登录“苏采云”系统在线编制投标文件（电子数据），并在投标截止时间之前上传投标文件。</w:t>
      </w:r>
      <w:r>
        <w:rPr>
          <w:rFonts w:hint="eastAsia" w:ascii="宋体" w:hAnsi="宋体" w:eastAsia="宋体" w:cs="宋体"/>
          <w:color w:val="000000"/>
          <w:sz w:val="24"/>
          <w:highlight w:val="none"/>
        </w:rPr>
      </w:r>
      <w:r/>
    </w:p>
    <w:p>
      <w:pPr>
        <w:pStyle w:val="779"/>
        <w:ind w:firstLine="482"/>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（2）投标人应对CA证书妥善保管，如被他人盗用投标，因此带来的结果均由投标人自行承担。</w:t>
      </w:r>
      <w:r>
        <w:rPr>
          <w:rFonts w:hint="eastAsia" w:ascii="宋体" w:hAnsi="宋体" w:eastAsia="宋体" w:cs="宋体"/>
          <w:color w:val="000000"/>
          <w:sz w:val="24"/>
          <w:highlight w:val="none"/>
        </w:rPr>
      </w:r>
      <w:r/>
    </w:p>
    <w:p>
      <w:pPr>
        <w:pStyle w:val="779"/>
        <w:ind w:firstLine="482"/>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（3）投标人应当对招标文件提出的要求和条件作出实质性响应，并在电子投标系统逐条应答。</w:t>
      </w:r>
      <w:r>
        <w:rPr>
          <w:rFonts w:hint="eastAsia" w:ascii="宋体" w:hAnsi="宋体" w:eastAsia="宋体" w:cs="宋体"/>
          <w:color w:val="000000"/>
          <w:sz w:val="24"/>
          <w:highlight w:val="none"/>
        </w:rPr>
      </w:r>
      <w:r/>
    </w:p>
    <w:p>
      <w:pPr>
        <w:pStyle w:val="779"/>
        <w:ind w:firstLine="482"/>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（4）投标人应对要求提供的资格证明文件（如资质证书、资格证书）、技术资料（如白皮书、彩页、手册、检测报告等）扫描上传至投标系统。</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（十八）投标文件的盖章要求</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1.投标文件的盖章要求以招标文件第三章《投标资料表》中的要求为准。</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（十九）提交投标文件的截止时间和收到投标文件后注意事项。投标人应在招标文件要求的提交投标文件的截止时间前，将投标文件提交至“苏采云”系统。</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（二十）凡在招标文件要求提交投标文件的截止时间之后送达的投标文件，均为无效投标文件，“苏采云”系统将自动拒收。各投标人应在规定时间内通过CA证书进行网上解密。</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（二十一）投标人在投标截止时间前，可以对所递交的投标文件进行补充、修改或者撤回，其所进行补充、修改的内容，应当按照招标文件要求进行签署、盖章、密封，然后纳为投标文件的组成部分。</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（二十二）本项目不允许分包。</w:t>
      </w:r>
      <w:r>
        <w:rPr>
          <w:rFonts w:hint="eastAsia" w:ascii="宋体" w:hAnsi="宋体" w:eastAsia="宋体" w:cs="宋体"/>
          <w:color w:val="000000"/>
          <w:sz w:val="24"/>
          <w:highlight w:val="none"/>
        </w:rPr>
      </w:r>
      <w:r/>
    </w:p>
    <w:p>
      <w:pPr>
        <w:pStyle w:val="779"/>
        <w:ind w:firstLine="600"/>
        <w:spacing w:line="519" w:lineRule="atLeast"/>
        <w:shd w:val="clear" w:color="ffffff"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（二十三）投标人应当遵循公平竞争的原则，不得恶意串通，不得妨碍其他投标人的竞争行为，不得损害采购人或者其他投标人的合法权益。</w:t>
      </w:r>
      <w:r>
        <w:rPr>
          <w:rFonts w:hint="eastAsia" w:ascii="宋体" w:hAnsi="宋体" w:eastAsia="宋体" w:cs="宋体"/>
          <w:color w:val="000000"/>
          <w:sz w:val="24"/>
          <w:highlight w:val="none"/>
        </w:rPr>
      </w:r>
      <w:r/>
    </w:p>
    <w:p>
      <w:pPr>
        <w:pStyle w:val="779"/>
        <w:ind w:firstLine="600"/>
        <w:spacing w:line="519" w:lineRule="atLeast"/>
        <w:shd w:val="clear" w:color="ffffff"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在评标过程中发现投标人有上述情形的，评审委员会应当认定其投标无效，并书面报告本级财政部门。</w:t>
      </w:r>
      <w:r>
        <w:rPr>
          <w:rFonts w:hint="eastAsia" w:ascii="宋体" w:hAnsi="宋体" w:eastAsia="宋体" w:cs="宋体"/>
          <w:color w:val="000000"/>
          <w:sz w:val="24"/>
          <w:highlight w:val="none"/>
        </w:rPr>
      </w:r>
      <w:r/>
    </w:p>
    <w:p>
      <w:pPr>
        <w:pStyle w:val="779"/>
        <w:ind w:firstLine="600"/>
        <w:spacing w:line="519" w:lineRule="atLeast"/>
        <w:shd w:val="clear" w:color="ffffff"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（二十四）有下列情形之一的，其投标无效。</w:t>
      </w:r>
      <w:r>
        <w:rPr>
          <w:rFonts w:hint="eastAsia" w:ascii="宋体" w:hAnsi="宋体" w:eastAsia="宋体" w:cs="宋体"/>
          <w:color w:val="000000"/>
          <w:sz w:val="24"/>
          <w:highlight w:val="none"/>
        </w:rPr>
      </w:r>
      <w:r/>
    </w:p>
    <w:p>
      <w:pPr>
        <w:pStyle w:val="779"/>
        <w:ind w:firstLine="600"/>
        <w:spacing w:line="519" w:lineRule="atLeast"/>
        <w:shd w:val="clear" w:color="ffffff"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1.不同投标人的投标文件，由同一单位或者个人编制；</w:t>
      </w:r>
      <w:r>
        <w:rPr>
          <w:rFonts w:hint="eastAsia" w:ascii="宋体" w:hAnsi="宋体" w:eastAsia="宋体" w:cs="宋体"/>
          <w:color w:val="000000"/>
          <w:sz w:val="24"/>
          <w:highlight w:val="none"/>
        </w:rPr>
      </w:r>
      <w:r/>
    </w:p>
    <w:p>
      <w:pPr>
        <w:pStyle w:val="779"/>
        <w:ind w:firstLine="600"/>
        <w:spacing w:line="519" w:lineRule="atLeast"/>
        <w:shd w:val="clear" w:color="ffffff"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2.不同投标人委托同一单位或者个人办理投标事宜；</w:t>
      </w:r>
      <w:r>
        <w:rPr>
          <w:rFonts w:hint="eastAsia" w:ascii="宋体" w:hAnsi="宋体" w:eastAsia="宋体" w:cs="宋体"/>
          <w:color w:val="000000"/>
          <w:sz w:val="24"/>
          <w:highlight w:val="none"/>
        </w:rPr>
      </w:r>
      <w:r/>
    </w:p>
    <w:p>
      <w:pPr>
        <w:pStyle w:val="779"/>
        <w:ind w:firstLine="600"/>
        <w:spacing w:line="519" w:lineRule="atLeast"/>
        <w:shd w:val="clear" w:color="ffffff"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3.不同投标人的投标文件中，所载明的项目管理成员或联系人为同一人；</w:t>
      </w:r>
      <w:r>
        <w:rPr>
          <w:rFonts w:hint="eastAsia" w:ascii="宋体" w:hAnsi="宋体" w:eastAsia="宋体" w:cs="宋体"/>
          <w:color w:val="000000"/>
          <w:sz w:val="24"/>
          <w:highlight w:val="none"/>
        </w:rPr>
      </w:r>
      <w:r/>
    </w:p>
    <w:p>
      <w:pPr>
        <w:pStyle w:val="779"/>
        <w:ind w:firstLine="600"/>
        <w:spacing w:line="519" w:lineRule="atLeast"/>
        <w:shd w:val="clear" w:color="ffffff"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4.不同投标人的投标文件，异常一致或者投标报价呈规律性差异；</w:t>
      </w:r>
      <w:r>
        <w:rPr>
          <w:rFonts w:hint="eastAsia" w:ascii="宋体" w:hAnsi="宋体" w:eastAsia="宋体" w:cs="宋体"/>
          <w:color w:val="000000"/>
          <w:sz w:val="24"/>
          <w:highlight w:val="none"/>
        </w:rPr>
      </w:r>
      <w:r/>
    </w:p>
    <w:p>
      <w:pPr>
        <w:pStyle w:val="779"/>
        <w:ind w:firstLine="600"/>
        <w:spacing w:line="519" w:lineRule="atLeast"/>
        <w:shd w:val="clear" w:color="ffffff"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5.不同投标人的投标文件相互混装；</w:t>
      </w:r>
      <w:r>
        <w:rPr>
          <w:rFonts w:hint="eastAsia" w:ascii="宋体" w:hAnsi="宋体" w:eastAsia="宋体" w:cs="宋体"/>
          <w:color w:val="000000"/>
          <w:sz w:val="24"/>
          <w:highlight w:val="none"/>
        </w:rPr>
      </w:r>
      <w:r/>
    </w:p>
    <w:p>
      <w:pPr>
        <w:pStyle w:val="779"/>
        <w:ind w:firstLine="600"/>
        <w:spacing w:line="519" w:lineRule="atLeast"/>
        <w:shd w:val="clear" w:color="ffffff"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6.不同投标人投标文件内容存在非正常一致、项目组成员出现同一人、投标文件中错误（或异常）一致或雷同、电子文档信息一致或雷同的、投标报价呈规律性差异的；</w:t>
      </w:r>
      <w:r>
        <w:rPr>
          <w:rFonts w:hint="eastAsia" w:ascii="宋体" w:hAnsi="宋体" w:eastAsia="宋体" w:cs="宋体"/>
          <w:color w:val="000000"/>
          <w:sz w:val="24"/>
          <w:highlight w:val="none"/>
        </w:rPr>
      </w:r>
      <w:r/>
    </w:p>
    <w:p>
      <w:pPr>
        <w:pStyle w:val="779"/>
        <w:ind w:firstLine="600"/>
        <w:spacing w:line="519" w:lineRule="atLeast"/>
        <w:shd w:val="clear" w:color="ffffff"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7.电子投标文件未按规定期限投标的；</w:t>
      </w:r>
      <w:r>
        <w:rPr>
          <w:rFonts w:hint="eastAsia" w:ascii="宋体" w:hAnsi="宋体" w:eastAsia="宋体" w:cs="宋体"/>
          <w:color w:val="000000"/>
          <w:sz w:val="24"/>
          <w:highlight w:val="none"/>
        </w:rPr>
      </w:r>
      <w:r/>
    </w:p>
    <w:p>
      <w:pPr>
        <w:pStyle w:val="779"/>
        <w:ind w:firstLine="600"/>
        <w:spacing w:line="519" w:lineRule="atLeast"/>
        <w:shd w:val="clear" w:color="ffffff"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8.电子投标文件未按招标文件要求签章的；</w:t>
      </w:r>
      <w:r>
        <w:rPr>
          <w:rFonts w:hint="eastAsia" w:ascii="宋体" w:hAnsi="宋体" w:eastAsia="宋体" w:cs="宋体"/>
          <w:color w:val="000000"/>
          <w:sz w:val="24"/>
          <w:highlight w:val="none"/>
        </w:rPr>
      </w:r>
      <w:r/>
    </w:p>
    <w:p>
      <w:pPr>
        <w:pStyle w:val="779"/>
        <w:ind w:firstLine="600"/>
        <w:spacing w:line="519" w:lineRule="atLeast"/>
        <w:shd w:val="clear" w:color="ffffff"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9.投标人未在规定时间内解密电子投标文件的；</w:t>
      </w:r>
      <w:r>
        <w:rPr>
          <w:rFonts w:hint="eastAsia" w:ascii="宋体" w:hAnsi="宋体" w:eastAsia="宋体" w:cs="宋体"/>
          <w:color w:val="000000"/>
          <w:sz w:val="24"/>
          <w:highlight w:val="none"/>
        </w:rPr>
      </w:r>
      <w:r/>
    </w:p>
    <w:p>
      <w:pPr>
        <w:pStyle w:val="779"/>
        <w:ind w:firstLine="600"/>
        <w:spacing w:line="519" w:lineRule="atLeast"/>
        <w:shd w:val="clear" w:color="ffffff"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10.投标文件未按招标文件规定的内容和要求填写的；没有在投标系统指定位置上传对应文件、材料的；</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11.不具备招标文件中规定的资格要求的；</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12.报价超过招标文件中规定的预算金额或者最高限价的；</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13.投标文件含有采购人不能接受的附加条件的；</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14.法律法规和招标文件规定的其他无效情形。</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四、开标</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（二十五）开标：</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1.所有投标单位凭 CA 证书在到达开标时间时，解密各自投标文件。</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2.投标人不足3家的，不得开标。</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3.开标过程由采购代理机构负责记录。</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4.投标人代表对开标过程和开标记录有疑义的，或者认为采购人、采购代理机构相关工作人员有需要回避情形的，应当场提出询问或者提出回避申请。</w:t>
      </w:r>
      <w:r>
        <w:rPr>
          <w:rFonts w:hint="eastAsia" w:ascii="宋体" w:hAnsi="宋体" w:eastAsia="宋体" w:cs="宋体"/>
          <w:color w:val="000000"/>
          <w:sz w:val="24"/>
          <w:highlight w:val="none"/>
        </w:rPr>
      </w:r>
      <w:r/>
    </w:p>
    <w:p>
      <w:pPr>
        <w:pStyle w:val="779"/>
        <w:ind w:firstLine="600"/>
        <w:spacing w:line="519" w:lineRule="atLeast"/>
        <w:shd w:val="clear" w:color="ffffff"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5.投标人未参加开标的，视同认可开标结果。</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五、评标</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（二十六）公开招标采购项目开标结束后，采购人依法对投标人的资格进行审查。合格投标人不足3家的，不得评标。</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1.评标工作由采购代理机构负责组织，并履行下列职责：</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（1）核对评审专家身份和采购人代表授权函，对评审专家在政府采购活动中的职责履行情况予以记录，并及时将有关违法违规行为向财政部门报告；</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（2）宣布评标纪律；</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（3）公布投标人名单，告知评审专家应当回避的情形；</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（4）组织评审委员会推选评标组长（采购人代表不得担任组长）；</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（5）在评标期间采取必要的通信管理措施，保证评标活动不受外界干扰；</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（6）根据评审委员会的要求介绍政府采购相关政策法规、招标文件；</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（7）维护评标秩序，监督评审委员会依照招标文件规定的评审程序、方法和标准进行独立评审，及时制止和纠正采购人代表、评审专家的倾向性言论或者违法违规行为；</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（8）核对评审结果，对有《</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"http://www.caigou2003.com/" \o "http://www.caigou2003.com/" </w:instrText>
      </w:r>
      <w:r>
        <w:rPr>
          <w:rFonts w:hint="eastAsia" w:ascii="宋体" w:hAnsi="宋体" w:eastAsia="宋体" w:cs="宋体"/>
          <w:color w:val="000000"/>
          <w:highlight w:val="none"/>
        </w:rPr>
        <w:fldChar w:fldCharType="separate"/>
      </w:r>
      <w:r>
        <w:rPr>
          <w:rStyle w:val="898"/>
          <w:rFonts w:hint="eastAsia" w:ascii="宋体" w:hAnsi="宋体" w:eastAsia="宋体" w:cs="宋体"/>
          <w:color w:val="000000"/>
          <w:sz w:val="24"/>
          <w:highlight w:val="none"/>
          <w:u w:val="none"/>
        </w:rPr>
        <w:t xml:space="preserve">政府采购</w:t>
      </w:r>
      <w:r>
        <w:rPr>
          <w:rFonts w:hint="eastAsia" w:ascii="宋体" w:hAnsi="宋体" w:eastAsia="宋体" w:cs="宋体"/>
          <w:color w:val="000000"/>
          <w:sz w:val="24"/>
          <w:highlight w:val="none"/>
        </w:rPr>
        <w:fldChar w:fldCharType="end"/>
      </w:r>
      <w:r>
        <w:rPr>
          <w:rFonts w:hint="eastAsia" w:ascii="宋体" w:hAnsi="宋体" w:eastAsia="宋体" w:cs="宋体"/>
          <w:color w:val="000000"/>
          <w:sz w:val="24"/>
          <w:highlight w:val="none"/>
        </w:rPr>
        <w:t xml:space="preserve">货物和服务招标投标管理办法》第六十四条规定情形的，应要求评审委员会复核或者书面说明理由，评审委员会拒绝的，应予记录并向本级财政部门报告；</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（9）评审工作完成后，按照规定向评审专家支付劳务报酬和异地评审差旅费，不得向评审专家以外的其他人员支付评审劳务报酬； </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（10）处理与评标有关的其他事项。</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采购人可以在评标前说明项目背景和采购需求，说明内容不得含有歧视性、倾向性意见，不得超出招标文件所述范围。其说明应当提交书面材料，并随采购文件一并存档。</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2.评审委员会负责具体评标事务，并独立履行下列职责：</w:t>
      </w:r>
      <w:r>
        <w:rPr>
          <w:rFonts w:hint="eastAsia" w:ascii="宋体" w:hAnsi="宋体" w:eastAsia="宋体" w:cs="宋体"/>
          <w:color w:val="000000"/>
          <w:sz w:val="24"/>
          <w:highlight w:val="none"/>
        </w:rPr>
      </w:r>
      <w:r/>
    </w:p>
    <w:p>
      <w:pPr>
        <w:pStyle w:val="779"/>
        <w:ind w:firstLine="45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（1）审查、评价投标文件是否符合招标文件的商务、技术等实质性要求；</w:t>
      </w:r>
      <w:r>
        <w:rPr>
          <w:rFonts w:hint="eastAsia" w:ascii="宋体" w:hAnsi="宋体" w:eastAsia="宋体" w:cs="宋体"/>
          <w:color w:val="000000"/>
          <w:sz w:val="24"/>
          <w:highlight w:val="none"/>
        </w:rPr>
      </w:r>
      <w:r/>
    </w:p>
    <w:p>
      <w:pPr>
        <w:pStyle w:val="779"/>
        <w:ind w:firstLine="45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（2）要求投标人对投标文件有关事项作出澄清或者说明；</w:t>
      </w:r>
      <w:r>
        <w:rPr>
          <w:rFonts w:hint="eastAsia" w:ascii="宋体" w:hAnsi="宋体" w:eastAsia="宋体" w:cs="宋体"/>
          <w:color w:val="000000"/>
          <w:sz w:val="24"/>
          <w:highlight w:val="none"/>
        </w:rPr>
      </w:r>
      <w:r/>
    </w:p>
    <w:p>
      <w:pPr>
        <w:pStyle w:val="779"/>
        <w:ind w:firstLine="45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（3）对投标文件进行比较和评价；</w:t>
      </w:r>
      <w:r>
        <w:rPr>
          <w:rFonts w:hint="eastAsia" w:ascii="宋体" w:hAnsi="宋体" w:eastAsia="宋体" w:cs="宋体"/>
          <w:color w:val="000000"/>
          <w:sz w:val="24"/>
          <w:highlight w:val="none"/>
        </w:rPr>
      </w:r>
      <w:r/>
    </w:p>
    <w:p>
      <w:pPr>
        <w:pStyle w:val="779"/>
        <w:ind w:firstLine="45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（4）确定中标候选人名单，以及根据采购人委托直接确定中标人；</w:t>
      </w:r>
      <w:r>
        <w:rPr>
          <w:rFonts w:hint="eastAsia" w:ascii="宋体" w:hAnsi="宋体" w:eastAsia="宋体" w:cs="宋体"/>
          <w:color w:val="000000"/>
          <w:sz w:val="24"/>
          <w:highlight w:val="none"/>
        </w:rPr>
      </w:r>
      <w:r/>
    </w:p>
    <w:p>
      <w:pPr>
        <w:pStyle w:val="779"/>
        <w:ind w:firstLine="45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（5）向采购人、采购代理机构或有关部门报告评标中发现的违法行为。</w:t>
      </w:r>
      <w:r>
        <w:rPr>
          <w:rFonts w:hint="eastAsia" w:ascii="宋体" w:hAnsi="宋体" w:eastAsia="宋体" w:cs="宋体"/>
          <w:color w:val="000000"/>
          <w:sz w:val="24"/>
          <w:highlight w:val="none"/>
        </w:rPr>
      </w:r>
      <w:r/>
    </w:p>
    <w:p>
      <w:pPr>
        <w:pStyle w:val="779"/>
        <w:ind w:firstLine="45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（二十七）评标方法分为最低评标价法和综合评分法。</w:t>
      </w:r>
      <w:r>
        <w:rPr>
          <w:rFonts w:hint="eastAsia" w:ascii="宋体" w:hAnsi="宋体" w:eastAsia="宋体" w:cs="宋体"/>
          <w:color w:val="000000"/>
          <w:sz w:val="24"/>
          <w:highlight w:val="none"/>
        </w:rPr>
      </w:r>
      <w:r/>
    </w:p>
    <w:p>
      <w:pPr>
        <w:pStyle w:val="779"/>
        <w:ind w:firstLine="45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（二十八）评标</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1.评标工作程序：</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（1）投标文件初审。</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①资格审查。</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②符合性审查。</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（2）澄清有关问题。</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（3）比较与评价。</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（4）推荐中标候选供应商名单。</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（5）编写评审报告（评标报告）。</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2.在评标中，不得改变招标文件中规定的评标标准、方法和中标条件。评审委员会对投标文件响应性的判定，要基于投标文件本身的内容，而不得寻求外部的证据。</w:t>
      </w:r>
      <w:r>
        <w:rPr>
          <w:rFonts w:hint="eastAsia" w:ascii="宋体" w:hAnsi="宋体" w:eastAsia="宋体" w:cs="宋体"/>
          <w:color w:val="000000"/>
          <w:sz w:val="24"/>
          <w:highlight w:val="none"/>
        </w:rPr>
      </w:r>
      <w:r/>
    </w:p>
    <w:p>
      <w:pPr>
        <w:pStyle w:val="779"/>
        <w:ind w:firstLine="600"/>
        <w:spacing w:line="519" w:lineRule="atLeast"/>
        <w:shd w:val="clear" w:color="ffffff"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3.采用</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"http://lilun.caigou2003.com/recijiedu/2365668.html" \o "http://lilun.caigou2003.com/recijiedu/2365668.html" </w:instrText>
      </w:r>
      <w:r>
        <w:rPr>
          <w:rFonts w:hint="eastAsia" w:ascii="宋体" w:hAnsi="宋体" w:eastAsia="宋体" w:cs="宋体"/>
          <w:color w:val="000000"/>
          <w:highlight w:val="none"/>
        </w:rPr>
        <w:fldChar w:fldCharType="separate"/>
      </w:r>
      <w:r>
        <w:rPr>
          <w:rStyle w:val="898"/>
          <w:rFonts w:hint="eastAsia" w:ascii="宋体" w:hAnsi="宋体" w:eastAsia="宋体" w:cs="宋体"/>
          <w:color w:val="000000"/>
          <w:sz w:val="24"/>
          <w:highlight w:val="none"/>
          <w:u w:val="none"/>
        </w:rPr>
        <w:t xml:space="preserve">最低评标价法</w:t>
      </w:r>
      <w:r>
        <w:rPr>
          <w:rFonts w:hint="eastAsia" w:ascii="宋体" w:hAnsi="宋体" w:eastAsia="宋体" w:cs="宋体"/>
          <w:color w:val="000000"/>
          <w:sz w:val="24"/>
          <w:highlight w:val="none"/>
        </w:rPr>
        <w:fldChar w:fldCharType="end"/>
      </w:r>
      <w:r>
        <w:rPr>
          <w:rFonts w:hint="eastAsia" w:ascii="宋体" w:hAnsi="宋体" w:eastAsia="宋体" w:cs="宋体"/>
          <w:color w:val="000000"/>
          <w:sz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hint="eastAsia" w:ascii="宋体" w:hAnsi="宋体" w:eastAsia="宋体" w:cs="宋体"/>
          <w:color w:val="000000"/>
          <w:sz w:val="24"/>
          <w:highlight w:val="none"/>
        </w:rPr>
      </w:r>
      <w:r/>
    </w:p>
    <w:p>
      <w:pPr>
        <w:pStyle w:val="779"/>
        <w:ind w:firstLine="600"/>
        <w:spacing w:line="519" w:lineRule="atLeast"/>
        <w:shd w:val="clear" w:color="ffffff"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采用</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"http://lilun.caigou2003.com/recijiedu/2365667.html" \o "http://lilun.caigou2003.com/recijiedu/2365667.html" </w:instrText>
      </w:r>
      <w:r>
        <w:rPr>
          <w:rFonts w:hint="eastAsia" w:ascii="宋体" w:hAnsi="宋体" w:eastAsia="宋体" w:cs="宋体"/>
          <w:color w:val="000000"/>
          <w:highlight w:val="none"/>
        </w:rPr>
        <w:fldChar w:fldCharType="separate"/>
      </w:r>
      <w:r>
        <w:rPr>
          <w:rStyle w:val="898"/>
          <w:rFonts w:hint="eastAsia" w:ascii="宋体" w:hAnsi="宋体" w:eastAsia="宋体" w:cs="宋体"/>
          <w:color w:val="000000"/>
          <w:sz w:val="24"/>
          <w:highlight w:val="none"/>
          <w:u w:val="none"/>
        </w:rPr>
        <w:t xml:space="preserve">综合评分法</w:t>
      </w:r>
      <w:r>
        <w:rPr>
          <w:rFonts w:hint="eastAsia" w:ascii="宋体" w:hAnsi="宋体" w:eastAsia="宋体" w:cs="宋体"/>
          <w:color w:val="000000"/>
          <w:sz w:val="24"/>
          <w:highlight w:val="none"/>
        </w:rPr>
        <w:fldChar w:fldCharType="end"/>
      </w:r>
      <w:r>
        <w:rPr>
          <w:rFonts w:hint="eastAsia" w:ascii="宋体" w:hAnsi="宋体" w:eastAsia="宋体" w:cs="宋体"/>
          <w:color w:val="000000"/>
          <w:sz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审委员会按照招标文件规定的方式确定一个投标人获得中标人推荐资格。招标文件未规定采取随机抽取方式确定的，其他同品牌投标人不作为中标候选人。</w:t>
      </w:r>
      <w:r>
        <w:rPr>
          <w:rFonts w:hint="eastAsia" w:ascii="宋体" w:hAnsi="宋体" w:eastAsia="宋体" w:cs="宋体"/>
          <w:color w:val="000000"/>
          <w:sz w:val="24"/>
          <w:highlight w:val="none"/>
        </w:rPr>
      </w:r>
      <w:r/>
    </w:p>
    <w:p>
      <w:pPr>
        <w:pStyle w:val="779"/>
        <w:ind w:firstLine="600"/>
        <w:spacing w:line="519" w:lineRule="atLeast"/>
        <w:shd w:val="clear" w:color="ffffff"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非单一产品采购项目，多家投标人提供的核心产品品牌相同的，按前两款规定处理。</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（二十九）投标文件报价出现前后不一致的，按照下列规定修正：</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1.投标文件中开标一览表（报价表）内容与投标文件中相应内容不一致的，以开标一览表（报价表）为准；</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2.大写金额和小写金额不一致的，以大写金额为准；</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3.单价金额小数点或者百分比有明显错位的，以开标一览表的总价为准，并修改单价；</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4.总价金额与按单价合计金额不一致的，以单价金额计算结果为准。</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同时出现两种以上不一致的，按照前款规定的顺序修正，将修正后的报价，形成投标人的澄清、说明或补正材料，经投标人确认后产生约束力，投标人不确认的，其投标无效。</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（三十）评审过程中出现下列情形之一的，评审委员会应当启动异常低价投标（响应）审查程序：</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评审中出现下列情形之一的，评审（评标）委员会应当启动异常低价投标（响应）审查程序：</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3.投标（响应）报价低于采购项目最高限价（未设定最高限价的采购项目，以采购项目预算金额作为最高限价）45%的，即投标（响应）报价&lt;采购项目最高限价×45%；</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4.评审（评标）委员会基于专业判断，认为供应商报价过低，有可能影响产品质量或者不能诚信履约的其他情形。</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相关法律法规对供应商报价有规定的，从其规定。</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000000"/>
          <w:sz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000000"/>
          <w:sz w:val="24"/>
          <w:highlight w:val="none"/>
        </w:rPr>
        <w:t xml:space="preserve">其中，属于第3项情形，供应商已随投标（响应）文件一并提交相关书面说明及必要的证明材料的，在评审现场可不再重复提交。</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（三十一）评审委员会成员对需要共同认定的事项存在争议的，应当按照少数服从多数的原则作出结论，持不同意见的评审委员会成员应当在评标报告上签署不同意见及理由，否则视为同意评标报告。</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（三十二）废标条款：</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出现下列情形之一的，应予废标。</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1.符合专业条件的供应商或者对招标文件作实质响应的供应商不足三家的；</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2.出现影响采购公正的违法、违规行为的；</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3.投标人的报价均超过了采购预算，采购人不能支付的；</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4.因重大变故，采购任务取消的。</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六、定标</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（三十三）采购代理机构应当在评标结束后2个工作日内将评标报告送采购人。</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（三十四）采购人应当自收到评标报告之日起5个工作日内，在评标报告确定的中标候选人名单中按顺序确定中标人。</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（三十五）采购人有权对投标人投标文件的真实性进行核实，如果投标人不能在采购人规定的时间内向采购人提供有效的证明文件，将被采购人视为放弃中标资格。</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七、政府采购合同</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（三十六）签订政府采购合同（合同签订方式）：</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采购人不得向中标人提出任何不合理的要求作为签订合同的条件。</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中标人无正当理由拒签合同的，或在签订书面合同时向招标人提出修改合同或者附加条件，招标人取消其中标资格，其投标保证金(如有)不予退还；给招标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w:t>
      </w:r>
      <w:r>
        <w:rPr>
          <w:rFonts w:hint="eastAsia" w:ascii="宋体" w:hAnsi="宋体" w:eastAsia="宋体" w:cs="宋体"/>
          <w:color w:val="000000"/>
          <w:sz w:val="24"/>
          <w:highlight w:val="none"/>
        </w:rPr>
      </w:r>
      <w:r/>
    </w:p>
    <w:p>
      <w:pPr>
        <w:pStyle w:val="779"/>
        <w:ind w:firstLine="600"/>
        <w:spacing w:line="519" w:lineRule="atLeast"/>
        <w:shd w:val="clear" w:color="ffffff"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（三十七）采购人与中标人应当根据合同的约定依法履行合同义务，政府采购合同的履行、违约责任和解决争议的方法等，按《中华人民共和国民法典》相关条款执行。</w:t>
      </w:r>
      <w:r>
        <w:rPr>
          <w:rFonts w:hint="eastAsia" w:ascii="宋体" w:hAnsi="宋体" w:eastAsia="宋体" w:cs="宋体"/>
          <w:color w:val="000000"/>
          <w:sz w:val="24"/>
          <w:highlight w:val="none"/>
        </w:rPr>
      </w:r>
      <w:r/>
    </w:p>
    <w:p>
      <w:pPr>
        <w:pStyle w:val="779"/>
        <w:ind w:firstLine="600"/>
        <w:spacing w:line="519" w:lineRule="atLeast"/>
        <w:shd w:val="clear" w:color="ffffff"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（三十八）履约保证金：详见《第三章 投标资料表》。</w:t>
      </w:r>
      <w:r>
        <w:rPr>
          <w:rFonts w:hint="eastAsia" w:ascii="宋体" w:hAnsi="宋体" w:eastAsia="宋体" w:cs="宋体"/>
          <w:color w:val="000000"/>
          <w:sz w:val="24"/>
          <w:highlight w:val="none"/>
        </w:rPr>
      </w:r>
      <w:r/>
    </w:p>
    <w:p>
      <w:pPr>
        <w:pStyle w:val="779"/>
        <w:ind w:firstLine="600"/>
        <w:spacing w:line="519" w:lineRule="atLeast"/>
        <w:shd w:val="clear" w:color="ffffff"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（三十九）腐败和欺诈行为：</w:t>
      </w:r>
      <w:r>
        <w:rPr>
          <w:rFonts w:hint="eastAsia" w:ascii="宋体" w:hAnsi="宋体" w:eastAsia="宋体" w:cs="宋体"/>
          <w:color w:val="000000"/>
          <w:sz w:val="24"/>
          <w:highlight w:val="none"/>
        </w:rPr>
      </w:r>
      <w:r/>
    </w:p>
    <w:p>
      <w:pPr>
        <w:pStyle w:val="779"/>
        <w:ind w:firstLine="600"/>
        <w:spacing w:line="519" w:lineRule="atLeast"/>
        <w:shd w:val="clear" w:color="ffffff"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1.采购代理机构、采购人、投标人等参与招投标的各方，均应在招标、采购、合同执行等过程中保持廉洁和最高的道德水准。</w:t>
      </w:r>
      <w:r>
        <w:rPr>
          <w:rFonts w:hint="eastAsia" w:ascii="宋体" w:hAnsi="宋体" w:eastAsia="宋体" w:cs="宋体"/>
          <w:color w:val="000000"/>
          <w:sz w:val="24"/>
          <w:highlight w:val="none"/>
        </w:rPr>
      </w:r>
      <w:r/>
    </w:p>
    <w:p>
      <w:pPr>
        <w:pStyle w:val="779"/>
        <w:ind w:firstLine="600"/>
        <w:spacing w:line="519" w:lineRule="atLeast"/>
        <w:shd w:val="clear" w:color="ffffff"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（1）腐败和欺诈行为的含义：</w:t>
      </w:r>
      <w:r>
        <w:rPr>
          <w:rFonts w:hint="eastAsia" w:ascii="宋体" w:hAnsi="宋体" w:eastAsia="宋体" w:cs="宋体"/>
          <w:color w:val="000000"/>
          <w:sz w:val="24"/>
          <w:highlight w:val="none"/>
        </w:rPr>
      </w:r>
      <w:r/>
    </w:p>
    <w:p>
      <w:pPr>
        <w:pStyle w:val="779"/>
        <w:ind w:firstLine="600"/>
        <w:spacing w:line="519" w:lineRule="atLeast"/>
        <w:shd w:val="clear" w:color="ffffff"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①“腐败行为”系指在招标、采购和合同执行等过程中，为了谋求私利，影响相关人员提供、给予、接受或索取有价物品，并导致损害买方、卖方、采购代理机构和他人利益的行为。</w:t>
      </w:r>
      <w:r>
        <w:rPr>
          <w:rFonts w:hint="eastAsia" w:ascii="宋体" w:hAnsi="宋体" w:eastAsia="宋体" w:cs="宋体"/>
          <w:color w:val="000000"/>
          <w:sz w:val="24"/>
          <w:highlight w:val="none"/>
        </w:rPr>
      </w:r>
      <w:r/>
    </w:p>
    <w:p>
      <w:pPr>
        <w:pStyle w:val="779"/>
        <w:ind w:firstLine="600"/>
        <w:spacing w:line="519" w:lineRule="atLeast"/>
        <w:shd w:val="clear" w:color="ffffff"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②“欺诈行为”系指为了影响招标、采购和合同执行等过程，隐瞒事实真相，给买方、卖方、采购代理机构及他人造成损害的行为，其中包括投标人之间的串通行为。</w:t>
      </w:r>
      <w:r>
        <w:rPr>
          <w:rFonts w:hint="eastAsia" w:ascii="宋体" w:hAnsi="宋体" w:eastAsia="宋体" w:cs="宋体"/>
          <w:color w:val="000000"/>
          <w:sz w:val="24"/>
          <w:highlight w:val="none"/>
        </w:rPr>
      </w:r>
      <w:r/>
    </w:p>
    <w:p>
      <w:pPr>
        <w:pStyle w:val="779"/>
        <w:ind w:firstLine="600"/>
        <w:spacing w:line="519" w:lineRule="atLeast"/>
        <w:shd w:val="clear" w:color="ffffff"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（2）如果被推荐的中标人有腐败和欺诈行为，将取消其中标资格。</w:t>
      </w:r>
      <w:r>
        <w:rPr>
          <w:rFonts w:hint="eastAsia" w:ascii="宋体" w:hAnsi="宋体" w:eastAsia="宋体" w:cs="宋体"/>
          <w:color w:val="000000"/>
          <w:sz w:val="24"/>
          <w:highlight w:val="none"/>
        </w:rPr>
      </w:r>
      <w:r/>
    </w:p>
    <w:p>
      <w:pPr>
        <w:pStyle w:val="779"/>
        <w:ind w:firstLine="600"/>
        <w:spacing w:line="519" w:lineRule="atLeast"/>
        <w:shd w:val="clear" w:color="ffffff"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（3）如果投标人在任何时候，被法院及政府有关管理部门认定为有腐败和欺诈行为，采购代理机构有权拒绝其投标、取消其中标资格和撤销其已签署的合同。</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八、询问和质疑</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（四十）询问和质疑</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对政府采购活动事项有疑问的，可以向采购人或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000000"/>
          <w:sz w:val="24"/>
          <w:highlight w:val="none"/>
        </w:rPr>
        <w:t xml:space="preserve"> </w:t>
      </w:r>
      <w:r>
        <w:rPr>
          <w:rFonts w:hint="eastAsia" w:ascii="宋体" w:hAnsi="宋体" w:eastAsia="宋体" w:cs="宋体"/>
          <w:b/>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九、电子招标投标交易平台</w:t>
      </w:r>
      <w:r>
        <w:rPr>
          <w:rFonts w:hint="eastAsia" w:ascii="宋体" w:hAnsi="宋体" w:eastAsia="宋体" w:cs="宋体"/>
          <w:color w:val="000000"/>
          <w:sz w:val="24"/>
          <w:highlight w:val="none"/>
        </w:rPr>
      </w:r>
      <w:r/>
    </w:p>
    <w:p>
      <w:pPr>
        <w:pStyle w:val="779"/>
        <w:ind w:firstLine="601"/>
        <w:jc w:val="left"/>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（四十一）电子招标投标交易平台（即“苏采云”系统，网址：</w:t>
      </w:r>
      <w:r>
        <w:rPr>
          <w:rFonts w:hint="eastAsia" w:ascii="宋体" w:hAnsi="宋体" w:eastAsia="宋体" w:cs="宋体"/>
          <w:color w:val="000000"/>
          <w:sz w:val="24"/>
          <w:highlight w:val="none"/>
        </w:rPr>
        <w:fldChar w:fldCharType="begin"/>
      </w:r>
      <w:r>
        <w:rPr>
          <w:rFonts w:hint="eastAsia" w:ascii="宋体" w:hAnsi="宋体" w:eastAsia="宋体" w:cs="宋体"/>
          <w:color w:val="000000"/>
          <w:sz w:val="24"/>
          <w:highlight w:val="none"/>
        </w:rPr>
        <w:instrText xml:space="preserve"> HYPERLINK "http://jszfcg.jsczt.cn/" \o "http://jszfcg.jsczt.cn/" </w:instrText>
      </w:r>
      <w:r>
        <w:rPr>
          <w:rFonts w:hint="eastAsia" w:ascii="宋体" w:hAnsi="宋体" w:eastAsia="宋体" w:cs="宋体"/>
          <w:color w:val="000000"/>
          <w:sz w:val="24"/>
          <w:highlight w:val="none"/>
        </w:rPr>
        <w:fldChar w:fldCharType="separate"/>
      </w:r>
      <w:r>
        <w:rPr>
          <w:rFonts w:hint="eastAsia" w:ascii="宋体" w:hAnsi="宋体" w:eastAsia="宋体" w:cs="宋体"/>
          <w:color w:val="000000"/>
          <w:sz w:val="24"/>
          <w:highlight w:val="none"/>
        </w:rPr>
        <w:t xml:space="preserve">http://jszfcg.jsczt.cn/</w:t>
      </w:r>
      <w:r>
        <w:rPr>
          <w:rFonts w:hint="eastAsia" w:ascii="宋体" w:hAnsi="宋体" w:eastAsia="宋体" w:cs="宋体"/>
          <w:color w:val="000000"/>
          <w:sz w:val="24"/>
          <w:highlight w:val="none"/>
        </w:rPr>
        <w:fldChar w:fldCharType="end"/>
      </w:r>
      <w:r>
        <w:rPr>
          <w:rFonts w:hint="eastAsia" w:ascii="宋体" w:hAnsi="宋体" w:eastAsia="宋体" w:cs="宋体"/>
          <w:color w:val="000000"/>
          <w:sz w:val="24"/>
          <w:highlight w:val="none"/>
        </w:rPr>
        <w:t xml:space="preserve">）相关要求是本招标文件的组成部分。</w:t>
      </w:r>
      <w:r>
        <w:rPr>
          <w:rFonts w:hint="eastAsia" w:ascii="宋体" w:hAnsi="宋体" w:eastAsia="宋体" w:cs="宋体"/>
          <w:color w:val="000000"/>
          <w:sz w:val="24"/>
          <w:highlight w:val="none"/>
        </w:rPr>
      </w:r>
      <w:r/>
    </w:p>
    <w:p>
      <w:pPr>
        <w:pStyle w:val="1141"/>
        <w:ind w:firstLine="60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eastAsia="宋体" w:cs="宋体"/>
          <w:color w:val="000000"/>
          <w:sz w:val="24"/>
          <w:szCs w:val="24"/>
          <w:highlight w:val="none"/>
        </w:rPr>
      </w:r>
      <w:r/>
    </w:p>
    <w:p>
      <w:pPr>
        <w:pStyle w:val="1140"/>
        <w:ind w:firstLine="400"/>
        <w:spacing w:after="12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79"/>
        <w:ind w:firstLine="602"/>
        <w:jc w:val="center"/>
        <w:spacing w:line="36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pStyle w:val="779"/>
        <w:jc w:val="center"/>
        <w:spacing w:line="720"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highlight w:val="none"/>
        </w:rPr>
        <w:br w:type="page" w:clear="all"/>
      </w:r>
      <w:r>
        <w:rPr>
          <w:rFonts w:hint="eastAsia" w:ascii="宋体" w:hAnsi="宋体" w:eastAsia="宋体" w:cs="宋体"/>
          <w:b/>
          <w:color w:val="000000"/>
          <w:sz w:val="28"/>
          <w:szCs w:val="28"/>
          <w:highlight w:val="none"/>
        </w:rPr>
        <w:t xml:space="preserve">第三章 投标资料表</w:t>
      </w:r>
      <w:r>
        <w:rPr>
          <w:rFonts w:hint="eastAsia" w:ascii="宋体" w:hAnsi="宋体" w:eastAsia="宋体" w:cs="宋体"/>
          <w:color w:val="000000"/>
          <w:sz w:val="28"/>
          <w:szCs w:val="28"/>
          <w:highlight w:val="none"/>
        </w:rPr>
      </w:r>
      <w:r/>
    </w:p>
    <w:p>
      <w:pPr>
        <w:pStyle w:val="779"/>
        <w:ind w:firstLine="600"/>
        <w:jc w:val="center"/>
        <w:spacing w:line="36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pStyle w:val="779"/>
        <w:ind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该资料表的条款项号是与《投标人须知》的条款项号相对应的，若有增加的条款，是对《投标人须知》的补充、修改和完善，如果因此而造成矛盾时，应以本资料表为准。</w:t>
      </w:r>
      <w:r>
        <w:rPr>
          <w:rFonts w:hint="eastAsia" w:ascii="宋体" w:hAnsi="宋体" w:eastAsia="宋体" w:cs="宋体"/>
          <w:color w:val="000000"/>
          <w:sz w:val="24"/>
          <w:highlight w:val="none"/>
        </w:rPr>
      </w:r>
      <w:r/>
    </w:p>
    <w:tbl>
      <w:tblPr>
        <w:tblW w:w="978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15"/>
        <w:gridCol w:w="8169"/>
      </w:tblGrid>
      <w:tr>
        <w:trPr/>
        <w:tc>
          <w:tcPr>
            <w:tcMar>
              <w:left w:w="108" w:type="dxa"/>
              <w:top w:w="0" w:type="dxa"/>
              <w:right w:w="108" w:type="dxa"/>
              <w:bottom w:w="0" w:type="dxa"/>
            </w:tcMar>
            <w:tcW w:w="1615" w:type="dxa"/>
            <w:vAlign w:val="top"/>
            <w:textDirection w:val="lrTb"/>
            <w:noWrap w:val="false"/>
          </w:tcPr>
          <w:p>
            <w:pPr>
              <w:pStyle w:val="779"/>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条款项号</w:t>
            </w:r>
            <w:r>
              <w:rPr>
                <w:rFonts w:hint="eastAsia" w:ascii="宋体" w:hAnsi="宋体" w:eastAsia="宋体" w:cs="宋体"/>
                <w:color w:val="000000"/>
                <w:sz w:val="24"/>
                <w:highlight w:val="none"/>
              </w:rPr>
            </w:r>
            <w:r/>
          </w:p>
        </w:tc>
        <w:tc>
          <w:tcPr>
            <w:tcMar>
              <w:left w:w="108" w:type="dxa"/>
              <w:top w:w="0" w:type="dxa"/>
              <w:right w:w="108" w:type="dxa"/>
              <w:bottom w:w="0" w:type="dxa"/>
            </w:tcMar>
            <w:tcW w:w="8169" w:type="dxa"/>
            <w:vAlign w:val="top"/>
            <w:textDirection w:val="lrTb"/>
            <w:noWrap w:val="false"/>
          </w:tcPr>
          <w:p>
            <w:pPr>
              <w:pStyle w:val="779"/>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内 容</w:t>
            </w:r>
            <w:r>
              <w:rPr>
                <w:rFonts w:hint="eastAsia" w:ascii="宋体" w:hAnsi="宋体" w:eastAsia="宋体" w:cs="宋体"/>
                <w:color w:val="000000"/>
                <w:sz w:val="24"/>
                <w:highlight w:val="none"/>
              </w:rPr>
            </w:r>
            <w:r/>
          </w:p>
        </w:tc>
      </w:tr>
      <w:tr>
        <w:trPr/>
        <w:tc>
          <w:tcPr>
            <w:tcMar>
              <w:left w:w="108" w:type="dxa"/>
              <w:top w:w="0" w:type="dxa"/>
              <w:right w:w="108" w:type="dxa"/>
              <w:bottom w:w="0" w:type="dxa"/>
            </w:tcMar>
            <w:tcW w:w="1615" w:type="dxa"/>
            <w:vAlign w:val="top"/>
            <w:textDirection w:val="lrTb"/>
            <w:noWrap w:val="false"/>
          </w:tcPr>
          <w:p>
            <w:pPr>
              <w:pStyle w:val="779"/>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w:t>
            </w:r>
            <w:r>
              <w:rPr>
                <w:rFonts w:hint="eastAsia" w:ascii="宋体" w:hAnsi="宋体" w:eastAsia="宋体" w:cs="宋体"/>
                <w:color w:val="000000"/>
                <w:sz w:val="24"/>
                <w:highlight w:val="none"/>
              </w:rPr>
            </w:r>
            <w:r/>
          </w:p>
        </w:tc>
        <w:tc>
          <w:tcPr>
            <w:tcMar>
              <w:left w:w="108" w:type="dxa"/>
              <w:top w:w="0" w:type="dxa"/>
              <w:right w:w="108" w:type="dxa"/>
              <w:bottom w:w="0" w:type="dxa"/>
            </w:tcMar>
            <w:tcW w:w="8169" w:type="dxa"/>
            <w:vAlign w:val="top"/>
            <w:textDirection w:val="lrTb"/>
            <w:noWrap w:val="false"/>
          </w:tcPr>
          <w:p>
            <w:pPr>
              <w:pStyle w:val="779"/>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总则</w:t>
            </w:r>
            <w:r>
              <w:rPr>
                <w:rFonts w:hint="eastAsia" w:ascii="宋体" w:hAnsi="宋体" w:eastAsia="宋体" w:cs="宋体"/>
                <w:color w:val="000000"/>
                <w:sz w:val="24"/>
                <w:highlight w:val="none"/>
              </w:rPr>
            </w:r>
            <w:r/>
          </w:p>
        </w:tc>
      </w:tr>
      <w:tr>
        <w:trPr/>
        <w:tc>
          <w:tcPr>
            <w:tcMar>
              <w:left w:w="108" w:type="dxa"/>
              <w:top w:w="0" w:type="dxa"/>
              <w:right w:w="108" w:type="dxa"/>
              <w:bottom w:w="0" w:type="dxa"/>
            </w:tcMar>
            <w:tcW w:w="1615" w:type="dxa"/>
            <w:vAlign w:val="top"/>
            <w:textDirection w:val="lrTb"/>
            <w:noWrap w:val="false"/>
          </w:tcPr>
          <w:p>
            <w:pPr>
              <w:pStyle w:val="779"/>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w:t>
            </w:r>
            <w:r>
              <w:rPr>
                <w:rFonts w:hint="eastAsia" w:ascii="宋体" w:hAnsi="宋体" w:eastAsia="宋体" w:cs="宋体"/>
                <w:color w:val="000000"/>
                <w:sz w:val="24"/>
                <w:highlight w:val="none"/>
              </w:rPr>
            </w:r>
            <w:r/>
          </w:p>
        </w:tc>
        <w:tc>
          <w:tcPr>
            <w:tcMar>
              <w:left w:w="108" w:type="dxa"/>
              <w:top w:w="0" w:type="dxa"/>
              <w:right w:w="108" w:type="dxa"/>
              <w:bottom w:w="0" w:type="dxa"/>
            </w:tcMar>
            <w:tcW w:w="8169" w:type="dxa"/>
            <w:vAlign w:val="top"/>
            <w:textDirection w:val="lrTb"/>
            <w:noWrap w:val="false"/>
          </w:tcPr>
          <w:p>
            <w:pPr>
              <w:pStyle w:val="779"/>
              <w:spacing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本项目采购人：</w:t>
            </w:r>
            <w:r>
              <w:rPr>
                <w:rFonts w:hint="eastAsia" w:ascii="宋体" w:hAnsi="宋体" w:eastAsia="宋体" w:cs="宋体"/>
                <w:color w:val="000000"/>
                <w:sz w:val="24"/>
                <w:highlight w:val="none"/>
                <w:lang w:eastAsia="zh-CN"/>
              </w:rPr>
              <w:t xml:space="preserve">徐州市公安局</w:t>
            </w:r>
            <w:r>
              <w:rPr>
                <w:rFonts w:hint="eastAsia" w:ascii="宋体" w:hAnsi="宋体" w:eastAsia="宋体" w:cs="宋体"/>
                <w:color w:val="000000"/>
                <w:sz w:val="24"/>
                <w:highlight w:val="none"/>
                <w:lang w:eastAsia="zh-CN"/>
              </w:rPr>
            </w:r>
            <w:r/>
          </w:p>
        </w:tc>
      </w:tr>
      <w:tr>
        <w:trPr/>
        <w:tc>
          <w:tcPr>
            <w:tcMar>
              <w:left w:w="108" w:type="dxa"/>
              <w:top w:w="0" w:type="dxa"/>
              <w:right w:w="108" w:type="dxa"/>
              <w:bottom w:w="0" w:type="dxa"/>
            </w:tcMar>
            <w:tcW w:w="1615" w:type="dxa"/>
            <w:vAlign w:val="top"/>
            <w:textDirection w:val="lrTb"/>
            <w:noWrap w:val="false"/>
          </w:tcPr>
          <w:p>
            <w:pPr>
              <w:pStyle w:val="779"/>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w:t>
            </w:r>
            <w:r>
              <w:rPr>
                <w:rFonts w:hint="eastAsia" w:ascii="宋体" w:hAnsi="宋体" w:eastAsia="宋体" w:cs="宋体"/>
                <w:color w:val="000000"/>
                <w:sz w:val="24"/>
                <w:highlight w:val="none"/>
              </w:rPr>
            </w:r>
            <w:r/>
          </w:p>
        </w:tc>
        <w:tc>
          <w:tcPr>
            <w:tcMar>
              <w:left w:w="108" w:type="dxa"/>
              <w:top w:w="0" w:type="dxa"/>
              <w:right w:w="108" w:type="dxa"/>
              <w:bottom w:w="0" w:type="dxa"/>
            </w:tcMar>
            <w:tcW w:w="8169" w:type="dxa"/>
            <w:vAlign w:val="top"/>
            <w:textDirection w:val="lrTb"/>
            <w:noWrap w:val="false"/>
          </w:tcPr>
          <w:p>
            <w:pPr>
              <w:pStyle w:val="779"/>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本次采购采用的政府采购方式：公开招标</w:t>
            </w:r>
            <w:r>
              <w:rPr>
                <w:rFonts w:hint="eastAsia" w:ascii="宋体" w:hAnsi="宋体" w:eastAsia="宋体" w:cs="宋体"/>
                <w:color w:val="000000"/>
                <w:sz w:val="24"/>
                <w:highlight w:val="none"/>
              </w:rPr>
            </w:r>
            <w:r/>
          </w:p>
        </w:tc>
      </w:tr>
      <w:tr>
        <w:trPr/>
        <w:tc>
          <w:tcPr>
            <w:tcMar>
              <w:left w:w="108" w:type="dxa"/>
              <w:top w:w="0" w:type="dxa"/>
              <w:right w:w="108" w:type="dxa"/>
              <w:bottom w:w="0" w:type="dxa"/>
            </w:tcMar>
            <w:tcW w:w="1615" w:type="dxa"/>
            <w:vAlign w:val="top"/>
            <w:textDirection w:val="lrTb"/>
            <w:noWrap w:val="false"/>
          </w:tcPr>
          <w:p>
            <w:pPr>
              <w:pStyle w:val="779"/>
              <w:jc w:val="center"/>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（四）</w:t>
            </w:r>
            <w:r>
              <w:rPr>
                <w:rFonts w:hint="eastAsia" w:ascii="宋体" w:hAnsi="宋体" w:eastAsia="宋体" w:cs="宋体"/>
                <w:b/>
                <w:bCs/>
                <w:color w:val="000000"/>
                <w:sz w:val="24"/>
                <w:highlight w:val="none"/>
              </w:rPr>
            </w:r>
            <w:r/>
          </w:p>
        </w:tc>
        <w:tc>
          <w:tcPr>
            <w:tcMar>
              <w:left w:w="108" w:type="dxa"/>
              <w:top w:w="0" w:type="dxa"/>
              <w:right w:w="108" w:type="dxa"/>
              <w:bottom w:w="0" w:type="dxa"/>
            </w:tcMar>
            <w:tcW w:w="8169" w:type="dxa"/>
            <w:vAlign w:val="top"/>
            <w:textDirection w:val="lrTb"/>
            <w:noWrap w:val="false"/>
          </w:tcPr>
          <w:p>
            <w:pPr>
              <w:pStyle w:val="779"/>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采购人确定的采购项目属性：服务</w:t>
            </w:r>
            <w:r>
              <w:rPr>
                <w:rFonts w:hint="eastAsia" w:ascii="宋体" w:hAnsi="宋体" w:eastAsia="宋体" w:cs="宋体"/>
                <w:b/>
                <w:bCs/>
                <w:color w:val="000000"/>
                <w:sz w:val="24"/>
                <w:highlight w:val="none"/>
              </w:rPr>
            </w:r>
            <w:r/>
          </w:p>
        </w:tc>
      </w:tr>
      <w:tr>
        <w:trPr/>
        <w:tc>
          <w:tcPr>
            <w:tcMar>
              <w:left w:w="108" w:type="dxa"/>
              <w:top w:w="0" w:type="dxa"/>
              <w:right w:w="108" w:type="dxa"/>
              <w:bottom w:w="0" w:type="dxa"/>
            </w:tcMar>
            <w:tcW w:w="1615" w:type="dxa"/>
            <w:vAlign w:val="top"/>
            <w:textDirection w:val="lrTb"/>
            <w:noWrap w:val="false"/>
          </w:tcPr>
          <w:p>
            <w:pPr>
              <w:pStyle w:val="779"/>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（五）</w:t>
            </w:r>
            <w:r>
              <w:rPr>
                <w:rFonts w:hint="eastAsia" w:ascii="宋体" w:hAnsi="宋体" w:eastAsia="宋体" w:cs="宋体"/>
                <w:color w:val="000000"/>
                <w:sz w:val="24"/>
                <w:highlight w:val="none"/>
              </w:rPr>
            </w:r>
            <w:r/>
          </w:p>
        </w:tc>
        <w:tc>
          <w:tcPr>
            <w:tcMar>
              <w:left w:w="108" w:type="dxa"/>
              <w:top w:w="0" w:type="dxa"/>
              <w:right w:w="108" w:type="dxa"/>
              <w:bottom w:w="0" w:type="dxa"/>
            </w:tcMar>
            <w:tcW w:w="8169" w:type="dxa"/>
            <w:vAlign w:val="top"/>
            <w:textDirection w:val="lrTb"/>
            <w:noWrap w:val="false"/>
          </w:tcPr>
          <w:p>
            <w:pPr>
              <w:pStyle w:val="779"/>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本项目采购代理机构：江苏中瑞建设项目管理有限公司</w:t>
            </w:r>
            <w:r>
              <w:rPr>
                <w:rFonts w:hint="eastAsia" w:ascii="宋体" w:hAnsi="宋体" w:eastAsia="宋体" w:cs="宋体"/>
                <w:color w:val="000000"/>
                <w:sz w:val="24"/>
                <w:highlight w:val="none"/>
              </w:rPr>
            </w:r>
            <w:r/>
          </w:p>
        </w:tc>
      </w:tr>
      <w:tr>
        <w:trPr>
          <w:trHeight w:val="444"/>
        </w:trPr>
        <w:tc>
          <w:tcPr>
            <w:tcMar>
              <w:left w:w="108" w:type="dxa"/>
              <w:top w:w="0" w:type="dxa"/>
              <w:right w:w="108" w:type="dxa"/>
              <w:bottom w:w="0" w:type="dxa"/>
            </w:tcMar>
            <w:tcW w:w="1615" w:type="dxa"/>
            <w:vAlign w:val="top"/>
            <w:textDirection w:val="lrTb"/>
            <w:noWrap w:val="false"/>
          </w:tcPr>
          <w:p>
            <w:pPr>
              <w:pStyle w:val="779"/>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（六）</w:t>
            </w:r>
            <w:r>
              <w:rPr>
                <w:rFonts w:hint="eastAsia" w:ascii="宋体" w:hAnsi="宋体" w:eastAsia="宋体" w:cs="宋体"/>
                <w:color w:val="000000"/>
                <w:sz w:val="24"/>
                <w:highlight w:val="none"/>
              </w:rPr>
            </w:r>
            <w:r/>
          </w:p>
        </w:tc>
        <w:tc>
          <w:tcPr>
            <w:tcMar>
              <w:left w:w="108" w:type="dxa"/>
              <w:top w:w="0" w:type="dxa"/>
              <w:right w:w="108" w:type="dxa"/>
              <w:bottom w:w="0" w:type="dxa"/>
            </w:tcMar>
            <w:tcW w:w="8169" w:type="dxa"/>
            <w:vAlign w:val="top"/>
            <w:textDirection w:val="lrTb"/>
            <w:noWrap w:val="false"/>
          </w:tcPr>
          <w:p>
            <w:pPr>
              <w:pStyle w:val="779"/>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投标人的资格条件：</w:t>
            </w:r>
            <w:r>
              <w:rPr>
                <w:rFonts w:hint="eastAsia" w:ascii="宋体" w:hAnsi="宋体" w:eastAsia="宋体" w:cs="宋体"/>
                <w:color w:val="000000"/>
                <w:sz w:val="24"/>
                <w:highlight w:val="none"/>
              </w:rPr>
            </w:r>
            <w:r/>
          </w:p>
          <w:p>
            <w:pPr>
              <w:pStyle w:val="779"/>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一、符合《中华人民共和国政府采购法》第二十二条的规定；</w:t>
            </w:r>
            <w:r>
              <w:rPr>
                <w:rFonts w:hint="eastAsia" w:ascii="宋体" w:hAnsi="宋体" w:eastAsia="宋体" w:cs="宋体"/>
                <w:color w:val="000000"/>
                <w:sz w:val="24"/>
                <w:highlight w:val="none"/>
              </w:rPr>
            </w:r>
            <w:r/>
          </w:p>
          <w:p>
            <w:pPr>
              <w:pStyle w:val="779"/>
              <w:spacing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highlight w:val="none"/>
              </w:rPr>
              <w:t xml:space="preserve">二、落实政府采购政策需满足的资格要求：此项目不属于专门面向中小微企业采购的项目。</w:t>
            </w:r>
            <w:r>
              <w:rPr>
                <w:rFonts w:hint="eastAsia" w:ascii="宋体" w:hAnsi="宋体" w:eastAsia="宋体" w:cs="宋体"/>
                <w:b/>
                <w:color w:val="000000"/>
                <w:sz w:val="24"/>
                <w:highlight w:val="none"/>
              </w:rPr>
            </w:r>
            <w:r/>
          </w:p>
          <w:p>
            <w:pPr>
              <w:pStyle w:val="779"/>
              <w:spacing w:line="360" w:lineRule="auto"/>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三、特定资格要求：</w:t>
            </w:r>
            <w:r>
              <w:rPr>
                <w:rFonts w:hint="eastAsia" w:ascii="宋体" w:hAnsi="宋体" w:eastAsia="宋体" w:cs="宋体"/>
                <w:b/>
                <w:color w:val="000000"/>
                <w:sz w:val="24"/>
                <w:highlight w:val="none"/>
                <w:lang w:val="en-US" w:eastAsia="zh-CN"/>
              </w:rPr>
              <w:t xml:space="preserve">无</w:t>
            </w:r>
            <w:r>
              <w:rPr>
                <w:rFonts w:hint="eastAsia" w:ascii="宋体" w:hAnsi="宋体" w:eastAsia="宋体" w:cs="宋体"/>
                <w:b/>
                <w:color w:val="000000"/>
                <w:sz w:val="24"/>
                <w:highlight w:val="none"/>
                <w:lang w:val="en-US" w:eastAsia="zh-CN"/>
              </w:rPr>
            </w:r>
            <w:r/>
          </w:p>
          <w:p>
            <w:pPr>
              <w:pStyle w:val="779"/>
              <w:spacing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同时明确相关事项如下：</w:t>
            </w:r>
            <w:r>
              <w:rPr>
                <w:rFonts w:hint="eastAsia" w:ascii="宋体" w:hAnsi="宋体" w:eastAsia="宋体" w:cs="宋体"/>
                <w:b/>
                <w:color w:val="000000"/>
                <w:sz w:val="24"/>
                <w:highlight w:val="none"/>
              </w:rPr>
            </w:r>
            <w:r/>
          </w:p>
          <w:p>
            <w:pPr>
              <w:pStyle w:val="779"/>
              <w:spacing w:line="360" w:lineRule="auto"/>
              <w:rPr>
                <w:rFonts w:hint="eastAsia" w:ascii="宋体" w:hAnsi="宋体" w:eastAsia="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highlight w:val="none"/>
              </w:rPr>
              <w:t xml:space="preserve">一、本项目不接受联合体参与采购活动。</w:t>
            </w:r>
            <w:r>
              <w:rPr>
                <w:rFonts w:hint="eastAsia" w:ascii="宋体" w:hAnsi="宋体" w:eastAsia="宋体" w:cs="宋体"/>
                <w:bCs/>
                <w:color w:val="000000"/>
                <w:sz w:val="24"/>
                <w:highlight w:val="none"/>
              </w:rPr>
            </w:r>
            <w:r/>
          </w:p>
          <w:p>
            <w:pPr>
              <w:pStyle w:val="779"/>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highlight w:val="none"/>
              </w:rPr>
              <w:t xml:space="preserve">二、单位负责人为同一</w:t>
            </w:r>
            <w:r>
              <w:rPr>
                <w:rFonts w:hint="eastAsia" w:ascii="宋体" w:hAnsi="宋体" w:eastAsia="宋体" w:cs="宋体"/>
                <w:color w:val="000000"/>
                <w:sz w:val="24"/>
                <w:highlight w:val="none"/>
              </w:rPr>
              <w:t xml:space="preserve">人或者存在直接控股、管理关系的不同供应商，不得参加同一合同项下的政府采购活动。</w:t>
            </w:r>
            <w:r>
              <w:rPr>
                <w:rFonts w:hint="eastAsia" w:ascii="宋体" w:hAnsi="宋体" w:eastAsia="宋体" w:cs="宋体"/>
                <w:color w:val="000000"/>
                <w:sz w:val="24"/>
                <w:highlight w:val="none"/>
              </w:rPr>
            </w:r>
            <w:r/>
          </w:p>
          <w:p>
            <w:pPr>
              <w:pStyle w:val="779"/>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三、为本采购项目提供整体设计、规范编制或者项目管理、监理、检测等服务的供应商，不得再参加本采购项目的采购活动。</w:t>
            </w:r>
            <w:r>
              <w:rPr>
                <w:rFonts w:hint="eastAsia" w:ascii="宋体" w:hAnsi="宋体" w:eastAsia="宋体" w:cs="宋体"/>
                <w:color w:val="000000"/>
                <w:sz w:val="24"/>
                <w:highlight w:val="none"/>
              </w:rPr>
            </w:r>
            <w:r/>
          </w:p>
          <w:p>
            <w:pPr>
              <w:pStyle w:val="779"/>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四、查询及使用供应商信用记录：</w:t>
            </w:r>
            <w:r>
              <w:rPr>
                <w:rFonts w:hint="eastAsia" w:ascii="宋体" w:hAnsi="宋体" w:eastAsia="宋体" w:cs="宋体"/>
                <w:color w:val="000000"/>
                <w:sz w:val="24"/>
                <w:highlight w:val="none"/>
              </w:rPr>
            </w:r>
            <w:r/>
          </w:p>
          <w:p>
            <w:pPr>
              <w:pStyle w:val="779"/>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（一）由采购人查询信用信息。</w:t>
            </w:r>
            <w:r>
              <w:rPr>
                <w:rFonts w:hint="eastAsia" w:ascii="宋体" w:hAnsi="宋体" w:eastAsia="宋体" w:cs="宋体"/>
                <w:color w:val="000000"/>
                <w:sz w:val="24"/>
                <w:highlight w:val="none"/>
              </w:rPr>
            </w:r>
            <w:r/>
          </w:p>
          <w:p>
            <w:pPr>
              <w:pStyle w:val="779"/>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（二）查询渠道包括：</w:t>
            </w:r>
            <w:r>
              <w:rPr>
                <w:rFonts w:hint="eastAsia" w:ascii="宋体" w:hAnsi="宋体" w:eastAsia="宋体" w:cs="宋体"/>
                <w:color w:val="000000"/>
                <w:sz w:val="24"/>
                <w:highlight w:val="none"/>
              </w:rPr>
            </w:r>
            <w:r/>
          </w:p>
          <w:p>
            <w:pPr>
              <w:pStyle w:val="779"/>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1.“信用中国”网（https://www.creditchina.gov.cn/）；</w:t>
            </w:r>
            <w:r>
              <w:rPr>
                <w:rFonts w:hint="eastAsia" w:ascii="宋体" w:hAnsi="宋体" w:eastAsia="宋体" w:cs="宋体"/>
                <w:color w:val="000000"/>
                <w:sz w:val="24"/>
                <w:highlight w:val="none"/>
              </w:rPr>
            </w:r>
            <w:r/>
          </w:p>
          <w:p>
            <w:pPr>
              <w:pStyle w:val="779"/>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2.“中国政府采购”网（https://www.ccgp.gov.cn/）；</w:t>
            </w:r>
            <w:r>
              <w:rPr>
                <w:rFonts w:hint="eastAsia" w:ascii="宋体" w:hAnsi="宋体" w:eastAsia="宋体" w:cs="宋体"/>
                <w:color w:val="000000"/>
                <w:sz w:val="24"/>
                <w:highlight w:val="none"/>
              </w:rPr>
            </w:r>
            <w:r/>
          </w:p>
          <w:p>
            <w:pPr>
              <w:pStyle w:val="779"/>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3.“信用江苏”网（https://credit.jiangsu.gov.cn/）；</w:t>
            </w:r>
            <w:r>
              <w:rPr>
                <w:rFonts w:hint="eastAsia" w:ascii="宋体" w:hAnsi="宋体" w:eastAsia="宋体" w:cs="宋体"/>
                <w:color w:val="000000"/>
                <w:sz w:val="24"/>
                <w:highlight w:val="none"/>
              </w:rPr>
            </w:r>
            <w:r/>
          </w:p>
          <w:p>
            <w:pPr>
              <w:pStyle w:val="779"/>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4.“信用中国（江苏徐州）”网（https://www.xuzhoucredit.gov.cn/）；</w:t>
            </w:r>
            <w:r>
              <w:rPr>
                <w:rFonts w:hint="eastAsia" w:ascii="宋体" w:hAnsi="宋体" w:eastAsia="宋体" w:cs="宋体"/>
                <w:color w:val="000000"/>
                <w:sz w:val="24"/>
                <w:highlight w:val="none"/>
              </w:rPr>
            </w:r>
            <w:r/>
          </w:p>
          <w:p>
            <w:pPr>
              <w:pStyle w:val="779"/>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（三）截止时点（查询环节）：开标后资格审查结束前。</w:t>
            </w:r>
            <w:r>
              <w:rPr>
                <w:rFonts w:hint="eastAsia" w:ascii="宋体" w:hAnsi="宋体" w:eastAsia="宋体" w:cs="宋体"/>
                <w:b/>
                <w:bCs/>
                <w:color w:val="000000"/>
                <w:sz w:val="24"/>
                <w:highlight w:val="none"/>
              </w:rPr>
            </w:r>
            <w:r/>
          </w:p>
          <w:p>
            <w:pPr>
              <w:pStyle w:val="779"/>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（四）信用信息查询记录和证据留存的具体方式：网页截屏打印，与其他采购文件一并保存。</w:t>
            </w:r>
            <w:r>
              <w:rPr>
                <w:rFonts w:hint="eastAsia" w:ascii="宋体" w:hAnsi="宋体" w:eastAsia="宋体" w:cs="宋体"/>
                <w:color w:val="000000"/>
                <w:sz w:val="24"/>
                <w:highlight w:val="none"/>
              </w:rPr>
            </w:r>
            <w:r/>
          </w:p>
          <w:p>
            <w:pPr>
              <w:pStyle w:val="779"/>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（五）信用信息的使用规则：</w:t>
            </w:r>
            <w:r>
              <w:rPr>
                <w:rFonts w:hint="eastAsia" w:ascii="宋体" w:hAnsi="宋体" w:eastAsia="宋体" w:cs="宋体"/>
                <w:color w:val="000000"/>
                <w:sz w:val="24"/>
                <w:highlight w:val="none"/>
              </w:rPr>
            </w:r>
            <w:r/>
          </w:p>
          <w:p>
            <w:pPr>
              <w:pStyle w:val="779"/>
              <w:ind w:firstLine="56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宋体" w:hAnsi="宋体" w:eastAsia="宋体" w:cs="宋体"/>
                <w:color w:val="000000"/>
                <w:sz w:val="24"/>
                <w:highlight w:val="none"/>
              </w:rPr>
            </w:r>
            <w:r/>
          </w:p>
        </w:tc>
      </w:tr>
      <w:tr>
        <w:trPr/>
        <w:tc>
          <w:tcPr>
            <w:tcMar>
              <w:left w:w="108" w:type="dxa"/>
              <w:top w:w="0" w:type="dxa"/>
              <w:right w:w="108" w:type="dxa"/>
              <w:bottom w:w="0" w:type="dxa"/>
            </w:tcMar>
            <w:tcW w:w="1615" w:type="dxa"/>
            <w:vAlign w:val="top"/>
            <w:textDirection w:val="lrTb"/>
            <w:noWrap w:val="false"/>
          </w:tcPr>
          <w:p>
            <w:pPr>
              <w:pStyle w:val="779"/>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（七）</w:t>
            </w:r>
            <w:r>
              <w:rPr>
                <w:rFonts w:hint="eastAsia" w:ascii="宋体" w:hAnsi="宋体" w:eastAsia="宋体" w:cs="宋体"/>
                <w:color w:val="000000"/>
                <w:sz w:val="24"/>
                <w:highlight w:val="none"/>
              </w:rPr>
            </w:r>
            <w:r/>
          </w:p>
        </w:tc>
        <w:tc>
          <w:tcPr>
            <w:tcMar>
              <w:left w:w="108" w:type="dxa"/>
              <w:top w:w="0" w:type="dxa"/>
              <w:right w:w="108" w:type="dxa"/>
              <w:bottom w:w="0" w:type="dxa"/>
            </w:tcMar>
            <w:tcW w:w="8169" w:type="dxa"/>
            <w:vAlign w:val="top"/>
            <w:textDirection w:val="lrTb"/>
            <w:noWrap w:val="false"/>
          </w:tcPr>
          <w:p>
            <w:pPr>
              <w:pStyle w:val="779"/>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项目采购预算金额已包含招标代理服务费，招标代理服务费由中标人在领取中标通知书前一次性支付至采购代理机构指定账户，招标代理服务费根据《委托代理协议》约定，按照《江苏省政府采购代理服务收费指导意见》(苏政采协[2024]20号)计取（见附件）。</w:t>
            </w:r>
            <w:r>
              <w:rPr>
                <w:rFonts w:hint="eastAsia" w:ascii="宋体" w:hAnsi="宋体" w:eastAsia="宋体" w:cs="宋体"/>
                <w:color w:val="000000"/>
                <w:sz w:val="24"/>
                <w:highlight w:val="none"/>
              </w:rPr>
            </w:r>
            <w:r/>
          </w:p>
        </w:tc>
      </w:tr>
      <w:tr>
        <w:trPr/>
        <w:tc>
          <w:tcPr>
            <w:tcMar>
              <w:left w:w="108" w:type="dxa"/>
              <w:top w:w="0" w:type="dxa"/>
              <w:right w:w="108" w:type="dxa"/>
              <w:bottom w:w="0" w:type="dxa"/>
            </w:tcMar>
            <w:tcW w:w="1615" w:type="dxa"/>
            <w:vAlign w:val="top"/>
            <w:textDirection w:val="lrTb"/>
            <w:noWrap w:val="false"/>
          </w:tcPr>
          <w:p>
            <w:pPr>
              <w:pStyle w:val="779"/>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w:t>
            </w:r>
            <w:r>
              <w:rPr>
                <w:rFonts w:hint="eastAsia" w:ascii="宋体" w:hAnsi="宋体" w:eastAsia="宋体" w:cs="宋体"/>
                <w:color w:val="000000"/>
                <w:sz w:val="24"/>
                <w:highlight w:val="none"/>
              </w:rPr>
            </w:r>
            <w:r/>
          </w:p>
        </w:tc>
        <w:tc>
          <w:tcPr>
            <w:tcMar>
              <w:left w:w="108" w:type="dxa"/>
              <w:top w:w="0" w:type="dxa"/>
              <w:right w:w="108" w:type="dxa"/>
              <w:bottom w:w="0" w:type="dxa"/>
            </w:tcMar>
            <w:tcW w:w="8169" w:type="dxa"/>
            <w:vAlign w:val="top"/>
            <w:textDirection w:val="lrTb"/>
            <w:noWrap w:val="false"/>
          </w:tcPr>
          <w:p>
            <w:pPr>
              <w:pStyle w:val="779"/>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招标</w:t>
            </w:r>
            <w:r>
              <w:rPr>
                <w:rFonts w:hint="eastAsia" w:ascii="宋体" w:hAnsi="宋体" w:eastAsia="宋体" w:cs="宋体"/>
                <w:color w:val="000000"/>
                <w:sz w:val="24"/>
                <w:highlight w:val="none"/>
              </w:rPr>
            </w:r>
            <w:r/>
          </w:p>
        </w:tc>
      </w:tr>
      <w:tr>
        <w:trPr>
          <w:trHeight w:val="90"/>
        </w:trPr>
        <w:tc>
          <w:tcPr>
            <w:tcMar>
              <w:left w:w="108" w:type="dxa"/>
              <w:top w:w="0" w:type="dxa"/>
              <w:right w:w="108" w:type="dxa"/>
              <w:bottom w:w="0" w:type="dxa"/>
            </w:tcMar>
            <w:tcW w:w="1615" w:type="dxa"/>
            <w:vAlign w:val="top"/>
            <w:textDirection w:val="lrTb"/>
            <w:noWrap w:val="false"/>
          </w:tcPr>
          <w:p>
            <w:pPr>
              <w:pStyle w:val="779"/>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（八）1</w:t>
            </w:r>
            <w:r>
              <w:rPr>
                <w:rFonts w:hint="eastAsia" w:ascii="宋体" w:hAnsi="宋体" w:eastAsia="宋体" w:cs="宋体"/>
                <w:color w:val="000000"/>
                <w:sz w:val="24"/>
                <w:highlight w:val="none"/>
              </w:rPr>
            </w:r>
            <w:r/>
          </w:p>
        </w:tc>
        <w:tc>
          <w:tcPr>
            <w:tcMar>
              <w:left w:w="108" w:type="dxa"/>
              <w:top w:w="0" w:type="dxa"/>
              <w:right w:w="108" w:type="dxa"/>
              <w:bottom w:w="0" w:type="dxa"/>
            </w:tcMar>
            <w:tcW w:w="8169" w:type="dxa"/>
            <w:vAlign w:val="top"/>
            <w:textDirection w:val="lrTb"/>
            <w:noWrap w:val="false"/>
          </w:tcPr>
          <w:p>
            <w:pPr>
              <w:pStyle w:val="779"/>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采购代理机构可以对已发出的招标文件进行必要的澄清或修改。对澄清或修改的内容，应以所发布的本项目的“更正（澄清）公告”的附件的形式通知所有获取招标文件的潜在投标人。当发布本项目的“更正（澄清）公告”之后，采购代理机构便尽到了通知义务，其各潜在投标人应关注本项目的“更正（澄清）公告”及附件，并通过“苏采云”系统重新下载更正（澄清）后的采购文件（后缀名为“.kedt”），离线编制投标文件，否则，将自行承担相应的风险。</w:t>
            </w:r>
            <w:r>
              <w:rPr>
                <w:rFonts w:hint="eastAsia" w:ascii="宋体" w:hAnsi="宋体" w:eastAsia="宋体" w:cs="宋体"/>
                <w:color w:val="000000"/>
                <w:sz w:val="24"/>
                <w:highlight w:val="none"/>
              </w:rPr>
            </w:r>
            <w:r/>
          </w:p>
        </w:tc>
      </w:tr>
      <w:tr>
        <w:trPr/>
        <w:tc>
          <w:tcPr>
            <w:tcMar>
              <w:left w:w="108" w:type="dxa"/>
              <w:top w:w="0" w:type="dxa"/>
              <w:right w:w="108" w:type="dxa"/>
              <w:bottom w:w="0" w:type="dxa"/>
            </w:tcMar>
            <w:tcW w:w="1615" w:type="dxa"/>
            <w:vAlign w:val="top"/>
            <w:textDirection w:val="lrTb"/>
            <w:noWrap w:val="false"/>
          </w:tcPr>
          <w:p>
            <w:pPr>
              <w:pStyle w:val="779"/>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（九）2</w:t>
            </w:r>
            <w:r>
              <w:rPr>
                <w:rFonts w:hint="eastAsia" w:ascii="宋体" w:hAnsi="宋体" w:eastAsia="宋体" w:cs="宋体"/>
                <w:color w:val="000000"/>
                <w:sz w:val="24"/>
                <w:highlight w:val="none"/>
              </w:rPr>
            </w:r>
            <w:r/>
          </w:p>
        </w:tc>
        <w:tc>
          <w:tcPr>
            <w:tcMar>
              <w:left w:w="108" w:type="dxa"/>
              <w:top w:w="0" w:type="dxa"/>
              <w:right w:w="108" w:type="dxa"/>
              <w:bottom w:w="0" w:type="dxa"/>
            </w:tcMar>
            <w:tcW w:w="8169" w:type="dxa"/>
            <w:vAlign w:val="top"/>
            <w:textDirection w:val="lrTb"/>
            <w:noWrap w:val="false"/>
          </w:tcPr>
          <w:p>
            <w:pPr>
              <w:pStyle w:val="779"/>
              <w:spacing w:line="360" w:lineRule="auto"/>
              <w:tabs>
                <w:tab w:val="left" w:pos="5760" w:leader="none"/>
              </w:tabs>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自行现场勘察。</w:t>
            </w:r>
            <w:r>
              <w:rPr>
                <w:rFonts w:hint="eastAsia" w:ascii="宋体" w:hAnsi="宋体" w:eastAsia="宋体" w:cs="宋体"/>
                <w:color w:val="000000"/>
                <w:sz w:val="24"/>
                <w:highlight w:val="none"/>
              </w:rPr>
            </w:r>
            <w:r/>
          </w:p>
        </w:tc>
      </w:tr>
      <w:tr>
        <w:trPr/>
        <w:tc>
          <w:tcPr>
            <w:tcMar>
              <w:left w:w="108" w:type="dxa"/>
              <w:top w:w="0" w:type="dxa"/>
              <w:right w:w="108" w:type="dxa"/>
              <w:bottom w:w="0" w:type="dxa"/>
            </w:tcMar>
            <w:tcW w:w="1615" w:type="dxa"/>
            <w:vAlign w:val="top"/>
            <w:textDirection w:val="lrTb"/>
            <w:noWrap w:val="false"/>
          </w:tcPr>
          <w:p>
            <w:pPr>
              <w:pStyle w:val="779"/>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（九）3</w:t>
            </w:r>
            <w:r>
              <w:rPr>
                <w:rFonts w:hint="eastAsia" w:ascii="宋体" w:hAnsi="宋体" w:eastAsia="宋体" w:cs="宋体"/>
                <w:color w:val="000000"/>
                <w:sz w:val="24"/>
                <w:highlight w:val="none"/>
              </w:rPr>
            </w:r>
            <w:r/>
          </w:p>
        </w:tc>
        <w:tc>
          <w:tcPr>
            <w:tcMar>
              <w:left w:w="108" w:type="dxa"/>
              <w:top w:w="0" w:type="dxa"/>
              <w:right w:w="108" w:type="dxa"/>
              <w:bottom w:w="0" w:type="dxa"/>
            </w:tcMar>
            <w:tcW w:w="8169" w:type="dxa"/>
            <w:vAlign w:val="top"/>
            <w:textDirection w:val="lrTb"/>
            <w:noWrap w:val="false"/>
          </w:tcPr>
          <w:p>
            <w:pPr>
              <w:pStyle w:val="779"/>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不安排开标前答疑会。</w:t>
            </w:r>
            <w:r>
              <w:rPr>
                <w:rFonts w:hint="eastAsia" w:ascii="宋体" w:hAnsi="宋体" w:eastAsia="宋体" w:cs="宋体"/>
                <w:color w:val="000000"/>
                <w:sz w:val="24"/>
                <w:highlight w:val="none"/>
              </w:rPr>
            </w:r>
            <w:r/>
          </w:p>
        </w:tc>
      </w:tr>
      <w:tr>
        <w:trPr/>
        <w:tc>
          <w:tcPr>
            <w:tcMar>
              <w:left w:w="108" w:type="dxa"/>
              <w:top w:w="0" w:type="dxa"/>
              <w:right w:w="108" w:type="dxa"/>
              <w:bottom w:w="0" w:type="dxa"/>
            </w:tcMar>
            <w:tcW w:w="1615" w:type="dxa"/>
            <w:vAlign w:val="top"/>
            <w:textDirection w:val="lrTb"/>
            <w:noWrap w:val="false"/>
          </w:tcPr>
          <w:p>
            <w:pPr>
              <w:pStyle w:val="779"/>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w:t>
            </w:r>
            <w:r>
              <w:rPr>
                <w:rFonts w:hint="eastAsia" w:ascii="宋体" w:hAnsi="宋体" w:eastAsia="宋体" w:cs="宋体"/>
                <w:color w:val="000000"/>
                <w:sz w:val="24"/>
                <w:highlight w:val="none"/>
              </w:rPr>
            </w:r>
            <w:r/>
          </w:p>
        </w:tc>
        <w:tc>
          <w:tcPr>
            <w:tcMar>
              <w:left w:w="108" w:type="dxa"/>
              <w:top w:w="0" w:type="dxa"/>
              <w:right w:w="108" w:type="dxa"/>
              <w:bottom w:w="0" w:type="dxa"/>
            </w:tcMar>
            <w:tcW w:w="8169" w:type="dxa"/>
            <w:vAlign w:val="top"/>
            <w:textDirection w:val="lrTb"/>
            <w:noWrap w:val="false"/>
          </w:tcPr>
          <w:p>
            <w:pPr>
              <w:pStyle w:val="779"/>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w:t>
            </w:r>
            <w:r>
              <w:rPr>
                <w:rFonts w:hint="eastAsia" w:ascii="宋体" w:hAnsi="宋体" w:eastAsia="宋体" w:cs="宋体"/>
                <w:color w:val="000000"/>
                <w:sz w:val="24"/>
                <w:highlight w:val="none"/>
              </w:rPr>
            </w:r>
            <w:r/>
          </w:p>
        </w:tc>
      </w:tr>
      <w:tr>
        <w:trPr>
          <w:trHeight w:val="90"/>
        </w:trPr>
        <w:tc>
          <w:tcPr>
            <w:tcMar>
              <w:left w:w="108" w:type="dxa"/>
              <w:top w:w="0" w:type="dxa"/>
              <w:right w:w="108" w:type="dxa"/>
              <w:bottom w:w="0" w:type="dxa"/>
            </w:tcMar>
            <w:tcW w:w="1615" w:type="dxa"/>
            <w:vAlign w:val="top"/>
            <w:textDirection w:val="lrTb"/>
            <w:noWrap w:val="false"/>
          </w:tcPr>
          <w:p>
            <w:pPr>
              <w:pStyle w:val="779"/>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（十一）</w:t>
            </w:r>
            <w:r>
              <w:rPr>
                <w:rFonts w:hint="eastAsia" w:ascii="宋体" w:hAnsi="宋体" w:eastAsia="宋体" w:cs="宋体"/>
                <w:color w:val="000000"/>
                <w:sz w:val="24"/>
                <w:highlight w:val="none"/>
              </w:rPr>
            </w:r>
            <w:r/>
          </w:p>
        </w:tc>
        <w:tc>
          <w:tcPr>
            <w:tcMar>
              <w:left w:w="108" w:type="dxa"/>
              <w:top w:w="0" w:type="dxa"/>
              <w:right w:w="108" w:type="dxa"/>
              <w:bottom w:w="0" w:type="dxa"/>
            </w:tcMar>
            <w:tcW w:w="8169" w:type="dxa"/>
            <w:vAlign w:val="top"/>
            <w:textDirection w:val="lrTb"/>
            <w:noWrap w:val="false"/>
          </w:tcPr>
          <w:p>
            <w:pPr>
              <w:pStyle w:val="779"/>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投标文件的语言为中文</w:t>
            </w:r>
            <w:r>
              <w:rPr>
                <w:rFonts w:hint="eastAsia" w:ascii="宋体" w:hAnsi="宋体" w:eastAsia="宋体" w:cs="宋体"/>
                <w:color w:val="000000"/>
                <w:sz w:val="24"/>
                <w:highlight w:val="none"/>
              </w:rPr>
            </w:r>
            <w:r/>
          </w:p>
        </w:tc>
      </w:tr>
      <w:tr>
        <w:trPr>
          <w:trHeight w:val="525"/>
        </w:trPr>
        <w:tc>
          <w:tcPr>
            <w:tcMar>
              <w:left w:w="108" w:type="dxa"/>
              <w:top w:w="0" w:type="dxa"/>
              <w:right w:w="108" w:type="dxa"/>
              <w:bottom w:w="0" w:type="dxa"/>
            </w:tcMar>
            <w:tcW w:w="1615" w:type="dxa"/>
            <w:vAlign w:val="top"/>
            <w:textDirection w:val="lrTb"/>
            <w:noWrap w:val="false"/>
          </w:tcPr>
          <w:p>
            <w:pPr>
              <w:pStyle w:val="779"/>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（十二）1</w:t>
            </w:r>
            <w:r>
              <w:rPr>
                <w:rFonts w:hint="eastAsia" w:ascii="宋体" w:hAnsi="宋体" w:eastAsia="宋体" w:cs="宋体"/>
                <w:color w:val="000000"/>
                <w:sz w:val="24"/>
                <w:highlight w:val="none"/>
              </w:rPr>
            </w:r>
            <w:r/>
          </w:p>
          <w:p>
            <w:pPr>
              <w:pStyle w:val="779"/>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（十二）2</w:t>
            </w:r>
            <w:r>
              <w:rPr>
                <w:rFonts w:hint="eastAsia" w:ascii="宋体" w:hAnsi="宋体" w:eastAsia="宋体" w:cs="宋体"/>
                <w:color w:val="000000"/>
                <w:sz w:val="24"/>
                <w:highlight w:val="none"/>
              </w:rPr>
            </w:r>
            <w:r/>
          </w:p>
        </w:tc>
        <w:tc>
          <w:tcPr>
            <w:tcMar>
              <w:left w:w="108" w:type="dxa"/>
              <w:top w:w="0" w:type="dxa"/>
              <w:right w:w="108" w:type="dxa"/>
              <w:bottom w:w="0" w:type="dxa"/>
            </w:tcMar>
            <w:tcW w:w="8169" w:type="dxa"/>
            <w:vAlign w:val="top"/>
            <w:textDirection w:val="lrTb"/>
            <w:noWrap w:val="false"/>
          </w:tcPr>
          <w:p>
            <w:pPr>
              <w:pStyle w:val="779"/>
              <w:spacing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线上投标文件编制要求：</w:t>
            </w:r>
            <w:r>
              <w:rPr>
                <w:rFonts w:hint="eastAsia" w:ascii="宋体" w:hAnsi="宋体" w:eastAsia="宋体" w:cs="宋体"/>
                <w:b/>
                <w:color w:val="000000"/>
                <w:sz w:val="24"/>
                <w:highlight w:val="none"/>
              </w:rPr>
            </w:r>
            <w:r/>
          </w:p>
          <w:p>
            <w:pPr>
              <w:pStyle w:val="779"/>
              <w:spacing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请按照以下要求（包括但不限于以下要求）制作：</w:t>
            </w:r>
            <w:r>
              <w:rPr>
                <w:rFonts w:hint="eastAsia" w:ascii="宋体" w:hAnsi="宋体" w:eastAsia="宋体" w:cs="宋体"/>
                <w:b/>
                <w:color w:val="000000"/>
                <w:sz w:val="24"/>
                <w:highlight w:val="none"/>
              </w:rPr>
            </w:r>
            <w:r/>
          </w:p>
          <w:p>
            <w:pPr>
              <w:pStyle w:val="779"/>
              <w:spacing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一、基本目录</w:t>
            </w:r>
            <w:r>
              <w:rPr>
                <w:rFonts w:hint="eastAsia" w:ascii="宋体" w:hAnsi="宋体" w:eastAsia="宋体" w:cs="宋体"/>
                <w:b/>
                <w:color w:val="000000"/>
                <w:sz w:val="24"/>
                <w:highlight w:val="none"/>
              </w:rPr>
            </w:r>
            <w:r/>
          </w:p>
          <w:p>
            <w:pPr>
              <w:pStyle w:val="779"/>
              <w:spacing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1.《开标一览表》（政府采购客户端工具输入报价自动生成）（必须提供，否则在符合性审查时按照投标无效处理）；</w:t>
            </w:r>
            <w:r>
              <w:rPr>
                <w:rFonts w:hint="eastAsia" w:ascii="宋体" w:hAnsi="宋体" w:eastAsia="宋体" w:cs="宋体"/>
                <w:b/>
                <w:color w:val="000000"/>
                <w:sz w:val="24"/>
                <w:highlight w:val="none"/>
              </w:rPr>
            </w:r>
            <w:r/>
          </w:p>
          <w:p>
            <w:pPr>
              <w:pStyle w:val="779"/>
              <w:spacing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2.投标人认为需要提供的其他资料（如有）</w:t>
            </w:r>
            <w:r>
              <w:rPr>
                <w:rFonts w:hint="eastAsia" w:ascii="宋体" w:hAnsi="宋体" w:eastAsia="宋体" w:cs="宋体"/>
                <w:b/>
                <w:color w:val="000000"/>
                <w:sz w:val="24"/>
                <w:highlight w:val="none"/>
              </w:rPr>
            </w:r>
            <w:r/>
          </w:p>
          <w:p>
            <w:pPr>
              <w:pStyle w:val="779"/>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二、资格条件（必须提供，否则投标将被拒绝）</w:t>
            </w:r>
            <w:r>
              <w:rPr>
                <w:rFonts w:hint="eastAsia" w:ascii="宋体" w:hAnsi="宋体" w:eastAsia="宋体" w:cs="宋体"/>
                <w:color w:val="000000"/>
                <w:sz w:val="24"/>
                <w:highlight w:val="none"/>
              </w:rPr>
            </w:r>
            <w:r/>
          </w:p>
          <w:p>
            <w:pPr>
              <w:pStyle w:val="779"/>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1.具有独立承担民事责任的能力：合法有效的法人或者其他组织的营业执照等证明文件，自然人的身份证明，以上证明文件提供原件的扫描件；</w:t>
            </w:r>
            <w:r>
              <w:rPr>
                <w:rFonts w:hint="eastAsia" w:ascii="宋体" w:hAnsi="宋体" w:eastAsia="宋体" w:cs="宋体"/>
                <w:color w:val="000000"/>
                <w:sz w:val="24"/>
                <w:highlight w:val="none"/>
              </w:rPr>
            </w:r>
            <w:r/>
          </w:p>
          <w:p>
            <w:pPr>
              <w:pStyle w:val="779"/>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具有良好的商业信誉和健全的财务会计制度：即提供投标人的本项目开标时间前6个月内（不含开标当月）任何1个月的资产负债表和利润表扫描件各一份；或提供合法有效的经第三方机构审计的2025年度财务审计报告扫描件（应包括审计报告正文、资产负债表、现金流量表、利润表）；或投标人的本项目开标时间前6个月内银行出具的资信证明材料；或财政部门认可的政府采购专业担保机构出具的有效的投标担保函；</w:t>
            </w:r>
            <w:r>
              <w:rPr>
                <w:rFonts w:hint="eastAsia" w:ascii="宋体" w:hAnsi="宋体" w:eastAsia="宋体" w:cs="宋体"/>
                <w:color w:val="000000"/>
                <w:sz w:val="24"/>
                <w:szCs w:val="32"/>
                <w:highlight w:val="none"/>
              </w:rPr>
            </w:r>
            <w:r/>
          </w:p>
          <w:p>
            <w:pPr>
              <w:pStyle w:val="779"/>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有依法缴纳税收和社会保障资金的良好记录：即提供投标人的本项目开标时间前6个月内（不含开标当月）任何1个月的依法缴纳税收扫描件和社会保障资金扫描件的相关材料（依法免税或不需要缴纳社会保障资金的供应商，提供相应文件扫描件证明其依法免税或不需要缴纳社会保障资金）；</w:t>
            </w:r>
            <w:r>
              <w:rPr>
                <w:rFonts w:hint="eastAsia" w:ascii="宋体" w:hAnsi="宋体" w:eastAsia="宋体" w:cs="宋体"/>
                <w:color w:val="000000"/>
                <w:sz w:val="24"/>
                <w:szCs w:val="32"/>
                <w:highlight w:val="none"/>
              </w:rPr>
            </w:r>
            <w:r/>
          </w:p>
          <w:p>
            <w:pPr>
              <w:pStyle w:val="779"/>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4.具有履行合同所必需的设备和专业技术能力：投标文件中提供《</w:t>
            </w:r>
            <w:bookmarkStart w:id="0" w:name="_Toc515551102"/>
            <w:r>
              <w:rPr>
                <w:rFonts w:hint="eastAsia" w:ascii="宋体" w:hAnsi="宋体" w:eastAsia="宋体" w:cs="宋体"/>
                <w:color w:val="000000"/>
                <w:sz w:val="24"/>
                <w:highlight w:val="none"/>
              </w:rPr>
              <w:t xml:space="preserve">具备履行合同所必需的设备和专业技术能力的书面声明</w:t>
            </w:r>
            <w:bookmarkEnd w:id="0"/>
            <w:r>
              <w:rPr>
                <w:rFonts w:hint="eastAsia" w:ascii="宋体" w:hAnsi="宋体" w:eastAsia="宋体" w:cs="宋体"/>
                <w:color w:val="000000"/>
                <w:sz w:val="24"/>
                <w:highlight w:val="none"/>
              </w:rPr>
              <w:t xml:space="preserve">（附证明材料原件的扫描件）》（加盖电子签章，格式见招标文件第七章《投标文件相关格式》,所附证明材料可不加盖电子签章）；</w:t>
            </w:r>
            <w:r>
              <w:rPr>
                <w:rFonts w:hint="eastAsia" w:ascii="宋体" w:hAnsi="宋体" w:eastAsia="宋体" w:cs="宋体"/>
                <w:color w:val="000000"/>
                <w:sz w:val="24"/>
                <w:highlight w:val="none"/>
              </w:rPr>
            </w:r>
            <w:r/>
          </w:p>
          <w:p>
            <w:pPr>
              <w:pStyle w:val="779"/>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参加政府采购活动前三年内，在经营活动中没有重大违法记录：即提供投标人参加政府采购活动前3年内在经营活动中没有重大违法记录的书面声明（加盖电子签章，格式见招标文件第七章《投标文件相关格式》）；</w:t>
            </w:r>
            <w:r>
              <w:rPr>
                <w:rFonts w:hint="eastAsia" w:ascii="宋体" w:hAnsi="宋体" w:eastAsia="宋体" w:cs="宋体"/>
                <w:color w:val="000000"/>
                <w:sz w:val="24"/>
                <w:highlight w:val="none"/>
              </w:rPr>
            </w:r>
            <w:r/>
          </w:p>
          <w:p>
            <w:pPr>
              <w:pStyle w:val="779"/>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三、符合条件（必须提供，否则在符合性审查时按照投标无效处理）</w:t>
            </w:r>
            <w:r>
              <w:rPr>
                <w:rFonts w:hint="eastAsia" w:ascii="宋体" w:hAnsi="宋体" w:eastAsia="宋体" w:cs="宋体"/>
                <w:b/>
                <w:color w:val="000000"/>
                <w:sz w:val="24"/>
                <w:highlight w:val="none"/>
              </w:rPr>
            </w:r>
            <w:r/>
          </w:p>
          <w:p>
            <w:pPr>
              <w:pStyle w:val="779"/>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（一）报价</w:t>
            </w:r>
            <w:r>
              <w:rPr>
                <w:rFonts w:hint="eastAsia" w:ascii="宋体" w:hAnsi="宋体" w:eastAsia="宋体" w:cs="宋体"/>
                <w:b/>
                <w:bCs/>
                <w:color w:val="000000"/>
                <w:sz w:val="24"/>
                <w:highlight w:val="none"/>
              </w:rPr>
            </w:r>
            <w:r/>
          </w:p>
          <w:p>
            <w:pPr>
              <w:pStyle w:val="779"/>
              <w:spacing w:line="360" w:lineRule="auto"/>
              <w:rPr>
                <w:rFonts w:hint="eastAsia" w:ascii="宋体" w:hAnsi="宋体" w:eastAsia="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highlight w:val="none"/>
              </w:rPr>
              <w:t xml:space="preserve">1.《分项价格表》。加盖电子签章，格式见本文件第七章《投标文件相关格式》。</w:t>
            </w:r>
            <w:r>
              <w:rPr>
                <w:rFonts w:hint="eastAsia" w:ascii="宋体" w:hAnsi="宋体" w:eastAsia="宋体" w:cs="宋体"/>
                <w:bCs/>
                <w:color w:val="000000"/>
                <w:sz w:val="24"/>
                <w:highlight w:val="none"/>
              </w:rPr>
            </w:r>
            <w:r/>
          </w:p>
          <w:p>
            <w:pPr>
              <w:pStyle w:val="779"/>
              <w:spacing w:line="360" w:lineRule="auto"/>
              <w:rPr>
                <w:rFonts w:hint="eastAsia" w:ascii="宋体" w:hAnsi="宋体" w:eastAsia="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highlight w:val="none"/>
              </w:rPr>
              <w:t xml:space="preserve">（二）商务资信</w:t>
            </w:r>
            <w:r>
              <w:rPr>
                <w:rFonts w:hint="eastAsia" w:ascii="宋体" w:hAnsi="宋体" w:eastAsia="宋体" w:cs="宋体"/>
                <w:bCs/>
                <w:color w:val="000000"/>
                <w:sz w:val="24"/>
                <w:highlight w:val="none"/>
              </w:rPr>
            </w:r>
            <w:r/>
          </w:p>
          <w:p>
            <w:pPr>
              <w:pStyle w:val="779"/>
              <w:spacing w:line="360" w:lineRule="auto"/>
              <w:rPr>
                <w:rFonts w:hint="eastAsia" w:ascii="宋体" w:hAnsi="宋体" w:eastAsia="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highlight w:val="none"/>
              </w:rPr>
              <w:t xml:space="preserve">1.《投标函》加盖电子签章，格式见招标文件第七章《投标文件相关格式》。</w:t>
            </w:r>
            <w:r>
              <w:rPr>
                <w:rFonts w:hint="eastAsia" w:ascii="宋体" w:hAnsi="宋体" w:eastAsia="宋体" w:cs="宋体"/>
                <w:bCs/>
                <w:color w:val="000000"/>
                <w:sz w:val="24"/>
                <w:highlight w:val="none"/>
              </w:rPr>
            </w:r>
            <w:r/>
          </w:p>
          <w:p>
            <w:pPr>
              <w:pStyle w:val="779"/>
              <w:spacing w:line="360" w:lineRule="auto"/>
              <w:rPr>
                <w:rFonts w:hint="eastAsia" w:ascii="宋体" w:hAnsi="宋体" w:eastAsia="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highlight w:val="none"/>
              </w:rPr>
              <w:t xml:space="preserve">2.《授权委托书及法定代表人</w:t>
            </w:r>
            <w:r>
              <w:rPr>
                <w:rFonts w:hint="eastAsia" w:ascii="宋体" w:hAnsi="宋体" w:eastAsia="宋体" w:cs="宋体"/>
                <w:bCs/>
                <w:color w:val="000000"/>
                <w:sz w:val="24"/>
                <w:highlight w:val="none"/>
                <w:lang w:eastAsia="zh-CN"/>
              </w:rPr>
              <w:t xml:space="preserve">（负责人）</w:t>
            </w:r>
            <w:r>
              <w:rPr>
                <w:rFonts w:hint="eastAsia" w:ascii="宋体" w:hAnsi="宋体" w:eastAsia="宋体" w:cs="宋体"/>
                <w:bCs/>
                <w:color w:val="000000"/>
                <w:sz w:val="24"/>
                <w:highlight w:val="none"/>
              </w:rPr>
              <w:t xml:space="preserve">身份证明书格式》。加盖电子签章，格式见本文件第七章《投标文件相关格式》。</w:t>
            </w:r>
            <w:r>
              <w:rPr>
                <w:rFonts w:hint="eastAsia" w:ascii="宋体" w:hAnsi="宋体" w:eastAsia="宋体" w:cs="宋体"/>
                <w:bCs/>
                <w:color w:val="000000"/>
                <w:sz w:val="24"/>
                <w:highlight w:val="none"/>
              </w:rPr>
            </w:r>
            <w:r/>
          </w:p>
          <w:p>
            <w:pPr>
              <w:pStyle w:val="779"/>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（三）技术响应</w:t>
            </w:r>
            <w:r>
              <w:rPr>
                <w:rFonts w:hint="eastAsia" w:ascii="宋体" w:hAnsi="宋体" w:eastAsia="宋体" w:cs="宋体"/>
                <w:b/>
                <w:bCs/>
                <w:color w:val="000000"/>
                <w:sz w:val="24"/>
                <w:highlight w:val="none"/>
              </w:rPr>
            </w:r>
            <w:r/>
          </w:p>
          <w:p>
            <w:pPr>
              <w:pStyle w:val="779"/>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1.《偏离表》加盖电子签章，格式见招标文件第七章《投标文件相关格式》。</w:t>
            </w:r>
            <w:r>
              <w:rPr>
                <w:rFonts w:hint="eastAsia" w:ascii="宋体" w:hAnsi="宋体" w:eastAsia="宋体" w:cs="宋体"/>
                <w:b/>
                <w:bCs/>
                <w:color w:val="000000"/>
                <w:sz w:val="24"/>
                <w:highlight w:val="none"/>
              </w:rPr>
            </w:r>
            <w:r/>
          </w:p>
          <w:p>
            <w:pPr>
              <w:pStyle w:val="779"/>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四、综合评审评分项</w:t>
            </w:r>
            <w:r>
              <w:rPr>
                <w:rFonts w:hint="eastAsia" w:ascii="宋体" w:hAnsi="宋体" w:eastAsia="宋体" w:cs="宋体"/>
                <w:b/>
                <w:bCs/>
                <w:color w:val="000000"/>
                <w:sz w:val="24"/>
                <w:highlight w:val="none"/>
              </w:rPr>
            </w:r>
            <w:r/>
          </w:p>
          <w:p>
            <w:pPr>
              <w:pStyle w:val="779"/>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（一）技术部分</w:t>
            </w:r>
            <w:r>
              <w:rPr>
                <w:rFonts w:hint="eastAsia" w:ascii="宋体" w:hAnsi="宋体" w:eastAsia="宋体" w:cs="宋体"/>
                <w:b/>
                <w:bCs/>
                <w:color w:val="000000"/>
                <w:sz w:val="24"/>
                <w:highlight w:val="none"/>
              </w:rPr>
            </w:r>
            <w:r/>
          </w:p>
          <w:p>
            <w:pPr>
              <w:pStyle w:val="779"/>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1.技术响应（要求见招标文件第六章《采购需求》及第四章《评标标准》中《评分细则》）；</w:t>
            </w:r>
            <w:r>
              <w:rPr>
                <w:rFonts w:hint="eastAsia" w:ascii="宋体" w:hAnsi="宋体" w:eastAsia="宋体" w:cs="宋体"/>
                <w:color w:val="000000"/>
                <w:sz w:val="24"/>
                <w:highlight w:val="none"/>
              </w:rPr>
            </w:r>
            <w:r/>
          </w:p>
          <w:p>
            <w:pPr>
              <w:pStyle w:val="779"/>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2.项目实施方案（要求见招标文件第六章《采购需求》及第四章《评标标准》中《评分细则》）；</w:t>
            </w:r>
            <w:r>
              <w:rPr>
                <w:rFonts w:hint="eastAsia" w:ascii="宋体" w:hAnsi="宋体" w:eastAsia="宋体" w:cs="宋体"/>
                <w:color w:val="000000"/>
                <w:sz w:val="24"/>
                <w:highlight w:val="none"/>
              </w:rPr>
            </w:r>
            <w:r/>
          </w:p>
          <w:p>
            <w:pPr>
              <w:pStyle w:val="779"/>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3.运行维护方案（要求见招标文件第六章《采购需求》及第四章《评标标准》中《评分细则》）；</w:t>
            </w:r>
            <w:r>
              <w:rPr>
                <w:rFonts w:hint="eastAsia" w:ascii="宋体" w:hAnsi="宋体" w:eastAsia="宋体" w:cs="宋体"/>
                <w:color w:val="000000"/>
                <w:sz w:val="24"/>
                <w:highlight w:val="none"/>
              </w:rPr>
            </w:r>
            <w:r/>
          </w:p>
          <w:p>
            <w:pPr>
              <w:pStyle w:val="779"/>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4、应急保障方案（要求见招标文件第六章《采购需求》及第四章《评标标准》中《评分细则》）；</w:t>
            </w:r>
            <w:r>
              <w:rPr>
                <w:rFonts w:hint="eastAsia" w:ascii="宋体" w:hAnsi="宋体" w:eastAsia="宋体" w:cs="宋体"/>
                <w:color w:val="000000"/>
                <w:sz w:val="24"/>
                <w:highlight w:val="none"/>
              </w:rPr>
            </w:r>
            <w:r/>
          </w:p>
          <w:p>
            <w:pPr>
              <w:pStyle w:val="779"/>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.评分细则中评分得分需提供的相关证明文件扫描件。</w:t>
            </w:r>
            <w:r>
              <w:rPr>
                <w:rFonts w:hint="eastAsia" w:ascii="宋体" w:hAnsi="宋体" w:eastAsia="宋体" w:cs="宋体"/>
                <w:color w:val="000000"/>
                <w:sz w:val="24"/>
                <w:highlight w:val="none"/>
              </w:rPr>
            </w:r>
            <w:r/>
          </w:p>
          <w:p>
            <w:pPr>
              <w:pStyle w:val="779"/>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（二）</w:t>
            </w:r>
            <w:r>
              <w:rPr>
                <w:rFonts w:hint="eastAsia" w:ascii="宋体" w:hAnsi="宋体" w:eastAsia="宋体" w:cs="宋体"/>
                <w:b/>
                <w:bCs/>
                <w:color w:val="000000"/>
                <w:sz w:val="24"/>
                <w:highlight w:val="none"/>
              </w:rPr>
              <w:t xml:space="preserve">商务部分</w:t>
            </w:r>
            <w:r>
              <w:rPr>
                <w:rFonts w:hint="eastAsia" w:ascii="宋体" w:hAnsi="宋体" w:eastAsia="宋体" w:cs="宋体"/>
                <w:b/>
                <w:bCs/>
                <w:color w:val="000000"/>
                <w:sz w:val="24"/>
                <w:highlight w:val="none"/>
              </w:rPr>
            </w:r>
            <w:r/>
          </w:p>
          <w:p>
            <w:pPr>
              <w:pStyle w:val="779"/>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.人员配备（要求见第四章《评标标准》中《评分细则》）；</w:t>
            </w:r>
            <w:r>
              <w:rPr>
                <w:rFonts w:hint="eastAsia" w:ascii="宋体" w:hAnsi="宋体" w:eastAsia="宋体" w:cs="宋体"/>
                <w:color w:val="000000"/>
                <w:sz w:val="24"/>
                <w:highlight w:val="none"/>
              </w:rPr>
            </w:r>
            <w:r/>
          </w:p>
          <w:p>
            <w:pPr>
              <w:pStyle w:val="779"/>
              <w:spacing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.投标人评价（要求见第四章《评标标准》中《评分细则》）</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79"/>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3.投标人业绩</w:t>
            </w:r>
            <w:r>
              <w:rPr>
                <w:rFonts w:hint="eastAsia" w:ascii="宋体" w:hAnsi="宋体" w:eastAsia="宋体" w:cs="宋体"/>
                <w:color w:val="000000"/>
                <w:sz w:val="24"/>
                <w:highlight w:val="none"/>
              </w:rPr>
              <w:t xml:space="preserve">（要求见第四章《评标标准》中《评分细则》）</w:t>
            </w:r>
            <w:r>
              <w:rPr>
                <w:rFonts w:hint="eastAsia" w:ascii="宋体" w:hAnsi="宋体" w:eastAsia="宋体" w:cs="宋体"/>
                <w:color w:val="000000"/>
                <w:sz w:val="24"/>
                <w:highlight w:val="none"/>
              </w:rPr>
            </w:r>
            <w:r/>
          </w:p>
          <w:p>
            <w:pPr>
              <w:pStyle w:val="816"/>
              <w:jc w:val="both"/>
              <w:spacing w:before="0" w:beforeAutospacing="0" w:after="0" w:afterAutospacing="0"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五、报价折扣证明：</w:t>
            </w:r>
            <w:r>
              <w:rPr>
                <w:rFonts w:hint="eastAsia" w:ascii="宋体" w:hAnsi="宋体" w:eastAsia="宋体" w:cs="宋体"/>
                <w:b/>
                <w:bCs/>
                <w:color w:val="000000"/>
                <w:highlight w:val="none"/>
              </w:rPr>
            </w:r>
            <w:r/>
          </w:p>
          <w:p>
            <w:pPr>
              <w:pStyle w:val="779"/>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投标人提供的服务全部由符合政策要求的中小企业承接的</w:t>
            </w:r>
            <w:r>
              <w:rPr>
                <w:rFonts w:hint="eastAsia" w:ascii="宋体" w:hAnsi="宋体" w:eastAsia="宋体" w:cs="宋体"/>
                <w:b/>
                <w:bCs/>
                <w:color w:val="000000"/>
                <w:sz w:val="24"/>
                <w:highlight w:val="none"/>
              </w:rPr>
              <w:t xml:space="preserve">，提供《中小企业声明函》（填写完整，加盖电子签章，格式见招标文件第七章《投标文件相关格式》）</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《中小企业声明函》查询渠道参考工业和信息化部发布的中小企业规模自测小程序。</w:t>
            </w:r>
            <w:r>
              <w:rPr>
                <w:rFonts w:hint="eastAsia" w:ascii="宋体" w:hAnsi="宋体" w:eastAsia="宋体" w:cs="宋体"/>
                <w:color w:val="000000"/>
                <w:sz w:val="24"/>
                <w:highlight w:val="none"/>
              </w:rPr>
            </w:r>
            <w:r/>
          </w:p>
          <w:p>
            <w:pPr>
              <w:pStyle w:val="779"/>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注：具体以《政府采购促进中小企业发展管理办法》（财库[2020]46号）和《关于印发中小企业划型标准规定的通知》（工信部联企业[2011]300号）的规定为准。</w:t>
            </w:r>
            <w:r>
              <w:rPr>
                <w:rFonts w:hint="eastAsia" w:ascii="宋体" w:hAnsi="宋体" w:eastAsia="宋体" w:cs="宋体"/>
                <w:color w:val="000000"/>
                <w:sz w:val="24"/>
                <w:highlight w:val="none"/>
              </w:rPr>
            </w:r>
            <w:r/>
          </w:p>
          <w:p>
            <w:pPr>
              <w:pStyle w:val="779"/>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注：监狱企业和残疾人福利性单位等同于小微企业。</w:t>
            </w:r>
            <w:r>
              <w:rPr>
                <w:rFonts w:hint="eastAsia" w:ascii="宋体" w:hAnsi="宋体" w:eastAsia="宋体" w:cs="宋体"/>
                <w:color w:val="000000"/>
                <w:sz w:val="24"/>
                <w:highlight w:val="none"/>
              </w:rPr>
            </w:r>
            <w:r/>
          </w:p>
          <w:p>
            <w:pPr>
              <w:pStyle w:val="779"/>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投标人为监狱企业的，提供省级以上监狱管理局、戒毒管理局（含新疆生产建设兵团）出具的属于监狱企业的证明文件原件的扫描件。</w:t>
            </w:r>
            <w:r>
              <w:rPr>
                <w:rFonts w:hint="eastAsia" w:ascii="宋体" w:hAnsi="宋体" w:eastAsia="宋体" w:cs="宋体"/>
                <w:color w:val="000000"/>
                <w:sz w:val="24"/>
                <w:highlight w:val="none"/>
              </w:rPr>
            </w:r>
            <w:r/>
          </w:p>
          <w:p>
            <w:pPr>
              <w:pStyle w:val="779"/>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具体以《财政部 司法部关于政府采购支持监狱企业发展有关问题的通知》（财库〔2014〕68号）的规定为准。</w:t>
            </w:r>
            <w:r>
              <w:rPr>
                <w:rFonts w:hint="eastAsia" w:ascii="宋体" w:hAnsi="宋体" w:eastAsia="宋体" w:cs="宋体"/>
                <w:color w:val="000000"/>
                <w:sz w:val="24"/>
                <w:highlight w:val="none"/>
              </w:rPr>
            </w:r>
            <w:r/>
          </w:p>
          <w:p>
            <w:pPr>
              <w:pStyle w:val="779"/>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投标人为享受政府采购支持政策的残疾人福利性单位的，提供《残疾人福利性单位声明函》（加盖电子签章，格式见招标文件第七章《投标文件相关格式》）。</w:t>
            </w:r>
            <w:r>
              <w:rPr>
                <w:rFonts w:hint="eastAsia" w:ascii="宋体" w:hAnsi="宋体" w:eastAsia="宋体" w:cs="宋体"/>
                <w:color w:val="000000"/>
                <w:sz w:val="24"/>
                <w:highlight w:val="none"/>
              </w:rPr>
            </w:r>
            <w:r/>
          </w:p>
          <w:p>
            <w:pPr>
              <w:pStyle w:val="779"/>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享受政府采购支持政策的残疾人福利性单位应当同时满足以下条件：</w:t>
            </w:r>
            <w:r>
              <w:rPr>
                <w:rFonts w:hint="eastAsia" w:ascii="宋体" w:hAnsi="宋体" w:eastAsia="宋体" w:cs="宋体"/>
                <w:color w:val="000000"/>
                <w:sz w:val="24"/>
                <w:highlight w:val="none"/>
              </w:rPr>
            </w:r>
            <w:r/>
          </w:p>
          <w:p>
            <w:pPr>
              <w:pStyle w:val="779"/>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①安置的残疾人占本单位在职职工人数的比例不低于25%（含25%），并且安置的残疾人人数不少于10人（含10人）；</w:t>
            </w:r>
            <w:r>
              <w:rPr>
                <w:rFonts w:hint="eastAsia" w:ascii="宋体" w:hAnsi="宋体" w:eastAsia="宋体" w:cs="宋体"/>
                <w:color w:val="000000"/>
                <w:sz w:val="24"/>
                <w:highlight w:val="none"/>
              </w:rPr>
            </w:r>
            <w:r/>
          </w:p>
          <w:p>
            <w:pPr>
              <w:pStyle w:val="779"/>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②依法与安置的每位残疾人签订了一年以上（含一年）的劳动合同或服务协议；</w:t>
            </w:r>
            <w:r>
              <w:rPr>
                <w:rFonts w:hint="eastAsia" w:ascii="宋体" w:hAnsi="宋体" w:eastAsia="宋体" w:cs="宋体"/>
                <w:color w:val="000000"/>
                <w:sz w:val="24"/>
                <w:highlight w:val="none"/>
              </w:rPr>
            </w:r>
            <w:r/>
          </w:p>
          <w:p>
            <w:pPr>
              <w:pStyle w:val="779"/>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③为安置的每位残疾人按月足额缴纳了基本养老保险、基本医疗保险、失业保险、工伤保险和生育保险等社会保险费；</w:t>
            </w:r>
            <w:r>
              <w:rPr>
                <w:rFonts w:hint="eastAsia" w:ascii="宋体" w:hAnsi="宋体" w:eastAsia="宋体" w:cs="宋体"/>
                <w:color w:val="000000"/>
                <w:sz w:val="24"/>
                <w:highlight w:val="none"/>
              </w:rPr>
            </w:r>
            <w:r/>
          </w:p>
          <w:p>
            <w:pPr>
              <w:pStyle w:val="779"/>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④通过银行等金融机构向安置的每位残疾人，按月支付了不低于单位所在区县适用的经省级人民政府批准的月最低工资标准的工资；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4"/>
                <w:highlight w:val="none"/>
              </w:rPr>
            </w:r>
            <w:r/>
          </w:p>
          <w:p>
            <w:pPr>
              <w:pStyle w:val="779"/>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⑤提供本单位制造的货物、承担的工程或者服务（以下简称产品），或者提供其他残疾人福利性单位制造的货物（不包括使用非残疾人福利性单位注册商标的货物）。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4"/>
                <w:highlight w:val="none"/>
              </w:rPr>
            </w:r>
            <w:r/>
          </w:p>
          <w:p>
            <w:pPr>
              <w:pStyle w:val="779"/>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eastAsia="宋体" w:cs="宋体"/>
                <w:color w:val="000000"/>
                <w:sz w:val="24"/>
                <w:highlight w:val="none"/>
              </w:rPr>
            </w:r>
            <w:r/>
          </w:p>
          <w:p>
            <w:pPr>
              <w:pStyle w:val="779"/>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具体以《三部门联合发布关于促进残疾人就业政府采购政策的通知》（财库〔2017〕141号）规定为准。</w:t>
            </w:r>
            <w:r>
              <w:rPr>
                <w:rFonts w:hint="eastAsia" w:ascii="宋体" w:hAnsi="宋体" w:eastAsia="宋体" w:cs="宋体"/>
                <w:color w:val="000000"/>
                <w:sz w:val="24"/>
                <w:highlight w:val="none"/>
              </w:rPr>
            </w:r>
            <w:r/>
          </w:p>
          <w:p>
            <w:pPr>
              <w:pStyle w:val="779"/>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注：</w:t>
            </w:r>
            <w:r>
              <w:rPr>
                <w:rFonts w:hint="eastAsia" w:ascii="宋体" w:hAnsi="宋体" w:eastAsia="宋体" w:cs="宋体"/>
                <w:b/>
                <w:bCs/>
                <w:color w:val="000000"/>
                <w:sz w:val="24"/>
                <w:highlight w:val="none"/>
              </w:rPr>
            </w:r>
            <w:r/>
          </w:p>
          <w:p>
            <w:pPr>
              <w:pStyle w:val="779"/>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1.投标人应对以上文件的合法性、真实性负责。</w:t>
            </w:r>
            <w:r>
              <w:rPr>
                <w:rFonts w:hint="eastAsia" w:ascii="宋体" w:hAnsi="宋体" w:eastAsia="宋体" w:cs="宋体"/>
                <w:color w:val="000000"/>
                <w:sz w:val="24"/>
                <w:highlight w:val="none"/>
              </w:rPr>
            </w:r>
            <w:r/>
          </w:p>
          <w:p>
            <w:pPr>
              <w:pStyle w:val="779"/>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特别要求的除外。</w:t>
            </w:r>
            <w:r>
              <w:rPr>
                <w:rFonts w:hint="eastAsia" w:ascii="宋体" w:hAnsi="宋体" w:eastAsia="宋体" w:cs="宋体"/>
                <w:color w:val="000000"/>
                <w:sz w:val="24"/>
                <w:highlight w:val="none"/>
              </w:rPr>
            </w:r>
            <w:r/>
          </w:p>
        </w:tc>
      </w:tr>
      <w:tr>
        <w:trPr>
          <w:trHeight w:val="90"/>
        </w:trPr>
        <w:tc>
          <w:tcPr>
            <w:tcMar>
              <w:left w:w="108" w:type="dxa"/>
              <w:top w:w="0" w:type="dxa"/>
              <w:right w:w="108" w:type="dxa"/>
              <w:bottom w:w="0" w:type="dxa"/>
            </w:tcMar>
            <w:tcW w:w="1615" w:type="dxa"/>
            <w:vAlign w:val="top"/>
            <w:textDirection w:val="lrTb"/>
            <w:noWrap w:val="false"/>
          </w:tcPr>
          <w:p>
            <w:pPr>
              <w:pStyle w:val="779"/>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（十三）2</w:t>
            </w:r>
            <w:r>
              <w:rPr>
                <w:rFonts w:hint="eastAsia" w:ascii="宋体" w:hAnsi="宋体" w:eastAsia="宋体" w:cs="宋体"/>
                <w:color w:val="000000"/>
                <w:sz w:val="24"/>
                <w:highlight w:val="none"/>
              </w:rPr>
            </w:r>
            <w:r/>
          </w:p>
        </w:tc>
        <w:tc>
          <w:tcPr>
            <w:tcMar>
              <w:left w:w="108" w:type="dxa"/>
              <w:top w:w="0" w:type="dxa"/>
              <w:right w:w="108" w:type="dxa"/>
              <w:bottom w:w="0" w:type="dxa"/>
            </w:tcMar>
            <w:tcW w:w="8169" w:type="dxa"/>
            <w:vAlign w:val="top"/>
            <w:textDirection w:val="lrTb"/>
            <w:noWrap w:val="false"/>
          </w:tcPr>
          <w:p>
            <w:pPr>
              <w:pStyle w:val="779"/>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商务条件见：</w:t>
            </w:r>
            <w:r>
              <w:rPr>
                <w:rFonts w:hint="eastAsia" w:ascii="宋体" w:hAnsi="宋体" w:eastAsia="宋体" w:cs="宋体"/>
                <w:color w:val="000000"/>
                <w:sz w:val="24"/>
                <w:highlight w:val="none"/>
              </w:rPr>
            </w:r>
            <w:r/>
          </w:p>
          <w:p>
            <w:pPr>
              <w:pStyle w:val="779"/>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一、本文件第四章《评标标准》中《评分细则》。</w:t>
            </w:r>
            <w:r>
              <w:rPr>
                <w:rFonts w:hint="eastAsia" w:ascii="宋体" w:hAnsi="宋体" w:eastAsia="宋体" w:cs="宋体"/>
                <w:color w:val="000000"/>
                <w:sz w:val="24"/>
                <w:highlight w:val="none"/>
              </w:rPr>
            </w:r>
            <w:r/>
          </w:p>
          <w:p>
            <w:pPr>
              <w:pStyle w:val="779"/>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二、本文件第三章《投标资料表》中（十二）1和（十二）2。</w:t>
            </w:r>
            <w:r>
              <w:rPr>
                <w:rFonts w:hint="eastAsia" w:ascii="宋体" w:hAnsi="宋体" w:eastAsia="宋体" w:cs="宋体"/>
                <w:color w:val="000000"/>
                <w:sz w:val="24"/>
                <w:highlight w:val="none"/>
              </w:rPr>
            </w:r>
            <w:r/>
          </w:p>
        </w:tc>
      </w:tr>
      <w:tr>
        <w:trPr>
          <w:trHeight w:val="687"/>
        </w:trPr>
        <w:tc>
          <w:tcPr>
            <w:tcMar>
              <w:left w:w="108" w:type="dxa"/>
              <w:top w:w="0" w:type="dxa"/>
              <w:right w:w="108" w:type="dxa"/>
              <w:bottom w:w="0" w:type="dxa"/>
            </w:tcMar>
            <w:tcW w:w="1615" w:type="dxa"/>
            <w:vAlign w:val="top"/>
            <w:textDirection w:val="lrTb"/>
            <w:noWrap w:val="false"/>
          </w:tcPr>
          <w:p>
            <w:pPr>
              <w:pStyle w:val="779"/>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（十三）3</w:t>
            </w:r>
            <w:r>
              <w:rPr>
                <w:rFonts w:hint="eastAsia" w:ascii="宋体" w:hAnsi="宋体" w:eastAsia="宋体" w:cs="宋体"/>
                <w:color w:val="000000"/>
                <w:sz w:val="24"/>
                <w:highlight w:val="none"/>
              </w:rPr>
            </w:r>
            <w:r/>
          </w:p>
        </w:tc>
        <w:tc>
          <w:tcPr>
            <w:tcMar>
              <w:left w:w="108" w:type="dxa"/>
              <w:top w:w="0" w:type="dxa"/>
              <w:right w:w="108" w:type="dxa"/>
              <w:bottom w:w="0" w:type="dxa"/>
            </w:tcMar>
            <w:tcW w:w="8169" w:type="dxa"/>
            <w:vAlign w:val="top"/>
            <w:textDirection w:val="lrTb"/>
            <w:noWrap w:val="false"/>
          </w:tcPr>
          <w:p>
            <w:pPr>
              <w:pStyle w:val="779"/>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提供服务的时间：见本文件第五章《拟签订的合同文本》及本文件第六章《采购需求》。</w:t>
            </w:r>
            <w:r>
              <w:rPr>
                <w:rFonts w:hint="eastAsia" w:ascii="宋体" w:hAnsi="宋体" w:eastAsia="宋体" w:cs="宋体"/>
                <w:color w:val="000000"/>
                <w:sz w:val="24"/>
                <w:highlight w:val="none"/>
              </w:rPr>
            </w:r>
            <w:r/>
          </w:p>
        </w:tc>
      </w:tr>
      <w:tr>
        <w:trPr>
          <w:trHeight w:val="1009"/>
        </w:trPr>
        <w:tc>
          <w:tcPr>
            <w:tcMar>
              <w:left w:w="108" w:type="dxa"/>
              <w:top w:w="0" w:type="dxa"/>
              <w:right w:w="108" w:type="dxa"/>
              <w:bottom w:w="0" w:type="dxa"/>
            </w:tcMar>
            <w:tcW w:w="1615" w:type="dxa"/>
            <w:vAlign w:val="top"/>
            <w:textDirection w:val="lrTb"/>
            <w:noWrap w:val="false"/>
          </w:tcPr>
          <w:p>
            <w:pPr>
              <w:pStyle w:val="779"/>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（十四）</w:t>
            </w:r>
            <w:r>
              <w:rPr>
                <w:rFonts w:hint="eastAsia" w:ascii="宋体" w:hAnsi="宋体" w:eastAsia="宋体" w:cs="宋体"/>
                <w:color w:val="000000"/>
                <w:sz w:val="24"/>
                <w:highlight w:val="none"/>
              </w:rPr>
            </w:r>
            <w:r/>
          </w:p>
        </w:tc>
        <w:tc>
          <w:tcPr>
            <w:tcMar>
              <w:left w:w="108" w:type="dxa"/>
              <w:top w:w="0" w:type="dxa"/>
              <w:right w:w="108" w:type="dxa"/>
              <w:bottom w:w="0" w:type="dxa"/>
            </w:tcMar>
            <w:tcW w:w="8169" w:type="dxa"/>
            <w:vAlign w:val="top"/>
            <w:textDirection w:val="lrTb"/>
            <w:noWrap w:val="false"/>
          </w:tcPr>
          <w:p>
            <w:pPr>
              <w:pStyle w:val="779"/>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本项目预算金额人民币</w:t>
            </w:r>
            <w:r>
              <w:rPr>
                <w:rFonts w:hint="eastAsia" w:ascii="宋体" w:hAnsi="宋体" w:eastAsia="宋体" w:cs="宋体"/>
                <w:b/>
                <w:bCs/>
                <w:color w:val="000000"/>
                <w:sz w:val="24"/>
                <w:highlight w:val="none"/>
                <w:lang w:eastAsia="zh-CN"/>
              </w:rPr>
              <w:t xml:space="preserve">205.32</w:t>
            </w:r>
            <w:r>
              <w:rPr>
                <w:rFonts w:hint="eastAsia" w:ascii="宋体" w:hAnsi="宋体" w:eastAsia="宋体" w:cs="宋体"/>
                <w:b/>
                <w:bCs/>
                <w:color w:val="000000"/>
                <w:sz w:val="24"/>
                <w:highlight w:val="none"/>
              </w:rPr>
              <w:t xml:space="preserve">万元，本项目采用每个机柜单月费用形式进行报价</w:t>
            </w:r>
            <w:r>
              <w:rPr>
                <w:rFonts w:hint="eastAsia" w:ascii="宋体" w:hAnsi="宋体" w:eastAsia="宋体" w:cs="宋体"/>
                <w:b/>
                <w:bCs/>
                <w:color w:val="000000"/>
                <w:sz w:val="24"/>
                <w:highlight w:val="none"/>
                <w:lang w:eastAsia="zh-CN"/>
              </w:rPr>
              <w:t xml:space="preserve">，最高</w:t>
            </w:r>
            <w:r>
              <w:rPr>
                <w:rFonts w:hint="eastAsia" w:ascii="宋体" w:hAnsi="宋体" w:eastAsia="宋体" w:cs="宋体"/>
                <w:b/>
                <w:bCs/>
                <w:color w:val="000000"/>
                <w:sz w:val="24"/>
                <w:highlight w:val="none"/>
                <w:lang w:val="en-US" w:eastAsia="zh-CN"/>
              </w:rPr>
              <w:t xml:space="preserve">单价</w:t>
            </w:r>
            <w:r>
              <w:rPr>
                <w:rFonts w:hint="eastAsia" w:ascii="宋体" w:hAnsi="宋体" w:eastAsia="宋体" w:cs="宋体"/>
                <w:b/>
                <w:bCs/>
                <w:color w:val="000000"/>
                <w:sz w:val="24"/>
                <w:highlight w:val="none"/>
                <w:lang w:eastAsia="zh-CN"/>
              </w:rPr>
              <w:t xml:space="preserve">限价</w:t>
            </w:r>
            <w:r>
              <w:rPr>
                <w:rFonts w:hint="eastAsia" w:ascii="宋体" w:hAnsi="宋体" w:eastAsia="宋体" w:cs="宋体"/>
                <w:b/>
                <w:bCs/>
                <w:color w:val="000000"/>
                <w:sz w:val="24"/>
                <w:highlight w:val="none"/>
                <w:lang w:val="en-US" w:eastAsia="zh-CN"/>
              </w:rPr>
              <w:t xml:space="preserve">28</w:t>
            </w:r>
            <w:r>
              <w:rPr>
                <w:rFonts w:hint="eastAsia" w:ascii="宋体" w:hAnsi="宋体" w:eastAsia="宋体" w:cs="宋体"/>
                <w:b/>
                <w:bCs/>
                <w:color w:val="000000"/>
                <w:sz w:val="24"/>
                <w:highlight w:val="none"/>
                <w:lang w:eastAsia="zh-CN"/>
              </w:rPr>
              <w:t xml:space="preserve">00.00元/柜/月</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rPr>
            </w:r>
            <w:r/>
          </w:p>
          <w:p>
            <w:pPr>
              <w:pStyle w:val="779"/>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报价包含项目完成所需全部费用，采购人不再支付报价以外的任何费用</w:t>
            </w:r>
            <w:r>
              <w:rPr>
                <w:rFonts w:hint="eastAsia" w:ascii="宋体" w:hAnsi="宋体" w:eastAsia="宋体" w:cs="宋体"/>
                <w:color w:val="000000"/>
                <w:sz w:val="24"/>
                <w:highlight w:val="none"/>
              </w:rPr>
              <w:t xml:space="preserve">。采购人不再支付报价以外的任何费用。</w:t>
            </w:r>
            <w:r>
              <w:rPr>
                <w:rFonts w:hint="eastAsia" w:ascii="宋体" w:hAnsi="宋体" w:eastAsia="宋体" w:cs="宋体"/>
                <w:color w:val="000000"/>
                <w:sz w:val="24"/>
                <w:highlight w:val="none"/>
              </w:rPr>
            </w:r>
            <w:r/>
          </w:p>
        </w:tc>
      </w:tr>
      <w:tr>
        <w:trPr>
          <w:trHeight w:val="417"/>
        </w:trPr>
        <w:tc>
          <w:tcPr>
            <w:tcMar>
              <w:left w:w="108" w:type="dxa"/>
              <w:top w:w="0" w:type="dxa"/>
              <w:right w:w="108" w:type="dxa"/>
              <w:bottom w:w="0" w:type="dxa"/>
            </w:tcMar>
            <w:tcW w:w="1615" w:type="dxa"/>
            <w:vAlign w:val="top"/>
            <w:textDirection w:val="lrTb"/>
            <w:noWrap w:val="false"/>
          </w:tcPr>
          <w:p>
            <w:pPr>
              <w:pStyle w:val="779"/>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（十五）</w:t>
            </w:r>
            <w:r>
              <w:rPr>
                <w:rFonts w:hint="eastAsia" w:ascii="宋体" w:hAnsi="宋体" w:eastAsia="宋体" w:cs="宋体"/>
                <w:color w:val="000000"/>
                <w:sz w:val="24"/>
                <w:highlight w:val="none"/>
              </w:rPr>
            </w:r>
            <w:r/>
          </w:p>
        </w:tc>
        <w:tc>
          <w:tcPr>
            <w:tcMar>
              <w:left w:w="108" w:type="dxa"/>
              <w:top w:w="0" w:type="dxa"/>
              <w:right w:w="108" w:type="dxa"/>
              <w:bottom w:w="0" w:type="dxa"/>
            </w:tcMar>
            <w:tcW w:w="8169" w:type="dxa"/>
            <w:vAlign w:val="center"/>
            <w:textDirection w:val="lrTb"/>
            <w:noWrap w:val="false"/>
          </w:tcPr>
          <w:p>
            <w:pPr>
              <w:pStyle w:val="779"/>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以人民币报价。</w:t>
            </w:r>
            <w:r>
              <w:rPr>
                <w:rFonts w:hint="eastAsia" w:ascii="宋体" w:hAnsi="宋体" w:eastAsia="宋体" w:cs="宋体"/>
                <w:color w:val="000000"/>
                <w:sz w:val="24"/>
                <w:highlight w:val="none"/>
              </w:rPr>
            </w:r>
            <w:r/>
          </w:p>
        </w:tc>
      </w:tr>
      <w:tr>
        <w:trPr>
          <w:trHeight w:val="239"/>
        </w:trPr>
        <w:tc>
          <w:tcPr>
            <w:tcMar>
              <w:left w:w="108" w:type="dxa"/>
              <w:top w:w="0" w:type="dxa"/>
              <w:right w:w="108" w:type="dxa"/>
              <w:bottom w:w="0" w:type="dxa"/>
            </w:tcMar>
            <w:tcW w:w="1615" w:type="dxa"/>
            <w:vAlign w:val="top"/>
            <w:textDirection w:val="lrTb"/>
            <w:noWrap w:val="false"/>
          </w:tcPr>
          <w:p>
            <w:pPr>
              <w:pStyle w:val="779"/>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（十七）</w:t>
            </w:r>
            <w:r>
              <w:rPr>
                <w:rFonts w:hint="eastAsia" w:ascii="宋体" w:hAnsi="宋体" w:eastAsia="宋体" w:cs="宋体"/>
                <w:color w:val="000000"/>
                <w:sz w:val="24"/>
                <w:highlight w:val="none"/>
              </w:rPr>
            </w:r>
            <w:r/>
          </w:p>
        </w:tc>
        <w:tc>
          <w:tcPr>
            <w:tcMar>
              <w:left w:w="108" w:type="dxa"/>
              <w:top w:w="0" w:type="dxa"/>
              <w:right w:w="108" w:type="dxa"/>
              <w:bottom w:w="0" w:type="dxa"/>
            </w:tcMar>
            <w:tcW w:w="8169" w:type="dxa"/>
            <w:vAlign w:val="center"/>
            <w:textDirection w:val="lrTb"/>
            <w:noWrap w:val="false"/>
          </w:tcPr>
          <w:p>
            <w:pPr>
              <w:pStyle w:val="779"/>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人须用政府采购客户端工具导入“苏采云”系统下载的采购文件（后缀）、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宋体" w:hAnsi="宋体" w:eastAsia="宋体" w:cs="宋体"/>
                <w:color w:val="000000"/>
                <w:sz w:val="24"/>
                <w:highlight w:val="none"/>
              </w:rPr>
            </w:r>
            <w:r/>
          </w:p>
          <w:p>
            <w:pPr>
              <w:pStyle w:val="779"/>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投标人应当通过“苏采云”系统提交数据电文形式的投标文件（即电子投标）。</w:t>
            </w:r>
            <w:r>
              <w:rPr>
                <w:rFonts w:hint="eastAsia" w:ascii="宋体" w:hAnsi="宋体" w:eastAsia="宋体" w:cs="宋体"/>
                <w:color w:val="000000"/>
                <w:sz w:val="24"/>
                <w:highlight w:val="none"/>
              </w:rPr>
            </w:r>
            <w:r/>
          </w:p>
          <w:p>
            <w:pPr>
              <w:pStyle w:val="779"/>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特别说明：政府采购客户端工具需要导出加密的投标文件（后缀名为</w:t>
            </w:r>
            <w:r>
              <w:rPr>
                <w:rFonts w:hint="eastAsia" w:ascii="宋体" w:hAnsi="宋体" w:eastAsia="宋体" w:cs="宋体"/>
                <w:b/>
                <w:bCs/>
                <w:color w:val="000000"/>
                <w:sz w:val="24"/>
                <w:highlight w:val="none"/>
              </w:rPr>
              <w:t xml:space="preserve">zip</w:t>
            </w:r>
            <w:r>
              <w:rPr>
                <w:rFonts w:hint="eastAsia" w:ascii="宋体" w:hAnsi="宋体" w:eastAsia="宋体" w:cs="宋体"/>
                <w:color w:val="000000"/>
                <w:sz w:val="24"/>
                <w:highlight w:val="none"/>
              </w:rPr>
              <w:t xml:space="preserve">）。</w:t>
            </w:r>
            <w:r>
              <w:rPr>
                <w:rFonts w:hint="eastAsia" w:ascii="宋体" w:hAnsi="宋体" w:eastAsia="宋体" w:cs="宋体"/>
                <w:b/>
                <w:bCs/>
                <w:color w:val="000000"/>
                <w:sz w:val="24"/>
                <w:highlight w:val="none"/>
              </w:rPr>
              <w:t xml:space="preserve">投标文件不得超过150M</w:t>
            </w:r>
            <w:r>
              <w:rPr>
                <w:rFonts w:hint="eastAsia" w:ascii="宋体" w:hAnsi="宋体" w:eastAsia="宋体" w:cs="宋体"/>
                <w:color w:val="000000"/>
                <w:sz w:val="24"/>
                <w:highlight w:val="none"/>
              </w:rPr>
              <w:t xml:space="preserve">！名为“</w:t>
            </w:r>
            <w:r>
              <w:rPr>
                <w:rFonts w:hint="eastAsia" w:ascii="宋体" w:hAnsi="宋体" w:eastAsia="宋体" w:cs="宋体"/>
                <w:b/>
                <w:bCs/>
                <w:color w:val="000000"/>
                <w:sz w:val="24"/>
                <w:highlight w:val="none"/>
              </w:rPr>
              <w:t xml:space="preserve">.kedt</w:t>
            </w:r>
            <w:r>
              <w:rPr>
                <w:rFonts w:hint="eastAsia" w:ascii="宋体" w:hAnsi="宋体" w:eastAsia="宋体" w:cs="宋体"/>
                <w:color w:val="000000"/>
                <w:sz w:val="24"/>
                <w:highlight w:val="none"/>
              </w:rPr>
              <w:t xml:space="preserve">”）后，离线编制投标文件。采购文件（后缀名为“</w:t>
            </w:r>
            <w:r>
              <w:rPr>
                <w:rFonts w:hint="eastAsia" w:ascii="宋体" w:hAnsi="宋体" w:eastAsia="宋体" w:cs="宋体"/>
                <w:b/>
                <w:bCs/>
                <w:color w:val="000000"/>
                <w:sz w:val="24"/>
                <w:highlight w:val="none"/>
              </w:rPr>
              <w:t xml:space="preserve">.kedt</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r>
      <w:tr>
        <w:trPr>
          <w:trHeight w:val="525"/>
        </w:trPr>
        <w:tc>
          <w:tcPr>
            <w:tcMar>
              <w:left w:w="108" w:type="dxa"/>
              <w:top w:w="0" w:type="dxa"/>
              <w:right w:w="108" w:type="dxa"/>
              <w:bottom w:w="0" w:type="dxa"/>
            </w:tcMar>
            <w:tcW w:w="1615" w:type="dxa"/>
            <w:vAlign w:val="top"/>
            <w:textDirection w:val="lrTb"/>
            <w:noWrap w:val="false"/>
          </w:tcPr>
          <w:p>
            <w:pPr>
              <w:pStyle w:val="779"/>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（十八）</w:t>
            </w:r>
            <w:r>
              <w:rPr>
                <w:rFonts w:hint="eastAsia" w:ascii="宋体" w:hAnsi="宋体" w:eastAsia="宋体" w:cs="宋体"/>
                <w:color w:val="000000"/>
                <w:sz w:val="24"/>
                <w:highlight w:val="none"/>
              </w:rPr>
            </w:r>
            <w:r/>
          </w:p>
        </w:tc>
        <w:tc>
          <w:tcPr>
            <w:tcMar>
              <w:left w:w="108" w:type="dxa"/>
              <w:top w:w="0" w:type="dxa"/>
              <w:right w:w="108" w:type="dxa"/>
              <w:bottom w:w="0" w:type="dxa"/>
            </w:tcMar>
            <w:tcW w:w="8169" w:type="dxa"/>
            <w:vAlign w:val="center"/>
            <w:textDirection w:val="lrTb"/>
            <w:noWrap w:val="false"/>
          </w:tcPr>
          <w:p>
            <w:pPr>
              <w:pStyle w:val="779"/>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见本文件第三章《投标资料表》中（十二）1和（十二）2</w:t>
            </w:r>
            <w:r>
              <w:rPr>
                <w:rFonts w:hint="eastAsia" w:ascii="宋体" w:hAnsi="宋体" w:eastAsia="宋体" w:cs="宋体"/>
                <w:color w:val="000000"/>
                <w:sz w:val="24"/>
                <w:highlight w:val="none"/>
              </w:rPr>
            </w:r>
            <w:r/>
          </w:p>
        </w:tc>
      </w:tr>
      <w:tr>
        <w:trPr>
          <w:trHeight w:val="423"/>
        </w:trPr>
        <w:tc>
          <w:tcPr>
            <w:tcMar>
              <w:left w:w="108" w:type="dxa"/>
              <w:top w:w="0" w:type="dxa"/>
              <w:right w:w="108" w:type="dxa"/>
              <w:bottom w:w="0" w:type="dxa"/>
            </w:tcMar>
            <w:tcW w:w="1615" w:type="dxa"/>
            <w:vAlign w:val="top"/>
            <w:textDirection w:val="lrTb"/>
            <w:noWrap w:val="false"/>
          </w:tcPr>
          <w:p>
            <w:pPr>
              <w:pStyle w:val="779"/>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（十九）</w:t>
            </w:r>
            <w:r>
              <w:rPr>
                <w:rFonts w:hint="eastAsia" w:ascii="宋体" w:hAnsi="宋体" w:eastAsia="宋体" w:cs="宋体"/>
                <w:color w:val="000000"/>
                <w:sz w:val="24"/>
                <w:highlight w:val="none"/>
              </w:rPr>
            </w:r>
            <w:r/>
          </w:p>
        </w:tc>
        <w:tc>
          <w:tcPr>
            <w:tcMar>
              <w:left w:w="108" w:type="dxa"/>
              <w:top w:w="0" w:type="dxa"/>
              <w:right w:w="108" w:type="dxa"/>
              <w:bottom w:w="0" w:type="dxa"/>
            </w:tcMar>
            <w:tcW w:w="8169" w:type="dxa"/>
            <w:vAlign w:val="center"/>
            <w:textDirection w:val="lrTb"/>
            <w:noWrap w:val="false"/>
          </w:tcPr>
          <w:p>
            <w:pPr>
              <w:pStyle w:val="779"/>
              <w:ind w:left="560" w:hanging="56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投标文件的提交与接收：</w:t>
            </w:r>
            <w:r>
              <w:rPr>
                <w:rFonts w:hint="eastAsia" w:ascii="宋体" w:hAnsi="宋体" w:eastAsia="宋体" w:cs="宋体"/>
                <w:color w:val="000000"/>
                <w:sz w:val="24"/>
                <w:highlight w:val="none"/>
              </w:rPr>
            </w:r>
            <w:r/>
          </w:p>
          <w:p>
            <w:pPr>
              <w:pStyle w:val="779"/>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1.投标文件提交与接收时间：</w:t>
            </w:r>
            <w:r>
              <w:rPr>
                <w:rFonts w:hint="eastAsia" w:ascii="宋体" w:hAnsi="宋体" w:eastAsia="宋体" w:cs="宋体"/>
                <w:b/>
                <w:color w:val="000000"/>
                <w:sz w:val="24"/>
                <w:highlight w:val="none"/>
                <w:lang w:eastAsia="zh-CN"/>
              </w:rPr>
              <w:t xml:space="preserve">2026年</w:t>
            </w:r>
            <w:r>
              <w:rPr>
                <w:rFonts w:hint="eastAsia" w:ascii="宋体" w:hAnsi="宋体" w:eastAsia="宋体" w:cs="宋体"/>
                <w:b/>
                <w:color w:val="000000"/>
                <w:sz w:val="24"/>
                <w:highlight w:val="none"/>
                <w:lang w:val="en-US" w:eastAsia="zh-CN"/>
              </w:rPr>
              <w:t xml:space="preserve">11</w:t>
            </w:r>
            <w:r>
              <w:rPr>
                <w:rFonts w:hint="eastAsia" w:ascii="宋体" w:hAnsi="宋体" w:eastAsia="宋体" w:cs="宋体"/>
                <w:b/>
                <w:color w:val="000000"/>
                <w:sz w:val="24"/>
                <w:highlight w:val="none"/>
                <w:lang w:eastAsia="zh-CN"/>
              </w:rPr>
              <w:t xml:space="preserve">月</w:t>
            </w:r>
            <w:r>
              <w:rPr>
                <w:rFonts w:hint="eastAsia" w:ascii="宋体" w:hAnsi="宋体" w:eastAsia="宋体" w:cs="宋体"/>
                <w:b/>
                <w:color w:val="000000"/>
                <w:sz w:val="24"/>
                <w:highlight w:val="none"/>
                <w:lang w:val="en-US" w:eastAsia="zh-CN"/>
              </w:rPr>
              <w:t xml:space="preserve">18</w:t>
            </w:r>
            <w:r>
              <w:rPr>
                <w:rFonts w:hint="eastAsia" w:ascii="宋体" w:hAnsi="宋体" w:eastAsia="宋体" w:cs="宋体"/>
                <w:b/>
                <w:color w:val="000000"/>
                <w:sz w:val="24"/>
                <w:highlight w:val="none"/>
              </w:rPr>
              <w:t xml:space="preserve">日</w:t>
            </w:r>
            <w:r>
              <w:rPr>
                <w:rFonts w:hint="eastAsia" w:ascii="宋体" w:hAnsi="宋体" w:eastAsia="宋体" w:cs="宋体"/>
                <w:b/>
                <w:bCs/>
                <w:color w:val="000000"/>
                <w:sz w:val="24"/>
                <w:highlight w:val="none"/>
              </w:rPr>
              <w:t xml:space="preserve">北京时间09：30前。</w:t>
            </w:r>
            <w:r>
              <w:rPr>
                <w:rFonts w:hint="eastAsia" w:ascii="宋体" w:hAnsi="宋体" w:eastAsia="宋体" w:cs="宋体"/>
                <w:b/>
                <w:bCs/>
                <w:color w:val="000000"/>
                <w:sz w:val="24"/>
                <w:highlight w:val="none"/>
              </w:rPr>
            </w:r>
            <w:r/>
          </w:p>
          <w:p>
            <w:pPr>
              <w:pStyle w:val="779"/>
              <w:ind w:left="560" w:hanging="56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2.投标文件提交与接收地点：</w:t>
            </w:r>
            <w:r>
              <w:rPr>
                <w:rFonts w:hint="eastAsia" w:ascii="宋体" w:hAnsi="宋体" w:eastAsia="宋体" w:cs="宋体"/>
                <w:color w:val="000000"/>
                <w:sz w:val="24"/>
                <w:highlight w:val="none"/>
              </w:rPr>
            </w:r>
            <w:r/>
          </w:p>
          <w:p>
            <w:pPr>
              <w:pStyle w:val="779"/>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投标人应当通过“苏采云”系统提交数据电文形式的投标文件（即电子投标），“苏采云”系统自动接收。</w:t>
            </w:r>
            <w:r>
              <w:rPr>
                <w:rFonts w:hint="eastAsia" w:ascii="宋体" w:hAnsi="宋体" w:eastAsia="宋体" w:cs="宋体"/>
                <w:color w:val="000000"/>
                <w:sz w:val="24"/>
                <w:highlight w:val="none"/>
              </w:rPr>
            </w:r>
            <w:r/>
          </w:p>
        </w:tc>
      </w:tr>
      <w:tr>
        <w:trPr>
          <w:trHeight w:val="1201"/>
        </w:trPr>
        <w:tc>
          <w:tcPr>
            <w:tcMar>
              <w:left w:w="108" w:type="dxa"/>
              <w:top w:w="0" w:type="dxa"/>
              <w:right w:w="108" w:type="dxa"/>
              <w:bottom w:w="0" w:type="dxa"/>
            </w:tcMar>
            <w:tcW w:w="1615" w:type="dxa"/>
            <w:vAlign w:val="top"/>
            <w:textDirection w:val="lrTb"/>
            <w:noWrap w:val="false"/>
          </w:tcPr>
          <w:p>
            <w:pPr>
              <w:pStyle w:val="779"/>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（二十）</w:t>
            </w:r>
            <w:r>
              <w:rPr>
                <w:rFonts w:hint="eastAsia" w:ascii="宋体" w:hAnsi="宋体" w:eastAsia="宋体" w:cs="宋体"/>
                <w:color w:val="000000"/>
                <w:sz w:val="24"/>
                <w:highlight w:val="none"/>
              </w:rPr>
            </w:r>
            <w:r/>
          </w:p>
        </w:tc>
        <w:tc>
          <w:tcPr>
            <w:tcMar>
              <w:left w:w="108" w:type="dxa"/>
              <w:top w:w="0" w:type="dxa"/>
              <w:right w:w="108" w:type="dxa"/>
              <w:bottom w:w="0" w:type="dxa"/>
            </w:tcMar>
            <w:tcW w:w="8169" w:type="dxa"/>
            <w:vAlign w:val="center"/>
            <w:textDirection w:val="lrTb"/>
            <w:noWrap w:val="false"/>
          </w:tcPr>
          <w:p>
            <w:pPr>
              <w:pStyle w:val="779"/>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电子投标文件应由其法定代表人或法定代表人授权代表在规定的网上投标时间内，</w:t>
            </w:r>
            <w:r>
              <w:rPr>
                <w:rFonts w:hint="eastAsia" w:ascii="宋体" w:hAnsi="宋体" w:eastAsia="宋体" w:cs="宋体"/>
                <w:b/>
                <w:color w:val="000000"/>
                <w:sz w:val="24"/>
                <w:highlight w:val="none"/>
              </w:rPr>
              <w:t xml:space="preserve">凭CA证书登陆“苏采云”系统在线编制投标文件（电子数据），并在投标截止时间之前上传投标文件。并于开标时凭CA锁进行解密。</w:t>
            </w:r>
            <w:r>
              <w:rPr>
                <w:rFonts w:hint="eastAsia" w:ascii="宋体" w:hAnsi="宋体" w:eastAsia="宋体" w:cs="宋体"/>
                <w:color w:val="000000"/>
                <w:sz w:val="24"/>
                <w:highlight w:val="none"/>
              </w:rPr>
            </w:r>
            <w:r/>
          </w:p>
        </w:tc>
      </w:tr>
      <w:tr>
        <w:trPr/>
        <w:tc>
          <w:tcPr>
            <w:tcMar>
              <w:left w:w="108" w:type="dxa"/>
              <w:top w:w="0" w:type="dxa"/>
              <w:right w:w="108" w:type="dxa"/>
              <w:bottom w:w="0" w:type="dxa"/>
            </w:tcMar>
            <w:tcW w:w="1615" w:type="dxa"/>
            <w:vAlign w:val="top"/>
            <w:textDirection w:val="lrTb"/>
            <w:noWrap w:val="false"/>
          </w:tcPr>
          <w:p>
            <w:pPr>
              <w:pStyle w:val="779"/>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四</w:t>
            </w:r>
            <w:r>
              <w:rPr>
                <w:rFonts w:hint="eastAsia" w:ascii="宋体" w:hAnsi="宋体" w:eastAsia="宋体" w:cs="宋体"/>
                <w:color w:val="000000"/>
                <w:sz w:val="24"/>
                <w:highlight w:val="none"/>
              </w:rPr>
            </w:r>
            <w:r/>
          </w:p>
        </w:tc>
        <w:tc>
          <w:tcPr>
            <w:tcMar>
              <w:left w:w="108" w:type="dxa"/>
              <w:top w:w="0" w:type="dxa"/>
              <w:right w:w="108" w:type="dxa"/>
              <w:bottom w:w="0" w:type="dxa"/>
            </w:tcMar>
            <w:tcW w:w="8169" w:type="dxa"/>
            <w:vAlign w:val="top"/>
            <w:textDirection w:val="lrTb"/>
            <w:noWrap w:val="false"/>
          </w:tcPr>
          <w:p>
            <w:pPr>
              <w:pStyle w:val="779"/>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开标</w:t>
            </w:r>
            <w:r>
              <w:rPr>
                <w:rFonts w:hint="eastAsia" w:ascii="宋体" w:hAnsi="宋体" w:eastAsia="宋体" w:cs="宋体"/>
                <w:color w:val="000000"/>
                <w:sz w:val="24"/>
                <w:highlight w:val="none"/>
              </w:rPr>
            </w:r>
            <w:r/>
          </w:p>
        </w:tc>
      </w:tr>
      <w:tr>
        <w:trPr>
          <w:trHeight w:val="90"/>
        </w:trPr>
        <w:tc>
          <w:tcPr>
            <w:tcMar>
              <w:left w:w="108" w:type="dxa"/>
              <w:top w:w="0" w:type="dxa"/>
              <w:right w:w="108" w:type="dxa"/>
              <w:bottom w:w="0" w:type="dxa"/>
            </w:tcMar>
            <w:tcW w:w="1615" w:type="dxa"/>
            <w:vAlign w:val="top"/>
            <w:textDirection w:val="lrTb"/>
            <w:noWrap w:val="false"/>
          </w:tcPr>
          <w:p>
            <w:pPr>
              <w:pStyle w:val="779"/>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（二十五）1</w:t>
            </w:r>
            <w:r>
              <w:rPr>
                <w:rFonts w:hint="eastAsia" w:ascii="宋体" w:hAnsi="宋体" w:eastAsia="宋体" w:cs="宋体"/>
                <w:color w:val="000000"/>
                <w:sz w:val="24"/>
                <w:highlight w:val="none"/>
              </w:rPr>
            </w:r>
            <w:r/>
          </w:p>
        </w:tc>
        <w:tc>
          <w:tcPr>
            <w:tcMar>
              <w:left w:w="108" w:type="dxa"/>
              <w:top w:w="0" w:type="dxa"/>
              <w:right w:w="108" w:type="dxa"/>
              <w:bottom w:w="0" w:type="dxa"/>
            </w:tcMar>
            <w:tcW w:w="8169" w:type="dxa"/>
            <w:vAlign w:val="center"/>
            <w:textDirection w:val="lrTb"/>
            <w:noWrap w:val="false"/>
          </w:tcPr>
          <w:p>
            <w:pPr>
              <w:pStyle w:val="779"/>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开标时间及地点：</w:t>
            </w:r>
            <w:r>
              <w:rPr>
                <w:rFonts w:hint="eastAsia" w:ascii="宋体" w:hAnsi="宋体" w:eastAsia="宋体" w:cs="宋体"/>
                <w:b/>
                <w:bCs/>
                <w:color w:val="000000"/>
                <w:sz w:val="24"/>
                <w:highlight w:val="none"/>
              </w:rPr>
            </w:r>
            <w:r/>
          </w:p>
          <w:p>
            <w:pPr>
              <w:pStyle w:val="779"/>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1.开标时间：</w:t>
            </w:r>
            <w:r>
              <w:rPr>
                <w:rFonts w:hint="eastAsia" w:ascii="宋体" w:hAnsi="宋体" w:eastAsia="宋体" w:cs="宋体"/>
                <w:b/>
                <w:color w:val="000000"/>
                <w:sz w:val="24"/>
                <w:highlight w:val="none"/>
                <w:lang w:eastAsia="zh-CN"/>
              </w:rPr>
              <w:t xml:space="preserve">2026年</w:t>
            </w:r>
            <w:r>
              <w:rPr>
                <w:rFonts w:hint="eastAsia" w:ascii="宋体" w:hAnsi="宋体" w:eastAsia="宋体" w:cs="宋体"/>
                <w:b/>
                <w:color w:val="000000"/>
                <w:sz w:val="24"/>
                <w:highlight w:val="none"/>
                <w:lang w:val="en-US" w:eastAsia="zh-CN"/>
              </w:rPr>
              <w:t xml:space="preserve">11</w:t>
            </w:r>
            <w:r>
              <w:rPr>
                <w:rFonts w:hint="eastAsia" w:ascii="宋体" w:hAnsi="宋体" w:eastAsia="宋体" w:cs="宋体"/>
                <w:b/>
                <w:color w:val="000000"/>
                <w:sz w:val="24"/>
                <w:highlight w:val="none"/>
                <w:lang w:eastAsia="zh-CN"/>
              </w:rPr>
              <w:t xml:space="preserve">月</w:t>
            </w:r>
            <w:r>
              <w:rPr>
                <w:rFonts w:hint="eastAsia" w:ascii="宋体" w:hAnsi="宋体" w:eastAsia="宋体" w:cs="宋体"/>
                <w:b/>
                <w:color w:val="000000"/>
                <w:sz w:val="24"/>
                <w:highlight w:val="none"/>
                <w:lang w:val="en-US" w:eastAsia="zh-CN"/>
              </w:rPr>
              <w:t xml:space="preserve">18</w:t>
            </w:r>
            <w:r>
              <w:rPr>
                <w:rFonts w:hint="eastAsia" w:ascii="宋体" w:hAnsi="宋体" w:eastAsia="宋体" w:cs="宋体"/>
                <w:b/>
                <w:color w:val="000000"/>
                <w:sz w:val="24"/>
                <w:highlight w:val="none"/>
              </w:rPr>
              <w:t xml:space="preserve">日</w:t>
            </w:r>
            <w:r>
              <w:rPr>
                <w:rFonts w:hint="eastAsia" w:ascii="宋体" w:hAnsi="宋体" w:eastAsia="宋体" w:cs="宋体"/>
                <w:b/>
                <w:color w:val="000000"/>
                <w:sz w:val="24"/>
                <w:highlight w:val="none"/>
              </w:rPr>
              <w:t xml:space="preserve">09：30（北京时间）</w:t>
            </w:r>
            <w:r>
              <w:rPr>
                <w:rFonts w:hint="eastAsia" w:ascii="宋体" w:hAnsi="宋体" w:eastAsia="宋体" w:cs="宋体"/>
                <w:color w:val="000000"/>
                <w:sz w:val="24"/>
                <w:highlight w:val="none"/>
              </w:rPr>
            </w:r>
            <w:r/>
          </w:p>
          <w:p>
            <w:pPr>
              <w:pStyle w:val="779"/>
              <w:jc w:val="left"/>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2.开标地点：</w:t>
            </w:r>
            <w:r>
              <w:rPr>
                <w:rFonts w:hint="eastAsia" w:ascii="宋体" w:hAnsi="宋体" w:eastAsia="宋体" w:cs="宋体"/>
                <w:color w:val="000000"/>
                <w:sz w:val="24"/>
                <w:highlight w:val="none"/>
              </w:rPr>
              <w:t xml:space="preserve">“苏采云”系统（网址：http://jszfcg.jsczt.cn/）“开标大厅”或进入徐州政府采购网（网址：https://czj.xz.gov.cn/zfcg/index.html）--办事指南--供应商--供应商登录入口，点击“苏采云”进入系统“开标大厅”。</w:t>
            </w:r>
            <w:r>
              <w:rPr>
                <w:rFonts w:hint="eastAsia" w:ascii="宋体" w:hAnsi="宋体" w:eastAsia="宋体" w:cs="宋体"/>
                <w:color w:val="000000"/>
                <w:sz w:val="24"/>
                <w:highlight w:val="none"/>
              </w:rPr>
            </w:r>
            <w:r/>
          </w:p>
        </w:tc>
      </w:tr>
      <w:tr>
        <w:trPr>
          <w:trHeight w:val="540"/>
        </w:trPr>
        <w:tc>
          <w:tcPr>
            <w:tcMar>
              <w:left w:w="108" w:type="dxa"/>
              <w:top w:w="0" w:type="dxa"/>
              <w:right w:w="108" w:type="dxa"/>
              <w:bottom w:w="0" w:type="dxa"/>
            </w:tcMar>
            <w:tcW w:w="1615" w:type="dxa"/>
            <w:vAlign w:val="top"/>
            <w:textDirection w:val="lrTb"/>
            <w:noWrap w:val="false"/>
          </w:tcPr>
          <w:p>
            <w:pPr>
              <w:pStyle w:val="779"/>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（二十五）1</w:t>
            </w:r>
            <w:r>
              <w:rPr>
                <w:rFonts w:hint="eastAsia" w:ascii="宋体" w:hAnsi="宋体" w:eastAsia="宋体" w:cs="宋体"/>
                <w:color w:val="000000"/>
                <w:sz w:val="24"/>
                <w:highlight w:val="none"/>
              </w:rPr>
            </w:r>
            <w:r/>
          </w:p>
        </w:tc>
        <w:tc>
          <w:tcPr>
            <w:tcMar>
              <w:left w:w="108" w:type="dxa"/>
              <w:top w:w="0" w:type="dxa"/>
              <w:right w:w="108" w:type="dxa"/>
              <w:bottom w:w="0" w:type="dxa"/>
            </w:tcMar>
            <w:tcW w:w="8169" w:type="dxa"/>
            <w:vAlign w:val="center"/>
            <w:textDirection w:val="lrTb"/>
            <w:noWrap w:val="false"/>
          </w:tcPr>
          <w:p>
            <w:pPr>
              <w:pStyle w:val="779"/>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招标文件规定的需要宣布的内容：投标人名称、投标价格。</w:t>
            </w:r>
            <w:r>
              <w:rPr>
                <w:rFonts w:hint="eastAsia" w:ascii="宋体" w:hAnsi="宋体" w:eastAsia="宋体" w:cs="宋体"/>
                <w:color w:val="000000"/>
                <w:sz w:val="24"/>
                <w:highlight w:val="none"/>
              </w:rPr>
            </w:r>
            <w:r/>
          </w:p>
        </w:tc>
      </w:tr>
      <w:tr>
        <w:trPr/>
        <w:tc>
          <w:tcPr>
            <w:tcMar>
              <w:left w:w="108" w:type="dxa"/>
              <w:top w:w="0" w:type="dxa"/>
              <w:right w:w="108" w:type="dxa"/>
              <w:bottom w:w="0" w:type="dxa"/>
            </w:tcMar>
            <w:tcW w:w="1615" w:type="dxa"/>
            <w:vAlign w:val="top"/>
            <w:textDirection w:val="lrTb"/>
            <w:noWrap w:val="false"/>
          </w:tcPr>
          <w:p>
            <w:pPr>
              <w:pStyle w:val="779"/>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五</w:t>
            </w:r>
            <w:r>
              <w:rPr>
                <w:rFonts w:hint="eastAsia" w:ascii="宋体" w:hAnsi="宋体" w:eastAsia="宋体" w:cs="宋体"/>
                <w:color w:val="000000"/>
                <w:sz w:val="24"/>
                <w:highlight w:val="none"/>
              </w:rPr>
            </w:r>
            <w:r/>
          </w:p>
        </w:tc>
        <w:tc>
          <w:tcPr>
            <w:tcMar>
              <w:left w:w="108" w:type="dxa"/>
              <w:top w:w="0" w:type="dxa"/>
              <w:right w:w="108" w:type="dxa"/>
              <w:bottom w:w="0" w:type="dxa"/>
            </w:tcMar>
            <w:tcW w:w="8169" w:type="dxa"/>
            <w:vAlign w:val="top"/>
            <w:textDirection w:val="lrTb"/>
            <w:noWrap w:val="false"/>
          </w:tcPr>
          <w:p>
            <w:pPr>
              <w:pStyle w:val="779"/>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评标</w:t>
            </w:r>
            <w:r>
              <w:rPr>
                <w:rFonts w:hint="eastAsia" w:ascii="宋体" w:hAnsi="宋体" w:eastAsia="宋体" w:cs="宋体"/>
                <w:color w:val="000000"/>
                <w:sz w:val="24"/>
                <w:highlight w:val="none"/>
              </w:rPr>
            </w:r>
            <w:r/>
          </w:p>
        </w:tc>
      </w:tr>
      <w:tr>
        <w:trPr>
          <w:trHeight w:val="220"/>
        </w:trPr>
        <w:tc>
          <w:tcPr>
            <w:tcMar>
              <w:left w:w="108" w:type="dxa"/>
              <w:top w:w="0" w:type="dxa"/>
              <w:right w:w="108" w:type="dxa"/>
              <w:bottom w:w="0" w:type="dxa"/>
            </w:tcMar>
            <w:tcW w:w="1615" w:type="dxa"/>
            <w:vAlign w:val="top"/>
            <w:textDirection w:val="lrTb"/>
            <w:noWrap w:val="false"/>
          </w:tcPr>
          <w:p>
            <w:pPr>
              <w:pStyle w:val="779"/>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（二十七）</w:t>
            </w:r>
            <w:r>
              <w:rPr>
                <w:rFonts w:hint="eastAsia" w:ascii="宋体" w:hAnsi="宋体" w:eastAsia="宋体" w:cs="宋体"/>
                <w:color w:val="000000"/>
                <w:sz w:val="24"/>
                <w:highlight w:val="none"/>
              </w:rPr>
            </w:r>
            <w:r/>
          </w:p>
        </w:tc>
        <w:tc>
          <w:tcPr>
            <w:tcMar>
              <w:left w:w="108" w:type="dxa"/>
              <w:top w:w="0" w:type="dxa"/>
              <w:right w:w="108" w:type="dxa"/>
              <w:bottom w:w="0" w:type="dxa"/>
            </w:tcMar>
            <w:tcW w:w="8169" w:type="dxa"/>
            <w:vAlign w:val="top"/>
            <w:textDirection w:val="lrTb"/>
            <w:noWrap w:val="false"/>
          </w:tcPr>
          <w:p>
            <w:pPr>
              <w:pStyle w:val="779"/>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采用综合评分法。</w:t>
            </w:r>
            <w:r>
              <w:rPr>
                <w:rFonts w:hint="eastAsia" w:ascii="宋体" w:hAnsi="宋体" w:eastAsia="宋体" w:cs="宋体"/>
                <w:color w:val="000000"/>
                <w:sz w:val="24"/>
                <w:highlight w:val="none"/>
              </w:rPr>
            </w:r>
            <w:r/>
          </w:p>
        </w:tc>
      </w:tr>
      <w:tr>
        <w:trPr>
          <w:trHeight w:val="2621"/>
        </w:trPr>
        <w:tc>
          <w:tcPr>
            <w:tcMar>
              <w:left w:w="108" w:type="dxa"/>
              <w:top w:w="0" w:type="dxa"/>
              <w:right w:w="108" w:type="dxa"/>
              <w:bottom w:w="0" w:type="dxa"/>
            </w:tcMar>
            <w:tcW w:w="1615" w:type="dxa"/>
            <w:vAlign w:val="top"/>
            <w:textDirection w:val="lrTb"/>
            <w:noWrap w:val="false"/>
          </w:tcPr>
          <w:p>
            <w:pPr>
              <w:pStyle w:val="779"/>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（二十八）</w:t>
            </w:r>
            <w:r>
              <w:rPr>
                <w:rFonts w:hint="eastAsia" w:ascii="宋体" w:hAnsi="宋体" w:eastAsia="宋体" w:cs="宋体"/>
                <w:color w:val="000000"/>
                <w:sz w:val="24"/>
                <w:highlight w:val="none"/>
              </w:rPr>
            </w:r>
            <w:r/>
          </w:p>
        </w:tc>
        <w:tc>
          <w:tcPr>
            <w:tcMar>
              <w:left w:w="108" w:type="dxa"/>
              <w:top w:w="0" w:type="dxa"/>
              <w:right w:w="108" w:type="dxa"/>
              <w:bottom w:w="0" w:type="dxa"/>
            </w:tcMar>
            <w:tcW w:w="8169" w:type="dxa"/>
            <w:vAlign w:val="top"/>
            <w:textDirection w:val="lrTb"/>
            <w:noWrap w:val="false"/>
          </w:tcPr>
          <w:p>
            <w:pPr>
              <w:pStyle w:val="779"/>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一、评标委员会推荐中标候选投标人数量为3名。中标候选供应商数量应当根据采购需要确定，但必须按顺序排列中标候选供应商。</w:t>
            </w:r>
            <w:r>
              <w:rPr>
                <w:rFonts w:hint="eastAsia" w:ascii="宋体" w:hAnsi="宋体" w:eastAsia="宋体" w:cs="宋体"/>
                <w:color w:val="000000"/>
                <w:sz w:val="24"/>
                <w:highlight w:val="none"/>
              </w:rPr>
            </w:r>
            <w:r/>
          </w:p>
          <w:p>
            <w:pPr>
              <w:pStyle w:val="779"/>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二、采用综合评分法的，按评审后得分由高到低顺序排列。得分相同的，按投标报价由低到高顺序排列。得分且投标报价相同的，按项目项目实施方案得分由高到低顺序排列。</w:t>
            </w:r>
            <w:r>
              <w:rPr>
                <w:rFonts w:hint="eastAsia" w:ascii="宋体" w:hAnsi="宋体" w:eastAsia="宋体" w:cs="宋体"/>
                <w:color w:val="000000"/>
                <w:sz w:val="24"/>
                <w:highlight w:val="none"/>
              </w:rPr>
            </w:r>
            <w:r/>
          </w:p>
          <w:p>
            <w:pPr>
              <w:pStyle w:val="779"/>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三、采购人应当自收到评标报告之日起５个工作日内，在评标报告确定的中标候选人名单中按得分最高顺序确定一名中标人。</w:t>
            </w:r>
            <w:r>
              <w:rPr>
                <w:rFonts w:hint="eastAsia" w:ascii="宋体" w:hAnsi="宋体" w:eastAsia="宋体" w:cs="宋体"/>
                <w:color w:val="000000"/>
                <w:sz w:val="24"/>
                <w:highlight w:val="none"/>
              </w:rPr>
            </w:r>
            <w:r/>
          </w:p>
        </w:tc>
      </w:tr>
      <w:tr>
        <w:trPr>
          <w:trHeight w:val="295"/>
        </w:trPr>
        <w:tc>
          <w:tcPr>
            <w:tcMar>
              <w:left w:w="108" w:type="dxa"/>
              <w:top w:w="0" w:type="dxa"/>
              <w:right w:w="108" w:type="dxa"/>
              <w:bottom w:w="0" w:type="dxa"/>
            </w:tcMar>
            <w:tcW w:w="1615" w:type="dxa"/>
            <w:vAlign w:val="top"/>
            <w:textDirection w:val="lrTb"/>
            <w:noWrap w:val="false"/>
          </w:tcPr>
          <w:p>
            <w:pPr>
              <w:pStyle w:val="779"/>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二十九</w:t>
            </w:r>
            <w:r>
              <w:rPr>
                <w:rFonts w:hint="eastAsia" w:ascii="宋体" w:hAnsi="宋体" w:eastAsia="宋体" w:cs="宋体"/>
                <w:color w:val="000000"/>
                <w:sz w:val="24"/>
                <w:highlight w:val="none"/>
              </w:rPr>
            </w:r>
            <w:r/>
          </w:p>
        </w:tc>
        <w:tc>
          <w:tcPr>
            <w:tcMar>
              <w:left w:w="108" w:type="dxa"/>
              <w:top w:w="0" w:type="dxa"/>
              <w:right w:w="108" w:type="dxa"/>
              <w:bottom w:w="0" w:type="dxa"/>
            </w:tcMar>
            <w:tcW w:w="8169" w:type="dxa"/>
            <w:vAlign w:val="top"/>
            <w:textDirection w:val="lrTb"/>
            <w:noWrap w:val="false"/>
          </w:tcPr>
          <w:p>
            <w:pPr>
              <w:pStyle w:val="779"/>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1.评标中需要投标人对投标文件澄清或者说明的，应当通过“苏采云”系统交换数据电文。在评标期间，请投标人保持在线。</w:t>
            </w:r>
            <w:r>
              <w:rPr>
                <w:rFonts w:hint="eastAsia" w:ascii="宋体" w:hAnsi="宋体" w:eastAsia="宋体" w:cs="宋体"/>
                <w:color w:val="000000"/>
                <w:sz w:val="24"/>
                <w:highlight w:val="none"/>
              </w:rPr>
            </w:r>
            <w:r/>
          </w:p>
          <w:p>
            <w:pPr>
              <w:pStyle w:val="779"/>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宋体" w:hAnsi="宋体" w:eastAsia="宋体" w:cs="宋体"/>
                <w:color w:val="000000"/>
                <w:sz w:val="24"/>
                <w:highlight w:val="none"/>
              </w:rPr>
            </w:r>
            <w:r/>
          </w:p>
          <w:p>
            <w:pPr>
              <w:pStyle w:val="779"/>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宋体" w:hAnsi="宋体" w:eastAsia="宋体" w:cs="宋体"/>
                <w:color w:val="000000"/>
                <w:sz w:val="24"/>
                <w:highlight w:val="none"/>
              </w:rPr>
            </w:r>
            <w:r/>
          </w:p>
          <w:p>
            <w:pPr>
              <w:pStyle w:val="779"/>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eastAsia="宋体" w:cs="宋体"/>
                <w:color w:val="000000"/>
                <w:sz w:val="24"/>
                <w:highlight w:val="none"/>
              </w:rPr>
            </w:r>
            <w:r/>
          </w:p>
        </w:tc>
      </w:tr>
      <w:tr>
        <w:trPr>
          <w:trHeight w:val="242"/>
        </w:trPr>
        <w:tc>
          <w:tcPr>
            <w:tcMar>
              <w:left w:w="108" w:type="dxa"/>
              <w:top w:w="0" w:type="dxa"/>
              <w:right w:w="108" w:type="dxa"/>
              <w:bottom w:w="0" w:type="dxa"/>
            </w:tcMar>
            <w:tcW w:w="1615" w:type="dxa"/>
            <w:vAlign w:val="top"/>
            <w:textDirection w:val="lrTb"/>
            <w:noWrap w:val="false"/>
          </w:tcPr>
          <w:p>
            <w:pPr>
              <w:pStyle w:val="779"/>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(三十)</w:t>
            </w:r>
            <w:r>
              <w:rPr>
                <w:rFonts w:hint="eastAsia" w:ascii="宋体" w:hAnsi="宋体" w:eastAsia="宋体" w:cs="宋体"/>
                <w:color w:val="000000"/>
                <w:sz w:val="24"/>
                <w:highlight w:val="none"/>
              </w:rPr>
            </w:r>
            <w:r/>
          </w:p>
        </w:tc>
        <w:tc>
          <w:tcPr>
            <w:tcMar>
              <w:left w:w="108" w:type="dxa"/>
              <w:top w:w="0" w:type="dxa"/>
              <w:right w:w="108" w:type="dxa"/>
              <w:bottom w:w="0" w:type="dxa"/>
            </w:tcMar>
            <w:tcW w:w="8169" w:type="dxa"/>
            <w:vAlign w:val="top"/>
            <w:textDirection w:val="lrTb"/>
            <w:noWrap w:val="false"/>
          </w:tcPr>
          <w:p>
            <w:pPr>
              <w:pStyle w:val="779"/>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具体以《关于推动解决政府采购异常低价问题的通知》（财库〔2026〕2号）规定为准。</w:t>
            </w:r>
            <w:r>
              <w:rPr>
                <w:rFonts w:hint="eastAsia" w:ascii="宋体" w:hAnsi="宋体" w:eastAsia="宋体" w:cs="宋体"/>
                <w:color w:val="000000"/>
                <w:sz w:val="24"/>
                <w:highlight w:val="none"/>
              </w:rPr>
            </w:r>
            <w:r/>
          </w:p>
          <w:p>
            <w:pPr>
              <w:pStyle w:val="779"/>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特别说明：“苏采云”系统通过“江苏省政府采购一体化不见面开标大厅”提醒投标人，投标人自行查看。投标人未及时查看或因自身原因导致未收到信息的，责任自负。</w:t>
            </w:r>
            <w:r>
              <w:rPr>
                <w:rFonts w:hint="eastAsia" w:ascii="宋体" w:hAnsi="宋体" w:eastAsia="宋体" w:cs="宋体"/>
                <w:color w:val="000000"/>
                <w:sz w:val="24"/>
                <w:highlight w:val="none"/>
              </w:rPr>
            </w:r>
            <w:r/>
          </w:p>
        </w:tc>
      </w:tr>
      <w:tr>
        <w:trPr>
          <w:trHeight w:val="242"/>
        </w:trPr>
        <w:tc>
          <w:tcPr>
            <w:tcMar>
              <w:left w:w="108" w:type="dxa"/>
              <w:top w:w="0" w:type="dxa"/>
              <w:right w:w="108" w:type="dxa"/>
              <w:bottom w:w="0" w:type="dxa"/>
            </w:tcMar>
            <w:tcW w:w="1615" w:type="dxa"/>
            <w:vAlign w:val="top"/>
            <w:textDirection w:val="lrTb"/>
            <w:noWrap w:val="false"/>
          </w:tcPr>
          <w:p>
            <w:pPr>
              <w:pStyle w:val="779"/>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七</w:t>
            </w:r>
            <w:r>
              <w:rPr>
                <w:rFonts w:hint="eastAsia" w:ascii="宋体" w:hAnsi="宋体" w:eastAsia="宋体" w:cs="宋体"/>
                <w:color w:val="000000"/>
                <w:sz w:val="24"/>
                <w:highlight w:val="none"/>
              </w:rPr>
            </w:r>
            <w:r/>
          </w:p>
        </w:tc>
        <w:tc>
          <w:tcPr>
            <w:tcMar>
              <w:left w:w="108" w:type="dxa"/>
              <w:top w:w="0" w:type="dxa"/>
              <w:right w:w="108" w:type="dxa"/>
              <w:bottom w:w="0" w:type="dxa"/>
            </w:tcMar>
            <w:tcW w:w="8169" w:type="dxa"/>
            <w:vAlign w:val="top"/>
            <w:textDirection w:val="lrTb"/>
            <w:noWrap w:val="false"/>
          </w:tcPr>
          <w:p>
            <w:pPr>
              <w:pStyle w:val="779"/>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政府采购合同</w:t>
            </w:r>
            <w:r>
              <w:rPr>
                <w:rFonts w:hint="eastAsia" w:ascii="宋体" w:hAnsi="宋体" w:eastAsia="宋体" w:cs="宋体"/>
                <w:color w:val="000000"/>
                <w:sz w:val="24"/>
                <w:highlight w:val="none"/>
              </w:rPr>
            </w:r>
            <w:r/>
          </w:p>
        </w:tc>
      </w:tr>
      <w:tr>
        <w:trPr/>
        <w:tc>
          <w:tcPr>
            <w:tcMar>
              <w:left w:w="108" w:type="dxa"/>
              <w:top w:w="0" w:type="dxa"/>
              <w:right w:w="108" w:type="dxa"/>
              <w:bottom w:w="0" w:type="dxa"/>
            </w:tcMar>
            <w:tcW w:w="1615" w:type="dxa"/>
            <w:vAlign w:val="top"/>
            <w:textDirection w:val="lrTb"/>
            <w:noWrap w:val="false"/>
          </w:tcPr>
          <w:p>
            <w:pPr>
              <w:pStyle w:val="779"/>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（三十六）</w:t>
            </w:r>
            <w:r>
              <w:rPr>
                <w:rFonts w:hint="eastAsia" w:ascii="宋体" w:hAnsi="宋体" w:eastAsia="宋体" w:cs="宋体"/>
                <w:color w:val="000000"/>
                <w:sz w:val="24"/>
                <w:highlight w:val="none"/>
              </w:rPr>
            </w:r>
            <w:r/>
          </w:p>
        </w:tc>
        <w:tc>
          <w:tcPr>
            <w:tcMar>
              <w:left w:w="108" w:type="dxa"/>
              <w:top w:w="0" w:type="dxa"/>
              <w:right w:w="108" w:type="dxa"/>
              <w:bottom w:w="0" w:type="dxa"/>
            </w:tcMar>
            <w:tcW w:w="8169" w:type="dxa"/>
            <w:vAlign w:val="center"/>
            <w:textDirection w:val="lrTb"/>
            <w:noWrap w:val="false"/>
          </w:tcPr>
          <w:p>
            <w:pPr>
              <w:pStyle w:val="779"/>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采购人与中标，成交供应商应当在中标，成交通知书发出之日起30日内，按照采购文件确定的事项签订政府采购合同。</w:t>
            </w:r>
            <w:r>
              <w:rPr>
                <w:rFonts w:hint="eastAsia" w:ascii="宋体" w:hAnsi="宋体" w:eastAsia="宋体" w:cs="宋体"/>
                <w:color w:val="000000"/>
                <w:sz w:val="24"/>
                <w:highlight w:val="none"/>
              </w:rPr>
            </w:r>
            <w:r/>
          </w:p>
        </w:tc>
      </w:tr>
      <w:tr>
        <w:trPr/>
        <w:tc>
          <w:tcPr>
            <w:tcMar>
              <w:left w:w="108" w:type="dxa"/>
              <w:top w:w="0" w:type="dxa"/>
              <w:right w:w="108" w:type="dxa"/>
              <w:bottom w:w="0" w:type="dxa"/>
            </w:tcMar>
            <w:tcW w:w="1615" w:type="dxa"/>
            <w:vAlign w:val="top"/>
            <w:textDirection w:val="lrTb"/>
            <w:noWrap w:val="false"/>
          </w:tcPr>
          <w:p>
            <w:pPr>
              <w:pStyle w:val="779"/>
              <w:jc w:val="center"/>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（三十八）</w:t>
            </w:r>
            <w:r>
              <w:rPr>
                <w:rFonts w:hint="eastAsia" w:ascii="宋体" w:hAnsi="宋体" w:eastAsia="宋体" w:cs="宋体"/>
                <w:b/>
                <w:bCs/>
                <w:color w:val="000000"/>
                <w:sz w:val="24"/>
                <w:highlight w:val="none"/>
              </w:rPr>
            </w:r>
            <w:r/>
          </w:p>
        </w:tc>
        <w:tc>
          <w:tcPr>
            <w:tcMar>
              <w:left w:w="108" w:type="dxa"/>
              <w:top w:w="0" w:type="dxa"/>
              <w:right w:w="108" w:type="dxa"/>
              <w:bottom w:w="0" w:type="dxa"/>
            </w:tcMar>
            <w:tcW w:w="8169" w:type="dxa"/>
            <w:vAlign w:val="center"/>
            <w:textDirection w:val="lrTb"/>
            <w:noWrap w:val="false"/>
          </w:tcPr>
          <w:p>
            <w:pPr>
              <w:pStyle w:val="779"/>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履约保证金：</w:t>
            </w:r>
            <w:r>
              <w:rPr>
                <w:rFonts w:hint="eastAsia" w:ascii="宋体" w:hAnsi="宋体" w:eastAsia="宋体" w:cs="宋体"/>
                <w:color w:val="000000"/>
                <w:sz w:val="24"/>
                <w:highlight w:val="none"/>
              </w:rPr>
              <w:t xml:space="preserve">合同</w:t>
            </w:r>
            <w:r>
              <w:rPr>
                <w:rFonts w:hint="eastAsia" w:ascii="宋体" w:hAnsi="宋体" w:eastAsia="宋体" w:cs="宋体"/>
                <w:color w:val="000000"/>
                <w:sz w:val="24"/>
                <w:highlight w:val="none"/>
                <w:lang w:val="en-US" w:eastAsia="zh-CN"/>
              </w:rPr>
              <w:t xml:space="preserve">价款的</w:t>
            </w:r>
            <w:r>
              <w:rPr>
                <w:rFonts w:hint="eastAsia" w:ascii="宋体" w:hAnsi="宋体" w:eastAsia="宋体" w:cs="宋体"/>
                <w:color w:val="000000"/>
                <w:sz w:val="24"/>
                <w:highlight w:val="none"/>
              </w:rPr>
              <w:t xml:space="preserve">10%，具体要求详见合同内容。</w:t>
            </w:r>
            <w:r>
              <w:rPr>
                <w:rFonts w:hint="eastAsia" w:ascii="宋体" w:hAnsi="宋体" w:eastAsia="宋体" w:cs="宋体"/>
                <w:color w:val="000000"/>
                <w:sz w:val="24"/>
                <w:highlight w:val="none"/>
              </w:rPr>
            </w:r>
            <w:r/>
          </w:p>
        </w:tc>
      </w:tr>
      <w:tr>
        <w:trPr>
          <w:trHeight w:val="2053"/>
        </w:trPr>
        <w:tc>
          <w:tcPr>
            <w:tcMar>
              <w:left w:w="108" w:type="dxa"/>
              <w:top w:w="0" w:type="dxa"/>
              <w:right w:w="108" w:type="dxa"/>
              <w:bottom w:w="0" w:type="dxa"/>
            </w:tcMar>
            <w:tcW w:w="1615" w:type="dxa"/>
            <w:vAlign w:val="top"/>
            <w:textDirection w:val="lrTb"/>
            <w:noWrap w:val="false"/>
          </w:tcPr>
          <w:p>
            <w:pPr>
              <w:pStyle w:val="779"/>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（四十）</w:t>
            </w:r>
            <w:r>
              <w:rPr>
                <w:rFonts w:hint="eastAsia" w:ascii="宋体" w:hAnsi="宋体" w:eastAsia="宋体" w:cs="宋体"/>
                <w:color w:val="000000"/>
                <w:sz w:val="24"/>
                <w:highlight w:val="none"/>
              </w:rPr>
            </w:r>
            <w:r/>
          </w:p>
        </w:tc>
        <w:tc>
          <w:tcPr>
            <w:tcMar>
              <w:left w:w="108" w:type="dxa"/>
              <w:top w:w="0" w:type="dxa"/>
              <w:right w:w="108" w:type="dxa"/>
              <w:bottom w:w="0" w:type="dxa"/>
            </w:tcMar>
            <w:tcW w:w="8169" w:type="dxa"/>
            <w:vAlign w:val="top"/>
            <w:textDirection w:val="lrTb"/>
            <w:noWrap w:val="false"/>
          </w:tcPr>
          <w:p>
            <w:pPr>
              <w:pStyle w:val="779"/>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对政府采购活动事项有疑问的，可以向采购人或采购代理机构提出询问；供应商认为采购文件、采购过程和中标、成交结果使自己的权益受到损害的，可以在知道或者应知其权益受到损害之日起七个工作日内，以书面形式向采购人或采购代理机构提出质疑。询问和质疑由采购人或采购代理机构依法处理。供应商对同一采购程序环节的质疑应在质疑期内一次性提出。</w:t>
            </w:r>
            <w:r>
              <w:rPr>
                <w:rFonts w:hint="eastAsia" w:ascii="宋体" w:hAnsi="宋体" w:eastAsia="宋体" w:cs="宋体"/>
                <w:color w:val="000000"/>
                <w:sz w:val="24"/>
                <w:highlight w:val="none"/>
              </w:rPr>
            </w:r>
            <w:r/>
          </w:p>
          <w:p>
            <w:pPr>
              <w:pStyle w:val="779"/>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质疑接收人：张娟      联系电话：0516-83906677</w:t>
            </w:r>
            <w:r>
              <w:rPr>
                <w:rFonts w:hint="eastAsia" w:ascii="宋体" w:hAnsi="宋体" w:eastAsia="宋体" w:cs="宋体"/>
                <w:color w:val="000000"/>
                <w:sz w:val="24"/>
                <w:highlight w:val="none"/>
              </w:rPr>
            </w:r>
            <w:r/>
          </w:p>
          <w:p>
            <w:pPr>
              <w:pStyle w:val="779"/>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地址：徐州市云龙区郭庄路世茂广场SOHO3号楼17楼</w:t>
            </w:r>
            <w:r>
              <w:rPr>
                <w:rFonts w:hint="eastAsia" w:ascii="宋体" w:hAnsi="宋体" w:eastAsia="宋体" w:cs="宋体"/>
                <w:color w:val="000000"/>
                <w:sz w:val="24"/>
                <w:highlight w:val="none"/>
              </w:rPr>
            </w:r>
            <w:r/>
          </w:p>
        </w:tc>
      </w:tr>
      <w:tr>
        <w:trPr>
          <w:trHeight w:val="594"/>
        </w:trPr>
        <w:tc>
          <w:tcPr>
            <w:tcMar>
              <w:left w:w="108" w:type="dxa"/>
              <w:top w:w="0" w:type="dxa"/>
              <w:right w:w="108" w:type="dxa"/>
              <w:bottom w:w="0" w:type="dxa"/>
            </w:tcMar>
            <w:tcW w:w="1615" w:type="dxa"/>
            <w:vAlign w:val="top"/>
            <w:textDirection w:val="lrTb"/>
            <w:noWrap w:val="false"/>
          </w:tcPr>
          <w:p>
            <w:pPr>
              <w:pStyle w:val="779"/>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附加说明</w:t>
            </w:r>
            <w:r>
              <w:rPr>
                <w:rFonts w:hint="eastAsia" w:ascii="宋体" w:hAnsi="宋体" w:eastAsia="宋体" w:cs="宋体"/>
                <w:color w:val="000000"/>
                <w:sz w:val="24"/>
                <w:highlight w:val="none"/>
              </w:rPr>
            </w:r>
            <w:r/>
          </w:p>
        </w:tc>
        <w:tc>
          <w:tcPr>
            <w:tcMar>
              <w:left w:w="108" w:type="dxa"/>
              <w:top w:w="0" w:type="dxa"/>
              <w:right w:w="108" w:type="dxa"/>
              <w:bottom w:w="0" w:type="dxa"/>
            </w:tcMar>
            <w:tcW w:w="8169" w:type="dxa"/>
            <w:vAlign w:val="top"/>
            <w:textDirection w:val="lrTb"/>
            <w:noWrap w:val="false"/>
          </w:tcPr>
          <w:p>
            <w:pPr>
              <w:pStyle w:val="779"/>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中标人在收到中标通知书时，须向采购代理机构提交投标文件的纸质标书3套，纸质标书的内容和苏采云上的电子投标文件内容一致。</w:t>
            </w:r>
            <w:r>
              <w:rPr>
                <w:rFonts w:hint="eastAsia" w:ascii="宋体" w:hAnsi="宋体" w:eastAsia="宋体" w:cs="宋体"/>
                <w:color w:val="000000"/>
                <w:sz w:val="24"/>
                <w:highlight w:val="none"/>
              </w:rPr>
            </w:r>
            <w:r/>
          </w:p>
        </w:tc>
      </w:tr>
    </w:tbl>
    <w:p>
      <w:pPr>
        <w:pStyle w:val="779"/>
        <w:ind w:firstLine="600"/>
        <w:spacing w:line="23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779"/>
        <w:ind w:firstLine="600"/>
        <w:spacing w:line="23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779"/>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74" w:right="1474" w:bottom="1474" w:left="1474" w:header="851" w:footer="992" w:gutter="0"/>
          <w:cols w:num="1" w:sep="0" w:space="1701" w:equalWidth="1"/>
          <w:docGrid w:linePitch="360"/>
        </w:sectPr>
      </w:pPr>
      <w:r>
        <w:rPr>
          <w:rFonts w:hint="eastAsia" w:ascii="宋体" w:hAnsi="宋体" w:eastAsia="宋体" w:cs="宋体"/>
          <w:color w:val="000000"/>
          <w:sz w:val="24"/>
          <w:highlight w:val="none"/>
        </w:rPr>
      </w:r>
      <w:r/>
    </w:p>
    <w:p>
      <w:pPr>
        <w:pStyle w:val="779"/>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本章附件：</w:t>
      </w:r>
      <w:r>
        <w:rPr>
          <w:rFonts w:hint="eastAsia" w:ascii="宋体" w:hAnsi="宋体" w:eastAsia="宋体" w:cs="宋体"/>
          <w:b/>
          <w:color w:val="000000"/>
          <w:sz w:val="24"/>
          <w:highlight w:val="none"/>
        </w:rPr>
        <w:t xml:space="preserve">招标代理服务收费标准</w:t>
      </w:r>
      <w:r>
        <w:rPr>
          <w:rFonts w:hint="eastAsia" w:ascii="宋体" w:hAnsi="宋体" w:eastAsia="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66"/>
        <w:gridCol w:w="2853"/>
      </w:tblGrid>
      <w:tr>
        <w:trPr>
          <w:trHeight w:val="567"/>
        </w:trPr>
        <w:tc>
          <w:tcPr>
            <w:tcW w:w="5266" w:type="dxa"/>
            <w:vAlign w:val="center"/>
            <w:textDirection w:val="lrTb"/>
            <w:noWrap w:val="false"/>
          </w:tcPr>
          <w:p>
            <w:pPr>
              <w:pStyle w:val="779"/>
              <w:jc w:val="center"/>
              <w:spacing w:line="4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中标或者成交金额</w:t>
            </w:r>
            <w:r>
              <w:rPr>
                <w:rFonts w:hint="eastAsia" w:ascii="宋体" w:hAnsi="宋体" w:eastAsia="宋体" w:cs="宋体"/>
                <w:b/>
                <w:bCs/>
                <w:color w:val="000000"/>
                <w:sz w:val="28"/>
                <w:szCs w:val="28"/>
                <w:highlight w:val="none"/>
              </w:rPr>
            </w:r>
            <w:r/>
          </w:p>
        </w:tc>
        <w:tc>
          <w:tcPr>
            <w:tcW w:w="2853" w:type="dxa"/>
            <w:vAlign w:val="center"/>
            <w:textDirection w:val="lrTb"/>
            <w:noWrap w:val="false"/>
          </w:tcPr>
          <w:p>
            <w:pPr>
              <w:pStyle w:val="779"/>
              <w:jc w:val="center"/>
              <w:spacing w:line="4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费率</w:t>
            </w:r>
            <w:r>
              <w:rPr>
                <w:rFonts w:hint="eastAsia" w:ascii="宋体" w:hAnsi="宋体" w:eastAsia="宋体" w:cs="宋体"/>
                <w:b/>
                <w:bCs/>
                <w:color w:val="000000"/>
                <w:sz w:val="28"/>
                <w:szCs w:val="28"/>
                <w:highlight w:val="none"/>
              </w:rPr>
            </w:r>
            <w:r/>
          </w:p>
        </w:tc>
      </w:tr>
      <w:tr>
        <w:trPr>
          <w:trHeight w:val="567"/>
        </w:trPr>
        <w:tc>
          <w:tcPr>
            <w:tcW w:w="5266" w:type="dxa"/>
            <w:vAlign w:val="center"/>
            <w:textDirection w:val="lrTb"/>
            <w:noWrap w:val="false"/>
          </w:tcPr>
          <w:p>
            <w:pPr>
              <w:pStyle w:val="779"/>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最低收费金额（每个委托项目）</w:t>
            </w:r>
            <w:r>
              <w:rPr>
                <w:rFonts w:hint="eastAsia" w:ascii="宋体" w:hAnsi="宋体" w:eastAsia="宋体" w:cs="宋体"/>
                <w:color w:val="000000"/>
                <w:sz w:val="24"/>
                <w:highlight w:val="none"/>
              </w:rPr>
            </w:r>
            <w:r/>
          </w:p>
        </w:tc>
        <w:tc>
          <w:tcPr>
            <w:tcW w:w="2853" w:type="dxa"/>
            <w:vAlign w:val="center"/>
            <w:textDirection w:val="lrTb"/>
            <w:noWrap w:val="false"/>
          </w:tcPr>
          <w:p>
            <w:pPr>
              <w:pStyle w:val="779"/>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5000元</w:t>
            </w:r>
            <w:r>
              <w:rPr>
                <w:rFonts w:hint="eastAsia" w:ascii="宋体" w:hAnsi="宋体" w:eastAsia="宋体" w:cs="宋体"/>
                <w:color w:val="000000"/>
                <w:sz w:val="24"/>
                <w:highlight w:val="none"/>
              </w:rPr>
            </w:r>
            <w:r/>
          </w:p>
        </w:tc>
      </w:tr>
      <w:tr>
        <w:trPr>
          <w:trHeight w:val="567"/>
        </w:trPr>
        <w:tc>
          <w:tcPr>
            <w:tcW w:w="5266" w:type="dxa"/>
            <w:vAlign w:val="center"/>
            <w:textDirection w:val="lrTb"/>
            <w:noWrap w:val="false"/>
          </w:tcPr>
          <w:p>
            <w:pPr>
              <w:pStyle w:val="779"/>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50万元以下（含50万元）</w:t>
            </w:r>
            <w:r>
              <w:rPr>
                <w:rFonts w:hint="eastAsia" w:ascii="宋体" w:hAnsi="宋体" w:eastAsia="宋体" w:cs="宋体"/>
                <w:color w:val="000000"/>
                <w:sz w:val="24"/>
                <w:highlight w:val="none"/>
              </w:rPr>
            </w:r>
            <w:r/>
          </w:p>
        </w:tc>
        <w:tc>
          <w:tcPr>
            <w:tcW w:w="2853" w:type="dxa"/>
            <w:vAlign w:val="center"/>
            <w:textDirection w:val="lrTb"/>
            <w:noWrap w:val="false"/>
          </w:tcPr>
          <w:p>
            <w:pPr>
              <w:pStyle w:val="779"/>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w:t>
            </w:r>
            <w:r>
              <w:rPr>
                <w:rFonts w:hint="eastAsia" w:ascii="宋体" w:hAnsi="宋体" w:eastAsia="宋体" w:cs="宋体"/>
                <w:color w:val="000000"/>
                <w:sz w:val="24"/>
                <w:highlight w:val="none"/>
              </w:rPr>
            </w:r>
            <w:r/>
          </w:p>
        </w:tc>
      </w:tr>
      <w:tr>
        <w:trPr>
          <w:trHeight w:val="567"/>
        </w:trPr>
        <w:tc>
          <w:tcPr>
            <w:tcW w:w="5266" w:type="dxa"/>
            <w:vAlign w:val="center"/>
            <w:textDirection w:val="lrTb"/>
            <w:noWrap w:val="false"/>
          </w:tcPr>
          <w:p>
            <w:pPr>
              <w:pStyle w:val="779"/>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50万-400万元（含400万元）</w:t>
            </w:r>
            <w:r>
              <w:rPr>
                <w:rFonts w:hint="eastAsia" w:ascii="宋体" w:hAnsi="宋体" w:eastAsia="宋体" w:cs="宋体"/>
                <w:color w:val="000000"/>
                <w:sz w:val="24"/>
                <w:highlight w:val="none"/>
              </w:rPr>
            </w:r>
            <w:r/>
          </w:p>
        </w:tc>
        <w:tc>
          <w:tcPr>
            <w:tcW w:w="2853" w:type="dxa"/>
            <w:vAlign w:val="center"/>
            <w:textDirection w:val="lrTb"/>
            <w:noWrap w:val="false"/>
          </w:tcPr>
          <w:p>
            <w:pPr>
              <w:pStyle w:val="779"/>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w:t>
            </w:r>
            <w:r>
              <w:rPr>
                <w:rFonts w:hint="eastAsia" w:ascii="宋体" w:hAnsi="宋体" w:eastAsia="宋体" w:cs="宋体"/>
                <w:color w:val="000000"/>
                <w:sz w:val="24"/>
                <w:highlight w:val="none"/>
              </w:rPr>
            </w:r>
            <w:r/>
          </w:p>
        </w:tc>
      </w:tr>
      <w:tr>
        <w:trPr>
          <w:trHeight w:val="567"/>
        </w:trPr>
        <w:tc>
          <w:tcPr>
            <w:tcW w:w="5266" w:type="dxa"/>
            <w:vAlign w:val="center"/>
            <w:textDirection w:val="lrTb"/>
            <w:noWrap w:val="false"/>
          </w:tcPr>
          <w:p>
            <w:pPr>
              <w:pStyle w:val="779"/>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400万-1000万元（含1000万元）</w:t>
            </w:r>
            <w:r>
              <w:rPr>
                <w:rFonts w:hint="eastAsia" w:ascii="宋体" w:hAnsi="宋体" w:eastAsia="宋体" w:cs="宋体"/>
                <w:color w:val="000000"/>
                <w:sz w:val="24"/>
                <w:highlight w:val="none"/>
              </w:rPr>
            </w:r>
            <w:r/>
          </w:p>
        </w:tc>
        <w:tc>
          <w:tcPr>
            <w:tcW w:w="2853" w:type="dxa"/>
            <w:vAlign w:val="center"/>
            <w:textDirection w:val="lrTb"/>
            <w:noWrap w:val="false"/>
          </w:tcPr>
          <w:p>
            <w:pPr>
              <w:pStyle w:val="779"/>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w:t>
            </w:r>
            <w:r>
              <w:rPr>
                <w:rFonts w:hint="eastAsia" w:ascii="宋体" w:hAnsi="宋体" w:eastAsia="宋体" w:cs="宋体"/>
                <w:color w:val="000000"/>
                <w:sz w:val="24"/>
                <w:highlight w:val="none"/>
              </w:rPr>
            </w:r>
            <w:r/>
          </w:p>
        </w:tc>
      </w:tr>
      <w:tr>
        <w:trPr>
          <w:trHeight w:val="567"/>
        </w:trPr>
        <w:tc>
          <w:tcPr>
            <w:tcW w:w="5266" w:type="dxa"/>
            <w:vAlign w:val="center"/>
            <w:textDirection w:val="lrTb"/>
            <w:noWrap w:val="false"/>
          </w:tcPr>
          <w:p>
            <w:pPr>
              <w:pStyle w:val="779"/>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1000万-5000万元（含5000万元）</w:t>
            </w:r>
            <w:r>
              <w:rPr>
                <w:rFonts w:hint="eastAsia" w:ascii="宋体" w:hAnsi="宋体" w:eastAsia="宋体" w:cs="宋体"/>
                <w:color w:val="000000"/>
                <w:sz w:val="24"/>
                <w:highlight w:val="none"/>
              </w:rPr>
            </w:r>
            <w:r/>
          </w:p>
        </w:tc>
        <w:tc>
          <w:tcPr>
            <w:tcW w:w="2853" w:type="dxa"/>
            <w:vAlign w:val="center"/>
            <w:textDirection w:val="lrTb"/>
            <w:noWrap w:val="false"/>
          </w:tcPr>
          <w:p>
            <w:pPr>
              <w:pStyle w:val="779"/>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0.8%</w:t>
            </w:r>
            <w:r>
              <w:rPr>
                <w:rFonts w:hint="eastAsia" w:ascii="宋体" w:hAnsi="宋体" w:eastAsia="宋体" w:cs="宋体"/>
                <w:color w:val="000000"/>
                <w:sz w:val="24"/>
                <w:highlight w:val="none"/>
              </w:rPr>
            </w:r>
            <w:r/>
          </w:p>
        </w:tc>
      </w:tr>
      <w:tr>
        <w:trPr>
          <w:trHeight w:val="567"/>
        </w:trPr>
        <w:tc>
          <w:tcPr>
            <w:tcW w:w="5266" w:type="dxa"/>
            <w:vAlign w:val="center"/>
            <w:textDirection w:val="lrTb"/>
            <w:noWrap w:val="false"/>
          </w:tcPr>
          <w:p>
            <w:pPr>
              <w:pStyle w:val="779"/>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5000万-1亿元（含1亿元）</w:t>
            </w:r>
            <w:r>
              <w:rPr>
                <w:rFonts w:hint="eastAsia" w:ascii="宋体" w:hAnsi="宋体" w:eastAsia="宋体" w:cs="宋体"/>
                <w:color w:val="000000"/>
                <w:sz w:val="24"/>
                <w:highlight w:val="none"/>
              </w:rPr>
            </w:r>
            <w:r/>
          </w:p>
        </w:tc>
        <w:tc>
          <w:tcPr>
            <w:tcW w:w="2853" w:type="dxa"/>
            <w:vAlign w:val="center"/>
            <w:textDirection w:val="lrTb"/>
            <w:noWrap w:val="false"/>
          </w:tcPr>
          <w:p>
            <w:pPr>
              <w:pStyle w:val="779"/>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0.25%</w:t>
            </w:r>
            <w:r>
              <w:rPr>
                <w:rFonts w:hint="eastAsia" w:ascii="宋体" w:hAnsi="宋体" w:eastAsia="宋体" w:cs="宋体"/>
                <w:color w:val="000000"/>
                <w:sz w:val="24"/>
                <w:highlight w:val="none"/>
              </w:rPr>
            </w:r>
            <w:r/>
          </w:p>
        </w:tc>
      </w:tr>
      <w:tr>
        <w:trPr>
          <w:trHeight w:val="567"/>
        </w:trPr>
        <w:tc>
          <w:tcPr>
            <w:tcW w:w="5266" w:type="dxa"/>
            <w:vAlign w:val="center"/>
            <w:textDirection w:val="lrTb"/>
            <w:noWrap w:val="false"/>
          </w:tcPr>
          <w:p>
            <w:pPr>
              <w:pStyle w:val="779"/>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1亿-10亿元（含10亿元）</w:t>
            </w:r>
            <w:r>
              <w:rPr>
                <w:rFonts w:hint="eastAsia" w:ascii="宋体" w:hAnsi="宋体" w:eastAsia="宋体" w:cs="宋体"/>
                <w:color w:val="000000"/>
                <w:sz w:val="24"/>
                <w:highlight w:val="none"/>
              </w:rPr>
            </w:r>
            <w:r/>
          </w:p>
        </w:tc>
        <w:tc>
          <w:tcPr>
            <w:tcW w:w="2853" w:type="dxa"/>
            <w:vAlign w:val="center"/>
            <w:textDirection w:val="lrTb"/>
            <w:noWrap w:val="false"/>
          </w:tcPr>
          <w:p>
            <w:pPr>
              <w:pStyle w:val="779"/>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0.05%</w:t>
            </w:r>
            <w:r>
              <w:rPr>
                <w:rFonts w:hint="eastAsia" w:ascii="宋体" w:hAnsi="宋体" w:eastAsia="宋体" w:cs="宋体"/>
                <w:color w:val="000000"/>
                <w:sz w:val="24"/>
                <w:highlight w:val="none"/>
              </w:rPr>
            </w:r>
            <w:r/>
          </w:p>
        </w:tc>
      </w:tr>
      <w:tr>
        <w:trPr>
          <w:trHeight w:val="567"/>
        </w:trPr>
        <w:tc>
          <w:tcPr>
            <w:tcW w:w="5266" w:type="dxa"/>
            <w:vAlign w:val="center"/>
            <w:textDirection w:val="lrTb"/>
            <w:noWrap w:val="false"/>
          </w:tcPr>
          <w:p>
            <w:pPr>
              <w:pStyle w:val="779"/>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10亿-50亿元（含50亿元）</w:t>
            </w:r>
            <w:r>
              <w:rPr>
                <w:rFonts w:hint="eastAsia" w:ascii="宋体" w:hAnsi="宋体" w:eastAsia="宋体" w:cs="宋体"/>
                <w:color w:val="000000"/>
                <w:sz w:val="24"/>
                <w:highlight w:val="none"/>
              </w:rPr>
            </w:r>
            <w:r/>
          </w:p>
        </w:tc>
        <w:tc>
          <w:tcPr>
            <w:tcW w:w="2853" w:type="dxa"/>
            <w:vAlign w:val="center"/>
            <w:textDirection w:val="lrTb"/>
            <w:noWrap w:val="false"/>
          </w:tcPr>
          <w:p>
            <w:pPr>
              <w:pStyle w:val="779"/>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0.01%</w:t>
            </w:r>
            <w:r>
              <w:rPr>
                <w:rFonts w:hint="eastAsia" w:ascii="宋体" w:hAnsi="宋体" w:eastAsia="宋体" w:cs="宋体"/>
                <w:color w:val="000000"/>
                <w:sz w:val="24"/>
                <w:highlight w:val="none"/>
              </w:rPr>
            </w:r>
            <w:r/>
          </w:p>
        </w:tc>
      </w:tr>
      <w:tr>
        <w:trPr>
          <w:trHeight w:val="567"/>
        </w:trPr>
        <w:tc>
          <w:tcPr>
            <w:tcW w:w="5266" w:type="dxa"/>
            <w:vAlign w:val="center"/>
            <w:textDirection w:val="lrTb"/>
            <w:noWrap w:val="false"/>
          </w:tcPr>
          <w:p>
            <w:pPr>
              <w:pStyle w:val="779"/>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50亿元以上</w:t>
            </w:r>
            <w:r>
              <w:rPr>
                <w:rFonts w:hint="eastAsia" w:ascii="宋体" w:hAnsi="宋体" w:eastAsia="宋体" w:cs="宋体"/>
                <w:color w:val="000000"/>
                <w:sz w:val="24"/>
                <w:highlight w:val="none"/>
              </w:rPr>
            </w:r>
            <w:r/>
          </w:p>
        </w:tc>
        <w:tc>
          <w:tcPr>
            <w:tcW w:w="2853" w:type="dxa"/>
            <w:vAlign w:val="center"/>
            <w:textDirection w:val="lrTb"/>
            <w:noWrap w:val="false"/>
          </w:tcPr>
          <w:p>
            <w:pPr>
              <w:pStyle w:val="779"/>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0.005%</w:t>
            </w:r>
            <w:r>
              <w:rPr>
                <w:rFonts w:hint="eastAsia" w:ascii="宋体" w:hAnsi="宋体" w:eastAsia="宋体" w:cs="宋体"/>
                <w:color w:val="000000"/>
                <w:sz w:val="24"/>
                <w:highlight w:val="none"/>
              </w:rPr>
            </w:r>
            <w:r/>
          </w:p>
        </w:tc>
      </w:tr>
    </w:tbl>
    <w:p>
      <w:pPr>
        <w:pStyle w:val="779"/>
        <w:spacing w:line="276"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说明：</w:t>
      </w:r>
      <w:r>
        <w:rPr>
          <w:rFonts w:hint="eastAsia" w:ascii="宋体" w:hAnsi="宋体" w:eastAsia="宋体" w:cs="宋体"/>
          <w:b/>
          <w:color w:val="000000"/>
          <w:sz w:val="24"/>
          <w:highlight w:val="none"/>
        </w:rPr>
      </w:r>
      <w:r/>
    </w:p>
    <w:p>
      <w:pPr>
        <w:pStyle w:val="779"/>
        <w:ind w:firstLine="72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1.按上表计算的收费为代理服务全过程的收费金额。各社会代理机构不再收取采购文件制作售卖费用。</w:t>
      </w:r>
      <w:r>
        <w:rPr>
          <w:rFonts w:hint="eastAsia" w:ascii="宋体" w:hAnsi="宋体" w:eastAsia="宋体" w:cs="宋体"/>
          <w:color w:val="000000"/>
          <w:sz w:val="24"/>
          <w:highlight w:val="none"/>
        </w:rPr>
      </w:r>
      <w:r/>
    </w:p>
    <w:p>
      <w:pPr>
        <w:pStyle w:val="779"/>
        <w:ind w:firstLine="72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2.代理服务费按差额定率累进法计算。</w:t>
      </w:r>
      <w:r>
        <w:rPr>
          <w:rFonts w:hint="eastAsia" w:ascii="宋体" w:hAnsi="宋体" w:eastAsia="宋体" w:cs="宋体"/>
          <w:color w:val="000000"/>
          <w:sz w:val="24"/>
          <w:highlight w:val="none"/>
        </w:rPr>
      </w:r>
      <w:r/>
    </w:p>
    <w:p>
      <w:pPr>
        <w:pStyle w:val="779"/>
        <w:ind w:firstLine="72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3.代理服务费基准金额（按差额定率累进法计算的）=中标金额（按差额定率累进法计算的）*费率（%）。</w:t>
      </w:r>
      <w:r>
        <w:rPr>
          <w:rFonts w:hint="eastAsia" w:ascii="宋体" w:hAnsi="宋体" w:eastAsia="宋体" w:cs="宋体"/>
          <w:color w:val="000000"/>
          <w:sz w:val="24"/>
          <w:highlight w:val="none"/>
        </w:rPr>
      </w:r>
      <w:r/>
    </w:p>
    <w:p>
      <w:pPr>
        <w:pStyle w:val="779"/>
        <w:ind w:firstLine="72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4.代理服务费应收取金额=代理服务费基准金额（按差额定率累进法计算的）的合计数。</w:t>
      </w:r>
      <w:r>
        <w:rPr>
          <w:rFonts w:hint="eastAsia" w:ascii="宋体" w:hAnsi="宋体" w:eastAsia="宋体" w:cs="宋体"/>
          <w:color w:val="000000"/>
          <w:sz w:val="24"/>
          <w:highlight w:val="none"/>
        </w:rPr>
      </w:r>
      <w:r/>
    </w:p>
    <w:p>
      <w:pPr>
        <w:pStyle w:val="779"/>
        <w:ind w:firstLine="72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5.定点类等无金额或事先不能计算出价格总额的项目，按中标（成交）金额100万元计算服务费。</w:t>
      </w:r>
      <w:r>
        <w:rPr>
          <w:rFonts w:hint="eastAsia" w:ascii="宋体" w:hAnsi="宋体" w:eastAsia="宋体" w:cs="宋体"/>
          <w:color w:val="000000"/>
          <w:sz w:val="24"/>
          <w:highlight w:val="none"/>
        </w:rPr>
      </w:r>
      <w:r/>
    </w:p>
    <w:p>
      <w:pPr>
        <w:pStyle w:val="779"/>
        <w:ind w:firstLine="72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6.有分包（分标段）的以一个项目计算。</w:t>
      </w:r>
      <w:r>
        <w:rPr>
          <w:rFonts w:hint="eastAsia" w:ascii="宋体" w:hAnsi="宋体" w:eastAsia="宋体" w:cs="宋体"/>
          <w:color w:val="000000"/>
          <w:sz w:val="24"/>
          <w:highlight w:val="none"/>
        </w:rPr>
      </w:r>
      <w:r/>
    </w:p>
    <w:p>
      <w:pPr>
        <w:pStyle w:val="779"/>
        <w:ind w:firstLine="72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7.账户信息：</w:t>
      </w:r>
      <w:r>
        <w:rPr>
          <w:rFonts w:hint="eastAsia" w:ascii="宋体" w:hAnsi="宋体" w:eastAsia="宋体" w:cs="宋体"/>
          <w:color w:val="000000"/>
          <w:sz w:val="24"/>
          <w:highlight w:val="none"/>
        </w:rPr>
      </w:r>
      <w:r/>
    </w:p>
    <w:p>
      <w:pPr>
        <w:pStyle w:val="779"/>
        <w:ind w:firstLine="72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账户信息名称：江苏中瑞建设项目管理有限公司</w:t>
      </w:r>
      <w:r>
        <w:rPr>
          <w:rFonts w:hint="eastAsia" w:ascii="宋体" w:hAnsi="宋体" w:eastAsia="宋体" w:cs="宋体"/>
          <w:color w:val="000000"/>
          <w:sz w:val="24"/>
          <w:highlight w:val="none"/>
        </w:rPr>
      </w:r>
      <w:r/>
    </w:p>
    <w:p>
      <w:pPr>
        <w:pStyle w:val="779"/>
        <w:ind w:firstLine="72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开户行：中国建设银行徐州永安支行</w:t>
      </w:r>
      <w:r>
        <w:rPr>
          <w:rFonts w:hint="eastAsia" w:ascii="宋体" w:hAnsi="宋体" w:eastAsia="宋体" w:cs="宋体"/>
          <w:color w:val="000000"/>
          <w:sz w:val="24"/>
          <w:highlight w:val="none"/>
        </w:rPr>
      </w:r>
      <w:r/>
    </w:p>
    <w:p>
      <w:pPr>
        <w:pStyle w:val="779"/>
        <w:ind w:firstLine="72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银行账号：32001718336052501620</w:t>
      </w:r>
      <w:r>
        <w:rPr>
          <w:rFonts w:hint="eastAsia" w:ascii="宋体" w:hAnsi="宋体" w:eastAsia="宋体" w:cs="宋体"/>
          <w:color w:val="000000"/>
          <w:sz w:val="24"/>
          <w:highlight w:val="none"/>
        </w:rPr>
      </w:r>
      <w:r/>
    </w:p>
    <w:p>
      <w:pPr>
        <w:pStyle w:val="779"/>
        <w:ind w:firstLine="72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79"/>
        <w:rPr>
          <w:rFonts w:hint="eastAsia" w:ascii="宋体" w:hAnsi="宋体" w:eastAsia="宋体" w:cs="宋体"/>
          <w:b/>
          <w:color w:val="000000"/>
          <w:sz w:val="30"/>
          <w:highlight w:val="none"/>
        </w:rPr>
      </w:pPr>
      <w:r>
        <w:rPr>
          <w:rFonts w:hint="eastAsia" w:ascii="宋体" w:hAnsi="宋体" w:eastAsia="宋体" w:cs="宋体"/>
          <w:b/>
          <w:color w:val="000000"/>
          <w:sz w:val="30"/>
          <w:highlight w:val="none"/>
        </w:rPr>
      </w:r>
      <w:r/>
    </w:p>
    <w:p>
      <w:pPr>
        <w:pStyle w:val="779"/>
        <w:rPr>
          <w:rFonts w:hint="eastAsia" w:ascii="宋体" w:hAnsi="宋体" w:eastAsia="宋体" w:cs="宋体"/>
          <w:b/>
          <w:color w:val="000000"/>
          <w:sz w:val="30"/>
          <w:highlight w:val="none"/>
        </w:rPr>
      </w:pPr>
      <w:r>
        <w:rPr>
          <w:rFonts w:hint="eastAsia" w:ascii="宋体" w:hAnsi="宋体" w:eastAsia="宋体" w:cs="宋体"/>
          <w:b/>
          <w:color w:val="000000"/>
          <w:sz w:val="30"/>
          <w:highlight w:val="none"/>
        </w:rPr>
      </w:r>
      <w:r/>
    </w:p>
    <w:p>
      <w:pPr>
        <w:pStyle w:val="779"/>
        <w:rPr>
          <w:rFonts w:hint="eastAsia" w:ascii="宋体" w:hAnsi="宋体" w:eastAsia="宋体" w:cs="宋体"/>
          <w:b/>
          <w:color w:val="000000"/>
          <w:sz w:val="30"/>
          <w:highlight w:val="none"/>
        </w:rPr>
      </w:pPr>
      <w:r>
        <w:rPr>
          <w:rFonts w:hint="eastAsia" w:ascii="宋体" w:hAnsi="宋体" w:eastAsia="宋体" w:cs="宋体"/>
          <w:b/>
          <w:color w:val="000000"/>
          <w:sz w:val="30"/>
          <w:highlight w:val="none"/>
        </w:rPr>
      </w:r>
      <w:r/>
    </w:p>
    <w:p>
      <w:pPr>
        <w:pStyle w:val="779"/>
        <w:jc w:val="center"/>
        <w:spacing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highlight w:val="none"/>
        </w:rPr>
        <w:t xml:space="preserve">第四章 评标标准</w:t>
      </w:r>
      <w:r>
        <w:rPr>
          <w:rFonts w:hint="eastAsia" w:ascii="宋体" w:hAnsi="宋体" w:eastAsia="宋体" w:cs="宋体"/>
          <w:color w:val="000000"/>
          <w:highlight w:val="none"/>
        </w:rPr>
      </w:r>
      <w:r/>
    </w:p>
    <w:tbl>
      <w:tblPr>
        <w:tblW w:w="95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51"/>
        <w:gridCol w:w="8078"/>
      </w:tblGrid>
      <w:tr>
        <w:trPr>
          <w:trHeight w:val="268"/>
        </w:trPr>
        <w:tc>
          <w:tcPr>
            <w:tcW w:w="1451" w:type="dxa"/>
            <w:vAlign w:val="center"/>
            <w:textDirection w:val="lrTb"/>
            <w:noWrap w:val="false"/>
          </w:tcPr>
          <w:p>
            <w:pPr>
              <w:pStyle w:val="779"/>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评分内容</w:t>
            </w:r>
            <w:r>
              <w:rPr>
                <w:rFonts w:hint="eastAsia" w:ascii="宋体" w:hAnsi="宋体" w:eastAsia="宋体" w:cs="宋体"/>
                <w:b/>
                <w:bCs/>
                <w:color w:val="000000"/>
                <w:sz w:val="24"/>
                <w:szCs w:val="24"/>
                <w:highlight w:val="none"/>
              </w:rPr>
            </w:r>
            <w:r/>
          </w:p>
        </w:tc>
        <w:tc>
          <w:tcPr>
            <w:tcW w:w="8078" w:type="dxa"/>
            <w:vAlign w:val="center"/>
            <w:textDirection w:val="lrTb"/>
            <w:noWrap w:val="false"/>
          </w:tcPr>
          <w:p>
            <w:pPr>
              <w:pStyle w:val="779"/>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评分标准</w:t>
            </w:r>
            <w:r>
              <w:rPr>
                <w:rFonts w:hint="eastAsia" w:ascii="宋体" w:hAnsi="宋体" w:eastAsia="宋体" w:cs="宋体"/>
                <w:b/>
                <w:bCs/>
                <w:color w:val="000000"/>
                <w:sz w:val="24"/>
                <w:szCs w:val="24"/>
                <w:highlight w:val="none"/>
              </w:rPr>
            </w:r>
            <w:r/>
          </w:p>
        </w:tc>
      </w:tr>
      <w:tr>
        <w:trPr>
          <w:cantSplit/>
          <w:trHeight w:val="90"/>
        </w:trPr>
        <w:tc>
          <w:tcPr>
            <w:tcW w:w="1451" w:type="dxa"/>
            <w:vAlign w:val="center"/>
            <w:textDirection w:val="lrTb"/>
            <w:noWrap w:val="false"/>
          </w:tcPr>
          <w:p>
            <w:pPr>
              <w:pStyle w:val="779"/>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投标报价</w:t>
            </w:r>
            <w:r>
              <w:rPr>
                <w:rFonts w:hint="eastAsia" w:ascii="宋体" w:hAnsi="宋体" w:eastAsia="宋体" w:cs="宋体"/>
                <w:b/>
                <w:bCs/>
                <w:color w:val="000000"/>
                <w:sz w:val="24"/>
                <w:szCs w:val="24"/>
                <w:highlight w:val="none"/>
              </w:rPr>
            </w:r>
            <w:r/>
          </w:p>
          <w:p>
            <w:pPr>
              <w:pStyle w:val="779"/>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（35分）</w:t>
            </w:r>
            <w:r>
              <w:rPr>
                <w:rFonts w:hint="eastAsia" w:ascii="宋体" w:hAnsi="宋体" w:eastAsia="宋体" w:cs="宋体"/>
                <w:b/>
                <w:bCs/>
                <w:color w:val="000000"/>
                <w:sz w:val="24"/>
                <w:szCs w:val="24"/>
                <w:highlight w:val="none"/>
              </w:rPr>
            </w:r>
            <w:r/>
          </w:p>
        </w:tc>
        <w:tc>
          <w:tcPr>
            <w:tcW w:w="8078" w:type="dxa"/>
            <w:vAlign w:val="center"/>
            <w:textDirection w:val="lrTb"/>
            <w:noWrap w:val="false"/>
          </w:tcPr>
          <w:p>
            <w:pPr>
              <w:pStyle w:val="779"/>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各投标人价格得分=最低报价（投标人的最低评审价格）÷各投标人评审价格×35；</w:t>
            </w:r>
            <w:r>
              <w:rPr>
                <w:rFonts w:hint="eastAsia" w:ascii="宋体" w:hAnsi="宋体" w:eastAsia="宋体" w:cs="宋体"/>
                <w:color w:val="000000"/>
                <w:sz w:val="24"/>
                <w:szCs w:val="24"/>
                <w:highlight w:val="none"/>
              </w:rPr>
            </w:r>
            <w:r/>
          </w:p>
          <w:p>
            <w:pPr>
              <w:pStyle w:val="779"/>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服务全部由符合政策要求的小微企业、监狱企业、享受政府采购支持政策的残疾人福利性单位承接的（以供应商提供的《中小企业声明函》、监狱企业证明文件和《残疾人福利性单位声明函》等相关材料为准），给予10%的价格扣除，用扣除后的价格参加评审。该投标人的评审价格=《开标一览表》中的“</w:t>
            </w:r>
            <w:r>
              <w:rPr>
                <w:rFonts w:hint="eastAsia" w:ascii="宋体" w:hAnsi="宋体" w:eastAsia="宋体" w:cs="宋体"/>
                <w:color w:val="000000"/>
                <w:sz w:val="24"/>
                <w:szCs w:val="24"/>
                <w:highlight w:val="none"/>
                <w:lang w:val="en-US" w:eastAsia="zh-CN"/>
              </w:rPr>
              <w:t xml:space="preserve">单价</w:t>
            </w:r>
            <w:r>
              <w:rPr>
                <w:rFonts w:hint="eastAsia" w:ascii="宋体" w:hAnsi="宋体" w:eastAsia="宋体" w:cs="宋体"/>
                <w:color w:val="000000"/>
                <w:sz w:val="24"/>
                <w:szCs w:val="24"/>
                <w:highlight w:val="none"/>
              </w:rPr>
              <w:t xml:space="preserve">”*（100%-10%）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cantSplit/>
          <w:trHeight w:val="1447"/>
        </w:trPr>
        <w:tc>
          <w:tcPr>
            <w:tcW w:w="1451" w:type="dxa"/>
            <w:vAlign w:val="center"/>
            <w:textDirection w:val="lrTb"/>
            <w:noWrap w:val="false"/>
          </w:tcPr>
          <w:p>
            <w:pPr>
              <w:pStyle w:val="779"/>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投标人业绩</w:t>
            </w: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lang w:eastAsia="zh-CN"/>
              </w:rPr>
              <w:t xml:space="preserve">分）</w:t>
            </w:r>
            <w:r>
              <w:rPr>
                <w:rFonts w:hint="eastAsia" w:ascii="宋体" w:hAnsi="宋体" w:eastAsia="宋体" w:cs="宋体"/>
                <w:b/>
                <w:bCs/>
                <w:color w:val="000000"/>
                <w:sz w:val="24"/>
                <w:szCs w:val="24"/>
                <w:highlight w:val="none"/>
              </w:rPr>
            </w:r>
            <w:r/>
          </w:p>
        </w:tc>
        <w:tc>
          <w:tcPr>
            <w:tcW w:w="8078" w:type="dxa"/>
            <w:vAlign w:val="center"/>
            <w:textDirection w:val="lrTb"/>
            <w:noWrap w:val="false"/>
          </w:tcPr>
          <w:p>
            <w:pPr>
              <w:pStyle w:val="779"/>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投标文件中提供投标人为卖方(乙方)，合同签订日期在202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月1日</w:t>
            </w:r>
            <w:r>
              <w:rPr>
                <w:rFonts w:hint="eastAsia" w:ascii="宋体" w:hAnsi="宋体" w:eastAsia="宋体" w:cs="宋体"/>
                <w:color w:val="000000"/>
                <w:sz w:val="24"/>
                <w:szCs w:val="24"/>
                <w:highlight w:val="none"/>
                <w:lang w:eastAsia="zh-CN"/>
              </w:rPr>
              <w:t xml:space="preserve">之后</w:t>
            </w:r>
            <w:r>
              <w:rPr>
                <w:rFonts w:hint="eastAsia" w:ascii="宋体" w:hAnsi="宋体" w:eastAsia="宋体" w:cs="宋体"/>
                <w:color w:val="000000"/>
                <w:sz w:val="24"/>
                <w:szCs w:val="24"/>
                <w:highlight w:val="none"/>
              </w:rPr>
              <w:t xml:space="preserve">（以合同签订时间为准）承担过类似项目的，每有一项得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分，最多得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79"/>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注：投标文件中提供合同原件扫描件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任意付款节点</w:t>
            </w:r>
            <w:r>
              <w:rPr>
                <w:rFonts w:hint="eastAsia" w:ascii="宋体" w:hAnsi="宋体" w:eastAsia="宋体" w:cs="宋体"/>
                <w:color w:val="000000"/>
                <w:sz w:val="24"/>
                <w:szCs w:val="24"/>
                <w:highlight w:val="none"/>
              </w:rPr>
              <w:t xml:space="preserve">对应银行收款进账凭证（或发票）并加盖投标人电子签章方为有效，未提供或提供不全不得分。</w:t>
            </w:r>
            <w:r>
              <w:rPr>
                <w:rFonts w:hint="eastAsia" w:ascii="宋体" w:hAnsi="宋体" w:eastAsia="宋体" w:cs="宋体"/>
                <w:color w:val="000000"/>
                <w:sz w:val="24"/>
                <w:szCs w:val="24"/>
                <w:highlight w:val="none"/>
                <w:lang w:eastAsia="zh-CN"/>
              </w:rPr>
            </w:r>
            <w:r/>
          </w:p>
        </w:tc>
      </w:tr>
      <w:tr>
        <w:trPr>
          <w:cantSplit/>
          <w:trHeight w:val="1447"/>
        </w:trPr>
        <w:tc>
          <w:tcPr>
            <w:tcW w:w="1451" w:type="dxa"/>
            <w:vAlign w:val="center"/>
            <w:textDirection w:val="lrTb"/>
            <w:noWrap w:val="false"/>
          </w:tcPr>
          <w:p>
            <w:pPr>
              <w:pStyle w:val="779"/>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人员配备（</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tc>
        <w:tc>
          <w:tcPr>
            <w:tcW w:w="8078" w:type="dxa"/>
            <w:vAlign w:val="center"/>
            <w:textDirection w:val="lrTb"/>
            <w:noWrap w:val="false"/>
          </w:tcPr>
          <w:p>
            <w:pPr>
              <w:pStyle w:val="779"/>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投标人针对本项目拟派项目经理（限1人）具备</w:t>
            </w:r>
            <w:r>
              <w:rPr>
                <w:rFonts w:hint="eastAsia" w:ascii="宋体" w:hAnsi="宋体" w:eastAsia="宋体" w:cs="宋体"/>
                <w:color w:val="000000"/>
                <w:sz w:val="24"/>
                <w:szCs w:val="24"/>
                <w:highlight w:val="none"/>
              </w:rPr>
              <w:t xml:space="preserve">信息系统项目管理师（高级）</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网络规划设计师（高级）</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系统规划与管理师（高级）</w:t>
            </w:r>
            <w:r>
              <w:rPr>
                <w:rFonts w:hint="eastAsia" w:ascii="宋体" w:hAnsi="宋体" w:eastAsia="宋体" w:cs="宋体"/>
                <w:color w:val="000000"/>
                <w:sz w:val="24"/>
                <w:szCs w:val="24"/>
                <w:highlight w:val="none"/>
                <w:lang w:val="en-US" w:eastAsia="zh-CN"/>
              </w:rPr>
              <w:t xml:space="preserve">的得2分，最高得2分。</w:t>
            </w:r>
            <w:r>
              <w:rPr>
                <w:rFonts w:hint="eastAsia" w:ascii="宋体" w:hAnsi="宋体" w:eastAsia="宋体" w:cs="宋体"/>
                <w:color w:val="000000"/>
                <w:sz w:val="24"/>
                <w:szCs w:val="24"/>
                <w:highlight w:val="none"/>
                <w:lang w:val="en-US" w:eastAsia="zh-CN"/>
              </w:rPr>
            </w:r>
            <w:r/>
          </w:p>
          <w:p>
            <w:pPr>
              <w:pStyle w:val="779"/>
              <w:spacing w:line="24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项目实施团队成员（项目经理除外）具有网络工程师、</w:t>
            </w:r>
            <w:r>
              <w:rPr>
                <w:rFonts w:hint="eastAsia" w:ascii="宋体" w:hAnsi="宋体" w:eastAsia="宋体" w:cs="宋体"/>
                <w:color w:val="000000"/>
                <w:sz w:val="24"/>
                <w:szCs w:val="24"/>
                <w:highlight w:val="none"/>
              </w:rPr>
              <w:t xml:space="preserve">网络规划设计师（高级）</w:t>
            </w:r>
            <w:r>
              <w:rPr>
                <w:rFonts w:hint="eastAsia" w:ascii="宋体" w:hAnsi="宋体" w:eastAsia="宋体" w:cs="宋体"/>
                <w:color w:val="000000"/>
                <w:sz w:val="24"/>
                <w:szCs w:val="24"/>
                <w:highlight w:val="none"/>
                <w:lang w:val="en-US" w:eastAsia="zh-CN"/>
              </w:rPr>
              <w:t xml:space="preserve">的，每个证书得1分（1人多证的不重复计分），最高得2分。</w:t>
            </w:r>
            <w:r>
              <w:rPr>
                <w:rFonts w:ascii="宋体" w:hAnsi="宋体" w:eastAsia="宋体" w:cs="宋体"/>
                <w:color w:val="000000"/>
                <w:sz w:val="24"/>
                <w:szCs w:val="24"/>
                <w:highlight w:val="none"/>
                <w:lang w:val="en-US" w:eastAsia="zh-CN"/>
              </w:rPr>
            </w:r>
            <w:r/>
          </w:p>
          <w:p>
            <w:pPr>
              <w:pStyle w:val="779"/>
              <w:spacing w:line="24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本项最高得4分。</w:t>
            </w:r>
            <w:r>
              <w:rPr>
                <w:rFonts w:ascii="宋体" w:hAnsi="宋体" w:eastAsia="宋体" w:cs="宋体"/>
                <w:color w:val="000000"/>
                <w:sz w:val="24"/>
                <w:szCs w:val="24"/>
                <w:highlight w:val="none"/>
                <w:lang w:val="en-US" w:eastAsia="zh-CN"/>
              </w:rPr>
            </w:r>
            <w:r/>
          </w:p>
          <w:p>
            <w:pPr>
              <w:pStyle w:val="779"/>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上述人员必须为投标人单位员工，投标文件中须提供相关证书扫描件以及投标人在开标截止时间前六个月内（不含开标当月）任何1个月为上述人员缴纳社保证明材料扫描件（须同时具备，否则不得分）。</w:t>
            </w:r>
            <w:r>
              <w:rPr>
                <w:rFonts w:hint="eastAsia" w:ascii="宋体" w:hAnsi="宋体" w:eastAsia="宋体" w:cs="宋体"/>
                <w:color w:val="000000"/>
                <w:sz w:val="24"/>
                <w:szCs w:val="24"/>
                <w:highlight w:val="none"/>
                <w:lang w:eastAsia="zh-CN"/>
              </w:rPr>
            </w:r>
            <w:r/>
          </w:p>
        </w:tc>
      </w:tr>
      <w:tr>
        <w:trPr>
          <w:cantSplit/>
          <w:trHeight w:val="1447"/>
        </w:trPr>
        <w:tc>
          <w:tcPr>
            <w:tcW w:w="1451" w:type="dxa"/>
            <w:vAlign w:val="center"/>
            <w:textDirection w:val="lrTb"/>
            <w:noWrap w:val="false"/>
          </w:tcPr>
          <w:p>
            <w:pPr>
              <w:pStyle w:val="779"/>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投标人评价</w:t>
            </w: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tc>
        <w:tc>
          <w:tcPr>
            <w:tcW w:w="8078" w:type="dxa"/>
            <w:vAlign w:val="center"/>
            <w:textDirection w:val="lrTb"/>
            <w:noWrap w:val="false"/>
          </w:tcPr>
          <w:p>
            <w:pPr>
              <w:pStyle w:val="779"/>
              <w:jc w:val="both"/>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1、投标文件中提供投标人有效的ISO27001信息安全体系认证证书扫描件及国家市场监督管理总局全国认证认可信息公共服务平台(网址: http://cx.cnca.cn/CertECloud/result/skipResultList)查询证书状态为有效的截图证明材料的得1分，不提供或提供不全的不得分，最高得1分,最低得0分；</w:t>
            </w:r>
            <w:r>
              <w:rPr>
                <w:rFonts w:hint="eastAsia" w:ascii="宋体" w:hAnsi="宋体" w:eastAsia="宋体" w:cs="宋体"/>
                <w:color w:val="000000"/>
                <w:sz w:val="24"/>
                <w:szCs w:val="24"/>
                <w:highlight w:val="none"/>
                <w:lang w:val="en-US" w:eastAsia="zh-CN" w:bidi="ar-SA"/>
              </w:rPr>
            </w:r>
            <w:r/>
          </w:p>
          <w:p>
            <w:pPr>
              <w:pStyle w:val="779"/>
              <w:jc w:val="both"/>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2、投标文件中提供投标人有效的信息技术服务管理体系认证证书扫描件及国家市场监督管理总局全国认证认可信息公共服务平台(网址: http://cx.cnca.cn/CertECloud/result/skipResultList)查询证书状态为有效的截图证明材料得1分，不提供或提供不全的不得分，最高得1分,最低得0分；</w:t>
            </w:r>
            <w:r>
              <w:rPr>
                <w:rFonts w:hint="eastAsia" w:ascii="宋体" w:hAnsi="宋体" w:eastAsia="宋体" w:cs="宋体"/>
                <w:color w:val="000000"/>
                <w:sz w:val="24"/>
                <w:szCs w:val="24"/>
                <w:highlight w:val="none"/>
                <w:lang w:val="en-US" w:eastAsia="zh-CN" w:bidi="ar-SA"/>
              </w:rPr>
            </w:r>
            <w:r/>
          </w:p>
          <w:p>
            <w:pPr>
              <w:pStyle w:val="779"/>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bidi="ar-SA"/>
              </w:rPr>
              <w:t xml:space="preserve">本项最高得2分，最低得0分。</w:t>
            </w:r>
            <w:r>
              <w:rPr>
                <w:rFonts w:hint="eastAsia" w:ascii="宋体" w:hAnsi="宋体" w:eastAsia="宋体" w:cs="宋体"/>
                <w:color w:val="000000"/>
                <w:sz w:val="24"/>
                <w:szCs w:val="24"/>
                <w:highlight w:val="none"/>
                <w:lang w:eastAsia="zh-CN"/>
              </w:rPr>
            </w:r>
            <w:r/>
          </w:p>
        </w:tc>
      </w:tr>
      <w:tr>
        <w:trPr>
          <w:cantSplit/>
          <w:trHeight w:val="1447"/>
        </w:trPr>
        <w:tc>
          <w:tcPr>
            <w:tcW w:w="1451" w:type="dxa"/>
            <w:vAlign w:val="center"/>
            <w:textDirection w:val="lrTb"/>
            <w:noWrap w:val="false"/>
          </w:tcPr>
          <w:p>
            <w:pPr>
              <w:pStyle w:val="779"/>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技术响应（4</w:t>
            </w:r>
            <w:r>
              <w:rPr>
                <w:rFonts w:hint="eastAsia" w:ascii="宋体" w:hAnsi="宋体" w:eastAsia="宋体" w:cs="宋体"/>
                <w:b/>
                <w:bCs/>
                <w:color w:val="000000"/>
                <w:sz w:val="24"/>
                <w:szCs w:val="24"/>
                <w:highlight w:val="none"/>
                <w:lang w:val="en-US" w:eastAsia="zh-CN"/>
              </w:rPr>
              <w:t xml:space="preserve">0</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tc>
        <w:tc>
          <w:tcPr>
            <w:tcW w:w="8078" w:type="dxa"/>
            <w:vAlign w:val="center"/>
            <w:textDirection w:val="lrTb"/>
            <w:noWrap w:val="false"/>
          </w:tcPr>
          <w:p>
            <w:pPr>
              <w:pStyle w:val="779"/>
              <w:jc w:val="both"/>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依据投标人投标文件中偏离表、软硬件技术参数要求，对投标人填写完整的“偏离表”进行整体评价，完全满足招标文件要求的得基本分40分。</w:t>
            </w:r>
            <w:r>
              <w:rPr>
                <w:rFonts w:hint="eastAsia" w:ascii="宋体" w:hAnsi="宋体" w:eastAsia="宋体" w:cs="宋体"/>
                <w:color w:val="000000"/>
                <w:sz w:val="24"/>
                <w:szCs w:val="24"/>
                <w:highlight w:val="none"/>
                <w:lang w:val="en-US" w:eastAsia="zh-CN" w:bidi="ar-SA"/>
              </w:rPr>
            </w:r>
            <w:r/>
          </w:p>
          <w:p>
            <w:pPr>
              <w:pStyle w:val="779"/>
              <w:jc w:val="both"/>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招标文件《第六章（采购需求）》中“四、项目要求”中加“★”标志的为实质性响应指标，加“▲”标志的为次重要响应指标，其他为一般响应指标，实质性响应指标不满足或负偏离按无效投标文件处理，次重要响应指标不满足或负偏离每一项减3分；一般技术指标</w:t>
            </w:r>
            <w:r>
              <w:rPr>
                <w:rFonts w:hint="eastAsia" w:ascii="宋体" w:hAnsi="宋体" w:eastAsia="宋体" w:cs="宋体"/>
                <w:color w:val="000000"/>
                <w:sz w:val="24"/>
                <w:szCs w:val="24"/>
                <w:highlight w:val="none"/>
                <w:lang w:val="en-US" w:eastAsia="zh-CN" w:bidi="ar-SA"/>
              </w:rPr>
              <w:t xml:space="preserve">不满足或负偏离的</w:t>
            </w:r>
            <w:r>
              <w:rPr>
                <w:rFonts w:hint="eastAsia" w:ascii="宋体" w:hAnsi="宋体" w:eastAsia="宋体" w:cs="宋体"/>
                <w:color w:val="000000"/>
                <w:sz w:val="24"/>
                <w:szCs w:val="24"/>
                <w:highlight w:val="none"/>
                <w:lang w:val="en-US" w:eastAsia="zh-CN" w:bidi="ar-SA"/>
              </w:rPr>
              <w:t xml:space="preserve">，每一项扣1分。本项最高得40分，最低得0分。</w:t>
            </w:r>
            <w:r>
              <w:rPr>
                <w:rFonts w:hint="eastAsia" w:ascii="宋体" w:hAnsi="宋体" w:eastAsia="宋体" w:cs="宋体"/>
                <w:color w:val="000000"/>
                <w:sz w:val="24"/>
                <w:szCs w:val="24"/>
                <w:highlight w:val="none"/>
                <w:lang w:val="en-US" w:eastAsia="zh-CN" w:bidi="ar-SA"/>
              </w:rPr>
            </w:r>
            <w:r/>
          </w:p>
          <w:p>
            <w:pPr>
              <w:pStyle w:val="779"/>
              <w:spacing w:line="24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bidi="ar-SA"/>
              </w:rPr>
              <w:t xml:space="preserve">正负偏离须在《偏离表》中明确列出。未按照招标文件要求提供证明材料的视为负偏离。</w:t>
            </w:r>
            <w:r>
              <w:rPr>
                <w:rFonts w:hint="eastAsia" w:ascii="宋体" w:hAnsi="宋体" w:eastAsia="宋体" w:cs="宋体"/>
                <w:color w:val="000000"/>
                <w:sz w:val="24"/>
                <w:szCs w:val="24"/>
                <w:highlight w:val="none"/>
              </w:rPr>
            </w:r>
            <w:r/>
          </w:p>
        </w:tc>
      </w:tr>
      <w:tr>
        <w:trPr>
          <w:cantSplit/>
          <w:trHeight w:val="800"/>
        </w:trPr>
        <w:tc>
          <w:tcPr>
            <w:tcW w:w="1451" w:type="dxa"/>
            <w:vAlign w:val="center"/>
            <w:textDirection w:val="lrTb"/>
            <w:noWrap w:val="false"/>
          </w:tcPr>
          <w:p>
            <w:pPr>
              <w:pStyle w:val="779"/>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项目实施方案（5分）</w:t>
            </w:r>
            <w:r>
              <w:rPr>
                <w:rFonts w:hint="eastAsia" w:ascii="宋体" w:hAnsi="宋体" w:eastAsia="宋体" w:cs="宋体"/>
                <w:b/>
                <w:bCs/>
                <w:color w:val="000000"/>
                <w:sz w:val="24"/>
                <w:szCs w:val="24"/>
                <w:highlight w:val="none"/>
              </w:rPr>
            </w:r>
            <w:r/>
          </w:p>
        </w:tc>
        <w:tc>
          <w:tcPr>
            <w:tcW w:w="8078" w:type="dxa"/>
            <w:vAlign w:val="center"/>
            <w:textDirection w:val="lrTb"/>
            <w:noWrap w:val="false"/>
          </w:tcPr>
          <w:p>
            <w:pPr>
              <w:pStyle w:val="779"/>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投标人根据本项目实际情况，制定总体设计方案、前端系统设计方案、后端系统设计方案、网络传输设计方案、设备安装方案、平台接入方案及机械设备投入、人员投入、项目实施进度计划、安全保障方案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机房</w:t>
            </w:r>
            <w:r>
              <w:rPr>
                <w:rFonts w:hint="eastAsia" w:ascii="宋体" w:hAnsi="宋体" w:eastAsia="宋体" w:cs="宋体"/>
                <w:color w:val="000000"/>
                <w:sz w:val="24"/>
                <w:szCs w:val="24"/>
                <w:highlight w:val="none"/>
                <w:lang w:eastAsia="zh-CN"/>
              </w:rPr>
              <w:t xml:space="preserve">迁移保障</w:t>
            </w: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rPr>
              <w:t xml:space="preserve">和质量保证方案。</w:t>
            </w:r>
            <w:r>
              <w:rPr>
                <w:rFonts w:hint="eastAsia" w:ascii="宋体" w:hAnsi="宋体" w:eastAsia="宋体" w:cs="宋体"/>
                <w:color w:val="000000"/>
                <w:sz w:val="24"/>
                <w:szCs w:val="24"/>
                <w:highlight w:val="none"/>
              </w:rPr>
            </w:r>
            <w:r/>
          </w:p>
          <w:p>
            <w:pPr>
              <w:pStyle w:val="779"/>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评标委员会根据方案的合理性、科学性、针对性、可行性等进行评价。</w:t>
            </w:r>
            <w:r>
              <w:rPr>
                <w:rFonts w:hint="eastAsia" w:ascii="宋体" w:hAnsi="宋体" w:eastAsia="宋体" w:cs="宋体"/>
                <w:color w:val="000000"/>
                <w:sz w:val="24"/>
                <w:szCs w:val="24"/>
                <w:highlight w:val="none"/>
              </w:rPr>
            </w:r>
            <w:r/>
          </w:p>
          <w:p>
            <w:pPr>
              <w:pStyle w:val="779"/>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合理性(2分):合理得2分;较合理得1分，其余的不得分。</w:t>
            </w:r>
            <w:r>
              <w:rPr>
                <w:rFonts w:hint="eastAsia" w:ascii="宋体" w:hAnsi="宋体" w:eastAsia="宋体" w:cs="宋体"/>
                <w:color w:val="000000"/>
                <w:sz w:val="24"/>
                <w:szCs w:val="24"/>
                <w:highlight w:val="none"/>
              </w:rPr>
            </w:r>
            <w:r/>
          </w:p>
          <w:p>
            <w:pPr>
              <w:pStyle w:val="779"/>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针对性(1分):针对性强得1分，其余的不得分。</w:t>
            </w:r>
            <w:r>
              <w:rPr>
                <w:rFonts w:hint="eastAsia" w:ascii="宋体" w:hAnsi="宋体" w:eastAsia="宋体" w:cs="宋体"/>
                <w:color w:val="000000"/>
                <w:sz w:val="24"/>
                <w:szCs w:val="24"/>
                <w:highlight w:val="none"/>
              </w:rPr>
            </w:r>
            <w:r/>
          </w:p>
          <w:p>
            <w:pPr>
              <w:pStyle w:val="779"/>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科学性(1分):科学得1分，其余的不得分。</w:t>
            </w:r>
            <w:r>
              <w:rPr>
                <w:rFonts w:hint="eastAsia" w:ascii="宋体" w:hAnsi="宋体" w:eastAsia="宋体" w:cs="宋体"/>
                <w:color w:val="000000"/>
                <w:sz w:val="24"/>
                <w:szCs w:val="24"/>
                <w:highlight w:val="none"/>
              </w:rPr>
            </w:r>
            <w:r/>
          </w:p>
          <w:p>
            <w:pPr>
              <w:pStyle w:val="779"/>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可行性(1分):符合实际切实可行得1分，其余的不得分。</w:t>
            </w:r>
            <w:r>
              <w:rPr>
                <w:rFonts w:hint="eastAsia" w:ascii="宋体" w:hAnsi="宋体" w:eastAsia="宋体" w:cs="宋体"/>
                <w:color w:val="000000"/>
                <w:sz w:val="24"/>
                <w:szCs w:val="24"/>
                <w:highlight w:val="none"/>
              </w:rPr>
            </w:r>
            <w:r/>
          </w:p>
          <w:p>
            <w:pPr>
              <w:pStyle w:val="779"/>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未提供的不得分。</w:t>
            </w:r>
            <w:r>
              <w:rPr>
                <w:rFonts w:hint="eastAsia" w:ascii="宋体" w:hAnsi="宋体" w:eastAsia="宋体" w:cs="宋体"/>
                <w:color w:val="000000"/>
                <w:sz w:val="24"/>
                <w:szCs w:val="24"/>
                <w:highlight w:val="none"/>
              </w:rPr>
            </w:r>
            <w:r/>
          </w:p>
          <w:p>
            <w:pPr>
              <w:pStyle w:val="779"/>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本项最高得5分，最低得0分。</w:t>
            </w:r>
            <w:r>
              <w:rPr>
                <w:rFonts w:hint="eastAsia" w:ascii="宋体" w:hAnsi="宋体" w:eastAsia="宋体" w:cs="宋体"/>
                <w:color w:val="000000"/>
                <w:sz w:val="24"/>
                <w:szCs w:val="24"/>
                <w:highlight w:val="none"/>
              </w:rPr>
            </w:r>
            <w:r/>
          </w:p>
        </w:tc>
      </w:tr>
      <w:tr>
        <w:trPr>
          <w:cantSplit/>
          <w:trHeight w:val="800"/>
        </w:trPr>
        <w:tc>
          <w:tcPr>
            <w:tcW w:w="1451" w:type="dxa"/>
            <w:vAlign w:val="center"/>
            <w:textDirection w:val="lrTb"/>
            <w:noWrap w:val="false"/>
          </w:tcPr>
          <w:p>
            <w:pPr>
              <w:pStyle w:val="779"/>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运行维护方案（5分）</w:t>
            </w:r>
            <w:r>
              <w:rPr>
                <w:rFonts w:hint="eastAsia" w:ascii="宋体" w:hAnsi="宋体" w:eastAsia="宋体" w:cs="宋体"/>
                <w:b/>
                <w:bCs/>
                <w:color w:val="000000"/>
                <w:sz w:val="24"/>
                <w:szCs w:val="24"/>
                <w:highlight w:val="none"/>
              </w:rPr>
            </w:r>
            <w:r/>
          </w:p>
        </w:tc>
        <w:tc>
          <w:tcPr>
            <w:tcW w:w="8078" w:type="dxa"/>
            <w:vAlign w:val="center"/>
            <w:textDirection w:val="lrTb"/>
            <w:noWrap w:val="false"/>
          </w:tcPr>
          <w:p>
            <w:pPr>
              <w:pStyle w:val="779"/>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根据投标人投标文件中的服务保障体系和维护响应计划(包括但不限于持续服务保障措施、质保期、服务内容、备份备件、响应时间和响应方式、各项优惠承诺等)进行评价。</w:t>
            </w:r>
            <w:r>
              <w:rPr>
                <w:rFonts w:hint="eastAsia" w:ascii="宋体" w:hAnsi="宋体" w:eastAsia="宋体" w:cs="宋体"/>
                <w:color w:val="000000"/>
                <w:sz w:val="24"/>
                <w:szCs w:val="24"/>
                <w:highlight w:val="none"/>
              </w:rPr>
            </w:r>
            <w:r/>
          </w:p>
          <w:p>
            <w:pPr>
              <w:pStyle w:val="779"/>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评标委员会根据方案的合理性、科学性、针对性、可行性等进行评价。</w:t>
            </w:r>
            <w:r>
              <w:rPr>
                <w:rFonts w:hint="eastAsia" w:ascii="宋体" w:hAnsi="宋体" w:eastAsia="宋体" w:cs="宋体"/>
                <w:color w:val="000000"/>
                <w:sz w:val="24"/>
                <w:szCs w:val="24"/>
                <w:highlight w:val="none"/>
              </w:rPr>
            </w:r>
            <w:r/>
          </w:p>
          <w:p>
            <w:pPr>
              <w:pStyle w:val="779"/>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合理性(2分)：合理得2分；较合理得1分；其余的不得分。</w:t>
            </w:r>
            <w:r>
              <w:rPr>
                <w:rFonts w:hint="eastAsia" w:ascii="宋体" w:hAnsi="宋体" w:eastAsia="宋体" w:cs="宋体"/>
                <w:color w:val="000000"/>
                <w:sz w:val="24"/>
                <w:szCs w:val="24"/>
                <w:highlight w:val="none"/>
              </w:rPr>
            </w:r>
            <w:r/>
          </w:p>
          <w:p>
            <w:pPr>
              <w:pStyle w:val="779"/>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针对性（1分):针对性强得1分；其余的不得分。</w:t>
            </w:r>
            <w:r>
              <w:rPr>
                <w:rFonts w:hint="eastAsia" w:ascii="宋体" w:hAnsi="宋体" w:eastAsia="宋体" w:cs="宋体"/>
                <w:color w:val="000000"/>
                <w:sz w:val="24"/>
                <w:szCs w:val="24"/>
                <w:highlight w:val="none"/>
              </w:rPr>
            </w:r>
            <w:r/>
          </w:p>
          <w:p>
            <w:pPr>
              <w:pStyle w:val="779"/>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科学性(1分):科学得1分；其余的不得分。</w:t>
            </w:r>
            <w:r>
              <w:rPr>
                <w:rFonts w:hint="eastAsia" w:ascii="宋体" w:hAnsi="宋体" w:eastAsia="宋体" w:cs="宋体"/>
                <w:color w:val="000000"/>
                <w:sz w:val="24"/>
                <w:szCs w:val="24"/>
                <w:highlight w:val="none"/>
              </w:rPr>
            </w:r>
            <w:r/>
          </w:p>
          <w:p>
            <w:pPr>
              <w:pStyle w:val="779"/>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可行性(1分):符合实际切实可行得1分；其余的不得分。</w:t>
            </w:r>
            <w:r>
              <w:rPr>
                <w:rFonts w:hint="eastAsia" w:ascii="宋体" w:hAnsi="宋体" w:eastAsia="宋体" w:cs="宋体"/>
                <w:color w:val="000000"/>
                <w:sz w:val="24"/>
                <w:szCs w:val="24"/>
                <w:highlight w:val="none"/>
              </w:rPr>
            </w:r>
            <w:r/>
          </w:p>
          <w:p>
            <w:pPr>
              <w:pStyle w:val="779"/>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未提供的不得分。</w:t>
            </w:r>
            <w:r>
              <w:rPr>
                <w:rFonts w:hint="eastAsia" w:ascii="宋体" w:hAnsi="宋体" w:eastAsia="宋体" w:cs="宋体"/>
                <w:color w:val="000000"/>
                <w:sz w:val="24"/>
                <w:szCs w:val="24"/>
                <w:highlight w:val="none"/>
              </w:rPr>
            </w:r>
            <w:r/>
          </w:p>
          <w:p>
            <w:pPr>
              <w:pStyle w:val="779"/>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本项最高得5分，最低得0分。</w:t>
            </w:r>
            <w:r>
              <w:rPr>
                <w:rFonts w:hint="eastAsia" w:ascii="宋体" w:hAnsi="宋体" w:eastAsia="宋体" w:cs="宋体"/>
                <w:color w:val="000000"/>
                <w:sz w:val="24"/>
                <w:szCs w:val="24"/>
                <w:highlight w:val="none"/>
              </w:rPr>
            </w:r>
            <w:r/>
          </w:p>
        </w:tc>
      </w:tr>
      <w:tr>
        <w:trPr>
          <w:cantSplit/>
          <w:trHeight w:val="800"/>
        </w:trPr>
        <w:tc>
          <w:tcPr>
            <w:tcW w:w="1451" w:type="dxa"/>
            <w:vAlign w:val="center"/>
            <w:textDirection w:val="lrTb"/>
            <w:noWrap w:val="false"/>
          </w:tcPr>
          <w:p>
            <w:pPr>
              <w:pStyle w:val="779"/>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应急保障方案（</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tc>
        <w:tc>
          <w:tcPr>
            <w:tcW w:w="8078" w:type="dxa"/>
            <w:vAlign w:val="center"/>
            <w:textDirection w:val="lrTb"/>
            <w:noWrap w:val="false"/>
          </w:tcPr>
          <w:p>
            <w:pPr>
              <w:pStyle w:val="779"/>
              <w:jc w:val="lef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依据投标人针对本项目线路安全稳定运行而提供的应急保障方案，对方案的针对性、可行性等进行评价。</w:t>
            </w:r>
            <w:r>
              <w:rPr>
                <w:rFonts w:hint="eastAsia" w:ascii="宋体" w:hAnsi="宋体" w:eastAsia="宋体" w:cs="宋体"/>
                <w:color w:val="000000"/>
                <w:sz w:val="24"/>
                <w:szCs w:val="24"/>
                <w:highlight w:val="none"/>
              </w:rPr>
            </w:r>
            <w:r/>
          </w:p>
          <w:p>
            <w:pPr>
              <w:pStyle w:val="779"/>
              <w:jc w:val="lef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针对性(</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分)：针对性强得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分；针对性一般的得</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分；欠缺针对性的得1分。</w:t>
            </w:r>
            <w:r>
              <w:rPr>
                <w:rFonts w:hint="eastAsia" w:ascii="宋体" w:hAnsi="宋体" w:eastAsia="宋体" w:cs="宋体"/>
                <w:color w:val="000000"/>
                <w:sz w:val="24"/>
                <w:szCs w:val="24"/>
                <w:highlight w:val="none"/>
              </w:rPr>
            </w:r>
            <w:r/>
          </w:p>
          <w:p>
            <w:pPr>
              <w:pStyle w:val="779"/>
              <w:jc w:val="lef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可行性（3分）：切实可行的得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分；较为可行的得2分；缺乏可行性的得1分。</w:t>
            </w:r>
            <w:r>
              <w:rPr>
                <w:rFonts w:hint="eastAsia" w:ascii="宋体" w:hAnsi="宋体" w:eastAsia="宋体" w:cs="宋体"/>
                <w:color w:val="000000"/>
                <w:sz w:val="24"/>
                <w:szCs w:val="24"/>
                <w:highlight w:val="none"/>
              </w:rPr>
            </w:r>
            <w:r/>
          </w:p>
          <w:p>
            <w:pPr>
              <w:pStyle w:val="779"/>
              <w:jc w:val="lef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未提供的不得分。本项最高得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分，最低不得分。</w:t>
            </w:r>
            <w:r>
              <w:rPr>
                <w:rFonts w:hint="eastAsia" w:ascii="宋体" w:hAnsi="宋体" w:eastAsia="宋体" w:cs="宋体"/>
                <w:color w:val="000000"/>
                <w:sz w:val="24"/>
                <w:szCs w:val="24"/>
                <w:highlight w:val="none"/>
              </w:rPr>
            </w:r>
            <w:r/>
          </w:p>
        </w:tc>
      </w:tr>
    </w:tbl>
    <w:p>
      <w:pPr>
        <w:pStyle w:val="779"/>
        <w:ind w:firstLine="600"/>
        <w:spacing w:line="519" w:lineRule="atLeas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000000"/>
          <w:sz w:val="24"/>
          <w:szCs w:val="24"/>
          <w:highlight w:val="none"/>
          <w:lang w:eastAsia="zh-CN"/>
        </w:rPr>
        <w:t xml:space="preserve">本章说明：</w:t>
      </w:r>
      <w:r>
        <w:rPr>
          <w:rFonts w:hint="eastAsia" w:ascii="宋体" w:hAnsi="宋体" w:eastAsia="宋体" w:cs="宋体"/>
          <w:color w:val="000000"/>
          <w:sz w:val="24"/>
          <w:szCs w:val="24"/>
          <w:highlight w:val="none"/>
          <w:lang w:val="en-US" w:eastAsia="zh-CN"/>
        </w:rPr>
        <w:t xml:space="preserve">本项目采用综合评分法。评分结果精确到小数点后两位。</w:t>
      </w:r>
      <w:r>
        <w:rPr>
          <w:rFonts w:hint="eastAsia" w:ascii="宋体" w:hAnsi="宋体" w:eastAsia="宋体" w:cs="宋体"/>
          <w:color w:val="000000"/>
          <w:sz w:val="24"/>
          <w:szCs w:val="24"/>
          <w:highlight w:val="none"/>
          <w:lang w:val="en-US" w:eastAsia="zh-CN"/>
        </w:rPr>
      </w:r>
      <w:r/>
    </w:p>
    <w:p>
      <w:pPr>
        <w:pStyle w:val="779"/>
        <w:jc w:val="center"/>
        <w:spacing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第五章 拟签订的合同文本</w:t>
      </w:r>
      <w:r>
        <w:rPr>
          <w:rFonts w:hint="eastAsia" w:ascii="宋体" w:hAnsi="宋体" w:eastAsia="宋体" w:cs="宋体"/>
          <w:b/>
          <w:bCs/>
          <w:color w:val="000000"/>
          <w:sz w:val="30"/>
          <w:szCs w:val="30"/>
          <w:highlight w:val="none"/>
        </w:rPr>
      </w:r>
      <w:r/>
    </w:p>
    <w:p>
      <w:pPr>
        <w:pStyle w:val="779"/>
        <w:rPr>
          <w:rFonts w:hint="eastAsia" w:ascii="宋体" w:hAnsi="宋体" w:eastAsia="宋体" w:cs="宋体"/>
          <w:b/>
          <w:color w:val="000000"/>
          <w:sz w:val="52"/>
          <w:szCs w:val="36"/>
          <w:highlight w:val="none"/>
        </w:rPr>
      </w:pPr>
      <w:r>
        <w:rPr>
          <w:rFonts w:hint="eastAsia" w:ascii="宋体" w:hAnsi="宋体" w:eastAsia="宋体" w:cs="宋体"/>
          <w:b/>
          <w:color w:val="000000"/>
          <w:sz w:val="52"/>
          <w:szCs w:val="36"/>
          <w:highlight w:val="none"/>
        </w:rPr>
      </w:r>
      <w:r/>
    </w:p>
    <w:p>
      <w:pPr>
        <w:pStyle w:val="779"/>
        <w:jc w:val="center"/>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779"/>
        <w:jc w:val="center"/>
        <w:spacing w:line="1000" w:lineRule="exact"/>
        <w:rPr>
          <w:rFonts w:hint="eastAsia" w:ascii="宋体" w:hAnsi="宋体" w:eastAsia="宋体" w:cs="宋体"/>
          <w:b/>
          <w:color w:val="000000"/>
          <w:sz w:val="72"/>
          <w:szCs w:val="72"/>
          <w:highlight w:val="none"/>
          <w:lang w:eastAsia="zh-CN"/>
        </w:rPr>
      </w:pPr>
      <w:r>
        <w:rPr>
          <w:rFonts w:hint="eastAsia" w:ascii="宋体" w:hAnsi="宋体" w:eastAsia="宋体" w:cs="宋体"/>
          <w:b/>
          <w:color w:val="000000"/>
          <w:sz w:val="72"/>
          <w:szCs w:val="72"/>
          <w:highlight w:val="none"/>
          <w:lang w:eastAsia="zh-CN"/>
        </w:rPr>
        <w:t xml:space="preserve">政 府 采 购 合 同</w:t>
      </w:r>
      <w:r>
        <w:rPr>
          <w:rFonts w:hint="eastAsia" w:ascii="宋体" w:hAnsi="宋体" w:eastAsia="宋体" w:cs="宋体"/>
          <w:b/>
          <w:color w:val="000000"/>
          <w:sz w:val="72"/>
          <w:szCs w:val="72"/>
          <w:highlight w:val="none"/>
          <w:lang w:eastAsia="zh-CN"/>
        </w:rPr>
      </w:r>
      <w:r/>
    </w:p>
    <w:p>
      <w:pPr>
        <w:pStyle w:val="779"/>
        <w:spacing w:line="400" w:lineRule="exact"/>
        <w:rPr>
          <w:rFonts w:hint="eastAsia" w:ascii="宋体" w:hAnsi="宋体" w:eastAsia="宋体" w:cs="宋体"/>
          <w:b/>
          <w:color w:val="000000"/>
          <w:sz w:val="36"/>
          <w:szCs w:val="36"/>
          <w:highlight w:val="none"/>
          <w:lang w:eastAsia="zh-CN"/>
        </w:rPr>
      </w:pPr>
      <w:r>
        <w:rPr>
          <w:rFonts w:hint="eastAsia" w:ascii="宋体" w:hAnsi="宋体" w:eastAsia="宋体" w:cs="宋体"/>
          <w:b/>
          <w:color w:val="000000"/>
          <w:sz w:val="36"/>
          <w:szCs w:val="36"/>
          <w:highlight w:val="none"/>
          <w:lang w:eastAsia="zh-CN"/>
        </w:rPr>
      </w:r>
      <w:r/>
    </w:p>
    <w:p>
      <w:pPr>
        <w:pStyle w:val="779"/>
        <w:spacing w:line="400" w:lineRule="exact"/>
        <w:rPr>
          <w:rFonts w:hint="eastAsia" w:ascii="宋体" w:hAnsi="宋体" w:eastAsia="宋体" w:cs="宋体"/>
          <w:b/>
          <w:color w:val="000000"/>
          <w:sz w:val="36"/>
          <w:szCs w:val="36"/>
          <w:highlight w:val="none"/>
          <w:lang w:eastAsia="zh-CN"/>
        </w:rPr>
      </w:pPr>
      <w:r>
        <w:rPr>
          <w:rFonts w:hint="eastAsia" w:ascii="宋体" w:hAnsi="宋体" w:eastAsia="宋体" w:cs="宋体"/>
          <w:b/>
          <w:color w:val="000000"/>
          <w:sz w:val="36"/>
          <w:szCs w:val="36"/>
          <w:highlight w:val="none"/>
          <w:lang w:eastAsia="zh-CN"/>
        </w:rPr>
      </w:r>
      <w:r/>
    </w:p>
    <w:p>
      <w:pPr>
        <w:pStyle w:val="779"/>
        <w:spacing w:line="400" w:lineRule="exact"/>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r>
      <w:r/>
    </w:p>
    <w:p>
      <w:pPr>
        <w:pStyle w:val="779"/>
        <w:spacing w:line="400" w:lineRule="exact"/>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t xml:space="preserve">项目编号：</w:t>
      </w:r>
      <w:r>
        <w:rPr>
          <w:rFonts w:hint="eastAsia" w:ascii="宋体" w:hAnsi="宋体" w:eastAsia="宋体" w:cs="宋体"/>
          <w:b/>
          <w:color w:val="000000"/>
          <w:sz w:val="32"/>
          <w:szCs w:val="32"/>
          <w:highlight w:val="none"/>
          <w:lang w:eastAsia="zh-CN"/>
        </w:rPr>
      </w:r>
      <w:r/>
    </w:p>
    <w:p>
      <w:pPr>
        <w:pStyle w:val="779"/>
        <w:spacing w:line="400" w:lineRule="exact"/>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r>
      <w:r/>
    </w:p>
    <w:p>
      <w:pPr>
        <w:pStyle w:val="779"/>
        <w:spacing w:line="400" w:lineRule="exact"/>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t xml:space="preserve">项目名称：</w:t>
      </w:r>
      <w:r>
        <w:rPr>
          <w:rFonts w:hint="eastAsia" w:ascii="宋体" w:hAnsi="宋体" w:eastAsia="宋体" w:cs="宋体"/>
          <w:b/>
          <w:color w:val="000000"/>
          <w:sz w:val="32"/>
          <w:szCs w:val="32"/>
          <w:highlight w:val="none"/>
          <w:lang w:eastAsia="zh-CN"/>
        </w:rPr>
      </w:r>
      <w:r/>
    </w:p>
    <w:p>
      <w:pPr>
        <w:pStyle w:val="779"/>
        <w:spacing w:line="400" w:lineRule="exact"/>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r>
      <w:r/>
    </w:p>
    <w:p>
      <w:pPr>
        <w:pStyle w:val="779"/>
        <w:spacing w:line="400" w:lineRule="exact"/>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t xml:space="preserve">采购单位（甲方）：徐州市公安局</w:t>
      </w:r>
      <w:r>
        <w:rPr>
          <w:rFonts w:hint="eastAsia" w:ascii="宋体" w:hAnsi="宋体" w:eastAsia="宋体" w:cs="宋体"/>
          <w:b/>
          <w:color w:val="000000"/>
          <w:sz w:val="32"/>
          <w:szCs w:val="32"/>
          <w:highlight w:val="none"/>
          <w:lang w:eastAsia="zh-CN"/>
        </w:rPr>
      </w:r>
      <w:r/>
    </w:p>
    <w:p>
      <w:pPr>
        <w:pStyle w:val="779"/>
        <w:spacing w:line="400" w:lineRule="exact"/>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r>
      <w:r/>
    </w:p>
    <w:p>
      <w:pPr>
        <w:pStyle w:val="779"/>
        <w:spacing w:line="400" w:lineRule="exact"/>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t xml:space="preserve">中标供应商（乙方）：</w:t>
      </w:r>
      <w:r>
        <w:rPr>
          <w:rFonts w:hint="eastAsia" w:ascii="宋体" w:hAnsi="宋体" w:eastAsia="宋体" w:cs="宋体"/>
          <w:b/>
          <w:color w:val="000000"/>
          <w:sz w:val="32"/>
          <w:szCs w:val="32"/>
          <w:highlight w:val="none"/>
          <w:lang w:eastAsia="zh-CN"/>
        </w:rPr>
      </w:r>
      <w:r/>
    </w:p>
    <w:p>
      <w:pPr>
        <w:pStyle w:val="779"/>
        <w:spacing w:line="400" w:lineRule="exact"/>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r>
      <w:r/>
    </w:p>
    <w:p>
      <w:pPr>
        <w:pStyle w:val="779"/>
        <w:spacing w:line="400" w:lineRule="exact"/>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t xml:space="preserve">签订日期：    年  月  日</w:t>
      </w:r>
      <w:r>
        <w:rPr>
          <w:rFonts w:hint="eastAsia" w:ascii="宋体" w:hAnsi="宋体" w:eastAsia="宋体" w:cs="宋体"/>
          <w:b/>
          <w:color w:val="000000"/>
          <w:sz w:val="32"/>
          <w:szCs w:val="32"/>
          <w:highlight w:val="none"/>
          <w:lang w:eastAsia="zh-CN"/>
        </w:rPr>
      </w:r>
      <w:r/>
    </w:p>
    <w:p>
      <w:pPr>
        <w:pStyle w:val="779"/>
        <w:jc w:val="both"/>
        <w:spacing w:after="0" w:line="400" w:lineRule="exact"/>
        <w:widowControl w:val="off"/>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r>
      <w:r/>
    </w:p>
    <w:p>
      <w:pPr>
        <w:pStyle w:val="779"/>
        <w:jc w:val="both"/>
        <w:spacing w:after="0" w:line="400" w:lineRule="exact"/>
        <w:widowControl w:val="off"/>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r>
      <w:r/>
    </w:p>
    <w:p>
      <w:pPr>
        <w:pStyle w:val="779"/>
        <w:jc w:val="both"/>
        <w:spacing w:after="0" w:line="400" w:lineRule="exact"/>
        <w:widowControl w:val="off"/>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友情提醒：采购人与中标、成交供应商应当在中标、成交通知书发出之日起三十日内，按照采购文件确定的事项签订政府采购合同。</w:t>
      </w:r>
      <w:r>
        <w:rPr>
          <w:rFonts w:hint="eastAsia" w:ascii="宋体" w:hAnsi="宋体" w:eastAsia="宋体" w:cs="宋体"/>
          <w:b/>
          <w:color w:val="000000"/>
          <w:sz w:val="24"/>
          <w:szCs w:val="24"/>
          <w:highlight w:val="none"/>
          <w:lang w:eastAsia="zh-CN"/>
        </w:rPr>
      </w:r>
      <w:r/>
    </w:p>
    <w:p>
      <w:pPr>
        <w:pStyle w:val="779"/>
        <w:spacing w:after="0" w:line="400" w:lineRule="exact"/>
        <w:rPr>
          <w:rFonts w:hint="eastAsia" w:ascii="宋体" w:hAnsi="宋体" w:eastAsia="宋体" w:cs="宋体"/>
          <w:b/>
          <w:color w:val="000000"/>
          <w:sz w:val="24"/>
          <w:highlight w:val="none"/>
          <w:lang w:eastAsia="zh-CN"/>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24"/>
          <w:szCs w:val="24"/>
          <w:highlight w:val="none"/>
          <w:lang w:eastAsia="zh-CN"/>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eastAsia="宋体" w:cs="宋体"/>
          <w:b/>
          <w:color w:val="000000"/>
          <w:sz w:val="24"/>
          <w:highlight w:val="none"/>
          <w:lang w:eastAsia="zh-CN"/>
        </w:rPr>
      </w:r>
      <w:r/>
    </w:p>
    <w:p>
      <w:pPr>
        <w:pStyle w:val="779"/>
        <w:jc w:val="center"/>
        <w:spacing w:line="400" w:lineRule="exact"/>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徐州市公安局JZ租用机房机柜项目合同</w:t>
      </w:r>
      <w:r>
        <w:rPr>
          <w:rFonts w:hint="eastAsia" w:ascii="宋体" w:hAnsi="宋体" w:eastAsia="宋体" w:cs="宋体"/>
          <w:b/>
          <w:bCs/>
          <w:color w:val="000000"/>
          <w:sz w:val="24"/>
          <w:szCs w:val="24"/>
          <w:highlight w:val="none"/>
          <w:lang w:eastAsia="zh-CN"/>
        </w:rPr>
      </w:r>
      <w:r/>
    </w:p>
    <w:p>
      <w:pPr>
        <w:pStyle w:val="779"/>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796"/>
        <w:ind w:firstLine="5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（声明：本合同条款是招标文件的一部分，本合同条款将是最终合同条款的重要组成部分，在最终合同签订时，采购人根据情况可能会对合同条款进行合理必要的调整。）</w:t>
      </w:r>
      <w:r>
        <w:rPr>
          <w:rFonts w:hint="eastAsia" w:ascii="宋体" w:hAnsi="宋体" w:eastAsia="宋体" w:cs="宋体"/>
          <w:color w:val="000000"/>
          <w:sz w:val="24"/>
          <w:szCs w:val="24"/>
          <w:highlight w:val="none"/>
        </w:rPr>
      </w:r>
      <w:r/>
    </w:p>
    <w:p>
      <w:pPr>
        <w:pStyle w:val="796"/>
        <w:ind w:firstLine="5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根据《中华人民共和国民法典》及有关法律、法规的规定，甲乙双方在自愿、公平、诚实信用、等价有偿原则的基础上，经充分协商，就乙方向甲方提供机柜租</w:t>
      </w:r>
      <w:r>
        <w:rPr>
          <w:rFonts w:hint="eastAsia" w:ascii="宋体" w:hAnsi="宋体" w:eastAsia="宋体" w:cs="宋体"/>
          <w:color w:val="000000"/>
          <w:sz w:val="24"/>
          <w:szCs w:val="24"/>
          <w:highlight w:val="none"/>
          <w:lang w:eastAsia="zh-CN"/>
        </w:rPr>
        <w:t xml:space="preserve">用</w:t>
      </w:r>
      <w:r>
        <w:rPr>
          <w:rFonts w:hint="eastAsia" w:ascii="宋体" w:hAnsi="宋体" w:eastAsia="宋体" w:cs="宋体"/>
          <w:color w:val="000000"/>
          <w:sz w:val="24"/>
          <w:szCs w:val="24"/>
          <w:highlight w:val="none"/>
        </w:rPr>
        <w:t xml:space="preserve">事项，订立本合同。</w:t>
      </w:r>
      <w:r>
        <w:rPr>
          <w:rFonts w:hint="eastAsia" w:ascii="宋体" w:hAnsi="宋体" w:eastAsia="宋体" w:cs="宋体"/>
          <w:color w:val="000000"/>
          <w:sz w:val="24"/>
          <w:szCs w:val="24"/>
          <w:highlight w:val="none"/>
        </w:rPr>
      </w:r>
      <w:r/>
    </w:p>
    <w:p>
      <w:pPr>
        <w:pStyle w:val="779"/>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779"/>
        <w:spacing w:line="360" w:lineRule="auto"/>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u w:val="single"/>
          <w:lang w:eastAsia="zh-CN"/>
        </w:rPr>
      </w:r>
      <w:r/>
    </w:p>
    <w:p>
      <w:pPr>
        <w:pStyle w:val="779"/>
        <w:spacing w:line="360" w:lineRule="auto"/>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u w:val="single"/>
          <w:lang w:eastAsia="zh-CN"/>
        </w:rPr>
      </w:r>
      <w:r/>
    </w:p>
    <w:p>
      <w:pPr>
        <w:pStyle w:val="817"/>
        <w:ind w:firstLine="562"/>
        <w:jc w:val="both"/>
        <w:spacing w:before="0" w:after="0" w:line="360" w:lineRule="auto"/>
        <w:rPr>
          <w:rFonts w:hint="eastAsia" w:ascii="宋体" w:hAnsi="宋体" w:eastAsia="宋体" w:cs="宋体"/>
          <w:b/>
          <w:bCs/>
          <w:color w:val="000000"/>
          <w:sz w:val="24"/>
          <w:szCs w:val="24"/>
          <w:highlight w:val="none"/>
          <w:lang w:eastAsia="zh-CN"/>
        </w:rPr>
        <w:outlineLvl w:val="1"/>
      </w:pPr>
      <w:r/>
      <w:bookmarkStart w:id="1" w:name="_Toc479777280"/>
      <w:r>
        <w:rPr>
          <w:rFonts w:hint="eastAsia" w:ascii="宋体" w:hAnsi="宋体" w:eastAsia="宋体" w:cs="宋体"/>
          <w:b/>
          <w:bCs/>
          <w:color w:val="000000"/>
          <w:sz w:val="24"/>
          <w:szCs w:val="24"/>
          <w:highlight w:val="none"/>
          <w:lang w:eastAsia="zh-CN"/>
        </w:rPr>
        <w:t xml:space="preserve">一、合同期限、合同解除及终止</w:t>
      </w:r>
      <w:bookmarkEnd w:id="1"/>
      <w:r>
        <w:rPr>
          <w:rFonts w:hint="eastAsia" w:ascii="宋体" w:hAnsi="宋体" w:eastAsia="宋体" w:cs="宋体"/>
          <w:b/>
          <w:bCs/>
          <w:color w:val="000000"/>
          <w:sz w:val="24"/>
          <w:szCs w:val="24"/>
          <w:highlight w:val="none"/>
          <w:lang w:eastAsia="zh-CN"/>
        </w:rPr>
      </w:r>
      <w:r/>
    </w:p>
    <w:p>
      <w:pPr>
        <w:pStyle w:val="782"/>
        <w:ind w:firstLine="560"/>
        <w:spacing w:before="0" w:after="0" w:line="360" w:lineRule="auto"/>
        <w:rPr>
          <w:rFonts w:hint="eastAsia" w:ascii="宋体" w:hAnsi="宋体" w:eastAsia="宋体" w:cs="宋体"/>
          <w:color w:val="000000"/>
          <w:sz w:val="24"/>
          <w:szCs w:val="24"/>
          <w:highlight w:val="none"/>
          <w:lang w:eastAsia="zh-CN"/>
        </w:rPr>
      </w:pPr>
      <w:r/>
      <w:bookmarkStart w:id="2" w:name="_Toc479777281"/>
      <w:r>
        <w:rPr>
          <w:rFonts w:hint="eastAsia" w:ascii="宋体" w:hAnsi="宋体" w:eastAsia="宋体" w:cs="宋体"/>
          <w:color w:val="000000"/>
          <w:sz w:val="24"/>
          <w:szCs w:val="24"/>
          <w:highlight w:val="none"/>
          <w:lang w:eastAsia="zh-CN"/>
        </w:rPr>
        <w:t xml:space="preserve">1.合同期限</w:t>
      </w:r>
      <w:bookmarkEnd w:id="2"/>
      <w:r>
        <w:rPr>
          <w:rFonts w:hint="eastAsia" w:ascii="宋体" w:hAnsi="宋体" w:eastAsia="宋体" w:cs="宋体"/>
          <w:color w:val="000000"/>
          <w:sz w:val="24"/>
          <w:szCs w:val="24"/>
          <w:highlight w:val="none"/>
          <w:lang w:eastAsia="zh-CN"/>
        </w:rPr>
      </w:r>
      <w:r/>
    </w:p>
    <w:p>
      <w:pPr>
        <w:pStyle w:val="779"/>
        <w:ind w:firstLine="560"/>
        <w:jc w:val="both"/>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bookmarkStart w:id="3" w:name="_Toc479777282"/>
      <w:r>
        <w:rPr>
          <w:rFonts w:hint="eastAsia" w:ascii="宋体" w:hAnsi="宋体" w:eastAsia="宋体" w:cs="宋体"/>
          <w:color w:val="000000"/>
          <w:sz w:val="24"/>
          <w:szCs w:val="24"/>
          <w:highlight w:val="none"/>
          <w:lang w:val="en-US" w:eastAsia="zh-CN" w:bidi="ar-SA"/>
        </w:rPr>
        <w:t xml:space="preserve">1.1本合同服务期限为1年。自</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年</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月</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日起至</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年</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月</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日止。</w:t>
      </w:r>
      <w:r>
        <w:rPr>
          <w:rFonts w:hint="eastAsia" w:ascii="宋体" w:hAnsi="宋体" w:eastAsia="宋体" w:cs="宋体"/>
          <w:color w:val="000000"/>
          <w:sz w:val="24"/>
          <w:szCs w:val="24"/>
          <w:highlight w:val="none"/>
          <w:lang w:val="en-US" w:eastAsia="zh-CN" w:bidi="ar-SA"/>
        </w:rPr>
      </w:r>
      <w:r/>
    </w:p>
    <w:p>
      <w:pPr>
        <w:pStyle w:val="779"/>
        <w:ind w:firstLine="560"/>
        <w:jc w:val="both"/>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甲方可以根据具体业务工作需要调整合同履行期限，甲方需提前30日书面通知乙方，乙方需无条件响应。因甲方调整合同履行期限导致乙方产生额外成本或费用的，由乙方自行承担，合同价款不作调整。</w:t>
      </w:r>
      <w:r>
        <w:rPr>
          <w:rFonts w:hint="eastAsia" w:ascii="宋体" w:hAnsi="宋体" w:eastAsia="宋体" w:cs="宋体"/>
          <w:color w:val="000000"/>
          <w:sz w:val="24"/>
          <w:szCs w:val="24"/>
          <w:highlight w:val="none"/>
          <w:lang w:val="en-US" w:eastAsia="zh-CN" w:bidi="ar-SA"/>
        </w:rPr>
      </w:r>
      <w:r/>
    </w:p>
    <w:p>
      <w:pPr>
        <w:pStyle w:val="779"/>
        <w:ind w:firstLine="560"/>
        <w:jc w:val="both"/>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 不论本合同是否变更、解除或终止，本合同的保密义务、知识产权、违约责任、责任限定条款以及各自的应付账款（包括服务费、违约金及赔偿金），将在合同有效期结束后持续有效。</w:t>
      </w:r>
      <w:r>
        <w:rPr>
          <w:rFonts w:hint="eastAsia" w:ascii="宋体" w:hAnsi="宋体" w:eastAsia="宋体" w:cs="宋体"/>
          <w:color w:val="000000"/>
          <w:sz w:val="24"/>
          <w:szCs w:val="24"/>
          <w:highlight w:val="none"/>
          <w:lang w:val="en-US" w:eastAsia="zh-CN" w:bidi="ar-SA"/>
        </w:rPr>
      </w:r>
      <w:r/>
    </w:p>
    <w:p>
      <w:pPr>
        <w:pStyle w:val="779"/>
        <w:ind w:firstLine="560"/>
        <w:jc w:val="both"/>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 如双方未对合同有效期（如有的话，应依据补充协议调整后的有效期，下同）进行任何变更或提前解除本合同，则本合同在有效期届满后终止。</w:t>
      </w:r>
      <w:r>
        <w:rPr>
          <w:rFonts w:hint="eastAsia" w:ascii="宋体" w:hAnsi="宋体" w:eastAsia="宋体" w:cs="宋体"/>
          <w:color w:val="000000"/>
          <w:sz w:val="24"/>
          <w:szCs w:val="24"/>
          <w:highlight w:val="none"/>
          <w:lang w:val="en-US" w:eastAsia="zh-CN" w:bidi="ar-SA"/>
        </w:rPr>
      </w:r>
      <w:r/>
    </w:p>
    <w:p>
      <w:pPr>
        <w:pStyle w:val="782"/>
        <w:ind w:firstLine="56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2.合同解除</w:t>
      </w:r>
      <w:bookmarkEnd w:id="3"/>
      <w:r>
        <w:rPr>
          <w:rFonts w:hint="eastAsia" w:ascii="宋体" w:hAnsi="宋体" w:eastAsia="宋体" w:cs="宋体"/>
          <w:color w:val="000000"/>
          <w:sz w:val="24"/>
          <w:szCs w:val="24"/>
          <w:highlight w:val="none"/>
          <w:lang w:eastAsia="zh-CN"/>
        </w:rPr>
      </w:r>
      <w:r/>
    </w:p>
    <w:p>
      <w:pPr>
        <w:pStyle w:val="796"/>
        <w:ind w:firstLine="5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2.1乙方有下列违约行为之一，经甲方催告后30日内仍未予以有效补救的，甲方有权立即通知乙方解除合同：</w:t>
      </w:r>
      <w:r>
        <w:rPr>
          <w:rFonts w:hint="eastAsia" w:ascii="宋体" w:hAnsi="宋体" w:eastAsia="宋体" w:cs="宋体"/>
          <w:color w:val="000000"/>
          <w:sz w:val="24"/>
          <w:szCs w:val="24"/>
          <w:highlight w:val="none"/>
        </w:rPr>
      </w:r>
      <w:r/>
    </w:p>
    <w:p>
      <w:pPr>
        <w:pStyle w:val="796"/>
        <w:ind w:firstLine="5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1）未能按时按质交付服务设施；</w:t>
      </w:r>
      <w:r>
        <w:rPr>
          <w:rFonts w:hint="eastAsia" w:ascii="宋体" w:hAnsi="宋体" w:eastAsia="宋体" w:cs="宋体"/>
          <w:color w:val="000000"/>
          <w:sz w:val="24"/>
          <w:szCs w:val="24"/>
          <w:highlight w:val="none"/>
        </w:rPr>
      </w:r>
      <w:r/>
    </w:p>
    <w:p>
      <w:pPr>
        <w:pStyle w:val="796"/>
        <w:ind w:firstLine="5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2）未能提供本合同约定的服务，并已因此发生严重影响甲方业务的事件或甲方设备的运行事故。</w:t>
      </w:r>
      <w:r>
        <w:rPr>
          <w:rFonts w:hint="eastAsia" w:ascii="宋体" w:hAnsi="宋体" w:eastAsia="宋体" w:cs="宋体"/>
          <w:color w:val="000000"/>
          <w:sz w:val="24"/>
          <w:szCs w:val="24"/>
          <w:highlight w:val="none"/>
        </w:rPr>
      </w:r>
      <w:r/>
    </w:p>
    <w:p>
      <w:pPr>
        <w:pStyle w:val="796"/>
        <w:ind w:firstLine="5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2.2满足下列条件时，乙方可在书面通知甲方后，终止本合同：</w:t>
      </w:r>
      <w:r>
        <w:rPr>
          <w:rFonts w:hint="eastAsia" w:ascii="宋体" w:hAnsi="宋体" w:eastAsia="宋体" w:cs="宋体"/>
          <w:color w:val="000000"/>
          <w:sz w:val="24"/>
          <w:szCs w:val="24"/>
          <w:highlight w:val="none"/>
        </w:rPr>
      </w:r>
      <w:r/>
    </w:p>
    <w:p>
      <w:pPr>
        <w:pStyle w:val="796"/>
        <w:ind w:firstLine="5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1）甲方严重违反其在本合同项下的任何义务，且违约事件在收到乙方要求纠正该违约的书面通知后的20个工作日内未得到纠正；</w:t>
      </w:r>
      <w:r>
        <w:rPr>
          <w:rFonts w:hint="eastAsia" w:ascii="宋体" w:hAnsi="宋体" w:eastAsia="宋体" w:cs="宋体"/>
          <w:color w:val="000000"/>
          <w:sz w:val="24"/>
          <w:szCs w:val="24"/>
          <w:highlight w:val="none"/>
        </w:rPr>
      </w:r>
      <w:r/>
    </w:p>
    <w:p>
      <w:pPr>
        <w:pStyle w:val="796"/>
        <w:ind w:firstLine="5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2）甲方受到破产管制；</w:t>
      </w:r>
      <w:r>
        <w:rPr>
          <w:rFonts w:hint="eastAsia" w:ascii="宋体" w:hAnsi="宋体" w:eastAsia="宋体" w:cs="宋体"/>
          <w:color w:val="000000"/>
          <w:sz w:val="24"/>
          <w:szCs w:val="24"/>
          <w:highlight w:val="none"/>
        </w:rPr>
      </w:r>
      <w:r/>
    </w:p>
    <w:p>
      <w:pPr>
        <w:pStyle w:val="796"/>
        <w:ind w:firstLine="5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2.3满足下列条件时，甲方可在书面通知乙方后，终止本合同：</w:t>
      </w:r>
      <w:r>
        <w:rPr>
          <w:rFonts w:hint="eastAsia" w:ascii="宋体" w:hAnsi="宋体" w:eastAsia="宋体" w:cs="宋体"/>
          <w:color w:val="000000"/>
          <w:sz w:val="24"/>
          <w:szCs w:val="24"/>
          <w:highlight w:val="none"/>
        </w:rPr>
      </w:r>
      <w:r/>
    </w:p>
    <w:p>
      <w:pPr>
        <w:pStyle w:val="796"/>
        <w:ind w:firstLine="5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1）乙方严重违反其在本合同项下的任何义务，且违约事件在收到甲方要求纠正该违约的书面通知后的20个工作日内未得到纠正； </w:t>
      </w:r>
      <w:r>
        <w:rPr>
          <w:rFonts w:hint="eastAsia" w:ascii="宋体" w:hAnsi="宋体" w:eastAsia="宋体" w:cs="宋体"/>
          <w:color w:val="000000"/>
          <w:sz w:val="24"/>
          <w:szCs w:val="24"/>
          <w:highlight w:val="none"/>
        </w:rPr>
      </w:r>
      <w:r/>
    </w:p>
    <w:p>
      <w:pPr>
        <w:pStyle w:val="796"/>
        <w:ind w:firstLine="5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2）乙方受到破产管制； </w:t>
      </w:r>
      <w:r>
        <w:rPr>
          <w:rFonts w:hint="eastAsia" w:ascii="宋体" w:hAnsi="宋体" w:eastAsia="宋体" w:cs="宋体"/>
          <w:color w:val="000000"/>
          <w:sz w:val="24"/>
          <w:szCs w:val="24"/>
          <w:highlight w:val="none"/>
        </w:rPr>
      </w:r>
      <w:r/>
    </w:p>
    <w:p>
      <w:pPr>
        <w:pStyle w:val="796"/>
        <w:ind w:firstLine="5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3）乙方违反本合同保密条款，则可立即终止合同。</w:t>
      </w:r>
      <w:r>
        <w:rPr>
          <w:rFonts w:hint="eastAsia" w:ascii="宋体" w:hAnsi="宋体" w:eastAsia="宋体" w:cs="宋体"/>
          <w:color w:val="000000"/>
          <w:sz w:val="24"/>
          <w:szCs w:val="24"/>
          <w:highlight w:val="none"/>
        </w:rPr>
      </w:r>
      <w:r/>
    </w:p>
    <w:p>
      <w:pPr>
        <w:pStyle w:val="796"/>
        <w:ind w:firstLine="5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2.4甲方对乙方进行</w:t>
      </w:r>
      <w:r>
        <w:rPr>
          <w:rFonts w:hint="eastAsia" w:ascii="宋体" w:hAnsi="宋体" w:eastAsia="宋体" w:cs="宋体"/>
          <w:color w:val="000000"/>
          <w:sz w:val="24"/>
          <w:szCs w:val="24"/>
          <w:highlight w:val="none"/>
          <w:lang w:val="en-US" w:eastAsia="zh-CN"/>
        </w:rPr>
        <w:t xml:space="preserve">月度</w:t>
      </w:r>
      <w:r>
        <w:rPr>
          <w:rFonts w:hint="eastAsia" w:ascii="宋体" w:hAnsi="宋体" w:eastAsia="宋体" w:cs="宋体"/>
          <w:color w:val="000000"/>
          <w:sz w:val="24"/>
          <w:szCs w:val="24"/>
          <w:highlight w:val="none"/>
        </w:rPr>
        <w:t xml:space="preserve">服务质量考核，月度考核得分低于60分的，采购人向中标人出具书面整改通知；</w:t>
      </w:r>
      <w:r>
        <w:rPr>
          <w:rFonts w:hint="eastAsia" w:ascii="宋体" w:hAnsi="宋体" w:eastAsia="宋体" w:cs="宋体"/>
          <w:color w:val="000000"/>
          <w:sz w:val="24"/>
          <w:szCs w:val="24"/>
          <w:highlight w:val="none"/>
          <w:lang w:val="en-US" w:eastAsia="zh-CN"/>
        </w:rPr>
        <w:t xml:space="preserve">服务期内存在</w:t>
      </w:r>
      <w:r>
        <w:rPr>
          <w:rFonts w:hint="eastAsia" w:ascii="宋体" w:hAnsi="宋体" w:eastAsia="宋体" w:cs="宋体"/>
          <w:color w:val="000000"/>
          <w:sz w:val="24"/>
          <w:szCs w:val="24"/>
          <w:highlight w:val="none"/>
        </w:rPr>
        <w:t xml:space="preserve">两个月考核得分低于60分的，采购人有权解除合同，并按合同约定追究中标人相应违约责任。</w:t>
      </w:r>
      <w:r>
        <w:rPr>
          <w:rFonts w:hint="eastAsia" w:ascii="宋体" w:hAnsi="宋体" w:eastAsia="宋体" w:cs="宋体"/>
          <w:color w:val="000000"/>
          <w:sz w:val="24"/>
          <w:szCs w:val="24"/>
          <w:highlight w:val="none"/>
        </w:rPr>
      </w:r>
      <w:r/>
    </w:p>
    <w:p>
      <w:pPr>
        <w:pStyle w:val="817"/>
        <w:ind w:firstLine="480"/>
        <w:pageBreakBefore w:val="0"/>
        <w:spacing w:before="0" w:after="0"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任何一方如因以上之外的原因要求提前解除合同的，经与另一方协商一致，可按届时的约定提前解除本合同。但法律另有规定的，从其规定。</w:t>
      </w:r>
      <w:bookmarkStart w:id="4" w:name="_Toc479777283"/>
      <w:r>
        <w:rPr>
          <w:rFonts w:hint="eastAsia" w:ascii="宋体" w:hAnsi="宋体" w:eastAsia="宋体" w:cs="宋体"/>
          <w:color w:val="000000"/>
          <w:sz w:val="24"/>
          <w:szCs w:val="24"/>
          <w:highlight w:val="none"/>
        </w:rPr>
      </w:r>
      <w:r/>
    </w:p>
    <w:p>
      <w:pPr>
        <w:pStyle w:val="817"/>
        <w:pageBreakBefore w:val="0"/>
        <w:spacing w:before="0" w:after="0" w:line="360" w:lineRule="auto"/>
        <w:widowControl w:val="off"/>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二、权利和义务</w:t>
      </w:r>
      <w:r>
        <w:rPr>
          <w:rFonts w:hint="eastAsia" w:ascii="宋体" w:hAnsi="宋体" w:eastAsia="宋体" w:cs="宋体"/>
          <w:b/>
          <w:bCs/>
          <w:color w:val="000000"/>
          <w:sz w:val="24"/>
          <w:szCs w:val="24"/>
          <w:highlight w:val="none"/>
        </w:rPr>
      </w:r>
      <w:r/>
    </w:p>
    <w:p>
      <w:pPr>
        <w:pStyle w:val="779"/>
        <w:ind w:firstLine="562"/>
        <w:jc w:val="both"/>
        <w:keepLines/>
        <w:keepNext/>
        <w:pageBreakBefore w:val="0"/>
        <w:spacing w:before="0" w:line="360" w:lineRule="auto"/>
        <w:widowControl w:val="off"/>
        <w:rPr>
          <w:rFonts w:hint="eastAsia" w:ascii="宋体" w:hAnsi="宋体" w:eastAsia="宋体" w:cs="宋体"/>
          <w:color w:val="000000"/>
          <w:sz w:val="24"/>
          <w:szCs w:val="24"/>
          <w:highlight w:val="none"/>
          <w:lang w:val="en-US" w:eastAsia="zh-CN" w:bidi="ar-SA"/>
        </w:rPr>
        <w:outlineLvl w:val="2"/>
      </w:pPr>
      <w:r>
        <w:rPr>
          <w:rFonts w:hint="eastAsia" w:ascii="宋体" w:hAnsi="宋体" w:eastAsia="宋体" w:cs="宋体"/>
          <w:b/>
          <w:bCs/>
          <w:color w:val="000000"/>
          <w:sz w:val="24"/>
          <w:szCs w:val="24"/>
          <w:highlight w:val="none"/>
          <w:lang w:val="en-US" w:eastAsia="zh-CN" w:bidi="ar-SA"/>
        </w:rPr>
        <w:t xml:space="preserve">1、甲方权利与义务</w:t>
      </w:r>
      <w:r>
        <w:rPr>
          <w:rFonts w:hint="eastAsia" w:ascii="宋体" w:hAnsi="宋体" w:eastAsia="宋体" w:cs="宋体"/>
          <w:color w:val="000000"/>
          <w:sz w:val="24"/>
          <w:szCs w:val="24"/>
          <w:highlight w:val="none"/>
          <w:lang w:val="en-US" w:eastAsia="zh-CN" w:bidi="ar-SA"/>
        </w:rPr>
      </w:r>
      <w:r/>
    </w:p>
    <w:p>
      <w:pPr>
        <w:pStyle w:val="779"/>
        <w:ind w:firstLine="5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1）甲方有权在合同规定范围内使用乙方提供的机房。</w:t>
      </w:r>
      <w:r>
        <w:rPr>
          <w:rFonts w:hint="eastAsia" w:ascii="宋体" w:hAnsi="宋体" w:eastAsia="宋体" w:cs="宋体"/>
          <w:color w:val="000000"/>
          <w:sz w:val="24"/>
          <w:szCs w:val="24"/>
          <w:highlight w:val="none"/>
        </w:rPr>
      </w:r>
      <w:r/>
    </w:p>
    <w:p>
      <w:pPr>
        <w:pStyle w:val="779"/>
        <w:ind w:firstLine="5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2）甲方有权获得乙方按照合同规定的事项提供机房运行环境以及相应的技术服务。</w:t>
      </w:r>
      <w:r>
        <w:rPr>
          <w:rFonts w:hint="eastAsia" w:ascii="宋体" w:hAnsi="宋体" w:eastAsia="宋体" w:cs="宋体"/>
          <w:color w:val="000000"/>
          <w:sz w:val="24"/>
          <w:szCs w:val="24"/>
          <w:highlight w:val="none"/>
        </w:rPr>
      </w:r>
      <w:r/>
    </w:p>
    <w:p>
      <w:pPr>
        <w:pStyle w:val="779"/>
        <w:ind w:firstLine="5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3）甲方有权要求乙方提供相关设备和环境的有关技术参数。</w:t>
      </w:r>
      <w:r>
        <w:rPr>
          <w:rFonts w:hint="eastAsia" w:ascii="宋体" w:hAnsi="宋体" w:eastAsia="宋体" w:cs="宋体"/>
          <w:color w:val="000000"/>
          <w:sz w:val="24"/>
          <w:szCs w:val="24"/>
          <w:highlight w:val="none"/>
        </w:rPr>
      </w:r>
      <w:r/>
    </w:p>
    <w:p>
      <w:pPr>
        <w:pStyle w:val="779"/>
        <w:ind w:firstLine="5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4）甲方保证所属托管设备安全、稳定运行，确保不影响机房内其他区域设备的正常运行。</w:t>
      </w:r>
      <w:r>
        <w:rPr>
          <w:rFonts w:hint="eastAsia" w:ascii="宋体" w:hAnsi="宋体" w:eastAsia="宋体" w:cs="宋体"/>
          <w:color w:val="000000"/>
          <w:sz w:val="24"/>
          <w:szCs w:val="24"/>
          <w:highlight w:val="none"/>
        </w:rPr>
      </w:r>
      <w:r/>
    </w:p>
    <w:p>
      <w:pPr>
        <w:pStyle w:val="779"/>
        <w:ind w:firstLine="5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5）甲方应当按规定的时间和方式向乙方支付相应服务费用。</w:t>
      </w:r>
      <w:r>
        <w:rPr>
          <w:rFonts w:hint="eastAsia" w:ascii="宋体" w:hAnsi="宋体" w:eastAsia="宋体" w:cs="宋体"/>
          <w:color w:val="000000"/>
          <w:sz w:val="24"/>
          <w:szCs w:val="24"/>
          <w:highlight w:val="none"/>
        </w:rPr>
      </w:r>
      <w:r/>
    </w:p>
    <w:p>
      <w:pPr>
        <w:pStyle w:val="779"/>
        <w:ind w:firstLine="5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6）甲方如果在乙方场地施工，应按照乙方要求，向乙方提供相应申报手续，待乙方审核批准后进行。</w:t>
      </w:r>
      <w:r>
        <w:rPr>
          <w:rFonts w:hint="eastAsia" w:ascii="宋体" w:hAnsi="宋体" w:eastAsia="宋体" w:cs="宋体"/>
          <w:color w:val="000000"/>
          <w:sz w:val="24"/>
          <w:szCs w:val="24"/>
          <w:highlight w:val="none"/>
        </w:rPr>
      </w:r>
      <w:r/>
    </w:p>
    <w:p>
      <w:pPr>
        <w:pStyle w:val="779"/>
        <w:ind w:firstLine="5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7）甲方不得将乙方所提供服务转让或租借给第三方使用。</w:t>
      </w:r>
      <w:r>
        <w:rPr>
          <w:rFonts w:hint="eastAsia" w:ascii="宋体" w:hAnsi="宋体" w:eastAsia="宋体" w:cs="宋体"/>
          <w:color w:val="000000"/>
          <w:sz w:val="24"/>
          <w:szCs w:val="24"/>
          <w:highlight w:val="none"/>
        </w:rPr>
      </w:r>
      <w:r/>
    </w:p>
    <w:p>
      <w:pPr>
        <w:pStyle w:val="779"/>
        <w:ind w:firstLine="5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8）甲方有权要求乙方定期对乙方系统运行的安全隐患进行排查。</w:t>
      </w:r>
      <w:r>
        <w:rPr>
          <w:rFonts w:hint="eastAsia" w:ascii="宋体" w:hAnsi="宋体" w:eastAsia="宋体" w:cs="宋体"/>
          <w:color w:val="000000"/>
          <w:sz w:val="24"/>
          <w:szCs w:val="24"/>
          <w:highlight w:val="none"/>
        </w:rPr>
      </w:r>
      <w:r/>
    </w:p>
    <w:p>
      <w:pPr>
        <w:pStyle w:val="779"/>
        <w:ind w:firstLine="562"/>
        <w:jc w:val="both"/>
        <w:keepLines/>
        <w:keepNext/>
        <w:pageBreakBefore w:val="0"/>
        <w:spacing w:before="0" w:line="360" w:lineRule="auto"/>
        <w:widowControl w:val="off"/>
        <w:rPr>
          <w:rFonts w:hint="eastAsia" w:ascii="宋体" w:hAnsi="宋体" w:eastAsia="宋体" w:cs="宋体"/>
          <w:color w:val="000000"/>
          <w:sz w:val="24"/>
          <w:szCs w:val="24"/>
          <w:highlight w:val="none"/>
          <w:lang w:val="en-US" w:eastAsia="zh-CN" w:bidi="ar-SA"/>
        </w:rPr>
        <w:outlineLvl w:val="2"/>
      </w:pPr>
      <w:r>
        <w:rPr>
          <w:rFonts w:hint="eastAsia" w:ascii="宋体" w:hAnsi="宋体" w:eastAsia="宋体" w:cs="宋体"/>
          <w:b/>
          <w:bCs/>
          <w:color w:val="000000"/>
          <w:sz w:val="24"/>
          <w:szCs w:val="24"/>
          <w:highlight w:val="none"/>
          <w:lang w:val="en-US" w:eastAsia="zh-CN" w:bidi="ar-SA"/>
        </w:rPr>
        <w:t xml:space="preserve">2、乙方权利与义务</w:t>
      </w:r>
      <w:r>
        <w:rPr>
          <w:rFonts w:hint="eastAsia" w:ascii="宋体" w:hAnsi="宋体" w:eastAsia="宋体" w:cs="宋体"/>
          <w:color w:val="000000"/>
          <w:sz w:val="24"/>
          <w:szCs w:val="24"/>
          <w:highlight w:val="none"/>
          <w:lang w:val="en-US" w:eastAsia="zh-CN" w:bidi="ar-SA"/>
        </w:rPr>
      </w:r>
      <w:r/>
    </w:p>
    <w:p>
      <w:pPr>
        <w:pStyle w:val="779"/>
        <w:ind w:firstLine="5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1）乙方有权按时向甲方收取本合同中规定的相应费用。</w:t>
      </w:r>
      <w:r>
        <w:rPr>
          <w:rFonts w:hint="eastAsia" w:ascii="宋体" w:hAnsi="宋体" w:eastAsia="宋体" w:cs="宋体"/>
          <w:color w:val="000000"/>
          <w:sz w:val="24"/>
          <w:szCs w:val="24"/>
          <w:highlight w:val="none"/>
        </w:rPr>
      </w:r>
      <w:r/>
    </w:p>
    <w:p>
      <w:pPr>
        <w:pStyle w:val="779"/>
        <w:ind w:firstLine="5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2）乙方应向甲方提供运行环境的有关技术参数。</w:t>
      </w:r>
      <w:r>
        <w:rPr>
          <w:rFonts w:hint="eastAsia" w:ascii="宋体" w:hAnsi="宋体" w:eastAsia="宋体" w:cs="宋体"/>
          <w:color w:val="000000"/>
          <w:sz w:val="24"/>
          <w:szCs w:val="24"/>
          <w:highlight w:val="none"/>
        </w:rPr>
      </w:r>
      <w:r/>
    </w:p>
    <w:p>
      <w:pPr>
        <w:pStyle w:val="779"/>
        <w:ind w:firstLine="5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3）乙方提供本合同下约定的运维服务内容。</w:t>
      </w:r>
      <w:r>
        <w:rPr>
          <w:rFonts w:hint="eastAsia" w:ascii="宋体" w:hAnsi="宋体" w:eastAsia="宋体" w:cs="宋体"/>
          <w:color w:val="000000"/>
          <w:sz w:val="24"/>
          <w:szCs w:val="24"/>
          <w:highlight w:val="none"/>
        </w:rPr>
      </w:r>
      <w:r/>
    </w:p>
    <w:p>
      <w:pPr>
        <w:pStyle w:val="779"/>
        <w:ind w:firstLine="5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4）乙方应指定服务接口人作为运维服务的接口人，负责与甲方之间的信息传递、反馈、沟通及甲方内部资源的协调。</w:t>
      </w:r>
      <w:r>
        <w:rPr>
          <w:rFonts w:hint="eastAsia" w:ascii="宋体" w:hAnsi="宋体" w:eastAsia="宋体" w:cs="宋体"/>
          <w:color w:val="000000"/>
          <w:sz w:val="24"/>
          <w:szCs w:val="24"/>
          <w:highlight w:val="none"/>
        </w:rPr>
      </w:r>
      <w:r/>
    </w:p>
    <w:p>
      <w:pPr>
        <w:pStyle w:val="779"/>
        <w:ind w:firstLine="5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乙方应配合甲方对系统运行环境进行现场维护支持，在合同有效期内，乙方应保证始终满足甲乙双方商议的机房环境质量要求及招标文件、投标文件载明的全部机房环境质量要求。按照招标文件的机房环境要求，提供机房基础设施及场地环境改造，并确保改造完成后的机房环境持续满足前述全部要求。</w:t>
      </w:r>
      <w:r>
        <w:rPr>
          <w:rFonts w:hint="eastAsia" w:ascii="宋体" w:hAnsi="宋体" w:eastAsia="宋体" w:cs="宋体"/>
          <w:color w:val="000000"/>
          <w:sz w:val="24"/>
          <w:szCs w:val="24"/>
          <w:highlight w:val="none"/>
        </w:rPr>
      </w:r>
      <w:r/>
    </w:p>
    <w:p>
      <w:pPr>
        <w:pStyle w:val="779"/>
        <w:ind w:firstLine="5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6）乙方须接受中国证监会及其派出机构的信息安全延伸检查。</w:t>
      </w:r>
      <w:r>
        <w:rPr>
          <w:rFonts w:hint="eastAsia" w:ascii="宋体" w:hAnsi="宋体" w:eastAsia="宋体" w:cs="宋体"/>
          <w:color w:val="000000"/>
          <w:sz w:val="24"/>
          <w:szCs w:val="24"/>
          <w:highlight w:val="none"/>
        </w:rPr>
      </w:r>
      <w:r/>
    </w:p>
    <w:p>
      <w:pPr>
        <w:pStyle w:val="779"/>
        <w:ind w:firstLine="5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因乙方原因造成甲方设备损坏、数据丢失业务中断或任何第三方损失的，乙方应承担由此产生的全部损失和责任，包括但不限于业务中断损失、数据恢复费用、第三方索赔及甲方为主张权利支出的全部费用。甲方有权从履约保证金中直接扣除相应金额，不足部分由乙方另行赔偿。</w:t>
      </w:r>
      <w:r>
        <w:rPr>
          <w:rFonts w:hint="eastAsia" w:ascii="宋体" w:hAnsi="宋体" w:eastAsia="宋体" w:cs="宋体"/>
          <w:color w:val="000000"/>
          <w:sz w:val="24"/>
          <w:szCs w:val="24"/>
          <w:highlight w:val="none"/>
        </w:rPr>
      </w:r>
      <w:r/>
    </w:p>
    <w:p>
      <w:pPr>
        <w:pStyle w:val="817"/>
        <w:ind w:firstLine="562"/>
        <w:jc w:val="both"/>
        <w:spacing w:before="0" w:after="0" w:line="360" w:lineRule="auto"/>
        <w:rPr>
          <w:rFonts w:hint="eastAsia" w:ascii="宋体" w:hAnsi="宋体" w:eastAsia="宋体" w:cs="宋体"/>
          <w:b/>
          <w:bCs/>
          <w:color w:val="000000"/>
          <w:sz w:val="24"/>
          <w:szCs w:val="24"/>
          <w:highlight w:val="none"/>
          <w:lang w:eastAsia="zh-CN"/>
        </w:rPr>
        <w:outlineLvl w:val="1"/>
      </w:pPr>
      <w:r/>
      <w:bookmarkEnd w:id="4"/>
      <w:r/>
      <w:bookmarkStart w:id="5" w:name="_Toc479777286"/>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lang w:eastAsia="zh-CN"/>
        </w:rPr>
        <w:t xml:space="preserve">、合同金额及付款方式</w:t>
      </w:r>
      <w:bookmarkEnd w:id="5"/>
      <w:r>
        <w:rPr>
          <w:rFonts w:hint="eastAsia" w:ascii="宋体" w:hAnsi="宋体" w:eastAsia="宋体" w:cs="宋体"/>
          <w:b/>
          <w:bCs/>
          <w:color w:val="000000"/>
          <w:sz w:val="24"/>
          <w:szCs w:val="24"/>
          <w:highlight w:val="none"/>
          <w:lang w:eastAsia="zh-CN"/>
        </w:rPr>
      </w:r>
      <w:r/>
    </w:p>
    <w:p>
      <w:pPr>
        <w:pStyle w:val="817"/>
        <w:ind w:firstLine="562"/>
        <w:jc w:val="both"/>
        <w:spacing w:before="0" w:after="0" w:line="360" w:lineRule="auto"/>
        <w:rPr>
          <w:rFonts w:hint="eastAsia" w:ascii="宋体" w:hAnsi="宋体" w:eastAsia="宋体" w:cs="宋体"/>
          <w:b/>
          <w:bCs/>
          <w:color w:val="000000"/>
          <w:sz w:val="24"/>
          <w:szCs w:val="24"/>
          <w:highlight w:val="none"/>
          <w:lang w:eastAsia="zh-CN"/>
        </w:rPr>
        <w:outlineLvl w:val="1"/>
      </w:pPr>
      <w:r/>
      <w:bookmarkStart w:id="6" w:name="_Toc479777287"/>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lang w:eastAsia="zh-CN"/>
        </w:rPr>
        <w:t xml:space="preserve">.本合同价款为人民币小写金额：￥</w:t>
      </w:r>
      <w:r>
        <w:rPr>
          <w:rFonts w:hint="eastAsia" w:ascii="宋体" w:hAnsi="宋体" w:eastAsia="宋体" w:cs="宋体"/>
          <w:b/>
          <w:bCs/>
          <w:color w:val="000000"/>
          <w:sz w:val="24"/>
          <w:szCs w:val="24"/>
          <w:highlight w:val="none"/>
          <w:u w:val="single"/>
          <w:lang w:eastAsia="zh-CN"/>
        </w:rPr>
        <w:t xml:space="preserve">      </w:t>
      </w:r>
      <w:r>
        <w:rPr>
          <w:rFonts w:hint="eastAsia" w:ascii="宋体" w:hAnsi="宋体" w:eastAsia="宋体" w:cs="宋体"/>
          <w:b/>
          <w:bCs/>
          <w:color w:val="000000"/>
          <w:sz w:val="24"/>
          <w:szCs w:val="24"/>
          <w:highlight w:val="none"/>
          <w:lang w:eastAsia="zh-CN"/>
        </w:rPr>
        <w:t xml:space="preserve">元（大写金额</w:t>
      </w:r>
      <w:r>
        <w:rPr>
          <w:rFonts w:hint="eastAsia" w:ascii="宋体" w:hAnsi="宋体" w:eastAsia="宋体" w:cs="宋体"/>
          <w:b/>
          <w:bCs/>
          <w:color w:val="000000"/>
          <w:sz w:val="24"/>
          <w:szCs w:val="24"/>
          <w:highlight w:val="none"/>
          <w:u w:val="single"/>
          <w:lang w:eastAsia="zh-CN"/>
        </w:rPr>
        <w:t xml:space="preserve">    </w:t>
      </w:r>
      <w:r>
        <w:rPr>
          <w:rFonts w:hint="eastAsia" w:ascii="宋体" w:hAnsi="宋体" w:eastAsia="宋体" w:cs="宋体"/>
          <w:b/>
          <w:bCs/>
          <w:color w:val="000000"/>
          <w:sz w:val="24"/>
          <w:szCs w:val="24"/>
          <w:highlight w:val="none"/>
          <w:lang w:eastAsia="zh-CN"/>
        </w:rPr>
        <w:t xml:space="preserve">元）。（本合同暂定总价=中标单价×61</w:t>
      </w:r>
      <w:r>
        <w:rPr>
          <w:rFonts w:hint="eastAsia" w:ascii="宋体" w:hAnsi="宋体" w:eastAsia="宋体" w:cs="宋体"/>
          <w:b/>
          <w:bCs/>
          <w:color w:val="000000"/>
          <w:sz w:val="24"/>
          <w:szCs w:val="24"/>
          <w:highlight w:val="none"/>
          <w:lang w:val="en-US" w:eastAsia="zh-CN"/>
        </w:rPr>
        <w:t xml:space="preserve">个机柜</w:t>
      </w:r>
      <w:r>
        <w:rPr>
          <w:rFonts w:hint="eastAsia" w:ascii="宋体" w:hAnsi="宋体" w:eastAsia="宋体" w:cs="宋体"/>
          <w:b/>
          <w:bCs/>
          <w:color w:val="000000"/>
          <w:sz w:val="24"/>
          <w:szCs w:val="24"/>
          <w:highlight w:val="none"/>
          <w:lang w:eastAsia="zh-CN"/>
        </w:rPr>
        <w:t xml:space="preserve">×12个月；合同执行期间中标单价不作调整，最终合同价款按照服务期内实际</w:t>
      </w:r>
      <w:r>
        <w:rPr>
          <w:rFonts w:hint="eastAsia" w:ascii="宋体" w:hAnsi="宋体" w:eastAsia="宋体" w:cs="宋体"/>
          <w:b/>
          <w:bCs/>
          <w:color w:val="000000"/>
          <w:sz w:val="24"/>
          <w:szCs w:val="24"/>
          <w:highlight w:val="none"/>
          <w:lang w:val="en-US" w:eastAsia="zh-CN"/>
        </w:rPr>
        <w:t xml:space="preserve">使用机柜数量</w:t>
      </w:r>
      <w:r>
        <w:rPr>
          <w:rFonts w:hint="eastAsia" w:ascii="宋体" w:hAnsi="宋体" w:eastAsia="宋体" w:cs="宋体"/>
          <w:b/>
          <w:bCs/>
          <w:color w:val="000000"/>
          <w:sz w:val="24"/>
          <w:szCs w:val="24"/>
          <w:highlight w:val="none"/>
          <w:lang w:eastAsia="zh-CN"/>
        </w:rPr>
        <w:t xml:space="preserve">据实结算。）</w:t>
      </w:r>
      <w:r>
        <w:rPr>
          <w:rFonts w:hint="eastAsia" w:ascii="宋体" w:hAnsi="宋体" w:eastAsia="宋体" w:cs="宋体"/>
          <w:b/>
          <w:bCs/>
          <w:color w:val="000000"/>
          <w:sz w:val="24"/>
          <w:szCs w:val="24"/>
          <w:highlight w:val="none"/>
          <w:lang w:eastAsia="zh-CN"/>
        </w:rPr>
      </w:r>
      <w:r/>
    </w:p>
    <w:p>
      <w:pPr>
        <w:pStyle w:val="817"/>
        <w:ind w:firstLine="562"/>
        <w:jc w:val="both"/>
        <w:spacing w:before="0" w:after="0" w:line="360" w:lineRule="auto"/>
        <w:rPr>
          <w:rFonts w:hint="eastAsia" w:ascii="宋体" w:hAnsi="宋体" w:eastAsia="宋体" w:cs="宋体"/>
          <w:b/>
          <w:bCs/>
          <w:color w:val="000000"/>
          <w:sz w:val="24"/>
          <w:szCs w:val="24"/>
          <w:highlight w:val="none"/>
          <w:lang w:eastAsia="zh-CN"/>
        </w:rPr>
        <w:outlineLvl w:val="1"/>
      </w:pPr>
      <w:r>
        <w:rPr>
          <w:rFonts w:hint="eastAsia" w:ascii="宋体" w:hAnsi="宋体" w:eastAsia="宋体" w:cs="宋体"/>
          <w:b/>
          <w:bCs/>
          <w:color w:val="000000"/>
          <w:sz w:val="24"/>
          <w:szCs w:val="24"/>
          <w:highlight w:val="none"/>
          <w:lang w:val="en-US" w:eastAsia="zh-CN"/>
        </w:rPr>
        <w:t xml:space="preserve">2.经双方协商一致，逃择以下第</w:t>
      </w:r>
      <w:r>
        <w:rPr>
          <w:rFonts w:hint="eastAsia" w:ascii="宋体" w:hAnsi="宋体" w:eastAsia="宋体" w:cs="宋体"/>
          <w:b/>
          <w:bCs/>
          <w:color w:val="000000"/>
          <w:sz w:val="24"/>
          <w:szCs w:val="24"/>
          <w:highlight w:val="none"/>
          <w:u w:val="single"/>
          <w:lang w:eastAsia="zh-CN"/>
        </w:rPr>
        <w:t xml:space="preserve">     </w:t>
      </w:r>
      <w:r>
        <w:rPr>
          <w:rFonts w:hint="eastAsia" w:ascii="宋体" w:hAnsi="宋体" w:eastAsia="宋体" w:cs="宋体"/>
          <w:b/>
          <w:bCs/>
          <w:color w:val="000000"/>
          <w:sz w:val="24"/>
          <w:szCs w:val="24"/>
          <w:highlight w:val="none"/>
          <w:lang w:eastAsia="zh-CN"/>
        </w:rPr>
        <w:t xml:space="preserve">种付款方式。</w:t>
      </w:r>
      <w:r>
        <w:rPr>
          <w:rFonts w:hint="eastAsia" w:ascii="宋体" w:hAnsi="宋体" w:eastAsia="宋体" w:cs="宋体"/>
          <w:b/>
          <w:bCs/>
          <w:color w:val="000000"/>
          <w:sz w:val="24"/>
          <w:szCs w:val="24"/>
          <w:highlight w:val="none"/>
          <w:lang w:eastAsia="zh-CN"/>
        </w:rPr>
      </w:r>
      <w:r/>
    </w:p>
    <w:p>
      <w:pPr>
        <w:pStyle w:val="817"/>
        <w:ind w:firstLine="560"/>
        <w:jc w:val="both"/>
        <w:spacing w:before="0" w:after="0" w:line="360" w:lineRule="auto"/>
        <w:rPr>
          <w:rFonts w:hint="eastAsia" w:ascii="宋体" w:hAnsi="宋体" w:eastAsia="宋体" w:cs="宋体"/>
          <w:color w:val="000000"/>
          <w:sz w:val="24"/>
          <w:szCs w:val="24"/>
          <w:highlight w:val="none"/>
          <w:lang w:eastAsia="zh-CN"/>
        </w:rPr>
        <w:outlineLvl w:val="1"/>
      </w:pPr>
      <w:r>
        <w:rPr>
          <w:rFonts w:hint="eastAsia" w:ascii="宋体" w:hAnsi="宋体" w:eastAsia="宋体" w:cs="宋体"/>
          <w:color w:val="000000"/>
          <w:sz w:val="24"/>
          <w:szCs w:val="24"/>
          <w:highlight w:val="none"/>
          <w:lang w:eastAsia="zh-CN"/>
        </w:rPr>
        <w:t xml:space="preserve">付款方式一：提交预付款保函的</w:t>
      </w:r>
      <w:r>
        <w:rPr>
          <w:rFonts w:hint="eastAsia" w:ascii="宋体" w:hAnsi="宋体" w:eastAsia="宋体" w:cs="宋体"/>
          <w:color w:val="000000"/>
          <w:sz w:val="24"/>
          <w:szCs w:val="24"/>
          <w:highlight w:val="none"/>
          <w:lang w:eastAsia="zh-CN"/>
        </w:rPr>
      </w:r>
      <w:r/>
    </w:p>
    <w:p>
      <w:pPr>
        <w:pStyle w:val="817"/>
        <w:ind w:firstLine="560"/>
        <w:jc w:val="both"/>
        <w:spacing w:before="0" w:after="0" w:line="360" w:lineRule="auto"/>
        <w:rPr>
          <w:rFonts w:hint="eastAsia" w:ascii="宋体" w:hAnsi="宋体" w:eastAsia="宋体" w:cs="宋体"/>
          <w:color w:val="000000"/>
          <w:sz w:val="24"/>
          <w:szCs w:val="24"/>
          <w:highlight w:val="none"/>
          <w:lang w:eastAsia="zh-CN"/>
        </w:rPr>
        <w:outlineLvl w:val="1"/>
      </w:pPr>
      <w:r>
        <w:rPr>
          <w:rFonts w:hint="eastAsia" w:ascii="宋体" w:hAnsi="宋体" w:eastAsia="宋体" w:cs="宋体"/>
          <w:color w:val="000000"/>
          <w:sz w:val="24"/>
          <w:szCs w:val="24"/>
          <w:highlight w:val="none"/>
          <w:lang w:eastAsia="zh-CN"/>
        </w:rPr>
        <w:t xml:space="preserve">（1）合同总价的百分之</w:t>
      </w:r>
      <w:r>
        <w:rPr>
          <w:rFonts w:hint="eastAsia" w:ascii="宋体" w:hAnsi="宋体" w:eastAsia="宋体" w:cs="宋体"/>
          <w:color w:val="000000"/>
          <w:sz w:val="24"/>
          <w:szCs w:val="24"/>
          <w:highlight w:val="none"/>
          <w:lang w:val="en-US" w:eastAsia="zh-CN"/>
        </w:rPr>
        <w:t xml:space="preserve">四十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40</w:t>
      </w:r>
      <w:r>
        <w:rPr>
          <w:rFonts w:hint="eastAsia" w:ascii="宋体" w:hAnsi="宋体" w:eastAsia="宋体" w:cs="宋体"/>
          <w:color w:val="000000"/>
          <w:sz w:val="24"/>
          <w:szCs w:val="24"/>
          <w:highlight w:val="none"/>
          <w:lang w:eastAsia="zh-CN"/>
        </w:rPr>
        <w:t xml:space="preserve">%）即￥</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大写：人民币</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，在合同签订生效，甲方自收到符合甲方要求的正规发票（发票金额为合同总价的</w:t>
      </w:r>
      <w:r>
        <w:rPr>
          <w:rFonts w:hint="eastAsia" w:ascii="宋体" w:hAnsi="宋体" w:eastAsia="宋体" w:cs="宋体"/>
          <w:color w:val="000000"/>
          <w:sz w:val="24"/>
          <w:szCs w:val="24"/>
          <w:highlight w:val="none"/>
          <w:lang w:val="en-US" w:eastAsia="zh-CN"/>
        </w:rPr>
        <w:t xml:space="preserve">40</w:t>
      </w:r>
      <w:r>
        <w:rPr>
          <w:rFonts w:hint="eastAsia" w:ascii="宋体" w:hAnsi="宋体" w:eastAsia="宋体" w:cs="宋体"/>
          <w:color w:val="000000"/>
          <w:sz w:val="24"/>
          <w:szCs w:val="24"/>
          <w:highlight w:val="none"/>
          <w:lang w:eastAsia="zh-CN"/>
        </w:rPr>
        <w:t xml:space="preserve">%）后15日内，由甲方办理资金结算手续经审核后支付给乙方。</w:t>
      </w:r>
      <w:r>
        <w:rPr>
          <w:rFonts w:hint="eastAsia" w:ascii="宋体" w:hAnsi="宋体" w:eastAsia="宋体" w:cs="宋体"/>
          <w:color w:val="000000"/>
          <w:sz w:val="24"/>
          <w:szCs w:val="24"/>
          <w:highlight w:val="none"/>
          <w:lang w:eastAsia="zh-CN"/>
        </w:rPr>
      </w:r>
      <w:r/>
    </w:p>
    <w:p>
      <w:pPr>
        <w:pStyle w:val="817"/>
        <w:ind w:firstLine="560"/>
        <w:jc w:val="both"/>
        <w:spacing w:before="0" w:after="0" w:line="360" w:lineRule="auto"/>
        <w:rPr>
          <w:rFonts w:hint="eastAsia" w:ascii="宋体" w:hAnsi="宋体" w:eastAsia="宋体" w:cs="宋体"/>
          <w:color w:val="000000"/>
          <w:sz w:val="24"/>
          <w:szCs w:val="24"/>
          <w:highlight w:val="none"/>
          <w:lang w:eastAsia="zh-CN"/>
        </w:rPr>
        <w:outlineLvl w:val="1"/>
      </w:pPr>
      <w:r>
        <w:rPr>
          <w:rFonts w:hint="eastAsia" w:ascii="宋体" w:hAnsi="宋体" w:eastAsia="宋体" w:cs="宋体"/>
          <w:color w:val="000000"/>
          <w:sz w:val="24"/>
          <w:szCs w:val="24"/>
          <w:highlight w:val="none"/>
          <w:lang w:eastAsia="zh-CN"/>
        </w:rPr>
        <w:t xml:space="preserve">（2）根据合同标的价格计算单柜单日价格，每个月统计当月使用机柜数量和天数，据此核算当月应付的费用，根据评价付款办法和每月应付费用计算当月实付费用。</w:t>
      </w:r>
      <w:r>
        <w:rPr>
          <w:rFonts w:hint="eastAsia" w:ascii="宋体" w:hAnsi="宋体" w:eastAsia="宋体" w:cs="宋体"/>
          <w:color w:val="000000"/>
          <w:sz w:val="24"/>
          <w:szCs w:val="24"/>
          <w:highlight w:val="none"/>
          <w:lang w:eastAsia="zh-CN"/>
        </w:rPr>
      </w:r>
      <w:r/>
    </w:p>
    <w:p>
      <w:pPr>
        <w:pStyle w:val="817"/>
        <w:ind w:firstLine="560"/>
        <w:jc w:val="both"/>
        <w:spacing w:before="0" w:after="0" w:line="360" w:lineRule="auto"/>
        <w:rPr>
          <w:rFonts w:hint="eastAsia" w:ascii="宋体" w:hAnsi="宋体" w:eastAsia="宋体" w:cs="宋体"/>
          <w:color w:val="000000"/>
          <w:sz w:val="24"/>
          <w:szCs w:val="24"/>
          <w:highlight w:val="none"/>
          <w:lang w:eastAsia="zh-CN"/>
        </w:rPr>
        <w:outlineLvl w:val="1"/>
      </w:pPr>
      <w:r>
        <w:rPr>
          <w:rFonts w:hint="eastAsia" w:ascii="宋体" w:hAnsi="宋体" w:eastAsia="宋体" w:cs="宋体"/>
          <w:color w:val="000000"/>
          <w:sz w:val="24"/>
          <w:szCs w:val="24"/>
          <w:highlight w:val="none"/>
          <w:lang w:val="en-US" w:eastAsia="zh-CN"/>
        </w:rPr>
        <w:t xml:space="preserve">合同期内，</w:t>
      </w:r>
      <w:r>
        <w:rPr>
          <w:rFonts w:hint="eastAsia" w:ascii="宋体" w:hAnsi="宋体" w:eastAsia="宋体" w:cs="宋体"/>
          <w:color w:val="000000"/>
          <w:sz w:val="24"/>
          <w:szCs w:val="24"/>
          <w:highlight w:val="none"/>
          <w:lang w:eastAsia="zh-CN"/>
        </w:rPr>
        <w:t xml:space="preserve">按照每月实付费用进行</w:t>
      </w:r>
      <w:r>
        <w:rPr>
          <w:rFonts w:hint="eastAsia" w:ascii="宋体" w:hAnsi="宋体" w:eastAsia="宋体" w:cs="宋体"/>
          <w:color w:val="000000"/>
          <w:sz w:val="24"/>
          <w:szCs w:val="24"/>
          <w:highlight w:val="none"/>
          <w:lang w:val="en-US" w:eastAsia="zh-CN"/>
        </w:rPr>
        <w:t xml:space="preserve">累计结算，进度款按每6个月为一个付款周期支付。首次进度款结算时扣除已支付预付款，后续周期进度款不再抵扣预付款。乙方应在每个周期届满前5个工作日内向甲方提供当期服务报告及付款申请，经甲方审核确认后，甲方在收到乙方对应周期服务费合规发票后15日内，将当期应付金额（</w:t>
      </w:r>
      <w:r>
        <w:rPr>
          <w:rFonts w:ascii="宋体" w:hAnsi="宋体" w:cs="宋体"/>
          <w:color w:val="000000"/>
          <w:sz w:val="24"/>
          <w:highlight w:val="none"/>
        </w:rPr>
        <w:t xml:space="preserve">扣除尚未抵扣的预付款（如有）</w:t>
      </w:r>
      <w:r>
        <w:rPr>
          <w:rFonts w:hint="eastAsia" w:ascii="宋体" w:hAnsi="宋体" w:eastAsia="宋体" w:cs="宋体"/>
          <w:color w:val="000000"/>
          <w:sz w:val="24"/>
          <w:szCs w:val="24"/>
          <w:highlight w:val="none"/>
          <w:lang w:val="en-US" w:eastAsia="zh-CN"/>
        </w:rPr>
        <w:t xml:space="preserve">）支付至乙方合同账户</w:t>
      </w:r>
      <w:r>
        <w:rPr>
          <w:rFonts w:hint="eastAsia" w:ascii="宋体" w:hAnsi="宋体" w:eastAsia="宋体" w:cs="宋体"/>
          <w:color w:val="000000"/>
          <w:sz w:val="24"/>
          <w:szCs w:val="24"/>
          <w:highlight w:val="none"/>
          <w:lang w:eastAsia="zh-CN"/>
        </w:rPr>
        <w:t xml:space="preserve">。如乙方不提供发票，则甲方有权拒绝支付合同价款。</w:t>
      </w:r>
      <w:r>
        <w:rPr>
          <w:rFonts w:hint="eastAsia" w:ascii="宋体" w:hAnsi="宋体" w:eastAsia="宋体" w:cs="宋体"/>
          <w:color w:val="000000"/>
          <w:sz w:val="24"/>
          <w:szCs w:val="24"/>
          <w:highlight w:val="none"/>
          <w:lang w:eastAsia="zh-CN"/>
        </w:rPr>
      </w:r>
      <w:r/>
    </w:p>
    <w:p>
      <w:pPr>
        <w:pStyle w:val="817"/>
        <w:ind w:firstLine="560"/>
        <w:jc w:val="both"/>
        <w:spacing w:before="0" w:after="0" w:line="360" w:lineRule="auto"/>
        <w:rPr>
          <w:rFonts w:hint="eastAsia" w:ascii="宋体" w:hAnsi="宋体" w:eastAsia="宋体" w:cs="宋体"/>
          <w:color w:val="000000"/>
          <w:sz w:val="24"/>
          <w:szCs w:val="24"/>
          <w:highlight w:val="none"/>
          <w:lang w:eastAsia="zh-CN"/>
        </w:rPr>
        <w:outlineLvl w:val="1"/>
      </w:pPr>
      <w:r>
        <w:rPr>
          <w:rFonts w:hint="eastAsia" w:ascii="宋体" w:hAnsi="宋体" w:eastAsia="宋体" w:cs="宋体"/>
          <w:color w:val="000000"/>
          <w:sz w:val="24"/>
          <w:szCs w:val="24"/>
          <w:highlight w:val="none"/>
          <w:lang w:eastAsia="zh-CN"/>
        </w:rPr>
        <w:t xml:space="preserve">付款方式二：不提交预付款保函的</w:t>
      </w:r>
      <w:r>
        <w:rPr>
          <w:rFonts w:hint="eastAsia" w:ascii="宋体" w:hAnsi="宋体" w:eastAsia="宋体" w:cs="宋体"/>
          <w:color w:val="000000"/>
          <w:sz w:val="24"/>
          <w:szCs w:val="24"/>
          <w:highlight w:val="none"/>
          <w:lang w:eastAsia="zh-CN"/>
        </w:rPr>
      </w:r>
      <w:r/>
    </w:p>
    <w:p>
      <w:pPr>
        <w:pStyle w:val="817"/>
        <w:ind w:firstLine="560"/>
        <w:jc w:val="both"/>
        <w:spacing w:before="0" w:after="0" w:line="360" w:lineRule="auto"/>
        <w:rPr>
          <w:rFonts w:hint="eastAsia" w:ascii="宋体" w:hAnsi="宋体" w:eastAsia="宋体" w:cs="宋体"/>
          <w:color w:val="000000"/>
          <w:sz w:val="24"/>
          <w:szCs w:val="24"/>
          <w:highlight w:val="none"/>
          <w:lang w:eastAsia="zh-CN"/>
        </w:rPr>
        <w:outlineLvl w:val="1"/>
      </w:pPr>
      <w:r>
        <w:rPr>
          <w:rFonts w:hint="eastAsia" w:ascii="宋体" w:hAnsi="宋体" w:eastAsia="宋体" w:cs="宋体"/>
          <w:color w:val="000000"/>
          <w:sz w:val="24"/>
          <w:szCs w:val="24"/>
          <w:highlight w:val="none"/>
          <w:lang w:eastAsia="zh-CN"/>
        </w:rPr>
        <w:t xml:space="preserve">（1）合同总价的百分之</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lang w:eastAsia="zh-CN"/>
        </w:rPr>
        <w:t xml:space="preserve">十（</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0%）即￥</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大写：人民币</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，在合同签订生效，甲方自收到符合甲方要求的正规发票（发票金额为合同总价的</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0%）后15日内，由甲方办理资金结算手续经审核后支付给乙方。</w:t>
      </w:r>
      <w:r>
        <w:rPr>
          <w:rFonts w:hint="eastAsia" w:ascii="宋体" w:hAnsi="宋体" w:eastAsia="宋体" w:cs="宋体"/>
          <w:color w:val="000000"/>
          <w:sz w:val="24"/>
          <w:szCs w:val="24"/>
          <w:highlight w:val="none"/>
          <w:lang w:eastAsia="zh-CN"/>
        </w:rPr>
      </w:r>
      <w:r/>
    </w:p>
    <w:p>
      <w:pPr>
        <w:pStyle w:val="817"/>
        <w:ind w:firstLine="560"/>
        <w:jc w:val="both"/>
        <w:spacing w:before="0" w:after="0" w:line="360" w:lineRule="auto"/>
        <w:rPr>
          <w:rFonts w:hint="eastAsia" w:ascii="宋体" w:hAnsi="宋体" w:eastAsia="宋体" w:cs="宋体"/>
          <w:color w:val="000000"/>
          <w:sz w:val="24"/>
          <w:szCs w:val="24"/>
          <w:highlight w:val="none"/>
          <w:lang w:eastAsia="zh-CN"/>
        </w:rPr>
        <w:outlineLvl w:val="1"/>
      </w:pPr>
      <w:r>
        <w:rPr>
          <w:rFonts w:hint="eastAsia" w:ascii="宋体" w:hAnsi="宋体" w:eastAsia="宋体" w:cs="宋体"/>
          <w:color w:val="000000"/>
          <w:sz w:val="24"/>
          <w:szCs w:val="24"/>
          <w:highlight w:val="none"/>
          <w:lang w:eastAsia="zh-CN"/>
        </w:rPr>
        <w:t xml:space="preserve">（2）根据合同标的价格计算单柜单日价格，每个月统计当月使用机柜数量和天数，据此核算当月应付的费用，根据评价付款办法和每月应付费用计算当月实付费用。</w:t>
      </w:r>
      <w:r>
        <w:rPr>
          <w:rFonts w:hint="eastAsia" w:ascii="宋体" w:hAnsi="宋体" w:eastAsia="宋体" w:cs="宋体"/>
          <w:color w:val="000000"/>
          <w:sz w:val="24"/>
          <w:szCs w:val="24"/>
          <w:highlight w:val="none"/>
          <w:lang w:eastAsia="zh-CN"/>
        </w:rPr>
      </w:r>
      <w:r/>
    </w:p>
    <w:p>
      <w:pPr>
        <w:pStyle w:val="817"/>
        <w:ind w:firstLine="560"/>
        <w:jc w:val="both"/>
        <w:spacing w:before="0" w:after="0" w:line="360" w:lineRule="auto"/>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合同期内，按照每月实付费用进行累计结算，进度款按每6个月为一个付款周期支付。首次进度款结算时扣除已支付预付款，后续周期进度款不再抵扣预付款。乙方应在每个周期届满前5个工作日内向甲方提供当期服务报告及付款申请，经甲方审核确认后，甲方在收到乙方对应周期服务费合规发票后15日内，将当期应付金额（扣除尚未抵扣的预付款（如有））支付至乙方合同账户。如乙方不提供发票，则甲方有权拒绝支付合同价款。</w:t>
      </w:r>
      <w:r>
        <w:rPr>
          <w:rFonts w:hint="eastAsia" w:ascii="宋体" w:hAnsi="宋体" w:eastAsia="宋体" w:cs="宋体"/>
          <w:color w:val="000000"/>
          <w:sz w:val="24"/>
          <w:szCs w:val="24"/>
          <w:highlight w:val="none"/>
          <w:lang w:val="en-US" w:eastAsia="zh-CN"/>
        </w:rPr>
      </w:r>
      <w:r/>
    </w:p>
    <w:p>
      <w:pPr>
        <w:pStyle w:val="817"/>
        <w:ind w:firstLine="560"/>
        <w:jc w:val="both"/>
        <w:spacing w:before="0" w:after="0" w:line="360" w:lineRule="auto"/>
        <w:rPr>
          <w:rFonts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注：（1）在签订合同前，如乙方明确表示无需预付款的，甲方可凭考核结果按每半年一次，根据合同标的价格计算单柜单日价格，每个月统计当月使用机柜数量和天数，据此核算当月应付的费用，根据评价付款办法和每月应付费用计算当月实付费用。按照每月实付费用进行累计结算。</w:t>
      </w:r>
      <w:r>
        <w:rPr>
          <w:rFonts w:ascii="宋体" w:hAnsi="宋体" w:eastAsia="宋体" w:cs="宋体"/>
          <w:color w:val="000000"/>
          <w:sz w:val="24"/>
          <w:szCs w:val="24"/>
          <w:highlight w:val="none"/>
          <w:lang w:val="en-US" w:eastAsia="zh-CN"/>
        </w:rPr>
      </w:r>
      <w:r/>
    </w:p>
    <w:p>
      <w:pPr>
        <w:pStyle w:val="817"/>
        <w:ind w:firstLine="560"/>
        <w:jc w:val="both"/>
        <w:spacing w:before="0" w:after="0" w:line="360" w:lineRule="auto"/>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（2）评价付款办法：</w:t>
      </w:r>
      <w:r>
        <w:rPr>
          <w:rFonts w:hint="eastAsia" w:ascii="宋体" w:hAnsi="宋体" w:eastAsia="宋体" w:cs="宋体"/>
          <w:color w:val="000000"/>
          <w:sz w:val="24"/>
          <w:szCs w:val="24"/>
          <w:highlight w:val="none"/>
          <w:lang w:val="en-US" w:eastAsia="zh-CN"/>
        </w:rPr>
      </w:r>
      <w:r/>
    </w:p>
    <w:p>
      <w:pPr>
        <w:pStyle w:val="817"/>
        <w:ind w:firstLine="560"/>
        <w:jc w:val="both"/>
        <w:spacing w:before="0" w:after="0" w:line="360" w:lineRule="auto"/>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当月评价得分90-100的，按照每月应付费用100%比例付款；</w:t>
      </w:r>
      <w:r>
        <w:rPr>
          <w:rFonts w:hint="eastAsia" w:ascii="宋体" w:hAnsi="宋体" w:eastAsia="宋体" w:cs="宋体"/>
          <w:color w:val="000000"/>
          <w:sz w:val="24"/>
          <w:szCs w:val="24"/>
          <w:highlight w:val="none"/>
          <w:lang w:val="en-US" w:eastAsia="zh-CN"/>
        </w:rPr>
      </w:r>
      <w:r/>
    </w:p>
    <w:p>
      <w:pPr>
        <w:pStyle w:val="817"/>
        <w:ind w:firstLine="560"/>
        <w:jc w:val="both"/>
        <w:spacing w:before="0" w:after="0" w:line="360" w:lineRule="auto"/>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当月评价得分80-89的，按照每月应付费用90%比例付款；</w:t>
      </w:r>
      <w:r>
        <w:rPr>
          <w:rFonts w:hint="eastAsia" w:ascii="宋体" w:hAnsi="宋体" w:eastAsia="宋体" w:cs="宋体"/>
          <w:color w:val="000000"/>
          <w:sz w:val="24"/>
          <w:szCs w:val="24"/>
          <w:highlight w:val="none"/>
          <w:lang w:val="en-US" w:eastAsia="zh-CN"/>
        </w:rPr>
      </w:r>
      <w:r/>
    </w:p>
    <w:p>
      <w:pPr>
        <w:pStyle w:val="817"/>
        <w:ind w:firstLine="560"/>
        <w:jc w:val="both"/>
        <w:spacing w:before="0" w:after="0" w:line="360" w:lineRule="auto"/>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当月评价得分70-79的，按照每月应付费用80%比例付款；</w:t>
      </w:r>
      <w:r>
        <w:rPr>
          <w:rFonts w:hint="eastAsia" w:ascii="宋体" w:hAnsi="宋体" w:eastAsia="宋体" w:cs="宋体"/>
          <w:color w:val="000000"/>
          <w:sz w:val="24"/>
          <w:szCs w:val="24"/>
          <w:highlight w:val="none"/>
          <w:lang w:val="en-US" w:eastAsia="zh-CN"/>
        </w:rPr>
      </w:r>
      <w:r/>
    </w:p>
    <w:p>
      <w:pPr>
        <w:pStyle w:val="817"/>
        <w:ind w:firstLine="560"/>
        <w:jc w:val="both"/>
        <w:spacing w:before="0" w:after="0" w:line="360" w:lineRule="auto"/>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当月评价得分60-69的，按照每月应付费用60%比例付款。</w:t>
      </w:r>
      <w:r>
        <w:rPr>
          <w:rFonts w:hint="eastAsia" w:ascii="宋体" w:hAnsi="宋体" w:eastAsia="宋体" w:cs="宋体"/>
          <w:color w:val="000000"/>
          <w:sz w:val="24"/>
          <w:szCs w:val="24"/>
          <w:highlight w:val="none"/>
          <w:lang w:val="en-US" w:eastAsia="zh-CN"/>
        </w:rPr>
      </w:r>
      <w:r/>
    </w:p>
    <w:p>
      <w:pPr>
        <w:pStyle w:val="817"/>
        <w:ind w:firstLine="560"/>
        <w:jc w:val="both"/>
        <w:spacing w:before="0" w:after="0" w:line="360" w:lineRule="auto"/>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当月评价得分0-59的，按照每月应付费用0%比例付款。</w:t>
      </w:r>
      <w:r>
        <w:rPr>
          <w:rFonts w:hint="eastAsia" w:ascii="宋体" w:hAnsi="宋体" w:eastAsia="宋体" w:cs="宋体"/>
          <w:color w:val="000000"/>
          <w:sz w:val="24"/>
          <w:szCs w:val="24"/>
          <w:highlight w:val="none"/>
          <w:lang w:val="en-US" w:eastAsia="zh-CN"/>
        </w:rPr>
      </w:r>
      <w:r/>
    </w:p>
    <w:p>
      <w:pPr>
        <w:pStyle w:val="817"/>
        <w:ind w:firstLine="560"/>
        <w:jc w:val="both"/>
        <w:spacing w:before="0" w:after="0" w:line="360" w:lineRule="auto"/>
        <w:rPr>
          <w:rFonts w:hint="eastAsia"/>
          <w:color w:val="000000"/>
          <w:highlight w:val="none"/>
          <w:lang w:val="en-US" w:eastAsia="zh-CN"/>
        </w:rPr>
        <w:outlineLvl w:val="1"/>
      </w:pPr>
      <w:r>
        <w:rPr>
          <w:rFonts w:hint="eastAsia" w:ascii="宋体" w:hAnsi="宋体" w:eastAsia="宋体" w:cs="宋体"/>
          <w:color w:val="000000"/>
          <w:sz w:val="24"/>
          <w:szCs w:val="24"/>
          <w:highlight w:val="none"/>
          <w:lang w:val="en-US" w:eastAsia="zh-CN"/>
        </w:rPr>
        <w:t xml:space="preserve">（3）如因乙方未能开具真实有效的发票或未提供支付申请而导致甲方延期付款的，责任由乙方承担。开具发票为本合同乙方主要义务。甲方内部正常审批流程不计算在付款期限之内。若因财政付款审批程序滞后，甲方不承担逾期付款的违约责任</w:t>
      </w:r>
      <w:r>
        <w:rPr>
          <w:rFonts w:hint="eastAsia"/>
          <w:color w:val="000000"/>
          <w:highlight w:val="none"/>
          <w:lang w:val="en-US" w:eastAsia="zh-CN"/>
        </w:rPr>
      </w:r>
      <w:r/>
    </w:p>
    <w:p>
      <w:pPr>
        <w:pStyle w:val="817"/>
        <w:ind w:firstLine="560"/>
        <w:jc w:val="both"/>
        <w:spacing w:before="0" w:after="0" w:line="360" w:lineRule="auto"/>
        <w:rPr>
          <w:rFonts w:hint="eastAsia" w:ascii="宋体" w:hAnsi="宋体" w:eastAsia="宋体" w:cs="宋体"/>
          <w:b/>
          <w:bCs/>
          <w:color w:val="000000"/>
          <w:sz w:val="24"/>
          <w:szCs w:val="24"/>
          <w:highlight w:val="none"/>
          <w:lang w:val="en-US" w:eastAsia="zh-CN" w:bidi="ar-SA"/>
        </w:rPr>
        <w:outlineLvl w:val="1"/>
      </w:pPr>
      <w:r>
        <w:rPr>
          <w:rFonts w:hint="eastAsia" w:ascii="宋体" w:hAnsi="宋体" w:eastAsia="宋体" w:cs="宋体"/>
          <w:b/>
          <w:bCs/>
          <w:color w:val="000000"/>
          <w:sz w:val="24"/>
          <w:szCs w:val="24"/>
          <w:highlight w:val="none"/>
          <w:lang w:val="en-US" w:eastAsia="zh-CN" w:bidi="ar-SA"/>
        </w:rPr>
        <w:t xml:space="preserve">3.合同约定的乙方账户</w:t>
      </w:r>
      <w:r>
        <w:rPr>
          <w:rFonts w:hint="eastAsia" w:ascii="宋体" w:hAnsi="宋体" w:eastAsia="宋体" w:cs="宋体"/>
          <w:b/>
          <w:bCs/>
          <w:color w:val="000000"/>
          <w:sz w:val="24"/>
          <w:szCs w:val="24"/>
          <w:highlight w:val="none"/>
          <w:lang w:val="en-US" w:eastAsia="zh-CN" w:bidi="ar-SA"/>
        </w:rPr>
      </w:r>
      <w:r/>
    </w:p>
    <w:p>
      <w:pPr>
        <w:pStyle w:val="817"/>
        <w:ind w:firstLine="560"/>
        <w:jc w:val="both"/>
        <w:spacing w:before="0" w:after="0" w:line="360" w:lineRule="auto"/>
        <w:rPr>
          <w:rFonts w:ascii="宋体" w:hAnsi="宋体" w:eastAsia="宋体" w:cs="宋体"/>
          <w:color w:val="000000"/>
          <w:sz w:val="24"/>
          <w:szCs w:val="24"/>
          <w:highlight w:val="none"/>
          <w:u w:val="single"/>
          <w:lang w:val="en-US" w:eastAsia="zh-CN" w:bidi="ar-SA"/>
        </w:rPr>
        <w:outlineLvl w:val="1"/>
      </w:pPr>
      <w:r>
        <w:rPr>
          <w:rFonts w:hint="eastAsia" w:ascii="宋体" w:hAnsi="宋体" w:eastAsia="宋体" w:cs="宋体"/>
          <w:color w:val="000000"/>
          <w:sz w:val="24"/>
          <w:szCs w:val="24"/>
          <w:highlight w:val="none"/>
          <w:lang w:val="en-US" w:eastAsia="zh-CN" w:bidi="ar-SA"/>
        </w:rPr>
        <w:t xml:space="preserve">开户银行：</w:t>
      </w:r>
      <w:r>
        <w:rPr>
          <w:rFonts w:hint="eastAsia" w:ascii="宋体" w:hAnsi="宋体" w:eastAsia="宋体" w:cs="宋体"/>
          <w:color w:val="000000"/>
          <w:sz w:val="24"/>
          <w:szCs w:val="24"/>
          <w:highlight w:val="none"/>
          <w:u w:val="single"/>
          <w:lang w:val="en-US" w:eastAsia="zh-CN" w:bidi="ar-SA"/>
        </w:rPr>
        <w:t xml:space="preserve">                           </w:t>
      </w:r>
      <w:r>
        <w:rPr>
          <w:rFonts w:ascii="宋体" w:hAnsi="宋体" w:eastAsia="宋体" w:cs="宋体"/>
          <w:color w:val="000000"/>
          <w:sz w:val="24"/>
          <w:szCs w:val="24"/>
          <w:highlight w:val="none"/>
          <w:u w:val="single"/>
          <w:lang w:val="en-US" w:eastAsia="zh-CN" w:bidi="ar-SA"/>
        </w:rPr>
      </w:r>
      <w:r/>
    </w:p>
    <w:p>
      <w:pPr>
        <w:pStyle w:val="817"/>
        <w:ind w:firstLine="560"/>
        <w:jc w:val="both"/>
        <w:spacing w:before="0" w:after="0" w:line="360" w:lineRule="auto"/>
        <w:rPr>
          <w:rFonts w:ascii="宋体" w:hAnsi="宋体" w:eastAsia="宋体" w:cs="宋体"/>
          <w:color w:val="000000"/>
          <w:sz w:val="24"/>
          <w:szCs w:val="24"/>
          <w:highlight w:val="none"/>
          <w:u w:val="single"/>
          <w:lang w:val="en-US" w:eastAsia="zh-CN" w:bidi="ar-SA"/>
        </w:rPr>
        <w:outlineLvl w:val="1"/>
      </w:pPr>
      <w:r>
        <w:rPr>
          <w:rFonts w:hint="eastAsia" w:ascii="宋体" w:hAnsi="宋体" w:eastAsia="宋体" w:cs="宋体"/>
          <w:color w:val="000000"/>
          <w:sz w:val="24"/>
          <w:szCs w:val="24"/>
          <w:highlight w:val="none"/>
          <w:lang w:val="en-US" w:eastAsia="zh-CN" w:bidi="ar-SA"/>
        </w:rPr>
        <w:t xml:space="preserve">银行账号：</w:t>
      </w:r>
      <w:r>
        <w:rPr>
          <w:rFonts w:hint="eastAsia" w:ascii="宋体" w:hAnsi="宋体" w:eastAsia="宋体" w:cs="宋体"/>
          <w:color w:val="000000"/>
          <w:sz w:val="24"/>
          <w:szCs w:val="24"/>
          <w:highlight w:val="none"/>
          <w:u w:val="single"/>
          <w:lang w:val="en-US" w:eastAsia="zh-CN" w:bidi="ar-SA"/>
        </w:rPr>
        <w:t xml:space="preserve">                           </w:t>
      </w:r>
      <w:r>
        <w:rPr>
          <w:rFonts w:ascii="宋体" w:hAnsi="宋体" w:eastAsia="宋体" w:cs="宋体"/>
          <w:color w:val="000000"/>
          <w:sz w:val="24"/>
          <w:szCs w:val="24"/>
          <w:highlight w:val="none"/>
          <w:u w:val="single"/>
          <w:lang w:val="en-US" w:eastAsia="zh-CN" w:bidi="ar-SA"/>
        </w:rPr>
      </w:r>
      <w:r/>
    </w:p>
    <w:p>
      <w:pPr>
        <w:pStyle w:val="779"/>
        <w:contextualSpacing/>
        <w:jc w:val="both"/>
        <w:pageBreakBefore w:val="0"/>
        <w:spacing w:before="0" w:line="360" w:lineRule="auto"/>
        <w:widowControl w:val="off"/>
        <w:rPr>
          <w:rFonts w:hint="eastAsia" w:ascii="宋体" w:hAnsi="宋体" w:eastAsia="宋体" w:cs="宋体"/>
          <w:b/>
          <w:bCs/>
          <w:color w:val="000000"/>
          <w:sz w:val="24"/>
          <w:szCs w:val="24"/>
          <w:highlight w:val="none"/>
          <w:lang w:val="en-US" w:eastAsia="zh-CN" w:bidi="ar-SA"/>
        </w:rPr>
        <w:outlineLvl w:val="1"/>
      </w:pPr>
      <w:r>
        <w:rPr>
          <w:rFonts w:hint="eastAsia" w:ascii="宋体" w:hAnsi="宋体" w:eastAsia="宋体" w:cs="宋体"/>
          <w:b/>
          <w:bCs/>
          <w:color w:val="000000"/>
          <w:sz w:val="24"/>
          <w:szCs w:val="24"/>
          <w:highlight w:val="none"/>
          <w:lang w:val="en-US" w:eastAsia="zh-CN" w:bidi="ar-SA"/>
        </w:rPr>
        <w:t xml:space="preserve">四、保密条款</w:t>
      </w:r>
      <w:r>
        <w:rPr>
          <w:rFonts w:hint="eastAsia" w:ascii="宋体" w:hAnsi="宋体" w:eastAsia="宋体" w:cs="宋体"/>
          <w:b/>
          <w:bCs/>
          <w:color w:val="000000"/>
          <w:sz w:val="24"/>
          <w:szCs w:val="24"/>
          <w:highlight w:val="none"/>
          <w:lang w:val="en-US" w:eastAsia="zh-CN" w:bidi="ar-SA"/>
        </w:rPr>
      </w:r>
      <w:r/>
    </w:p>
    <w:p>
      <w:pPr>
        <w:pStyle w:val="779"/>
        <w:ind w:firstLine="560"/>
        <w:jc w:val="both"/>
        <w:pageBreakBefore w:val="0"/>
        <w:spacing w:after="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甲乙双方对在本合同签订、履行过程中知悉的对方资料和信息，除该方做出相反的书面说明外，均应视为该方的商业秘密，未经该方书面同意不得向任何第三方泄漏。任何一方因违反保密义务而给另一方造成损失的，应负相应的赔偿责任。无论合同是否变更、解除或终止，合同的保密条款不受其限制而继续有效，双方都应继续承担保密条款约定的保密义务。</w:t>
      </w:r>
      <w:r>
        <w:rPr>
          <w:rFonts w:hint="eastAsia" w:ascii="宋体" w:hAnsi="宋体" w:eastAsia="宋体" w:cs="宋体"/>
          <w:color w:val="000000"/>
          <w:sz w:val="24"/>
          <w:szCs w:val="24"/>
          <w:highlight w:val="none"/>
          <w:lang w:val="en-US" w:eastAsia="zh-CN"/>
        </w:rPr>
      </w:r>
      <w:r/>
    </w:p>
    <w:p>
      <w:pPr>
        <w:pStyle w:val="779"/>
        <w:contextualSpacing/>
        <w:jc w:val="both"/>
        <w:pageBreakBefore w:val="0"/>
        <w:spacing w:before="0" w:line="360" w:lineRule="auto"/>
        <w:widowControl w:val="off"/>
        <w:rPr>
          <w:rFonts w:hint="eastAsia" w:ascii="宋体" w:hAnsi="宋体" w:eastAsia="宋体" w:cs="宋体"/>
          <w:b/>
          <w:bCs/>
          <w:color w:val="000000"/>
          <w:sz w:val="24"/>
          <w:szCs w:val="24"/>
          <w:highlight w:val="none"/>
          <w:lang w:val="en-US" w:eastAsia="zh-CN" w:bidi="ar-SA"/>
        </w:rPr>
        <w:outlineLvl w:val="1"/>
      </w:pPr>
      <w:r>
        <w:rPr>
          <w:rFonts w:hint="eastAsia" w:ascii="宋体" w:hAnsi="宋体" w:eastAsia="宋体" w:cs="宋体"/>
          <w:b/>
          <w:bCs/>
          <w:color w:val="000000"/>
          <w:sz w:val="24"/>
          <w:szCs w:val="24"/>
          <w:highlight w:val="none"/>
          <w:lang w:val="en-US" w:eastAsia="zh-CN" w:bidi="ar-SA"/>
        </w:rPr>
        <w:t xml:space="preserve">五、履约保证金</w:t>
      </w:r>
      <w:r>
        <w:rPr>
          <w:rFonts w:hint="eastAsia" w:ascii="宋体" w:hAnsi="宋体" w:eastAsia="宋体" w:cs="宋体"/>
          <w:b/>
          <w:bCs/>
          <w:color w:val="000000"/>
          <w:sz w:val="24"/>
          <w:szCs w:val="24"/>
          <w:highlight w:val="none"/>
          <w:lang w:val="en-US" w:eastAsia="zh-CN" w:bidi="ar-SA"/>
        </w:rPr>
      </w:r>
      <w:r/>
    </w:p>
    <w:p>
      <w:pPr>
        <w:pStyle w:val="779"/>
        <w:ind w:firstLine="560"/>
        <w:jc w:val="both"/>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签订合同前，乙方交纳人民币</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元（大写：人民币</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）作为本合同的履约保证金（合同金额的10%），以支票、汇票、本票或者金融机构、担保机构出具的保函等非现金形式缴纳。履约保证金在乙方按合同履约完成后15个工作日无息退还。</w:t>
      </w:r>
      <w:r>
        <w:rPr>
          <w:rFonts w:hint="eastAsia" w:ascii="宋体" w:hAnsi="宋体" w:eastAsia="宋体" w:cs="宋体"/>
          <w:color w:val="000000"/>
          <w:sz w:val="24"/>
          <w:szCs w:val="24"/>
          <w:highlight w:val="none"/>
          <w:lang w:val="en-US" w:eastAsia="zh-CN" w:bidi="ar-SA"/>
        </w:rPr>
      </w:r>
      <w:r/>
    </w:p>
    <w:p>
      <w:pPr>
        <w:pStyle w:val="796"/>
        <w:ind w:firstLine="5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注：履约保证金退还的方式、时间、条件和不予退还的情形：</w:t>
      </w:r>
      <w:r>
        <w:rPr>
          <w:rFonts w:hint="eastAsia" w:ascii="宋体" w:hAnsi="宋体" w:eastAsia="宋体" w:cs="宋体"/>
          <w:color w:val="000000"/>
          <w:sz w:val="24"/>
          <w:szCs w:val="24"/>
          <w:highlight w:val="none"/>
        </w:rPr>
      </w:r>
      <w:r/>
    </w:p>
    <w:p>
      <w:pPr>
        <w:pStyle w:val="796"/>
        <w:ind w:firstLine="5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退还方式：由甲方将履约保证金无息退还至乙方账户。</w:t>
      </w:r>
      <w:r>
        <w:rPr>
          <w:rFonts w:hint="eastAsia" w:ascii="宋体" w:hAnsi="宋体" w:eastAsia="宋体" w:cs="宋体"/>
          <w:color w:val="000000"/>
          <w:sz w:val="24"/>
          <w:szCs w:val="24"/>
          <w:highlight w:val="none"/>
        </w:rPr>
      </w:r>
      <w:r/>
    </w:p>
    <w:p>
      <w:pPr>
        <w:pStyle w:val="796"/>
        <w:ind w:firstLine="5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退还时间：本项目服务期满后15个工作日无息退还。</w:t>
      </w:r>
      <w:r>
        <w:rPr>
          <w:rFonts w:hint="eastAsia" w:ascii="宋体" w:hAnsi="宋体" w:eastAsia="宋体" w:cs="宋体"/>
          <w:color w:val="000000"/>
          <w:sz w:val="24"/>
          <w:szCs w:val="24"/>
          <w:highlight w:val="none"/>
        </w:rPr>
      </w:r>
      <w:r/>
    </w:p>
    <w:p>
      <w:pPr>
        <w:pStyle w:val="796"/>
        <w:ind w:firstLine="5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退还条件：本项目合同义务履行完毕。</w:t>
      </w:r>
      <w:r>
        <w:rPr>
          <w:rFonts w:hint="eastAsia" w:ascii="宋体" w:hAnsi="宋体" w:eastAsia="宋体" w:cs="宋体"/>
          <w:color w:val="000000"/>
          <w:sz w:val="24"/>
          <w:szCs w:val="24"/>
          <w:highlight w:val="none"/>
        </w:rPr>
      </w:r>
      <w:r/>
    </w:p>
    <w:p>
      <w:pPr>
        <w:pStyle w:val="796"/>
        <w:ind w:firstLine="5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不予退还的情形：乙方拒绝履行合同义务</w:t>
      </w:r>
      <w:r>
        <w:rPr>
          <w:rFonts w:hint="eastAsia" w:ascii="宋体" w:hAnsi="宋体" w:eastAsia="宋体" w:cs="宋体"/>
          <w:color w:val="000000"/>
          <w:sz w:val="24"/>
          <w:szCs w:val="24"/>
          <w:highlight w:val="none"/>
          <w:lang w:val="en-US" w:eastAsia="zh-CN"/>
        </w:rPr>
        <w:t xml:space="preserve">或履行合同不符合合同约定给甲方造成损失，甲方有权直接从履约保证金中扣除，如履约保证金不足以全额赔偿甲方损失（包括但不限于直接损失、预期利益损失、律师费、诉讼费、保全费、维权差旅费等甲方为主张权利支出的全部费用）的，不足部分乙方仍应向甲方承担补足赔偿责任，甲方有权就未获清偿的损失部分继续向乙方赔偿</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79"/>
        <w:contextualSpacing/>
        <w:jc w:val="both"/>
        <w:pageBreakBefore w:val="0"/>
        <w:spacing w:before="0" w:line="360" w:lineRule="auto"/>
        <w:widowControl w:val="off"/>
        <w:rPr>
          <w:rFonts w:hint="eastAsia" w:ascii="宋体" w:hAnsi="宋体" w:eastAsia="宋体" w:cs="宋体"/>
          <w:b/>
          <w:bCs/>
          <w:color w:val="000000"/>
          <w:sz w:val="24"/>
          <w:szCs w:val="24"/>
          <w:highlight w:val="none"/>
          <w:lang w:val="en-US" w:eastAsia="zh-CN" w:bidi="ar-SA"/>
        </w:rPr>
        <w:outlineLvl w:val="1"/>
      </w:pPr>
      <w:r/>
      <w:bookmarkEnd w:id="6"/>
      <w:r/>
      <w:bookmarkStart w:id="7" w:name="_Toc479777288"/>
      <w:r>
        <w:rPr>
          <w:rFonts w:hint="eastAsia" w:ascii="宋体" w:hAnsi="宋体" w:eastAsia="宋体" w:cs="宋体"/>
          <w:b/>
          <w:bCs/>
          <w:color w:val="000000"/>
          <w:sz w:val="24"/>
          <w:szCs w:val="24"/>
          <w:highlight w:val="none"/>
          <w:lang w:val="en-US" w:eastAsia="zh-CN" w:bidi="ar-SA"/>
        </w:rPr>
        <w:t xml:space="preserve">六、违约责任</w:t>
      </w:r>
      <w:r>
        <w:rPr>
          <w:rFonts w:hint="eastAsia" w:ascii="宋体" w:hAnsi="宋体" w:eastAsia="宋体" w:cs="宋体"/>
          <w:b/>
          <w:bCs/>
          <w:color w:val="000000"/>
          <w:sz w:val="24"/>
          <w:szCs w:val="24"/>
          <w:highlight w:val="none"/>
          <w:lang w:val="en-US" w:eastAsia="zh-CN" w:bidi="ar-SA"/>
        </w:rPr>
      </w:r>
      <w:r/>
    </w:p>
    <w:p>
      <w:pPr>
        <w:pStyle w:val="779"/>
        <w:ind w:firstLine="560"/>
        <w:jc w:val="both"/>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合同有效期内，任何一方未履行本合同的条款，均属违约，须承担相应的违约责任。甲乙双方特别约定如下违约责任。</w:t>
      </w:r>
      <w:r>
        <w:rPr>
          <w:rFonts w:hint="eastAsia" w:ascii="宋体" w:hAnsi="宋体" w:eastAsia="宋体" w:cs="宋体"/>
          <w:color w:val="000000"/>
          <w:sz w:val="24"/>
          <w:szCs w:val="24"/>
          <w:highlight w:val="none"/>
          <w:lang w:val="en-US" w:eastAsia="zh-CN" w:bidi="ar-SA"/>
        </w:rPr>
      </w:r>
      <w:r/>
    </w:p>
    <w:p>
      <w:pPr>
        <w:pStyle w:val="779"/>
        <w:ind w:firstLine="560"/>
        <w:jc w:val="both"/>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1、甲方违约责任</w:t>
      </w:r>
      <w:r>
        <w:rPr>
          <w:rFonts w:hint="eastAsia" w:ascii="宋体" w:hAnsi="宋体" w:eastAsia="宋体" w:cs="宋体"/>
          <w:color w:val="000000"/>
          <w:sz w:val="24"/>
          <w:szCs w:val="24"/>
          <w:highlight w:val="none"/>
          <w:lang w:val="en-US" w:eastAsia="zh-CN" w:bidi="ar-SA"/>
        </w:rPr>
      </w:r>
      <w:r/>
    </w:p>
    <w:p>
      <w:pPr>
        <w:pStyle w:val="779"/>
        <w:ind w:firstLine="560"/>
        <w:jc w:val="both"/>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1）因甲方原因导致项目停止，双方应根据项目的实际完成情况结算费用，甲方并应支付本合同价款5%的违约金。</w:t>
      </w:r>
      <w:r>
        <w:rPr>
          <w:rFonts w:hint="eastAsia" w:ascii="宋体" w:hAnsi="宋体" w:eastAsia="宋体" w:cs="宋体"/>
          <w:color w:val="000000"/>
          <w:sz w:val="24"/>
          <w:szCs w:val="24"/>
          <w:highlight w:val="none"/>
          <w:lang w:val="en-US" w:eastAsia="zh-CN" w:bidi="ar-SA"/>
        </w:rPr>
      </w:r>
      <w:r/>
    </w:p>
    <w:p>
      <w:pPr>
        <w:pStyle w:val="779"/>
        <w:ind w:firstLine="560"/>
        <w:jc w:val="both"/>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2）甲方未能按期付款，每逾期一日，加付应付而未付合同价款万分之一的违约金，但累计金额不超过合同价款的5%。</w:t>
      </w:r>
      <w:r>
        <w:rPr>
          <w:rFonts w:hint="eastAsia" w:ascii="宋体" w:hAnsi="宋体" w:eastAsia="宋体" w:cs="宋体"/>
          <w:color w:val="000000"/>
          <w:sz w:val="24"/>
          <w:szCs w:val="24"/>
          <w:highlight w:val="none"/>
          <w:lang w:val="en-US" w:eastAsia="zh-CN" w:bidi="ar-SA"/>
        </w:rPr>
      </w:r>
      <w:r/>
    </w:p>
    <w:p>
      <w:pPr>
        <w:pStyle w:val="779"/>
        <w:ind w:firstLine="560"/>
        <w:jc w:val="both"/>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2、乙方违约责任</w:t>
      </w:r>
      <w:r>
        <w:rPr>
          <w:rFonts w:hint="eastAsia" w:ascii="宋体" w:hAnsi="宋体" w:eastAsia="宋体" w:cs="宋体"/>
          <w:color w:val="000000"/>
          <w:sz w:val="24"/>
          <w:szCs w:val="24"/>
          <w:highlight w:val="none"/>
          <w:lang w:val="en-US" w:eastAsia="zh-CN" w:bidi="ar-SA"/>
        </w:rPr>
      </w:r>
      <w:r/>
    </w:p>
    <w:p>
      <w:pPr>
        <w:pStyle w:val="779"/>
        <w:ind w:firstLine="560"/>
        <w:jc w:val="both"/>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因乙方原因未能在规定的时间内完成机房改造工作，每延误一日，乙方支付合同价款万分之五的违约金，但累计金额不超过合同价款的20%。因乙方原因导致在规定时间内项目无法开展，或在规定时间内两次不能通过验收，若甲方决定解除合同，则乙方应返还甲方先行支付的合同价款，并支付合同价款的10%作为违约金。</w:t>
      </w:r>
      <w:r>
        <w:rPr>
          <w:rFonts w:hint="eastAsia" w:ascii="宋体" w:hAnsi="宋体" w:eastAsia="宋体" w:cs="宋体"/>
          <w:color w:val="000000"/>
          <w:sz w:val="24"/>
          <w:szCs w:val="24"/>
          <w:highlight w:val="none"/>
          <w:lang w:val="en-US" w:eastAsia="zh-CN" w:bidi="ar-SA"/>
        </w:rPr>
      </w:r>
      <w:r/>
    </w:p>
    <w:p>
      <w:pPr>
        <w:pStyle w:val="779"/>
        <w:ind w:firstLine="560"/>
        <w:jc w:val="both"/>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2）乙方违反保密义务，造成甲方文件、资料、技术秘密、商业秘密的泄露，外传，应承担违约责任，赔偿甲方由此造成的全部损失。</w:t>
      </w:r>
      <w:r>
        <w:rPr>
          <w:rFonts w:hint="eastAsia" w:ascii="宋体" w:hAnsi="宋体" w:eastAsia="宋体" w:cs="宋体"/>
          <w:color w:val="000000"/>
          <w:sz w:val="24"/>
          <w:szCs w:val="24"/>
          <w:highlight w:val="none"/>
          <w:lang w:val="en-US" w:eastAsia="zh-CN" w:bidi="ar-SA"/>
        </w:rPr>
      </w:r>
      <w:r/>
    </w:p>
    <w:p>
      <w:pPr>
        <w:pStyle w:val="779"/>
        <w:ind w:firstLine="560"/>
        <w:jc w:val="both"/>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其他违约责任：乙方有其他违约行为，经甲方书面通知后，乙方应在该通知指定的期限内更正，并应在收到甲方的书面通知之日起30日内向甲方支付合同价款的20％作为违约金；若乙方在该通知指定的期限内仍未更正且致使合同目的无法实现的，甲方有权解除合同，乙方应在收到甲方的书面解除通知之日起30日内返还甲方已支付的合同价款并应赔偿甲方遭受的实际损失。包括但不限于直接损失、预期利益损失、律师费、诉讼费、保全费、鉴定费、差旅费等甲方为主张权利支出的全部费用。</w:t>
      </w:r>
      <w:r>
        <w:rPr>
          <w:rFonts w:hint="eastAsia" w:ascii="宋体" w:hAnsi="宋体" w:eastAsia="宋体" w:cs="宋体"/>
          <w:color w:val="000000"/>
          <w:sz w:val="24"/>
          <w:szCs w:val="24"/>
          <w:highlight w:val="none"/>
          <w:lang w:val="en-US" w:eastAsia="zh-CN" w:bidi="ar-SA"/>
        </w:rPr>
      </w:r>
      <w:r/>
    </w:p>
    <w:p>
      <w:pPr>
        <w:pStyle w:val="779"/>
        <w:ind w:firstLine="560"/>
        <w:jc w:val="both"/>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4）因乙方原因，造成重大事故的情况。甲方有权一次性扣除本合同价款的1%作为罚金，如果一年内出现两次，甲方有权扣除尾款及解除合同。</w:t>
      </w:r>
      <w:r>
        <w:rPr>
          <w:rFonts w:hint="eastAsia" w:ascii="宋体" w:hAnsi="宋体" w:eastAsia="宋体" w:cs="宋体"/>
          <w:color w:val="000000"/>
          <w:sz w:val="24"/>
          <w:szCs w:val="24"/>
          <w:highlight w:val="none"/>
          <w:lang w:val="en-US" w:eastAsia="zh-CN" w:bidi="ar-SA"/>
        </w:rPr>
      </w:r>
      <w:r/>
    </w:p>
    <w:p>
      <w:pPr>
        <w:pStyle w:val="779"/>
        <w:ind w:firstLine="560"/>
        <w:jc w:val="both"/>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甲方若发现乙方向甲方提交的投标资料以及本合同所载内容有弄虚作假、隐瞒事实内容等情形的，甲方有权视情形单方解除本合同，乙方除应退还甲方已支付的合同款外，还应向甲方支付合同总金额20%的违约金。</w:t>
      </w:r>
      <w:r>
        <w:rPr>
          <w:rFonts w:hint="eastAsia" w:ascii="宋体" w:hAnsi="宋体" w:eastAsia="宋体" w:cs="宋体"/>
          <w:color w:val="000000"/>
          <w:sz w:val="24"/>
          <w:szCs w:val="24"/>
          <w:highlight w:val="none"/>
          <w:lang w:val="en-US" w:eastAsia="zh-CN" w:bidi="ar-SA"/>
        </w:rPr>
      </w:r>
      <w:r/>
    </w:p>
    <w:p>
      <w:pPr>
        <w:pStyle w:val="779"/>
        <w:contextualSpacing/>
        <w:jc w:val="both"/>
        <w:pageBreakBefore w:val="0"/>
        <w:spacing w:before="0" w:line="360" w:lineRule="auto"/>
        <w:widowControl w:val="off"/>
        <w:rPr>
          <w:rFonts w:hint="eastAsia" w:ascii="宋体" w:hAnsi="宋体" w:eastAsia="宋体" w:cs="宋体"/>
          <w:b/>
          <w:bCs/>
          <w:color w:val="000000"/>
          <w:sz w:val="24"/>
          <w:szCs w:val="24"/>
          <w:highlight w:val="none"/>
          <w:lang w:val="en-US" w:eastAsia="zh-CN" w:bidi="ar-SA"/>
        </w:rPr>
        <w:outlineLvl w:val="1"/>
      </w:pPr>
      <w:r/>
      <w:bookmarkEnd w:id="7"/>
      <w:r>
        <w:rPr>
          <w:rFonts w:hint="eastAsia" w:ascii="宋体" w:hAnsi="宋体" w:eastAsia="宋体" w:cs="宋体"/>
          <w:b/>
          <w:bCs/>
          <w:color w:val="000000"/>
          <w:sz w:val="24"/>
          <w:szCs w:val="24"/>
          <w:highlight w:val="none"/>
          <w:lang w:val="en-US" w:eastAsia="zh-CN" w:bidi="ar-SA"/>
        </w:rPr>
        <w:t xml:space="preserve">七、合同的生效、补充、变更与解除</w:t>
      </w:r>
      <w:r>
        <w:rPr>
          <w:rFonts w:hint="eastAsia" w:ascii="宋体" w:hAnsi="宋体" w:eastAsia="宋体" w:cs="宋体"/>
          <w:b/>
          <w:bCs/>
          <w:color w:val="000000"/>
          <w:sz w:val="24"/>
          <w:szCs w:val="24"/>
          <w:highlight w:val="none"/>
          <w:lang w:val="en-US" w:eastAsia="zh-CN" w:bidi="ar-SA"/>
        </w:rPr>
      </w:r>
      <w:r/>
    </w:p>
    <w:p>
      <w:pPr>
        <w:pStyle w:val="779"/>
        <w:ind w:firstLine="560"/>
        <w:jc w:val="both"/>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本合同自双方法定代表人或其授权的代表签字和加盖公司公章或合同专用章后正式生效。下列文件是构成本合同不可分割的部分：招标文件及针对其颁发的补充和变更文件、投标文件、本合同项下的所有的附件。</w:t>
      </w:r>
      <w:r>
        <w:rPr>
          <w:rFonts w:hint="eastAsia" w:ascii="宋体" w:hAnsi="宋体" w:eastAsia="宋体" w:cs="宋体"/>
          <w:color w:val="000000"/>
          <w:sz w:val="24"/>
          <w:szCs w:val="24"/>
          <w:highlight w:val="none"/>
          <w:lang w:val="en-US" w:eastAsia="zh-CN" w:bidi="ar-SA"/>
        </w:rPr>
      </w:r>
      <w:r/>
    </w:p>
    <w:p>
      <w:pPr>
        <w:pStyle w:val="779"/>
        <w:ind w:firstLine="560"/>
        <w:jc w:val="both"/>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2、合同如有未尽事宜，须经合同双方共同协商达成书面补充协议，补充协议与本合同具有同等法律效力。</w:t>
      </w:r>
      <w:r>
        <w:rPr>
          <w:rFonts w:hint="eastAsia" w:ascii="宋体" w:hAnsi="宋体" w:eastAsia="宋体" w:cs="宋体"/>
          <w:color w:val="000000"/>
          <w:sz w:val="24"/>
          <w:szCs w:val="24"/>
          <w:highlight w:val="none"/>
          <w:lang w:val="en-US" w:eastAsia="zh-CN" w:bidi="ar-SA"/>
        </w:rPr>
      </w:r>
      <w:r/>
    </w:p>
    <w:p>
      <w:pPr>
        <w:pStyle w:val="779"/>
        <w:ind w:firstLine="560"/>
        <w:jc w:val="both"/>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3、在本合同履行过程中，合同双方经协商一致达成书面协议的可以变更或解除本合同。</w:t>
      </w:r>
      <w:r>
        <w:rPr>
          <w:rFonts w:hint="eastAsia" w:ascii="宋体" w:hAnsi="宋体" w:eastAsia="宋体" w:cs="宋体"/>
          <w:color w:val="000000"/>
          <w:sz w:val="24"/>
          <w:szCs w:val="24"/>
          <w:highlight w:val="none"/>
          <w:lang w:val="en-US" w:eastAsia="zh-CN" w:bidi="ar-SA"/>
        </w:rPr>
      </w:r>
      <w:r/>
    </w:p>
    <w:p>
      <w:pPr>
        <w:pStyle w:val="779"/>
        <w:contextualSpacing/>
        <w:jc w:val="both"/>
        <w:pageBreakBefore w:val="0"/>
        <w:spacing w:before="0" w:line="360" w:lineRule="auto"/>
        <w:widowControl w:val="off"/>
        <w:rPr>
          <w:rFonts w:hint="eastAsia" w:ascii="宋体" w:hAnsi="宋体" w:eastAsia="宋体" w:cs="宋体"/>
          <w:b/>
          <w:bCs/>
          <w:color w:val="000000"/>
          <w:sz w:val="24"/>
          <w:szCs w:val="24"/>
          <w:highlight w:val="none"/>
          <w:lang w:val="en-US" w:eastAsia="zh-CN" w:bidi="ar-SA"/>
        </w:rPr>
        <w:outlineLvl w:val="1"/>
      </w:pPr>
      <w:r/>
      <w:bookmarkStart w:id="8" w:name="_Toc479777292"/>
      <w:r>
        <w:rPr>
          <w:rFonts w:hint="eastAsia" w:ascii="宋体" w:hAnsi="宋体" w:eastAsia="宋体" w:cs="宋体"/>
          <w:b/>
          <w:bCs/>
          <w:color w:val="000000"/>
          <w:sz w:val="24"/>
          <w:szCs w:val="24"/>
          <w:highlight w:val="none"/>
          <w:lang w:val="en-US" w:eastAsia="zh-CN" w:bidi="ar-SA"/>
        </w:rPr>
        <w:t xml:space="preserve">八、合同争议解决</w:t>
      </w:r>
      <w:bookmarkEnd w:id="8"/>
      <w:r>
        <w:rPr>
          <w:rFonts w:hint="eastAsia" w:ascii="宋体" w:hAnsi="宋体" w:eastAsia="宋体" w:cs="宋体"/>
          <w:b/>
          <w:bCs/>
          <w:color w:val="000000"/>
          <w:sz w:val="24"/>
          <w:szCs w:val="24"/>
          <w:highlight w:val="none"/>
          <w:lang w:val="en-US" w:eastAsia="zh-CN" w:bidi="ar-SA"/>
        </w:rPr>
      </w:r>
      <w:r/>
    </w:p>
    <w:p>
      <w:pPr>
        <w:pStyle w:val="779"/>
        <w:ind w:firstLine="560"/>
        <w:jc w:val="both"/>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甲乙双方均应严格执行本合同，在合同履行过程中如发生争议，双方应在相互谅解的基础上友好协商，以求妥善解决，如协商不成，将争议提交甲方所在地人民法院诉讼解决；诉讼期间，除争议内容以外，各方均应继续履行本合同约定的其他内容。</w:t>
      </w:r>
      <w:bookmarkStart w:id="9" w:name="_Toc479777293"/>
      <w:r>
        <w:rPr>
          <w:rFonts w:hint="eastAsia" w:ascii="宋体" w:hAnsi="宋体" w:eastAsia="宋体" w:cs="宋体"/>
          <w:color w:val="000000"/>
          <w:sz w:val="24"/>
          <w:szCs w:val="24"/>
          <w:highlight w:val="none"/>
          <w:lang w:val="en-US" w:eastAsia="zh-CN" w:bidi="ar-SA"/>
        </w:rPr>
      </w:r>
      <w:r/>
    </w:p>
    <w:p>
      <w:pPr>
        <w:pStyle w:val="779"/>
        <w:contextualSpacing/>
        <w:jc w:val="both"/>
        <w:pageBreakBefore w:val="0"/>
        <w:spacing w:before="0" w:line="360" w:lineRule="auto"/>
        <w:widowControl w:val="off"/>
        <w:rPr>
          <w:rFonts w:hint="eastAsia" w:ascii="宋体" w:hAnsi="宋体" w:eastAsia="宋体" w:cs="宋体"/>
          <w:b/>
          <w:bCs/>
          <w:color w:val="000000"/>
          <w:sz w:val="24"/>
          <w:szCs w:val="24"/>
          <w:highlight w:val="none"/>
          <w:lang w:val="en-US" w:eastAsia="zh-CN" w:bidi="ar-SA"/>
        </w:rPr>
        <w:outlineLvl w:val="1"/>
      </w:pPr>
      <w:r>
        <w:rPr>
          <w:rFonts w:hint="eastAsia" w:ascii="宋体" w:hAnsi="宋体" w:eastAsia="宋体" w:cs="宋体"/>
          <w:b/>
          <w:bCs/>
          <w:color w:val="000000"/>
          <w:sz w:val="24"/>
          <w:szCs w:val="24"/>
          <w:highlight w:val="none"/>
          <w:lang w:val="en-US" w:eastAsia="zh-CN" w:bidi="ar-SA"/>
        </w:rPr>
        <w:t xml:space="preserve">九、不可抗力</w:t>
      </w:r>
      <w:bookmarkEnd w:id="9"/>
      <w:r>
        <w:rPr>
          <w:rFonts w:hint="eastAsia" w:ascii="宋体" w:hAnsi="宋体" w:eastAsia="宋体" w:cs="宋体"/>
          <w:b/>
          <w:bCs/>
          <w:color w:val="000000"/>
          <w:sz w:val="24"/>
          <w:szCs w:val="24"/>
          <w:highlight w:val="none"/>
          <w:lang w:val="en-US" w:eastAsia="zh-CN" w:bidi="ar-SA"/>
        </w:rPr>
      </w:r>
      <w:r/>
    </w:p>
    <w:p>
      <w:pPr>
        <w:pStyle w:val="779"/>
        <w:ind w:firstLine="560"/>
        <w:jc w:val="both"/>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1、如因战争、洪水、台风、地震等不能预见、不能避免并不能克服的客观情况原因造成合同一方不能按期履行合同的，该方履行期限可相应顺延，对于由此造成的损失，合同双方均不承担责任。</w:t>
      </w:r>
      <w:r>
        <w:rPr>
          <w:rFonts w:hint="eastAsia" w:ascii="宋体" w:hAnsi="宋体" w:eastAsia="宋体" w:cs="宋体"/>
          <w:color w:val="000000"/>
          <w:sz w:val="24"/>
          <w:szCs w:val="24"/>
          <w:highlight w:val="none"/>
          <w:lang w:val="en-US" w:eastAsia="zh-CN" w:bidi="ar-SA"/>
        </w:rPr>
      </w:r>
      <w:r/>
    </w:p>
    <w:p>
      <w:pPr>
        <w:pStyle w:val="779"/>
        <w:ind w:firstLine="560"/>
        <w:jc w:val="both"/>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受不可抗力影响而不能按期履行的一方，应当在不可抗力发生后最短时间内以快递邮件或传真方式通知合同对方当事人，并在合理期限内提供有效证明。收到发生不可抗力通知的一方须立即采取适当措施防止上述不可抗力造成的损失后果扩大，没有采取适当措施致使损失扩大的，不得就扩大的损失要求赔偿。</w:t>
      </w:r>
      <w:r>
        <w:rPr>
          <w:rFonts w:hint="eastAsia" w:ascii="宋体" w:hAnsi="宋体" w:eastAsia="宋体" w:cs="宋体"/>
          <w:color w:val="000000"/>
          <w:sz w:val="24"/>
          <w:szCs w:val="24"/>
          <w:highlight w:val="none"/>
          <w:lang w:val="en-US" w:eastAsia="zh-CN" w:bidi="ar-SA"/>
        </w:rPr>
      </w:r>
      <w:r/>
    </w:p>
    <w:p>
      <w:pPr>
        <w:pStyle w:val="779"/>
        <w:ind w:firstLine="560"/>
        <w:jc w:val="both"/>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3、受不可抗力影响而不能按期履行的一方，应在不可抗力终止或消除后尽快通过快递邮件或传真通知合同对方当事人。如果不可抗力持续时间超过 30日，合同双方应通过友好协商解决合同以后的执行问题。 </w:t>
      </w:r>
      <w:r>
        <w:rPr>
          <w:rFonts w:hint="eastAsia" w:ascii="宋体" w:hAnsi="宋体" w:eastAsia="宋体" w:cs="宋体"/>
          <w:color w:val="000000"/>
          <w:sz w:val="24"/>
          <w:szCs w:val="24"/>
          <w:highlight w:val="none"/>
          <w:lang w:val="en-US" w:eastAsia="zh-CN" w:bidi="ar-SA"/>
        </w:rPr>
      </w:r>
      <w:r/>
    </w:p>
    <w:p>
      <w:pPr>
        <w:pStyle w:val="779"/>
        <w:jc w:val="both"/>
        <w:pageBreakBefore w:val="0"/>
        <w:spacing w:after="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十、合同生效及其它</w:t>
      </w:r>
      <w:r>
        <w:rPr>
          <w:rFonts w:hint="eastAsia" w:ascii="宋体" w:hAnsi="宋体" w:eastAsia="宋体" w:cs="宋体"/>
          <w:b/>
          <w:bCs/>
          <w:color w:val="000000"/>
          <w:sz w:val="24"/>
          <w:szCs w:val="24"/>
          <w:highlight w:val="none"/>
          <w:lang w:val="en-US" w:eastAsia="zh-CN" w:bidi="ar-SA"/>
        </w:rPr>
      </w:r>
      <w:r/>
    </w:p>
    <w:p>
      <w:pPr>
        <w:pStyle w:val="779"/>
        <w:ind w:firstLine="560"/>
        <w:jc w:val="both"/>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1、本合同在下列条件全部满足后生效，生效日期以下列条件全部满足的最晚日期为准： </w:t>
      </w:r>
      <w:r>
        <w:rPr>
          <w:rFonts w:hint="eastAsia" w:ascii="宋体" w:hAnsi="宋体" w:eastAsia="宋体" w:cs="宋体"/>
          <w:color w:val="000000"/>
          <w:sz w:val="24"/>
          <w:szCs w:val="24"/>
          <w:highlight w:val="none"/>
          <w:lang w:val="en-US" w:eastAsia="zh-CN" w:bidi="ar-SA"/>
        </w:rPr>
      </w:r>
      <w:r/>
    </w:p>
    <w:p>
      <w:pPr>
        <w:pStyle w:val="779"/>
        <w:ind w:firstLine="560"/>
        <w:jc w:val="both"/>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（1）双方加盖公章或合同专用章；</w:t>
      </w:r>
      <w:r>
        <w:rPr>
          <w:rFonts w:hint="eastAsia" w:ascii="宋体" w:hAnsi="宋体" w:eastAsia="宋体" w:cs="宋体"/>
          <w:color w:val="000000"/>
          <w:sz w:val="24"/>
          <w:szCs w:val="24"/>
          <w:highlight w:val="none"/>
          <w:lang w:val="en-US" w:eastAsia="zh-CN" w:bidi="ar-SA"/>
        </w:rPr>
      </w:r>
      <w:r/>
    </w:p>
    <w:p>
      <w:pPr>
        <w:pStyle w:val="779"/>
        <w:ind w:firstLine="560"/>
        <w:jc w:val="both"/>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（2）甲方收到乙方按招标文件规定缴纳的履约保证金。</w:t>
      </w:r>
      <w:r>
        <w:rPr>
          <w:rFonts w:hint="eastAsia" w:ascii="宋体" w:hAnsi="宋体" w:eastAsia="宋体" w:cs="宋体"/>
          <w:color w:val="000000"/>
          <w:sz w:val="24"/>
          <w:szCs w:val="24"/>
          <w:highlight w:val="none"/>
          <w:lang w:val="en-US" w:eastAsia="zh-CN" w:bidi="ar-SA"/>
        </w:rPr>
      </w:r>
      <w:r/>
    </w:p>
    <w:p>
      <w:pPr>
        <w:pStyle w:val="779"/>
        <w:ind w:firstLine="560"/>
        <w:jc w:val="both"/>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2、合同一式</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份，具有同等法律效力，甲方</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份，乙方</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份。</w:t>
      </w:r>
      <w:r>
        <w:rPr>
          <w:rFonts w:hint="eastAsia" w:ascii="宋体" w:hAnsi="宋体" w:eastAsia="宋体" w:cs="宋体"/>
          <w:color w:val="000000"/>
          <w:sz w:val="24"/>
          <w:szCs w:val="24"/>
          <w:highlight w:val="none"/>
          <w:lang w:val="en-US" w:eastAsia="zh-CN" w:bidi="ar-SA"/>
        </w:rPr>
      </w:r>
      <w:r/>
    </w:p>
    <w:p>
      <w:pPr>
        <w:pStyle w:val="779"/>
        <w:ind w:firstLine="560"/>
        <w:jc w:val="both"/>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3、本合同其他未尽事宜及与采购文件有矛盾之处，以招标文件[项目编号：</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]为准。合同在执行过程中出现的未尽事宜，双方在不违背本合同和磋商文件的原则下协商解决，协商结果以书面形式盖章记录在案，作为本合同的附件，与本合同具有同等效力。</w:t>
      </w:r>
      <w:r>
        <w:rPr>
          <w:rFonts w:hint="eastAsia" w:ascii="宋体" w:hAnsi="宋体" w:eastAsia="宋体" w:cs="宋体"/>
          <w:color w:val="000000"/>
          <w:sz w:val="24"/>
          <w:szCs w:val="24"/>
          <w:highlight w:val="none"/>
          <w:lang w:val="en-US" w:eastAsia="zh-CN" w:bidi="ar-SA"/>
        </w:rPr>
      </w:r>
      <w:r/>
    </w:p>
    <w:p>
      <w:pPr>
        <w:pStyle w:val="779"/>
        <w:jc w:val="both"/>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779"/>
        <w:jc w:val="both"/>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（以下无正文）</w:t>
      </w:r>
      <w:r>
        <w:rPr>
          <w:rFonts w:hint="eastAsia" w:ascii="宋体" w:hAnsi="宋体" w:eastAsia="宋体" w:cs="宋体"/>
          <w:color w:val="000000"/>
          <w:sz w:val="24"/>
          <w:szCs w:val="24"/>
          <w:highlight w:val="none"/>
          <w:lang w:val="en-US" w:eastAsia="zh-CN" w:bidi="ar-SA"/>
        </w:rPr>
      </w:r>
      <w:r/>
    </w:p>
    <w:p>
      <w:pPr>
        <w:pStyle w:val="779"/>
        <w:jc w:val="both"/>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779"/>
        <w:jc w:val="both"/>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甲方（签章）：______________________________ </w:t>
      </w:r>
      <w:r>
        <w:rPr>
          <w:rFonts w:hint="eastAsia" w:ascii="宋体" w:hAnsi="宋体" w:eastAsia="宋体" w:cs="宋体"/>
          <w:color w:val="000000"/>
          <w:sz w:val="24"/>
          <w:szCs w:val="24"/>
          <w:highlight w:val="none"/>
          <w:lang w:val="en-US" w:eastAsia="zh-CN" w:bidi="ar-SA"/>
        </w:rPr>
      </w:r>
      <w:r/>
    </w:p>
    <w:p>
      <w:pPr>
        <w:pStyle w:val="779"/>
        <w:jc w:val="both"/>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地址： ____________________________________</w:t>
      </w:r>
      <w:r>
        <w:rPr>
          <w:rFonts w:hint="eastAsia" w:ascii="宋体" w:hAnsi="宋体" w:eastAsia="宋体" w:cs="宋体"/>
          <w:color w:val="000000"/>
          <w:sz w:val="24"/>
          <w:szCs w:val="24"/>
          <w:highlight w:val="none"/>
          <w:lang w:val="en-US" w:eastAsia="zh-CN" w:bidi="ar-SA"/>
        </w:rPr>
      </w:r>
      <w:r/>
    </w:p>
    <w:p>
      <w:pPr>
        <w:pStyle w:val="779"/>
        <w:jc w:val="both"/>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邮编： ____________________________________</w:t>
      </w:r>
      <w:r>
        <w:rPr>
          <w:rFonts w:hint="eastAsia" w:ascii="宋体" w:hAnsi="宋体" w:eastAsia="宋体" w:cs="宋体"/>
          <w:color w:val="000000"/>
          <w:sz w:val="24"/>
          <w:szCs w:val="24"/>
          <w:highlight w:val="none"/>
          <w:lang w:val="en-US" w:eastAsia="zh-CN" w:bidi="ar-SA"/>
        </w:rPr>
      </w:r>
      <w:r/>
    </w:p>
    <w:p>
      <w:pPr>
        <w:pStyle w:val="779"/>
        <w:jc w:val="both"/>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传真： ____________________________________ </w:t>
      </w:r>
      <w:r>
        <w:rPr>
          <w:rFonts w:hint="eastAsia" w:ascii="宋体" w:hAnsi="宋体" w:eastAsia="宋体" w:cs="宋体"/>
          <w:color w:val="000000"/>
          <w:sz w:val="24"/>
          <w:szCs w:val="24"/>
          <w:highlight w:val="none"/>
          <w:lang w:val="en-US" w:eastAsia="zh-CN" w:bidi="ar-SA"/>
        </w:rPr>
      </w:r>
      <w:r/>
    </w:p>
    <w:p>
      <w:pPr>
        <w:pStyle w:val="779"/>
        <w:jc w:val="both"/>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电话： ____________________________________ </w:t>
      </w:r>
      <w:r>
        <w:rPr>
          <w:rFonts w:hint="eastAsia" w:ascii="宋体" w:hAnsi="宋体" w:eastAsia="宋体" w:cs="宋体"/>
          <w:color w:val="000000"/>
          <w:sz w:val="24"/>
          <w:szCs w:val="24"/>
          <w:highlight w:val="none"/>
          <w:lang w:val="en-US" w:eastAsia="zh-CN" w:bidi="ar-SA"/>
        </w:rPr>
      </w:r>
      <w:r/>
    </w:p>
    <w:p>
      <w:pPr>
        <w:pStyle w:val="779"/>
        <w:jc w:val="both"/>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法定代表人或授权代表(签名）： ______________</w:t>
      </w:r>
      <w:r>
        <w:rPr>
          <w:rFonts w:hint="eastAsia" w:ascii="宋体" w:hAnsi="宋体" w:eastAsia="宋体" w:cs="宋体"/>
          <w:color w:val="000000"/>
          <w:sz w:val="24"/>
          <w:szCs w:val="24"/>
          <w:highlight w:val="none"/>
          <w:lang w:val="en-US" w:eastAsia="zh-CN" w:bidi="ar-SA"/>
        </w:rPr>
      </w:r>
      <w:r/>
    </w:p>
    <w:p>
      <w:pPr>
        <w:pStyle w:val="779"/>
        <w:jc w:val="both"/>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签订时间：___________________________ </w:t>
      </w:r>
      <w:r>
        <w:rPr>
          <w:rFonts w:hint="eastAsia" w:ascii="宋体" w:hAnsi="宋体" w:eastAsia="宋体" w:cs="宋体"/>
          <w:color w:val="000000"/>
          <w:sz w:val="24"/>
          <w:szCs w:val="24"/>
          <w:highlight w:val="none"/>
          <w:lang w:val="en-US" w:eastAsia="zh-CN" w:bidi="ar-SA"/>
        </w:rPr>
      </w:r>
      <w:r/>
    </w:p>
    <w:p>
      <w:pPr>
        <w:pStyle w:val="779"/>
        <w:jc w:val="both"/>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779"/>
        <w:jc w:val="both"/>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乙方（签章）： _____________________________</w:t>
      </w:r>
      <w:r>
        <w:rPr>
          <w:rFonts w:hint="eastAsia" w:ascii="宋体" w:hAnsi="宋体" w:eastAsia="宋体" w:cs="宋体"/>
          <w:color w:val="000000"/>
          <w:sz w:val="24"/>
          <w:szCs w:val="24"/>
          <w:highlight w:val="none"/>
          <w:lang w:val="en-US" w:eastAsia="zh-CN" w:bidi="ar-SA"/>
        </w:rPr>
      </w:r>
      <w:r/>
    </w:p>
    <w:p>
      <w:pPr>
        <w:pStyle w:val="779"/>
        <w:jc w:val="both"/>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地址： ____________________________________ </w:t>
      </w:r>
      <w:r>
        <w:rPr>
          <w:rFonts w:hint="eastAsia" w:ascii="宋体" w:hAnsi="宋体" w:eastAsia="宋体" w:cs="宋体"/>
          <w:color w:val="000000"/>
          <w:sz w:val="24"/>
          <w:szCs w:val="24"/>
          <w:highlight w:val="none"/>
          <w:lang w:val="en-US" w:eastAsia="zh-CN" w:bidi="ar-SA"/>
        </w:rPr>
      </w:r>
      <w:r/>
    </w:p>
    <w:p>
      <w:pPr>
        <w:pStyle w:val="779"/>
        <w:jc w:val="both"/>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邮编： ____________________________________ </w:t>
      </w:r>
      <w:r>
        <w:rPr>
          <w:rFonts w:hint="eastAsia" w:ascii="宋体" w:hAnsi="宋体" w:eastAsia="宋体" w:cs="宋体"/>
          <w:color w:val="000000"/>
          <w:sz w:val="24"/>
          <w:szCs w:val="24"/>
          <w:highlight w:val="none"/>
          <w:lang w:val="en-US" w:eastAsia="zh-CN" w:bidi="ar-SA"/>
        </w:rPr>
      </w:r>
      <w:r/>
    </w:p>
    <w:p>
      <w:pPr>
        <w:pStyle w:val="779"/>
        <w:jc w:val="both"/>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传真： ____________________________________ </w:t>
      </w:r>
      <w:r>
        <w:rPr>
          <w:rFonts w:hint="eastAsia" w:ascii="宋体" w:hAnsi="宋体" w:eastAsia="宋体" w:cs="宋体"/>
          <w:color w:val="000000"/>
          <w:sz w:val="24"/>
          <w:szCs w:val="24"/>
          <w:highlight w:val="none"/>
          <w:lang w:val="en-US" w:eastAsia="zh-CN" w:bidi="ar-SA"/>
        </w:rPr>
      </w:r>
      <w:r/>
    </w:p>
    <w:p>
      <w:pPr>
        <w:pStyle w:val="779"/>
        <w:jc w:val="both"/>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电话： ____________________________________ </w:t>
      </w:r>
      <w:r>
        <w:rPr>
          <w:rFonts w:hint="eastAsia" w:ascii="宋体" w:hAnsi="宋体" w:eastAsia="宋体" w:cs="宋体"/>
          <w:color w:val="000000"/>
          <w:sz w:val="24"/>
          <w:szCs w:val="24"/>
          <w:highlight w:val="none"/>
          <w:lang w:val="en-US" w:eastAsia="zh-CN" w:bidi="ar-SA"/>
        </w:rPr>
      </w:r>
      <w:r/>
    </w:p>
    <w:p>
      <w:pPr>
        <w:pStyle w:val="779"/>
        <w:jc w:val="both"/>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开户银行：________________________________       </w:t>
      </w:r>
      <w:r>
        <w:rPr>
          <w:rFonts w:hint="eastAsia" w:ascii="宋体" w:hAnsi="宋体" w:eastAsia="宋体" w:cs="宋体"/>
          <w:color w:val="000000"/>
          <w:sz w:val="24"/>
          <w:szCs w:val="24"/>
          <w:highlight w:val="none"/>
          <w:lang w:val="en-US" w:eastAsia="zh-CN" w:bidi="ar-SA"/>
        </w:rPr>
      </w:r>
      <w:r/>
    </w:p>
    <w:p>
      <w:pPr>
        <w:pStyle w:val="779"/>
        <w:jc w:val="both"/>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银行账号： ________________________________  </w:t>
      </w:r>
      <w:r>
        <w:rPr>
          <w:rFonts w:hint="eastAsia" w:ascii="宋体" w:hAnsi="宋体" w:eastAsia="宋体" w:cs="宋体"/>
          <w:color w:val="000000"/>
          <w:sz w:val="24"/>
          <w:szCs w:val="24"/>
          <w:highlight w:val="none"/>
          <w:lang w:val="en-US" w:eastAsia="zh-CN" w:bidi="ar-SA"/>
        </w:rPr>
      </w:r>
      <w:r/>
    </w:p>
    <w:p>
      <w:pPr>
        <w:pStyle w:val="779"/>
        <w:jc w:val="both"/>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法定代表人或授权代表(签名）： ______________</w:t>
      </w:r>
      <w:r>
        <w:rPr>
          <w:rFonts w:hint="eastAsia" w:ascii="宋体" w:hAnsi="宋体" w:eastAsia="宋体" w:cs="宋体"/>
          <w:color w:val="000000"/>
          <w:sz w:val="24"/>
          <w:szCs w:val="24"/>
          <w:highlight w:val="none"/>
          <w:lang w:val="en-US" w:eastAsia="zh-CN" w:bidi="ar-SA"/>
        </w:rPr>
      </w:r>
      <w:r/>
    </w:p>
    <w:p>
      <w:pPr>
        <w:pStyle w:val="779"/>
        <w:jc w:val="both"/>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签订时间：___________________________ </w:t>
      </w:r>
      <w:r>
        <w:rPr>
          <w:rFonts w:hint="eastAsia" w:ascii="宋体" w:hAnsi="宋体" w:eastAsia="宋体" w:cs="宋体"/>
          <w:color w:val="000000"/>
          <w:sz w:val="24"/>
          <w:szCs w:val="24"/>
          <w:highlight w:val="none"/>
          <w:lang w:val="en-US" w:eastAsia="zh-CN" w:bidi="ar-SA"/>
        </w:rPr>
      </w:r>
      <w:r/>
    </w:p>
    <w:p>
      <w:pPr>
        <w:pStyle w:val="779"/>
        <w:rPr>
          <w:rFonts w:hint="eastAsia" w:ascii="宋体" w:hAnsi="宋体" w:eastAsia="宋体" w:cs="宋体"/>
          <w:b/>
          <w:color w:val="000000"/>
          <w:sz w:val="30"/>
          <w:highlight w:val="none"/>
          <w:lang w:eastAsia="zh-CN"/>
        </w:rPr>
      </w:pPr>
      <w:r>
        <w:rPr>
          <w:rFonts w:hint="eastAsia" w:ascii="宋体" w:hAnsi="宋体" w:eastAsia="宋体" w:cs="宋体"/>
          <w:b/>
          <w:color w:val="000000"/>
          <w:sz w:val="30"/>
          <w:highlight w:val="none"/>
          <w:lang w:eastAsia="zh-CN"/>
        </w:rPr>
        <w:br w:type="page" w:clear="all"/>
      </w:r>
      <w:r>
        <w:rPr>
          <w:rFonts w:hint="eastAsia" w:ascii="宋体" w:hAnsi="宋体" w:eastAsia="宋体" w:cs="宋体"/>
          <w:b/>
          <w:color w:val="000000"/>
          <w:sz w:val="30"/>
          <w:highlight w:val="none"/>
          <w:lang w:eastAsia="zh-CN"/>
        </w:rPr>
      </w:r>
      <w:r/>
    </w:p>
    <w:p>
      <w:pPr>
        <w:pStyle w:val="779"/>
        <w:jc w:val="both"/>
        <w:spacing w:line="240" w:lineRule="auto"/>
        <w:widowControl w:val="off"/>
        <w:rPr>
          <w:rFonts w:hint="eastAsia" w:ascii="宋体" w:hAnsi="宋体" w:eastAsia="宋体" w:cs="宋体"/>
          <w:bCs/>
          <w:color w:val="000000"/>
          <w:sz w:val="24"/>
          <w:szCs w:val="21"/>
          <w:highlight w:val="none"/>
          <w:lang w:val="en-US"/>
        </w:rPr>
      </w:pPr>
      <w:r>
        <w:rPr>
          <w:rFonts w:hint="eastAsia" w:ascii="宋体" w:hAnsi="宋体" w:eastAsia="宋体" w:cs="宋体"/>
          <w:bCs/>
          <w:color w:val="000000"/>
          <w:sz w:val="24"/>
          <w:szCs w:val="21"/>
          <w:highlight w:val="none"/>
        </w:rPr>
        <w:t xml:space="preserve">合同附件1：</w:t>
      </w:r>
      <w:r>
        <w:rPr>
          <w:rFonts w:hint="eastAsia" w:ascii="宋体" w:hAnsi="宋体" w:eastAsia="宋体" w:cs="宋体"/>
          <w:bCs/>
          <w:color w:val="000000"/>
          <w:sz w:val="24"/>
          <w:szCs w:val="21"/>
          <w:highlight w:val="none"/>
          <w:lang w:val="en-US" w:eastAsia="zh-CN"/>
        </w:rPr>
        <w:t xml:space="preserve">《项目评价细则》</w:t>
      </w:r>
      <w:r>
        <w:rPr>
          <w:rFonts w:hint="eastAsia" w:ascii="宋体" w:hAnsi="宋体" w:eastAsia="宋体" w:cs="宋体"/>
          <w:bCs/>
          <w:color w:val="000000"/>
          <w:sz w:val="24"/>
          <w:szCs w:val="21"/>
          <w:highlight w:val="none"/>
          <w:lang w:val="en-US"/>
        </w:rPr>
      </w:r>
      <w:r/>
    </w:p>
    <w:tbl>
      <w:tblPr>
        <w:tblStyle w:val="820"/>
        <w:tblW w:w="963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35"/>
        <w:gridCol w:w="3308"/>
        <w:gridCol w:w="267"/>
        <w:gridCol w:w="1559"/>
        <w:gridCol w:w="1466"/>
      </w:tblGrid>
      <w:tr>
        <w:trPr>
          <w:trHeight w:val="511"/>
        </w:trPr>
        <w:tc>
          <w:tcPr>
            <w:gridSpan w:val="5"/>
            <w:tcW w:w="9635" w:type="dxa"/>
            <w:vAlign w:val="center"/>
            <w:textDirection w:val="lrTb"/>
            <w:noWrap w:val="false"/>
          </w:tcPr>
          <w:p>
            <w:pPr>
              <w:pStyle w:val="779"/>
              <w:ind w:left="0" w:right="0"/>
              <w:jc w:val="center"/>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rPr>
              <w:t xml:space="preserve">租用机房机柜项目评价报告</w:t>
            </w:r>
            <w:r>
              <w:rPr>
                <w:rFonts w:hint="eastAsia" w:ascii="宋体" w:hAnsi="宋体" w:eastAsia="宋体" w:cs="宋体"/>
                <w:color w:val="000000"/>
                <w:sz w:val="24"/>
                <w:szCs w:val="24"/>
                <w:highlight w:val="none"/>
                <w:lang w:val="en-US"/>
              </w:rPr>
            </w:r>
            <w:r/>
          </w:p>
        </w:tc>
      </w:tr>
      <w:tr>
        <w:trPr>
          <w:trHeight w:val="433"/>
        </w:trPr>
        <w:tc>
          <w:tcPr>
            <w:tcW w:w="3035"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项目名称</w:t>
            </w:r>
            <w:r>
              <w:rPr>
                <w:rFonts w:hint="eastAsia" w:ascii="宋体" w:hAnsi="宋体" w:eastAsia="宋体" w:cs="宋体"/>
                <w:color w:val="000000"/>
                <w:sz w:val="24"/>
                <w:szCs w:val="24"/>
                <w:highlight w:val="none"/>
                <w:lang w:val="en-US"/>
              </w:rPr>
            </w:r>
            <w:r/>
          </w:p>
        </w:tc>
        <w:tc>
          <w:tcPr>
            <w:gridSpan w:val="4"/>
            <w:tcW w:w="6600"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rPr>
            </w:r>
            <w:r/>
          </w:p>
        </w:tc>
      </w:tr>
      <w:tr>
        <w:trPr>
          <w:trHeight w:val="435"/>
        </w:trPr>
        <w:tc>
          <w:tcPr>
            <w:tcW w:w="3035"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项目编号</w:t>
            </w:r>
            <w:r>
              <w:rPr>
                <w:rFonts w:hint="eastAsia" w:ascii="宋体" w:hAnsi="宋体" w:eastAsia="宋体" w:cs="宋体"/>
                <w:color w:val="000000"/>
                <w:sz w:val="24"/>
                <w:szCs w:val="24"/>
                <w:highlight w:val="none"/>
                <w:lang w:val="en-US"/>
              </w:rPr>
            </w:r>
            <w:r/>
          </w:p>
        </w:tc>
        <w:tc>
          <w:tcPr>
            <w:gridSpan w:val="4"/>
            <w:tcW w:w="6600"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rPr>
            </w:r>
            <w:r/>
          </w:p>
        </w:tc>
      </w:tr>
      <w:tr>
        <w:trPr>
          <w:trHeight w:val="411"/>
        </w:trPr>
        <w:tc>
          <w:tcPr>
            <w:tcW w:w="3035"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评价组织单位</w:t>
            </w:r>
            <w:r>
              <w:rPr>
                <w:rFonts w:hint="eastAsia" w:ascii="宋体" w:hAnsi="宋体" w:eastAsia="宋体" w:cs="宋体"/>
                <w:color w:val="000000"/>
                <w:sz w:val="24"/>
                <w:szCs w:val="24"/>
                <w:highlight w:val="none"/>
                <w:lang w:val="en-US"/>
              </w:rPr>
            </w:r>
            <w:r/>
          </w:p>
        </w:tc>
        <w:tc>
          <w:tcPr>
            <w:gridSpan w:val="2"/>
            <w:tcW w:w="3575"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rPr>
            </w:r>
            <w:r/>
          </w:p>
        </w:tc>
        <w:tc>
          <w:tcPr>
            <w:tcW w:w="1559" w:type="dxa"/>
            <w:vAlign w:val="center"/>
            <w:textDirection w:val="lrTb"/>
            <w:noWrap w:val="false"/>
          </w:tcPr>
          <w:p>
            <w:pPr>
              <w:pStyle w:val="779"/>
              <w:ind w:left="0" w:right="0" w:firstLine="24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评价人</w:t>
            </w:r>
            <w:r>
              <w:rPr>
                <w:rFonts w:hint="eastAsia" w:ascii="宋体" w:hAnsi="宋体" w:eastAsia="宋体" w:cs="宋体"/>
                <w:color w:val="000000"/>
                <w:sz w:val="24"/>
                <w:szCs w:val="24"/>
                <w:highlight w:val="none"/>
                <w:lang w:val="en-US"/>
              </w:rPr>
            </w:r>
            <w:r/>
          </w:p>
        </w:tc>
        <w:tc>
          <w:tcPr>
            <w:tcW w:w="1466"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rPr>
            </w:r>
            <w:r/>
          </w:p>
        </w:tc>
      </w:tr>
      <w:tr>
        <w:trPr>
          <w:trHeight w:val="418"/>
        </w:trPr>
        <w:tc>
          <w:tcPr>
            <w:tcW w:w="3035"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合同履约单位（受评人）</w:t>
            </w:r>
            <w:r>
              <w:rPr>
                <w:rFonts w:hint="eastAsia" w:ascii="宋体" w:hAnsi="宋体" w:eastAsia="宋体" w:cs="宋体"/>
                <w:color w:val="000000"/>
                <w:sz w:val="24"/>
                <w:szCs w:val="24"/>
                <w:highlight w:val="none"/>
                <w:lang w:val="en-US"/>
              </w:rPr>
            </w:r>
            <w:r/>
          </w:p>
        </w:tc>
        <w:tc>
          <w:tcPr>
            <w:gridSpan w:val="4"/>
            <w:tcW w:w="6600"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rPr>
            </w:r>
            <w:r/>
          </w:p>
        </w:tc>
      </w:tr>
      <w:tr>
        <w:trPr>
          <w:trHeight w:val="476"/>
        </w:trPr>
        <w:tc>
          <w:tcPr>
            <w:gridSpan w:val="5"/>
            <w:tcW w:w="9635"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b/>
                <w:bCs w:val="0"/>
                <w:color w:val="000000"/>
                <w:sz w:val="24"/>
                <w:szCs w:val="24"/>
                <w:highlight w:val="none"/>
                <w:lang w:val="en-US"/>
              </w:rPr>
              <w:suppressLineNumbers w:val="0"/>
            </w:pPr>
            <w:r>
              <w:rPr>
                <w:rFonts w:hint="eastAsia" w:ascii="宋体" w:hAnsi="宋体" w:eastAsia="宋体" w:cs="宋体"/>
                <w:b/>
                <w:bCs w:val="0"/>
                <w:color w:val="000000"/>
                <w:sz w:val="24"/>
                <w:szCs w:val="24"/>
                <w:highlight w:val="none"/>
                <w:lang w:val="en-US" w:eastAsia="zh-CN" w:bidi="ar"/>
              </w:rPr>
              <w:t xml:space="preserve">当月评价得分：</w:t>
            </w:r>
            <w:r>
              <w:rPr>
                <w:rFonts w:hint="eastAsia" w:ascii="宋体" w:hAnsi="宋体" w:eastAsia="宋体" w:cs="宋体"/>
                <w:b/>
                <w:bCs w:val="0"/>
                <w:color w:val="000000"/>
                <w:sz w:val="24"/>
                <w:szCs w:val="24"/>
                <w:highlight w:val="none"/>
                <w:lang w:val="en-US"/>
              </w:rPr>
            </w:r>
            <w:r/>
          </w:p>
        </w:tc>
      </w:tr>
      <w:tr>
        <w:trPr/>
        <w:tc>
          <w:tcPr>
            <w:gridSpan w:val="5"/>
            <w:tcW w:w="9635" w:type="dxa"/>
            <w:vAlign w:val="top"/>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b/>
                <w:bCs w:val="0"/>
                <w:color w:val="000000"/>
                <w:sz w:val="24"/>
                <w:szCs w:val="24"/>
                <w:highlight w:val="none"/>
                <w:lang w:val="en-US"/>
              </w:rPr>
              <w:suppressLineNumbers w:val="0"/>
            </w:pPr>
            <w:r>
              <w:rPr>
                <w:rFonts w:hint="eastAsia" w:ascii="宋体" w:hAnsi="宋体" w:eastAsia="宋体" w:cs="宋体"/>
                <w:b/>
                <w:bCs w:val="0"/>
                <w:color w:val="000000"/>
                <w:sz w:val="24"/>
                <w:szCs w:val="24"/>
                <w:highlight w:val="none"/>
                <w:lang w:val="en-US" w:eastAsia="zh-CN" w:bidi="ar"/>
              </w:rPr>
              <w:t xml:space="preserve">1.机房环境要求评价</w:t>
            </w:r>
            <w:r>
              <w:rPr>
                <w:rFonts w:hint="eastAsia" w:ascii="宋体" w:hAnsi="宋体" w:eastAsia="宋体" w:cs="宋体"/>
                <w:b/>
                <w:bCs w:val="0"/>
                <w:color w:val="000000"/>
                <w:sz w:val="24"/>
                <w:szCs w:val="24"/>
                <w:highlight w:val="none"/>
                <w:lang w:val="en-US"/>
              </w:rPr>
            </w:r>
            <w:r/>
          </w:p>
        </w:tc>
      </w:tr>
      <w:tr>
        <w:trPr/>
        <w:tc>
          <w:tcPr>
            <w:tcW w:w="3035"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评价要求</w:t>
            </w:r>
            <w:r>
              <w:rPr>
                <w:rFonts w:hint="eastAsia" w:ascii="宋体" w:hAnsi="宋体" w:eastAsia="宋体" w:cs="宋体"/>
                <w:color w:val="000000"/>
                <w:sz w:val="24"/>
                <w:szCs w:val="24"/>
                <w:highlight w:val="none"/>
                <w:lang w:val="en-US"/>
              </w:rPr>
            </w:r>
            <w:r/>
          </w:p>
        </w:tc>
        <w:tc>
          <w:tcPr>
            <w:gridSpan w:val="4"/>
            <w:tcW w:w="6600" w:type="dxa"/>
            <w:vAlign w:val="top"/>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对于提供服务的信息系统机房，针对其可靠性、安全性、可扩展性进行全面评价</w:t>
            </w:r>
            <w:r>
              <w:rPr>
                <w:rFonts w:hint="eastAsia" w:ascii="宋体" w:hAnsi="宋体" w:eastAsia="宋体" w:cs="宋体"/>
                <w:color w:val="000000"/>
                <w:sz w:val="24"/>
                <w:szCs w:val="24"/>
                <w:highlight w:val="none"/>
                <w:lang w:val="en-US"/>
              </w:rPr>
            </w:r>
            <w:r/>
          </w:p>
        </w:tc>
      </w:tr>
      <w:tr>
        <w:trPr/>
        <w:tc>
          <w:tcPr>
            <w:tcW w:w="3035"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评分标准</w:t>
            </w:r>
            <w:r>
              <w:rPr>
                <w:rFonts w:hint="eastAsia" w:ascii="宋体" w:hAnsi="宋体" w:eastAsia="宋体" w:cs="宋体"/>
                <w:color w:val="000000"/>
                <w:sz w:val="24"/>
                <w:szCs w:val="24"/>
                <w:highlight w:val="none"/>
                <w:lang w:val="en-US"/>
              </w:rPr>
            </w:r>
            <w:r/>
          </w:p>
        </w:tc>
        <w:tc>
          <w:tcPr>
            <w:gridSpan w:val="4"/>
            <w:tcW w:w="6600" w:type="dxa"/>
            <w:vAlign w:val="top"/>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根据“第六章 采购需求”中“四、项目要求”中“（三）技术要求”中“1.机房环境要求”中的要求项目进行具体评价</w:t>
            </w:r>
            <w:r>
              <w:rPr>
                <w:rFonts w:hint="eastAsia" w:ascii="宋体" w:hAnsi="宋体" w:eastAsia="宋体" w:cs="宋体"/>
                <w:color w:val="000000"/>
                <w:sz w:val="24"/>
                <w:szCs w:val="24"/>
                <w:highlight w:val="none"/>
                <w:lang w:val="en-US"/>
              </w:rPr>
            </w:r>
            <w:r/>
          </w:p>
        </w:tc>
      </w:tr>
      <w:tr>
        <w:trPr/>
        <w:tc>
          <w:tcPr>
            <w:tcW w:w="3035"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本项评价总分及评分方式</w:t>
            </w:r>
            <w:r>
              <w:rPr>
                <w:rFonts w:hint="eastAsia" w:ascii="宋体" w:hAnsi="宋体" w:eastAsia="宋体" w:cs="宋体"/>
                <w:color w:val="000000"/>
                <w:sz w:val="24"/>
                <w:szCs w:val="24"/>
                <w:highlight w:val="none"/>
                <w:lang w:val="en-US"/>
              </w:rPr>
            </w:r>
            <w:r/>
          </w:p>
        </w:tc>
        <w:tc>
          <w:tcPr>
            <w:gridSpan w:val="4"/>
            <w:tcW w:w="6600" w:type="dxa"/>
            <w:vAlign w:val="top"/>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本项满分共计62分，采用得分制。受评单项完全满足招标要求中的所有要求，该单项得满分；对于单项要求中的所有要求，不满足其中一项扣除1-3分，重要项不满足的一项扣4-5分，直至单项中的所有分数扣完。</w:t>
            </w:r>
            <w:r>
              <w:rPr>
                <w:rFonts w:hint="eastAsia" w:ascii="宋体" w:hAnsi="宋体" w:eastAsia="宋体" w:cs="宋体"/>
                <w:color w:val="000000"/>
                <w:sz w:val="24"/>
                <w:szCs w:val="24"/>
                <w:highlight w:val="none"/>
                <w:lang w:val="en-US"/>
              </w:rPr>
            </w:r>
            <w:r/>
          </w:p>
        </w:tc>
      </w:tr>
      <w:tr>
        <w:trPr/>
        <w:tc>
          <w:tcPr>
            <w:tcW w:w="3035"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评分单项</w:t>
            </w:r>
            <w:r>
              <w:rPr>
                <w:rFonts w:hint="eastAsia" w:ascii="宋体" w:hAnsi="宋体" w:eastAsia="宋体" w:cs="宋体"/>
                <w:color w:val="000000"/>
                <w:sz w:val="24"/>
                <w:szCs w:val="24"/>
                <w:highlight w:val="none"/>
                <w:lang w:val="en-US"/>
              </w:rPr>
            </w:r>
            <w:r/>
          </w:p>
        </w:tc>
        <w:tc>
          <w:tcPr>
            <w:tcW w:w="3308"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单项总分</w:t>
            </w:r>
            <w:r>
              <w:rPr>
                <w:rFonts w:hint="eastAsia" w:ascii="宋体" w:hAnsi="宋体" w:eastAsia="宋体" w:cs="宋体"/>
                <w:color w:val="000000"/>
                <w:sz w:val="24"/>
                <w:szCs w:val="24"/>
                <w:highlight w:val="none"/>
                <w:lang w:val="en-US"/>
              </w:rPr>
            </w:r>
            <w:r/>
          </w:p>
        </w:tc>
        <w:tc>
          <w:tcPr>
            <w:gridSpan w:val="3"/>
            <w:tcW w:w="3292"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单项得分</w:t>
            </w:r>
            <w:r>
              <w:rPr>
                <w:rFonts w:hint="eastAsia" w:ascii="宋体" w:hAnsi="宋体" w:eastAsia="宋体" w:cs="宋体"/>
                <w:color w:val="000000"/>
                <w:sz w:val="24"/>
                <w:szCs w:val="24"/>
                <w:highlight w:val="none"/>
                <w:lang w:val="en-US"/>
              </w:rPr>
            </w:r>
            <w:r/>
          </w:p>
        </w:tc>
      </w:tr>
      <w:tr>
        <w:trPr/>
        <w:tc>
          <w:tcPr>
            <w:tcW w:w="3035"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1.1电源系统</w:t>
            </w:r>
            <w:r>
              <w:rPr>
                <w:rFonts w:hint="eastAsia" w:ascii="宋体" w:hAnsi="宋体" w:eastAsia="宋体" w:cs="宋体"/>
                <w:color w:val="000000"/>
                <w:sz w:val="24"/>
                <w:szCs w:val="24"/>
                <w:highlight w:val="none"/>
                <w:lang w:val="en-US" w:eastAsia="zh-CN"/>
              </w:rPr>
            </w:r>
            <w:r/>
          </w:p>
        </w:tc>
        <w:tc>
          <w:tcPr>
            <w:tcW w:w="3308"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20</w:t>
            </w:r>
            <w:r>
              <w:rPr>
                <w:rFonts w:hint="eastAsia" w:ascii="宋体" w:hAnsi="宋体" w:eastAsia="宋体" w:cs="宋体"/>
                <w:color w:val="000000"/>
                <w:sz w:val="24"/>
                <w:szCs w:val="24"/>
                <w:highlight w:val="none"/>
                <w:lang w:val="en-US"/>
              </w:rPr>
            </w:r>
            <w:r/>
          </w:p>
        </w:tc>
        <w:tc>
          <w:tcPr>
            <w:gridSpan w:val="3"/>
            <w:tcW w:w="3292"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rPr>
            </w:r>
            <w:r/>
          </w:p>
        </w:tc>
      </w:tr>
      <w:tr>
        <w:trPr/>
        <w:tc>
          <w:tcPr>
            <w:tcW w:w="3035"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1.2温湿度控制系统</w:t>
            </w:r>
            <w:r>
              <w:rPr>
                <w:rFonts w:hint="eastAsia" w:ascii="宋体" w:hAnsi="宋体" w:eastAsia="宋体" w:cs="宋体"/>
                <w:color w:val="000000"/>
                <w:sz w:val="24"/>
                <w:szCs w:val="24"/>
                <w:highlight w:val="none"/>
                <w:lang w:val="en-US"/>
              </w:rPr>
            </w:r>
            <w:r/>
          </w:p>
        </w:tc>
        <w:tc>
          <w:tcPr>
            <w:tcW w:w="3308"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10</w:t>
            </w:r>
            <w:r>
              <w:rPr>
                <w:rFonts w:hint="eastAsia" w:ascii="宋体" w:hAnsi="宋体" w:eastAsia="宋体" w:cs="宋体"/>
                <w:color w:val="000000"/>
                <w:sz w:val="24"/>
                <w:szCs w:val="24"/>
                <w:highlight w:val="none"/>
                <w:lang w:val="en-US"/>
              </w:rPr>
            </w:r>
            <w:r/>
          </w:p>
        </w:tc>
        <w:tc>
          <w:tcPr>
            <w:gridSpan w:val="3"/>
            <w:tcW w:w="3292"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rPr>
            </w:r>
            <w:r/>
          </w:p>
        </w:tc>
      </w:tr>
      <w:tr>
        <w:trPr/>
        <w:tc>
          <w:tcPr>
            <w:tcW w:w="3035"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1.3消防系统</w:t>
            </w:r>
            <w:r>
              <w:rPr>
                <w:rFonts w:hint="eastAsia" w:ascii="宋体" w:hAnsi="宋体" w:eastAsia="宋体" w:cs="宋体"/>
                <w:color w:val="000000"/>
                <w:sz w:val="24"/>
                <w:szCs w:val="24"/>
                <w:highlight w:val="none"/>
                <w:lang w:val="en-US"/>
              </w:rPr>
            </w:r>
            <w:r/>
          </w:p>
        </w:tc>
        <w:tc>
          <w:tcPr>
            <w:tcW w:w="3308"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val="en-US"/>
              </w:rPr>
            </w:r>
            <w:r/>
          </w:p>
        </w:tc>
        <w:tc>
          <w:tcPr>
            <w:gridSpan w:val="3"/>
            <w:tcW w:w="3292"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rPr>
            </w:r>
            <w:r/>
          </w:p>
        </w:tc>
      </w:tr>
      <w:tr>
        <w:trPr/>
        <w:tc>
          <w:tcPr>
            <w:tcW w:w="3035"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1.4防雷接地</w:t>
            </w:r>
            <w:r>
              <w:rPr>
                <w:rFonts w:hint="eastAsia" w:ascii="宋体" w:hAnsi="宋体" w:eastAsia="宋体" w:cs="宋体"/>
                <w:color w:val="000000"/>
                <w:sz w:val="24"/>
                <w:szCs w:val="24"/>
                <w:highlight w:val="none"/>
                <w:lang w:val="en-US"/>
              </w:rPr>
            </w:r>
            <w:r/>
          </w:p>
        </w:tc>
        <w:tc>
          <w:tcPr>
            <w:tcW w:w="3308"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rPr>
            </w:r>
            <w:r/>
          </w:p>
        </w:tc>
        <w:tc>
          <w:tcPr>
            <w:gridSpan w:val="3"/>
            <w:tcW w:w="3292"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rPr>
            </w:r>
            <w:r/>
          </w:p>
        </w:tc>
      </w:tr>
      <w:tr>
        <w:trPr/>
        <w:tc>
          <w:tcPr>
            <w:tcW w:w="3035"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1.5机房所在位置及建筑</w:t>
            </w:r>
            <w:r>
              <w:rPr>
                <w:rFonts w:hint="eastAsia" w:ascii="宋体" w:hAnsi="宋体" w:eastAsia="宋体" w:cs="宋体"/>
                <w:color w:val="000000"/>
                <w:sz w:val="24"/>
                <w:szCs w:val="24"/>
                <w:highlight w:val="none"/>
                <w:lang w:val="en-US"/>
              </w:rPr>
            </w:r>
            <w:r/>
          </w:p>
        </w:tc>
        <w:tc>
          <w:tcPr>
            <w:tcW w:w="3308"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9</w:t>
            </w:r>
            <w:r>
              <w:rPr>
                <w:rFonts w:hint="eastAsia" w:ascii="宋体" w:hAnsi="宋体" w:eastAsia="宋体" w:cs="宋体"/>
                <w:color w:val="000000"/>
                <w:sz w:val="24"/>
                <w:szCs w:val="24"/>
                <w:highlight w:val="none"/>
                <w:lang w:val="en-US"/>
              </w:rPr>
            </w:r>
            <w:r/>
          </w:p>
        </w:tc>
        <w:tc>
          <w:tcPr>
            <w:gridSpan w:val="3"/>
            <w:tcW w:w="3292"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rPr>
            </w:r>
            <w:r/>
          </w:p>
        </w:tc>
      </w:tr>
      <w:tr>
        <w:trPr/>
        <w:tc>
          <w:tcPr>
            <w:tcW w:w="3035"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1.6机房装修</w:t>
            </w:r>
            <w:r>
              <w:rPr>
                <w:rFonts w:hint="eastAsia" w:ascii="宋体" w:hAnsi="宋体" w:eastAsia="宋体" w:cs="宋体"/>
                <w:color w:val="000000"/>
                <w:sz w:val="24"/>
                <w:szCs w:val="24"/>
                <w:highlight w:val="none"/>
                <w:lang w:val="en-US"/>
              </w:rPr>
            </w:r>
            <w:r/>
          </w:p>
        </w:tc>
        <w:tc>
          <w:tcPr>
            <w:tcW w:w="3308"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val="en-US"/>
              </w:rPr>
            </w:r>
            <w:r/>
          </w:p>
        </w:tc>
        <w:tc>
          <w:tcPr>
            <w:gridSpan w:val="3"/>
            <w:tcW w:w="3292"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rPr>
            </w:r>
            <w:r/>
          </w:p>
        </w:tc>
      </w:tr>
      <w:tr>
        <w:trPr/>
        <w:tc>
          <w:tcPr>
            <w:tcW w:w="3035"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1.7综合布线</w:t>
            </w:r>
            <w:r>
              <w:rPr>
                <w:rFonts w:hint="eastAsia" w:ascii="宋体" w:hAnsi="宋体" w:eastAsia="宋体" w:cs="宋体"/>
                <w:color w:val="000000"/>
                <w:sz w:val="24"/>
                <w:szCs w:val="24"/>
                <w:highlight w:val="none"/>
                <w:lang w:val="en-US"/>
              </w:rPr>
            </w:r>
            <w:r/>
          </w:p>
        </w:tc>
        <w:tc>
          <w:tcPr>
            <w:tcW w:w="3308"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11</w:t>
            </w:r>
            <w:r>
              <w:rPr>
                <w:rFonts w:hint="eastAsia" w:ascii="宋体" w:hAnsi="宋体" w:eastAsia="宋体" w:cs="宋体"/>
                <w:color w:val="000000"/>
                <w:sz w:val="24"/>
                <w:szCs w:val="24"/>
                <w:highlight w:val="none"/>
                <w:lang w:val="en-US"/>
              </w:rPr>
            </w:r>
            <w:r/>
          </w:p>
        </w:tc>
        <w:tc>
          <w:tcPr>
            <w:gridSpan w:val="3"/>
            <w:tcW w:w="3292"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rPr>
            </w:r>
            <w:r/>
          </w:p>
        </w:tc>
      </w:tr>
      <w:tr>
        <w:trPr/>
        <w:tc>
          <w:tcPr>
            <w:tcW w:w="3035"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本项评价得分</w:t>
            </w:r>
            <w:r>
              <w:rPr>
                <w:rFonts w:hint="eastAsia" w:ascii="宋体" w:hAnsi="宋体" w:eastAsia="宋体" w:cs="宋体"/>
                <w:color w:val="000000"/>
                <w:sz w:val="24"/>
                <w:szCs w:val="24"/>
                <w:highlight w:val="none"/>
                <w:lang w:val="en-US"/>
              </w:rPr>
            </w:r>
            <w:r/>
          </w:p>
        </w:tc>
        <w:tc>
          <w:tcPr>
            <w:gridSpan w:val="4"/>
            <w:tcW w:w="6600"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rPr>
            </w:r>
            <w:r/>
          </w:p>
        </w:tc>
      </w:tr>
      <w:tr>
        <w:trPr/>
        <w:tc>
          <w:tcPr>
            <w:gridSpan w:val="5"/>
            <w:tcW w:w="9635"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b/>
                <w:bCs w:val="0"/>
                <w:color w:val="000000"/>
                <w:sz w:val="24"/>
                <w:szCs w:val="24"/>
                <w:highlight w:val="none"/>
                <w:lang w:val="en-US"/>
              </w:rPr>
              <w:suppressLineNumbers w:val="0"/>
            </w:pPr>
            <w:r>
              <w:rPr>
                <w:rFonts w:hint="eastAsia" w:ascii="宋体" w:hAnsi="宋体" w:eastAsia="宋体" w:cs="宋体"/>
                <w:b/>
                <w:bCs w:val="0"/>
                <w:color w:val="000000"/>
                <w:sz w:val="24"/>
                <w:szCs w:val="24"/>
                <w:highlight w:val="none"/>
                <w:lang w:val="en-US" w:eastAsia="zh-CN" w:bidi="ar"/>
              </w:rPr>
              <w:t xml:space="preserve">2.机房空间要求评价</w:t>
            </w:r>
            <w:r>
              <w:rPr>
                <w:rFonts w:hint="eastAsia" w:ascii="宋体" w:hAnsi="宋体" w:eastAsia="宋体" w:cs="宋体"/>
                <w:b/>
                <w:bCs w:val="0"/>
                <w:color w:val="000000"/>
                <w:sz w:val="24"/>
                <w:szCs w:val="24"/>
                <w:highlight w:val="none"/>
                <w:lang w:val="en-US"/>
              </w:rPr>
            </w:r>
            <w:r/>
          </w:p>
        </w:tc>
      </w:tr>
      <w:tr>
        <w:trPr/>
        <w:tc>
          <w:tcPr>
            <w:tcW w:w="3035"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评价要求</w:t>
            </w:r>
            <w:r>
              <w:rPr>
                <w:rFonts w:hint="eastAsia" w:ascii="宋体" w:hAnsi="宋体" w:eastAsia="宋体" w:cs="宋体"/>
                <w:color w:val="000000"/>
                <w:sz w:val="24"/>
                <w:szCs w:val="24"/>
                <w:highlight w:val="none"/>
                <w:lang w:val="en-US"/>
              </w:rPr>
            </w:r>
            <w:r/>
          </w:p>
        </w:tc>
        <w:tc>
          <w:tcPr>
            <w:gridSpan w:val="4"/>
            <w:tcW w:w="6600" w:type="dxa"/>
            <w:vAlign w:val="top"/>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对于合同履约方针对本次项目提供的机柜数量和机柜特征进行全面评价</w:t>
            </w:r>
            <w:r>
              <w:rPr>
                <w:rFonts w:hint="eastAsia" w:ascii="宋体" w:hAnsi="宋体" w:eastAsia="宋体" w:cs="宋体"/>
                <w:color w:val="000000"/>
                <w:sz w:val="24"/>
                <w:szCs w:val="24"/>
                <w:highlight w:val="none"/>
                <w:lang w:val="en-US"/>
              </w:rPr>
            </w:r>
            <w:r/>
          </w:p>
        </w:tc>
      </w:tr>
      <w:tr>
        <w:trPr/>
        <w:tc>
          <w:tcPr>
            <w:tcW w:w="3035"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评分标准</w:t>
            </w:r>
            <w:r>
              <w:rPr>
                <w:rFonts w:hint="eastAsia" w:ascii="宋体" w:hAnsi="宋体" w:eastAsia="宋体" w:cs="宋体"/>
                <w:color w:val="000000"/>
                <w:sz w:val="24"/>
                <w:szCs w:val="24"/>
                <w:highlight w:val="none"/>
                <w:lang w:val="en-US"/>
              </w:rPr>
            </w:r>
            <w:r/>
          </w:p>
        </w:tc>
        <w:tc>
          <w:tcPr>
            <w:gridSpan w:val="4"/>
            <w:tcW w:w="6600" w:type="dxa"/>
            <w:vAlign w:val="top"/>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根据“第六章 采购需求”中“四、项目要求”中“（三）技术要求”中“2.机房空间要求”中的要求项目进行具体评价</w:t>
            </w:r>
            <w:r>
              <w:rPr>
                <w:rFonts w:hint="eastAsia" w:ascii="宋体" w:hAnsi="宋体" w:eastAsia="宋体" w:cs="宋体"/>
                <w:color w:val="000000"/>
                <w:sz w:val="24"/>
                <w:szCs w:val="24"/>
                <w:highlight w:val="none"/>
                <w:lang w:val="en-US"/>
              </w:rPr>
            </w:r>
            <w:r/>
          </w:p>
        </w:tc>
      </w:tr>
      <w:tr>
        <w:trPr/>
        <w:tc>
          <w:tcPr>
            <w:tcW w:w="3035"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本项评价总分及评分方式</w:t>
            </w:r>
            <w:r>
              <w:rPr>
                <w:rFonts w:hint="eastAsia" w:ascii="宋体" w:hAnsi="宋体" w:eastAsia="宋体" w:cs="宋体"/>
                <w:color w:val="000000"/>
                <w:sz w:val="24"/>
                <w:szCs w:val="24"/>
                <w:highlight w:val="none"/>
                <w:lang w:val="en-US"/>
              </w:rPr>
            </w:r>
            <w:r/>
          </w:p>
        </w:tc>
        <w:tc>
          <w:tcPr>
            <w:gridSpan w:val="4"/>
            <w:tcW w:w="6600" w:type="dxa"/>
            <w:vAlign w:val="top"/>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本项满分共计8分，采用得分制。受评单项完全满足招标要求中的所有要求，该单项得满分；对于单项要求中的所有要求，不满足其中一项扣除1-3分，重要项不满足的一项扣4-5分，直至单项中的所有分数扣完。</w:t>
            </w:r>
            <w:r>
              <w:rPr>
                <w:rFonts w:hint="eastAsia" w:ascii="宋体" w:hAnsi="宋体" w:eastAsia="宋体" w:cs="宋体"/>
                <w:color w:val="000000"/>
                <w:sz w:val="24"/>
                <w:szCs w:val="24"/>
                <w:highlight w:val="none"/>
                <w:lang w:val="en-US"/>
              </w:rPr>
            </w:r>
            <w:r/>
          </w:p>
        </w:tc>
      </w:tr>
      <w:tr>
        <w:trPr/>
        <w:tc>
          <w:tcPr>
            <w:tcW w:w="3035"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评分单项</w:t>
            </w:r>
            <w:r>
              <w:rPr>
                <w:rFonts w:hint="eastAsia" w:ascii="宋体" w:hAnsi="宋体" w:eastAsia="宋体" w:cs="宋体"/>
                <w:color w:val="000000"/>
                <w:sz w:val="24"/>
                <w:szCs w:val="24"/>
                <w:highlight w:val="none"/>
                <w:lang w:val="en-US"/>
              </w:rPr>
            </w:r>
            <w:r/>
          </w:p>
        </w:tc>
        <w:tc>
          <w:tcPr>
            <w:tcW w:w="3308"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单项总分</w:t>
            </w:r>
            <w:r>
              <w:rPr>
                <w:rFonts w:hint="eastAsia" w:ascii="宋体" w:hAnsi="宋体" w:eastAsia="宋体" w:cs="宋体"/>
                <w:color w:val="000000"/>
                <w:sz w:val="24"/>
                <w:szCs w:val="24"/>
                <w:highlight w:val="none"/>
                <w:lang w:val="en-US"/>
              </w:rPr>
            </w:r>
            <w:r/>
          </w:p>
        </w:tc>
        <w:tc>
          <w:tcPr>
            <w:gridSpan w:val="3"/>
            <w:tcW w:w="3292"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单项得分</w:t>
            </w:r>
            <w:r>
              <w:rPr>
                <w:rFonts w:hint="eastAsia" w:ascii="宋体" w:hAnsi="宋体" w:eastAsia="宋体" w:cs="宋体"/>
                <w:color w:val="000000"/>
                <w:sz w:val="24"/>
                <w:szCs w:val="24"/>
                <w:highlight w:val="none"/>
                <w:lang w:val="en-US"/>
              </w:rPr>
            </w:r>
            <w:r/>
          </w:p>
        </w:tc>
      </w:tr>
      <w:tr>
        <w:trPr/>
        <w:tc>
          <w:tcPr>
            <w:tcW w:w="3035"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2.1机柜数量</w:t>
            </w:r>
            <w:r>
              <w:rPr>
                <w:rFonts w:hint="eastAsia" w:ascii="宋体" w:hAnsi="宋体" w:eastAsia="宋体" w:cs="宋体"/>
                <w:color w:val="000000"/>
                <w:sz w:val="24"/>
                <w:szCs w:val="24"/>
                <w:highlight w:val="none"/>
                <w:lang w:val="en-US"/>
              </w:rPr>
            </w:r>
            <w:r/>
          </w:p>
        </w:tc>
        <w:tc>
          <w:tcPr>
            <w:tcW w:w="3308"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val="en-US"/>
              </w:rPr>
            </w:r>
            <w:r/>
          </w:p>
        </w:tc>
        <w:tc>
          <w:tcPr>
            <w:gridSpan w:val="3"/>
            <w:tcW w:w="3292"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rPr>
            </w:r>
            <w:r/>
          </w:p>
        </w:tc>
      </w:tr>
      <w:tr>
        <w:trPr/>
        <w:tc>
          <w:tcPr>
            <w:tcW w:w="3035"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2.2机柜类型</w:t>
            </w:r>
            <w:r>
              <w:rPr>
                <w:rFonts w:hint="eastAsia" w:ascii="宋体" w:hAnsi="宋体" w:eastAsia="宋体" w:cs="宋体"/>
                <w:color w:val="000000"/>
                <w:sz w:val="24"/>
                <w:szCs w:val="24"/>
                <w:highlight w:val="none"/>
                <w:lang w:val="en-US"/>
              </w:rPr>
            </w:r>
            <w:r/>
          </w:p>
        </w:tc>
        <w:tc>
          <w:tcPr>
            <w:tcW w:w="3308"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val="en-US"/>
              </w:rPr>
            </w:r>
            <w:r/>
          </w:p>
        </w:tc>
        <w:tc>
          <w:tcPr>
            <w:gridSpan w:val="3"/>
            <w:tcW w:w="3292"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rPr>
            </w:r>
            <w:r/>
          </w:p>
        </w:tc>
      </w:tr>
      <w:tr>
        <w:trPr/>
        <w:tc>
          <w:tcPr>
            <w:tcW w:w="3035"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本项评价得分</w:t>
            </w:r>
            <w:r>
              <w:rPr>
                <w:rFonts w:hint="eastAsia" w:ascii="宋体" w:hAnsi="宋体" w:eastAsia="宋体" w:cs="宋体"/>
                <w:color w:val="000000"/>
                <w:sz w:val="24"/>
                <w:szCs w:val="24"/>
                <w:highlight w:val="none"/>
                <w:lang w:val="en-US"/>
              </w:rPr>
            </w:r>
            <w:r/>
          </w:p>
        </w:tc>
        <w:tc>
          <w:tcPr>
            <w:gridSpan w:val="4"/>
            <w:tcW w:w="6600" w:type="dxa"/>
            <w:vAlign w:val="top"/>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rPr>
            </w:r>
            <w:r/>
          </w:p>
        </w:tc>
      </w:tr>
      <w:tr>
        <w:trPr/>
        <w:tc>
          <w:tcPr>
            <w:gridSpan w:val="5"/>
            <w:tcW w:w="9635"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b/>
                <w:bCs w:val="0"/>
                <w:color w:val="000000"/>
                <w:sz w:val="24"/>
                <w:szCs w:val="24"/>
                <w:highlight w:val="none"/>
                <w:lang w:val="en-US"/>
              </w:rPr>
              <w:suppressLineNumbers w:val="0"/>
            </w:pPr>
            <w:r>
              <w:rPr>
                <w:rFonts w:hint="eastAsia" w:ascii="宋体" w:hAnsi="宋体" w:eastAsia="宋体" w:cs="宋体"/>
                <w:b/>
                <w:bCs w:val="0"/>
                <w:color w:val="000000"/>
                <w:sz w:val="24"/>
                <w:szCs w:val="24"/>
                <w:highlight w:val="none"/>
                <w:lang w:val="en-US" w:eastAsia="zh-CN" w:bidi="ar"/>
              </w:rPr>
              <w:t xml:space="preserve">3.机房日常运行保障要求评价</w:t>
            </w:r>
            <w:r>
              <w:rPr>
                <w:rFonts w:hint="eastAsia" w:ascii="宋体" w:hAnsi="宋体" w:eastAsia="宋体" w:cs="宋体"/>
                <w:b/>
                <w:bCs w:val="0"/>
                <w:color w:val="000000"/>
                <w:sz w:val="24"/>
                <w:szCs w:val="24"/>
                <w:highlight w:val="none"/>
                <w:lang w:val="en-US"/>
              </w:rPr>
            </w:r>
            <w:r/>
          </w:p>
        </w:tc>
      </w:tr>
      <w:tr>
        <w:trPr/>
        <w:tc>
          <w:tcPr>
            <w:tcW w:w="3035"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评价要求</w:t>
            </w:r>
            <w:r>
              <w:rPr>
                <w:rFonts w:hint="eastAsia" w:ascii="宋体" w:hAnsi="宋体" w:eastAsia="宋体" w:cs="宋体"/>
                <w:color w:val="000000"/>
                <w:sz w:val="24"/>
                <w:szCs w:val="24"/>
                <w:highlight w:val="none"/>
                <w:lang w:val="en-US"/>
              </w:rPr>
            </w:r>
            <w:r/>
          </w:p>
        </w:tc>
        <w:tc>
          <w:tcPr>
            <w:gridSpan w:val="4"/>
            <w:tcW w:w="6600" w:type="dxa"/>
            <w:vAlign w:val="top"/>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针对合同履约方的机房日常运行保障能力进行全面评价</w:t>
            </w:r>
            <w:r>
              <w:rPr>
                <w:rFonts w:hint="eastAsia" w:ascii="宋体" w:hAnsi="宋体" w:eastAsia="宋体" w:cs="宋体"/>
                <w:color w:val="000000"/>
                <w:sz w:val="24"/>
                <w:szCs w:val="24"/>
                <w:highlight w:val="none"/>
                <w:lang w:val="en-US"/>
              </w:rPr>
            </w:r>
            <w:r/>
          </w:p>
        </w:tc>
      </w:tr>
      <w:tr>
        <w:trPr/>
        <w:tc>
          <w:tcPr>
            <w:tcW w:w="3035"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评分标准</w:t>
            </w:r>
            <w:r>
              <w:rPr>
                <w:rFonts w:hint="eastAsia" w:ascii="宋体" w:hAnsi="宋体" w:eastAsia="宋体" w:cs="宋体"/>
                <w:color w:val="000000"/>
                <w:sz w:val="24"/>
                <w:szCs w:val="24"/>
                <w:highlight w:val="none"/>
                <w:lang w:val="en-US"/>
              </w:rPr>
            </w:r>
            <w:r/>
          </w:p>
        </w:tc>
        <w:tc>
          <w:tcPr>
            <w:gridSpan w:val="4"/>
            <w:tcW w:w="6600" w:type="dxa"/>
            <w:vAlign w:val="top"/>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根据“第六章 采购需求”中“四、项目要求”中“（三）技术要求”中“3.机房日常运行保障要求”中的要求项目进行具体评价</w:t>
            </w:r>
            <w:r>
              <w:rPr>
                <w:rFonts w:hint="eastAsia" w:ascii="宋体" w:hAnsi="宋体" w:eastAsia="宋体" w:cs="宋体"/>
                <w:color w:val="000000"/>
                <w:sz w:val="24"/>
                <w:szCs w:val="24"/>
                <w:highlight w:val="none"/>
                <w:lang w:val="en-US"/>
              </w:rPr>
            </w:r>
            <w:r/>
          </w:p>
        </w:tc>
      </w:tr>
      <w:tr>
        <w:trPr/>
        <w:tc>
          <w:tcPr>
            <w:tcW w:w="3035"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本项评价总分及评分方式</w:t>
            </w:r>
            <w:r>
              <w:rPr>
                <w:rFonts w:hint="eastAsia" w:ascii="宋体" w:hAnsi="宋体" w:eastAsia="宋体" w:cs="宋体"/>
                <w:color w:val="000000"/>
                <w:sz w:val="24"/>
                <w:szCs w:val="24"/>
                <w:highlight w:val="none"/>
                <w:lang w:val="en-US"/>
              </w:rPr>
            </w:r>
            <w:r/>
          </w:p>
        </w:tc>
        <w:tc>
          <w:tcPr>
            <w:gridSpan w:val="4"/>
            <w:tcW w:w="6600" w:type="dxa"/>
            <w:vAlign w:val="top"/>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本项满分共计15分，采用得分制。完全满足本项招标要求中的所有要求，本项得满分；对于招标要求中的所有要求，不满足其中一项扣除1-3分，重要项不满足的一项扣4-5分，直至单项中的所有分数扣完。</w:t>
            </w:r>
            <w:r>
              <w:rPr>
                <w:rFonts w:hint="eastAsia" w:ascii="宋体" w:hAnsi="宋体" w:eastAsia="宋体" w:cs="宋体"/>
                <w:color w:val="000000"/>
                <w:sz w:val="24"/>
                <w:szCs w:val="24"/>
                <w:highlight w:val="none"/>
                <w:lang w:val="en-US"/>
              </w:rPr>
            </w:r>
            <w:r/>
          </w:p>
        </w:tc>
      </w:tr>
      <w:tr>
        <w:trPr/>
        <w:tc>
          <w:tcPr>
            <w:tcW w:w="3035"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评分单项</w:t>
            </w:r>
            <w:r>
              <w:rPr>
                <w:rFonts w:hint="eastAsia" w:ascii="宋体" w:hAnsi="宋体" w:eastAsia="宋体" w:cs="宋体"/>
                <w:color w:val="000000"/>
                <w:sz w:val="24"/>
                <w:szCs w:val="24"/>
                <w:highlight w:val="none"/>
                <w:lang w:val="en-US"/>
              </w:rPr>
            </w:r>
            <w:r/>
          </w:p>
        </w:tc>
        <w:tc>
          <w:tcPr>
            <w:tcW w:w="3308"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单项总分</w:t>
            </w:r>
            <w:r>
              <w:rPr>
                <w:rFonts w:hint="eastAsia" w:ascii="宋体" w:hAnsi="宋体" w:eastAsia="宋体" w:cs="宋体"/>
                <w:color w:val="000000"/>
                <w:sz w:val="24"/>
                <w:szCs w:val="24"/>
                <w:highlight w:val="none"/>
                <w:lang w:val="en-US"/>
              </w:rPr>
            </w:r>
            <w:r/>
          </w:p>
        </w:tc>
        <w:tc>
          <w:tcPr>
            <w:gridSpan w:val="3"/>
            <w:tcW w:w="3292"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单项得分</w:t>
            </w:r>
            <w:r>
              <w:rPr>
                <w:rFonts w:hint="eastAsia" w:ascii="宋体" w:hAnsi="宋体" w:eastAsia="宋体" w:cs="宋体"/>
                <w:color w:val="000000"/>
                <w:sz w:val="24"/>
                <w:szCs w:val="24"/>
                <w:highlight w:val="none"/>
                <w:lang w:val="en-US"/>
              </w:rPr>
            </w:r>
            <w:r/>
          </w:p>
        </w:tc>
      </w:tr>
      <w:tr>
        <w:trPr/>
        <w:tc>
          <w:tcPr>
            <w:tcW w:w="3035"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3.1机房日常运行保障能力</w:t>
            </w:r>
            <w:r>
              <w:rPr>
                <w:rFonts w:hint="eastAsia" w:ascii="宋体" w:hAnsi="宋体" w:eastAsia="宋体" w:cs="宋体"/>
                <w:color w:val="000000"/>
                <w:sz w:val="24"/>
                <w:szCs w:val="24"/>
                <w:highlight w:val="none"/>
                <w:lang w:val="en-US"/>
              </w:rPr>
            </w:r>
            <w:r/>
          </w:p>
        </w:tc>
        <w:tc>
          <w:tcPr>
            <w:tcW w:w="3308"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15</w:t>
            </w:r>
            <w:r>
              <w:rPr>
                <w:rFonts w:hint="eastAsia" w:ascii="宋体" w:hAnsi="宋体" w:eastAsia="宋体" w:cs="宋体"/>
                <w:color w:val="000000"/>
                <w:sz w:val="24"/>
                <w:szCs w:val="24"/>
                <w:highlight w:val="none"/>
                <w:lang w:val="en-US"/>
              </w:rPr>
            </w:r>
            <w:r/>
          </w:p>
        </w:tc>
        <w:tc>
          <w:tcPr>
            <w:gridSpan w:val="3"/>
            <w:tcW w:w="3292"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rPr>
            </w:r>
            <w:r/>
          </w:p>
        </w:tc>
      </w:tr>
      <w:tr>
        <w:trPr/>
        <w:tc>
          <w:tcPr>
            <w:tcW w:w="3035"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本项评价得分</w:t>
            </w:r>
            <w:r>
              <w:rPr>
                <w:rFonts w:hint="eastAsia" w:ascii="宋体" w:hAnsi="宋体" w:eastAsia="宋体" w:cs="宋体"/>
                <w:color w:val="000000"/>
                <w:sz w:val="24"/>
                <w:szCs w:val="24"/>
                <w:highlight w:val="none"/>
                <w:lang w:val="en-US"/>
              </w:rPr>
            </w:r>
            <w:r/>
          </w:p>
        </w:tc>
        <w:tc>
          <w:tcPr>
            <w:gridSpan w:val="4"/>
            <w:tcW w:w="6600" w:type="dxa"/>
            <w:vAlign w:val="top"/>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rPr>
            </w:r>
            <w:r/>
          </w:p>
        </w:tc>
      </w:tr>
      <w:tr>
        <w:trPr/>
        <w:tc>
          <w:tcPr>
            <w:gridSpan w:val="5"/>
            <w:tcW w:w="9635"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b/>
                <w:bCs w:val="0"/>
                <w:color w:val="000000"/>
                <w:sz w:val="24"/>
                <w:szCs w:val="24"/>
                <w:highlight w:val="none"/>
                <w:lang w:val="en-US"/>
              </w:rPr>
              <w:suppressLineNumbers w:val="0"/>
            </w:pPr>
            <w:r>
              <w:rPr>
                <w:rFonts w:hint="eastAsia" w:ascii="宋体" w:hAnsi="宋体" w:eastAsia="宋体" w:cs="宋体"/>
                <w:b/>
                <w:bCs w:val="0"/>
                <w:color w:val="000000"/>
                <w:sz w:val="24"/>
                <w:szCs w:val="24"/>
                <w:highlight w:val="none"/>
                <w:lang w:val="en-US" w:eastAsia="zh-CN" w:bidi="ar"/>
              </w:rPr>
              <w:t xml:space="preserve">4.机房传输能力评价</w:t>
            </w:r>
            <w:r>
              <w:rPr>
                <w:rFonts w:hint="eastAsia" w:ascii="宋体" w:hAnsi="宋体" w:eastAsia="宋体" w:cs="宋体"/>
                <w:b/>
                <w:bCs w:val="0"/>
                <w:color w:val="000000"/>
                <w:sz w:val="24"/>
                <w:szCs w:val="24"/>
                <w:highlight w:val="none"/>
                <w:lang w:val="en-US"/>
              </w:rPr>
            </w:r>
            <w:r/>
          </w:p>
        </w:tc>
      </w:tr>
      <w:tr>
        <w:trPr/>
        <w:tc>
          <w:tcPr>
            <w:tcW w:w="3035"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评价要求</w:t>
            </w:r>
            <w:r>
              <w:rPr>
                <w:rFonts w:hint="eastAsia" w:ascii="宋体" w:hAnsi="宋体" w:eastAsia="宋体" w:cs="宋体"/>
                <w:color w:val="000000"/>
                <w:sz w:val="24"/>
                <w:szCs w:val="24"/>
                <w:highlight w:val="none"/>
                <w:lang w:val="en-US"/>
              </w:rPr>
            </w:r>
            <w:r/>
          </w:p>
        </w:tc>
        <w:tc>
          <w:tcPr>
            <w:gridSpan w:val="4"/>
            <w:tcW w:w="6600" w:type="dxa"/>
            <w:vAlign w:val="top"/>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针对合同履约方的机房传输能力进行全面评价</w:t>
            </w:r>
            <w:r>
              <w:rPr>
                <w:rFonts w:hint="eastAsia" w:ascii="宋体" w:hAnsi="宋体" w:eastAsia="宋体" w:cs="宋体"/>
                <w:color w:val="000000"/>
                <w:sz w:val="24"/>
                <w:szCs w:val="24"/>
                <w:highlight w:val="none"/>
                <w:lang w:val="en-US"/>
              </w:rPr>
            </w:r>
            <w:r/>
          </w:p>
        </w:tc>
      </w:tr>
      <w:tr>
        <w:trPr/>
        <w:tc>
          <w:tcPr>
            <w:tcW w:w="3035"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评分标准</w:t>
            </w:r>
            <w:r>
              <w:rPr>
                <w:rFonts w:hint="eastAsia" w:ascii="宋体" w:hAnsi="宋体" w:eastAsia="宋体" w:cs="宋体"/>
                <w:color w:val="000000"/>
                <w:sz w:val="24"/>
                <w:szCs w:val="24"/>
                <w:highlight w:val="none"/>
                <w:lang w:val="en-US"/>
              </w:rPr>
            </w:r>
            <w:r/>
          </w:p>
        </w:tc>
        <w:tc>
          <w:tcPr>
            <w:gridSpan w:val="4"/>
            <w:tcW w:w="6600" w:type="dxa"/>
            <w:vAlign w:val="top"/>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根据“第六章 采购需求”中“四、项目要求”中“（三）技术要求”中“5.机房传输要求”中的要求项目进行具体评价</w:t>
            </w:r>
            <w:r>
              <w:rPr>
                <w:rFonts w:hint="eastAsia" w:ascii="宋体" w:hAnsi="宋体" w:eastAsia="宋体" w:cs="宋体"/>
                <w:color w:val="000000"/>
                <w:sz w:val="24"/>
                <w:szCs w:val="24"/>
                <w:highlight w:val="none"/>
                <w:lang w:val="en-US"/>
              </w:rPr>
            </w:r>
            <w:r/>
          </w:p>
        </w:tc>
      </w:tr>
      <w:tr>
        <w:trPr/>
        <w:tc>
          <w:tcPr>
            <w:tcW w:w="3035"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本项评价总分及评分方式</w:t>
            </w:r>
            <w:r>
              <w:rPr>
                <w:rFonts w:hint="eastAsia" w:ascii="宋体" w:hAnsi="宋体" w:eastAsia="宋体" w:cs="宋体"/>
                <w:color w:val="000000"/>
                <w:sz w:val="24"/>
                <w:szCs w:val="24"/>
                <w:highlight w:val="none"/>
                <w:lang w:val="en-US"/>
              </w:rPr>
            </w:r>
            <w:r/>
          </w:p>
        </w:tc>
        <w:tc>
          <w:tcPr>
            <w:gridSpan w:val="4"/>
            <w:tcW w:w="6600" w:type="dxa"/>
            <w:vAlign w:val="top"/>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本项满分共计5分，采用得分制。完全满足本项招标要求中的所有要求，本项得满分；对于本项招标要求中的所有要求，不满足其中一项扣除1-3分，重要项不满足的一项扣4-5分，直至单项中的所有分数扣完。</w:t>
            </w:r>
            <w:r>
              <w:rPr>
                <w:rFonts w:hint="eastAsia" w:ascii="宋体" w:hAnsi="宋体" w:eastAsia="宋体" w:cs="宋体"/>
                <w:color w:val="000000"/>
                <w:sz w:val="24"/>
                <w:szCs w:val="24"/>
                <w:highlight w:val="none"/>
                <w:lang w:val="en-US"/>
              </w:rPr>
            </w:r>
            <w:r/>
          </w:p>
        </w:tc>
      </w:tr>
      <w:tr>
        <w:trPr/>
        <w:tc>
          <w:tcPr>
            <w:tcW w:w="3035"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评分单项</w:t>
            </w:r>
            <w:r>
              <w:rPr>
                <w:rFonts w:hint="eastAsia" w:ascii="宋体" w:hAnsi="宋体" w:eastAsia="宋体" w:cs="宋体"/>
                <w:color w:val="000000"/>
                <w:sz w:val="24"/>
                <w:szCs w:val="24"/>
                <w:highlight w:val="none"/>
                <w:lang w:val="en-US"/>
              </w:rPr>
            </w:r>
            <w:r/>
          </w:p>
        </w:tc>
        <w:tc>
          <w:tcPr>
            <w:tcW w:w="3308"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单项总分</w:t>
            </w:r>
            <w:r>
              <w:rPr>
                <w:rFonts w:hint="eastAsia" w:ascii="宋体" w:hAnsi="宋体" w:eastAsia="宋体" w:cs="宋体"/>
                <w:color w:val="000000"/>
                <w:sz w:val="24"/>
                <w:szCs w:val="24"/>
                <w:highlight w:val="none"/>
                <w:lang w:val="en-US"/>
              </w:rPr>
            </w:r>
            <w:r/>
          </w:p>
        </w:tc>
        <w:tc>
          <w:tcPr>
            <w:gridSpan w:val="3"/>
            <w:tcW w:w="3292"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单项得分</w:t>
            </w:r>
            <w:r>
              <w:rPr>
                <w:rFonts w:hint="eastAsia" w:ascii="宋体" w:hAnsi="宋体" w:eastAsia="宋体" w:cs="宋体"/>
                <w:color w:val="000000"/>
                <w:sz w:val="24"/>
                <w:szCs w:val="24"/>
                <w:highlight w:val="none"/>
                <w:lang w:val="en-US"/>
              </w:rPr>
            </w:r>
            <w:r/>
          </w:p>
        </w:tc>
      </w:tr>
      <w:tr>
        <w:trPr/>
        <w:tc>
          <w:tcPr>
            <w:tcW w:w="3035"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4.1机房传输能力</w:t>
            </w:r>
            <w:r>
              <w:rPr>
                <w:rFonts w:hint="eastAsia" w:ascii="宋体" w:hAnsi="宋体" w:eastAsia="宋体" w:cs="宋体"/>
                <w:color w:val="000000"/>
                <w:sz w:val="24"/>
                <w:szCs w:val="24"/>
                <w:highlight w:val="none"/>
                <w:lang w:val="en-US"/>
              </w:rPr>
            </w:r>
            <w:r/>
          </w:p>
        </w:tc>
        <w:tc>
          <w:tcPr>
            <w:tcW w:w="3308"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val="en-US"/>
              </w:rPr>
            </w:r>
            <w:r/>
          </w:p>
        </w:tc>
        <w:tc>
          <w:tcPr>
            <w:gridSpan w:val="3"/>
            <w:tcW w:w="3292"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rPr>
            </w:r>
            <w:r/>
          </w:p>
        </w:tc>
      </w:tr>
      <w:tr>
        <w:trPr/>
        <w:tc>
          <w:tcPr>
            <w:tcW w:w="3035"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本项评价得分</w:t>
            </w:r>
            <w:r>
              <w:rPr>
                <w:rFonts w:hint="eastAsia" w:ascii="宋体" w:hAnsi="宋体" w:eastAsia="宋体" w:cs="宋体"/>
                <w:color w:val="000000"/>
                <w:sz w:val="24"/>
                <w:szCs w:val="24"/>
                <w:highlight w:val="none"/>
                <w:lang w:val="en-US"/>
              </w:rPr>
            </w:r>
            <w:r/>
          </w:p>
        </w:tc>
        <w:tc>
          <w:tcPr>
            <w:gridSpan w:val="4"/>
            <w:tcW w:w="6600" w:type="dxa"/>
            <w:vAlign w:val="top"/>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rPr>
            </w:r>
            <w:r/>
          </w:p>
        </w:tc>
      </w:tr>
      <w:tr>
        <w:trPr/>
        <w:tc>
          <w:tcPr>
            <w:gridSpan w:val="5"/>
            <w:tcW w:w="9635"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b/>
                <w:bCs w:val="0"/>
                <w:color w:val="000000"/>
                <w:sz w:val="24"/>
                <w:szCs w:val="24"/>
                <w:highlight w:val="none"/>
                <w:lang w:val="en-US"/>
              </w:rPr>
              <w:suppressLineNumbers w:val="0"/>
            </w:pPr>
            <w:r>
              <w:rPr>
                <w:rFonts w:hint="eastAsia" w:ascii="宋体" w:hAnsi="宋体" w:eastAsia="宋体" w:cs="宋体"/>
                <w:b/>
                <w:bCs w:val="0"/>
                <w:color w:val="000000"/>
                <w:sz w:val="24"/>
                <w:szCs w:val="24"/>
                <w:highlight w:val="none"/>
                <w:lang w:val="en-US" w:eastAsia="zh-CN" w:bidi="ar"/>
              </w:rPr>
              <w:t xml:space="preserve">5.售后服务能力评价</w:t>
            </w:r>
            <w:r>
              <w:rPr>
                <w:rFonts w:hint="eastAsia" w:ascii="宋体" w:hAnsi="宋体" w:eastAsia="宋体" w:cs="宋体"/>
                <w:b/>
                <w:bCs w:val="0"/>
                <w:color w:val="000000"/>
                <w:sz w:val="24"/>
                <w:szCs w:val="24"/>
                <w:highlight w:val="none"/>
                <w:lang w:val="en-US"/>
              </w:rPr>
            </w:r>
            <w:r/>
          </w:p>
        </w:tc>
      </w:tr>
      <w:tr>
        <w:trPr/>
        <w:tc>
          <w:tcPr>
            <w:tcW w:w="3035"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评价要求</w:t>
            </w:r>
            <w:r>
              <w:rPr>
                <w:rFonts w:hint="eastAsia" w:ascii="宋体" w:hAnsi="宋体" w:eastAsia="宋体" w:cs="宋体"/>
                <w:color w:val="000000"/>
                <w:sz w:val="24"/>
                <w:szCs w:val="24"/>
                <w:highlight w:val="none"/>
                <w:lang w:val="en-US"/>
              </w:rPr>
            </w:r>
            <w:r/>
          </w:p>
        </w:tc>
        <w:tc>
          <w:tcPr>
            <w:gridSpan w:val="4"/>
            <w:tcW w:w="6600" w:type="dxa"/>
            <w:vAlign w:val="top"/>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针对合同履约方的售后服务能力进行全面评价</w:t>
            </w:r>
            <w:r>
              <w:rPr>
                <w:rFonts w:hint="eastAsia" w:ascii="宋体" w:hAnsi="宋体" w:eastAsia="宋体" w:cs="宋体"/>
                <w:color w:val="000000"/>
                <w:sz w:val="24"/>
                <w:szCs w:val="24"/>
                <w:highlight w:val="none"/>
                <w:lang w:val="en-US"/>
              </w:rPr>
            </w:r>
            <w:r/>
          </w:p>
        </w:tc>
      </w:tr>
      <w:tr>
        <w:trPr/>
        <w:tc>
          <w:tcPr>
            <w:tcW w:w="3035"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评分标准</w:t>
            </w:r>
            <w:r>
              <w:rPr>
                <w:rFonts w:hint="eastAsia" w:ascii="宋体" w:hAnsi="宋体" w:eastAsia="宋体" w:cs="宋体"/>
                <w:color w:val="000000"/>
                <w:sz w:val="24"/>
                <w:szCs w:val="24"/>
                <w:highlight w:val="none"/>
                <w:lang w:val="en-US"/>
              </w:rPr>
            </w:r>
            <w:r/>
          </w:p>
        </w:tc>
        <w:tc>
          <w:tcPr>
            <w:gridSpan w:val="4"/>
            <w:tcW w:w="6600" w:type="dxa"/>
            <w:vAlign w:val="top"/>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根据“第六章 采购需求”中“五、售后服务要求”中的要求项目进行具体评价</w:t>
            </w:r>
            <w:r>
              <w:rPr>
                <w:rFonts w:hint="eastAsia" w:ascii="宋体" w:hAnsi="宋体" w:eastAsia="宋体" w:cs="宋体"/>
                <w:color w:val="000000"/>
                <w:sz w:val="24"/>
                <w:szCs w:val="24"/>
                <w:highlight w:val="none"/>
                <w:lang w:val="en-US"/>
              </w:rPr>
            </w:r>
            <w:r/>
          </w:p>
        </w:tc>
      </w:tr>
      <w:tr>
        <w:trPr/>
        <w:tc>
          <w:tcPr>
            <w:tcW w:w="3035"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本项评价总分及评分方式</w:t>
            </w:r>
            <w:r>
              <w:rPr>
                <w:rFonts w:hint="eastAsia" w:ascii="宋体" w:hAnsi="宋体" w:eastAsia="宋体" w:cs="宋体"/>
                <w:color w:val="000000"/>
                <w:sz w:val="24"/>
                <w:szCs w:val="24"/>
                <w:highlight w:val="none"/>
                <w:lang w:val="en-US"/>
              </w:rPr>
            </w:r>
            <w:r/>
          </w:p>
        </w:tc>
        <w:tc>
          <w:tcPr>
            <w:gridSpan w:val="4"/>
            <w:tcW w:w="6600" w:type="dxa"/>
            <w:vAlign w:val="top"/>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本项满分共计10分，采用得分制。完全满足本项招标要求中的所有要求，本项得满分；对于本项招标要求中的所有要求，不满足其中一项扣除1-3分，重要项不满足的一项扣4-5分，直至单项中的所有分数扣完。</w:t>
            </w:r>
            <w:r>
              <w:rPr>
                <w:rFonts w:hint="eastAsia" w:ascii="宋体" w:hAnsi="宋体" w:eastAsia="宋体" w:cs="宋体"/>
                <w:color w:val="000000"/>
                <w:sz w:val="24"/>
                <w:szCs w:val="24"/>
                <w:highlight w:val="none"/>
                <w:lang w:val="en-US"/>
              </w:rPr>
            </w:r>
            <w:r/>
          </w:p>
        </w:tc>
      </w:tr>
      <w:tr>
        <w:trPr/>
        <w:tc>
          <w:tcPr>
            <w:tcW w:w="3035"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评分单项</w:t>
            </w:r>
            <w:r>
              <w:rPr>
                <w:rFonts w:hint="eastAsia" w:ascii="宋体" w:hAnsi="宋体" w:eastAsia="宋体" w:cs="宋体"/>
                <w:color w:val="000000"/>
                <w:sz w:val="24"/>
                <w:szCs w:val="24"/>
                <w:highlight w:val="none"/>
                <w:lang w:val="en-US"/>
              </w:rPr>
            </w:r>
            <w:r/>
          </w:p>
        </w:tc>
        <w:tc>
          <w:tcPr>
            <w:tcW w:w="3308"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单项总分</w:t>
            </w:r>
            <w:r>
              <w:rPr>
                <w:rFonts w:hint="eastAsia" w:ascii="宋体" w:hAnsi="宋体" w:eastAsia="宋体" w:cs="宋体"/>
                <w:color w:val="000000"/>
                <w:sz w:val="24"/>
                <w:szCs w:val="24"/>
                <w:highlight w:val="none"/>
                <w:lang w:val="en-US"/>
              </w:rPr>
            </w:r>
            <w:r/>
          </w:p>
        </w:tc>
        <w:tc>
          <w:tcPr>
            <w:gridSpan w:val="3"/>
            <w:tcW w:w="3292"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单项得分</w:t>
            </w:r>
            <w:r>
              <w:rPr>
                <w:rFonts w:hint="eastAsia" w:ascii="宋体" w:hAnsi="宋体" w:eastAsia="宋体" w:cs="宋体"/>
                <w:color w:val="000000"/>
                <w:sz w:val="24"/>
                <w:szCs w:val="24"/>
                <w:highlight w:val="none"/>
                <w:lang w:val="en-US"/>
              </w:rPr>
            </w:r>
            <w:r/>
          </w:p>
        </w:tc>
      </w:tr>
      <w:tr>
        <w:trPr/>
        <w:tc>
          <w:tcPr>
            <w:tcW w:w="3035"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5.1售后服务能力</w:t>
            </w:r>
            <w:r>
              <w:rPr>
                <w:rFonts w:hint="eastAsia" w:ascii="宋体" w:hAnsi="宋体" w:eastAsia="宋体" w:cs="宋体"/>
                <w:color w:val="000000"/>
                <w:sz w:val="24"/>
                <w:szCs w:val="24"/>
                <w:highlight w:val="none"/>
                <w:lang w:val="en-US"/>
              </w:rPr>
            </w:r>
            <w:r/>
          </w:p>
        </w:tc>
        <w:tc>
          <w:tcPr>
            <w:tcW w:w="3308"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10</w:t>
            </w:r>
            <w:r>
              <w:rPr>
                <w:rFonts w:hint="eastAsia" w:ascii="宋体" w:hAnsi="宋体" w:eastAsia="宋体" w:cs="宋体"/>
                <w:color w:val="000000"/>
                <w:sz w:val="24"/>
                <w:szCs w:val="24"/>
                <w:highlight w:val="none"/>
                <w:lang w:val="en-US"/>
              </w:rPr>
            </w:r>
            <w:r/>
          </w:p>
        </w:tc>
        <w:tc>
          <w:tcPr>
            <w:gridSpan w:val="3"/>
            <w:tcW w:w="3292"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rPr>
            </w:r>
            <w:r/>
          </w:p>
        </w:tc>
      </w:tr>
      <w:tr>
        <w:trPr/>
        <w:tc>
          <w:tcPr>
            <w:tcW w:w="3035" w:type="dxa"/>
            <w:vAlign w:val="center"/>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本项评价得分</w:t>
            </w:r>
            <w:r>
              <w:rPr>
                <w:rFonts w:hint="eastAsia" w:ascii="宋体" w:hAnsi="宋体" w:eastAsia="宋体" w:cs="宋体"/>
                <w:color w:val="000000"/>
                <w:sz w:val="24"/>
                <w:szCs w:val="24"/>
                <w:highlight w:val="none"/>
                <w:lang w:val="en-US"/>
              </w:rPr>
            </w:r>
            <w:r/>
          </w:p>
        </w:tc>
        <w:tc>
          <w:tcPr>
            <w:gridSpan w:val="4"/>
            <w:tcW w:w="6600" w:type="dxa"/>
            <w:vAlign w:val="top"/>
            <w:textDirection w:val="lrTb"/>
            <w:noWrap w:val="false"/>
          </w:tcPr>
          <w:p>
            <w:pPr>
              <w:pStyle w:val="779"/>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rPr>
            </w:r>
            <w:r/>
          </w:p>
        </w:tc>
      </w:tr>
    </w:tbl>
    <w:p>
      <w:pPr>
        <w:pStyle w:val="779"/>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br w:type="page" w:clear="all"/>
      </w:r>
      <w:r>
        <w:rPr>
          <w:rFonts w:hint="eastAsia" w:ascii="宋体" w:hAnsi="宋体" w:eastAsia="宋体" w:cs="宋体"/>
          <w:bCs/>
          <w:color w:val="000000"/>
          <w:sz w:val="24"/>
          <w:szCs w:val="21"/>
          <w:highlight w:val="none"/>
        </w:rPr>
      </w:r>
      <w:r/>
    </w:p>
    <w:p>
      <w:pPr>
        <w:pStyle w:val="779"/>
        <w:jc w:val="both"/>
        <w:spacing w:line="24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合同附件</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r>
      <w:r/>
    </w:p>
    <w:p>
      <w:pPr>
        <w:pStyle w:val="779"/>
        <w:jc w:val="center"/>
        <w:keepLines w:val="0"/>
        <w:keepNext w:val="0"/>
        <w:pageBreakBefore w:val="0"/>
        <w:spacing w:line="24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保密协议</w:t>
      </w:r>
      <w:r>
        <w:rPr>
          <w:rFonts w:hint="eastAsia" w:ascii="宋体" w:hAnsi="宋体" w:eastAsia="宋体" w:cs="宋体"/>
          <w:color w:val="000000"/>
          <w:sz w:val="24"/>
          <w:szCs w:val="24"/>
          <w:highlight w:val="none"/>
        </w:rPr>
      </w:r>
      <w:r/>
    </w:p>
    <w:p>
      <w:pPr>
        <w:pStyle w:val="779"/>
        <w:ind w:firstLine="480"/>
        <w:jc w:val="left"/>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79"/>
        <w:ind w:firstLine="480"/>
        <w:jc w:val="left"/>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79"/>
        <w:ind w:firstLine="480"/>
        <w:jc w:val="left"/>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甲乙双方就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项目的相关工作，约定由乙方为甲方提供</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服务，双方预计在合作过程中乙方可能接触到甲方拥有或者掌握的保密信息，就保密事项，双方达成如下约定：</w:t>
      </w:r>
      <w:r>
        <w:rPr>
          <w:rFonts w:hint="eastAsia" w:ascii="宋体" w:hAnsi="宋体" w:eastAsia="宋体" w:cs="宋体"/>
          <w:color w:val="000000"/>
          <w:sz w:val="24"/>
          <w:szCs w:val="24"/>
          <w:highlight w:val="none"/>
        </w:rPr>
      </w:r>
      <w:r/>
    </w:p>
    <w:p>
      <w:pPr>
        <w:pStyle w:val="779"/>
        <w:ind w:firstLine="482"/>
        <w:jc w:val="left"/>
        <w:keepLines w:val="0"/>
        <w:keepNext w:val="0"/>
        <w:pageBreakBefore w:val="0"/>
        <w:spacing w:line="360" w:lineRule="exact"/>
        <w:widowControl w:val="off"/>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一、定义</w:t>
      </w:r>
      <w:r>
        <w:rPr>
          <w:rFonts w:hint="eastAsia" w:ascii="宋体" w:hAnsi="宋体" w:eastAsia="宋体" w:cs="宋体"/>
          <w:b/>
          <w:bCs/>
          <w:color w:val="000000"/>
          <w:sz w:val="24"/>
          <w:szCs w:val="24"/>
          <w:highlight w:val="none"/>
        </w:rPr>
      </w:r>
      <w:r/>
    </w:p>
    <w:p>
      <w:pPr>
        <w:pStyle w:val="779"/>
        <w:ind w:firstLine="482"/>
        <w:jc w:val="left"/>
        <w:keepLines w:val="0"/>
        <w:keepNext w:val="0"/>
        <w:pageBreakBefore w:val="0"/>
        <w:spacing w:line="360" w:lineRule="exact"/>
        <w:widowControl w:val="off"/>
        <w:rPr>
          <w:rFonts w:hint="eastAsia" w:ascii="宋体" w:hAnsi="宋体" w:eastAsia="宋体" w:cs="宋体"/>
          <w:b/>
          <w:bCs/>
          <w:color w:val="000000"/>
          <w:sz w:val="24"/>
          <w:szCs w:val="24"/>
          <w:highlight w:val="none"/>
        </w:rPr>
        <w:outlineLvl w:val="2"/>
      </w:pPr>
      <w:r>
        <w:rPr>
          <w:rFonts w:hint="eastAsia" w:ascii="宋体" w:hAnsi="宋体" w:eastAsia="宋体" w:cs="宋体"/>
          <w:b/>
          <w:bCs/>
          <w:color w:val="000000"/>
          <w:sz w:val="24"/>
          <w:szCs w:val="24"/>
          <w:highlight w:val="none"/>
        </w:rPr>
        <w:t xml:space="preserve">1.保密信息</w:t>
      </w:r>
      <w:r>
        <w:rPr>
          <w:rFonts w:hint="eastAsia" w:ascii="宋体" w:hAnsi="宋体" w:eastAsia="宋体" w:cs="宋体"/>
          <w:b/>
          <w:bCs/>
          <w:color w:val="000000"/>
          <w:sz w:val="24"/>
          <w:szCs w:val="24"/>
          <w:highlight w:val="none"/>
        </w:rPr>
      </w:r>
      <w:r/>
    </w:p>
    <w:p>
      <w:pPr>
        <w:pStyle w:val="779"/>
        <w:ind w:firstLine="480"/>
        <w:jc w:val="left"/>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提供的或乙方在双方谈判/合作期间了解到的，或由甲方对第三方承担保密义务的，关于甲方及乙方服务甲方项目、主合同的所有非公开信息，包括数据、电文、图纸、文件、视频、电子数据、资料等。包括但不限于：</w:t>
      </w:r>
      <w:r>
        <w:rPr>
          <w:rFonts w:hint="eastAsia" w:ascii="宋体" w:hAnsi="宋体" w:eastAsia="宋体" w:cs="宋体"/>
          <w:color w:val="000000"/>
          <w:sz w:val="24"/>
          <w:szCs w:val="24"/>
          <w:highlight w:val="none"/>
        </w:rPr>
      </w:r>
      <w:r/>
    </w:p>
    <w:p>
      <w:pPr>
        <w:pStyle w:val="779"/>
        <w:ind w:firstLine="480"/>
        <w:jc w:val="left"/>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甲方主体相关信息。反映甲方财务、经营、投资、业务数据、新业务构想等所有不被公众领域所知的信息；所有与甲方规章制度、业务流程、经验公式、客户数据、员工信息、设备资产，及目前或将来拟采用的运作模式、业务计划等有关的所有不被公众领域所知的信息。</w:t>
      </w:r>
      <w:r>
        <w:rPr>
          <w:rFonts w:hint="eastAsia" w:ascii="宋体" w:hAnsi="宋体" w:eastAsia="宋体" w:cs="宋体"/>
          <w:color w:val="000000"/>
          <w:sz w:val="24"/>
          <w:szCs w:val="24"/>
          <w:highlight w:val="none"/>
        </w:rPr>
      </w:r>
      <w:r/>
    </w:p>
    <w:p>
      <w:pPr>
        <w:pStyle w:val="779"/>
        <w:ind w:firstLine="480"/>
        <w:jc w:val="left"/>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信息系统技术信息。技术方案、数据库、源程序、目标程序、技术文档、研究开发记录、图纸、样品、计算机系统数据以及漏洞信息等信息；甲方应用系统内容、系统测试及试运行期间的客户资料等信息；甲方现有的网络拓扑结构及其相关资料，包括网络参数，如IP地址，命名规则等；甲方现有安全机制及规划目标、所有系统的应急方案、应用系统接口程序与文档等信息。</w:t>
      </w:r>
      <w:r>
        <w:rPr>
          <w:rFonts w:hint="eastAsia" w:ascii="宋体" w:hAnsi="宋体" w:eastAsia="宋体" w:cs="宋体"/>
          <w:color w:val="000000"/>
          <w:sz w:val="24"/>
          <w:szCs w:val="24"/>
          <w:highlight w:val="none"/>
        </w:rPr>
      </w:r>
      <w:r/>
    </w:p>
    <w:p>
      <w:pPr>
        <w:pStyle w:val="779"/>
        <w:ind w:firstLine="480"/>
        <w:jc w:val="left"/>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谈判、合作信息。双方对项目的讨论或谈判正在进行或已经进行、对主合同的达成交换了意见、主合同及本协议的具体内容、项目进展等信息，包括但不限于双方之间的讨论、协商、谈判、备忘录、协议等，以及由此产生的信息或资料。</w:t>
      </w:r>
      <w:r>
        <w:rPr>
          <w:rFonts w:hint="eastAsia" w:ascii="宋体" w:hAnsi="宋体" w:eastAsia="宋体" w:cs="宋体"/>
          <w:color w:val="000000"/>
          <w:sz w:val="24"/>
          <w:szCs w:val="24"/>
          <w:highlight w:val="none"/>
        </w:rPr>
      </w:r>
      <w:r/>
    </w:p>
    <w:p>
      <w:pPr>
        <w:pStyle w:val="779"/>
        <w:ind w:firstLine="480"/>
        <w:jc w:val="left"/>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项目信息。与项目研究、产品、服务、市场、知识产权、软件开发、发明、工艺、设计、图纸、工程技术、营销、技术、操作或系统、财务、客户名录相关的任何信息、文件、样品、技术数据和专有技术以及其他任何信息。项目涉及的信息系统设备、操作、维护保养等资料信息。为甲方服务期间可能直接或间接地通过书面、口头、图表、音像资料、数据电文等获得或通过观察全部或部分设备、系统等获得的信息。</w:t>
      </w:r>
      <w:r>
        <w:rPr>
          <w:rFonts w:hint="eastAsia" w:ascii="宋体" w:hAnsi="宋体" w:eastAsia="宋体" w:cs="宋体"/>
          <w:color w:val="000000"/>
          <w:sz w:val="24"/>
          <w:szCs w:val="24"/>
          <w:highlight w:val="none"/>
        </w:rPr>
      </w:r>
      <w:r/>
    </w:p>
    <w:p>
      <w:pPr>
        <w:pStyle w:val="779"/>
        <w:ind w:firstLine="480"/>
        <w:jc w:val="left"/>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⑤甲方无形资产的信息，包括专利权、商标权、著作权、设计权、商号权、技术秘密和商业秘密权、商业方法权、域名权等创造性智力成果和工商业标记依法产生的权利；标明或说明“保密”、含有专有权告示条款的信息。</w:t>
      </w:r>
      <w:r>
        <w:rPr>
          <w:rFonts w:hint="eastAsia" w:ascii="宋体" w:hAnsi="宋体" w:eastAsia="宋体" w:cs="宋体"/>
          <w:color w:val="000000"/>
          <w:sz w:val="24"/>
          <w:szCs w:val="24"/>
          <w:highlight w:val="none"/>
        </w:rPr>
      </w:r>
      <w:r/>
    </w:p>
    <w:p>
      <w:pPr>
        <w:pStyle w:val="779"/>
        <w:ind w:firstLine="480"/>
        <w:jc w:val="left"/>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⑤标示信息。标明或说明“保密”、含有专有权告示条款的信息。</w:t>
      </w:r>
      <w:r>
        <w:rPr>
          <w:rFonts w:hint="eastAsia" w:ascii="宋体" w:hAnsi="宋体" w:eastAsia="宋体" w:cs="宋体"/>
          <w:color w:val="000000"/>
          <w:sz w:val="24"/>
          <w:szCs w:val="24"/>
          <w:highlight w:val="none"/>
        </w:rPr>
      </w:r>
      <w:r/>
    </w:p>
    <w:p>
      <w:pPr>
        <w:pStyle w:val="779"/>
        <w:ind w:firstLine="480"/>
        <w:jc w:val="left"/>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⑥其他信息。根据甲方与第三方签署的协议约定，甲方负有保密义务的信息。</w:t>
      </w:r>
      <w:r>
        <w:rPr>
          <w:rFonts w:hint="eastAsia" w:ascii="宋体" w:hAnsi="宋体" w:eastAsia="宋体" w:cs="宋体"/>
          <w:color w:val="000000"/>
          <w:sz w:val="24"/>
          <w:szCs w:val="24"/>
          <w:highlight w:val="none"/>
        </w:rPr>
      </w:r>
      <w:r/>
    </w:p>
    <w:p>
      <w:pPr>
        <w:pStyle w:val="779"/>
        <w:ind w:firstLine="480"/>
        <w:jc w:val="left"/>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上述保密信息包括但不限于乙方通过书面文件、电子邮件、磁记录、光学记录、电子记录及口头或其他有形或无形方式获得的信息资料。</w:t>
      </w:r>
      <w:r>
        <w:rPr>
          <w:rFonts w:hint="eastAsia" w:ascii="宋体" w:hAnsi="宋体" w:eastAsia="宋体" w:cs="宋体"/>
          <w:color w:val="000000"/>
          <w:sz w:val="24"/>
          <w:szCs w:val="24"/>
          <w:highlight w:val="none"/>
        </w:rPr>
      </w:r>
      <w:r/>
    </w:p>
    <w:p>
      <w:pPr>
        <w:pStyle w:val="779"/>
        <w:ind w:firstLine="482"/>
        <w:jc w:val="left"/>
        <w:keepLines w:val="0"/>
        <w:keepNext w:val="0"/>
        <w:pageBreakBefore w:val="0"/>
        <w:spacing w:line="360" w:lineRule="exact"/>
        <w:widowControl w:val="off"/>
        <w:rPr>
          <w:rFonts w:hint="eastAsia" w:ascii="宋体" w:hAnsi="宋体" w:eastAsia="宋体" w:cs="宋体"/>
          <w:b/>
          <w:bCs/>
          <w:color w:val="000000"/>
          <w:sz w:val="24"/>
          <w:szCs w:val="24"/>
          <w:highlight w:val="none"/>
        </w:rPr>
        <w:outlineLvl w:val="2"/>
      </w:pPr>
      <w:r>
        <w:rPr>
          <w:rFonts w:hint="eastAsia" w:ascii="宋体" w:hAnsi="宋体" w:eastAsia="宋体" w:cs="宋体"/>
          <w:b/>
          <w:bCs/>
          <w:color w:val="000000"/>
          <w:sz w:val="24"/>
          <w:szCs w:val="24"/>
          <w:highlight w:val="none"/>
        </w:rPr>
        <w:t xml:space="preserve">2.代表</w:t>
      </w:r>
      <w:r>
        <w:rPr>
          <w:rFonts w:hint="eastAsia" w:ascii="宋体" w:hAnsi="宋体" w:eastAsia="宋体" w:cs="宋体"/>
          <w:b/>
          <w:bCs/>
          <w:color w:val="000000"/>
          <w:sz w:val="24"/>
          <w:szCs w:val="24"/>
          <w:highlight w:val="none"/>
        </w:rPr>
      </w:r>
      <w:r/>
    </w:p>
    <w:p>
      <w:pPr>
        <w:pStyle w:val="779"/>
        <w:ind w:firstLine="480"/>
        <w:jc w:val="left"/>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就协议一方而言，指该方的负责人、董事、管理人员和雇员或与协议目的有关的该方关联公司（直接或间接控制该方的，或受该方直接或间接控制的，或与该方直接或间接受共同控制的实体）的负责人、董事、管理人员和雇员。</w:t>
      </w:r>
      <w:r>
        <w:rPr>
          <w:rFonts w:hint="eastAsia" w:ascii="宋体" w:hAnsi="宋体" w:eastAsia="宋体" w:cs="宋体"/>
          <w:color w:val="000000"/>
          <w:sz w:val="24"/>
          <w:szCs w:val="24"/>
          <w:highlight w:val="none"/>
        </w:rPr>
      </w:r>
      <w:r/>
    </w:p>
    <w:p>
      <w:pPr>
        <w:pStyle w:val="779"/>
        <w:numPr>
          <w:ilvl w:val="0"/>
          <w:numId w:val="1"/>
        </w:numPr>
        <w:ind w:firstLine="482"/>
        <w:jc w:val="left"/>
        <w:keepLines w:val="0"/>
        <w:keepNext w:val="0"/>
        <w:pageBreakBefore w:val="0"/>
        <w:spacing w:line="360" w:lineRule="exact"/>
        <w:widowControl w:val="off"/>
        <w:rPr>
          <w:rFonts w:hint="eastAsia" w:ascii="宋体" w:hAnsi="宋体" w:eastAsia="宋体" w:cs="宋体"/>
          <w:b/>
          <w:bCs/>
          <w:color w:val="000000"/>
          <w:sz w:val="24"/>
          <w:szCs w:val="24"/>
          <w:highlight w:val="none"/>
          <w:lang w:eastAsia="en-US"/>
        </w:rPr>
        <w:outlineLvl w:val="1"/>
      </w:pPr>
      <w:r>
        <w:rPr>
          <w:rFonts w:hint="eastAsia" w:ascii="宋体" w:hAnsi="宋体" w:eastAsia="宋体" w:cs="宋体"/>
          <w:b/>
          <w:bCs/>
          <w:color w:val="000000"/>
          <w:sz w:val="24"/>
          <w:szCs w:val="24"/>
          <w:highlight w:val="none"/>
        </w:rPr>
        <w:t xml:space="preserve">保密义务</w:t>
      </w:r>
      <w:r>
        <w:rPr>
          <w:rFonts w:hint="eastAsia" w:ascii="宋体" w:hAnsi="宋体" w:eastAsia="宋体" w:cs="宋体"/>
          <w:b/>
          <w:bCs/>
          <w:color w:val="000000"/>
          <w:sz w:val="24"/>
          <w:szCs w:val="24"/>
          <w:highlight w:val="none"/>
          <w:lang w:eastAsia="en-US"/>
        </w:rPr>
      </w:r>
      <w:r/>
    </w:p>
    <w:p>
      <w:pPr>
        <w:pStyle w:val="779"/>
        <w:ind w:firstLine="480"/>
        <w:jc w:val="left"/>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1.乙方应当严格保守保密信息的机密性，保证自接收、管理、使用、掌握或知悉保密信息之日起</w:t>
      </w:r>
      <w:r>
        <w:rPr>
          <w:rFonts w:hint="eastAsia" w:ascii="宋体" w:hAnsi="宋体" w:eastAsia="宋体" w:cs="宋体"/>
          <w:color w:val="000000"/>
          <w:sz w:val="24"/>
          <w:szCs w:val="24"/>
          <w:highlight w:val="none"/>
          <w:u w:val="single"/>
        </w:rPr>
        <w:t xml:space="preserve"> 3 </w:t>
      </w:r>
      <w:r>
        <w:rPr>
          <w:rFonts w:hint="eastAsia" w:ascii="宋体" w:hAnsi="宋体" w:eastAsia="宋体" w:cs="宋体"/>
          <w:color w:val="000000"/>
          <w:sz w:val="24"/>
          <w:szCs w:val="24"/>
          <w:highlight w:val="none"/>
        </w:rPr>
        <w:t xml:space="preserve">年内：</w:t>
      </w:r>
      <w:r>
        <w:rPr>
          <w:rFonts w:hint="eastAsia" w:ascii="宋体" w:hAnsi="宋体" w:eastAsia="宋体" w:cs="宋体"/>
          <w:color w:val="000000"/>
          <w:sz w:val="24"/>
          <w:szCs w:val="24"/>
          <w:highlight w:val="none"/>
        </w:rPr>
      </w:r>
      <w:r/>
    </w:p>
    <w:p>
      <w:pPr>
        <w:pStyle w:val="779"/>
        <w:numPr>
          <w:ilvl w:val="0"/>
          <w:numId w:val="0"/>
        </w:numPr>
        <w:ind w:left="0" w:firstLine="480"/>
        <w:jc w:val="left"/>
        <w:keepLines w:val="0"/>
        <w:keepNext w:val="0"/>
        <w:pageBreakBefore w:val="0"/>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en-US" w:bidi="ar-SA"/>
        </w:rPr>
        <w:t xml:space="preserve">（1）</w:t>
      </w:r>
      <w:r>
        <w:rPr>
          <w:rFonts w:hint="eastAsia" w:ascii="宋体" w:hAnsi="宋体" w:eastAsia="宋体" w:cs="宋体"/>
          <w:color w:val="000000"/>
          <w:sz w:val="24"/>
          <w:szCs w:val="24"/>
          <w:highlight w:val="none"/>
        </w:rPr>
        <w:t xml:space="preserve">未经甲方事先书面同意，不得将该保密信息泄漏或交付给任何第三方，未经甲方同意，不得将非涉密载体连接甲方的涉密设备；</w:t>
      </w:r>
      <w:r>
        <w:rPr>
          <w:rFonts w:hint="eastAsia" w:ascii="宋体" w:hAnsi="宋体" w:eastAsia="宋体" w:cs="宋体"/>
          <w:color w:val="000000"/>
          <w:sz w:val="24"/>
          <w:szCs w:val="24"/>
          <w:highlight w:val="none"/>
        </w:rPr>
      </w:r>
      <w:r/>
    </w:p>
    <w:p>
      <w:pPr>
        <w:pStyle w:val="779"/>
        <w:numPr>
          <w:ilvl w:val="0"/>
          <w:numId w:val="0"/>
        </w:numPr>
        <w:ind w:left="0" w:firstLine="480"/>
        <w:jc w:val="left"/>
        <w:keepLines w:val="0"/>
        <w:keepNext w:val="0"/>
        <w:pageBreakBefore w:val="0"/>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en-US" w:bidi="ar-SA"/>
        </w:rPr>
        <w:t xml:space="preserve">（2）</w:t>
      </w:r>
      <w:r>
        <w:rPr>
          <w:rFonts w:hint="eastAsia" w:ascii="宋体" w:hAnsi="宋体" w:eastAsia="宋体" w:cs="宋体"/>
          <w:color w:val="000000"/>
          <w:sz w:val="24"/>
          <w:szCs w:val="24"/>
          <w:highlight w:val="none"/>
        </w:rPr>
        <w:t xml:space="preserve">仅将保密信息披露给为执行本协议之目的，有必要得知该保密信息的代表且乙方应当与该代表签订不低于本协议标准的保密协议；</w:t>
      </w:r>
      <w:r>
        <w:rPr>
          <w:rFonts w:hint="eastAsia" w:ascii="宋体" w:hAnsi="宋体" w:eastAsia="宋体" w:cs="宋体"/>
          <w:color w:val="000000"/>
          <w:sz w:val="24"/>
          <w:szCs w:val="24"/>
          <w:highlight w:val="none"/>
        </w:rPr>
      </w:r>
      <w:r/>
    </w:p>
    <w:p>
      <w:pPr>
        <w:pStyle w:val="779"/>
        <w:numPr>
          <w:ilvl w:val="0"/>
          <w:numId w:val="0"/>
        </w:numPr>
        <w:ind w:left="0" w:firstLine="480"/>
        <w:jc w:val="left"/>
        <w:keepLines w:val="0"/>
        <w:keepNext w:val="0"/>
        <w:pageBreakBefore w:val="0"/>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en-US" w:bidi="ar-SA"/>
        </w:rPr>
        <w:t xml:space="preserve">（3）</w:t>
      </w:r>
      <w:r>
        <w:rPr>
          <w:rFonts w:hint="eastAsia" w:ascii="宋体" w:hAnsi="宋体" w:eastAsia="宋体" w:cs="宋体"/>
          <w:color w:val="000000"/>
          <w:sz w:val="24"/>
          <w:szCs w:val="24"/>
          <w:highlight w:val="none"/>
        </w:rPr>
        <w:t xml:space="preserve">除为履行本协议所必要的复制外，未经甲方明确书面同意，不得随意复制保密信息或其他衍生行为；</w:t>
      </w:r>
      <w:r>
        <w:rPr>
          <w:rFonts w:hint="eastAsia" w:ascii="宋体" w:hAnsi="宋体" w:eastAsia="宋体" w:cs="宋体"/>
          <w:color w:val="000000"/>
          <w:sz w:val="24"/>
          <w:szCs w:val="24"/>
          <w:highlight w:val="none"/>
        </w:rPr>
      </w:r>
      <w:r/>
    </w:p>
    <w:p>
      <w:pPr>
        <w:pStyle w:val="779"/>
        <w:numPr>
          <w:ilvl w:val="0"/>
          <w:numId w:val="0"/>
        </w:numPr>
        <w:ind w:left="0" w:firstLine="480"/>
        <w:jc w:val="left"/>
        <w:keepLines w:val="0"/>
        <w:keepNext w:val="0"/>
        <w:pageBreakBefore w:val="0"/>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en-US" w:bidi="ar-SA"/>
        </w:rPr>
        <w:t xml:space="preserve">（4）</w:t>
      </w:r>
      <w:r>
        <w:rPr>
          <w:rFonts w:hint="eastAsia" w:ascii="宋体" w:hAnsi="宋体" w:eastAsia="宋体" w:cs="宋体"/>
          <w:color w:val="000000"/>
          <w:sz w:val="24"/>
          <w:szCs w:val="24"/>
          <w:highlight w:val="none"/>
        </w:rPr>
        <w:t xml:space="preserve">采取与保护自身同类性质保密信息相同等的保护程度，且不得低于合理的保护程度，来保管该保密信息；</w:t>
      </w:r>
      <w:r>
        <w:rPr>
          <w:rFonts w:hint="eastAsia" w:ascii="宋体" w:hAnsi="宋体" w:eastAsia="宋体" w:cs="宋体"/>
          <w:color w:val="000000"/>
          <w:sz w:val="24"/>
          <w:szCs w:val="24"/>
          <w:highlight w:val="none"/>
        </w:rPr>
      </w:r>
      <w:r/>
    </w:p>
    <w:p>
      <w:pPr>
        <w:pStyle w:val="779"/>
        <w:ind w:firstLine="480"/>
        <w:jc w:val="left"/>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（5）当保密信息被不当使用或揭露时，立即通知甲方并采取合理措施以重新保障保密信息的机密性，防止保密信息被进一步不当使用、揭露及其他违约行为的发生；</w:t>
      </w:r>
      <w:r>
        <w:rPr>
          <w:rFonts w:hint="eastAsia" w:ascii="宋体" w:hAnsi="宋体" w:eastAsia="宋体" w:cs="宋体"/>
          <w:color w:val="000000"/>
          <w:sz w:val="24"/>
          <w:szCs w:val="24"/>
          <w:highlight w:val="none"/>
        </w:rPr>
      </w:r>
      <w:r/>
    </w:p>
    <w:p>
      <w:pPr>
        <w:pStyle w:val="779"/>
        <w:ind w:firstLine="480"/>
        <w:jc w:val="left"/>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（6）仅出于本协议约定之目的使用保密信息，不得将保密信息用于甲方同意之外的任何目的，不得在其产品设计和制造或工艺设计中或以其他任何方式使用保密信息。</w:t>
      </w:r>
      <w:r>
        <w:rPr>
          <w:rFonts w:hint="eastAsia" w:ascii="宋体" w:hAnsi="宋体" w:eastAsia="宋体" w:cs="宋体"/>
          <w:color w:val="000000"/>
          <w:sz w:val="24"/>
          <w:szCs w:val="24"/>
          <w:highlight w:val="none"/>
        </w:rPr>
      </w:r>
      <w:r/>
    </w:p>
    <w:p>
      <w:pPr>
        <w:pStyle w:val="779"/>
        <w:ind w:firstLine="480"/>
        <w:jc w:val="left"/>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保证严格保守保密信息，且该保密信息不得用于甲方同意之外的任何目的。乙方应以善良管理人的注意义务保管该保密信息，未经甲方书面同意不得将该保密信息以任何形式披露或交付给任何第三方。乙方不得复制、仿造或修改甲方提供之保密信息作为己用或提供于他人。</w:t>
      </w:r>
      <w:r>
        <w:rPr>
          <w:rFonts w:hint="eastAsia" w:ascii="宋体" w:hAnsi="宋体" w:eastAsia="宋体" w:cs="宋体"/>
          <w:color w:val="000000"/>
          <w:sz w:val="24"/>
          <w:szCs w:val="24"/>
          <w:highlight w:val="none"/>
        </w:rPr>
      </w:r>
      <w:r/>
    </w:p>
    <w:p>
      <w:pPr>
        <w:pStyle w:val="779"/>
        <w:ind w:firstLine="480"/>
        <w:jc w:val="left"/>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仅限于主合同或谈判、维护项目目的，乙方允许其最低限度的人员接触保密信息。乙方应当与能接触该保密信息的本方员工、董事、雇员、授权代理人等签订保密协议，该保密协议的实质内容应与本协议约定的条款同样严格，乙方应保证以上接触保密信息的所有人员遵守本协议的约定。</w:t>
      </w:r>
      <w:r>
        <w:rPr>
          <w:rFonts w:hint="eastAsia" w:ascii="宋体" w:hAnsi="宋体" w:eastAsia="宋体" w:cs="宋体"/>
          <w:color w:val="000000"/>
          <w:sz w:val="24"/>
          <w:szCs w:val="24"/>
          <w:highlight w:val="none"/>
        </w:rPr>
      </w:r>
      <w:r/>
    </w:p>
    <w:p>
      <w:pPr>
        <w:pStyle w:val="779"/>
        <w:ind w:firstLine="480"/>
        <w:jc w:val="left"/>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4.乙方应负责使其代表遵守本协议，如有违反视同违约乙方与相关责任方负连带责任。</w:t>
      </w:r>
      <w:r>
        <w:rPr>
          <w:rFonts w:hint="eastAsia" w:ascii="宋体" w:hAnsi="宋体" w:eastAsia="宋体" w:cs="宋体"/>
          <w:color w:val="000000"/>
          <w:sz w:val="24"/>
          <w:szCs w:val="24"/>
          <w:highlight w:val="none"/>
        </w:rPr>
      </w:r>
      <w:r/>
    </w:p>
    <w:p>
      <w:pPr>
        <w:pStyle w:val="779"/>
        <w:ind w:firstLine="480"/>
        <w:jc w:val="left"/>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5.如乙方有足够的证据证明甲方的保密信息为下列信息之一者，则乙方对该信息不负保密义务：</w:t>
      </w:r>
      <w:r>
        <w:rPr>
          <w:rFonts w:hint="eastAsia" w:ascii="宋体" w:hAnsi="宋体" w:eastAsia="宋体" w:cs="宋体"/>
          <w:color w:val="000000"/>
          <w:sz w:val="24"/>
          <w:szCs w:val="24"/>
          <w:highlight w:val="none"/>
        </w:rPr>
      </w:r>
      <w:r/>
    </w:p>
    <w:p>
      <w:pPr>
        <w:pStyle w:val="779"/>
        <w:ind w:firstLine="480"/>
        <w:jc w:val="left"/>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（1）该信息为乙方于本协议订立之前合法获得，且无保密义务者；</w:t>
      </w:r>
      <w:r>
        <w:rPr>
          <w:rFonts w:hint="eastAsia" w:ascii="宋体" w:hAnsi="宋体" w:eastAsia="宋体" w:cs="宋体"/>
          <w:color w:val="000000"/>
          <w:sz w:val="24"/>
          <w:szCs w:val="24"/>
          <w:highlight w:val="none"/>
        </w:rPr>
      </w:r>
      <w:r/>
    </w:p>
    <w:p>
      <w:pPr>
        <w:pStyle w:val="779"/>
        <w:ind w:firstLine="480"/>
        <w:jc w:val="left"/>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（2）该信息由乙方在未使用甲方保密信息且未违反本协议所约定义务前提下，独立开发所得；</w:t>
      </w:r>
      <w:r>
        <w:rPr>
          <w:rFonts w:hint="eastAsia" w:ascii="宋体" w:hAnsi="宋体" w:eastAsia="宋体" w:cs="宋体"/>
          <w:color w:val="000000"/>
          <w:sz w:val="24"/>
          <w:szCs w:val="24"/>
          <w:highlight w:val="none"/>
        </w:rPr>
      </w:r>
      <w:r/>
    </w:p>
    <w:p>
      <w:pPr>
        <w:pStyle w:val="779"/>
        <w:ind w:firstLine="480"/>
        <w:jc w:val="left"/>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（3）该信息由甲方书面授权公开或泄漏。</w:t>
      </w:r>
      <w:r>
        <w:rPr>
          <w:rFonts w:hint="eastAsia" w:ascii="宋体" w:hAnsi="宋体" w:eastAsia="宋体" w:cs="宋体"/>
          <w:color w:val="000000"/>
          <w:sz w:val="24"/>
          <w:szCs w:val="24"/>
          <w:highlight w:val="none"/>
        </w:rPr>
      </w:r>
      <w:r/>
    </w:p>
    <w:p>
      <w:pPr>
        <w:pStyle w:val="779"/>
        <w:ind w:firstLine="480"/>
        <w:jc w:val="left"/>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乙方对于自甲方或其他途径获悉的保密信息负有完全和严格的保密义务。除非为了主合同项下目的，乙方不得使用保密信息；未经甲方事先书面同意，乙方不得故意或过失为自己或他人的利益使用、允许使用、转让、复制、分析、拷贝、传授、泄漏保密信息；乙方不得对保密信息进行分析或从该等分析中获利。</w:t>
      </w:r>
      <w:r>
        <w:rPr>
          <w:rFonts w:hint="eastAsia" w:ascii="宋体" w:hAnsi="宋体" w:eastAsia="宋体" w:cs="宋体"/>
          <w:color w:val="000000"/>
          <w:sz w:val="24"/>
          <w:szCs w:val="24"/>
          <w:highlight w:val="none"/>
        </w:rPr>
      </w:r>
      <w:r/>
    </w:p>
    <w:p>
      <w:pPr>
        <w:pStyle w:val="779"/>
        <w:ind w:firstLine="480"/>
        <w:jc w:val="left"/>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乙方在保护甲方的保密信息时，应采取一切合理和必要的保护措施，其注意义务的标准不低于保护自己的专有的保密信息的标准，防止第三人自乙方获取其所负责保管或接触的保密信息。非经甲方书面同意，乙方不得将移动存储设备设施、网络设备连接至甲方计算机信息系统等。</w:t>
      </w:r>
      <w:r>
        <w:rPr>
          <w:rFonts w:hint="eastAsia" w:ascii="宋体" w:hAnsi="宋体" w:eastAsia="宋体" w:cs="宋体"/>
          <w:color w:val="000000"/>
          <w:sz w:val="24"/>
          <w:szCs w:val="24"/>
          <w:highlight w:val="none"/>
        </w:rPr>
      </w:r>
      <w:r/>
    </w:p>
    <w:p>
      <w:pPr>
        <w:pStyle w:val="779"/>
        <w:ind w:firstLine="480"/>
        <w:jc w:val="left"/>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乙方如发现或被告知己方以及同样负有保密义务的第三方违反本协议的约定，应在发现后两个工作日内通知甲方，并根据甲方的请求，采取必要措施防止情况的恶化和损失的继续扩大，或在甲方追究泄密者法律责任的过程中，给予必要配合。</w:t>
      </w:r>
      <w:r>
        <w:rPr>
          <w:rFonts w:hint="eastAsia" w:ascii="宋体" w:hAnsi="宋体" w:eastAsia="宋体" w:cs="宋体"/>
          <w:color w:val="000000"/>
          <w:sz w:val="24"/>
          <w:szCs w:val="24"/>
          <w:highlight w:val="none"/>
        </w:rPr>
      </w:r>
      <w:r/>
    </w:p>
    <w:p>
      <w:pPr>
        <w:pStyle w:val="779"/>
        <w:ind w:firstLine="480"/>
        <w:jc w:val="left"/>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严格保守自己在为甲方工作期间所获得有关甲方及甲方项目的一切秘密信息。未经甲方同意，不得以泄露、告知、公布、发表、出版、传授、转让或者其他任何方式使任何第三方知悉属于甲方或者虽属于他人但甲方承诺有保密义务的技术秘密或其他商业秘密信息，也不得在进行维修时随意使用和观看这些秘密信息。</w:t>
      </w:r>
      <w:r>
        <w:rPr>
          <w:rFonts w:hint="eastAsia" w:ascii="宋体" w:hAnsi="宋体" w:eastAsia="宋体" w:cs="宋体"/>
          <w:color w:val="000000"/>
          <w:sz w:val="24"/>
          <w:szCs w:val="24"/>
          <w:highlight w:val="none"/>
        </w:rPr>
      </w:r>
      <w:r/>
    </w:p>
    <w:p>
      <w:pPr>
        <w:pStyle w:val="779"/>
        <w:ind w:firstLine="480"/>
        <w:jc w:val="left"/>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10.随时接受甲方安全保密的监督检查，乙方在接触涉密信息后做好相应记录备查。</w:t>
      </w:r>
      <w:r>
        <w:rPr>
          <w:rFonts w:hint="eastAsia" w:ascii="宋体" w:hAnsi="宋体" w:eastAsia="宋体" w:cs="宋体"/>
          <w:color w:val="000000"/>
          <w:sz w:val="24"/>
          <w:szCs w:val="24"/>
          <w:highlight w:val="none"/>
        </w:rPr>
      </w:r>
      <w:r/>
    </w:p>
    <w:p>
      <w:pPr>
        <w:pStyle w:val="779"/>
        <w:ind w:firstLine="480"/>
        <w:jc w:val="left"/>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11.乙方配合甲方完成相关评估。</w:t>
      </w:r>
      <w:r>
        <w:rPr>
          <w:rFonts w:hint="eastAsia" w:ascii="宋体" w:hAnsi="宋体" w:eastAsia="宋体" w:cs="宋体"/>
          <w:color w:val="000000"/>
          <w:sz w:val="24"/>
          <w:szCs w:val="24"/>
          <w:highlight w:val="none"/>
        </w:rPr>
      </w:r>
      <w:r/>
    </w:p>
    <w:p>
      <w:pPr>
        <w:pStyle w:val="779"/>
        <w:ind w:firstLine="482"/>
        <w:jc w:val="left"/>
        <w:keepLines w:val="0"/>
        <w:keepNext w:val="0"/>
        <w:pageBreakBefore w:val="0"/>
        <w:spacing w:line="360" w:lineRule="exact"/>
        <w:widowControl w:val="off"/>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三、保密信息的所有权</w:t>
      </w:r>
      <w:r>
        <w:rPr>
          <w:rFonts w:hint="eastAsia" w:ascii="宋体" w:hAnsi="宋体" w:eastAsia="宋体" w:cs="宋体"/>
          <w:b/>
          <w:bCs/>
          <w:color w:val="000000"/>
          <w:sz w:val="24"/>
          <w:szCs w:val="24"/>
          <w:highlight w:val="none"/>
        </w:rPr>
      </w:r>
      <w:r/>
    </w:p>
    <w:p>
      <w:pPr>
        <w:pStyle w:val="779"/>
        <w:ind w:firstLine="480"/>
        <w:jc w:val="left"/>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1.本协议的任何内容均不应被解释为甲方将其任何知识产权下的任何权利或许可明示地或默示地授予乙方。</w:t>
      </w:r>
      <w:r>
        <w:rPr>
          <w:rFonts w:hint="eastAsia" w:ascii="宋体" w:hAnsi="宋体" w:eastAsia="宋体" w:cs="宋体"/>
          <w:color w:val="000000"/>
          <w:sz w:val="24"/>
          <w:szCs w:val="24"/>
          <w:highlight w:val="none"/>
        </w:rPr>
      </w:r>
      <w:r/>
    </w:p>
    <w:p>
      <w:pPr>
        <w:pStyle w:val="779"/>
        <w:ind w:firstLine="480"/>
        <w:jc w:val="left"/>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2.乙方所接收或知悉的保密信息的权利及利益，属甲方。</w:t>
      </w:r>
      <w:r>
        <w:rPr>
          <w:rFonts w:hint="eastAsia" w:ascii="宋体" w:hAnsi="宋体" w:eastAsia="宋体" w:cs="宋体"/>
          <w:color w:val="000000"/>
          <w:sz w:val="24"/>
          <w:szCs w:val="24"/>
          <w:highlight w:val="none"/>
        </w:rPr>
      </w:r>
      <w:r/>
    </w:p>
    <w:p>
      <w:pPr>
        <w:pStyle w:val="779"/>
        <w:ind w:firstLine="480"/>
        <w:jc w:val="left"/>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3.乙方应在甲方请求时，将该保密信息及其复制品、衍生品全部立即返还甲方或根据甲方要求进行销毁，并出具书面证明以说明上述资料的销毁情形。</w:t>
      </w:r>
      <w:r>
        <w:rPr>
          <w:rFonts w:hint="eastAsia" w:ascii="宋体" w:hAnsi="宋体" w:eastAsia="宋体" w:cs="宋体"/>
          <w:color w:val="000000"/>
          <w:sz w:val="24"/>
          <w:szCs w:val="24"/>
          <w:highlight w:val="none"/>
        </w:rPr>
      </w:r>
      <w:r/>
    </w:p>
    <w:p>
      <w:pPr>
        <w:pStyle w:val="779"/>
        <w:ind w:firstLine="482"/>
        <w:jc w:val="left"/>
        <w:keepLines w:val="0"/>
        <w:keepNext w:val="0"/>
        <w:pageBreakBefore w:val="0"/>
        <w:spacing w:line="360" w:lineRule="exact"/>
        <w:widowControl w:val="off"/>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四、声明</w:t>
      </w:r>
      <w:r>
        <w:rPr>
          <w:rFonts w:hint="eastAsia" w:ascii="宋体" w:hAnsi="宋体" w:eastAsia="宋体" w:cs="宋体"/>
          <w:b/>
          <w:bCs/>
          <w:color w:val="000000"/>
          <w:sz w:val="24"/>
          <w:szCs w:val="24"/>
          <w:highlight w:val="none"/>
        </w:rPr>
      </w:r>
      <w:r/>
    </w:p>
    <w:p>
      <w:pPr>
        <w:pStyle w:val="779"/>
        <w:ind w:firstLine="480"/>
        <w:jc w:val="left"/>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1.双方同意，本协议项下保密信息的披露和接收，不得被理解为对任何一方创设具有与另一方达成业务关系的任何义务或任何期望。</w:t>
      </w:r>
      <w:r>
        <w:rPr>
          <w:rFonts w:hint="eastAsia" w:ascii="宋体" w:hAnsi="宋体" w:eastAsia="宋体" w:cs="宋体"/>
          <w:color w:val="000000"/>
          <w:sz w:val="24"/>
          <w:szCs w:val="24"/>
          <w:highlight w:val="none"/>
        </w:rPr>
      </w:r>
      <w:r/>
    </w:p>
    <w:p>
      <w:pPr>
        <w:pStyle w:val="779"/>
        <w:ind w:firstLine="480"/>
        <w:jc w:val="left"/>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所有保密信息均“按现状”披露，除非另有书面约定，甲方不对根据本协议所披露信息的全面、充分或准确做出保证。甲方不应就乙方因信赖根据本协议所披露的信息所产生的任何费用、损失或损害或采取的行动承担任何责任。</w:t>
      </w:r>
      <w:r>
        <w:rPr>
          <w:rFonts w:hint="eastAsia" w:ascii="宋体" w:hAnsi="宋体" w:eastAsia="宋体" w:cs="宋体"/>
          <w:color w:val="000000"/>
          <w:sz w:val="24"/>
          <w:szCs w:val="24"/>
          <w:highlight w:val="none"/>
        </w:rPr>
      </w:r>
      <w:r/>
    </w:p>
    <w:p>
      <w:pPr>
        <w:pStyle w:val="779"/>
        <w:ind w:firstLine="482"/>
        <w:jc w:val="left"/>
        <w:keepLines w:val="0"/>
        <w:keepNext w:val="0"/>
        <w:pageBreakBefore w:val="0"/>
        <w:spacing w:line="360" w:lineRule="exact"/>
        <w:widowControl w:val="off"/>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五、保密信息的返还与销毁</w:t>
      </w:r>
      <w:r>
        <w:rPr>
          <w:rFonts w:hint="eastAsia" w:ascii="宋体" w:hAnsi="宋体" w:eastAsia="宋体" w:cs="宋体"/>
          <w:b/>
          <w:bCs/>
          <w:color w:val="000000"/>
          <w:sz w:val="24"/>
          <w:szCs w:val="24"/>
          <w:highlight w:val="none"/>
        </w:rPr>
      </w:r>
      <w:r/>
    </w:p>
    <w:p>
      <w:pPr>
        <w:pStyle w:val="779"/>
        <w:ind w:firstLine="480"/>
        <w:jc w:val="left"/>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1.保密信息作为甲方的专有财产，乙方应妥善保管所获得的保密信息的所有文件资料及其他任何载体。</w:t>
      </w:r>
      <w:r>
        <w:rPr>
          <w:rFonts w:hint="eastAsia" w:ascii="宋体" w:hAnsi="宋体" w:eastAsia="宋体" w:cs="宋体"/>
          <w:color w:val="000000"/>
          <w:sz w:val="24"/>
          <w:szCs w:val="24"/>
          <w:highlight w:val="none"/>
        </w:rPr>
      </w:r>
      <w:r/>
    </w:p>
    <w:p>
      <w:pPr>
        <w:pStyle w:val="779"/>
        <w:ind w:firstLine="480"/>
        <w:jc w:val="left"/>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2.若双方之间未能建立合作关系或合作关系终止或应甲方的要求，乙方应将全部保密文件资料（包括原件、复印件、翻译件），连同包含或描述该保密信息的任何形式载体交付甲方或销毁。</w:t>
      </w:r>
      <w:r>
        <w:rPr>
          <w:rFonts w:hint="eastAsia" w:ascii="宋体" w:hAnsi="宋体" w:eastAsia="宋体" w:cs="宋体"/>
          <w:color w:val="000000"/>
          <w:sz w:val="24"/>
          <w:szCs w:val="24"/>
          <w:highlight w:val="none"/>
        </w:rPr>
      </w:r>
      <w:r/>
    </w:p>
    <w:p>
      <w:pPr>
        <w:pStyle w:val="779"/>
        <w:ind w:firstLine="480"/>
        <w:jc w:val="left"/>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返还与销毁保密信息时，乙方应提供一份由其负责人签署的证明书，声明其自身不再持有任何保密信息或其他包含保密信息的载体，且未对保密信息予以截留、复制或翻译；或如果已复制或翻译，所有这类复制件和翻译件已连同书面资料等一起归还；或如果任何保密信息已被销毁，该证明书应具体说明哪些保密信息已被销毁。</w:t>
      </w:r>
      <w:r>
        <w:rPr>
          <w:rFonts w:hint="eastAsia" w:ascii="宋体" w:hAnsi="宋体" w:eastAsia="宋体" w:cs="宋体"/>
          <w:color w:val="000000"/>
          <w:sz w:val="24"/>
          <w:szCs w:val="24"/>
          <w:highlight w:val="none"/>
        </w:rPr>
      </w:r>
      <w:r/>
    </w:p>
    <w:p>
      <w:pPr>
        <w:pStyle w:val="779"/>
        <w:ind w:firstLine="482"/>
        <w:jc w:val="left"/>
        <w:keepLines w:val="0"/>
        <w:keepNext w:val="0"/>
        <w:pageBreakBefore w:val="0"/>
        <w:spacing w:line="3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六、保密期限</w:t>
      </w:r>
      <w:r>
        <w:rPr>
          <w:rFonts w:hint="eastAsia" w:ascii="宋体" w:hAnsi="宋体" w:eastAsia="宋体" w:cs="宋体"/>
          <w:b/>
          <w:bCs/>
          <w:color w:val="000000"/>
          <w:sz w:val="24"/>
          <w:szCs w:val="24"/>
          <w:highlight w:val="none"/>
        </w:rPr>
      </w:r>
      <w:r/>
    </w:p>
    <w:p>
      <w:pPr>
        <w:pStyle w:val="779"/>
        <w:ind w:firstLine="480"/>
        <w:jc w:val="left"/>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甲、乙双方确认，乙方的保密义务自本协议签订之日起或主合同生效之时或接触甲方保密信息之时开始（以三者较先开始的时间为准）后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rPr>
      </w:r>
      <w:r/>
    </w:p>
    <w:p>
      <w:pPr>
        <w:pStyle w:val="779"/>
        <w:ind w:firstLine="482"/>
        <w:jc w:val="left"/>
        <w:keepLines w:val="0"/>
        <w:keepNext w:val="0"/>
        <w:pageBreakBefore w:val="0"/>
        <w:spacing w:line="3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七、违约责任</w:t>
      </w:r>
      <w:r>
        <w:rPr>
          <w:rFonts w:hint="eastAsia" w:ascii="宋体" w:hAnsi="宋体" w:eastAsia="宋体" w:cs="宋体"/>
          <w:b/>
          <w:bCs/>
          <w:color w:val="000000"/>
          <w:sz w:val="24"/>
          <w:szCs w:val="24"/>
          <w:highlight w:val="none"/>
        </w:rPr>
      </w:r>
      <w:r/>
    </w:p>
    <w:p>
      <w:pPr>
        <w:pStyle w:val="779"/>
        <w:ind w:firstLine="480"/>
        <w:jc w:val="left"/>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如违反本协议约定的保密义务，应当赔偿给甲方造成的全部损失及甲方因维权行为而产生的所有费用（包括但不限于直接损失、间接损失、预期利益损失、律师费、鉴定费、交通费等），构成犯罪的，依法处理。</w:t>
      </w:r>
      <w:r>
        <w:rPr>
          <w:rFonts w:hint="eastAsia" w:ascii="宋体" w:hAnsi="宋体" w:eastAsia="宋体" w:cs="宋体"/>
          <w:color w:val="000000"/>
          <w:sz w:val="24"/>
          <w:szCs w:val="24"/>
          <w:highlight w:val="none"/>
        </w:rPr>
      </w:r>
      <w:r/>
    </w:p>
    <w:p>
      <w:pPr>
        <w:pStyle w:val="779"/>
        <w:ind w:firstLine="480"/>
        <w:jc w:val="left"/>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八、法律适用及争议的解决</w:t>
      </w:r>
      <w:r>
        <w:rPr>
          <w:rFonts w:hint="eastAsia" w:ascii="宋体" w:hAnsi="宋体" w:eastAsia="宋体" w:cs="宋体"/>
          <w:color w:val="000000"/>
          <w:sz w:val="24"/>
          <w:szCs w:val="24"/>
          <w:highlight w:val="none"/>
        </w:rPr>
      </w:r>
      <w:r/>
    </w:p>
    <w:p>
      <w:pPr>
        <w:pStyle w:val="779"/>
        <w:ind w:firstLine="480"/>
        <w:jc w:val="left"/>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1.本协议应适用中华人民共和国法律解释并受其约束。</w:t>
      </w:r>
      <w:r>
        <w:rPr>
          <w:rFonts w:hint="eastAsia" w:ascii="宋体" w:hAnsi="宋体" w:eastAsia="宋体" w:cs="宋体"/>
          <w:color w:val="000000"/>
          <w:sz w:val="24"/>
          <w:szCs w:val="24"/>
          <w:highlight w:val="none"/>
        </w:rPr>
      </w:r>
      <w:r/>
    </w:p>
    <w:p>
      <w:pPr>
        <w:pStyle w:val="779"/>
        <w:ind w:firstLine="480"/>
        <w:jc w:val="left"/>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2.因履行本协议或与本协议有关的任何争议，双方应首先协商解决。协商不成时，采取第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种方式解决。</w:t>
      </w:r>
      <w:r>
        <w:rPr>
          <w:rFonts w:hint="eastAsia" w:ascii="宋体" w:hAnsi="宋体" w:eastAsia="宋体" w:cs="宋体"/>
          <w:color w:val="000000"/>
          <w:sz w:val="24"/>
          <w:szCs w:val="24"/>
          <w:highlight w:val="none"/>
        </w:rPr>
      </w:r>
      <w:r/>
    </w:p>
    <w:p>
      <w:pPr>
        <w:pStyle w:val="779"/>
        <w:ind w:firstLine="480"/>
        <w:jc w:val="left"/>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①可向甲方所在地的人民法院提起诉讼解决。</w:t>
      </w:r>
      <w:r>
        <w:rPr>
          <w:rFonts w:hint="eastAsia" w:ascii="宋体" w:hAnsi="宋体" w:eastAsia="宋体" w:cs="宋体"/>
          <w:color w:val="000000"/>
          <w:sz w:val="24"/>
          <w:szCs w:val="24"/>
          <w:highlight w:val="none"/>
        </w:rPr>
      </w:r>
      <w:r/>
    </w:p>
    <w:p>
      <w:pPr>
        <w:pStyle w:val="779"/>
        <w:ind w:firstLine="480"/>
        <w:jc w:val="left"/>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②向</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仲裁委员会提起仲裁。</w:t>
      </w:r>
      <w:r>
        <w:rPr>
          <w:rFonts w:hint="eastAsia" w:ascii="宋体" w:hAnsi="宋体" w:eastAsia="宋体" w:cs="宋体"/>
          <w:color w:val="000000"/>
          <w:sz w:val="24"/>
          <w:szCs w:val="24"/>
          <w:highlight w:val="none"/>
        </w:rPr>
      </w:r>
      <w:r/>
    </w:p>
    <w:p>
      <w:pPr>
        <w:pStyle w:val="779"/>
        <w:ind w:firstLine="482"/>
        <w:jc w:val="left"/>
        <w:keepLines w:val="0"/>
        <w:keepNext w:val="0"/>
        <w:pageBreakBefore w:val="0"/>
        <w:spacing w:line="3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九、协议生效及其他</w:t>
      </w:r>
      <w:r>
        <w:rPr>
          <w:rFonts w:hint="eastAsia" w:ascii="宋体" w:hAnsi="宋体" w:eastAsia="宋体" w:cs="宋体"/>
          <w:b/>
          <w:bCs/>
          <w:color w:val="000000"/>
          <w:sz w:val="24"/>
          <w:szCs w:val="24"/>
          <w:highlight w:val="none"/>
        </w:rPr>
      </w:r>
      <w:r/>
    </w:p>
    <w:p>
      <w:pPr>
        <w:pStyle w:val="779"/>
        <w:ind w:firstLine="480"/>
        <w:jc w:val="left"/>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1.本协议自双方盖章之日起生效，自保密期限到期之日自动终止。如本协议提前终止或解除，乙方的保密义务继续存续。</w:t>
      </w:r>
      <w:r>
        <w:rPr>
          <w:rFonts w:hint="eastAsia" w:ascii="宋体" w:hAnsi="宋体" w:eastAsia="宋体" w:cs="宋体"/>
          <w:color w:val="000000"/>
          <w:sz w:val="24"/>
          <w:szCs w:val="24"/>
          <w:highlight w:val="none"/>
        </w:rPr>
      </w:r>
      <w:r/>
    </w:p>
    <w:p>
      <w:pPr>
        <w:pStyle w:val="779"/>
        <w:ind w:firstLine="480"/>
        <w:jc w:val="left"/>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2、本协议一式贰份，双方各执壹份，具有同等效力。</w:t>
      </w:r>
      <w:r>
        <w:rPr>
          <w:rFonts w:hint="eastAsia" w:ascii="宋体" w:hAnsi="宋体" w:eastAsia="宋体" w:cs="宋体"/>
          <w:color w:val="000000"/>
          <w:sz w:val="24"/>
          <w:szCs w:val="24"/>
          <w:highlight w:val="none"/>
        </w:rPr>
      </w:r>
      <w:r/>
    </w:p>
    <w:p>
      <w:pPr>
        <w:pStyle w:val="779"/>
        <w:ind w:firstLine="480"/>
        <w:jc w:val="left"/>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【以下无正文】</w:t>
      </w:r>
      <w:r>
        <w:rPr>
          <w:rFonts w:hint="eastAsia" w:ascii="宋体" w:hAnsi="宋体" w:eastAsia="宋体" w:cs="宋体"/>
          <w:color w:val="000000"/>
          <w:sz w:val="24"/>
          <w:szCs w:val="24"/>
          <w:highlight w:val="none"/>
        </w:rPr>
      </w:r>
      <w:r/>
    </w:p>
    <w:p>
      <w:pPr>
        <w:pStyle w:val="779"/>
        <w:ind w:firstLine="480"/>
        <w:jc w:val="left"/>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9"/>
        <w:ind w:firstLine="480"/>
        <w:jc w:val="left"/>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9"/>
        <w:ind w:firstLine="480"/>
        <w:jc w:val="left"/>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                     乙方：</w:t>
      </w:r>
      <w:r>
        <w:rPr>
          <w:rFonts w:hint="eastAsia" w:ascii="宋体" w:hAnsi="宋体" w:eastAsia="宋体" w:cs="宋体"/>
          <w:color w:val="000000"/>
          <w:sz w:val="24"/>
          <w:szCs w:val="24"/>
          <w:highlight w:val="none"/>
        </w:rPr>
      </w:r>
      <w:r/>
    </w:p>
    <w:p>
      <w:pPr>
        <w:pStyle w:val="779"/>
        <w:ind w:firstLine="480"/>
        <w:jc w:val="left"/>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（盖章）              （盖章）</w:t>
      </w:r>
      <w:r>
        <w:rPr>
          <w:rFonts w:hint="eastAsia" w:ascii="宋体" w:hAnsi="宋体" w:eastAsia="宋体" w:cs="宋体"/>
          <w:color w:val="000000"/>
          <w:sz w:val="24"/>
          <w:szCs w:val="24"/>
          <w:highlight w:val="none"/>
        </w:rPr>
      </w:r>
      <w:r/>
    </w:p>
    <w:p>
      <w:pPr>
        <w:pStyle w:val="779"/>
        <w:ind w:firstLine="480"/>
        <w:jc w:val="left"/>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地址：</w:t>
      </w:r>
      <w:r>
        <w:rPr>
          <w:rFonts w:hint="eastAsia" w:ascii="宋体" w:hAnsi="宋体" w:eastAsia="宋体" w:cs="宋体"/>
          <w:color w:val="000000"/>
          <w:sz w:val="24"/>
          <w:szCs w:val="24"/>
          <w:highlight w:val="none"/>
        </w:rPr>
      </w:r>
      <w:r/>
    </w:p>
    <w:p>
      <w:pPr>
        <w:pStyle w:val="779"/>
        <w:ind w:firstLine="480"/>
        <w:jc w:val="left"/>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签约日期</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              签约日期：</w:t>
      </w:r>
      <w:r>
        <w:rPr>
          <w:rFonts w:hint="eastAsia" w:ascii="宋体" w:hAnsi="宋体" w:eastAsia="宋体" w:cs="宋体"/>
          <w:color w:val="000000"/>
          <w:sz w:val="24"/>
          <w:szCs w:val="24"/>
          <w:highlight w:val="none"/>
        </w:rPr>
      </w:r>
      <w:r/>
    </w:p>
    <w:p>
      <w:pPr>
        <w:pStyle w:val="77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6"/>
        <w:ind w:firstLine="420"/>
        <w:jc w:val="both"/>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spacing w:line="360" w:lineRule="auto"/>
        <w:rPr>
          <w:rFonts w:hint="eastAsia" w:ascii="宋体" w:hAnsi="宋体" w:eastAsia="宋体" w:cs="宋体"/>
          <w:b/>
          <w:bCs/>
          <w:color w:val="000000"/>
          <w:sz w:val="28"/>
          <w:szCs w:val="28"/>
          <w:highlight w:val="none"/>
        </w:rPr>
      </w:pPr>
      <w:r>
        <w:rPr>
          <w:rFonts w:hint="eastAsia" w:ascii="宋体" w:hAnsi="宋体" w:eastAsia="宋体" w:cs="宋体"/>
          <w:b/>
          <w:color w:val="000000"/>
          <w:sz w:val="28"/>
          <w:szCs w:val="28"/>
          <w:highlight w:val="none"/>
        </w:rPr>
      </w:r>
      <w:r>
        <w:rPr>
          <w:rFonts w:hint="eastAsia" w:ascii="宋体" w:hAnsi="宋体" w:eastAsia="宋体" w:cs="宋体"/>
          <w:b/>
          <w:color w:val="000000"/>
          <w:sz w:val="28"/>
          <w:szCs w:val="28"/>
          <w:highlight w:val="none"/>
        </w:rPr>
      </w:r>
      <w:r/>
    </w:p>
    <w:p>
      <w:pPr>
        <w:pStyle w:val="779"/>
        <w:jc w:val="center"/>
        <w:spacing w:line="360" w:lineRule="auto"/>
        <w:rPr>
          <w:rFonts w:hint="eastAsia" w:ascii="宋体" w:hAnsi="宋体" w:eastAsia="宋体" w:cs="宋体"/>
          <w:b/>
          <w:bCs/>
          <w:color w:val="000000"/>
          <w:sz w:val="28"/>
          <w:szCs w:val="28"/>
          <w:highlight w:val="none"/>
        </w:rPr>
      </w:pPr>
      <w:r>
        <w:rPr>
          <w:rFonts w:hint="eastAsia" w:ascii="宋体" w:hAnsi="宋体" w:eastAsia="宋体" w:cs="宋体"/>
          <w:b/>
          <w:color w:val="000000"/>
          <w:sz w:val="28"/>
          <w:szCs w:val="28"/>
          <w:highlight w:val="none"/>
        </w:rPr>
      </w:r>
      <w:r/>
    </w:p>
    <w:p>
      <w:pPr>
        <w:pStyle w:val="779"/>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79"/>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79"/>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b/>
          <w:color w:val="000000"/>
          <w:sz w:val="28"/>
          <w:szCs w:val="28"/>
          <w:highlight w:val="none"/>
        </w:rPr>
        <w:t xml:space="preserve">第六章 采购需求</w:t>
      </w:r>
      <w:bookmarkStart w:id="10" w:name="_Toc324452802"/>
      <w:r/>
      <w:bookmarkEnd w:id="10"/>
      <w:r/>
      <w:bookmarkStart w:id="11" w:name="_Toc322457054"/>
      <w:r/>
      <w:bookmarkEnd w:id="11"/>
      <w:r>
        <w:rPr>
          <w:rFonts w:hint="eastAsia" w:ascii="宋体" w:hAnsi="宋体" w:eastAsia="宋体" w:cs="宋体"/>
          <w:color w:val="000000"/>
          <w:sz w:val="32"/>
          <w:szCs w:val="32"/>
          <w:highlight w:val="none"/>
        </w:rPr>
      </w:r>
      <w:r/>
    </w:p>
    <w:p>
      <w:pPr>
        <w:pStyle w:val="779"/>
        <w:ind w:firstLine="562"/>
        <w:spacing w:after="0"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一、本项目采购预算为人民币</w:t>
      </w:r>
      <w:r>
        <w:rPr>
          <w:rFonts w:hint="eastAsia" w:ascii="宋体" w:hAnsi="宋体" w:eastAsia="宋体" w:cs="宋体"/>
          <w:b/>
          <w:bCs/>
          <w:color w:val="000000"/>
          <w:sz w:val="24"/>
          <w:szCs w:val="24"/>
          <w:highlight w:val="none"/>
          <w:lang w:val="en-US" w:eastAsia="zh-CN"/>
        </w:rPr>
        <w:t xml:space="preserve">205.32</w:t>
      </w:r>
      <w:r>
        <w:rPr>
          <w:rFonts w:hint="eastAsia" w:ascii="宋体" w:hAnsi="宋体" w:eastAsia="宋体" w:cs="宋体"/>
          <w:b/>
          <w:bCs/>
          <w:color w:val="000000"/>
          <w:sz w:val="24"/>
          <w:szCs w:val="24"/>
          <w:highlight w:val="none"/>
          <w:lang w:eastAsia="zh-CN"/>
        </w:rPr>
        <w:t xml:space="preserve">万元。</w:t>
      </w:r>
      <w:r>
        <w:rPr>
          <w:rFonts w:hint="eastAsia" w:ascii="宋体" w:hAnsi="宋体" w:eastAsia="宋体" w:cs="宋体"/>
          <w:b/>
          <w:bCs/>
          <w:color w:val="000000"/>
          <w:sz w:val="24"/>
          <w:szCs w:val="24"/>
          <w:highlight w:val="none"/>
          <w:lang w:eastAsia="zh-CN"/>
        </w:rPr>
      </w:r>
      <w:r/>
    </w:p>
    <w:p>
      <w:pPr>
        <w:pStyle w:val="779"/>
        <w:ind w:firstLine="562"/>
        <w:spacing w:after="0"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项目采用每个机柜单月费用形式进行报价，且本项目不接受超过2800.00元/柜/月（最高限价）的投标报价。</w:t>
      </w:r>
      <w:r>
        <w:rPr>
          <w:rFonts w:hint="eastAsia" w:ascii="宋体" w:hAnsi="宋体" w:eastAsia="宋体" w:cs="宋体"/>
          <w:b/>
          <w:bCs/>
          <w:color w:val="000000"/>
          <w:sz w:val="24"/>
          <w:szCs w:val="24"/>
          <w:highlight w:val="none"/>
          <w:lang w:eastAsia="zh-CN"/>
        </w:rPr>
      </w:r>
      <w:r/>
    </w:p>
    <w:p>
      <w:pPr>
        <w:pStyle w:val="779"/>
        <w:ind w:firstLine="562"/>
        <w:spacing w:after="0"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（报价包含项目完成所需全部费用，采购人不再支付报价以外的任何费用）</w:t>
      </w:r>
      <w:r>
        <w:rPr>
          <w:rFonts w:hint="eastAsia" w:ascii="宋体" w:hAnsi="宋体" w:eastAsia="宋体" w:cs="宋体"/>
          <w:b/>
          <w:bCs/>
          <w:color w:val="000000"/>
          <w:sz w:val="24"/>
          <w:szCs w:val="24"/>
          <w:highlight w:val="none"/>
          <w:lang w:eastAsia="zh-CN"/>
        </w:rPr>
      </w:r>
      <w:r/>
    </w:p>
    <w:p>
      <w:pPr>
        <w:pStyle w:val="779"/>
        <w:ind w:firstLine="562"/>
        <w:spacing w:after="0"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二、采购标的：</w:t>
      </w:r>
      <w:r>
        <w:rPr>
          <w:rFonts w:hint="eastAsia" w:ascii="宋体" w:hAnsi="宋体" w:eastAsia="宋体" w:cs="宋体"/>
          <w:b/>
          <w:bCs/>
          <w:color w:val="000000"/>
          <w:sz w:val="24"/>
          <w:szCs w:val="24"/>
          <w:highlight w:val="none"/>
          <w:lang w:val="en-US" w:eastAsia="zh-CN"/>
        </w:rPr>
        <w:t xml:space="preserve">徐州市公安局JZ租用机房机柜</w:t>
      </w:r>
      <w:r>
        <w:rPr>
          <w:rFonts w:hint="eastAsia" w:ascii="宋体" w:hAnsi="宋体" w:eastAsia="宋体" w:cs="宋体"/>
          <w:b/>
          <w:bCs/>
          <w:color w:val="000000"/>
          <w:sz w:val="24"/>
          <w:szCs w:val="24"/>
          <w:highlight w:val="none"/>
          <w:lang w:eastAsia="zh-CN"/>
        </w:rPr>
      </w:r>
      <w:r/>
    </w:p>
    <w:p>
      <w:pPr>
        <w:pStyle w:val="779"/>
        <w:ind w:firstLine="562"/>
        <w:jc w:val="both"/>
        <w:spacing w:after="0"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三、项目概况</w:t>
      </w:r>
      <w:r>
        <w:rPr>
          <w:rFonts w:hint="eastAsia" w:ascii="宋体" w:hAnsi="宋体" w:eastAsia="宋体" w:cs="宋体"/>
          <w:b/>
          <w:bCs/>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徐州市公安局大数据分中心共有300余台服务器及60余台网络设备等，承载多个大型业务系统，硬件设备和网络传输线路多，运维压力大，现有的机房设施和运维人员不能保证设备、系统的正常高效运行，需要专业设施和服务团队托管，急需机房空间。考虑信息化建设的长远发展，拟采用购买社会化服务的方式，租用标准的机房机柜。本次共需租赁</w:t>
      </w:r>
      <w:r>
        <w:rPr>
          <w:rFonts w:hint="eastAsia" w:ascii="宋体" w:hAnsi="宋体" w:eastAsia="宋体" w:cs="宋体"/>
          <w:color w:val="000000"/>
          <w:sz w:val="24"/>
          <w:szCs w:val="24"/>
          <w:highlight w:val="none"/>
          <w:lang w:val="en-US" w:eastAsia="zh-CN"/>
        </w:rPr>
        <w:t xml:space="preserve">61</w:t>
      </w:r>
      <w:r>
        <w:rPr>
          <w:rFonts w:hint="eastAsia" w:ascii="宋体" w:hAnsi="宋体" w:eastAsia="宋体" w:cs="宋体"/>
          <w:color w:val="000000"/>
          <w:sz w:val="24"/>
          <w:szCs w:val="24"/>
          <w:highlight w:val="none"/>
          <w:lang w:eastAsia="zh-CN"/>
        </w:rPr>
        <w:t xml:space="preserve">个机柜。</w:t>
      </w:r>
      <w:r>
        <w:rPr>
          <w:rFonts w:hint="eastAsia" w:ascii="宋体" w:hAnsi="宋体" w:eastAsia="宋体" w:cs="宋体"/>
          <w:color w:val="000000"/>
          <w:sz w:val="24"/>
          <w:szCs w:val="24"/>
          <w:highlight w:val="none"/>
          <w:lang w:eastAsia="zh-CN"/>
        </w:rPr>
      </w:r>
      <w:r/>
    </w:p>
    <w:p>
      <w:pPr>
        <w:pStyle w:val="779"/>
        <w:ind w:firstLine="562"/>
        <w:jc w:val="both"/>
        <w:spacing w:after="0"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四、项目要求（加“★”标志的为实质性响应指标，加“▲”标志的为次重要响应指标，其他为一般响应指标，实质性响应指标不满足或负偏离按无效投标文件处理，未按照要求提供证明材料的视为负偏离。</w:t>
      </w:r>
      <w:r>
        <w:rPr>
          <w:rFonts w:hint="eastAsia" w:ascii="宋体" w:hAnsi="宋体" w:eastAsia="宋体" w:cs="宋体"/>
          <w:b/>
          <w:bCs/>
          <w:color w:val="000000"/>
          <w:sz w:val="24"/>
          <w:szCs w:val="24"/>
          <w:highlight w:val="none"/>
          <w:lang w:eastAsia="zh-CN"/>
        </w:rPr>
      </w:r>
      <w:r/>
    </w:p>
    <w:p>
      <w:pPr>
        <w:pStyle w:val="779"/>
        <w:ind w:firstLine="562"/>
        <w:jc w:val="both"/>
        <w:spacing w:after="0"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投标人需根据采购需求中的技术要求在投标响应文件中据实逐条应答，并确保所报指标真实性，如中标后被发现不能满足指标项，将被认定为弄虚作假）：</w:t>
      </w:r>
      <w:r>
        <w:rPr>
          <w:rFonts w:hint="eastAsia" w:ascii="宋体" w:hAnsi="宋体" w:eastAsia="宋体" w:cs="宋体"/>
          <w:b/>
          <w:bCs/>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（一）本项目租赁</w:t>
      </w:r>
      <w:r>
        <w:rPr>
          <w:rFonts w:hint="eastAsia" w:ascii="宋体" w:hAnsi="宋体" w:eastAsia="宋体" w:cs="宋体"/>
          <w:color w:val="000000"/>
          <w:sz w:val="24"/>
          <w:szCs w:val="24"/>
          <w:highlight w:val="none"/>
          <w:lang w:val="en-US" w:eastAsia="zh-CN"/>
        </w:rPr>
        <w:t xml:space="preserve">61</w:t>
      </w:r>
      <w:r>
        <w:rPr>
          <w:rFonts w:hint="eastAsia" w:ascii="宋体" w:hAnsi="宋体" w:eastAsia="宋体" w:cs="宋体"/>
          <w:color w:val="000000"/>
          <w:sz w:val="24"/>
          <w:szCs w:val="24"/>
          <w:highlight w:val="none"/>
          <w:lang w:eastAsia="zh-CN"/>
        </w:rPr>
        <w:t xml:space="preserve">个机柜及配套的机房环境供采购人使用。投标人须确保在同一地址提供足够空间和运行环境满足市区内公安局项目建设发展需求。中标人应在合同签订后至202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年1月1日前，按本招标文件的技术要求提供机房空间。中标人完成场地资源环境准备后，提出场地资源环境验收申请，在经采购人验收合格后，进入运维服务期。</w:t>
      </w:r>
      <w:r>
        <w:rPr>
          <w:rFonts w:hint="eastAsia" w:ascii="宋体" w:hAnsi="宋体" w:eastAsia="宋体" w:cs="宋体"/>
          <w:color w:val="000000"/>
          <w:sz w:val="24"/>
          <w:szCs w:val="24"/>
          <w:highlight w:val="none"/>
          <w:lang w:eastAsia="zh-CN"/>
        </w:rPr>
      </w:r>
      <w:r/>
    </w:p>
    <w:p>
      <w:pPr>
        <w:pStyle w:val="796"/>
        <w:ind w:firstLine="5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（二）本合同服务期限为</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eastAsia="zh-CN"/>
        </w:rPr>
        <w:t xml:space="preserve">自</w:t>
      </w:r>
      <w:r>
        <w:rPr>
          <w:rFonts w:hint="eastAsia" w:ascii="宋体" w:hAnsi="宋体" w:eastAsia="宋体" w:cs="宋体"/>
          <w:color w:val="000000"/>
          <w:sz w:val="24"/>
          <w:szCs w:val="24"/>
          <w:highlight w:val="none"/>
        </w:rPr>
        <w:t xml:space="preserve">202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年1月1日</w:t>
      </w:r>
      <w:r>
        <w:rPr>
          <w:rFonts w:hint="eastAsia" w:ascii="宋体" w:hAnsi="宋体" w:eastAsia="宋体" w:cs="宋体"/>
          <w:color w:val="000000"/>
          <w:sz w:val="24"/>
          <w:szCs w:val="24"/>
          <w:highlight w:val="none"/>
          <w:lang w:eastAsia="zh-CN"/>
        </w:rPr>
        <w:t xml:space="preserve">起</w:t>
      </w:r>
      <w:r>
        <w:rPr>
          <w:rFonts w:hint="eastAsia" w:ascii="宋体" w:hAnsi="宋体" w:eastAsia="宋体" w:cs="宋体"/>
          <w:color w:val="000000"/>
          <w:sz w:val="24"/>
          <w:szCs w:val="24"/>
          <w:highlight w:val="none"/>
        </w:rPr>
        <w:t xml:space="preserve">至202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年12月31日</w:t>
      </w:r>
      <w:r>
        <w:rPr>
          <w:rFonts w:hint="eastAsia" w:ascii="宋体" w:hAnsi="宋体" w:eastAsia="宋体" w:cs="宋体"/>
          <w:color w:val="000000"/>
          <w:sz w:val="24"/>
          <w:szCs w:val="24"/>
          <w:highlight w:val="none"/>
          <w:lang w:eastAsia="zh-CN"/>
        </w:rPr>
        <w:t xml:space="preserve">止</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96"/>
        <w:ind w:firstLine="482"/>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lang w:eastAsia="zh-CN"/>
        </w:rPr>
        <w:t xml:space="preserve">技术要求</w:t>
      </w:r>
      <w:r>
        <w:rPr>
          <w:rFonts w:hint="eastAsia" w:ascii="宋体" w:hAnsi="宋体" w:eastAsia="宋体" w:cs="宋体"/>
          <w:b/>
          <w:bCs/>
          <w:color w:val="000000"/>
          <w:sz w:val="24"/>
          <w:szCs w:val="24"/>
          <w:highlight w:val="none"/>
          <w:lang w:eastAsia="zh-CN"/>
        </w:rPr>
      </w:r>
      <w:r/>
    </w:p>
    <w:p>
      <w:pPr>
        <w:pStyle w:val="779"/>
        <w:ind w:firstLine="562"/>
        <w:jc w:val="both"/>
        <w:spacing w:after="0"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1.机房环境要求</w:t>
      </w:r>
      <w:r>
        <w:rPr>
          <w:rFonts w:hint="eastAsia" w:ascii="宋体" w:hAnsi="宋体" w:eastAsia="宋体" w:cs="宋体"/>
          <w:b/>
          <w:bCs/>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▲投标人提供服务的信息系统机房，应当具有较好的可靠性、安全性、可扩展性。</w:t>
      </w:r>
      <w:r>
        <w:rPr>
          <w:rFonts w:hint="eastAsia" w:ascii="宋体" w:hAnsi="宋体" w:eastAsia="宋体" w:cs="宋体"/>
          <w:color w:val="000000"/>
          <w:sz w:val="24"/>
          <w:szCs w:val="24"/>
          <w:highlight w:val="none"/>
          <w:lang w:eastAsia="zh-CN"/>
        </w:rPr>
      </w:r>
      <w:r/>
    </w:p>
    <w:p>
      <w:pPr>
        <w:pStyle w:val="779"/>
        <w:ind w:firstLine="562"/>
        <w:jc w:val="both"/>
        <w:spacing w:after="0"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1.1 电源系统要求</w:t>
      </w:r>
      <w:r>
        <w:rPr>
          <w:rFonts w:hint="eastAsia" w:ascii="宋体" w:hAnsi="宋体" w:eastAsia="宋体" w:cs="宋体"/>
          <w:b/>
          <w:bCs/>
          <w:color w:val="000000"/>
          <w:sz w:val="24"/>
          <w:szCs w:val="24"/>
          <w:highlight w:val="none"/>
          <w:lang w:eastAsia="zh-CN"/>
        </w:rPr>
      </w:r>
      <w:r/>
    </w:p>
    <w:p>
      <w:pPr>
        <w:pStyle w:val="779"/>
        <w:ind w:firstLine="562"/>
        <w:jc w:val="both"/>
        <w:spacing w:after="0"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1.1.1 供配电要求</w:t>
      </w:r>
      <w:r>
        <w:rPr>
          <w:rFonts w:hint="eastAsia" w:ascii="宋体" w:hAnsi="宋体" w:eastAsia="宋体" w:cs="宋体"/>
          <w:b/>
          <w:bCs/>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1）▲机房至少采用双路市电供电，且电源点来自不同变电站，至少两路变电站等级为10KV。</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2）机房的电力可用性达到99.999%。</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3）配置具备稳压和过电压防护功能的供配电系统。</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4）IT系统供电与空调等动力供电分开。</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5）机房内采用机柜专用PDU插座或空气开关，并在机房内分别设置维修和测试用电源插座，两者有明显区别标志。</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6）末端配电：每台机柜配置A\B双路PDU或空气开关（来自不同的UPS系统供电），每路PDU不少于12个插孔（或每路空气开关不少于12个插头），8个10A，4个16A，精密配电柜端配备32A空开。</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每台机柜的可用电力不小于13A，至少</w:t>
      </w:r>
      <w:r>
        <w:rPr>
          <w:rFonts w:hint="eastAsia" w:ascii="宋体" w:hAnsi="宋体" w:eastAsia="宋体" w:cs="宋体"/>
          <w:color w:val="000000"/>
          <w:sz w:val="24"/>
          <w:szCs w:val="24"/>
          <w:highlight w:val="none"/>
          <w:lang w:val="en-US" w:eastAsia="zh-CN"/>
        </w:rPr>
        <w:t xml:space="preserve">有</w:t>
      </w:r>
      <w:r>
        <w:rPr>
          <w:rFonts w:hint="eastAsia" w:ascii="宋体" w:hAnsi="宋体" w:eastAsia="宋体" w:cs="宋体"/>
          <w:color w:val="000000"/>
          <w:sz w:val="24"/>
          <w:szCs w:val="24"/>
          <w:highlight w:val="none"/>
          <w:lang w:eastAsia="zh-CN"/>
        </w:rPr>
        <w:t xml:space="preserve">一台机柜的可用电力不小于23A。</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8）采购人租赁的机房区域的供电应通过两个路由引入。</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9）可提供单相及三相设备用电。</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10）配电列头柜应采用精密配电柜，并具备防雷功能。</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11）配电开关应采用国际主流品牌产品。</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12）配电列头柜出线开关应有一定的预留，以满足采购人的扩容需要。</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13）机房内需提供完备、可靠的接地系统。</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14）机房接地电阻小于1欧。</w:t>
      </w:r>
      <w:r>
        <w:rPr>
          <w:rFonts w:hint="eastAsia" w:ascii="宋体" w:hAnsi="宋体" w:eastAsia="宋体" w:cs="宋体"/>
          <w:color w:val="000000"/>
          <w:sz w:val="24"/>
          <w:szCs w:val="24"/>
          <w:highlight w:val="none"/>
          <w:lang w:eastAsia="zh-CN"/>
        </w:rPr>
      </w:r>
      <w:r/>
    </w:p>
    <w:p>
      <w:pPr>
        <w:pStyle w:val="779"/>
        <w:ind w:firstLine="562"/>
        <w:jc w:val="both"/>
        <w:spacing w:after="0"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1.1.2 UPS电源要求</w:t>
      </w:r>
      <w:r>
        <w:rPr>
          <w:rFonts w:hint="eastAsia" w:ascii="宋体" w:hAnsi="宋体" w:eastAsia="宋体" w:cs="宋体"/>
          <w:b/>
          <w:bCs/>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1）▲冗余要求：机房UPS配备2(N+1）冗余方式</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投标文件中</w:t>
      </w:r>
      <w:r>
        <w:rPr>
          <w:rFonts w:hint="eastAsia" w:ascii="宋体" w:hAnsi="宋体" w:eastAsia="宋体" w:cs="宋体"/>
          <w:b/>
          <w:bCs/>
          <w:color w:val="000000"/>
          <w:sz w:val="24"/>
          <w:szCs w:val="24"/>
          <w:highlight w:val="none"/>
        </w:rPr>
        <w:t xml:space="preserve">提供相关证明资料）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2）▲满载情况下电池后备时间应不低于15分钟，采购人租赁机房区域内每个机柜要求由分别来源于两路UPS的两路电力供应</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投标文件中</w:t>
      </w:r>
      <w:r>
        <w:rPr>
          <w:rFonts w:hint="eastAsia" w:ascii="宋体" w:hAnsi="宋体" w:eastAsia="宋体" w:cs="宋体"/>
          <w:b/>
          <w:bCs/>
          <w:color w:val="000000"/>
          <w:sz w:val="24"/>
          <w:szCs w:val="24"/>
          <w:highlight w:val="none"/>
        </w:rPr>
        <w:t xml:space="preserve">提供相关证明资料）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79"/>
        <w:ind w:firstLine="562"/>
        <w:jc w:val="both"/>
        <w:spacing w:after="0"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1.1.3 备用电源要求</w:t>
      </w:r>
      <w:r>
        <w:rPr>
          <w:rFonts w:hint="eastAsia" w:ascii="宋体" w:hAnsi="宋体" w:eastAsia="宋体" w:cs="宋体"/>
          <w:b/>
          <w:bCs/>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1）▲备用电源自启动到具备供电条件的时长应小于1分钟。</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2）▲备用电源能满足数据中心满载运行不低于48小时，此外，投标人具备优先能源保障协议。</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3）▲备用电源应具有自动切换，应急电源与正常电源之间必须采取防止并列运行的措施。</w:t>
      </w:r>
      <w:r>
        <w:rPr>
          <w:rFonts w:hint="eastAsia" w:ascii="宋体" w:hAnsi="宋体" w:eastAsia="宋体" w:cs="宋体"/>
          <w:color w:val="000000"/>
          <w:sz w:val="24"/>
          <w:szCs w:val="24"/>
          <w:highlight w:val="none"/>
          <w:lang w:eastAsia="zh-CN"/>
        </w:rPr>
      </w:r>
      <w:r/>
    </w:p>
    <w:p>
      <w:pPr>
        <w:pStyle w:val="779"/>
        <w:ind w:firstLine="562"/>
        <w:jc w:val="both"/>
        <w:spacing w:after="0"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1.2 温湿度控制系统要求</w:t>
      </w:r>
      <w:r>
        <w:rPr>
          <w:rFonts w:hint="eastAsia" w:ascii="宋体" w:hAnsi="宋体" w:eastAsia="宋体" w:cs="宋体"/>
          <w:b/>
          <w:bCs/>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1）▲机房精密空调应配备N+X冗余（X=1～N）机房专用空调</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投标文件中</w:t>
      </w:r>
      <w:r>
        <w:rPr>
          <w:rFonts w:hint="eastAsia" w:ascii="宋体" w:hAnsi="宋体" w:eastAsia="宋体" w:cs="宋体"/>
          <w:b/>
          <w:bCs/>
          <w:color w:val="000000"/>
          <w:sz w:val="24"/>
          <w:szCs w:val="24"/>
          <w:highlight w:val="none"/>
        </w:rPr>
        <w:t xml:space="preserve">提供相关证明资料）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2）保持机房温度（开机时）23℃±1℃ ，相对湿度（开机时）40%-55%，不结露。</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3）送风方式：下送风、上回风，按冷、热通道分离布置。</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4）机房内维持正压，机房与走廊压差不小于5Pa，与室外静压差不小于10Pa。</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5）有漏水隐患处应安装漏水检测装置，针对空调漏水情况能够及时发现和报警。</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6）▲空调系统由备用电源提供后备电力保障。</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7）空调机组下方应设置挡水堰，并部署有漏水检测系统，漏水检测系统报警信号接入到环境监控系统，对机房漏水情况进行实时检测和处理。</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）▲制冷机组应满足2N配置，水管路系统为A/B独立管控系统，</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）▲蓄冷罐应满足不少30分钟的供冷保障。如机房为风冷系统，则无此项限制。</w:t>
      </w:r>
      <w:r>
        <w:rPr>
          <w:rFonts w:hint="eastAsia" w:ascii="宋体" w:hAnsi="宋体" w:eastAsia="宋体" w:cs="宋体"/>
          <w:color w:val="000000"/>
          <w:sz w:val="24"/>
          <w:szCs w:val="24"/>
          <w:highlight w:val="none"/>
          <w:lang w:eastAsia="zh-CN"/>
        </w:rPr>
      </w:r>
      <w:r/>
    </w:p>
    <w:p>
      <w:pPr>
        <w:pStyle w:val="779"/>
        <w:ind w:firstLine="562"/>
        <w:jc w:val="both"/>
        <w:spacing w:after="0"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1.3 消防系统</w:t>
      </w:r>
      <w:r>
        <w:rPr>
          <w:rFonts w:hint="eastAsia" w:ascii="宋体" w:hAnsi="宋体" w:eastAsia="宋体" w:cs="宋体"/>
          <w:b/>
          <w:bCs/>
          <w:color w:val="000000"/>
          <w:sz w:val="24"/>
          <w:szCs w:val="24"/>
          <w:highlight w:val="none"/>
          <w:lang w:eastAsia="zh-CN"/>
        </w:rPr>
      </w:r>
      <w:r/>
    </w:p>
    <w:p>
      <w:pPr>
        <w:pStyle w:val="779"/>
        <w:ind w:firstLine="560"/>
        <w:jc w:val="both"/>
        <w:spacing w:after="0" w:line="360" w:lineRule="auto"/>
        <w:widowControl w:val="off"/>
        <w:tabs>
          <w:tab w:val="right" w:pos="8312"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1）▲机房区域具备消防功能，可提供集中式灭火报警系统。</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2）投标人提供服务的机房场地及配电室应设置极早期预警系统、感温、感烟双重报警系统。采用气体灭火系统。气体释放喷头应采取多路部署，分区灭火方式。无水管经过IT设备放置的机房区域。</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3）▲消防中控室应配置有7×24小时专职消防监控人员，实时监控火灾自动报警系统。</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4）机房的安全出口应不少于两个，并设在机房的两端。机房门应向疏散方向开启，走廊、楼梯间应畅通并有明显的疏散指示标志。</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5）机房内应设置有独立的消防排烟系统。</w:t>
      </w:r>
      <w:r>
        <w:rPr>
          <w:rFonts w:hint="eastAsia" w:ascii="宋体" w:hAnsi="宋体" w:eastAsia="宋体" w:cs="宋体"/>
          <w:color w:val="000000"/>
          <w:sz w:val="24"/>
          <w:szCs w:val="24"/>
          <w:highlight w:val="none"/>
          <w:lang w:eastAsia="zh-CN"/>
        </w:rPr>
      </w:r>
      <w:r/>
    </w:p>
    <w:p>
      <w:pPr>
        <w:pStyle w:val="779"/>
        <w:ind w:firstLine="562"/>
        <w:jc w:val="both"/>
        <w:spacing w:after="0"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1.4 防雷接地要求</w:t>
      </w:r>
      <w:r>
        <w:rPr>
          <w:rFonts w:hint="eastAsia" w:ascii="宋体" w:hAnsi="宋体" w:eastAsia="宋体" w:cs="宋体"/>
          <w:b/>
          <w:bCs/>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1）机房建筑设置有避雷装置，能够防范直击雷的危害。</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2）机房应设置交流电源地线，应设置通过国家认证的防雷装置。防止感应雷，采用共用接地系统，在供电系统做好三级防雷措施。</w:t>
      </w:r>
      <w:r>
        <w:rPr>
          <w:rFonts w:hint="eastAsia" w:ascii="宋体" w:hAnsi="宋体" w:eastAsia="宋体" w:cs="宋体"/>
          <w:color w:val="000000"/>
          <w:sz w:val="24"/>
          <w:szCs w:val="24"/>
          <w:highlight w:val="none"/>
          <w:lang w:eastAsia="zh-CN"/>
        </w:rPr>
      </w:r>
      <w:r/>
    </w:p>
    <w:p>
      <w:pPr>
        <w:pStyle w:val="779"/>
        <w:ind w:firstLine="562"/>
        <w:jc w:val="both"/>
        <w:spacing w:after="0"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1.5 机房所在位置及建筑要求</w:t>
      </w:r>
      <w:r>
        <w:rPr>
          <w:rFonts w:hint="eastAsia" w:ascii="宋体" w:hAnsi="宋体" w:eastAsia="宋体" w:cs="宋体"/>
          <w:b/>
          <w:bCs/>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▲机房坐落位置应在徐州市市区内。</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1）机房根据信息系统机房应用的特点和特殊需要，在功能分区划分和平面布置、建筑结构上采取相应的技术措施。</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2）机房所在建筑物抗震等级不低于7级；建筑结构安全等级为一级；机房耐火等级不低于二级。</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3）机房活荷载承重量不低于标准值8-10（kN/㎡），电力电池室为20（kN/㎡）。</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4）机房外墙体应保持封闭性，并与建筑物外墙体之间留有缓冲区。</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5）机房所在区域不在建筑物的顶层或地下室。</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6）机房所在区域不在用水设备的下层或隔壁。</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7）机房建筑具有一定的物理封闭性，便于人员出入管理，确保机房安全。</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8）机房应设有专用卸货区域及货运入口，保证大型设备的运输安全。建筑的入口至主机房应设通道及专用货梯（货梯载重不低于5吨）。货物、人员通道应保证24小时可以通行。</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9）机房所在建筑物应设置周界区域，应安装安全防护系统设施等。</w:t>
      </w:r>
      <w:r>
        <w:rPr>
          <w:rFonts w:hint="eastAsia" w:ascii="宋体" w:hAnsi="宋体" w:eastAsia="宋体" w:cs="宋体"/>
          <w:color w:val="000000"/>
          <w:sz w:val="24"/>
          <w:szCs w:val="24"/>
          <w:highlight w:val="none"/>
          <w:lang w:eastAsia="zh-CN"/>
        </w:rPr>
      </w:r>
      <w:r/>
    </w:p>
    <w:p>
      <w:pPr>
        <w:pStyle w:val="779"/>
        <w:ind w:firstLine="562"/>
        <w:jc w:val="both"/>
        <w:spacing w:after="0"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1.6 机房装修要求</w:t>
      </w:r>
      <w:r>
        <w:rPr>
          <w:rFonts w:hint="eastAsia" w:ascii="宋体" w:hAnsi="宋体" w:eastAsia="宋体" w:cs="宋体"/>
          <w:b/>
          <w:bCs/>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1）机房墙面、吊顶、地板应做防尘处理，如刷防尘漆等。</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2）保证机房窗户封闭，封堵与外部环境的缝隙。</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3）主机房的顶棚、壁板（包括夹芯材料）和隔断应为不燃烧体。</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4）其装饰材料选用非燃烧材料，耐火等级不低于二级。</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5）机房采用防静电地板，且高度不得小于800mm。</w:t>
      </w:r>
      <w:r>
        <w:rPr>
          <w:rFonts w:hint="eastAsia" w:ascii="宋体" w:hAnsi="宋体" w:eastAsia="宋体" w:cs="宋体"/>
          <w:color w:val="000000"/>
          <w:sz w:val="24"/>
          <w:szCs w:val="24"/>
          <w:highlight w:val="none"/>
          <w:lang w:eastAsia="zh-CN"/>
        </w:rPr>
      </w:r>
      <w:r/>
    </w:p>
    <w:p>
      <w:pPr>
        <w:pStyle w:val="779"/>
        <w:ind w:firstLine="562"/>
        <w:jc w:val="both"/>
        <w:spacing w:after="0"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1.7 综合布线要求</w:t>
      </w:r>
      <w:r>
        <w:rPr>
          <w:rFonts w:hint="eastAsia" w:ascii="宋体" w:hAnsi="宋体" w:eastAsia="宋体" w:cs="宋体"/>
          <w:b/>
          <w:bCs/>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1）▲机房区域综合布线系统应采用光缆及6A类双绞线，办公区域（独立会议室）综合布线系统应采用光缆及6类双绞线，传输介质各组成部分的等级应保持一致。</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）综合布线系统应满足ANSI/TIA/EIA 568B、ANSI/TIA/EIA 569A、ANSI/TIA/EIA-606、ANSI/TIA/EIA-607等标准要求。</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）缆线采用线槽或桥架敷设时，线槽或桥架的安装位置应与建筑装饰、电气、空调、消防等专业协调一致。</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）应将通信线缆铺设在专用线槽内，强弱电缆需隔离铺设间隔不小于300mm，并进行统一标识。</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）IT设备综合布线不得与空调设备、电源设备的无电磁屏蔽的布线平行；交叉时，应尽量以接近于垂直的角度交叉。</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）投标人负责综合布线系统的规划和设计，并负责综合布线的采购、安装、调试、检测。</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）综合布线系统应按相关标准规范进行检测和验收，信息点应逐点进行永久链路测试，光纤信息点应逐点进行信道测试。</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）投标人负责综合布线系统投产后的管理和维护。</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）采购人的网络系统出现通信故障时，投标人应提供7×24小时综合布线技术支持服务，协助采购人排除故障，解决问题。</w:t>
      </w:r>
      <w:r>
        <w:rPr>
          <w:rFonts w:hint="eastAsia" w:ascii="宋体" w:hAnsi="宋体" w:eastAsia="宋体" w:cs="宋体"/>
          <w:color w:val="000000"/>
          <w:sz w:val="24"/>
          <w:szCs w:val="24"/>
          <w:highlight w:val="none"/>
          <w:lang w:eastAsia="zh-CN"/>
        </w:rPr>
      </w:r>
      <w:r/>
    </w:p>
    <w:p>
      <w:pPr>
        <w:pStyle w:val="779"/>
        <w:ind w:firstLine="562"/>
        <w:jc w:val="both"/>
        <w:spacing w:after="0"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2.机房空间要求</w:t>
      </w:r>
      <w:r>
        <w:rPr>
          <w:rFonts w:hint="eastAsia" w:ascii="宋体" w:hAnsi="宋体" w:eastAsia="宋体" w:cs="宋体"/>
          <w:b/>
          <w:bCs/>
          <w:color w:val="000000"/>
          <w:sz w:val="24"/>
          <w:szCs w:val="24"/>
          <w:highlight w:val="none"/>
          <w:lang w:eastAsia="zh-CN"/>
        </w:rPr>
      </w:r>
      <w:r/>
    </w:p>
    <w:p>
      <w:pPr>
        <w:pStyle w:val="779"/>
        <w:ind w:firstLine="562"/>
        <w:jc w:val="both"/>
        <w:spacing w:after="0"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2.1 ▲机柜数量要求</w:t>
      </w:r>
      <w:r>
        <w:rPr>
          <w:rFonts w:hint="eastAsia" w:ascii="宋体" w:hAnsi="宋体" w:eastAsia="宋体" w:cs="宋体"/>
          <w:b/>
          <w:bCs/>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投标人需按采购人要求提供不低于</w:t>
      </w:r>
      <w:r>
        <w:rPr>
          <w:rFonts w:hint="eastAsia" w:ascii="宋体" w:hAnsi="宋体" w:eastAsia="宋体" w:cs="宋体"/>
          <w:color w:val="000000"/>
          <w:sz w:val="24"/>
          <w:szCs w:val="24"/>
          <w:highlight w:val="none"/>
          <w:lang w:val="en-US" w:eastAsia="zh-CN"/>
        </w:rPr>
        <w:t xml:space="preserve">61</w:t>
      </w:r>
      <w:r>
        <w:rPr>
          <w:rFonts w:hint="eastAsia" w:ascii="宋体" w:hAnsi="宋体" w:eastAsia="宋体" w:cs="宋体"/>
          <w:color w:val="000000"/>
          <w:sz w:val="24"/>
          <w:szCs w:val="24"/>
          <w:highlight w:val="none"/>
          <w:lang w:eastAsia="zh-CN"/>
        </w:rPr>
        <w:t xml:space="preserve">个机柜及配套的机房场地资源服务，并保证所有机柜落位在独立的机房模块。</w:t>
      </w:r>
      <w:r>
        <w:rPr>
          <w:rFonts w:hint="eastAsia" w:ascii="宋体" w:hAnsi="宋体" w:eastAsia="宋体" w:cs="宋体"/>
          <w:b/>
          <w:bCs/>
          <w:color w:val="000000"/>
          <w:sz w:val="24"/>
          <w:szCs w:val="24"/>
          <w:highlight w:val="none"/>
          <w:lang w:val="en-US" w:eastAsia="zh-CN"/>
        </w:rPr>
        <w:t xml:space="preserve">投标文件中</w:t>
      </w:r>
      <w:r>
        <w:rPr>
          <w:rFonts w:hint="eastAsia" w:ascii="宋体" w:hAnsi="宋体" w:eastAsia="宋体" w:cs="宋体"/>
          <w:b/>
          <w:bCs/>
          <w:color w:val="000000"/>
          <w:sz w:val="24"/>
          <w:szCs w:val="24"/>
          <w:highlight w:val="none"/>
          <w:lang w:eastAsia="zh-CN"/>
        </w:rPr>
        <w:t xml:space="preserve">提供相关证明文件（机柜租赁授权、机房建设证明文件、可用机柜数量证明材料等），须能够证明</w:t>
      </w:r>
      <w:r>
        <w:rPr>
          <w:rFonts w:ascii="宋体" w:hAnsi="宋体" w:eastAsia="宋体" w:cs="宋体"/>
          <w:b/>
          <w:bCs/>
          <w:color w:val="000000"/>
          <w:sz w:val="24"/>
          <w:szCs w:val="24"/>
          <w:highlight w:val="none"/>
        </w:rPr>
        <w:t xml:space="preserve">具备本项目所需机房使用权限，且具备充足机柜冗余</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79"/>
        <w:ind w:firstLine="562"/>
        <w:jc w:val="both"/>
        <w:spacing w:after="0"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2.2 机柜类型要求</w:t>
      </w:r>
      <w:r>
        <w:rPr>
          <w:rFonts w:hint="eastAsia" w:ascii="宋体" w:hAnsi="宋体" w:eastAsia="宋体" w:cs="宋体"/>
          <w:b/>
          <w:bCs/>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1）▲尺寸：必须满足标准19英寸机架设备安装上架要求，机柜尺寸不小于600×1100×2200mm，可用空间不小于48U，机柜内置走线槽及盘线器。</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2）内立柱：可固定标准19英寸机架设备，可以安装L型托架或托盘，满足主流设备导轨安装要求。</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3）承重：每机柜静态承重不低于2500KG,动态承重不低于1200KG。</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4）▲托盘托架：机柜内托盘或托架数量可满足设备上架要求，L型托架不小于80KG、托盘要求承重不小于160KG。</w:t>
      </w:r>
      <w:r>
        <w:rPr>
          <w:rFonts w:hint="eastAsia" w:ascii="宋体" w:hAnsi="宋体" w:eastAsia="宋体" w:cs="宋体"/>
          <w:color w:val="000000"/>
          <w:sz w:val="24"/>
          <w:szCs w:val="24"/>
          <w:highlight w:val="none"/>
          <w:lang w:eastAsia="zh-CN"/>
        </w:rPr>
      </w:r>
      <w:r/>
    </w:p>
    <w:p>
      <w:pPr>
        <w:pStyle w:val="779"/>
        <w:ind w:firstLine="562"/>
        <w:jc w:val="both"/>
        <w:spacing w:after="0"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3.机房日常运行保障要求</w:t>
      </w:r>
      <w:r>
        <w:rPr>
          <w:rFonts w:hint="eastAsia" w:ascii="宋体" w:hAnsi="宋体" w:eastAsia="宋体" w:cs="宋体"/>
          <w:b/>
          <w:bCs/>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机房所在建筑物入口处应安装出入控制和安全防护装置，并对出入人员和所带物品应进行安全检查。投标人应为采购人相关工作人员提供进出机房的人员和车辆的通行证、门禁卡等便利进出的条件，每个管理点、大门口的进出时间应小于1分钟。</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2）机房应配备7×24小时值班保安人员，负责机房的安全保卫工作。</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3）机房设有环境监控系统，对机房相关基础设施运行状态和故障进行7×24小时监控。</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4）机房应配备7×24小时值班基础设施管理员，负责机房的日常维护、事件应急、故障处置等工作。</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5）机房的基础设施日常巡检工作，每日巡检次数不少于4次。</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6）机房区域应为独立、封闭区域，并配置有门禁访问控制措施、视频监控、安全检查措施，并有7×24小时安保人员值班对进出机房的人员、设备进行检查、核实、放行。有多个出入口时，每个出入口都应有周全的人员、设备进出控制措施，以确保机房安全。</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7）机房应急疏散出口应采取有效措施，以防止非授权人员进出。</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8）</w:t>
      </w:r>
      <w:r>
        <w:rPr>
          <w:rFonts w:hint="eastAsia" w:ascii="宋体" w:hAnsi="宋体" w:cs="宋体"/>
          <w:bCs/>
          <w:color w:val="000000"/>
          <w:sz w:val="28"/>
          <w:szCs w:val="28"/>
          <w:highlight w:val="none"/>
        </w:rPr>
        <w:t xml:space="preserve">▲</w:t>
      </w:r>
      <w:r>
        <w:rPr>
          <w:rFonts w:hint="eastAsia" w:ascii="宋体" w:hAnsi="宋体" w:eastAsia="宋体" w:cs="宋体"/>
          <w:color w:val="000000"/>
          <w:sz w:val="24"/>
          <w:szCs w:val="24"/>
          <w:highlight w:val="none"/>
          <w:lang w:eastAsia="zh-CN"/>
        </w:rPr>
        <w:t xml:space="preserve">门禁控制：投标人应为采购人租赁区域出入口设置门禁控制系统，划分不同人员进出不同区域的权限。未经采购人授权的人员（包括投标人机房工作人员）不得进入。门禁控制系统应保存有完整的人员进出记录，人员进出记录要求至少保留180天。</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9）</w:t>
      </w:r>
      <w:r>
        <w:rPr>
          <w:rFonts w:hint="eastAsia" w:ascii="宋体" w:hAnsi="宋体" w:cs="宋体"/>
          <w:bCs/>
          <w:color w:val="000000"/>
          <w:sz w:val="28"/>
          <w:szCs w:val="28"/>
          <w:highlight w:val="none"/>
        </w:rPr>
        <w:t xml:space="preserve">▲</w:t>
      </w:r>
      <w:r>
        <w:rPr>
          <w:rFonts w:hint="eastAsia" w:ascii="宋体" w:hAnsi="宋体" w:eastAsia="宋体" w:cs="宋体"/>
          <w:color w:val="000000"/>
          <w:sz w:val="24"/>
          <w:szCs w:val="24"/>
          <w:highlight w:val="none"/>
          <w:lang w:eastAsia="zh-CN"/>
        </w:rPr>
        <w:t xml:space="preserve">安防监测：投标人应为采购人租赁机房区域部署高清视频监控系统，实现对所有通道、区域、设备的监控，且监控区域无死角。视频监控数据应至少保存90天且供采购人随时调阅查看。机房楼、机房房间等区域的门禁、视频监控等需符合信息安全等级保护三级、商用密码应用安全性评估三级认证要求，并且在服务期内需保障机房环境硬件在等保、密评三级认证有效期内。如相关设备无认证或认证过期，需</w:t>
      </w:r>
      <w:r>
        <w:rPr>
          <w:rFonts w:hint="eastAsia" w:ascii="宋体" w:hAnsi="宋体" w:eastAsia="宋体" w:cs="宋体"/>
          <w:color w:val="000000"/>
          <w:sz w:val="24"/>
          <w:szCs w:val="24"/>
          <w:highlight w:val="none"/>
          <w:lang w:val="en-US" w:eastAsia="zh-CN"/>
        </w:rPr>
        <w:t xml:space="preserve">在投标文件中</w:t>
      </w:r>
      <w:r>
        <w:rPr>
          <w:rFonts w:hint="eastAsia" w:ascii="宋体" w:hAnsi="宋体" w:eastAsia="宋体" w:cs="宋体"/>
          <w:color w:val="000000"/>
          <w:sz w:val="24"/>
          <w:szCs w:val="24"/>
          <w:highlight w:val="none"/>
          <w:lang w:eastAsia="zh-CN"/>
        </w:rPr>
        <w:t xml:space="preserve">提供6个月内取得硬件改造的保证函（</w:t>
      </w:r>
      <w:r>
        <w:rPr>
          <w:rFonts w:hint="eastAsia" w:ascii="宋体" w:hAnsi="宋体" w:eastAsia="宋体" w:cs="宋体"/>
          <w:b/>
          <w:bCs/>
          <w:color w:val="000000"/>
          <w:sz w:val="24"/>
          <w:szCs w:val="24"/>
          <w:highlight w:val="none"/>
          <w:lang w:val="en-US" w:eastAsia="zh-CN"/>
        </w:rPr>
        <w:t xml:space="preserve">保证函格式自拟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10）设备及环境系统监测：投标人向采购人租赁机房区域提供包括供变配电、UPS、电池、空调及新风系统的设备系统监测服务、运行区温湿度及漏水监测、末端配电监测。</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11）投标人应向采购人告知值班基础设施管理员、保安人员的职责，并公布值班电话。</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12）投标人在进行重大变更时，应提前至少20个工作日通过书面方式通知可能受到影响的采购人。</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13）投标人应至少每半年一次向采购人提供服务报告，包括监控及巡检、日常维护、应急处理工作等。</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lang w:eastAsia="zh-CN"/>
        </w:rPr>
        <w:t xml:space="preserve">工作场地要求：投标人应在提供的机房楼内提供独立最少2个设备存储间和1个办公房间，达到可以存储备品备件和3人办公的场地要求，设备间需具备货架、办公房间需具备基础办公桌椅等基础资源。</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15）采购人可远程调阅租赁机柜所在区域的相关监控，投标人投标文件中提供相关承诺函（</w:t>
      </w:r>
      <w:r>
        <w:rPr>
          <w:rFonts w:hint="eastAsia" w:ascii="宋体" w:hAnsi="宋体" w:eastAsia="宋体" w:cs="宋体"/>
          <w:b/>
          <w:bCs/>
          <w:color w:val="000000"/>
          <w:sz w:val="24"/>
          <w:szCs w:val="24"/>
          <w:highlight w:val="none"/>
          <w:lang w:val="en-US" w:eastAsia="zh-CN"/>
        </w:rPr>
        <w:t xml:space="preserve">承诺函格式自拟</w:t>
      </w:r>
      <w:r>
        <w:rPr>
          <w:rFonts w:hint="eastAsia" w:ascii="宋体" w:hAnsi="宋体" w:eastAsia="宋体" w:cs="宋体"/>
          <w:color w:val="000000"/>
          <w:sz w:val="24"/>
          <w:szCs w:val="24"/>
          <w:highlight w:val="none"/>
          <w:lang w:val="en-US" w:eastAsia="zh-CN"/>
        </w:rPr>
        <w:t xml:space="preserve">），费用包含在投标报价中。</w:t>
      </w:r>
      <w:r>
        <w:rPr>
          <w:rFonts w:hint="eastAsia" w:ascii="宋体" w:hAnsi="宋体" w:eastAsia="宋体" w:cs="宋体"/>
          <w:color w:val="000000"/>
          <w:sz w:val="24"/>
          <w:szCs w:val="24"/>
          <w:highlight w:val="none"/>
          <w:lang w:eastAsia="zh-CN"/>
        </w:rPr>
      </w:r>
      <w:r/>
    </w:p>
    <w:p>
      <w:pPr>
        <w:pStyle w:val="779"/>
        <w:ind w:firstLine="562"/>
        <w:jc w:val="both"/>
        <w:spacing w:after="0"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4.</w:t>
      </w:r>
      <w:r>
        <w:rPr>
          <w:rFonts w:hint="eastAsia" w:ascii="宋体" w:hAnsi="宋体" w:cs="宋体"/>
          <w:b/>
          <w:color w:val="000000"/>
          <w:sz w:val="28"/>
          <w:szCs w:val="28"/>
          <w:highlight w:val="none"/>
        </w:rPr>
        <w:t xml:space="preserve">★</w:t>
      </w:r>
      <w:r>
        <w:rPr>
          <w:rFonts w:hint="eastAsia" w:ascii="宋体" w:hAnsi="宋体" w:eastAsia="宋体" w:cs="宋体"/>
          <w:b/>
          <w:bCs/>
          <w:color w:val="000000"/>
          <w:sz w:val="24"/>
          <w:szCs w:val="24"/>
          <w:highlight w:val="none"/>
          <w:lang w:eastAsia="zh-CN"/>
        </w:rPr>
        <w:t xml:space="preserve">业务迁移保障要求</w:t>
      </w:r>
      <w:r>
        <w:rPr>
          <w:rFonts w:hint="eastAsia" w:ascii="宋体" w:hAnsi="宋体" w:eastAsia="宋体" w:cs="宋体"/>
          <w:b/>
          <w:bCs/>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如中标人提供的机房非采购人现所处的机房，由中标人免费提供搬迁服务，搬迁期间需保证采购人的网络、业务系统不关停，搬迁过程中所需要的软件、硬件及其他各项投入由中标人提供（入公安专网后硬盘不返还），因此产生的各项费用由中标人承担。</w:t>
      </w:r>
      <w:r>
        <w:rPr>
          <w:rFonts w:hint="eastAsia" w:ascii="宋体" w:hAnsi="宋体" w:eastAsia="宋体" w:cs="宋体"/>
          <w:color w:val="000000"/>
          <w:sz w:val="24"/>
          <w:szCs w:val="24"/>
          <w:highlight w:val="none"/>
          <w:lang w:eastAsia="zh-CN"/>
        </w:rPr>
      </w:r>
      <w:r/>
    </w:p>
    <w:p>
      <w:pPr>
        <w:pStyle w:val="779"/>
        <w:ind w:firstLine="560"/>
        <w:spacing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中标单位提供的机柜如不在采购单位现使用机房的，中标单位需在</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个工作日内向采购单位提供搬迁方案，由采购单位组织本单位机房使用部门进行搬迁方案论证，搬迁方案核通过后双方签订机柜租赁合同；如中标单位</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个工作日内无法提供搬迁方案或搬迁方案论证不通过，采购人有权取消其中标资格。</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2）协助采购人完成设备的迁移；</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3）配合完成设备的上架工作，提供上架所需的相关配件（光纤、挡板、电源线）等；</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4）配合完成业务系统的迁移调试，至业务正常运行；</w:t>
      </w:r>
      <w:r>
        <w:rPr>
          <w:rFonts w:hint="eastAsia" w:ascii="宋体" w:hAnsi="宋体" w:eastAsia="宋体" w:cs="宋体"/>
          <w:color w:val="000000"/>
          <w:sz w:val="24"/>
          <w:szCs w:val="24"/>
          <w:highlight w:val="none"/>
          <w:lang w:eastAsia="zh-CN"/>
        </w:rPr>
      </w:r>
      <w:r/>
    </w:p>
    <w:p>
      <w:pPr>
        <w:pStyle w:val="779"/>
        <w:ind w:firstLine="562"/>
        <w:jc w:val="both"/>
        <w:spacing w:after="0" w:line="360" w:lineRule="auto"/>
        <w:rPr>
          <w:rFonts w:hint="eastAsia" w:ascii="宋体" w:hAnsi="宋体" w:eastAsia="宋体" w:cs="宋体"/>
          <w:b/>
          <w:bCs/>
          <w:color w:val="000000"/>
          <w:sz w:val="24"/>
          <w:szCs w:val="24"/>
          <w:highlight w:val="none"/>
          <w:lang w:eastAsia="zh-CN"/>
        </w:rPr>
        <w:outlineLvl w:val="2"/>
      </w:pPr>
      <w:r>
        <w:rPr>
          <w:rFonts w:hint="eastAsia" w:ascii="宋体" w:hAnsi="宋体" w:eastAsia="宋体" w:cs="宋体"/>
          <w:b/>
          <w:bCs/>
          <w:color w:val="000000"/>
          <w:sz w:val="24"/>
          <w:szCs w:val="24"/>
          <w:highlight w:val="none"/>
          <w:lang w:eastAsia="zh-CN"/>
        </w:rPr>
        <w:t xml:space="preserve">5.</w:t>
      </w:r>
      <w:r>
        <w:rPr>
          <w:rFonts w:hint="eastAsia" w:ascii="宋体" w:hAnsi="宋体" w:cs="宋体"/>
          <w:b/>
          <w:color w:val="000000"/>
          <w:sz w:val="28"/>
          <w:szCs w:val="28"/>
          <w:highlight w:val="none"/>
        </w:rPr>
        <w:t xml:space="preserve">★</w:t>
      </w:r>
      <w:r>
        <w:rPr>
          <w:rFonts w:hint="eastAsia" w:ascii="宋体" w:hAnsi="宋体" w:eastAsia="宋体" w:cs="宋体"/>
          <w:b/>
          <w:bCs/>
          <w:color w:val="000000"/>
          <w:sz w:val="24"/>
          <w:szCs w:val="24"/>
          <w:highlight w:val="none"/>
          <w:lang w:eastAsia="zh-CN"/>
        </w:rPr>
        <w:t xml:space="preserve">机房传输要求</w:t>
      </w:r>
      <w:r>
        <w:rPr>
          <w:rFonts w:hint="eastAsia" w:ascii="宋体" w:hAnsi="宋体" w:eastAsia="宋体" w:cs="宋体"/>
          <w:b/>
          <w:bCs/>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中标人应在合同期限内提供2条（2芯/条）裸光纤组网服务，需从中标人机房至徐州市公安局核心机房，交付期为合同签订之日前具备使用条件（即：完成所需光缆的敷设安装与链路测试），服务期限与机柜租用时间一致。</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2)中标人应在合同期限内提供2条百兆互联网专线宽带(固定IP地址)，交付期为合同签订之日前具备使用条件，服务期限与机柜租用时间一致。</w:t>
      </w:r>
      <w:r>
        <w:rPr>
          <w:rFonts w:hint="eastAsia" w:ascii="宋体" w:hAnsi="宋体" w:eastAsia="宋体" w:cs="宋体"/>
          <w:color w:val="000000"/>
          <w:sz w:val="24"/>
          <w:szCs w:val="24"/>
          <w:highlight w:val="none"/>
          <w:lang w:val="en-US" w:eastAsia="zh-CN"/>
        </w:rPr>
      </w:r>
      <w:r/>
    </w:p>
    <w:p>
      <w:pPr>
        <w:pStyle w:val="779"/>
        <w:ind w:firstLine="562"/>
        <w:jc w:val="both"/>
        <w:keepLines w:val="0"/>
        <w:keepNext w:val="0"/>
        <w:pageBreakBefore w:val="0"/>
        <w:spacing w:line="360" w:lineRule="auto"/>
        <w:widowControl w:val="off"/>
        <w:rPr>
          <w:rFonts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6.★设备迁移保障要求</w:t>
      </w:r>
      <w:r>
        <w:rPr>
          <w:rFonts w:ascii="宋体" w:hAnsi="宋体" w:eastAsia="宋体" w:cs="宋体"/>
          <w:b/>
          <w:color w:val="000000"/>
          <w:sz w:val="24"/>
          <w:szCs w:val="24"/>
          <w:highlight w:val="none"/>
          <w:lang w:val="en-US" w:eastAsia="zh-CN" w:bidi="ar-SA"/>
        </w:rPr>
      </w:r>
      <w:r/>
    </w:p>
    <w:p>
      <w:pPr>
        <w:pStyle w:val="779"/>
        <w:ind w:firstLine="560"/>
        <w:jc w:val="both"/>
        <w:keepLines w:val="0"/>
        <w:keepNext w:val="0"/>
        <w:pageBreakBefore w:val="0"/>
        <w:spacing w:line="360" w:lineRule="auto"/>
        <w:widowControl w:val="off"/>
        <w:rPr>
          <w:rFonts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搬迁期间需保证采购单位的网络、业务系统不关停，搬迁过程中所需要的软件、硬件及其他各项投入由中标单位提供（入公安专网后硬盘不返还），因此产生的各项费用和软硬件损坏均由中标单位承担。如中标单位无法按照要求进行搬迁，采购人有权终止合同并重新采购，在新中标人提供机柜租赁服务前产生的机房租赁服务费用由本项目中标人承担。</w:t>
      </w:r>
      <w:r>
        <w:rPr>
          <w:rFonts w:ascii="宋体" w:hAnsi="宋体" w:eastAsia="宋体" w:cs="宋体"/>
          <w:bCs/>
          <w:color w:val="000000"/>
          <w:sz w:val="24"/>
          <w:szCs w:val="24"/>
          <w:highlight w:val="none"/>
          <w:lang w:val="en-US" w:eastAsia="zh-CN" w:bidi="ar-SA"/>
        </w:rPr>
      </w:r>
      <w:r/>
    </w:p>
    <w:p>
      <w:pPr>
        <w:pStyle w:val="779"/>
        <w:ind w:firstLine="562"/>
        <w:jc w:val="both"/>
        <w:keepLines w:val="0"/>
        <w:keepNext w:val="0"/>
        <w:pageBreakBefore w:val="0"/>
        <w:spacing w:line="360" w:lineRule="auto"/>
        <w:widowControl w:val="off"/>
        <w:rPr>
          <w:rFonts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7.★线路保障要求</w:t>
      </w:r>
      <w:r>
        <w:rPr>
          <w:rFonts w:ascii="宋体" w:hAnsi="宋体" w:eastAsia="宋体" w:cs="宋体"/>
          <w:b/>
          <w:color w:val="000000"/>
          <w:sz w:val="24"/>
          <w:szCs w:val="24"/>
          <w:highlight w:val="none"/>
          <w:lang w:val="en-US" w:eastAsia="zh-CN" w:bidi="ar-SA"/>
        </w:rPr>
      </w:r>
      <w:r/>
    </w:p>
    <w:p>
      <w:pPr>
        <w:pStyle w:val="779"/>
        <w:ind w:firstLine="560"/>
        <w:jc w:val="both"/>
        <w:keepLines w:val="0"/>
        <w:keepNext w:val="0"/>
        <w:pageBreakBefore w:val="0"/>
        <w:spacing w:line="360" w:lineRule="auto"/>
        <w:widowControl w:val="off"/>
        <w:rPr>
          <w:rFonts w:hint="eastAsia"/>
          <w:color w:val="000000"/>
          <w:highlight w:val="none"/>
          <w:lang w:val="en-US" w:eastAsia="zh-CN"/>
        </w:rPr>
      </w:pPr>
      <w:r>
        <w:rPr>
          <w:rFonts w:hint="eastAsia" w:ascii="宋体" w:hAnsi="宋体" w:eastAsia="宋体" w:cs="宋体"/>
          <w:bCs/>
          <w:color w:val="000000"/>
          <w:sz w:val="24"/>
          <w:szCs w:val="24"/>
          <w:highlight w:val="none"/>
          <w:lang w:val="en-US" w:eastAsia="zh-CN" w:bidi="ar-SA"/>
        </w:rPr>
        <w:t xml:space="preserve">如中标人的主备机房内提供的机柜分布于不同房间，机房房间的链路由中标人按照采购人需求免费提供；中标人需根据采购人的需求免费提供机房与市公安局（太行路9号）间的链路。</w:t>
      </w:r>
      <w:r>
        <w:rPr>
          <w:rFonts w:hint="eastAsia"/>
          <w:color w:val="000000"/>
          <w:highlight w:val="none"/>
          <w:lang w:val="en-US" w:eastAsia="zh-CN"/>
        </w:rPr>
      </w:r>
      <w:r/>
    </w:p>
    <w:p>
      <w:pPr>
        <w:pStyle w:val="779"/>
        <w:ind w:firstLine="562"/>
        <w:jc w:val="both"/>
        <w:spacing w:after="0"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五、售后服务要求</w:t>
      </w:r>
      <w:r>
        <w:rPr>
          <w:rFonts w:hint="eastAsia" w:ascii="宋体" w:hAnsi="宋体" w:eastAsia="宋体" w:cs="宋体"/>
          <w:b/>
          <w:bCs/>
          <w:color w:val="000000"/>
          <w:sz w:val="24"/>
          <w:szCs w:val="24"/>
          <w:highlight w:val="none"/>
          <w:lang w:eastAsia="zh-CN"/>
        </w:rPr>
      </w:r>
      <w:r/>
    </w:p>
    <w:p>
      <w:pPr>
        <w:pStyle w:val="779"/>
        <w:ind w:firstLine="562"/>
        <w:jc w:val="both"/>
        <w:spacing w:after="0"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1.技术支持与服务要求</w:t>
      </w:r>
      <w:r>
        <w:rPr>
          <w:rFonts w:hint="eastAsia" w:ascii="宋体" w:hAnsi="宋体" w:eastAsia="宋体" w:cs="宋体"/>
          <w:b/>
          <w:bCs/>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1.1 投标人提供的服务应不少于合同期。在合同期内，如采购人要求对机房基础设施进行改造或者扩展机房使用面积，投标人应向采购人提供机房设计与改造服务以及技术支持。投标人提供的机房服务应保证项目单位使用项目机房及网络通信线路安全可用。</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1.2 因机房设计中未考虑到因素引起的问题，均由投标人负责解决，采购人不提供任何补偿，如有必须使用且未提及项，视为免费提供。</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1.3 投标人保证在机房施工完成后提供完整、详细、准确的建设资料、管理维护手册等必须提供的项目文档。</w:t>
      </w:r>
      <w:r>
        <w:rPr>
          <w:rFonts w:hint="eastAsia" w:ascii="宋体" w:hAnsi="宋体" w:eastAsia="宋体" w:cs="宋体"/>
          <w:color w:val="000000"/>
          <w:sz w:val="24"/>
          <w:szCs w:val="24"/>
          <w:highlight w:val="none"/>
          <w:lang w:eastAsia="zh-CN"/>
        </w:rPr>
      </w:r>
      <w:r/>
    </w:p>
    <w:p>
      <w:pPr>
        <w:pStyle w:val="779"/>
        <w:ind w:firstLine="562"/>
        <w:jc w:val="both"/>
        <w:spacing w:after="0"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2.服务响应时间要求</w:t>
      </w:r>
      <w:r>
        <w:rPr>
          <w:rFonts w:hint="eastAsia" w:ascii="宋体" w:hAnsi="宋体" w:eastAsia="宋体" w:cs="宋体"/>
          <w:b/>
          <w:bCs/>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2.1 投标人应提供7×24小时服务热线，实时响应采购人的服务要求。</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2.2 对于紧急事件，投标人应在5分钟内做出实质性响应，响应到达时间</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lang w:eastAsia="zh-CN"/>
        </w:rPr>
        <w:t xml:space="preserve">45分钟内，并在2小时内解决问题，并向采购人提交处理报告。紧急事件包括但不限于：</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A、任何设备出现非计划掉电的事件。</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B、任何强弱电线路出现非计划中断的事件。</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eastAsia="zh-CN"/>
        </w:rPr>
        <w:t xml:space="preserve">对于一般性事件，投标人应在5分钟内做出实质性响应，并在8小时内解决问题。一般性事件包括但不限于：</w:t>
      </w:r>
      <w:r>
        <w:rPr>
          <w:rFonts w:hint="eastAsia" w:ascii="宋体" w:hAnsi="宋体" w:eastAsia="宋体" w:cs="宋体"/>
          <w:b/>
          <w:bCs/>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A、机房供配电系统出现故障，影响机房供电安全的事件。</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B、机房空调系统出现故障，影响机房温湿度的事件。</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C、机房门禁系统出现故障，影响机房出入安全的事件。</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D、机房消防系统出现故障，影响机房安全的事件。</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E、机房安防系统出现故障，影响机房安全的事件。</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F、机房环境监控系统出现的故障，对运行造成隐患的事件。</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G、机房内出现设备或物品丢失。</w:t>
      </w:r>
      <w:r>
        <w:rPr>
          <w:rFonts w:hint="eastAsia" w:ascii="宋体" w:hAnsi="宋体" w:eastAsia="宋体" w:cs="宋体"/>
          <w:color w:val="000000"/>
          <w:sz w:val="24"/>
          <w:szCs w:val="24"/>
          <w:highlight w:val="none"/>
          <w:lang w:eastAsia="zh-CN"/>
        </w:rPr>
      </w:r>
      <w:r/>
    </w:p>
    <w:p>
      <w:pPr>
        <w:pStyle w:val="779"/>
        <w:ind w:firstLine="562"/>
        <w:jc w:val="both"/>
        <w:spacing w:after="0"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lang w:eastAsia="zh-CN"/>
        </w:rPr>
        <w:t xml:space="preserve">.服务团队人员要求</w:t>
      </w:r>
      <w:r>
        <w:rPr>
          <w:rFonts w:hint="eastAsia" w:ascii="宋体" w:hAnsi="宋体" w:eastAsia="宋体" w:cs="宋体"/>
          <w:b/>
          <w:bCs/>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4.1</w:t>
      </w:r>
      <w:r>
        <w:rPr>
          <w:rFonts w:hint="eastAsia" w:ascii="宋体" w:hAnsi="宋体" w:eastAsia="宋体" w:cs="宋体"/>
          <w:color w:val="000000"/>
          <w:sz w:val="24"/>
          <w:szCs w:val="24"/>
          <w:highlight w:val="none"/>
          <w:lang w:eastAsia="zh-CN"/>
        </w:rPr>
        <w:t xml:space="preserve">投标人应组建专业的运维服务团队或与专业的运维管理公司签订运维管理合同，负责为本项目提供全部服务支持，投标人应在投标文件中详细描述运维服务团队的组织架构、职责分工、人员情况等，需提供相关合同、社保信息。</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4.2</w:t>
      </w:r>
      <w:r>
        <w:rPr>
          <w:rFonts w:hint="eastAsia" w:ascii="宋体" w:hAnsi="宋体" w:eastAsia="宋体" w:cs="宋体"/>
          <w:color w:val="000000"/>
          <w:sz w:val="24"/>
          <w:szCs w:val="24"/>
          <w:highlight w:val="none"/>
          <w:lang w:eastAsia="zh-CN"/>
        </w:rPr>
        <w:t xml:space="preserve">投标人应指定人员作为运维服务的联络人，负责与采购人之间的信息传递、反馈、沟通及投标人内部资源的协调。</w:t>
      </w:r>
      <w:r>
        <w:rPr>
          <w:rFonts w:hint="eastAsia" w:ascii="宋体" w:hAnsi="宋体" w:eastAsia="宋体" w:cs="宋体"/>
          <w:color w:val="000000"/>
          <w:sz w:val="24"/>
          <w:szCs w:val="24"/>
          <w:highlight w:val="none"/>
          <w:lang w:eastAsia="zh-CN"/>
        </w:rPr>
      </w:r>
      <w:r/>
    </w:p>
    <w:p>
      <w:pPr>
        <w:pStyle w:val="779"/>
        <w:ind w:firstLine="562"/>
        <w:jc w:val="both"/>
        <w:spacing w:after="0"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eastAsia="zh-CN"/>
        </w:rPr>
        <w:t xml:space="preserve">.服务水平管理要求</w:t>
      </w:r>
      <w:r>
        <w:rPr>
          <w:rFonts w:hint="eastAsia" w:ascii="宋体" w:hAnsi="宋体" w:eastAsia="宋体" w:cs="宋体"/>
          <w:b/>
          <w:bCs/>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5.1</w:t>
      </w:r>
      <w:r>
        <w:rPr>
          <w:rFonts w:hint="eastAsia" w:ascii="宋体" w:hAnsi="宋体" w:eastAsia="宋体" w:cs="宋体"/>
          <w:color w:val="000000"/>
          <w:sz w:val="24"/>
          <w:szCs w:val="24"/>
          <w:highlight w:val="none"/>
          <w:lang w:eastAsia="zh-CN"/>
        </w:rPr>
        <w:t xml:space="preserve">采购人有权按合同约定的服务内容，随时对投标人所提供的服务情况进行监控和检查。</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5.2</w:t>
      </w:r>
      <w:r>
        <w:rPr>
          <w:rFonts w:hint="eastAsia" w:ascii="宋体" w:hAnsi="宋体" w:eastAsia="宋体" w:cs="宋体"/>
          <w:color w:val="000000"/>
          <w:sz w:val="24"/>
          <w:szCs w:val="24"/>
          <w:highlight w:val="none"/>
          <w:lang w:eastAsia="zh-CN"/>
        </w:rPr>
        <w:t xml:space="preserve">投标人应负责服务改进计划和具体措施跟踪落实，并提交相关报告。</w:t>
      </w:r>
      <w:r>
        <w:rPr>
          <w:rFonts w:hint="eastAsia" w:ascii="宋体" w:hAnsi="宋体" w:eastAsia="宋体" w:cs="宋体"/>
          <w:color w:val="000000"/>
          <w:sz w:val="24"/>
          <w:szCs w:val="24"/>
          <w:highlight w:val="none"/>
          <w:lang w:eastAsia="zh-CN"/>
        </w:rPr>
      </w:r>
      <w:r/>
    </w:p>
    <w:p>
      <w:pPr>
        <w:pStyle w:val="779"/>
        <w:ind w:firstLine="560"/>
        <w:jc w:val="both"/>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5.3</w:t>
      </w:r>
      <w:r>
        <w:rPr>
          <w:rFonts w:hint="eastAsia" w:ascii="宋体" w:hAnsi="宋体" w:eastAsia="宋体" w:cs="宋体"/>
          <w:color w:val="000000"/>
          <w:sz w:val="24"/>
          <w:szCs w:val="24"/>
          <w:highlight w:val="none"/>
          <w:lang w:eastAsia="zh-CN"/>
        </w:rPr>
        <w:t xml:space="preserve">运维服务考核。考核内容包括日常维护及巡检工作、故障处理效率、维护资料管理、人员管理、服务规范化等方面。对故障处理超时，视影响情况给予扣除部分租金的处罚。</w:t>
      </w:r>
      <w:r>
        <w:rPr>
          <w:rFonts w:hint="eastAsia" w:ascii="宋体" w:hAnsi="宋体" w:eastAsia="宋体" w:cs="宋体"/>
          <w:color w:val="000000"/>
          <w:sz w:val="24"/>
          <w:szCs w:val="24"/>
          <w:highlight w:val="none"/>
          <w:lang w:eastAsia="zh-CN"/>
        </w:rPr>
      </w:r>
      <w:r/>
    </w:p>
    <w:p>
      <w:pPr>
        <w:pStyle w:val="779"/>
        <w:ind w:firstLine="562"/>
        <w:jc w:val="both"/>
        <w:spacing w:after="0"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lang w:eastAsia="zh-CN"/>
        </w:rPr>
        <w:t xml:space="preserve">.▲其他：（</w:t>
      </w:r>
      <w:r>
        <w:rPr>
          <w:rFonts w:hint="eastAsia" w:ascii="宋体" w:hAnsi="宋体" w:eastAsia="宋体" w:cs="宋体"/>
          <w:b/>
          <w:bCs/>
          <w:color w:val="000000"/>
          <w:sz w:val="24"/>
          <w:szCs w:val="24"/>
          <w:highlight w:val="none"/>
          <w:lang w:val="en-US" w:eastAsia="zh-CN"/>
        </w:rPr>
        <w:t xml:space="preserve">承诺书格式自拟</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779"/>
        <w:ind w:firstLine="562"/>
        <w:jc w:val="both"/>
        <w:spacing w:after="0"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6.1</w:t>
      </w:r>
      <w:r>
        <w:rPr>
          <w:rFonts w:hint="eastAsia" w:ascii="宋体" w:hAnsi="宋体" w:eastAsia="宋体" w:cs="宋体"/>
          <w:b w:val="0"/>
          <w:bCs w:val="0"/>
          <w:color w:val="000000"/>
          <w:sz w:val="24"/>
          <w:szCs w:val="24"/>
          <w:highlight w:val="none"/>
          <w:lang w:eastAsia="zh-CN"/>
        </w:rPr>
        <w:t xml:space="preserve">投标人须承诺为采购人预留</w:t>
      </w:r>
      <w:r>
        <w:rPr>
          <w:rFonts w:hint="eastAsia" w:ascii="宋体" w:hAnsi="宋体" w:eastAsia="宋体" w:cs="宋体"/>
          <w:b w:val="0"/>
          <w:bCs w:val="0"/>
          <w:color w:val="000000"/>
          <w:sz w:val="24"/>
          <w:szCs w:val="24"/>
          <w:highlight w:val="none"/>
          <w:lang w:val="en-US" w:eastAsia="zh-CN"/>
        </w:rPr>
        <w:t xml:space="preserve">20</w:t>
      </w:r>
      <w:r>
        <w:rPr>
          <w:rFonts w:hint="eastAsia" w:ascii="宋体" w:hAnsi="宋体" w:eastAsia="宋体" w:cs="宋体"/>
          <w:b w:val="0"/>
          <w:bCs w:val="0"/>
          <w:color w:val="000000"/>
          <w:sz w:val="24"/>
          <w:szCs w:val="24"/>
          <w:highlight w:val="none"/>
          <w:lang w:eastAsia="zh-CN"/>
        </w:rPr>
        <w:t xml:space="preserve">个机柜（同本次技术需求规格），各项要求与招标文件一致，为期一年；投标人须承诺</w:t>
      </w:r>
      <w:r>
        <w:rPr>
          <w:rFonts w:hint="eastAsia" w:ascii="宋体" w:hAnsi="宋体" w:eastAsia="宋体" w:cs="宋体"/>
          <w:b w:val="0"/>
          <w:bCs w:val="0"/>
          <w:color w:val="000000"/>
          <w:sz w:val="24"/>
          <w:szCs w:val="24"/>
          <w:highlight w:val="none"/>
          <w:lang w:val="en-US" w:eastAsia="zh-CN"/>
        </w:rPr>
        <w:t xml:space="preserve">一</w:t>
      </w:r>
      <w:r>
        <w:rPr>
          <w:rFonts w:hint="eastAsia" w:ascii="宋体" w:hAnsi="宋体" w:eastAsia="宋体" w:cs="宋体"/>
          <w:b w:val="0"/>
          <w:bCs w:val="0"/>
          <w:color w:val="000000"/>
          <w:sz w:val="24"/>
          <w:szCs w:val="24"/>
          <w:highlight w:val="none"/>
          <w:lang w:eastAsia="zh-CN"/>
        </w:rPr>
        <w:t xml:space="preserve">年内若采购人进行机柜扩容，扩容的单台机柜租赁价不得高于本次投标的单台机柜当年租赁报价；</w:t>
      </w:r>
      <w:r>
        <w:rPr>
          <w:rFonts w:hint="eastAsia" w:ascii="宋体" w:hAnsi="宋体" w:eastAsia="宋体" w:cs="宋体"/>
          <w:b w:val="0"/>
          <w:bCs w:val="0"/>
          <w:color w:val="000000"/>
          <w:sz w:val="24"/>
          <w:szCs w:val="24"/>
          <w:highlight w:val="none"/>
          <w:lang w:eastAsia="zh-CN"/>
        </w:rPr>
      </w:r>
      <w:r/>
    </w:p>
    <w:p>
      <w:pPr>
        <w:pStyle w:val="779"/>
        <w:ind w:firstLine="562"/>
        <w:jc w:val="both"/>
        <w:spacing w:after="0"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6.2</w:t>
      </w:r>
      <w:r>
        <w:rPr>
          <w:rFonts w:hint="eastAsia" w:ascii="宋体" w:hAnsi="宋体" w:eastAsia="宋体" w:cs="宋体"/>
          <w:b w:val="0"/>
          <w:bCs w:val="0"/>
          <w:color w:val="000000"/>
          <w:sz w:val="24"/>
          <w:szCs w:val="24"/>
          <w:highlight w:val="none"/>
          <w:lang w:eastAsia="zh-CN"/>
        </w:rPr>
        <w:t xml:space="preserve">投标人须承诺每年至少配合2次应急演练。</w:t>
      </w:r>
      <w:r>
        <w:rPr>
          <w:rFonts w:hint="eastAsia" w:ascii="宋体" w:hAnsi="宋体" w:eastAsia="宋体" w:cs="宋体"/>
          <w:b/>
          <w:bCs/>
          <w:color w:val="000000"/>
          <w:sz w:val="24"/>
          <w:szCs w:val="24"/>
          <w:highlight w:val="none"/>
          <w:lang w:eastAsia="zh-CN"/>
        </w:rPr>
      </w:r>
      <w:r/>
    </w:p>
    <w:p>
      <w:pPr>
        <w:pStyle w:val="779"/>
        <w:ind w:firstLine="562"/>
        <w:jc w:val="both"/>
        <w:spacing w:after="0"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六、其他要求</w:t>
      </w:r>
      <w:r>
        <w:rPr>
          <w:rFonts w:hint="eastAsia" w:ascii="宋体" w:hAnsi="宋体" w:eastAsia="宋体" w:cs="宋体"/>
          <w:b/>
          <w:bCs/>
          <w:color w:val="000000"/>
          <w:sz w:val="24"/>
          <w:szCs w:val="24"/>
          <w:highlight w:val="none"/>
          <w:lang w:eastAsia="zh-CN"/>
        </w:rPr>
      </w:r>
      <w:r/>
    </w:p>
    <w:p>
      <w:pPr>
        <w:pStyle w:val="77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见《招标文件》第五章《拟签订的合同文本》。</w:t>
      </w:r>
      <w:r>
        <w:rPr>
          <w:rFonts w:hint="eastAsia" w:ascii="宋体" w:hAnsi="宋体" w:eastAsia="宋体" w:cs="宋体"/>
          <w:color w:val="000000"/>
          <w:sz w:val="24"/>
          <w:szCs w:val="24"/>
          <w:highlight w:val="none"/>
        </w:rPr>
      </w:r>
      <w:r/>
    </w:p>
    <w:p>
      <w:pPr>
        <w:pStyle w:val="779"/>
        <w:jc w:val="center"/>
        <w:spacing w:line="360" w:lineRule="auto"/>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sectPr>
          <w:headerReference w:type="default" r:id="rId11"/>
          <w:footerReference w:type="default" r:id="rId13"/>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24"/>
          <w:szCs w:val="24"/>
          <w:highlight w:val="none"/>
        </w:rPr>
      </w:r>
      <w:r/>
    </w:p>
    <w:p>
      <w:pPr>
        <w:pStyle w:val="779"/>
        <w:jc w:val="center"/>
        <w:spacing w:line="239"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第七章投标文件相关格式</w:t>
      </w:r>
      <w:r>
        <w:rPr>
          <w:rFonts w:hint="eastAsia" w:ascii="宋体" w:hAnsi="宋体" w:eastAsia="宋体" w:cs="宋体"/>
          <w:color w:val="000000"/>
          <w:sz w:val="28"/>
          <w:szCs w:val="28"/>
          <w:highlight w:val="none"/>
        </w:rPr>
      </w:r>
      <w:r/>
    </w:p>
    <w:p>
      <w:pPr>
        <w:pStyle w:val="779"/>
        <w:ind w:firstLine="640"/>
        <w:jc w:val="center"/>
        <w:spacing w:line="239"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r>
      <w:r/>
    </w:p>
    <w:p>
      <w:pPr>
        <w:pStyle w:val="779"/>
        <w:ind w:firstLine="640"/>
        <w:jc w:val="center"/>
        <w:spacing w:line="360" w:lineRule="auto"/>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一、投标函格式</w:t>
      </w:r>
      <w:r>
        <w:rPr>
          <w:rFonts w:hint="eastAsia" w:ascii="宋体" w:hAnsi="宋体" w:eastAsia="宋体" w:cs="宋体"/>
          <w:b/>
          <w:bCs/>
          <w:color w:val="000000"/>
          <w:sz w:val="32"/>
          <w:szCs w:val="32"/>
          <w:highlight w:val="none"/>
        </w:rPr>
      </w:r>
      <w:r/>
    </w:p>
    <w:p>
      <w:pPr>
        <w:pStyle w:val="779"/>
        <w:spacing w:line="23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致：</w:t>
      </w:r>
      <w:r>
        <w:rPr>
          <w:rFonts w:hint="eastAsia" w:ascii="宋体" w:hAnsi="宋体" w:eastAsia="宋体" w:cs="宋体"/>
          <w:color w:val="000000"/>
          <w:sz w:val="24"/>
          <w:highlight w:val="none"/>
          <w:u w:val="single"/>
          <w:lang w:eastAsia="zh-CN"/>
        </w:rPr>
        <w:t xml:space="preserve">徐州市公安局</w:t>
      </w:r>
      <w:r>
        <w:rPr>
          <w:rFonts w:hint="eastAsia" w:ascii="宋体" w:hAnsi="宋体" w:eastAsia="宋体" w:cs="宋体"/>
          <w:color w:val="000000"/>
          <w:sz w:val="24"/>
          <w:highlight w:val="none"/>
          <w:lang w:eastAsia="zh-CN"/>
        </w:rPr>
      </w:r>
      <w:r/>
    </w:p>
    <w:p>
      <w:pPr>
        <w:pStyle w:val="779"/>
        <w:ind w:firstLine="600"/>
        <w:spacing w:line="23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pStyle w:val="779"/>
        <w:ind w:firstLine="60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根据</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项目[项目编号：</w:t>
      </w:r>
      <w:r>
        <w:rPr>
          <w:rFonts w:hint="eastAsia" w:ascii="宋体" w:hAnsi="宋体" w:eastAsia="宋体" w:cs="宋体"/>
          <w:color w:val="000000"/>
          <w:sz w:val="24"/>
          <w:highlight w:val="none"/>
          <w:lang w:eastAsia="zh-CN"/>
        </w:rPr>
        <w:t xml:space="preserve">JSZC-320300-JSZR-G2026-0084</w:t>
      </w:r>
      <w:r>
        <w:rPr>
          <w:rFonts w:hint="eastAsia" w:ascii="宋体" w:hAnsi="宋体" w:eastAsia="宋体" w:cs="宋体"/>
          <w:color w:val="000000"/>
          <w:sz w:val="24"/>
          <w:highlight w:val="none"/>
        </w:rPr>
        <w:t xml:space="preserve">]招标文件，</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姓名）代表我方</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（投标人的名称）全权处理本次投标的有关事宜。</w:t>
      </w:r>
      <w:r>
        <w:rPr>
          <w:rFonts w:hint="eastAsia" w:ascii="宋体" w:hAnsi="宋体" w:eastAsia="宋体" w:cs="宋体"/>
          <w:color w:val="000000"/>
          <w:sz w:val="24"/>
          <w:highlight w:val="none"/>
        </w:rPr>
      </w:r>
      <w:r/>
    </w:p>
    <w:p>
      <w:pPr>
        <w:pStyle w:val="779"/>
        <w:ind w:firstLine="60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据此函，投标人承诺并同意如下： </w:t>
      </w:r>
      <w:r>
        <w:rPr>
          <w:rFonts w:hint="eastAsia" w:ascii="宋体" w:hAnsi="宋体" w:eastAsia="宋体" w:cs="宋体"/>
          <w:color w:val="000000"/>
          <w:sz w:val="24"/>
          <w:highlight w:val="none"/>
        </w:rPr>
      </w:r>
      <w:r/>
    </w:p>
    <w:p>
      <w:pPr>
        <w:pStyle w:val="779"/>
        <w:ind w:firstLine="60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 投标人唯一投标报价见《开标一览表》。</w:t>
      </w:r>
      <w:r>
        <w:rPr>
          <w:rFonts w:hint="eastAsia" w:ascii="宋体" w:hAnsi="宋体" w:eastAsia="宋体" w:cs="宋体"/>
          <w:color w:val="000000"/>
          <w:sz w:val="24"/>
          <w:highlight w:val="none"/>
        </w:rPr>
      </w:r>
      <w:r/>
    </w:p>
    <w:p>
      <w:pPr>
        <w:pStyle w:val="779"/>
        <w:ind w:firstLine="60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 投标人将按招标文件的规定履行合同责任和义务。</w:t>
      </w:r>
      <w:r>
        <w:rPr>
          <w:rFonts w:hint="eastAsia" w:ascii="宋体" w:hAnsi="宋体" w:eastAsia="宋体" w:cs="宋体"/>
          <w:color w:val="000000"/>
          <w:sz w:val="24"/>
          <w:highlight w:val="none"/>
        </w:rPr>
      </w:r>
      <w:r/>
    </w:p>
    <w:p>
      <w:pPr>
        <w:pStyle w:val="779"/>
        <w:ind w:firstLine="60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 投标人已详细审查全部招标文件，包括第[插入编号] [补遗书][如果有的话]。投标人完全理解并同意放弃对这方面有不明及误解的权力。</w:t>
      </w:r>
      <w:r>
        <w:rPr>
          <w:rFonts w:hint="eastAsia" w:ascii="宋体" w:hAnsi="宋体" w:eastAsia="宋体" w:cs="宋体"/>
          <w:color w:val="000000"/>
          <w:sz w:val="24"/>
          <w:highlight w:val="none"/>
        </w:rPr>
      </w:r>
      <w:r/>
    </w:p>
    <w:p>
      <w:pPr>
        <w:pStyle w:val="779"/>
        <w:ind w:firstLine="60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 投标有效期为开标之日后90天。</w:t>
      </w:r>
      <w:r>
        <w:rPr>
          <w:rFonts w:hint="eastAsia" w:ascii="宋体" w:hAnsi="宋体" w:eastAsia="宋体" w:cs="宋体"/>
          <w:color w:val="000000"/>
          <w:sz w:val="24"/>
          <w:highlight w:val="none"/>
        </w:rPr>
      </w:r>
      <w:r/>
    </w:p>
    <w:p>
      <w:pPr>
        <w:pStyle w:val="779"/>
        <w:ind w:firstLine="60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 投标人同意提供按照贵方可能要求的与其投标有关的一切数据或资料，完全理解贵方不一定接受最低价的投标或收到的任何投标。</w:t>
      </w:r>
      <w:r>
        <w:rPr>
          <w:rFonts w:hint="eastAsia" w:ascii="宋体" w:hAnsi="宋体" w:eastAsia="宋体" w:cs="宋体"/>
          <w:color w:val="000000"/>
          <w:sz w:val="24"/>
          <w:highlight w:val="none"/>
        </w:rPr>
      </w:r>
      <w:r/>
    </w:p>
    <w:p>
      <w:pPr>
        <w:pStyle w:val="779"/>
        <w:ind w:firstLine="60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 投标人同意在授予合同后，按照有关规定支付公证费（如有）。</w:t>
      </w:r>
      <w:r>
        <w:rPr>
          <w:rFonts w:hint="eastAsia" w:ascii="宋体" w:hAnsi="宋体" w:eastAsia="宋体" w:cs="宋体"/>
          <w:color w:val="000000"/>
          <w:sz w:val="24"/>
          <w:highlight w:val="none"/>
        </w:rPr>
      </w:r>
      <w:r/>
    </w:p>
    <w:p>
      <w:pPr>
        <w:pStyle w:val="779"/>
        <w:ind w:right="29" w:firstLine="60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 采购人或采购代理机构有权将我单位本项目的《开标一览表》和《分项价格表》予以公示，公示的方式由江苏中瑞建设项目管理有限公司确定。</w:t>
      </w:r>
      <w:r>
        <w:rPr>
          <w:rFonts w:hint="eastAsia" w:ascii="宋体" w:hAnsi="宋体" w:eastAsia="宋体" w:cs="宋体"/>
          <w:color w:val="000000"/>
          <w:sz w:val="24"/>
          <w:highlight w:val="none"/>
        </w:rPr>
      </w:r>
      <w:r/>
    </w:p>
    <w:p>
      <w:pPr>
        <w:pStyle w:val="779"/>
        <w:ind w:right="29" w:firstLine="60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8.采购人有权对投标人投标文件的真实性进行核实，如投标人不能在采购人规定的时间内向采购人提供有效的证明文件，将被采购人视为放弃中标资格。</w:t>
      </w:r>
      <w:r>
        <w:rPr>
          <w:rFonts w:hint="eastAsia" w:ascii="宋体" w:hAnsi="宋体" w:eastAsia="宋体" w:cs="宋体"/>
          <w:color w:val="000000"/>
          <w:sz w:val="24"/>
          <w:highlight w:val="none"/>
        </w:rPr>
      </w:r>
      <w:r/>
    </w:p>
    <w:p>
      <w:pPr>
        <w:pStyle w:val="779"/>
        <w:ind w:firstLine="60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9.与本投标有关的一切正式往来信函请寄：</w:t>
      </w:r>
      <w:r>
        <w:rPr>
          <w:rFonts w:hint="eastAsia" w:ascii="宋体" w:hAnsi="宋体" w:eastAsia="宋体" w:cs="宋体"/>
          <w:color w:val="000000"/>
          <w:sz w:val="24"/>
          <w:highlight w:val="none"/>
        </w:rPr>
      </w:r>
      <w:r/>
    </w:p>
    <w:p>
      <w:pPr>
        <w:pStyle w:val="779"/>
        <w:ind w:firstLine="120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地址： </w:t>
      </w:r>
      <w:r>
        <w:rPr>
          <w:rFonts w:hint="eastAsia" w:ascii="宋体" w:hAnsi="宋体" w:eastAsia="宋体" w:cs="宋体"/>
          <w:color w:val="000000"/>
          <w:sz w:val="24"/>
          <w:highlight w:val="none"/>
        </w:rPr>
      </w:r>
      <w:r/>
    </w:p>
    <w:p>
      <w:pPr>
        <w:pStyle w:val="779"/>
        <w:ind w:firstLine="120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电话： </w:t>
      </w:r>
      <w:r>
        <w:rPr>
          <w:rFonts w:hint="eastAsia" w:ascii="宋体" w:hAnsi="宋体" w:eastAsia="宋体" w:cs="宋体"/>
          <w:color w:val="000000"/>
          <w:sz w:val="24"/>
          <w:highlight w:val="none"/>
        </w:rPr>
      </w:r>
      <w:r/>
    </w:p>
    <w:p>
      <w:pPr>
        <w:pStyle w:val="779"/>
        <w:ind w:firstLine="120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传真： </w:t>
      </w:r>
      <w:r>
        <w:rPr>
          <w:rFonts w:hint="eastAsia" w:ascii="宋体" w:hAnsi="宋体" w:eastAsia="宋体" w:cs="宋体"/>
          <w:color w:val="000000"/>
          <w:sz w:val="24"/>
          <w:highlight w:val="none"/>
        </w:rPr>
      </w:r>
      <w:r/>
    </w:p>
    <w:p>
      <w:pPr>
        <w:pStyle w:val="779"/>
        <w:ind w:firstLine="2700"/>
        <w:spacing w:line="23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（电子签章）</w:t>
      </w:r>
      <w:r>
        <w:rPr>
          <w:rFonts w:hint="eastAsia" w:ascii="宋体" w:hAnsi="宋体" w:eastAsia="宋体" w:cs="宋体"/>
          <w:color w:val="000000"/>
          <w:sz w:val="24"/>
          <w:highlight w:val="none"/>
        </w:rPr>
      </w:r>
      <w:r/>
    </w:p>
    <w:p>
      <w:pPr>
        <w:pStyle w:val="779"/>
        <w:ind w:firstLine="2700"/>
        <w:spacing w:line="23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pStyle w:val="779"/>
        <w:ind w:firstLine="2700"/>
        <w:spacing w:line="23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779"/>
        <w:ind w:firstLine="640"/>
        <w:jc w:val="center"/>
        <w:spacing w:line="479" w:lineRule="atLeast"/>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二、开标一览表格式</w:t>
      </w:r>
      <w:r>
        <w:rPr>
          <w:rFonts w:hint="eastAsia" w:ascii="宋体" w:hAnsi="宋体" w:eastAsia="宋体" w:cs="宋体"/>
          <w:b/>
          <w:bCs/>
          <w:color w:val="000000"/>
          <w:sz w:val="28"/>
          <w:szCs w:val="28"/>
          <w:highlight w:val="none"/>
        </w:rPr>
      </w:r>
      <w:r/>
    </w:p>
    <w:p>
      <w:pPr>
        <w:pStyle w:val="779"/>
        <w:spacing w:line="47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 </w:t>
      </w:r>
      <w:r>
        <w:rPr>
          <w:rFonts w:hint="eastAsia" w:ascii="宋体" w:hAnsi="宋体" w:eastAsia="宋体" w:cs="宋体"/>
          <w:color w:val="000000"/>
          <w:highlight w:val="none"/>
        </w:rPr>
      </w:r>
      <w:r/>
    </w:p>
    <w:p>
      <w:pPr>
        <w:pStyle w:val="779"/>
        <w:spacing w:line="51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lang w:eastAsia="zh-CN"/>
        </w:rPr>
        <w:t xml:space="preserve">JSZC-320300-JSZR-G2026-0084</w:t>
      </w:r>
      <w:r>
        <w:rPr>
          <w:rFonts w:hint="eastAsia" w:ascii="宋体" w:hAnsi="宋体" w:eastAsia="宋体" w:cs="宋体"/>
          <w:color w:val="000000"/>
          <w:sz w:val="24"/>
          <w:highlight w:val="none"/>
          <w:lang w:eastAsia="zh-CN"/>
        </w:rPr>
      </w:r>
      <w:r/>
    </w:p>
    <w:p>
      <w:pPr>
        <w:pStyle w:val="779"/>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lang w:eastAsia="zh-CN"/>
        </w:rPr>
        <w:t xml:space="preserve">徐州市公安局JZ租用机房机柜</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779"/>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货币单位：人民币</w:t>
      </w:r>
      <w:r>
        <w:rPr>
          <w:rFonts w:hint="eastAsia" w:ascii="宋体" w:hAnsi="宋体" w:eastAsia="宋体" w:cs="宋体"/>
          <w:color w:val="000000"/>
          <w:sz w:val="24"/>
          <w:highlight w:val="none"/>
        </w:rPr>
      </w:r>
      <w:r/>
    </w:p>
    <w:p>
      <w:pPr>
        <w:pStyle w:val="779"/>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79"/>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779"/>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779"/>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779"/>
        <w:rPr>
          <w:rFonts w:hint="eastAsia" w:ascii="宋体" w:hAnsi="宋体" w:eastAsia="宋体" w:cs="宋体"/>
          <w:b/>
          <w:bCs/>
          <w:color w:val="000000"/>
          <w:sz w:val="36"/>
          <w:highlight w:val="none"/>
        </w:rPr>
      </w:pPr>
      <w:r>
        <w:rPr>
          <w:rFonts w:hint="eastAsia" w:ascii="宋体" w:hAnsi="宋体" w:eastAsia="宋体" w:cs="宋体"/>
          <w:b/>
          <w:bCs/>
          <w:color w:val="000000"/>
          <w:sz w:val="24"/>
          <w:highlight w:val="none"/>
        </w:rPr>
        <w:t xml:space="preserve">（政府采购客户端工具输入报价自动生成，加盖电子签章）</w:t>
      </w:r>
      <w:r>
        <w:rPr>
          <w:rFonts w:hint="eastAsia" w:ascii="宋体" w:hAnsi="宋体" w:eastAsia="宋体" w:cs="宋体"/>
          <w:b/>
          <w:bCs/>
          <w:color w:val="000000"/>
          <w:sz w:val="36"/>
          <w:highlight w:val="none"/>
        </w:rPr>
      </w:r>
      <w:r/>
    </w:p>
    <w:p>
      <w:pPr>
        <w:pStyle w:val="779"/>
        <w:spacing w:line="47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pStyle w:val="779"/>
        <w:spacing w:line="47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 </w:t>
      </w:r>
      <w:r>
        <w:rPr>
          <w:rFonts w:hint="eastAsia" w:ascii="宋体" w:hAnsi="宋体" w:eastAsia="宋体" w:cs="宋体"/>
          <w:color w:val="000000"/>
          <w:highlight w:val="none"/>
        </w:rPr>
      </w:r>
      <w:r/>
    </w:p>
    <w:p>
      <w:pPr>
        <w:pStyle w:val="779"/>
        <w:spacing w:line="47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 </w:t>
      </w:r>
      <w:r>
        <w:rPr>
          <w:rFonts w:hint="eastAsia" w:ascii="宋体" w:hAnsi="宋体" w:eastAsia="宋体" w:cs="宋体"/>
          <w:color w:val="000000"/>
          <w:highlight w:val="none"/>
        </w:rPr>
      </w:r>
      <w:r/>
    </w:p>
    <w:p>
      <w:pPr>
        <w:pStyle w:val="779"/>
        <w:spacing w:line="47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 </w:t>
      </w:r>
      <w:r>
        <w:rPr>
          <w:rFonts w:hint="eastAsia" w:ascii="宋体" w:hAnsi="宋体" w:eastAsia="宋体" w:cs="宋体"/>
          <w:color w:val="000000"/>
          <w:highlight w:val="none"/>
        </w:rPr>
      </w:r>
      <w:r/>
    </w:p>
    <w:p>
      <w:pPr>
        <w:pStyle w:val="779"/>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779"/>
        <w:ind w:firstLine="600"/>
        <w:jc w:val="center"/>
        <w:spacing w:line="479" w:lineRule="atLeast"/>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三、分项价格表格式</w:t>
      </w:r>
      <w:r>
        <w:rPr>
          <w:rFonts w:hint="eastAsia" w:ascii="宋体" w:hAnsi="宋体" w:eastAsia="宋体" w:cs="宋体"/>
          <w:b/>
          <w:bCs/>
          <w:color w:val="000000"/>
          <w:sz w:val="28"/>
          <w:szCs w:val="28"/>
          <w:highlight w:val="none"/>
        </w:rPr>
      </w:r>
      <w:r/>
    </w:p>
    <w:p>
      <w:pPr>
        <w:pStyle w:val="779"/>
        <w:ind w:firstLine="600"/>
        <w:spacing w:line="479" w:lineRule="atLeast"/>
        <w:rPr>
          <w:rFonts w:hint="eastAsia" w:ascii="宋体" w:hAnsi="宋体" w:eastAsia="宋体" w:cs="宋体"/>
          <w:color w:val="000000"/>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r>
      <w:r/>
    </w:p>
    <w:p>
      <w:pPr>
        <w:pStyle w:val="779"/>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lang w:eastAsia="zh-CN"/>
        </w:rPr>
        <w:t xml:space="preserve">JSZC-320300-JSZR-G2026-0084</w:t>
      </w:r>
      <w:r>
        <w:rPr>
          <w:rFonts w:hint="eastAsia" w:ascii="宋体" w:hAnsi="宋体" w:eastAsia="宋体" w:cs="宋体"/>
          <w:color w:val="000000"/>
          <w:sz w:val="24"/>
          <w:highlight w:val="none"/>
          <w:lang w:eastAsia="zh-CN"/>
        </w:rPr>
      </w:r>
      <w:r/>
    </w:p>
    <w:p>
      <w:pPr>
        <w:pStyle w:val="779"/>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lang w:eastAsia="zh-CN"/>
        </w:rPr>
        <w:t xml:space="preserve">徐州市公安局JZ租用机房机柜</w:t>
      </w:r>
      <w:r>
        <w:rPr>
          <w:rFonts w:hint="eastAsia" w:ascii="宋体" w:hAnsi="宋体" w:eastAsia="宋体" w:cs="宋体"/>
          <w:color w:val="000000"/>
          <w:sz w:val="24"/>
          <w:highlight w:val="none"/>
          <w:lang w:eastAsia="zh-CN"/>
        </w:rPr>
      </w:r>
      <w:r/>
    </w:p>
    <w:p>
      <w:pPr>
        <w:pStyle w:val="779"/>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货币单位：人民币元</w:t>
      </w:r>
      <w:r>
        <w:rPr>
          <w:rFonts w:hint="eastAsia" w:ascii="宋体" w:hAnsi="宋体" w:eastAsia="宋体" w:cs="宋体"/>
          <w:color w:val="000000"/>
          <w:sz w:val="24"/>
          <w:highlight w:val="none"/>
        </w:rPr>
      </w:r>
      <w:r/>
    </w:p>
    <w:p>
      <w:pPr>
        <w:pStyle w:val="779"/>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79"/>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格式自拟</w:t>
      </w:r>
      <w:r>
        <w:rPr>
          <w:rFonts w:hint="eastAsia" w:ascii="宋体" w:hAnsi="宋体" w:eastAsia="宋体" w:cs="宋体"/>
          <w:b/>
          <w:bCs/>
          <w:color w:val="000000"/>
          <w:sz w:val="32"/>
          <w:szCs w:val="32"/>
          <w:highlight w:val="none"/>
        </w:rPr>
      </w:r>
      <w:r/>
    </w:p>
    <w:p>
      <w:pPr>
        <w:pStyle w:val="779"/>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79"/>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79"/>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79"/>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供应商（电子签章）：</w:t>
      </w:r>
      <w:r>
        <w:rPr>
          <w:rFonts w:hint="eastAsia" w:ascii="宋体" w:hAnsi="宋体" w:eastAsia="宋体" w:cs="宋体"/>
          <w:color w:val="000000"/>
          <w:sz w:val="24"/>
          <w:highlight w:val="none"/>
        </w:rPr>
      </w:r>
      <w:r/>
    </w:p>
    <w:p>
      <w:pPr>
        <w:pStyle w:val="779"/>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日期：</w:t>
      </w:r>
      <w:r>
        <w:rPr>
          <w:rFonts w:hint="eastAsia" w:ascii="宋体" w:hAnsi="宋体" w:eastAsia="宋体" w:cs="宋体"/>
          <w:color w:val="000000"/>
          <w:sz w:val="24"/>
          <w:highlight w:val="none"/>
        </w:rPr>
      </w:r>
      <w:r/>
    </w:p>
    <w:p>
      <w:pPr>
        <w:pStyle w:val="779"/>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79"/>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79"/>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w:t>
      </w:r>
      <w:r>
        <w:rPr>
          <w:rFonts w:hint="eastAsia" w:ascii="宋体" w:hAnsi="宋体" w:eastAsia="宋体" w:cs="宋体"/>
          <w:color w:val="000000"/>
          <w:sz w:val="24"/>
          <w:highlight w:val="none"/>
        </w:rPr>
      </w:r>
      <w:r/>
    </w:p>
    <w:p>
      <w:pPr>
        <w:pStyle w:val="779"/>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1、如果不提供详细分项报价将视为没有实质性响应招标文件。</w:t>
      </w:r>
      <w:r>
        <w:rPr>
          <w:rFonts w:hint="eastAsia" w:ascii="宋体" w:hAnsi="宋体" w:eastAsia="宋体" w:cs="宋体"/>
          <w:color w:val="000000"/>
          <w:sz w:val="24"/>
          <w:highlight w:val="none"/>
        </w:rPr>
      </w:r>
      <w:r/>
    </w:p>
    <w:p>
      <w:pPr>
        <w:pStyle w:val="779"/>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2、投标人对以上数据的真实性负责。</w:t>
      </w:r>
      <w:r>
        <w:rPr>
          <w:rFonts w:hint="eastAsia" w:ascii="宋体" w:hAnsi="宋体" w:eastAsia="宋体" w:cs="宋体"/>
          <w:color w:val="000000"/>
          <w:sz w:val="24"/>
          <w:highlight w:val="none"/>
        </w:rPr>
      </w:r>
      <w:r/>
    </w:p>
    <w:p>
      <w:pPr>
        <w:pStyle w:val="779"/>
        <w:ind w:firstLine="562"/>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采购人或采购代理机构有权将以上内容进行公示。</w:t>
      </w:r>
      <w:r>
        <w:rPr>
          <w:rFonts w:hint="eastAsia" w:ascii="宋体" w:hAnsi="宋体" w:eastAsia="宋体" w:cs="宋体"/>
          <w:b/>
          <w:bCs/>
          <w:color w:val="000000"/>
          <w:sz w:val="24"/>
          <w:highlight w:val="none"/>
        </w:rPr>
      </w:r>
      <w:r/>
    </w:p>
    <w:p>
      <w:pPr>
        <w:pStyle w:val="779"/>
        <w:ind w:firstLine="560"/>
        <w:jc w:val="center"/>
        <w:spacing w:line="47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779"/>
        <w:jc w:val="center"/>
        <w:spacing w:line="479" w:lineRule="atLeast"/>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四、偏离表格式</w:t>
      </w:r>
      <w:r>
        <w:rPr>
          <w:rFonts w:hint="eastAsia" w:ascii="宋体" w:hAnsi="宋体" w:eastAsia="宋体" w:cs="宋体"/>
          <w:b/>
          <w:bCs/>
          <w:color w:val="000000"/>
          <w:sz w:val="28"/>
          <w:szCs w:val="28"/>
          <w:highlight w:val="none"/>
        </w:rPr>
      </w:r>
      <w:r/>
    </w:p>
    <w:p>
      <w:pPr>
        <w:pStyle w:val="779"/>
        <w:spacing w:line="47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lang w:eastAsia="zh-CN"/>
        </w:rPr>
        <w:t xml:space="preserve">JSZC-320300-JSZR-G2026-0084</w:t>
      </w:r>
      <w:r>
        <w:rPr>
          <w:rFonts w:hint="eastAsia" w:ascii="宋体" w:hAnsi="宋体" w:eastAsia="宋体" w:cs="宋体"/>
          <w:color w:val="000000"/>
          <w:sz w:val="24"/>
          <w:highlight w:val="none"/>
          <w:lang w:eastAsia="zh-CN"/>
        </w:rPr>
      </w:r>
      <w:r/>
    </w:p>
    <w:p>
      <w:pPr>
        <w:pStyle w:val="779"/>
        <w:spacing w:line="47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lang w:eastAsia="zh-CN"/>
        </w:rPr>
        <w:t xml:space="preserve">徐州市公安局JZ租用机房机柜</w:t>
      </w:r>
      <w:r>
        <w:rPr>
          <w:rFonts w:hint="eastAsia" w:ascii="宋体" w:hAnsi="宋体" w:eastAsia="宋体" w:cs="宋体"/>
          <w:color w:val="000000"/>
          <w:sz w:val="24"/>
          <w:highlight w:val="none"/>
          <w:lang w:eastAsia="zh-CN"/>
        </w:rPr>
      </w:r>
      <w:r/>
    </w:p>
    <w:p>
      <w:pPr>
        <w:pStyle w:val="779"/>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bl>
      <w:tblPr>
        <w:tblW w:w="9496" w:type="dxa"/>
        <w:tblInd w:w="-5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3"/>
        <w:gridCol w:w="1655"/>
        <w:gridCol w:w="1658"/>
        <w:gridCol w:w="2003"/>
        <w:gridCol w:w="1510"/>
        <w:gridCol w:w="1747"/>
      </w:tblGrid>
      <w:tr>
        <w:trPr>
          <w:trHeight w:val="895"/>
        </w:trPr>
        <w:tc>
          <w:tcPr>
            <w:tcMar>
              <w:left w:w="108" w:type="dxa"/>
              <w:top w:w="0" w:type="dxa"/>
              <w:right w:w="108" w:type="dxa"/>
              <w:bottom w:w="0" w:type="dxa"/>
            </w:tcMar>
            <w:tcW w:w="923" w:type="dxa"/>
            <w:vAlign w:val="center"/>
            <w:textDirection w:val="lrTb"/>
            <w:noWrap w:val="false"/>
          </w:tcPr>
          <w:p>
            <w:pPr>
              <w:pStyle w:val="779"/>
              <w:jc w:val="cente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Mar>
              <w:left w:w="108" w:type="dxa"/>
              <w:top w:w="0" w:type="dxa"/>
              <w:right w:w="108" w:type="dxa"/>
              <w:bottom w:w="0" w:type="dxa"/>
            </w:tcMar>
            <w:tcW w:w="1655" w:type="dxa"/>
            <w:vAlign w:val="center"/>
            <w:textDirection w:val="lrTb"/>
            <w:noWrap w:val="false"/>
          </w:tcPr>
          <w:p>
            <w:pPr>
              <w:pStyle w:val="779"/>
              <w:jc w:val="cente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偏离内容</w:t>
            </w:r>
            <w:r>
              <w:rPr>
                <w:rFonts w:hint="eastAsia" w:ascii="宋体" w:hAnsi="宋体" w:eastAsia="宋体" w:cs="宋体"/>
                <w:color w:val="000000"/>
                <w:sz w:val="24"/>
                <w:highlight w:val="none"/>
              </w:rPr>
            </w:r>
            <w:r/>
          </w:p>
        </w:tc>
        <w:tc>
          <w:tcPr>
            <w:tcMar>
              <w:left w:w="108" w:type="dxa"/>
              <w:top w:w="0" w:type="dxa"/>
              <w:right w:w="108" w:type="dxa"/>
              <w:bottom w:w="0" w:type="dxa"/>
            </w:tcMar>
            <w:tcW w:w="1658" w:type="dxa"/>
            <w:vAlign w:val="center"/>
            <w:textDirection w:val="lrTb"/>
            <w:noWrap w:val="false"/>
          </w:tcPr>
          <w:p>
            <w:pPr>
              <w:pStyle w:val="779"/>
              <w:jc w:val="cente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招标文件的要求</w:t>
            </w:r>
            <w:r>
              <w:rPr>
                <w:rFonts w:hint="eastAsia" w:ascii="宋体" w:hAnsi="宋体" w:eastAsia="宋体" w:cs="宋体"/>
                <w:color w:val="000000"/>
                <w:sz w:val="24"/>
                <w:highlight w:val="none"/>
              </w:rPr>
            </w:r>
            <w:r/>
          </w:p>
        </w:tc>
        <w:tc>
          <w:tcPr>
            <w:tcMar>
              <w:left w:w="108" w:type="dxa"/>
              <w:top w:w="0" w:type="dxa"/>
              <w:right w:w="108" w:type="dxa"/>
              <w:bottom w:w="0" w:type="dxa"/>
            </w:tcMar>
            <w:tcW w:w="2003" w:type="dxa"/>
            <w:vAlign w:val="center"/>
            <w:textDirection w:val="lrTb"/>
            <w:noWrap w:val="false"/>
          </w:tcPr>
          <w:p>
            <w:pPr>
              <w:pStyle w:val="779"/>
              <w:jc w:val="cente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投标文件中的内容</w:t>
            </w:r>
            <w:r>
              <w:rPr>
                <w:rFonts w:hint="eastAsia" w:ascii="宋体" w:hAnsi="宋体" w:eastAsia="宋体" w:cs="宋体"/>
                <w:color w:val="000000"/>
                <w:sz w:val="24"/>
                <w:highlight w:val="none"/>
              </w:rPr>
            </w:r>
            <w:r/>
          </w:p>
        </w:tc>
        <w:tc>
          <w:tcPr>
            <w:tcMar>
              <w:left w:w="108" w:type="dxa"/>
              <w:top w:w="0" w:type="dxa"/>
              <w:right w:w="108" w:type="dxa"/>
              <w:bottom w:w="0" w:type="dxa"/>
            </w:tcMar>
            <w:tcW w:w="1510" w:type="dxa"/>
            <w:vAlign w:val="center"/>
            <w:textDirection w:val="lrTb"/>
            <w:noWrap w:val="false"/>
          </w:tcPr>
          <w:p>
            <w:pPr>
              <w:pStyle w:val="779"/>
              <w:jc w:val="cente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（正/负/无）偏离</w:t>
            </w:r>
            <w:r>
              <w:rPr>
                <w:rFonts w:hint="eastAsia" w:ascii="宋体" w:hAnsi="宋体" w:eastAsia="宋体" w:cs="宋体"/>
                <w:color w:val="000000"/>
                <w:sz w:val="24"/>
                <w:highlight w:val="none"/>
              </w:rPr>
            </w:r>
            <w:r/>
          </w:p>
        </w:tc>
        <w:tc>
          <w:tcPr>
            <w:tcMar>
              <w:left w:w="108" w:type="dxa"/>
              <w:top w:w="0" w:type="dxa"/>
              <w:right w:w="108" w:type="dxa"/>
              <w:bottom w:w="0" w:type="dxa"/>
            </w:tcMar>
            <w:tcW w:w="1747" w:type="dxa"/>
            <w:vAlign w:val="center"/>
            <w:textDirection w:val="lrTb"/>
            <w:noWrap w:val="false"/>
          </w:tcPr>
          <w:p>
            <w:pPr>
              <w:pStyle w:val="779"/>
              <w:jc w:val="cente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说明</w:t>
            </w:r>
            <w:r>
              <w:rPr>
                <w:rFonts w:hint="eastAsia" w:ascii="宋体" w:hAnsi="宋体" w:eastAsia="宋体" w:cs="宋体"/>
                <w:color w:val="000000"/>
                <w:sz w:val="24"/>
                <w:highlight w:val="none"/>
              </w:rPr>
            </w:r>
            <w:r/>
          </w:p>
        </w:tc>
      </w:tr>
      <w:tr>
        <w:trPr>
          <w:trHeight w:val="895"/>
        </w:trPr>
        <w:tc>
          <w:tcPr>
            <w:tcMar>
              <w:left w:w="108" w:type="dxa"/>
              <w:top w:w="0" w:type="dxa"/>
              <w:right w:w="108" w:type="dxa"/>
              <w:bottom w:w="0" w:type="dxa"/>
            </w:tcMar>
            <w:tcW w:w="923" w:type="dxa"/>
            <w:vAlign w:val="top"/>
            <w:textDirection w:val="lrTb"/>
            <w:noWrap w:val="false"/>
          </w:tcPr>
          <w:p>
            <w:pPr>
              <w:pStyle w:val="779"/>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Mar>
              <w:left w:w="108" w:type="dxa"/>
              <w:top w:w="0" w:type="dxa"/>
              <w:right w:w="108" w:type="dxa"/>
              <w:bottom w:w="0" w:type="dxa"/>
            </w:tcMar>
            <w:tcW w:w="1655" w:type="dxa"/>
            <w:vAlign w:val="top"/>
            <w:textDirection w:val="lrTb"/>
            <w:noWrap w:val="false"/>
          </w:tcPr>
          <w:p>
            <w:pPr>
              <w:pStyle w:val="779"/>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Mar>
              <w:left w:w="108" w:type="dxa"/>
              <w:top w:w="0" w:type="dxa"/>
              <w:right w:w="108" w:type="dxa"/>
              <w:bottom w:w="0" w:type="dxa"/>
            </w:tcMar>
            <w:tcW w:w="1658" w:type="dxa"/>
            <w:vAlign w:val="top"/>
            <w:textDirection w:val="lrTb"/>
            <w:noWrap w:val="false"/>
          </w:tcPr>
          <w:p>
            <w:pPr>
              <w:pStyle w:val="779"/>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Mar>
              <w:left w:w="108" w:type="dxa"/>
              <w:top w:w="0" w:type="dxa"/>
              <w:right w:w="108" w:type="dxa"/>
              <w:bottom w:w="0" w:type="dxa"/>
            </w:tcMar>
            <w:tcW w:w="2003" w:type="dxa"/>
            <w:vAlign w:val="top"/>
            <w:textDirection w:val="lrTb"/>
            <w:noWrap w:val="false"/>
          </w:tcPr>
          <w:p>
            <w:pPr>
              <w:pStyle w:val="779"/>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Mar>
              <w:left w:w="108" w:type="dxa"/>
              <w:top w:w="0" w:type="dxa"/>
              <w:right w:w="108" w:type="dxa"/>
              <w:bottom w:w="0" w:type="dxa"/>
            </w:tcMar>
            <w:tcW w:w="1510" w:type="dxa"/>
            <w:vAlign w:val="top"/>
            <w:textDirection w:val="lrTb"/>
            <w:noWrap w:val="false"/>
          </w:tcPr>
          <w:p>
            <w:pPr>
              <w:pStyle w:val="779"/>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Mar>
              <w:left w:w="108" w:type="dxa"/>
              <w:top w:w="0" w:type="dxa"/>
              <w:right w:w="108" w:type="dxa"/>
              <w:bottom w:w="0" w:type="dxa"/>
            </w:tcMar>
            <w:tcW w:w="1747" w:type="dxa"/>
            <w:vAlign w:val="top"/>
            <w:textDirection w:val="lrTb"/>
            <w:noWrap w:val="false"/>
          </w:tcPr>
          <w:p>
            <w:pPr>
              <w:pStyle w:val="779"/>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r>
      <w:tr>
        <w:trPr>
          <w:trHeight w:val="895"/>
        </w:trPr>
        <w:tc>
          <w:tcPr>
            <w:tcMar>
              <w:left w:w="108" w:type="dxa"/>
              <w:top w:w="0" w:type="dxa"/>
              <w:right w:w="108" w:type="dxa"/>
              <w:bottom w:w="0" w:type="dxa"/>
            </w:tcMar>
            <w:tcW w:w="923" w:type="dxa"/>
            <w:vAlign w:val="top"/>
            <w:textDirection w:val="lrTb"/>
            <w:noWrap w:val="false"/>
          </w:tcPr>
          <w:p>
            <w:pPr>
              <w:pStyle w:val="779"/>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Mar>
              <w:left w:w="108" w:type="dxa"/>
              <w:top w:w="0" w:type="dxa"/>
              <w:right w:w="108" w:type="dxa"/>
              <w:bottom w:w="0" w:type="dxa"/>
            </w:tcMar>
            <w:tcW w:w="1655" w:type="dxa"/>
            <w:vAlign w:val="top"/>
            <w:textDirection w:val="lrTb"/>
            <w:noWrap w:val="false"/>
          </w:tcPr>
          <w:p>
            <w:pPr>
              <w:pStyle w:val="779"/>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Mar>
              <w:left w:w="108" w:type="dxa"/>
              <w:top w:w="0" w:type="dxa"/>
              <w:right w:w="108" w:type="dxa"/>
              <w:bottom w:w="0" w:type="dxa"/>
            </w:tcMar>
            <w:tcW w:w="1658" w:type="dxa"/>
            <w:vAlign w:val="top"/>
            <w:textDirection w:val="lrTb"/>
            <w:noWrap w:val="false"/>
          </w:tcPr>
          <w:p>
            <w:pPr>
              <w:pStyle w:val="779"/>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Mar>
              <w:left w:w="108" w:type="dxa"/>
              <w:top w:w="0" w:type="dxa"/>
              <w:right w:w="108" w:type="dxa"/>
              <w:bottom w:w="0" w:type="dxa"/>
            </w:tcMar>
            <w:tcW w:w="2003" w:type="dxa"/>
            <w:vAlign w:val="top"/>
            <w:textDirection w:val="lrTb"/>
            <w:noWrap w:val="false"/>
          </w:tcPr>
          <w:p>
            <w:pPr>
              <w:pStyle w:val="779"/>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Mar>
              <w:left w:w="108" w:type="dxa"/>
              <w:top w:w="0" w:type="dxa"/>
              <w:right w:w="108" w:type="dxa"/>
              <w:bottom w:w="0" w:type="dxa"/>
            </w:tcMar>
            <w:tcW w:w="1510" w:type="dxa"/>
            <w:vAlign w:val="top"/>
            <w:textDirection w:val="lrTb"/>
            <w:noWrap w:val="false"/>
          </w:tcPr>
          <w:p>
            <w:pPr>
              <w:pStyle w:val="779"/>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Mar>
              <w:left w:w="108" w:type="dxa"/>
              <w:top w:w="0" w:type="dxa"/>
              <w:right w:w="108" w:type="dxa"/>
              <w:bottom w:w="0" w:type="dxa"/>
            </w:tcMar>
            <w:tcW w:w="1747" w:type="dxa"/>
            <w:vAlign w:val="top"/>
            <w:textDirection w:val="lrTb"/>
            <w:noWrap w:val="false"/>
          </w:tcPr>
          <w:p>
            <w:pPr>
              <w:pStyle w:val="779"/>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r>
      <w:tr>
        <w:trPr>
          <w:trHeight w:val="895"/>
        </w:trPr>
        <w:tc>
          <w:tcPr>
            <w:tcMar>
              <w:left w:w="108" w:type="dxa"/>
              <w:top w:w="0" w:type="dxa"/>
              <w:right w:w="108" w:type="dxa"/>
              <w:bottom w:w="0" w:type="dxa"/>
            </w:tcMar>
            <w:tcW w:w="923" w:type="dxa"/>
            <w:vAlign w:val="top"/>
            <w:textDirection w:val="lrTb"/>
            <w:noWrap w:val="false"/>
          </w:tcPr>
          <w:p>
            <w:pPr>
              <w:pStyle w:val="779"/>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Mar>
              <w:left w:w="108" w:type="dxa"/>
              <w:top w:w="0" w:type="dxa"/>
              <w:right w:w="108" w:type="dxa"/>
              <w:bottom w:w="0" w:type="dxa"/>
            </w:tcMar>
            <w:tcW w:w="1655" w:type="dxa"/>
            <w:vAlign w:val="top"/>
            <w:textDirection w:val="lrTb"/>
            <w:noWrap w:val="false"/>
          </w:tcPr>
          <w:p>
            <w:pPr>
              <w:pStyle w:val="779"/>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Mar>
              <w:left w:w="108" w:type="dxa"/>
              <w:top w:w="0" w:type="dxa"/>
              <w:right w:w="108" w:type="dxa"/>
              <w:bottom w:w="0" w:type="dxa"/>
            </w:tcMar>
            <w:tcW w:w="1658" w:type="dxa"/>
            <w:vAlign w:val="top"/>
            <w:textDirection w:val="lrTb"/>
            <w:noWrap w:val="false"/>
          </w:tcPr>
          <w:p>
            <w:pPr>
              <w:pStyle w:val="779"/>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Mar>
              <w:left w:w="108" w:type="dxa"/>
              <w:top w:w="0" w:type="dxa"/>
              <w:right w:w="108" w:type="dxa"/>
              <w:bottom w:w="0" w:type="dxa"/>
            </w:tcMar>
            <w:tcW w:w="2003" w:type="dxa"/>
            <w:vAlign w:val="top"/>
            <w:textDirection w:val="lrTb"/>
            <w:noWrap w:val="false"/>
          </w:tcPr>
          <w:p>
            <w:pPr>
              <w:pStyle w:val="779"/>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Mar>
              <w:left w:w="108" w:type="dxa"/>
              <w:top w:w="0" w:type="dxa"/>
              <w:right w:w="108" w:type="dxa"/>
              <w:bottom w:w="0" w:type="dxa"/>
            </w:tcMar>
            <w:tcW w:w="1510" w:type="dxa"/>
            <w:vAlign w:val="top"/>
            <w:textDirection w:val="lrTb"/>
            <w:noWrap w:val="false"/>
          </w:tcPr>
          <w:p>
            <w:pPr>
              <w:pStyle w:val="779"/>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Mar>
              <w:left w:w="108" w:type="dxa"/>
              <w:top w:w="0" w:type="dxa"/>
              <w:right w:w="108" w:type="dxa"/>
              <w:bottom w:w="0" w:type="dxa"/>
            </w:tcMar>
            <w:tcW w:w="1747" w:type="dxa"/>
            <w:vAlign w:val="top"/>
            <w:textDirection w:val="lrTb"/>
            <w:noWrap w:val="false"/>
          </w:tcPr>
          <w:p>
            <w:pPr>
              <w:pStyle w:val="779"/>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r>
      <w:tr>
        <w:trPr>
          <w:trHeight w:val="895"/>
        </w:trPr>
        <w:tc>
          <w:tcPr>
            <w:tcMar>
              <w:left w:w="108" w:type="dxa"/>
              <w:top w:w="0" w:type="dxa"/>
              <w:right w:w="108" w:type="dxa"/>
              <w:bottom w:w="0" w:type="dxa"/>
            </w:tcMar>
            <w:tcW w:w="923" w:type="dxa"/>
            <w:vAlign w:val="top"/>
            <w:textDirection w:val="lrTb"/>
            <w:noWrap w:val="false"/>
          </w:tcPr>
          <w:p>
            <w:pPr>
              <w:pStyle w:val="779"/>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Mar>
              <w:left w:w="108" w:type="dxa"/>
              <w:top w:w="0" w:type="dxa"/>
              <w:right w:w="108" w:type="dxa"/>
              <w:bottom w:w="0" w:type="dxa"/>
            </w:tcMar>
            <w:tcW w:w="1655" w:type="dxa"/>
            <w:vAlign w:val="top"/>
            <w:textDirection w:val="lrTb"/>
            <w:noWrap w:val="false"/>
          </w:tcPr>
          <w:p>
            <w:pPr>
              <w:pStyle w:val="779"/>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Mar>
              <w:left w:w="108" w:type="dxa"/>
              <w:top w:w="0" w:type="dxa"/>
              <w:right w:w="108" w:type="dxa"/>
              <w:bottom w:w="0" w:type="dxa"/>
            </w:tcMar>
            <w:tcW w:w="1658" w:type="dxa"/>
            <w:vAlign w:val="top"/>
            <w:textDirection w:val="lrTb"/>
            <w:noWrap w:val="false"/>
          </w:tcPr>
          <w:p>
            <w:pPr>
              <w:pStyle w:val="779"/>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Mar>
              <w:left w:w="108" w:type="dxa"/>
              <w:top w:w="0" w:type="dxa"/>
              <w:right w:w="108" w:type="dxa"/>
              <w:bottom w:w="0" w:type="dxa"/>
            </w:tcMar>
            <w:tcW w:w="2003" w:type="dxa"/>
            <w:vAlign w:val="top"/>
            <w:textDirection w:val="lrTb"/>
            <w:noWrap w:val="false"/>
          </w:tcPr>
          <w:p>
            <w:pPr>
              <w:pStyle w:val="779"/>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Mar>
              <w:left w:w="108" w:type="dxa"/>
              <w:top w:w="0" w:type="dxa"/>
              <w:right w:w="108" w:type="dxa"/>
              <w:bottom w:w="0" w:type="dxa"/>
            </w:tcMar>
            <w:tcW w:w="1510" w:type="dxa"/>
            <w:vAlign w:val="top"/>
            <w:textDirection w:val="lrTb"/>
            <w:noWrap w:val="false"/>
          </w:tcPr>
          <w:p>
            <w:pPr>
              <w:pStyle w:val="779"/>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Mar>
              <w:left w:w="108" w:type="dxa"/>
              <w:top w:w="0" w:type="dxa"/>
              <w:right w:w="108" w:type="dxa"/>
              <w:bottom w:w="0" w:type="dxa"/>
            </w:tcMar>
            <w:tcW w:w="1747" w:type="dxa"/>
            <w:vAlign w:val="top"/>
            <w:textDirection w:val="lrTb"/>
            <w:noWrap w:val="false"/>
          </w:tcPr>
          <w:p>
            <w:pPr>
              <w:pStyle w:val="779"/>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r>
      <w:tr>
        <w:trPr>
          <w:trHeight w:val="895"/>
        </w:trPr>
        <w:tc>
          <w:tcPr>
            <w:tcMar>
              <w:left w:w="108" w:type="dxa"/>
              <w:top w:w="0" w:type="dxa"/>
              <w:right w:w="108" w:type="dxa"/>
              <w:bottom w:w="0" w:type="dxa"/>
            </w:tcMar>
            <w:tcW w:w="923" w:type="dxa"/>
            <w:vAlign w:val="top"/>
            <w:textDirection w:val="lrTb"/>
            <w:noWrap w:val="false"/>
          </w:tcPr>
          <w:p>
            <w:pPr>
              <w:pStyle w:val="779"/>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Mar>
              <w:left w:w="108" w:type="dxa"/>
              <w:top w:w="0" w:type="dxa"/>
              <w:right w:w="108" w:type="dxa"/>
              <w:bottom w:w="0" w:type="dxa"/>
            </w:tcMar>
            <w:tcW w:w="1655" w:type="dxa"/>
            <w:vAlign w:val="top"/>
            <w:textDirection w:val="lrTb"/>
            <w:noWrap w:val="false"/>
          </w:tcPr>
          <w:p>
            <w:pPr>
              <w:pStyle w:val="779"/>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Mar>
              <w:left w:w="108" w:type="dxa"/>
              <w:top w:w="0" w:type="dxa"/>
              <w:right w:w="108" w:type="dxa"/>
              <w:bottom w:w="0" w:type="dxa"/>
            </w:tcMar>
            <w:tcW w:w="1658" w:type="dxa"/>
            <w:vAlign w:val="top"/>
            <w:textDirection w:val="lrTb"/>
            <w:noWrap w:val="false"/>
          </w:tcPr>
          <w:p>
            <w:pPr>
              <w:pStyle w:val="779"/>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Mar>
              <w:left w:w="108" w:type="dxa"/>
              <w:top w:w="0" w:type="dxa"/>
              <w:right w:w="108" w:type="dxa"/>
              <w:bottom w:w="0" w:type="dxa"/>
            </w:tcMar>
            <w:tcW w:w="2003" w:type="dxa"/>
            <w:vAlign w:val="top"/>
            <w:textDirection w:val="lrTb"/>
            <w:noWrap w:val="false"/>
          </w:tcPr>
          <w:p>
            <w:pPr>
              <w:pStyle w:val="779"/>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Mar>
              <w:left w:w="108" w:type="dxa"/>
              <w:top w:w="0" w:type="dxa"/>
              <w:right w:w="108" w:type="dxa"/>
              <w:bottom w:w="0" w:type="dxa"/>
            </w:tcMar>
            <w:tcW w:w="1510" w:type="dxa"/>
            <w:vAlign w:val="top"/>
            <w:textDirection w:val="lrTb"/>
            <w:noWrap w:val="false"/>
          </w:tcPr>
          <w:p>
            <w:pPr>
              <w:pStyle w:val="779"/>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Mar>
              <w:left w:w="108" w:type="dxa"/>
              <w:top w:w="0" w:type="dxa"/>
              <w:right w:w="108" w:type="dxa"/>
              <w:bottom w:w="0" w:type="dxa"/>
            </w:tcMar>
            <w:tcW w:w="1747" w:type="dxa"/>
            <w:vAlign w:val="top"/>
            <w:textDirection w:val="lrTb"/>
            <w:noWrap w:val="false"/>
          </w:tcPr>
          <w:p>
            <w:pPr>
              <w:pStyle w:val="779"/>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r>
      <w:tr>
        <w:trPr>
          <w:trHeight w:val="895"/>
        </w:trPr>
        <w:tc>
          <w:tcPr>
            <w:tcMar>
              <w:left w:w="108" w:type="dxa"/>
              <w:top w:w="0" w:type="dxa"/>
              <w:right w:w="108" w:type="dxa"/>
              <w:bottom w:w="0" w:type="dxa"/>
            </w:tcMar>
            <w:tcW w:w="923" w:type="dxa"/>
            <w:vAlign w:val="top"/>
            <w:textDirection w:val="lrTb"/>
            <w:noWrap w:val="false"/>
          </w:tcPr>
          <w:p>
            <w:pPr>
              <w:pStyle w:val="779"/>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Mar>
              <w:left w:w="108" w:type="dxa"/>
              <w:top w:w="0" w:type="dxa"/>
              <w:right w:w="108" w:type="dxa"/>
              <w:bottom w:w="0" w:type="dxa"/>
            </w:tcMar>
            <w:tcW w:w="1655" w:type="dxa"/>
            <w:vAlign w:val="top"/>
            <w:textDirection w:val="lrTb"/>
            <w:noWrap w:val="false"/>
          </w:tcPr>
          <w:p>
            <w:pPr>
              <w:pStyle w:val="779"/>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Mar>
              <w:left w:w="108" w:type="dxa"/>
              <w:top w:w="0" w:type="dxa"/>
              <w:right w:w="108" w:type="dxa"/>
              <w:bottom w:w="0" w:type="dxa"/>
            </w:tcMar>
            <w:tcW w:w="1658" w:type="dxa"/>
            <w:vAlign w:val="top"/>
            <w:textDirection w:val="lrTb"/>
            <w:noWrap w:val="false"/>
          </w:tcPr>
          <w:p>
            <w:pPr>
              <w:pStyle w:val="779"/>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Mar>
              <w:left w:w="108" w:type="dxa"/>
              <w:top w:w="0" w:type="dxa"/>
              <w:right w:w="108" w:type="dxa"/>
              <w:bottom w:w="0" w:type="dxa"/>
            </w:tcMar>
            <w:tcW w:w="2003" w:type="dxa"/>
            <w:vAlign w:val="top"/>
            <w:textDirection w:val="lrTb"/>
            <w:noWrap w:val="false"/>
          </w:tcPr>
          <w:p>
            <w:pPr>
              <w:pStyle w:val="779"/>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Mar>
              <w:left w:w="108" w:type="dxa"/>
              <w:top w:w="0" w:type="dxa"/>
              <w:right w:w="108" w:type="dxa"/>
              <w:bottom w:w="0" w:type="dxa"/>
            </w:tcMar>
            <w:tcW w:w="1510" w:type="dxa"/>
            <w:vAlign w:val="top"/>
            <w:textDirection w:val="lrTb"/>
            <w:noWrap w:val="false"/>
          </w:tcPr>
          <w:p>
            <w:pPr>
              <w:pStyle w:val="779"/>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Mar>
              <w:left w:w="108" w:type="dxa"/>
              <w:top w:w="0" w:type="dxa"/>
              <w:right w:w="108" w:type="dxa"/>
              <w:bottom w:w="0" w:type="dxa"/>
            </w:tcMar>
            <w:tcW w:w="1747" w:type="dxa"/>
            <w:vAlign w:val="top"/>
            <w:textDirection w:val="lrTb"/>
            <w:noWrap w:val="false"/>
          </w:tcPr>
          <w:p>
            <w:pPr>
              <w:pStyle w:val="779"/>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r>
      <w:tr>
        <w:trPr>
          <w:trHeight w:val="895"/>
        </w:trPr>
        <w:tc>
          <w:tcPr>
            <w:tcMar>
              <w:left w:w="108" w:type="dxa"/>
              <w:top w:w="0" w:type="dxa"/>
              <w:right w:w="108" w:type="dxa"/>
              <w:bottom w:w="0" w:type="dxa"/>
            </w:tcMar>
            <w:tcW w:w="923" w:type="dxa"/>
            <w:vAlign w:val="top"/>
            <w:textDirection w:val="lrTb"/>
            <w:noWrap w:val="false"/>
          </w:tcPr>
          <w:p>
            <w:pPr>
              <w:pStyle w:val="779"/>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Mar>
              <w:left w:w="108" w:type="dxa"/>
              <w:top w:w="0" w:type="dxa"/>
              <w:right w:w="108" w:type="dxa"/>
              <w:bottom w:w="0" w:type="dxa"/>
            </w:tcMar>
            <w:tcW w:w="1655" w:type="dxa"/>
            <w:vAlign w:val="top"/>
            <w:textDirection w:val="lrTb"/>
            <w:noWrap w:val="false"/>
          </w:tcPr>
          <w:p>
            <w:pPr>
              <w:pStyle w:val="779"/>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Mar>
              <w:left w:w="108" w:type="dxa"/>
              <w:top w:w="0" w:type="dxa"/>
              <w:right w:w="108" w:type="dxa"/>
              <w:bottom w:w="0" w:type="dxa"/>
            </w:tcMar>
            <w:tcW w:w="1658" w:type="dxa"/>
            <w:vAlign w:val="top"/>
            <w:textDirection w:val="lrTb"/>
            <w:noWrap w:val="false"/>
          </w:tcPr>
          <w:p>
            <w:pPr>
              <w:pStyle w:val="779"/>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Mar>
              <w:left w:w="108" w:type="dxa"/>
              <w:top w:w="0" w:type="dxa"/>
              <w:right w:w="108" w:type="dxa"/>
              <w:bottom w:w="0" w:type="dxa"/>
            </w:tcMar>
            <w:tcW w:w="2003" w:type="dxa"/>
            <w:vAlign w:val="top"/>
            <w:textDirection w:val="lrTb"/>
            <w:noWrap w:val="false"/>
          </w:tcPr>
          <w:p>
            <w:pPr>
              <w:pStyle w:val="779"/>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Mar>
              <w:left w:w="108" w:type="dxa"/>
              <w:top w:w="0" w:type="dxa"/>
              <w:right w:w="108" w:type="dxa"/>
              <w:bottom w:w="0" w:type="dxa"/>
            </w:tcMar>
            <w:tcW w:w="1510" w:type="dxa"/>
            <w:vAlign w:val="top"/>
            <w:textDirection w:val="lrTb"/>
            <w:noWrap w:val="false"/>
          </w:tcPr>
          <w:p>
            <w:pPr>
              <w:pStyle w:val="779"/>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Mar>
              <w:left w:w="108" w:type="dxa"/>
              <w:top w:w="0" w:type="dxa"/>
              <w:right w:w="108" w:type="dxa"/>
              <w:bottom w:w="0" w:type="dxa"/>
            </w:tcMar>
            <w:tcW w:w="1747" w:type="dxa"/>
            <w:vAlign w:val="top"/>
            <w:textDirection w:val="lrTb"/>
            <w:noWrap w:val="false"/>
          </w:tcPr>
          <w:p>
            <w:pPr>
              <w:pStyle w:val="779"/>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r>
      <w:tr>
        <w:trPr>
          <w:trHeight w:val="895"/>
        </w:trPr>
        <w:tc>
          <w:tcPr>
            <w:tcMar>
              <w:left w:w="108" w:type="dxa"/>
              <w:top w:w="0" w:type="dxa"/>
              <w:right w:w="108" w:type="dxa"/>
              <w:bottom w:w="0" w:type="dxa"/>
            </w:tcMar>
            <w:tcW w:w="923" w:type="dxa"/>
            <w:vAlign w:val="top"/>
            <w:textDirection w:val="lrTb"/>
            <w:noWrap w:val="false"/>
          </w:tcPr>
          <w:p>
            <w:pPr>
              <w:pStyle w:val="779"/>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Mar>
              <w:left w:w="108" w:type="dxa"/>
              <w:top w:w="0" w:type="dxa"/>
              <w:right w:w="108" w:type="dxa"/>
              <w:bottom w:w="0" w:type="dxa"/>
            </w:tcMar>
            <w:tcW w:w="1655" w:type="dxa"/>
            <w:vAlign w:val="top"/>
            <w:textDirection w:val="lrTb"/>
            <w:noWrap w:val="false"/>
          </w:tcPr>
          <w:p>
            <w:pPr>
              <w:pStyle w:val="779"/>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Mar>
              <w:left w:w="108" w:type="dxa"/>
              <w:top w:w="0" w:type="dxa"/>
              <w:right w:w="108" w:type="dxa"/>
              <w:bottom w:w="0" w:type="dxa"/>
            </w:tcMar>
            <w:tcW w:w="1658" w:type="dxa"/>
            <w:vAlign w:val="top"/>
            <w:textDirection w:val="lrTb"/>
            <w:noWrap w:val="false"/>
          </w:tcPr>
          <w:p>
            <w:pPr>
              <w:pStyle w:val="779"/>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Mar>
              <w:left w:w="108" w:type="dxa"/>
              <w:top w:w="0" w:type="dxa"/>
              <w:right w:w="108" w:type="dxa"/>
              <w:bottom w:w="0" w:type="dxa"/>
            </w:tcMar>
            <w:tcW w:w="2003" w:type="dxa"/>
            <w:vAlign w:val="top"/>
            <w:textDirection w:val="lrTb"/>
            <w:noWrap w:val="false"/>
          </w:tcPr>
          <w:p>
            <w:pPr>
              <w:pStyle w:val="779"/>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Mar>
              <w:left w:w="108" w:type="dxa"/>
              <w:top w:w="0" w:type="dxa"/>
              <w:right w:w="108" w:type="dxa"/>
              <w:bottom w:w="0" w:type="dxa"/>
            </w:tcMar>
            <w:tcW w:w="1510" w:type="dxa"/>
            <w:vAlign w:val="top"/>
            <w:textDirection w:val="lrTb"/>
            <w:noWrap w:val="false"/>
          </w:tcPr>
          <w:p>
            <w:pPr>
              <w:pStyle w:val="779"/>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Mar>
              <w:left w:w="108" w:type="dxa"/>
              <w:top w:w="0" w:type="dxa"/>
              <w:right w:w="108" w:type="dxa"/>
              <w:bottom w:w="0" w:type="dxa"/>
            </w:tcMar>
            <w:tcW w:w="1747" w:type="dxa"/>
            <w:vAlign w:val="top"/>
            <w:textDirection w:val="lrTb"/>
            <w:noWrap w:val="false"/>
          </w:tcPr>
          <w:p>
            <w:pPr>
              <w:pStyle w:val="779"/>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r>
      <w:tr>
        <w:trPr>
          <w:trHeight w:val="926"/>
        </w:trPr>
        <w:tc>
          <w:tcPr>
            <w:tcMar>
              <w:left w:w="108" w:type="dxa"/>
              <w:top w:w="0" w:type="dxa"/>
              <w:right w:w="108" w:type="dxa"/>
              <w:bottom w:w="0" w:type="dxa"/>
            </w:tcMar>
            <w:tcW w:w="923" w:type="dxa"/>
            <w:vAlign w:val="top"/>
            <w:textDirection w:val="lrTb"/>
            <w:noWrap w:val="false"/>
          </w:tcPr>
          <w:p>
            <w:pPr>
              <w:pStyle w:val="779"/>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Mar>
              <w:left w:w="108" w:type="dxa"/>
              <w:top w:w="0" w:type="dxa"/>
              <w:right w:w="108" w:type="dxa"/>
              <w:bottom w:w="0" w:type="dxa"/>
            </w:tcMar>
            <w:tcW w:w="1655" w:type="dxa"/>
            <w:vAlign w:val="top"/>
            <w:textDirection w:val="lrTb"/>
            <w:noWrap w:val="false"/>
          </w:tcPr>
          <w:p>
            <w:pPr>
              <w:pStyle w:val="779"/>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Mar>
              <w:left w:w="108" w:type="dxa"/>
              <w:top w:w="0" w:type="dxa"/>
              <w:right w:w="108" w:type="dxa"/>
              <w:bottom w:w="0" w:type="dxa"/>
            </w:tcMar>
            <w:tcW w:w="1658" w:type="dxa"/>
            <w:vAlign w:val="top"/>
            <w:textDirection w:val="lrTb"/>
            <w:noWrap w:val="false"/>
          </w:tcPr>
          <w:p>
            <w:pPr>
              <w:pStyle w:val="779"/>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Mar>
              <w:left w:w="108" w:type="dxa"/>
              <w:top w:w="0" w:type="dxa"/>
              <w:right w:w="108" w:type="dxa"/>
              <w:bottom w:w="0" w:type="dxa"/>
            </w:tcMar>
            <w:tcW w:w="2003" w:type="dxa"/>
            <w:vAlign w:val="top"/>
            <w:textDirection w:val="lrTb"/>
            <w:noWrap w:val="false"/>
          </w:tcPr>
          <w:p>
            <w:pPr>
              <w:pStyle w:val="779"/>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Mar>
              <w:left w:w="108" w:type="dxa"/>
              <w:top w:w="0" w:type="dxa"/>
              <w:right w:w="108" w:type="dxa"/>
              <w:bottom w:w="0" w:type="dxa"/>
            </w:tcMar>
            <w:tcW w:w="1510" w:type="dxa"/>
            <w:vAlign w:val="top"/>
            <w:textDirection w:val="lrTb"/>
            <w:noWrap w:val="false"/>
          </w:tcPr>
          <w:p>
            <w:pPr>
              <w:pStyle w:val="779"/>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Mar>
              <w:left w:w="108" w:type="dxa"/>
              <w:top w:w="0" w:type="dxa"/>
              <w:right w:w="108" w:type="dxa"/>
              <w:bottom w:w="0" w:type="dxa"/>
            </w:tcMar>
            <w:tcW w:w="1747" w:type="dxa"/>
            <w:vAlign w:val="top"/>
            <w:textDirection w:val="lrTb"/>
            <w:noWrap w:val="false"/>
          </w:tcPr>
          <w:p>
            <w:pPr>
              <w:pStyle w:val="779"/>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r>
    </w:tbl>
    <w:p>
      <w:pPr>
        <w:pStyle w:val="779"/>
        <w:spacing w:line="71"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注</w:t>
      </w:r>
      <w:r>
        <w:rPr>
          <w:rFonts w:hint="eastAsia" w:ascii="宋体" w:hAnsi="宋体" w:eastAsia="宋体" w:cs="宋体"/>
          <w:color w:val="000000"/>
          <w:sz w:val="24"/>
          <w:highlight w:val="none"/>
        </w:rPr>
        <w:t xml:space="preserve">：投标人的投标文件中的内容与招标文件（含招标文件的澄清或者修改的内容）的要求不同时，逐条列在偏离表中，否则将认为投标人接受招标文件的要求。</w:t>
      </w:r>
      <w:r>
        <w:rPr>
          <w:rFonts w:hint="eastAsia" w:ascii="宋体" w:hAnsi="宋体" w:eastAsia="宋体" w:cs="宋体"/>
          <w:color w:val="000000"/>
          <w:sz w:val="24"/>
          <w:highlight w:val="none"/>
        </w:rPr>
      </w:r>
      <w:r/>
    </w:p>
    <w:p>
      <w:pPr>
        <w:pStyle w:val="779"/>
        <w:ind w:firstLine="2850"/>
        <w:spacing w:line="71"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pStyle w:val="779"/>
        <w:spacing w:line="71"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（电子签章）</w:t>
      </w:r>
      <w:r>
        <w:rPr>
          <w:rFonts w:hint="eastAsia" w:ascii="宋体" w:hAnsi="宋体" w:eastAsia="宋体" w:cs="宋体"/>
          <w:color w:val="000000"/>
          <w:sz w:val="24"/>
          <w:highlight w:val="none"/>
        </w:rPr>
      </w:r>
      <w:r/>
    </w:p>
    <w:p>
      <w:pPr>
        <w:pStyle w:val="779"/>
        <w:ind w:firstLine="3900"/>
        <w:spacing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779"/>
        <w:spacing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24"/>
          <w:highlight w:val="none"/>
        </w:rPr>
      </w:r>
      <w:r/>
    </w:p>
    <w:p>
      <w:pPr>
        <w:jc w:val="center"/>
        <w:spacing w:line="479" w:lineRule="atLeast"/>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r>
      <w:r>
        <w:rPr>
          <w:rFonts w:hint="eastAsia" w:ascii="宋体" w:hAnsi="宋体" w:eastAsia="宋体" w:cs="宋体"/>
          <w:b/>
          <w:bCs/>
          <w:color w:val="000000"/>
          <w:sz w:val="28"/>
          <w:szCs w:val="28"/>
          <w:highlight w:val="none"/>
        </w:rPr>
      </w:r>
      <w:r/>
    </w:p>
    <w:p>
      <w:pPr>
        <w:pStyle w:val="779"/>
        <w:jc w:val="center"/>
        <w:spacing w:line="479" w:lineRule="atLeast"/>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五、授权委托书及法定代表人</w:t>
      </w:r>
      <w:r>
        <w:rPr>
          <w:rFonts w:hint="eastAsia" w:ascii="宋体" w:hAnsi="宋体" w:eastAsia="宋体" w:cs="宋体"/>
          <w:b/>
          <w:bCs/>
          <w:color w:val="000000"/>
          <w:sz w:val="28"/>
          <w:szCs w:val="28"/>
          <w:highlight w:val="none"/>
          <w:lang w:eastAsia="zh-CN"/>
        </w:rPr>
        <w:t xml:space="preserve">（负责人）</w:t>
      </w:r>
      <w:r>
        <w:rPr>
          <w:rFonts w:hint="eastAsia" w:ascii="宋体" w:hAnsi="宋体" w:eastAsia="宋体" w:cs="宋体"/>
          <w:b/>
          <w:bCs/>
          <w:color w:val="000000"/>
          <w:sz w:val="28"/>
          <w:szCs w:val="28"/>
          <w:highlight w:val="none"/>
        </w:rPr>
        <w:t xml:space="preserve">身份证明书格式</w:t>
      </w:r>
      <w:r>
        <w:rPr>
          <w:rFonts w:hint="eastAsia" w:ascii="宋体" w:hAnsi="宋体" w:eastAsia="宋体" w:cs="宋体"/>
          <w:b/>
          <w:bCs/>
          <w:color w:val="000000"/>
          <w:sz w:val="28"/>
          <w:szCs w:val="28"/>
          <w:highlight w:val="none"/>
        </w:rPr>
      </w:r>
      <w:r/>
    </w:p>
    <w:p>
      <w:pPr>
        <w:pStyle w:val="779"/>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p>
      <w:pPr>
        <w:pStyle w:val="779"/>
        <w:jc w:val="center"/>
        <w:spacing w:line="479" w:lineRule="atLeast"/>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（一）授权委托书</w:t>
      </w:r>
      <w:r>
        <w:rPr>
          <w:rFonts w:hint="eastAsia" w:ascii="宋体" w:hAnsi="宋体" w:eastAsia="宋体" w:cs="宋体"/>
          <w:b/>
          <w:bCs/>
          <w:color w:val="000000"/>
          <w:sz w:val="28"/>
          <w:szCs w:val="28"/>
          <w:highlight w:val="none"/>
        </w:rPr>
      </w:r>
      <w:r/>
    </w:p>
    <w:p>
      <w:pPr>
        <w:pStyle w:val="779"/>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委托人：</w:t>
      </w:r>
      <w:r>
        <w:rPr>
          <w:rFonts w:hint="eastAsia" w:ascii="宋体" w:hAnsi="宋体" w:eastAsia="宋体" w:cs="宋体"/>
          <w:color w:val="000000"/>
          <w:sz w:val="24"/>
          <w:highlight w:val="none"/>
        </w:rPr>
      </w:r>
      <w:r/>
    </w:p>
    <w:p>
      <w:pPr>
        <w:pStyle w:val="779"/>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地址：</w:t>
      </w:r>
      <w:r>
        <w:rPr>
          <w:rFonts w:hint="eastAsia" w:ascii="宋体" w:hAnsi="宋体" w:eastAsia="宋体" w:cs="宋体"/>
          <w:color w:val="000000"/>
          <w:sz w:val="24"/>
          <w:highlight w:val="none"/>
        </w:rPr>
      </w:r>
      <w:r/>
    </w:p>
    <w:p>
      <w:pPr>
        <w:pStyle w:val="779"/>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法定代表人（负责人）：               职务：</w:t>
      </w:r>
      <w:r>
        <w:rPr>
          <w:rFonts w:hint="eastAsia" w:ascii="宋体" w:hAnsi="宋体" w:eastAsia="宋体" w:cs="宋体"/>
          <w:color w:val="000000"/>
          <w:sz w:val="24"/>
          <w:highlight w:val="none"/>
        </w:rPr>
      </w:r>
      <w:r/>
    </w:p>
    <w:p>
      <w:pPr>
        <w:pStyle w:val="779"/>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统一社会信用代码：</w:t>
      </w:r>
      <w:r>
        <w:rPr>
          <w:rFonts w:hint="eastAsia" w:ascii="宋体" w:hAnsi="宋体" w:eastAsia="宋体" w:cs="宋体"/>
          <w:color w:val="000000"/>
          <w:sz w:val="24"/>
          <w:highlight w:val="none"/>
        </w:rPr>
      </w:r>
      <w:r/>
    </w:p>
    <w:p>
      <w:pPr>
        <w:pStyle w:val="779"/>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受托人：        性别：男（女）</w:t>
      </w:r>
      <w:r>
        <w:rPr>
          <w:rFonts w:hint="eastAsia" w:ascii="宋体" w:hAnsi="宋体" w:eastAsia="宋体" w:cs="宋体"/>
          <w:color w:val="000000"/>
          <w:sz w:val="24"/>
          <w:highlight w:val="none"/>
        </w:rPr>
      </w:r>
      <w:r/>
    </w:p>
    <w:p>
      <w:pPr>
        <w:pStyle w:val="779"/>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年龄：  岁      民族：  族</w:t>
      </w:r>
      <w:r>
        <w:rPr>
          <w:rFonts w:hint="eastAsia" w:ascii="宋体" w:hAnsi="宋体" w:eastAsia="宋体" w:cs="宋体"/>
          <w:color w:val="000000"/>
          <w:sz w:val="24"/>
          <w:highlight w:val="none"/>
        </w:rPr>
      </w:r>
      <w:r/>
    </w:p>
    <w:p>
      <w:pPr>
        <w:pStyle w:val="779"/>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职务：</w:t>
      </w:r>
      <w:r>
        <w:rPr>
          <w:rFonts w:hint="eastAsia" w:ascii="宋体" w:hAnsi="宋体" w:eastAsia="宋体" w:cs="宋体"/>
          <w:color w:val="000000"/>
          <w:sz w:val="24"/>
          <w:highlight w:val="none"/>
        </w:rPr>
      </w:r>
      <w:r/>
    </w:p>
    <w:p>
      <w:pPr>
        <w:pStyle w:val="779"/>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身份证号：</w:t>
      </w:r>
      <w:r>
        <w:rPr>
          <w:rFonts w:hint="eastAsia" w:ascii="宋体" w:hAnsi="宋体" w:eastAsia="宋体" w:cs="宋体"/>
          <w:color w:val="000000"/>
          <w:sz w:val="24"/>
          <w:highlight w:val="none"/>
        </w:rPr>
      </w:r>
      <w:r/>
    </w:p>
    <w:p>
      <w:pPr>
        <w:pStyle w:val="779"/>
        <w:ind w:firstLine="600"/>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兹委托（</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）全权代表我企业（公司）参与（</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）项目（项目编号：</w:t>
      </w:r>
      <w:r>
        <w:rPr>
          <w:rFonts w:hint="eastAsia" w:ascii="宋体" w:hAnsi="宋体" w:eastAsia="宋体" w:cs="宋体"/>
          <w:color w:val="000000"/>
          <w:sz w:val="24"/>
          <w:highlight w:val="none"/>
          <w:lang w:eastAsia="zh-CN"/>
        </w:rPr>
        <w:t xml:space="preserve">JSZC-320300-JSZR-G2026-0084</w:t>
      </w:r>
      <w:r>
        <w:rPr>
          <w:rFonts w:hint="eastAsia" w:ascii="宋体" w:hAnsi="宋体" w:eastAsia="宋体" w:cs="宋体"/>
          <w:color w:val="000000"/>
          <w:sz w:val="24"/>
          <w:highlight w:val="none"/>
        </w:rPr>
        <w:t xml:space="preserve">）的招、投标活动及签订合同。（</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）以我企业（公司）名义所为的法律行为及签署的文件，我企业（公司）均予以认可。有关法律责任均由我企业（公司）承担。（</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）无转委托权。</w:t>
      </w:r>
      <w:r>
        <w:rPr>
          <w:rFonts w:hint="eastAsia" w:ascii="宋体" w:hAnsi="宋体" w:eastAsia="宋体" w:cs="宋体"/>
          <w:color w:val="000000"/>
          <w:sz w:val="24"/>
          <w:highlight w:val="none"/>
        </w:rPr>
      </w:r>
      <w:r/>
    </w:p>
    <w:p>
      <w:pPr>
        <w:pStyle w:val="779"/>
        <w:ind w:firstLine="600"/>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委托期限自</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日起至</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日止。</w:t>
      </w:r>
      <w:r>
        <w:rPr>
          <w:rFonts w:hint="eastAsia" w:ascii="宋体" w:hAnsi="宋体" w:eastAsia="宋体" w:cs="宋体"/>
          <w:color w:val="000000"/>
          <w:sz w:val="24"/>
          <w:highlight w:val="none"/>
        </w:rPr>
      </w:r>
      <w:r/>
    </w:p>
    <w:p>
      <w:pPr>
        <w:pStyle w:val="779"/>
        <w:ind w:firstLine="630"/>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特此授权委托。</w:t>
      </w:r>
      <w:r>
        <w:rPr>
          <w:rFonts w:hint="eastAsia" w:ascii="宋体" w:hAnsi="宋体" w:eastAsia="宋体" w:cs="宋体"/>
          <w:color w:val="000000"/>
          <w:sz w:val="24"/>
          <w:highlight w:val="none"/>
        </w:rPr>
      </w:r>
      <w:r/>
    </w:p>
    <w:p>
      <w:pPr>
        <w:pStyle w:val="779"/>
        <w:ind w:firstLine="600"/>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pStyle w:val="779"/>
        <w:ind w:firstLine="600"/>
        <w:spacing w:line="479" w:lineRule="atLeast"/>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委托人（电子签章）：</w:t>
      </w:r>
      <w:r>
        <w:rPr>
          <w:rFonts w:hint="eastAsia" w:ascii="宋体" w:hAnsi="宋体" w:eastAsia="宋体" w:cs="宋体"/>
          <w:b/>
          <w:bCs/>
          <w:color w:val="000000"/>
          <w:sz w:val="24"/>
          <w:highlight w:val="none"/>
        </w:rPr>
      </w:r>
      <w:r/>
    </w:p>
    <w:p>
      <w:pPr>
        <w:pStyle w:val="779"/>
        <w:ind w:firstLine="600"/>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pStyle w:val="779"/>
        <w:ind w:firstLine="600"/>
        <w:spacing w:line="479" w:lineRule="atLeast"/>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法定代表人（负责人）（签字或盖章）： </w:t>
      </w:r>
      <w:r>
        <w:rPr>
          <w:rFonts w:hint="eastAsia" w:ascii="宋体" w:hAnsi="宋体" w:eastAsia="宋体" w:cs="宋体"/>
          <w:b/>
          <w:bCs/>
          <w:color w:val="000000"/>
          <w:sz w:val="24"/>
          <w:highlight w:val="none"/>
        </w:rPr>
      </w:r>
      <w:r/>
    </w:p>
    <w:p>
      <w:pPr>
        <w:pStyle w:val="779"/>
        <w:ind w:firstLine="600"/>
        <w:spacing w:line="479" w:lineRule="atLeast"/>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r>
      <w:r/>
    </w:p>
    <w:p>
      <w:pPr>
        <w:pStyle w:val="779"/>
        <w:ind w:firstLine="600"/>
        <w:spacing w:line="479" w:lineRule="atLeast"/>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受托人（签字或盖章）：</w:t>
      </w:r>
      <w:r>
        <w:rPr>
          <w:rFonts w:hint="eastAsia" w:ascii="宋体" w:hAnsi="宋体" w:eastAsia="宋体" w:cs="宋体"/>
          <w:b/>
          <w:bCs/>
          <w:color w:val="000000"/>
          <w:sz w:val="24"/>
          <w:highlight w:val="none"/>
        </w:rPr>
      </w:r>
      <w:r/>
    </w:p>
    <w:p>
      <w:pPr>
        <w:pStyle w:val="779"/>
        <w:ind w:firstLine="600"/>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pStyle w:val="968"/>
        <w:ind w:left="0" w:firstLine="602"/>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受托人联系方式：            邮箱：</w:t>
      </w:r>
      <w:r>
        <w:rPr>
          <w:rFonts w:hint="eastAsia" w:ascii="宋体" w:hAnsi="宋体" w:eastAsia="宋体" w:cs="宋体"/>
          <w:color w:val="000000"/>
          <w:sz w:val="24"/>
          <w:highlight w:val="none"/>
        </w:rPr>
      </w:r>
      <w:r/>
    </w:p>
    <w:p>
      <w:pPr>
        <w:pStyle w:val="779"/>
        <w:ind w:right="600" w:firstLine="6150"/>
        <w:spacing w:line="479" w:lineRule="atLeast"/>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年  月 日</w:t>
      </w:r>
      <w:r>
        <w:rPr>
          <w:rFonts w:hint="eastAsia" w:ascii="宋体" w:hAnsi="宋体" w:eastAsia="宋体" w:cs="宋体"/>
          <w:color w:val="000000"/>
          <w:sz w:val="24"/>
          <w:highlight w:val="none"/>
        </w:rPr>
        <w:t xml:space="preserve"> </w:t>
      </w:r>
      <w:r>
        <w:rPr>
          <w:rFonts w:hint="eastAsia" w:ascii="宋体" w:hAnsi="宋体" w:eastAsia="宋体" w:cs="宋体"/>
          <w:b/>
          <w:bCs/>
          <w:color w:val="000000"/>
          <w:sz w:val="24"/>
          <w:highlight w:val="none"/>
        </w:rPr>
      </w:r>
      <w:r/>
    </w:p>
    <w:p>
      <w:pPr>
        <w:pStyle w:val="779"/>
        <w:spacing w:line="479" w:lineRule="atLeast"/>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（受托人身份证扫描件附后）</w:t>
      </w:r>
      <w:r>
        <w:rPr>
          <w:rFonts w:hint="eastAsia" w:ascii="宋体" w:hAnsi="宋体" w:eastAsia="宋体" w:cs="宋体"/>
          <w:b/>
          <w:bCs/>
          <w:color w:val="000000"/>
          <w:sz w:val="24"/>
          <w:highlight w:val="none"/>
        </w:rPr>
      </w:r>
      <w:r/>
    </w:p>
    <w:p>
      <w:pPr>
        <w:pStyle w:val="779"/>
        <w:ind w:firstLine="447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rPr>
          <w:rFonts w:hint="eastAsia" w:ascii="宋体" w:hAnsi="宋体" w:eastAsia="宋体" w:cs="宋体"/>
          <w:color w:val="000000"/>
          <w:highlight w:val="none"/>
        </w:rPr>
      </w:r>
      <w:r/>
    </w:p>
    <w:p>
      <w:pPr>
        <w:pStyle w:val="779"/>
        <w:ind w:firstLine="600"/>
        <w:jc w:val="center"/>
        <w:spacing w:before="100" w:after="100" w:line="479" w:lineRule="atLeas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32"/>
          <w:szCs w:val="32"/>
          <w:highlight w:val="none"/>
        </w:rPr>
      </w:r>
      <w:r/>
    </w:p>
    <w:p>
      <w:pPr>
        <w:pStyle w:val="779"/>
        <w:jc w:val="center"/>
        <w:spacing w:before="100" w:after="100" w:line="479" w:lineRule="atLeast"/>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（二）法定代表人</w:t>
      </w:r>
      <w:r>
        <w:rPr>
          <w:rFonts w:hint="eastAsia" w:ascii="宋体" w:hAnsi="宋体" w:eastAsia="宋体" w:cs="宋体"/>
          <w:b/>
          <w:bCs/>
          <w:color w:val="000000"/>
          <w:sz w:val="28"/>
          <w:szCs w:val="28"/>
          <w:highlight w:val="none"/>
          <w:lang w:eastAsia="zh-CN"/>
        </w:rPr>
        <w:t xml:space="preserve">（负责人）</w:t>
      </w:r>
      <w:r>
        <w:rPr>
          <w:rFonts w:hint="eastAsia" w:ascii="宋体" w:hAnsi="宋体" w:eastAsia="宋体" w:cs="宋体"/>
          <w:b/>
          <w:bCs/>
          <w:color w:val="000000"/>
          <w:sz w:val="28"/>
          <w:szCs w:val="28"/>
          <w:highlight w:val="none"/>
        </w:rPr>
        <w:t xml:space="preserve">身份证明书</w:t>
      </w:r>
      <w:r>
        <w:rPr>
          <w:rFonts w:hint="eastAsia" w:ascii="宋体" w:hAnsi="宋体" w:eastAsia="宋体" w:cs="宋体"/>
          <w:b/>
          <w:bCs/>
          <w:color w:val="000000"/>
          <w:sz w:val="28"/>
          <w:szCs w:val="28"/>
          <w:highlight w:val="none"/>
        </w:rPr>
      </w:r>
      <w:r/>
    </w:p>
    <w:p>
      <w:pPr>
        <w:pStyle w:val="95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9"/>
        <w:ind w:firstLine="480"/>
        <w:spacing w:line="500" w:lineRule="exact"/>
        <w:tabs>
          <w:tab w:val="left" w:pos="720" w:leader="none"/>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29"/>
        <w:spacing w:line="360" w:lineRule="auto"/>
        <w:tabs>
          <w:tab w:val="left" w:pos="720" w:leader="none"/>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单位名称：</w:t>
      </w:r>
      <w:r>
        <w:rPr>
          <w:rFonts w:hint="eastAsia" w:ascii="宋体" w:hAnsi="宋体" w:eastAsia="宋体" w:cs="宋体"/>
          <w:color w:val="000000"/>
          <w:sz w:val="24"/>
          <w:highlight w:val="none"/>
        </w:rPr>
      </w:r>
      <w:r/>
    </w:p>
    <w:p>
      <w:pPr>
        <w:pStyle w:val="929"/>
        <w:spacing w:line="360" w:lineRule="auto"/>
        <w:tabs>
          <w:tab w:val="left" w:pos="720" w:leader="none"/>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地址：</w:t>
      </w:r>
      <w:r>
        <w:rPr>
          <w:rFonts w:hint="eastAsia" w:ascii="宋体" w:hAnsi="宋体" w:eastAsia="宋体" w:cs="宋体"/>
          <w:color w:val="000000"/>
          <w:sz w:val="24"/>
          <w:highlight w:val="none"/>
        </w:rPr>
      </w:r>
      <w:r/>
    </w:p>
    <w:p>
      <w:pPr>
        <w:pStyle w:val="929"/>
        <w:spacing w:line="360" w:lineRule="auto"/>
        <w:tabs>
          <w:tab w:val="left" w:pos="720" w:leader="none"/>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姓名：            性别：    </w:t>
      </w:r>
      <w:r>
        <w:rPr>
          <w:rFonts w:hint="eastAsia" w:ascii="宋体" w:hAnsi="宋体" w:eastAsia="宋体" w:cs="宋体"/>
          <w:color w:val="000000"/>
          <w:sz w:val="24"/>
          <w:highlight w:val="none"/>
        </w:rPr>
      </w:r>
      <w:r/>
    </w:p>
    <w:p>
      <w:pPr>
        <w:pStyle w:val="929"/>
        <w:spacing w:line="360" w:lineRule="auto"/>
        <w:tabs>
          <w:tab w:val="left" w:pos="720" w:leader="none"/>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身份证号：        职务：</w:t>
      </w:r>
      <w:r>
        <w:rPr>
          <w:rFonts w:hint="eastAsia" w:ascii="宋体" w:hAnsi="宋体" w:eastAsia="宋体" w:cs="宋体"/>
          <w:color w:val="000000"/>
          <w:sz w:val="24"/>
          <w:highlight w:val="none"/>
        </w:rPr>
      </w:r>
      <w:r/>
    </w:p>
    <w:p>
      <w:pPr>
        <w:pStyle w:val="929"/>
        <w:ind w:firstLine="96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929"/>
        <w:ind w:firstLine="480"/>
        <w:spacing w:line="360" w:lineRule="auto"/>
        <w:tabs>
          <w:tab w:val="left" w:pos="720" w:leader="none"/>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系我企业（公司）的法定代表人</w:t>
      </w:r>
      <w:r>
        <w:rPr>
          <w:rFonts w:hint="eastAsia" w:ascii="宋体" w:hAnsi="宋体" w:eastAsia="宋体" w:cs="宋体"/>
          <w:color w:val="000000"/>
          <w:sz w:val="24"/>
          <w:highlight w:val="none"/>
          <w:lang w:eastAsia="zh-CN"/>
        </w:rPr>
        <w:t xml:space="preserve">（负责人）</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29"/>
        <w:spacing w:line="360" w:lineRule="auto"/>
        <w:tabs>
          <w:tab w:val="left" w:pos="720" w:leader="none"/>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29"/>
        <w:ind w:firstLine="480"/>
        <w:spacing w:line="360" w:lineRule="auto"/>
        <w:tabs>
          <w:tab w:val="left" w:pos="720" w:leader="none"/>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特此证明。</w:t>
      </w:r>
      <w:r>
        <w:rPr>
          <w:rFonts w:hint="eastAsia" w:ascii="宋体" w:hAnsi="宋体" w:eastAsia="宋体" w:cs="宋体"/>
          <w:color w:val="000000"/>
          <w:sz w:val="24"/>
          <w:highlight w:val="none"/>
        </w:rPr>
      </w:r>
      <w:r/>
    </w:p>
    <w:p>
      <w:pPr>
        <w:pStyle w:val="929"/>
        <w:ind w:firstLine="480"/>
        <w:spacing w:line="360" w:lineRule="auto"/>
        <w:tabs>
          <w:tab w:val="left" w:pos="720" w:leader="none"/>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79"/>
        <w:spacing w:line="71"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pStyle w:val="779"/>
        <w:spacing w:line="71"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（电子签章）</w:t>
      </w:r>
      <w:r>
        <w:rPr>
          <w:rFonts w:hint="eastAsia" w:ascii="宋体" w:hAnsi="宋体" w:eastAsia="宋体" w:cs="宋体"/>
          <w:color w:val="000000"/>
          <w:sz w:val="24"/>
          <w:highlight w:val="none"/>
        </w:rPr>
      </w:r>
      <w:r/>
    </w:p>
    <w:p>
      <w:pPr>
        <w:pStyle w:val="779"/>
        <w:spacing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779"/>
        <w:spacing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法定代表人（负责人）（签字或盖章）： </w:t>
      </w:r>
      <w:r>
        <w:rPr>
          <w:rFonts w:hint="eastAsia" w:ascii="宋体" w:hAnsi="宋体" w:eastAsia="宋体" w:cs="宋体"/>
          <w:color w:val="000000"/>
          <w:sz w:val="24"/>
          <w:highlight w:val="none"/>
        </w:rPr>
      </w:r>
      <w:r/>
    </w:p>
    <w:p>
      <w:pPr>
        <w:pStyle w:val="779"/>
        <w:spacing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pStyle w:val="779"/>
        <w:spacing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24"/>
          <w:highlight w:val="none"/>
        </w:rPr>
      </w:r>
      <w:r/>
    </w:p>
    <w:p>
      <w:pPr>
        <w:pStyle w:val="929"/>
        <w:jc w:val="right"/>
        <w:spacing w:line="360" w:lineRule="auto"/>
        <w:tabs>
          <w:tab w:val="left" w:pos="720" w:leader="none"/>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29"/>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29"/>
        <w:spacing w:line="360" w:lineRule="auto"/>
        <w:tabs>
          <w:tab w:val="left" w:pos="720" w:leader="none"/>
          <w:tab w:val="left" w:pos="90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（法定代表人</w:t>
      </w:r>
      <w:r>
        <w:rPr>
          <w:rFonts w:hint="eastAsia" w:ascii="宋体" w:hAnsi="宋体" w:eastAsia="宋体" w:cs="宋体"/>
          <w:b/>
          <w:bCs/>
          <w:color w:val="000000"/>
          <w:sz w:val="24"/>
          <w:highlight w:val="none"/>
          <w:lang w:eastAsia="zh-CN"/>
        </w:rPr>
        <w:t xml:space="preserve">（负责人）</w:t>
      </w:r>
      <w:r>
        <w:rPr>
          <w:rFonts w:hint="eastAsia" w:ascii="宋体" w:hAnsi="宋体" w:eastAsia="宋体" w:cs="宋体"/>
          <w:b/>
          <w:bCs/>
          <w:color w:val="000000"/>
          <w:sz w:val="24"/>
          <w:highlight w:val="none"/>
        </w:rPr>
        <w:t xml:space="preserve">身份证原件扫描件附后）</w:t>
      </w:r>
      <w:r>
        <w:rPr>
          <w:rFonts w:hint="eastAsia" w:ascii="宋体" w:hAnsi="宋体" w:eastAsia="宋体" w:cs="宋体"/>
          <w:b/>
          <w:bCs/>
          <w:color w:val="000000"/>
          <w:sz w:val="24"/>
          <w:highlight w:val="none"/>
        </w:rPr>
      </w:r>
      <w:r/>
    </w:p>
    <w:p>
      <w:pPr>
        <w:pStyle w:val="779"/>
        <w:rPr>
          <w:rFonts w:hint="eastAsia" w:ascii="宋体" w:hAnsi="宋体" w:eastAsia="宋体" w:cs="宋体"/>
          <w:b/>
          <w:bCs/>
          <w:color w:val="000000"/>
          <w:sz w:val="24"/>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24"/>
          <w:highlight w:val="none"/>
        </w:rPr>
      </w:r>
      <w:r/>
    </w:p>
    <w:p>
      <w:pPr>
        <w:pStyle w:val="779"/>
        <w:ind w:firstLine="600"/>
        <w:jc w:val="center"/>
        <w:spacing w:before="100" w:after="100" w:line="479"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六、中小企业声明函格式</w:t>
      </w:r>
      <w:r>
        <w:rPr>
          <w:rFonts w:hint="eastAsia" w:ascii="宋体" w:hAnsi="宋体" w:eastAsia="宋体" w:cs="宋体"/>
          <w:color w:val="000000"/>
          <w:sz w:val="28"/>
          <w:szCs w:val="28"/>
          <w:highlight w:val="none"/>
        </w:rPr>
      </w:r>
      <w:r/>
    </w:p>
    <w:p>
      <w:pPr>
        <w:pStyle w:val="779"/>
        <w:spacing w:before="100" w:after="100"/>
        <w:rPr>
          <w:rFonts w:hint="eastAsia" w:ascii="宋体" w:hAnsi="宋体" w:eastAsia="宋体" w:cs="宋体"/>
          <w:color w:val="000000"/>
          <w:szCs w:val="21"/>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lang w:bidi="ar"/>
        </w:rPr>
        <w:t xml:space="preserve">项目编号：</w:t>
      </w:r>
      <w:r>
        <w:rPr>
          <w:rFonts w:hint="eastAsia" w:ascii="宋体" w:hAnsi="宋体" w:eastAsia="宋体" w:cs="宋体"/>
          <w:color w:val="000000"/>
          <w:szCs w:val="21"/>
          <w:highlight w:val="none"/>
          <w:lang w:bidi="ar"/>
        </w:rPr>
      </w:r>
      <w:r/>
    </w:p>
    <w:p>
      <w:pPr>
        <w:pStyle w:val="779"/>
        <w:spacing w:before="100" w:after="100"/>
        <w:rPr>
          <w:rFonts w:hint="eastAsia" w:ascii="宋体" w:hAnsi="宋体" w:eastAsia="宋体" w:cs="宋体"/>
          <w:color w:val="000000"/>
          <w:szCs w:val="21"/>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lang w:bidi="ar"/>
        </w:rPr>
        <w:t xml:space="preserve">项目名称：</w:t>
      </w:r>
      <w:r>
        <w:rPr>
          <w:rFonts w:hint="eastAsia" w:ascii="宋体" w:hAnsi="宋体" w:eastAsia="宋体" w:cs="宋体"/>
          <w:color w:val="000000"/>
          <w:szCs w:val="21"/>
          <w:highlight w:val="none"/>
          <w:lang w:bidi="ar"/>
        </w:rPr>
      </w:r>
      <w:r/>
    </w:p>
    <w:p>
      <w:pPr>
        <w:pStyle w:val="816"/>
        <w:ind w:firstLine="420"/>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color w:val="000000"/>
          <w:sz w:val="21"/>
          <w:szCs w:val="21"/>
          <w:highlight w:val="none"/>
        </w:rPr>
        <w:t xml:space="preserve">本公司郑重声明，根据《政府采购促进中小企业发展管理办法》（财库〔2020〕46号）的规定，本公司参加</w:t>
      </w:r>
      <w:r>
        <w:rPr>
          <w:rFonts w:hint="eastAsia" w:ascii="宋体" w:hAnsi="宋体" w:eastAsia="宋体" w:cs="宋体"/>
          <w:color w:val="000000"/>
          <w:sz w:val="21"/>
          <w:szCs w:val="21"/>
          <w:highlight w:val="none"/>
          <w:u w:val="single"/>
        </w:rPr>
        <w:t xml:space="preserve">（单位名称）</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u w:val="single"/>
        </w:rPr>
        <w:t xml:space="preserve">（项目名称）</w:t>
      </w:r>
      <w:r>
        <w:rPr>
          <w:rFonts w:hint="eastAsia" w:ascii="宋体" w:hAnsi="宋体" w:eastAsia="宋体" w:cs="宋体"/>
          <w:color w:val="000000"/>
          <w:sz w:val="21"/>
          <w:szCs w:val="21"/>
          <w:highlight w:val="none"/>
        </w:rPr>
        <w:t xml:space="preserve">采购活动，服务全部由符合政策要求的中小企业承接（或者：工程的施工单位全部为符合政策要求的中小企业）。相关企业（含联合体中的中小企业、签订分包意向协议的中小企业）的具体情况如下：</w:t>
      </w:r>
      <w:r>
        <w:rPr>
          <w:rFonts w:hint="eastAsia" w:ascii="宋体" w:hAnsi="宋体" w:eastAsia="宋体" w:cs="宋体"/>
          <w:color w:val="000000"/>
          <w:highlight w:val="none"/>
        </w:rPr>
      </w:r>
      <w:r/>
    </w:p>
    <w:p>
      <w:pPr>
        <w:pStyle w:val="816"/>
        <w:ind w:firstLine="420"/>
        <w:spacing w:before="0" w:beforeAutospacing="0" w:after="0" w:afterAutospacing="0" w:line="360" w:lineRule="auto"/>
        <w:tabs>
          <w:tab w:val="left" w:pos="1707" w:leader="none"/>
          <w:tab w:val="left" w:pos="4909" w:leader="none"/>
          <w:tab w:val="left" w:pos="7119" w:leader="none"/>
        </w:tabs>
        <w:rPr>
          <w:rFonts w:hint="eastAsia" w:ascii="宋体" w:hAnsi="宋体" w:eastAsia="宋体" w:cs="宋体"/>
          <w:color w:val="000000"/>
          <w:highlight w:val="none"/>
        </w:rPr>
      </w:pPr>
      <w:r>
        <w:rPr>
          <w:rFonts w:hint="eastAsia" w:ascii="宋体" w:hAnsi="宋体" w:eastAsia="宋体" w:cs="宋体"/>
          <w:color w:val="000000"/>
          <w:sz w:val="21"/>
          <w:szCs w:val="21"/>
          <w:highlight w:val="none"/>
          <w:u w:val="single"/>
        </w:rPr>
        <w:t xml:space="preserve">（标的名称）</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租赁和商务服务业</w:t>
      </w:r>
      <w:r>
        <w:rPr>
          <w:rFonts w:hint="eastAsia" w:ascii="宋体" w:hAnsi="宋体" w:eastAsia="宋体" w:cs="宋体"/>
          <w:b w:val="0"/>
          <w:bCs w:val="0"/>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none"/>
        </w:rPr>
        <w:t xml:space="preserve">行业</w:t>
      </w:r>
      <w:r>
        <w:rPr>
          <w:rFonts w:hint="eastAsia" w:ascii="宋体" w:hAnsi="宋体" w:eastAsia="宋体" w:cs="宋体"/>
          <w:color w:val="000000"/>
          <w:sz w:val="21"/>
          <w:szCs w:val="21"/>
          <w:highlight w:val="none"/>
        </w:rPr>
        <w:t xml:space="preserve">（采购文件中明确的所属行业）；承建（承接）企业为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vertAlign w:val="superscript"/>
        </w:rPr>
        <w:t xml:space="preserve">1</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（□中型企业、□小型企业、□微型企业，</w:t>
      </w:r>
      <w:r>
        <w:rPr>
          <w:rFonts w:hint="eastAsia" w:ascii="宋体" w:hAnsi="宋体" w:eastAsia="宋体" w:cs="宋体"/>
          <w:color w:val="000000"/>
          <w:sz w:val="21"/>
          <w:szCs w:val="21"/>
          <w:highlight w:val="none"/>
        </w:rPr>
        <w:t xml:space="preserve">请勾选！！！）。</w:t>
      </w:r>
      <w:r>
        <w:rPr>
          <w:rFonts w:hint="eastAsia" w:ascii="宋体" w:hAnsi="宋体" w:eastAsia="宋体" w:cs="宋体"/>
          <w:color w:val="000000"/>
          <w:highlight w:val="none"/>
        </w:rPr>
      </w:r>
      <w:r/>
    </w:p>
    <w:p>
      <w:pPr>
        <w:pStyle w:val="816"/>
        <w:ind w:firstLine="420"/>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color w:val="000000"/>
          <w:sz w:val="21"/>
          <w:szCs w:val="21"/>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highlight w:val="none"/>
        </w:rPr>
      </w:r>
      <w:r/>
    </w:p>
    <w:p>
      <w:pPr>
        <w:pStyle w:val="816"/>
        <w:ind w:firstLine="420"/>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color w:val="000000"/>
          <w:sz w:val="21"/>
          <w:szCs w:val="21"/>
          <w:highlight w:val="none"/>
        </w:rPr>
        <w:t xml:space="preserve">本企业对上述声明内容的真实性负责。如有虚假，将依法承担相应责任。</w:t>
      </w:r>
      <w:r>
        <w:rPr>
          <w:rFonts w:hint="eastAsia" w:ascii="宋体" w:hAnsi="宋体" w:eastAsia="宋体" w:cs="宋体"/>
          <w:color w:val="000000"/>
          <w:highlight w:val="none"/>
        </w:rPr>
      </w:r>
      <w:r/>
    </w:p>
    <w:p>
      <w:pPr>
        <w:pStyle w:val="854"/>
        <w:ind w:left="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54"/>
        <w:spacing w:line="360" w:lineRule="auto"/>
        <w:rPr>
          <w:rFonts w:hint="eastAsia" w:ascii="宋体" w:hAnsi="宋体" w:eastAsia="宋体" w:cs="宋体"/>
          <w:color w:val="000000"/>
          <w:sz w:val="24"/>
          <w:highlight w:val="none"/>
        </w:rPr>
      </w:pPr>
      <w:r>
        <w:rPr>
          <w:rFonts w:hint="eastAsia" w:ascii="宋体" w:hAnsi="宋体" w:eastAsia="宋体" w:cs="宋体"/>
          <w:color w:val="000000"/>
          <w:szCs w:val="21"/>
          <w:highlight w:val="none"/>
          <w:lang w:bidi="ar"/>
        </w:rPr>
        <w:t xml:space="preserve">企业名称（供应商名称）（电子签章）</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54"/>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日期：  年  月  日</w:t>
      </w:r>
      <w:r>
        <w:rPr>
          <w:rFonts w:hint="eastAsia" w:ascii="宋体" w:hAnsi="宋体" w:eastAsia="宋体" w:cs="宋体"/>
          <w:color w:val="000000"/>
          <w:szCs w:val="21"/>
          <w:highlight w:val="none"/>
          <w:lang w:bidi="ar"/>
        </w:rPr>
      </w:r>
      <w:r/>
    </w:p>
    <w:p>
      <w:pPr>
        <w:pStyle w:val="779"/>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备注：本采购项目所属行业为“租赁和商务服务业”。</w:t>
      </w:r>
      <w:r>
        <w:rPr>
          <w:rFonts w:hint="eastAsia" w:ascii="宋体" w:hAnsi="宋体" w:eastAsia="宋体" w:cs="宋体"/>
          <w:color w:val="000000"/>
          <w:szCs w:val="21"/>
          <w:highlight w:val="none"/>
          <w:lang w:bidi="ar"/>
        </w:rPr>
      </w:r>
      <w:r/>
    </w:p>
    <w:p>
      <w:pPr>
        <w:pStyle w:val="854"/>
        <w:ind w:left="0"/>
        <w:jc w:val="left"/>
        <w:spacing w:after="0"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说明：</w:t>
      </w:r>
      <w:r>
        <w:rPr>
          <w:rFonts w:hint="eastAsia" w:ascii="宋体" w:hAnsi="宋体" w:eastAsia="宋体" w:cs="宋体"/>
          <w:color w:val="000000"/>
          <w:szCs w:val="21"/>
          <w:highlight w:val="none"/>
          <w:lang w:bidi="ar"/>
        </w:rPr>
      </w:r>
      <w:r/>
    </w:p>
    <w:p>
      <w:pPr>
        <w:pStyle w:val="854"/>
        <w:ind w:left="0"/>
        <w:spacing w:after="0"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宋体" w:hAnsi="宋体" w:eastAsia="宋体" w:cs="宋体"/>
          <w:color w:val="000000"/>
          <w:szCs w:val="21"/>
          <w:highlight w:val="none"/>
          <w:lang w:bidi="ar"/>
        </w:rPr>
      </w:r>
      <w:r/>
    </w:p>
    <w:p>
      <w:pPr>
        <w:pStyle w:val="854"/>
        <w:ind w:left="0"/>
        <w:spacing w:after="0"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2、从业人员、营业收入、资产总额填报供应商上一年度数据，无上一年度数据的新成立企业可不填报。</w:t>
      </w:r>
      <w:r>
        <w:rPr>
          <w:rFonts w:hint="eastAsia" w:ascii="宋体" w:hAnsi="宋体" w:eastAsia="宋体" w:cs="宋体"/>
          <w:color w:val="000000"/>
          <w:szCs w:val="21"/>
          <w:highlight w:val="none"/>
          <w:lang w:bidi="ar"/>
        </w:rPr>
      </w:r>
      <w:r/>
    </w:p>
    <w:p>
      <w:pPr>
        <w:pStyle w:val="854"/>
        <w:ind w:left="0"/>
        <w:spacing w:after="0"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3、中标、成交供应商为小型、微型企业的，采购人或者其委托的采购代理机构有权随中标、成交结果同时公告其《中小企业声明函》，接受社会监督。</w:t>
      </w:r>
      <w:r>
        <w:rPr>
          <w:rFonts w:hint="eastAsia" w:ascii="宋体" w:hAnsi="宋体" w:eastAsia="宋体" w:cs="宋体"/>
          <w:color w:val="000000"/>
          <w:szCs w:val="21"/>
          <w:highlight w:val="none"/>
          <w:lang w:bidi="ar"/>
        </w:rPr>
      </w:r>
      <w:r/>
    </w:p>
    <w:p>
      <w:pPr>
        <w:pStyle w:val="854"/>
        <w:ind w:left="0"/>
        <w:spacing w:after="0"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4、执行江苏省财政厅关于进一步加大政府采购支持中小企业力度的通知（苏财购〔2022〕45号）的规定。</w:t>
      </w:r>
      <w:r>
        <w:rPr>
          <w:rFonts w:hint="eastAsia" w:ascii="宋体" w:hAnsi="宋体" w:eastAsia="宋体" w:cs="宋体"/>
          <w:color w:val="000000"/>
          <w:szCs w:val="21"/>
          <w:highlight w:val="none"/>
          <w:lang w:bidi="ar"/>
        </w:rPr>
      </w:r>
      <w:r/>
    </w:p>
    <w:p>
      <w:pPr>
        <w:pStyle w:val="854"/>
        <w:ind w:left="0"/>
        <w:spacing w:after="0"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5、供应商提供的《中小企业声明函》与事实不符的，依照《中华人民共和国政府采购法》第七十七条第一款的规定追究法律责任。</w:t>
      </w:r>
      <w:r>
        <w:rPr>
          <w:rFonts w:hint="eastAsia" w:ascii="宋体" w:hAnsi="宋体" w:eastAsia="宋体" w:cs="宋体"/>
          <w:color w:val="000000"/>
          <w:szCs w:val="21"/>
          <w:highlight w:val="none"/>
          <w:lang w:bidi="ar"/>
        </w:rPr>
      </w:r>
      <w:r/>
    </w:p>
    <w:p>
      <w:pPr>
        <w:pStyle w:val="779"/>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6、《中小企业声明函》查询渠道用微信搜索“中小企业规模类型自测小程序”。</w:t>
      </w:r>
      <w:r>
        <w:rPr>
          <w:rFonts w:hint="eastAsia" w:ascii="宋体" w:hAnsi="宋体" w:eastAsia="宋体" w:cs="宋体"/>
          <w:color w:val="000000"/>
          <w:szCs w:val="21"/>
          <w:highlight w:val="none"/>
          <w:lang w:bidi="ar"/>
        </w:rPr>
      </w:r>
      <w:r/>
    </w:p>
    <w:p>
      <w:pPr>
        <w:pStyle w:val="779"/>
        <w:ind w:firstLine="600"/>
        <w:jc w:val="center"/>
        <w:spacing w:line="47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mc:AlternateContent>
          <mc:Choice Requires="wpg">
            <w:drawing>
              <wp:inline xmlns:wp="http://schemas.openxmlformats.org/drawingml/2006/wordprocessingDrawing" distT="0" distB="0" distL="0" distR="0">
                <wp:extent cx="3117355" cy="6063526"/>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rcRect l="0" t="4030" r="0" b="0"/>
                        <a:stretch/>
                      </pic:blipFill>
                      <pic:spPr bwMode="auto">
                        <a:xfrm>
                          <a:off x="0" y="0"/>
                          <a:ext cx="3117355" cy="60635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45.5pt;height:477.4pt;mso-wrap-distance-left:0.0pt;mso-wrap-distance-top:0.0pt;mso-wrap-distance-right:0.0pt;mso-wrap-distance-bottom:0.0pt;" stroked="f">
                <v:path textboxrect="0,0,0,0"/>
                <v:imagedata r:id="rId15" o:title=""/>
              </v:shape>
            </w:pict>
          </mc:Fallback>
        </mc:AlternateContent>
      </w: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779"/>
        <w:ind w:firstLine="600"/>
        <w:jc w:val="center"/>
        <w:spacing w:line="479" w:lineRule="atLeast"/>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七、残疾人福利性单位声明函</w:t>
      </w:r>
      <w:r>
        <w:rPr>
          <w:rFonts w:hint="eastAsia" w:ascii="宋体" w:hAnsi="宋体" w:eastAsia="宋体" w:cs="宋体"/>
          <w:b/>
          <w:bCs/>
          <w:color w:val="000000"/>
          <w:sz w:val="28"/>
          <w:szCs w:val="28"/>
          <w:highlight w:val="none"/>
        </w:rPr>
      </w:r>
      <w:r/>
    </w:p>
    <w:p>
      <w:pPr>
        <w:pStyle w:val="779"/>
        <w:jc w:val="center"/>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（如投标人不属于残疾人福利性单位不需要提供此声明函）</w:t>
      </w:r>
      <w:r>
        <w:rPr>
          <w:rFonts w:hint="eastAsia" w:ascii="宋体" w:hAnsi="宋体" w:eastAsia="宋体" w:cs="宋体"/>
          <w:color w:val="000000"/>
          <w:sz w:val="24"/>
          <w:highlight w:val="none"/>
        </w:rPr>
      </w:r>
      <w:r/>
    </w:p>
    <w:p>
      <w:pPr>
        <w:pStyle w:val="779"/>
        <w:spacing w:line="360" w:lineRule="auto"/>
        <w:rPr>
          <w:rFonts w:hint="eastAsia" w:ascii="宋体" w:hAnsi="宋体" w:eastAsia="宋体" w:cs="宋体"/>
          <w:color w:val="000000"/>
          <w:spacing w:val="6"/>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r>
      <w:r/>
    </w:p>
    <w:p>
      <w:pPr>
        <w:pStyle w:val="779"/>
        <w:spacing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项目编号：</w:t>
      </w:r>
      <w:r>
        <w:rPr>
          <w:rFonts w:hint="eastAsia" w:ascii="宋体" w:hAnsi="宋体" w:eastAsia="宋体" w:cs="宋体"/>
          <w:color w:val="000000"/>
          <w:spacing w:val="6"/>
          <w:sz w:val="24"/>
          <w:highlight w:val="none"/>
          <w:lang w:eastAsia="zh-CN"/>
        </w:rPr>
        <w:t xml:space="preserve">JSZC-320300-JSZR-G2026-0084</w:t>
      </w:r>
      <w:r>
        <w:rPr>
          <w:rFonts w:hint="eastAsia" w:ascii="宋体" w:hAnsi="宋体" w:eastAsia="宋体" w:cs="宋体"/>
          <w:color w:val="000000"/>
          <w:sz w:val="24"/>
          <w:highlight w:val="none"/>
          <w:lang w:eastAsia="zh-CN"/>
        </w:rPr>
      </w:r>
      <w:r/>
    </w:p>
    <w:p>
      <w:pPr>
        <w:pStyle w:val="779"/>
        <w:spacing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项目名称：</w:t>
      </w:r>
      <w:r>
        <w:rPr>
          <w:rFonts w:hint="eastAsia" w:ascii="宋体" w:hAnsi="宋体" w:eastAsia="宋体" w:cs="宋体"/>
          <w:color w:val="000000"/>
          <w:spacing w:val="6"/>
          <w:sz w:val="24"/>
          <w:highlight w:val="none"/>
          <w:lang w:eastAsia="zh-CN"/>
        </w:rPr>
        <w:t xml:space="preserve">徐州市公安局JZ租用机房机柜</w:t>
      </w:r>
      <w:r>
        <w:rPr>
          <w:rFonts w:hint="eastAsia" w:ascii="宋体" w:hAnsi="宋体" w:eastAsia="宋体" w:cs="宋体"/>
          <w:color w:val="000000"/>
          <w:sz w:val="24"/>
          <w:highlight w:val="none"/>
          <w:lang w:eastAsia="zh-CN"/>
        </w:rPr>
      </w:r>
      <w:r/>
    </w:p>
    <w:p>
      <w:pPr>
        <w:pStyle w:val="779"/>
        <w:ind w:firstLine="624"/>
        <w:spacing w:line="360" w:lineRule="auto"/>
        <w:rPr>
          <w:rFonts w:hint="eastAsia" w:ascii="宋体" w:hAnsi="宋体" w:eastAsia="宋体" w:cs="宋体"/>
          <w:color w:val="000000"/>
          <w:spacing w:val="6"/>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r>
      <w:r/>
    </w:p>
    <w:p>
      <w:pPr>
        <w:pStyle w:val="779"/>
        <w:ind w:firstLine="624"/>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4"/>
          <w:highlight w:val="none"/>
        </w:rPr>
        <w:t xml:space="preserve">______</w:t>
      </w:r>
      <w:r>
        <w:rPr>
          <w:rFonts w:hint="eastAsia" w:ascii="宋体" w:hAnsi="宋体" w:eastAsia="宋体" w:cs="宋体"/>
          <w:color w:val="000000"/>
          <w:spacing w:val="6"/>
          <w:sz w:val="24"/>
          <w:highlight w:val="none"/>
        </w:rPr>
        <w:t xml:space="preserve">单位的</w:t>
      </w:r>
      <w:r>
        <w:rPr>
          <w:rFonts w:hint="eastAsia" w:ascii="宋体" w:hAnsi="宋体" w:eastAsia="宋体" w:cs="宋体"/>
          <w:color w:val="000000"/>
          <w:sz w:val="24"/>
          <w:highlight w:val="none"/>
        </w:rPr>
        <w:t xml:space="preserve">______</w:t>
      </w:r>
      <w:r>
        <w:rPr>
          <w:rFonts w:hint="eastAsia" w:ascii="宋体" w:hAnsi="宋体" w:eastAsia="宋体" w:cs="宋体"/>
          <w:color w:val="000000"/>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 w:val="24"/>
          <w:highlight w:val="none"/>
        </w:rPr>
      </w:r>
      <w:r/>
    </w:p>
    <w:p>
      <w:pPr>
        <w:pStyle w:val="779"/>
        <w:ind w:firstLine="624"/>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本单位对上述声明的真实性负责。如有虚假，将依法承担相应责任。</w:t>
      </w:r>
      <w:r>
        <w:rPr>
          <w:rFonts w:hint="eastAsia" w:ascii="宋体" w:hAnsi="宋体" w:eastAsia="宋体" w:cs="宋体"/>
          <w:color w:val="000000"/>
          <w:sz w:val="24"/>
          <w:highlight w:val="none"/>
        </w:rPr>
      </w:r>
      <w:r/>
    </w:p>
    <w:p>
      <w:pPr>
        <w:pStyle w:val="779"/>
        <w:ind w:firstLine="624"/>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 </w:t>
      </w:r>
      <w:r>
        <w:rPr>
          <w:rFonts w:hint="eastAsia" w:ascii="宋体" w:hAnsi="宋体" w:eastAsia="宋体" w:cs="宋体"/>
          <w:color w:val="000000"/>
          <w:sz w:val="24"/>
          <w:highlight w:val="none"/>
        </w:rPr>
      </w:r>
      <w:r/>
    </w:p>
    <w:p>
      <w:pPr>
        <w:pStyle w:val="779"/>
        <w:ind w:firstLine="624"/>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 </w:t>
      </w:r>
      <w:r>
        <w:rPr>
          <w:rFonts w:hint="eastAsia" w:ascii="宋体" w:hAnsi="宋体" w:eastAsia="宋体" w:cs="宋体"/>
          <w:color w:val="000000"/>
          <w:sz w:val="24"/>
          <w:highlight w:val="none"/>
        </w:rPr>
      </w:r>
      <w:r/>
    </w:p>
    <w:p>
      <w:pPr>
        <w:pStyle w:val="779"/>
        <w:ind w:firstLine="255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（电子签章）</w:t>
      </w:r>
      <w:r>
        <w:rPr>
          <w:rFonts w:hint="eastAsia" w:ascii="宋体" w:hAnsi="宋体" w:eastAsia="宋体" w:cs="宋体"/>
          <w:color w:val="000000"/>
          <w:sz w:val="24"/>
          <w:highlight w:val="none"/>
        </w:rPr>
      </w:r>
      <w:r/>
    </w:p>
    <w:p>
      <w:pPr>
        <w:pStyle w:val="779"/>
        <w:ind w:firstLine="450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779"/>
        <w:ind w:firstLine="240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24"/>
          <w:highlight w:val="none"/>
        </w:rPr>
      </w:r>
      <w:r/>
    </w:p>
    <w:p>
      <w:pPr>
        <w:pStyle w:val="779"/>
        <w:ind w:firstLine="4500"/>
        <w:spacing w:line="47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 </w:t>
      </w:r>
      <w:r>
        <w:rPr>
          <w:rFonts w:hint="eastAsia" w:ascii="宋体" w:hAnsi="宋体" w:eastAsia="宋体" w:cs="宋体"/>
          <w:color w:val="000000"/>
          <w:highlight w:val="none"/>
        </w:rPr>
      </w:r>
      <w:r/>
    </w:p>
    <w:p>
      <w:pPr>
        <w:pStyle w:val="779"/>
        <w:ind w:firstLine="600"/>
        <w:jc w:val="center"/>
        <w:spacing w:line="47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779"/>
        <w:jc w:val="center"/>
        <w:spacing w:line="479" w:lineRule="atLeast"/>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八、投标人参加政府采购活动前3年内在经营活动中没有重大违法记录的书面声明</w:t>
      </w:r>
      <w:r>
        <w:rPr>
          <w:rFonts w:hint="eastAsia" w:ascii="宋体" w:hAnsi="宋体" w:eastAsia="宋体" w:cs="宋体"/>
          <w:b/>
          <w:bCs/>
          <w:color w:val="000000"/>
          <w:sz w:val="28"/>
          <w:szCs w:val="28"/>
          <w:highlight w:val="none"/>
        </w:rPr>
      </w:r>
      <w:r/>
    </w:p>
    <w:p>
      <w:pPr>
        <w:pStyle w:val="779"/>
        <w:ind w:firstLine="600"/>
        <w:spacing w:line="47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 </w:t>
      </w:r>
      <w:r>
        <w:rPr>
          <w:rFonts w:hint="eastAsia" w:ascii="宋体" w:hAnsi="宋体" w:eastAsia="宋体" w:cs="宋体"/>
          <w:color w:val="000000"/>
          <w:highlight w:val="none"/>
        </w:rPr>
      </w:r>
      <w:r/>
    </w:p>
    <w:p>
      <w:pPr>
        <w:pStyle w:val="779"/>
        <w:ind w:firstLine="60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我单位在参加</w:t>
      </w:r>
      <w:r>
        <w:rPr>
          <w:rFonts w:hint="eastAsia" w:ascii="宋体" w:hAnsi="宋体" w:eastAsia="宋体" w:cs="宋体"/>
          <w:color w:val="000000"/>
          <w:sz w:val="24"/>
          <w:highlight w:val="none"/>
          <w:u w:val="single"/>
          <w:lang w:eastAsia="zh-CN"/>
        </w:rPr>
        <w:t xml:space="preserve">徐州市公安局JZ租用机房机柜</w:t>
      </w: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lang w:eastAsia="zh-CN"/>
        </w:rPr>
        <w:t xml:space="preserve">JSZC-320300-JSZR-G2026-0084</w:t>
      </w:r>
      <w:r>
        <w:rPr>
          <w:rFonts w:hint="eastAsia" w:ascii="宋体" w:hAnsi="宋体" w:eastAsia="宋体" w:cs="宋体"/>
          <w:color w:val="000000"/>
          <w:sz w:val="24"/>
          <w:highlight w:val="none"/>
        </w:rPr>
        <w:t xml:space="preserve">）政府采购活动前3年内，在经营活动中没有重大违法记录。重大违法记录是指因违法经营受到刑事处罚或者责令停产停业、吊销许可证或者执照、较大数额罚款等行政处罚。</w:t>
      </w:r>
      <w:r>
        <w:rPr>
          <w:rFonts w:hint="eastAsia" w:ascii="宋体" w:hAnsi="宋体" w:eastAsia="宋体" w:cs="宋体"/>
          <w:color w:val="000000"/>
          <w:sz w:val="24"/>
          <w:highlight w:val="none"/>
        </w:rPr>
      </w:r>
      <w:r/>
    </w:p>
    <w:p>
      <w:pPr>
        <w:pStyle w:val="779"/>
        <w:ind w:firstLine="60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我单位对上述声明的真实性负责。如有虚假，将依法承担相应责任。</w:t>
      </w:r>
      <w:r>
        <w:rPr>
          <w:rFonts w:hint="eastAsia" w:ascii="宋体" w:hAnsi="宋体" w:eastAsia="宋体" w:cs="宋体"/>
          <w:color w:val="000000"/>
          <w:sz w:val="24"/>
          <w:highlight w:val="none"/>
        </w:rPr>
      </w:r>
      <w:r/>
    </w:p>
    <w:p>
      <w:pPr>
        <w:pStyle w:val="779"/>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779"/>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779"/>
        <w:ind w:firstLine="285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（电子签章）</w:t>
      </w:r>
      <w:r>
        <w:rPr>
          <w:rFonts w:hint="eastAsia" w:ascii="宋体" w:hAnsi="宋体" w:eastAsia="宋体" w:cs="宋体"/>
          <w:color w:val="000000"/>
          <w:sz w:val="24"/>
          <w:highlight w:val="none"/>
        </w:rPr>
      </w:r>
      <w:r/>
    </w:p>
    <w:p>
      <w:pPr>
        <w:pStyle w:val="779"/>
        <w:ind w:firstLine="450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779"/>
        <w:ind w:firstLine="300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24"/>
          <w:highlight w:val="none"/>
        </w:rPr>
      </w:r>
      <w:r/>
    </w:p>
    <w:p>
      <w:pPr>
        <w:pStyle w:val="779"/>
        <w:ind w:firstLine="3000"/>
        <w:spacing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pStyle w:val="779"/>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pStyle w:val="779"/>
        <w:ind w:firstLine="600"/>
        <w:jc w:val="center"/>
        <w:spacing w:line="479" w:lineRule="atLeast"/>
        <w:rPr>
          <w:rFonts w:hint="eastAsia" w:ascii="宋体" w:hAnsi="宋体" w:eastAsia="宋体" w:cs="宋体"/>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30"/>
          <w:highlight w:val="none"/>
        </w:rPr>
      </w:r>
      <w:r/>
    </w:p>
    <w:p>
      <w:pPr>
        <w:pStyle w:val="779"/>
        <w:jc w:val="center"/>
        <w:spacing w:line="479" w:lineRule="atLeast"/>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九、具备履行合同所必需的设备和专业技术能力的书面声明</w:t>
      </w:r>
      <w:r>
        <w:rPr>
          <w:rFonts w:hint="eastAsia" w:ascii="宋体" w:hAnsi="宋体" w:eastAsia="宋体" w:cs="宋体"/>
          <w:b/>
          <w:bCs/>
          <w:color w:val="000000"/>
          <w:sz w:val="28"/>
          <w:szCs w:val="28"/>
          <w:highlight w:val="none"/>
        </w:rPr>
      </w:r>
      <w:r/>
    </w:p>
    <w:p>
      <w:pPr>
        <w:pStyle w:val="779"/>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79"/>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79"/>
        <w:jc w:val="left"/>
        <w:spacing w:line="360" w:lineRule="auto"/>
        <w:widowControl/>
        <w:rPr>
          <w:rFonts w:hint="eastAsia" w:ascii="宋体" w:hAnsi="宋体" w:eastAsia="宋体" w:cs="宋体"/>
          <w:color w:val="000000"/>
          <w:sz w:val="24"/>
          <w:highlight w:val="none"/>
          <w:u w:val="single"/>
          <w:lang w:eastAsia="zh-CN"/>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lang w:eastAsia="zh-CN"/>
        </w:rPr>
        <w:t xml:space="preserve">徐州市公安局JZ租用机房机柜</w:t>
      </w:r>
      <w:r>
        <w:rPr>
          <w:rFonts w:hint="eastAsia" w:ascii="宋体" w:hAnsi="宋体" w:eastAsia="宋体" w:cs="宋体"/>
          <w:color w:val="000000"/>
          <w:sz w:val="24"/>
          <w:highlight w:val="none"/>
          <w:u w:val="single"/>
          <w:lang w:eastAsia="zh-CN"/>
        </w:rPr>
      </w:r>
      <w:r/>
    </w:p>
    <w:p>
      <w:pPr>
        <w:pStyle w:val="779"/>
        <w:jc w:val="left"/>
        <w:spacing w:line="360" w:lineRule="auto"/>
        <w:widowControl/>
        <w:rPr>
          <w:rFonts w:hint="eastAsia" w:ascii="宋体" w:hAnsi="宋体" w:eastAsia="宋体" w:cs="宋体"/>
          <w:color w:val="000000"/>
          <w:sz w:val="24"/>
          <w:highlight w:val="none"/>
          <w:u w:val="single"/>
          <w:lang w:eastAsia="zh-CN"/>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lang w:eastAsia="zh-CN"/>
        </w:rPr>
        <w:t xml:space="preserve">JSZC-320300-JSZR-G2026-0084</w:t>
      </w:r>
      <w:r>
        <w:rPr>
          <w:rFonts w:hint="eastAsia" w:ascii="宋体" w:hAnsi="宋体" w:eastAsia="宋体" w:cs="宋体"/>
          <w:color w:val="000000"/>
          <w:sz w:val="24"/>
          <w:highlight w:val="none"/>
          <w:u w:val="single"/>
          <w:lang w:eastAsia="zh-CN"/>
        </w:rPr>
      </w:r>
      <w:r/>
    </w:p>
    <w:p>
      <w:pPr>
        <w:pStyle w:val="779"/>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816"/>
        <w:ind w:firstLine="480"/>
        <w:jc w:val="both"/>
        <w:spacing w:before="0" w:beforeAutospacing="0" w:after="16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我单位郑重声明：我单位具备履行合同（项目名称：</w:t>
      </w:r>
      <w:r>
        <w:rPr>
          <w:rFonts w:hint="eastAsia" w:ascii="宋体" w:hAnsi="宋体" w:eastAsia="宋体" w:cs="宋体"/>
          <w:color w:val="000000"/>
          <w:highlight w:val="none"/>
          <w:lang w:eastAsia="zh-CN" w:bidi="ar"/>
        </w:rPr>
        <w:t xml:space="preserve">徐州市公安局JZ租用机房机柜</w:t>
      </w:r>
      <w:r>
        <w:rPr>
          <w:rFonts w:hint="eastAsia" w:ascii="宋体" w:hAnsi="宋体" w:eastAsia="宋体" w:cs="宋体"/>
          <w:color w:val="000000"/>
          <w:highlight w:val="none"/>
          <w:lang w:bidi="ar"/>
        </w:rPr>
        <w:t xml:space="preserve">，项目编号：</w:t>
      </w:r>
      <w:r>
        <w:rPr>
          <w:rFonts w:hint="eastAsia" w:ascii="宋体" w:hAnsi="宋体" w:eastAsia="宋体" w:cs="宋体"/>
          <w:color w:val="000000"/>
          <w:highlight w:val="none"/>
          <w:lang w:eastAsia="zh-CN" w:bidi="ar"/>
        </w:rPr>
        <w:t xml:space="preserve">JSZC-320300-JSZR-G2026-0084</w:t>
      </w:r>
      <w:r>
        <w:rPr>
          <w:rFonts w:hint="eastAsia" w:ascii="宋体" w:hAnsi="宋体" w:eastAsia="宋体" w:cs="宋体"/>
          <w:color w:val="000000"/>
          <w:highlight w:val="none"/>
          <w:lang w:bidi="ar"/>
        </w:rPr>
        <w:t xml:space="preserve">）所必需的设备和专业技术能力。具体为：</w:t>
      </w:r>
      <w:r>
        <w:rPr>
          <w:rFonts w:hint="eastAsia" w:ascii="宋体" w:hAnsi="宋体" w:eastAsia="宋体" w:cs="宋体"/>
          <w:color w:val="000000"/>
          <w:highlight w:val="none"/>
        </w:rPr>
        <w:br w:type="textWrapping" w:clear="all"/>
      </w:r>
      <w:r>
        <w:rPr>
          <w:rFonts w:hint="eastAsia" w:ascii="宋体" w:hAnsi="宋体" w:eastAsia="宋体" w:cs="宋体"/>
          <w:color w:val="000000"/>
          <w:highlight w:val="none"/>
        </w:rPr>
        <w:t xml:space="preserve">设备：</w:t>
      </w:r>
      <w:r>
        <w:rPr>
          <w:rFonts w:hint="eastAsia" w:ascii="宋体" w:hAnsi="宋体" w:eastAsia="宋体" w:cs="宋体"/>
          <w:color w:val="000000"/>
          <w:highlight w:val="none"/>
        </w:rPr>
      </w:r>
      <w:r/>
    </w:p>
    <w:p>
      <w:pPr>
        <w:pStyle w:val="816"/>
        <w:jc w:val="both"/>
        <w:spacing w:before="0" w:beforeAutospacing="0" w:after="16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1、（证明材料复印件附后）</w:t>
      </w:r>
      <w:r>
        <w:rPr>
          <w:rFonts w:hint="eastAsia" w:ascii="宋体" w:hAnsi="宋体" w:eastAsia="宋体" w:cs="宋体"/>
          <w:color w:val="000000"/>
          <w:highlight w:val="none"/>
        </w:rPr>
      </w:r>
      <w:r/>
    </w:p>
    <w:p>
      <w:pPr>
        <w:pStyle w:val="816"/>
        <w:jc w:val="both"/>
        <w:spacing w:before="0" w:beforeAutospacing="0" w:after="16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2、（证明材料复印件附后）</w:t>
      </w:r>
      <w:r>
        <w:rPr>
          <w:rFonts w:hint="eastAsia" w:ascii="宋体" w:hAnsi="宋体" w:eastAsia="宋体" w:cs="宋体"/>
          <w:color w:val="000000"/>
          <w:highlight w:val="none"/>
        </w:rPr>
      </w:r>
      <w:r/>
    </w:p>
    <w:p>
      <w:pPr>
        <w:pStyle w:val="816"/>
        <w:jc w:val="both"/>
        <w:spacing w:before="0" w:beforeAutospacing="0" w:after="16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3、（证明材料复印件附后）</w:t>
      </w:r>
      <w:r>
        <w:rPr>
          <w:rFonts w:hint="eastAsia" w:ascii="宋体" w:hAnsi="宋体" w:eastAsia="宋体" w:cs="宋体"/>
          <w:color w:val="000000"/>
          <w:highlight w:val="none"/>
        </w:rPr>
      </w:r>
      <w:r/>
    </w:p>
    <w:p>
      <w:pPr>
        <w:pStyle w:val="816"/>
        <w:jc w:val="both"/>
        <w:spacing w:before="0" w:beforeAutospacing="0" w:after="16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816"/>
        <w:jc w:val="both"/>
        <w:spacing w:before="0" w:beforeAutospacing="0" w:after="16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专业技术能力：</w:t>
      </w:r>
      <w:r>
        <w:rPr>
          <w:rFonts w:hint="eastAsia" w:ascii="宋体" w:hAnsi="宋体" w:eastAsia="宋体" w:cs="宋体"/>
          <w:color w:val="000000"/>
          <w:highlight w:val="none"/>
        </w:rPr>
      </w:r>
      <w:r/>
    </w:p>
    <w:p>
      <w:pPr>
        <w:pStyle w:val="816"/>
        <w:jc w:val="both"/>
        <w:spacing w:before="0" w:beforeAutospacing="0" w:after="16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1、（证明材料复印件附后）</w:t>
      </w:r>
      <w:r>
        <w:rPr>
          <w:rFonts w:hint="eastAsia" w:ascii="宋体" w:hAnsi="宋体" w:eastAsia="宋体" w:cs="宋体"/>
          <w:color w:val="000000"/>
          <w:highlight w:val="none"/>
        </w:rPr>
      </w:r>
      <w:r/>
    </w:p>
    <w:p>
      <w:pPr>
        <w:pStyle w:val="816"/>
        <w:jc w:val="both"/>
        <w:spacing w:before="0" w:beforeAutospacing="0" w:after="16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2、（证明材料复印件附后）</w:t>
      </w:r>
      <w:r>
        <w:rPr>
          <w:rFonts w:hint="eastAsia" w:ascii="宋体" w:hAnsi="宋体" w:eastAsia="宋体" w:cs="宋体"/>
          <w:color w:val="000000"/>
          <w:highlight w:val="none"/>
        </w:rPr>
      </w:r>
      <w:r/>
    </w:p>
    <w:p>
      <w:pPr>
        <w:pStyle w:val="816"/>
        <w:jc w:val="both"/>
        <w:spacing w:before="0" w:beforeAutospacing="0" w:after="16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3、（证明材料复印件附后）</w:t>
      </w:r>
      <w:r>
        <w:rPr>
          <w:rFonts w:hint="eastAsia" w:ascii="宋体" w:hAnsi="宋体" w:eastAsia="宋体" w:cs="宋体"/>
          <w:color w:val="000000"/>
          <w:highlight w:val="none"/>
        </w:rPr>
      </w:r>
      <w:r/>
    </w:p>
    <w:p>
      <w:pPr>
        <w:pStyle w:val="816"/>
        <w:jc w:val="both"/>
        <w:spacing w:before="0" w:beforeAutospacing="0" w:after="16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816"/>
        <w:jc w:val="both"/>
        <w:spacing w:before="0" w:beforeAutospacing="0" w:after="16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特此声明。</w:t>
      </w:r>
      <w:r>
        <w:rPr>
          <w:rFonts w:hint="eastAsia" w:ascii="宋体" w:hAnsi="宋体" w:eastAsia="宋体" w:cs="宋体"/>
          <w:color w:val="000000"/>
          <w:highlight w:val="none"/>
        </w:rPr>
      </w:r>
      <w:r/>
    </w:p>
    <w:p>
      <w:pPr>
        <w:pStyle w:val="816"/>
        <w:jc w:val="both"/>
        <w:spacing w:before="0" w:beforeAutospacing="0" w:after="16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投标人对上述声明的真实性负责。如有虚假，将依法承担相应责任。</w:t>
      </w:r>
      <w:r>
        <w:rPr>
          <w:rFonts w:hint="eastAsia" w:ascii="宋体" w:hAnsi="宋体" w:eastAsia="宋体" w:cs="宋体"/>
          <w:color w:val="000000"/>
          <w:highlight w:val="none"/>
        </w:rPr>
      </w:r>
      <w:r/>
    </w:p>
    <w:p>
      <w:pPr>
        <w:pStyle w:val="816"/>
        <w:ind w:right="960"/>
        <w:jc w:val="center"/>
        <w:spacing w:before="0" w:beforeAutospacing="0" w:after="16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投标人（盖单位电子签章）：</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816"/>
        <w:ind w:right="1200" w:firstLine="1440"/>
        <w:jc w:val="both"/>
        <w:spacing w:before="0" w:beforeAutospacing="0" w:after="16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投标人授权代表：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（签字或盖章）</w:t>
      </w:r>
      <w:r>
        <w:rPr>
          <w:rFonts w:hint="eastAsia" w:ascii="宋体" w:hAnsi="宋体" w:eastAsia="宋体" w:cs="宋体"/>
          <w:color w:val="000000"/>
          <w:highlight w:val="none"/>
        </w:rPr>
      </w:r>
      <w:r/>
    </w:p>
    <w:p>
      <w:pPr>
        <w:pStyle w:val="816"/>
        <w:ind w:right="960"/>
        <w:jc w:val="right"/>
        <w:spacing w:before="0" w:beforeAutospacing="0" w:after="16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日期： 年  月  日</w:t>
      </w:r>
      <w:r>
        <w:rPr>
          <w:rFonts w:hint="eastAsia" w:ascii="宋体" w:hAnsi="宋体" w:eastAsia="宋体" w:cs="宋体"/>
          <w:color w:val="000000"/>
          <w:highlight w:val="none"/>
        </w:rPr>
      </w:r>
      <w:r/>
    </w:p>
    <w:p>
      <w:pPr>
        <w:pStyle w:val="779"/>
        <w:spacing w:line="479" w:lineRule="atLeast"/>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r>
      <w:r/>
    </w:p>
    <w:p>
      <w:pPr>
        <w:pStyle w:val="779"/>
        <w:jc w:val="center"/>
        <w:spacing w:line="479" w:lineRule="atLeast"/>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r>
      <w:r/>
    </w:p>
    <w:p>
      <w:pPr>
        <w:pStyle w:val="779"/>
        <w:jc w:val="center"/>
        <w:spacing w:line="479" w:lineRule="atLeast"/>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十、预付款保函支付条款模板</w:t>
      </w:r>
      <w:r>
        <w:rPr>
          <w:rFonts w:hint="eastAsia" w:ascii="宋体" w:hAnsi="宋体" w:eastAsia="宋体" w:cs="宋体"/>
          <w:b/>
          <w:bCs/>
          <w:color w:val="000000"/>
          <w:sz w:val="28"/>
          <w:szCs w:val="28"/>
          <w:highlight w:val="none"/>
        </w:rPr>
      </w:r>
      <w:r/>
    </w:p>
    <w:p>
      <w:pPr>
        <w:pStyle w:val="779"/>
        <w:ind w:firstLine="605"/>
        <w:spacing w:line="479"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符合条件一：提交预付款保函的</w:t>
      </w:r>
      <w:r>
        <w:rPr>
          <w:rFonts w:hint="eastAsia" w:ascii="宋体" w:hAnsi="宋体" w:eastAsia="宋体" w:cs="宋体"/>
          <w:color w:val="000000"/>
          <w:sz w:val="28"/>
          <w:szCs w:val="28"/>
          <w:highlight w:val="none"/>
        </w:rPr>
      </w:r>
      <w:r/>
    </w:p>
    <w:p>
      <w:pPr>
        <w:pStyle w:val="779"/>
        <w:ind w:firstLine="602"/>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（1）合同签订且乙方向甲方出具预付款保函后</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个工作日内，甲方应支付合同价款的百分之</w:t>
      </w:r>
      <w:r>
        <w:rPr>
          <w:rFonts w:hint="eastAsia" w:ascii="宋体" w:hAnsi="宋体" w:eastAsia="宋体" w:cs="宋体"/>
          <w:color w:val="000000"/>
          <w:sz w:val="24"/>
          <w:highlight w:val="none"/>
          <w:u w:val="single"/>
        </w:rPr>
        <w:t xml:space="preserve">        XX（    XX%），</w:t>
      </w:r>
      <w:r>
        <w:rPr>
          <w:rFonts w:hint="eastAsia" w:ascii="宋体" w:hAnsi="宋体" w:eastAsia="宋体" w:cs="宋体"/>
          <w:color w:val="000000"/>
          <w:sz w:val="24"/>
          <w:highlight w:val="none"/>
        </w:rPr>
        <w:t xml:space="preserve">小写￥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大写：人民币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79"/>
        <w:ind w:left="140" w:firstLine="602"/>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乙方需提交的支付文件：乙方出具的全额正式发票。</w:t>
      </w:r>
      <w:r>
        <w:rPr>
          <w:rFonts w:hint="eastAsia" w:ascii="宋体" w:hAnsi="宋体" w:eastAsia="宋体" w:cs="宋体"/>
          <w:color w:val="000000"/>
          <w:sz w:val="24"/>
          <w:highlight w:val="none"/>
        </w:rPr>
      </w:r>
      <w:r/>
    </w:p>
    <w:p>
      <w:pPr>
        <w:pStyle w:val="779"/>
        <w:ind w:left="140" w:firstLine="602"/>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（2）验收合格后</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个工作日内，甲方应支付合同价款的百分之</w:t>
      </w:r>
      <w:r>
        <w:rPr>
          <w:rFonts w:hint="eastAsia" w:ascii="宋体" w:hAnsi="宋体" w:eastAsia="宋体" w:cs="宋体"/>
          <w:color w:val="000000"/>
          <w:sz w:val="24"/>
          <w:highlight w:val="none"/>
          <w:u w:val="single"/>
        </w:rPr>
        <w:t xml:space="preserve">XX（    XX%），</w:t>
      </w:r>
      <w:r>
        <w:rPr>
          <w:rFonts w:hint="eastAsia" w:ascii="宋体" w:hAnsi="宋体" w:eastAsia="宋体" w:cs="宋体"/>
          <w:color w:val="000000"/>
          <w:sz w:val="24"/>
          <w:highlight w:val="none"/>
        </w:rPr>
        <w:t xml:space="preserve">小写￥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大写：人民币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79"/>
        <w:ind w:firstLine="605"/>
        <w:spacing w:line="47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highlight w:val="none"/>
        </w:rPr>
        <w:t xml:space="preserve">……</w:t>
      </w:r>
      <w:r>
        <w:rPr>
          <w:rFonts w:hint="eastAsia" w:ascii="宋体" w:hAnsi="宋体" w:eastAsia="宋体" w:cs="宋体"/>
          <w:color w:val="000000"/>
          <w:highlight w:val="none"/>
        </w:rPr>
      </w:r>
      <w:r/>
    </w:p>
    <w:p>
      <w:pPr>
        <w:pStyle w:val="779"/>
        <w:ind w:firstLine="605"/>
        <w:spacing w:line="479"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符合条件二：不提交预付款保函的</w:t>
      </w:r>
      <w:r>
        <w:rPr>
          <w:rFonts w:hint="eastAsia" w:ascii="宋体" w:hAnsi="宋体" w:eastAsia="宋体" w:cs="宋体"/>
          <w:color w:val="000000"/>
          <w:sz w:val="28"/>
          <w:szCs w:val="28"/>
          <w:highlight w:val="none"/>
        </w:rPr>
      </w:r>
      <w:r/>
    </w:p>
    <w:p>
      <w:pPr>
        <w:pStyle w:val="779"/>
        <w:ind w:firstLine="602"/>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（1）合同签订后</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个工作日内，甲方应支付合同价款的百分之</w:t>
      </w:r>
      <w:r>
        <w:rPr>
          <w:rFonts w:hint="eastAsia" w:ascii="宋体" w:hAnsi="宋体" w:eastAsia="宋体" w:cs="宋体"/>
          <w:color w:val="000000"/>
          <w:sz w:val="24"/>
          <w:highlight w:val="none"/>
          <w:u w:val="single"/>
        </w:rPr>
        <w:t xml:space="preserve">XX（    XX%），</w:t>
      </w:r>
      <w:r>
        <w:rPr>
          <w:rFonts w:hint="eastAsia" w:ascii="宋体" w:hAnsi="宋体" w:eastAsia="宋体" w:cs="宋体"/>
          <w:color w:val="000000"/>
          <w:sz w:val="24"/>
          <w:highlight w:val="none"/>
        </w:rPr>
        <w:t xml:space="preserve">小写￥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大写：人民币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79"/>
        <w:ind w:left="140" w:firstLine="602"/>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乙方需提交的支付文件：乙方出具的全额正式发票。</w:t>
      </w:r>
      <w:r>
        <w:rPr>
          <w:rFonts w:hint="eastAsia" w:ascii="宋体" w:hAnsi="宋体" w:eastAsia="宋体" w:cs="宋体"/>
          <w:color w:val="000000"/>
          <w:sz w:val="24"/>
          <w:highlight w:val="none"/>
        </w:rPr>
      </w:r>
      <w:r/>
    </w:p>
    <w:p>
      <w:pPr>
        <w:pStyle w:val="779"/>
        <w:ind w:left="140" w:firstLine="602"/>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（2）验收合格后</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个工作日内，甲方应支付合同价款的百分之</w:t>
      </w:r>
      <w:r>
        <w:rPr>
          <w:rFonts w:hint="eastAsia" w:ascii="宋体" w:hAnsi="宋体" w:eastAsia="宋体" w:cs="宋体"/>
          <w:color w:val="000000"/>
          <w:sz w:val="24"/>
          <w:highlight w:val="none"/>
          <w:u w:val="single"/>
        </w:rPr>
        <w:t xml:space="preserve">XX（    XX%），</w:t>
      </w:r>
      <w:r>
        <w:rPr>
          <w:rFonts w:hint="eastAsia" w:ascii="宋体" w:hAnsi="宋体" w:eastAsia="宋体" w:cs="宋体"/>
          <w:color w:val="000000"/>
          <w:sz w:val="24"/>
          <w:highlight w:val="none"/>
        </w:rPr>
        <w:t xml:space="preserve">小写￥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大写：人民币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79"/>
        <w:ind w:firstLine="605"/>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w:t>
      </w:r>
      <w:r>
        <w:rPr>
          <w:rFonts w:hint="eastAsia" w:ascii="宋体" w:hAnsi="宋体" w:eastAsia="宋体" w:cs="宋体"/>
          <w:color w:val="000000"/>
          <w:sz w:val="24"/>
          <w:highlight w:val="none"/>
        </w:rPr>
      </w:r>
      <w:r/>
    </w:p>
    <w:p>
      <w:pPr>
        <w:pStyle w:val="779"/>
        <w:spacing w:line="479" w:lineRule="atLeast"/>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pStyle w:val="779"/>
        <w:ind w:left="140" w:firstLine="605"/>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注：</w:t>
      </w:r>
      <w:r>
        <w:rPr>
          <w:rFonts w:hint="eastAsia" w:ascii="宋体" w:hAnsi="宋体" w:eastAsia="宋体" w:cs="宋体"/>
          <w:color w:val="000000"/>
          <w:sz w:val="24"/>
          <w:highlight w:val="none"/>
        </w:rPr>
      </w:r>
      <w:r/>
    </w:p>
    <w:p>
      <w:pPr>
        <w:pStyle w:val="779"/>
        <w:ind w:left="140" w:firstLine="602"/>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1、付款条件一中，出具预付款保函后支付的合同款应当与保函金额一致。</w:t>
      </w:r>
      <w:r>
        <w:rPr>
          <w:rFonts w:hint="eastAsia" w:ascii="宋体" w:hAnsi="宋体" w:eastAsia="宋体" w:cs="宋体"/>
          <w:color w:val="000000"/>
          <w:sz w:val="24"/>
          <w:highlight w:val="none"/>
        </w:rPr>
      </w:r>
      <w:r/>
    </w:p>
    <w:p>
      <w:pPr>
        <w:pStyle w:val="779"/>
        <w:ind w:left="140" w:firstLine="602"/>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2、付款条件二中，预付款比例设定应符合《关于做好政府采购支持企业发展有关事项的通知》（苏财购〔2020〕52号）要求。</w:t>
      </w:r>
      <w:r>
        <w:rPr>
          <w:rFonts w:hint="eastAsia" w:ascii="宋体" w:hAnsi="宋体" w:eastAsia="宋体" w:cs="宋体"/>
          <w:color w:val="000000"/>
          <w:sz w:val="24"/>
          <w:highlight w:val="none"/>
        </w:rPr>
      </w:r>
      <w:r/>
    </w:p>
    <w:p>
      <w:pPr>
        <w:pStyle w:val="779"/>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779"/>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rPr>
          <w:rFonts w:hint="eastAsia" w:ascii="宋体" w:hAnsi="宋体" w:eastAsia="宋体" w:cs="宋体"/>
          <w:color w:val="000000"/>
          <w:highlight w:val="none"/>
        </w:rPr>
      </w:r>
      <w:r/>
    </w:p>
    <w:p>
      <w:pPr>
        <w:pStyle w:val="779"/>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rPr>
          <w:rFonts w:hint="eastAsia" w:ascii="宋体" w:hAnsi="宋体" w:eastAsia="宋体" w:cs="宋体"/>
          <w:color w:val="000000"/>
          <w:highlight w:val="none"/>
        </w:rPr>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font>
  <w:font w:name="PMingLiU">
    <w:panose1 w:val="02020500000000000000"/>
  </w:font>
  <w:font w:name="Wingdings">
    <w:panose1 w:val="05000000000000000000"/>
  </w:font>
  <w:font w:name="微软简楷体">
    <w:panose1 w:val="020B0503020202020204"/>
  </w:font>
  <w:font w:name="Symbol">
    <w:panose1 w:val="05050102010706020507"/>
  </w:font>
  <w:font w:name="新宋体">
    <w:panose1 w:val="02010609030101010101"/>
  </w:font>
  <w:font w:name="楷体_GB2312">
    <w:panose1 w:val="02010609060101010101"/>
  </w:font>
  <w:font w:name="Calibri">
    <w:panose1 w:val="020F05020202040302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5"/>
                            <w:tabs>
                              <w:tab w:val="clear" w:pos="7143" w:leader="none"/>
                              <w:tab w:val="clear" w:pos="14287" w:leader="none"/>
                            </w:tabs>
                          </w:pPr>
                          <w:r>
                            <w:fldChar w:fldCharType="begin"/>
                          </w:r>
                          <w:r>
                            <w:instrText xml:space="preserve"> PAGE  \* MERGEFORMAT </w:instrText>
                          </w:r>
                          <w:r>
                            <w:fldChar w:fldCharType="separate"/>
                          </w:r>
                          <w:r>
                            <w:t xml:space="preserve">27</w:t>
                          </w:r>
                          <w:r>
                            <w:fldChar w:fldCharType="end"/>
                          </w:r>
                          <w:r/>
                        </w:p>
                        <w:p>
                          <w:pPr>
                            <w:pStyle w:val="77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5"/>
                      <w:tabs>
                        <w:tab w:val="clear" w:pos="7143" w:leader="none"/>
                        <w:tab w:val="clear" w:pos="14287" w:leader="none"/>
                      </w:tabs>
                    </w:pPr>
                    <w:r>
                      <w:fldChar w:fldCharType="begin"/>
                    </w:r>
                    <w:r>
                      <w:instrText xml:space="preserve"> PAGE  \* MERGEFORMAT </w:instrText>
                    </w:r>
                    <w:r>
                      <w:fldChar w:fldCharType="separate"/>
                    </w:r>
                    <w:r>
                      <w:t xml:space="preserve">27</w:t>
                    </w:r>
                    <w:r>
                      <w:fldChar w:fldCharType="end"/>
                    </w:r>
                    <w:r/>
                  </w:p>
                  <w:p>
                    <w:pPr>
                      <w:pStyle w:val="779"/>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5"/>
                            <w:tabs>
                              <w:tab w:val="clear" w:pos="7143" w:leader="none"/>
                              <w:tab w:val="clear" w:pos="14287" w:leader="none"/>
                            </w:tabs>
                          </w:pPr>
                          <w:r>
                            <w:fldChar w:fldCharType="begin"/>
                          </w:r>
                          <w:r>
                            <w:instrText xml:space="preserve"> PAGE  \* MERGEFORMAT </w:instrText>
                          </w:r>
                          <w:r>
                            <w:fldChar w:fldCharType="separate"/>
                          </w:r>
                          <w:r>
                            <w:t xml:space="preserve">36</w:t>
                          </w:r>
                          <w:r>
                            <w:fldChar w:fldCharType="end"/>
                          </w:r>
                          <w:r/>
                        </w:p>
                        <w:p>
                          <w:pPr>
                            <w:pStyle w:val="77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5"/>
                      <w:tabs>
                        <w:tab w:val="clear" w:pos="7143" w:leader="none"/>
                        <w:tab w:val="clear" w:pos="14287" w:leader="none"/>
                      </w:tabs>
                    </w:pPr>
                    <w:r>
                      <w:fldChar w:fldCharType="begin"/>
                    </w:r>
                    <w:r>
                      <w:instrText xml:space="preserve"> PAGE  \* MERGEFORMAT </w:instrText>
                    </w:r>
                    <w:r>
                      <w:fldChar w:fldCharType="separate"/>
                    </w:r>
                    <w:r>
                      <w:t xml:space="preserve">36</w:t>
                    </w:r>
                    <w:r>
                      <w:fldChar w:fldCharType="end"/>
                    </w:r>
                    <w:r/>
                  </w:p>
                  <w:p>
                    <w:pPr>
                      <w:pStyle w:val="77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right"/>
      <w:tabs>
        <w:tab w:val="center" w:pos="4153" w:leader="none"/>
        <w:tab w:val="right" w:pos="8306" w:leader="none"/>
      </w:tabs>
      <w:pBdr>
        <w:bottom w:val="single" w:color="000000" w:sz="4" w:space="0"/>
      </w:pBdr>
    </w:pPr>
    <w:r>
      <w:rPr>
        <w:rFonts w:hint="eastAsia"/>
        <w:lang w:eastAsia="zh-CN"/>
      </w:rPr>
      <w:t xml:space="preserve">徐州市公安局JZ租用机房机柜</w:t>
    </w:r>
    <w:r>
      <w:rPr>
        <w:rFonts w:hint="eastAsia"/>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jc w:val="right"/>
      <w:rPr>
        <w:i/>
        <w:iCs/>
        <w:sz w:val="18"/>
      </w:rPr>
      <w:pBdr>
        <w:bottom w:val="single" w:color="000000" w:sz="4" w:space="0"/>
      </w:pBdr>
    </w:pPr>
    <w:r>
      <w:rPr>
        <w:rFonts w:hint="eastAsia"/>
        <w:sz w:val="18"/>
        <w:lang w:eastAsia="zh-CN"/>
      </w:rPr>
      <w:t xml:space="preserve">徐州市公安局JZ租用机房机柜</w:t>
    </w:r>
    <w:r>
      <w:rPr>
        <w:rFonts w:hint="eastAsia"/>
        <w:sz w:val="18"/>
      </w:rPr>
      <w:t xml:space="preserve">招标文件</w:t>
    </w: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779"/>
        <w:ind w:left="0" w:firstLine="0"/>
      </w:pPr>
    </w:lvl>
    <w:lvl w:ilvl="1">
      <w:start w:val="1"/>
      <w:numFmt w:val="bullet"/>
      <w:isLgl w:val="false"/>
      <w:suff w:val="tab"/>
      <w:lvlText w:val="o"/>
      <w:lvlJc w:val="left"/>
      <w:pPr>
        <w:pStyle w:val="779"/>
        <w:ind w:left="1440" w:hanging="360"/>
      </w:pPr>
      <w:rPr>
        <w:rFonts w:ascii="Courier New" w:hAnsi="Courier New" w:eastAsia="Courier New" w:cs="Courier New"/>
      </w:rPr>
    </w:lvl>
    <w:lvl w:ilvl="2">
      <w:start w:val="1"/>
      <w:numFmt w:val="bullet"/>
      <w:isLgl w:val="false"/>
      <w:suff w:val="tab"/>
      <w:lvlText w:val="§"/>
      <w:lvlJc w:val="left"/>
      <w:pPr>
        <w:pStyle w:val="779"/>
        <w:ind w:left="2160" w:hanging="360"/>
      </w:pPr>
      <w:rPr>
        <w:rFonts w:ascii="Wingdings" w:hAnsi="Wingdings" w:eastAsia="Wingdings" w:cs="Wingdings"/>
      </w:rPr>
    </w:lvl>
    <w:lvl w:ilvl="3">
      <w:start w:val="1"/>
      <w:numFmt w:val="bullet"/>
      <w:isLgl w:val="false"/>
      <w:suff w:val="tab"/>
      <w:lvlText w:val="·"/>
      <w:lvlJc w:val="left"/>
      <w:pPr>
        <w:pStyle w:val="779"/>
        <w:ind w:left="2880" w:hanging="360"/>
      </w:pPr>
      <w:rPr>
        <w:rFonts w:ascii="Symbol" w:hAnsi="Symbol" w:eastAsia="Symbol" w:cs="Symbol"/>
      </w:rPr>
    </w:lvl>
    <w:lvl w:ilvl="4">
      <w:start w:val="1"/>
      <w:numFmt w:val="bullet"/>
      <w:isLgl w:val="false"/>
      <w:suff w:val="tab"/>
      <w:lvlText w:val="o"/>
      <w:lvlJc w:val="left"/>
      <w:pPr>
        <w:pStyle w:val="779"/>
        <w:ind w:left="3600" w:hanging="360"/>
      </w:pPr>
      <w:rPr>
        <w:rFonts w:ascii="Courier New" w:hAnsi="Courier New" w:eastAsia="Courier New" w:cs="Courier New"/>
      </w:rPr>
    </w:lvl>
    <w:lvl w:ilvl="5">
      <w:start w:val="1"/>
      <w:numFmt w:val="bullet"/>
      <w:isLgl w:val="false"/>
      <w:suff w:val="tab"/>
      <w:lvlText w:val="§"/>
      <w:lvlJc w:val="left"/>
      <w:pPr>
        <w:pStyle w:val="779"/>
        <w:ind w:left="4320" w:hanging="360"/>
      </w:pPr>
      <w:rPr>
        <w:rFonts w:ascii="Wingdings" w:hAnsi="Wingdings" w:eastAsia="Wingdings" w:cs="Wingdings"/>
      </w:rPr>
    </w:lvl>
    <w:lvl w:ilvl="6">
      <w:start w:val="1"/>
      <w:numFmt w:val="bullet"/>
      <w:isLgl w:val="false"/>
      <w:suff w:val="tab"/>
      <w:lvlText w:val="·"/>
      <w:lvlJc w:val="left"/>
      <w:pPr>
        <w:pStyle w:val="779"/>
        <w:ind w:left="5040" w:hanging="360"/>
      </w:pPr>
      <w:rPr>
        <w:rFonts w:ascii="Symbol" w:hAnsi="Symbol" w:eastAsia="Symbol" w:cs="Symbol"/>
      </w:rPr>
    </w:lvl>
    <w:lvl w:ilvl="7">
      <w:start w:val="1"/>
      <w:numFmt w:val="bullet"/>
      <w:isLgl w:val="false"/>
      <w:suff w:val="tab"/>
      <w:lvlText w:val="o"/>
      <w:lvlJc w:val="left"/>
      <w:pPr>
        <w:pStyle w:val="779"/>
        <w:ind w:left="5760" w:hanging="360"/>
      </w:pPr>
      <w:rPr>
        <w:rFonts w:ascii="Courier New" w:hAnsi="Courier New" w:eastAsia="Courier New" w:cs="Courier New"/>
      </w:rPr>
    </w:lvl>
    <w:lvl w:ilvl="8">
      <w:start w:val="1"/>
      <w:numFmt w:val="bullet"/>
      <w:isLgl w:val="false"/>
      <w:suff w:val="tab"/>
      <w:lvlText w:val="§"/>
      <w:lvlJc w:val="left"/>
      <w:pPr>
        <w:pStyle w:val="779"/>
        <w:ind w:left="6480" w:hanging="360"/>
      </w:pPr>
      <w:rPr>
        <w:rFonts w:ascii="Wingdings" w:hAnsi="Wingdings" w:eastAsia="Wingdings" w:cs="Wingdings"/>
      </w:rPr>
    </w:lvl>
  </w:abstractNum>
  <w:num w:numId="1">
    <w:abstractNumId w:val="0"/>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5">
    <w:name w:val="Heading 1"/>
    <w:basedOn w:val="779"/>
    <w:next w:val="779"/>
    <w:link w:val="882"/>
    <w:uiPriority w:val="9"/>
    <w:qFormat/>
    <w:pPr>
      <w:keepLines/>
      <w:keepNext/>
      <w:spacing w:before="480" w:after="200"/>
      <w:outlineLvl w:val="0"/>
    </w:pPr>
    <w:rPr>
      <w:rFonts w:ascii="Arial" w:hAnsi="Arial" w:eastAsia="Arial" w:cs="Arial"/>
      <w:sz w:val="40"/>
      <w:szCs w:val="40"/>
    </w:rPr>
  </w:style>
  <w:style w:type="paragraph" w:styleId="746">
    <w:name w:val="Heading 2"/>
    <w:basedOn w:val="779"/>
    <w:next w:val="779"/>
    <w:link w:val="868"/>
    <w:uiPriority w:val="9"/>
    <w:unhideWhenUsed/>
    <w:qFormat/>
    <w:pPr>
      <w:keepLines/>
      <w:keepNext/>
      <w:spacing w:before="360" w:after="200"/>
      <w:outlineLvl w:val="1"/>
    </w:pPr>
    <w:rPr>
      <w:rFonts w:ascii="Arial" w:hAnsi="Arial" w:eastAsia="Arial" w:cs="Arial"/>
      <w:sz w:val="34"/>
    </w:rPr>
  </w:style>
  <w:style w:type="paragraph" w:styleId="747">
    <w:name w:val="Heading 3"/>
    <w:basedOn w:val="779"/>
    <w:next w:val="779"/>
    <w:link w:val="862"/>
    <w:uiPriority w:val="9"/>
    <w:unhideWhenUsed/>
    <w:qFormat/>
    <w:pPr>
      <w:keepLines/>
      <w:keepNext/>
      <w:spacing w:before="320" w:after="200"/>
      <w:outlineLvl w:val="2"/>
    </w:pPr>
    <w:rPr>
      <w:rFonts w:ascii="Arial" w:hAnsi="Arial" w:eastAsia="Arial" w:cs="Arial"/>
      <w:sz w:val="30"/>
      <w:szCs w:val="30"/>
    </w:rPr>
  </w:style>
  <w:style w:type="paragraph" w:styleId="748">
    <w:name w:val="Heading 4"/>
    <w:basedOn w:val="779"/>
    <w:next w:val="779"/>
    <w:link w:val="843"/>
    <w:uiPriority w:val="9"/>
    <w:unhideWhenUsed/>
    <w:qFormat/>
    <w:pPr>
      <w:keepLines/>
      <w:keepNext/>
      <w:spacing w:before="320" w:after="200"/>
      <w:outlineLvl w:val="3"/>
    </w:pPr>
    <w:rPr>
      <w:rFonts w:ascii="Arial" w:hAnsi="Arial" w:eastAsia="Arial" w:cs="Arial"/>
      <w:b/>
      <w:bCs/>
      <w:sz w:val="26"/>
      <w:szCs w:val="26"/>
    </w:rPr>
  </w:style>
  <w:style w:type="paragraph" w:styleId="749">
    <w:name w:val="Heading 5"/>
    <w:basedOn w:val="779"/>
    <w:next w:val="779"/>
    <w:link w:val="917"/>
    <w:uiPriority w:val="9"/>
    <w:unhideWhenUsed/>
    <w:qFormat/>
    <w:pPr>
      <w:keepLines/>
      <w:keepNext/>
      <w:spacing w:before="320" w:after="200"/>
      <w:outlineLvl w:val="4"/>
    </w:pPr>
    <w:rPr>
      <w:rFonts w:ascii="Arial" w:hAnsi="Arial" w:eastAsia="Arial" w:cs="Arial"/>
      <w:b/>
      <w:bCs/>
      <w:sz w:val="24"/>
      <w:szCs w:val="24"/>
    </w:rPr>
  </w:style>
  <w:style w:type="paragraph" w:styleId="750">
    <w:name w:val="Heading 6"/>
    <w:basedOn w:val="779"/>
    <w:next w:val="779"/>
    <w:link w:val="845"/>
    <w:uiPriority w:val="9"/>
    <w:unhideWhenUsed/>
    <w:qFormat/>
    <w:pPr>
      <w:keepLines/>
      <w:keepNext/>
      <w:spacing w:before="320" w:after="200"/>
      <w:outlineLvl w:val="5"/>
    </w:pPr>
    <w:rPr>
      <w:rFonts w:ascii="Arial" w:hAnsi="Arial" w:eastAsia="Arial" w:cs="Arial"/>
      <w:b/>
      <w:bCs/>
      <w:sz w:val="22"/>
      <w:szCs w:val="22"/>
    </w:rPr>
  </w:style>
  <w:style w:type="paragraph" w:styleId="751">
    <w:name w:val="Heading 7"/>
    <w:basedOn w:val="779"/>
    <w:next w:val="779"/>
    <w:link w:val="908"/>
    <w:uiPriority w:val="9"/>
    <w:unhideWhenUsed/>
    <w:qFormat/>
    <w:pPr>
      <w:keepLines/>
      <w:keepNext/>
      <w:spacing w:before="320" w:after="200"/>
      <w:outlineLvl w:val="6"/>
    </w:pPr>
    <w:rPr>
      <w:rFonts w:ascii="Arial" w:hAnsi="Arial" w:eastAsia="Arial" w:cs="Arial"/>
      <w:b/>
      <w:bCs/>
      <w:i/>
      <w:iCs/>
      <w:sz w:val="22"/>
      <w:szCs w:val="22"/>
    </w:rPr>
  </w:style>
  <w:style w:type="paragraph" w:styleId="752">
    <w:name w:val="Heading 8"/>
    <w:basedOn w:val="779"/>
    <w:next w:val="779"/>
    <w:link w:val="914"/>
    <w:uiPriority w:val="9"/>
    <w:unhideWhenUsed/>
    <w:qFormat/>
    <w:pPr>
      <w:keepLines/>
      <w:keepNext/>
      <w:spacing w:before="320" w:after="200"/>
      <w:outlineLvl w:val="7"/>
    </w:pPr>
    <w:rPr>
      <w:rFonts w:ascii="Arial" w:hAnsi="Arial" w:eastAsia="Arial" w:cs="Arial"/>
      <w:i/>
      <w:iCs/>
      <w:sz w:val="22"/>
      <w:szCs w:val="22"/>
    </w:rPr>
  </w:style>
  <w:style w:type="paragraph" w:styleId="753">
    <w:name w:val="Heading 9"/>
    <w:basedOn w:val="779"/>
    <w:next w:val="779"/>
    <w:link w:val="888"/>
    <w:uiPriority w:val="9"/>
    <w:unhideWhenUsed/>
    <w:qFormat/>
    <w:pPr>
      <w:keepLines/>
      <w:keepNext/>
      <w:spacing w:before="320" w:after="200"/>
      <w:outlineLvl w:val="8"/>
    </w:pPr>
    <w:rPr>
      <w:rFonts w:ascii="Arial" w:hAnsi="Arial" w:eastAsia="Arial" w:cs="Arial"/>
      <w:i/>
      <w:iCs/>
      <w:sz w:val="21"/>
      <w:szCs w:val="21"/>
    </w:rPr>
  </w:style>
  <w:style w:type="paragraph" w:styleId="754">
    <w:name w:val="List Paragraph"/>
    <w:basedOn w:val="779"/>
    <w:uiPriority w:val="34"/>
    <w:qFormat/>
    <w:pPr>
      <w:contextualSpacing/>
      <w:ind w:left="720"/>
    </w:pPr>
  </w:style>
  <w:style w:type="paragraph" w:styleId="755">
    <w:name w:val="No Spacing"/>
    <w:uiPriority w:val="1"/>
    <w:qFormat/>
    <w:pPr>
      <w:spacing w:before="0" w:after="0" w:line="240" w:lineRule="auto"/>
    </w:pPr>
  </w:style>
  <w:style w:type="paragraph" w:styleId="756">
    <w:name w:val="Title"/>
    <w:basedOn w:val="779"/>
    <w:next w:val="779"/>
    <w:link w:val="899"/>
    <w:uiPriority w:val="10"/>
    <w:qFormat/>
    <w:pPr>
      <w:contextualSpacing/>
      <w:spacing w:before="300" w:after="200"/>
    </w:pPr>
    <w:rPr>
      <w:sz w:val="48"/>
      <w:szCs w:val="48"/>
    </w:rPr>
  </w:style>
  <w:style w:type="paragraph" w:styleId="757">
    <w:name w:val="Subtitle"/>
    <w:basedOn w:val="779"/>
    <w:next w:val="779"/>
    <w:link w:val="919"/>
    <w:uiPriority w:val="11"/>
    <w:qFormat/>
    <w:pPr>
      <w:spacing w:before="200" w:after="200"/>
    </w:pPr>
    <w:rPr>
      <w:sz w:val="24"/>
      <w:szCs w:val="24"/>
    </w:rPr>
  </w:style>
  <w:style w:type="paragraph" w:styleId="758">
    <w:name w:val="Quote"/>
    <w:basedOn w:val="779"/>
    <w:next w:val="779"/>
    <w:link w:val="887"/>
    <w:uiPriority w:val="29"/>
    <w:qFormat/>
    <w:pPr>
      <w:ind w:left="720" w:right="720"/>
    </w:pPr>
    <w:rPr>
      <w:i/>
    </w:rPr>
  </w:style>
  <w:style w:type="paragraph" w:styleId="759">
    <w:name w:val="Intense Quote"/>
    <w:basedOn w:val="779"/>
    <w:next w:val="779"/>
    <w:link w:val="8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60">
    <w:name w:val="Header"/>
    <w:basedOn w:val="779"/>
    <w:link w:val="905"/>
    <w:uiPriority w:val="99"/>
    <w:unhideWhenUsed/>
    <w:pPr>
      <w:spacing w:after="0" w:line="240" w:lineRule="auto"/>
      <w:tabs>
        <w:tab w:val="center" w:pos="7143" w:leader="none"/>
        <w:tab w:val="right" w:pos="14287" w:leader="none"/>
      </w:tabs>
    </w:pPr>
  </w:style>
  <w:style w:type="paragraph" w:styleId="761">
    <w:name w:val="Footer"/>
    <w:basedOn w:val="779"/>
    <w:link w:val="911"/>
    <w:uiPriority w:val="99"/>
    <w:unhideWhenUsed/>
    <w:pPr>
      <w:spacing w:after="0" w:line="240" w:lineRule="auto"/>
      <w:tabs>
        <w:tab w:val="center" w:pos="7143" w:leader="none"/>
        <w:tab w:val="right" w:pos="14287" w:leader="none"/>
      </w:tabs>
    </w:pPr>
  </w:style>
  <w:style w:type="paragraph" w:styleId="762">
    <w:name w:val="Caption"/>
    <w:basedOn w:val="779"/>
    <w:next w:val="779"/>
    <w:uiPriority w:val="35"/>
    <w:semiHidden/>
    <w:unhideWhenUsed/>
    <w:qFormat/>
    <w:pPr>
      <w:spacing w:line="276" w:lineRule="auto"/>
    </w:pPr>
    <w:rPr>
      <w:b/>
      <w:bCs/>
      <w:color w:val="4f81bd" w:themeColor="accent1"/>
      <w:sz w:val="18"/>
      <w:szCs w:val="18"/>
    </w:rPr>
  </w:style>
  <w:style w:type="table" w:styleId="76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4">
    <w:name w:val="Hyperlink"/>
    <w:uiPriority w:val="99"/>
    <w:unhideWhenUsed/>
    <w:rPr>
      <w:color w:val="0000ff" w:themeColor="hyperlink"/>
      <w:u w:val="single"/>
    </w:rPr>
  </w:style>
  <w:style w:type="paragraph" w:styleId="765">
    <w:name w:val="footnote text"/>
    <w:basedOn w:val="779"/>
    <w:link w:val="831"/>
    <w:uiPriority w:val="99"/>
    <w:semiHidden/>
    <w:unhideWhenUsed/>
    <w:pPr>
      <w:spacing w:after="40" w:line="240" w:lineRule="auto"/>
    </w:pPr>
    <w:rPr>
      <w:sz w:val="18"/>
    </w:rPr>
  </w:style>
  <w:style w:type="character" w:styleId="766">
    <w:name w:val="footnote reference"/>
    <w:uiPriority w:val="99"/>
    <w:unhideWhenUsed/>
    <w:rPr>
      <w:vertAlign w:val="superscript"/>
    </w:rPr>
  </w:style>
  <w:style w:type="paragraph" w:styleId="767">
    <w:name w:val="endnote text"/>
    <w:basedOn w:val="779"/>
    <w:link w:val="901"/>
    <w:uiPriority w:val="99"/>
    <w:semiHidden/>
    <w:unhideWhenUsed/>
    <w:pPr>
      <w:spacing w:after="0" w:line="240" w:lineRule="auto"/>
    </w:pPr>
    <w:rPr>
      <w:sz w:val="20"/>
    </w:rPr>
  </w:style>
  <w:style w:type="character" w:styleId="768">
    <w:name w:val="endnote reference"/>
    <w:uiPriority w:val="99"/>
    <w:semiHidden/>
    <w:unhideWhenUsed/>
    <w:rPr>
      <w:vertAlign w:val="superscript"/>
    </w:rPr>
  </w:style>
  <w:style w:type="paragraph" w:styleId="769">
    <w:name w:val="toc 1"/>
    <w:basedOn w:val="779"/>
    <w:next w:val="779"/>
    <w:uiPriority w:val="39"/>
    <w:unhideWhenUsed/>
    <w:pPr>
      <w:ind w:left="0" w:right="0" w:firstLine="0"/>
      <w:spacing w:after="57"/>
    </w:pPr>
  </w:style>
  <w:style w:type="paragraph" w:styleId="770">
    <w:name w:val="toc 2"/>
    <w:basedOn w:val="779"/>
    <w:next w:val="779"/>
    <w:uiPriority w:val="39"/>
    <w:unhideWhenUsed/>
    <w:pPr>
      <w:ind w:left="283" w:right="0" w:firstLine="0"/>
      <w:spacing w:after="57"/>
    </w:pPr>
  </w:style>
  <w:style w:type="paragraph" w:styleId="771">
    <w:name w:val="toc 3"/>
    <w:basedOn w:val="779"/>
    <w:next w:val="779"/>
    <w:uiPriority w:val="39"/>
    <w:unhideWhenUsed/>
    <w:pPr>
      <w:ind w:left="567" w:right="0" w:firstLine="0"/>
      <w:spacing w:after="57"/>
    </w:pPr>
  </w:style>
  <w:style w:type="paragraph" w:styleId="772">
    <w:name w:val="toc 4"/>
    <w:basedOn w:val="779"/>
    <w:next w:val="779"/>
    <w:uiPriority w:val="39"/>
    <w:unhideWhenUsed/>
    <w:pPr>
      <w:ind w:left="850" w:right="0" w:firstLine="0"/>
      <w:spacing w:after="57"/>
    </w:pPr>
  </w:style>
  <w:style w:type="paragraph" w:styleId="773">
    <w:name w:val="toc 5"/>
    <w:basedOn w:val="779"/>
    <w:next w:val="779"/>
    <w:uiPriority w:val="39"/>
    <w:unhideWhenUsed/>
    <w:pPr>
      <w:ind w:left="1134" w:right="0" w:firstLine="0"/>
      <w:spacing w:after="57"/>
    </w:pPr>
  </w:style>
  <w:style w:type="paragraph" w:styleId="774">
    <w:name w:val="toc 6"/>
    <w:basedOn w:val="779"/>
    <w:next w:val="779"/>
    <w:uiPriority w:val="39"/>
    <w:unhideWhenUsed/>
    <w:pPr>
      <w:ind w:left="1417" w:right="0" w:firstLine="0"/>
      <w:spacing w:after="57"/>
    </w:pPr>
  </w:style>
  <w:style w:type="paragraph" w:styleId="775">
    <w:name w:val="toc 7"/>
    <w:basedOn w:val="779"/>
    <w:next w:val="779"/>
    <w:uiPriority w:val="39"/>
    <w:unhideWhenUsed/>
    <w:pPr>
      <w:ind w:left="1701" w:right="0" w:firstLine="0"/>
      <w:spacing w:after="57"/>
    </w:pPr>
  </w:style>
  <w:style w:type="paragraph" w:styleId="776">
    <w:name w:val="toc 8"/>
    <w:basedOn w:val="779"/>
    <w:next w:val="779"/>
    <w:uiPriority w:val="39"/>
    <w:unhideWhenUsed/>
    <w:pPr>
      <w:ind w:left="1984" w:right="0" w:firstLine="0"/>
      <w:spacing w:after="57"/>
    </w:pPr>
  </w:style>
  <w:style w:type="paragraph" w:styleId="777">
    <w:name w:val="toc 9"/>
    <w:basedOn w:val="779"/>
    <w:next w:val="779"/>
    <w:uiPriority w:val="39"/>
    <w:unhideWhenUsed/>
    <w:pPr>
      <w:ind w:left="2268" w:right="0" w:firstLine="0"/>
      <w:spacing w:after="57"/>
    </w:pPr>
  </w:style>
  <w:style w:type="paragraph" w:styleId="778">
    <w:name w:val="table of figures"/>
    <w:basedOn w:val="779"/>
    <w:next w:val="779"/>
    <w:uiPriority w:val="99"/>
    <w:unhideWhenUsed/>
    <w:pPr>
      <w:spacing w:after="0" w:afterAutospacing="0"/>
    </w:pPr>
  </w:style>
  <w:style w:type="paragraph" w:styleId="779" w:default="1">
    <w:name w:val="Normal"/>
    <w:next w:val="791"/>
    <w:link w:val="779"/>
    <w:qFormat/>
    <w:pPr>
      <w:jc w:val="both"/>
      <w:widowControl w:val="off"/>
    </w:pPr>
    <w:rPr>
      <w:sz w:val="21"/>
      <w:szCs w:val="24"/>
      <w:lang w:val="en-US" w:eastAsia="zh-CN" w:bidi="ar-SA"/>
    </w:rPr>
  </w:style>
  <w:style w:type="paragraph" w:styleId="780">
    <w:name w:val="标题 1"/>
    <w:basedOn w:val="779"/>
    <w:next w:val="779"/>
    <w:link w:val="779"/>
    <w:uiPriority w:val="9"/>
    <w:qFormat/>
    <w:pPr>
      <w:keepLines/>
      <w:keepNext/>
      <w:spacing w:before="480" w:after="200"/>
      <w:outlineLvl w:val="0"/>
    </w:pPr>
    <w:rPr>
      <w:rFonts w:ascii="Arial" w:hAnsi="Arial" w:eastAsia="Arial" w:cs="Arial"/>
      <w:sz w:val="40"/>
      <w:szCs w:val="40"/>
    </w:rPr>
  </w:style>
  <w:style w:type="paragraph" w:styleId="781">
    <w:name w:val="标题 2"/>
    <w:basedOn w:val="779"/>
    <w:next w:val="779"/>
    <w:link w:val="779"/>
    <w:uiPriority w:val="9"/>
    <w:qFormat/>
    <w:pPr>
      <w:keepLines/>
      <w:keepNext/>
      <w:spacing w:before="360" w:after="200"/>
      <w:outlineLvl w:val="1"/>
    </w:pPr>
    <w:rPr>
      <w:rFonts w:ascii="Arial" w:hAnsi="Arial" w:eastAsia="Arial" w:cs="Arial"/>
      <w:sz w:val="34"/>
    </w:rPr>
  </w:style>
  <w:style w:type="paragraph" w:styleId="782">
    <w:name w:val="标题 3"/>
    <w:basedOn w:val="779"/>
    <w:next w:val="779"/>
    <w:link w:val="779"/>
    <w:uiPriority w:val="9"/>
    <w:qFormat/>
    <w:pPr>
      <w:keepLines/>
      <w:keepNext/>
      <w:spacing w:before="320" w:after="200"/>
      <w:outlineLvl w:val="2"/>
    </w:pPr>
    <w:rPr>
      <w:rFonts w:ascii="Arial" w:hAnsi="Arial" w:eastAsia="Arial" w:cs="Arial"/>
      <w:sz w:val="30"/>
      <w:szCs w:val="30"/>
    </w:rPr>
  </w:style>
  <w:style w:type="paragraph" w:styleId="783">
    <w:name w:val="标题 4"/>
    <w:basedOn w:val="779"/>
    <w:next w:val="779"/>
    <w:link w:val="779"/>
    <w:uiPriority w:val="9"/>
    <w:qFormat/>
    <w:pPr>
      <w:keepLines/>
      <w:keepNext/>
      <w:spacing w:before="320" w:after="200"/>
      <w:outlineLvl w:val="3"/>
    </w:pPr>
    <w:rPr>
      <w:rFonts w:ascii="Arial" w:hAnsi="Arial" w:eastAsia="Arial" w:cs="Arial"/>
      <w:b/>
      <w:bCs/>
      <w:sz w:val="26"/>
      <w:szCs w:val="26"/>
    </w:rPr>
  </w:style>
  <w:style w:type="paragraph" w:styleId="784">
    <w:name w:val="标题 5"/>
    <w:basedOn w:val="779"/>
    <w:next w:val="779"/>
    <w:link w:val="779"/>
    <w:uiPriority w:val="9"/>
    <w:qFormat/>
    <w:pPr>
      <w:keepLines/>
      <w:keepNext/>
      <w:spacing w:before="320" w:after="200"/>
      <w:outlineLvl w:val="4"/>
    </w:pPr>
    <w:rPr>
      <w:rFonts w:ascii="Arial" w:hAnsi="Arial" w:eastAsia="Arial" w:cs="Arial"/>
      <w:b/>
      <w:bCs/>
      <w:sz w:val="24"/>
    </w:rPr>
  </w:style>
  <w:style w:type="paragraph" w:styleId="785">
    <w:name w:val="标题 6"/>
    <w:basedOn w:val="779"/>
    <w:next w:val="779"/>
    <w:link w:val="779"/>
    <w:uiPriority w:val="9"/>
    <w:qFormat/>
    <w:pPr>
      <w:keepLines/>
      <w:keepNext/>
      <w:spacing w:before="320" w:after="200"/>
      <w:outlineLvl w:val="5"/>
    </w:pPr>
    <w:rPr>
      <w:rFonts w:ascii="Arial" w:hAnsi="Arial" w:eastAsia="Arial" w:cs="Arial"/>
      <w:b/>
      <w:bCs/>
      <w:sz w:val="22"/>
      <w:szCs w:val="22"/>
    </w:rPr>
  </w:style>
  <w:style w:type="paragraph" w:styleId="786">
    <w:name w:val="标题 7"/>
    <w:basedOn w:val="779"/>
    <w:next w:val="779"/>
    <w:link w:val="779"/>
    <w:uiPriority w:val="9"/>
    <w:qFormat/>
    <w:pPr>
      <w:keepLines/>
      <w:keepNext/>
      <w:spacing w:before="320" w:after="200"/>
      <w:outlineLvl w:val="6"/>
    </w:pPr>
    <w:rPr>
      <w:rFonts w:ascii="Arial" w:hAnsi="Arial" w:eastAsia="Arial" w:cs="Arial"/>
      <w:b/>
      <w:bCs/>
      <w:i/>
      <w:iCs/>
      <w:sz w:val="22"/>
      <w:szCs w:val="22"/>
    </w:rPr>
  </w:style>
  <w:style w:type="paragraph" w:styleId="787">
    <w:name w:val="标题 8"/>
    <w:basedOn w:val="779"/>
    <w:next w:val="779"/>
    <w:link w:val="779"/>
    <w:uiPriority w:val="9"/>
    <w:qFormat/>
    <w:pPr>
      <w:keepLines/>
      <w:keepNext/>
      <w:spacing w:before="320" w:after="200"/>
      <w:outlineLvl w:val="7"/>
    </w:pPr>
    <w:rPr>
      <w:rFonts w:ascii="Arial" w:hAnsi="Arial" w:eastAsia="Arial" w:cs="Arial"/>
      <w:i/>
      <w:iCs/>
      <w:sz w:val="22"/>
      <w:szCs w:val="22"/>
    </w:rPr>
  </w:style>
  <w:style w:type="paragraph" w:styleId="788">
    <w:name w:val="标题 9"/>
    <w:basedOn w:val="779"/>
    <w:next w:val="779"/>
    <w:link w:val="779"/>
    <w:uiPriority w:val="9"/>
    <w:qFormat/>
    <w:pPr>
      <w:keepLines/>
      <w:keepNext/>
      <w:spacing w:before="320" w:after="200"/>
      <w:outlineLvl w:val="8"/>
    </w:pPr>
    <w:rPr>
      <w:rFonts w:ascii="Arial" w:hAnsi="Arial" w:eastAsia="Arial" w:cs="Arial"/>
      <w:i/>
      <w:iCs/>
      <w:szCs w:val="21"/>
    </w:rPr>
  </w:style>
  <w:style w:type="character" w:styleId="789">
    <w:name w:val="默认段落字体"/>
    <w:next w:val="789"/>
    <w:link w:val="779"/>
    <w:uiPriority w:val="1"/>
    <w:unhideWhenUsed/>
    <w:qFormat/>
  </w:style>
  <w:style w:type="table" w:styleId="790">
    <w:name w:val="普通表格"/>
    <w:next w:val="790"/>
    <w:link w:val="779"/>
    <w:uiPriority w:val="99"/>
    <w:unhideWhenUsed/>
    <w:qFormat/>
    <w:tblPr/>
  </w:style>
  <w:style w:type="paragraph" w:styleId="791">
    <w:name w:val="文本块"/>
    <w:basedOn w:val="779"/>
    <w:next w:val="791"/>
    <w:link w:val="779"/>
    <w:uiPriority w:val="99"/>
    <w:unhideWhenUsed/>
    <w:qFormat/>
    <w:pPr>
      <w:ind w:left="1440" w:right="1440"/>
      <w:spacing w:after="120"/>
    </w:pPr>
  </w:style>
  <w:style w:type="paragraph" w:styleId="792">
    <w:name w:val="目录 7"/>
    <w:basedOn w:val="779"/>
    <w:next w:val="779"/>
    <w:link w:val="779"/>
    <w:uiPriority w:val="39"/>
    <w:unhideWhenUsed/>
    <w:qFormat/>
    <w:pPr>
      <w:ind w:left="1701"/>
      <w:spacing w:after="57"/>
    </w:pPr>
  </w:style>
  <w:style w:type="paragraph" w:styleId="793">
    <w:name w:val="题注"/>
    <w:basedOn w:val="779"/>
    <w:next w:val="779"/>
    <w:link w:val="779"/>
    <w:uiPriority w:val="35"/>
    <w:qFormat/>
    <w:pPr>
      <w:spacing w:line="276" w:lineRule="auto"/>
    </w:pPr>
    <w:rPr>
      <w:b/>
      <w:bCs/>
      <w:color w:val="4f81bd"/>
      <w:sz w:val="18"/>
      <w:szCs w:val="18"/>
    </w:rPr>
  </w:style>
  <w:style w:type="paragraph" w:styleId="794">
    <w:name w:val="批注文字"/>
    <w:basedOn w:val="779"/>
    <w:next w:val="794"/>
    <w:link w:val="795"/>
    <w:uiPriority w:val="99"/>
    <w:unhideWhenUsed/>
    <w:qFormat/>
    <w:pPr>
      <w:jc w:val="left"/>
    </w:pPr>
  </w:style>
  <w:style w:type="character" w:styleId="795">
    <w:name w:val="批注文字 字符1"/>
    <w:next w:val="795"/>
    <w:link w:val="794"/>
    <w:uiPriority w:val="99"/>
    <w:rPr>
      <w:sz w:val="21"/>
      <w:szCs w:val="24"/>
    </w:rPr>
  </w:style>
  <w:style w:type="paragraph" w:styleId="796">
    <w:name w:val="正文文本"/>
    <w:basedOn w:val="779"/>
    <w:next w:val="779"/>
    <w:link w:val="779"/>
    <w:qFormat/>
  </w:style>
  <w:style w:type="paragraph" w:styleId="797">
    <w:name w:val="正文文本缩进"/>
    <w:basedOn w:val="779"/>
    <w:next w:val="798"/>
    <w:link w:val="779"/>
    <w:uiPriority w:val="99"/>
    <w:unhideWhenUsed/>
    <w:qFormat/>
    <w:pPr>
      <w:ind w:left="420"/>
      <w:spacing w:after="120"/>
    </w:pPr>
  </w:style>
  <w:style w:type="paragraph" w:styleId="798">
    <w:name w:val="寄信人地址"/>
    <w:basedOn w:val="779"/>
    <w:next w:val="798"/>
    <w:link w:val="779"/>
    <w:qFormat/>
    <w:rPr>
      <w:rFonts w:ascii="Arial" w:hAnsi="Arial"/>
    </w:rPr>
  </w:style>
  <w:style w:type="paragraph" w:styleId="799">
    <w:name w:val="目录 5"/>
    <w:basedOn w:val="779"/>
    <w:next w:val="779"/>
    <w:link w:val="779"/>
    <w:uiPriority w:val="39"/>
    <w:unhideWhenUsed/>
    <w:qFormat/>
    <w:pPr>
      <w:ind w:left="1134"/>
      <w:spacing w:after="57"/>
    </w:pPr>
  </w:style>
  <w:style w:type="paragraph" w:styleId="800">
    <w:name w:val="目录 3"/>
    <w:basedOn w:val="779"/>
    <w:next w:val="779"/>
    <w:link w:val="779"/>
    <w:uiPriority w:val="39"/>
    <w:unhideWhenUsed/>
    <w:qFormat/>
    <w:pPr>
      <w:ind w:left="567"/>
      <w:spacing w:after="57"/>
    </w:pPr>
  </w:style>
  <w:style w:type="paragraph" w:styleId="801">
    <w:name w:val="目录 8"/>
    <w:basedOn w:val="779"/>
    <w:next w:val="779"/>
    <w:link w:val="779"/>
    <w:uiPriority w:val="39"/>
    <w:unhideWhenUsed/>
    <w:qFormat/>
    <w:pPr>
      <w:ind w:left="1984"/>
      <w:spacing w:after="57"/>
    </w:pPr>
  </w:style>
  <w:style w:type="paragraph" w:styleId="802">
    <w:name w:val="尾注文本"/>
    <w:basedOn w:val="779"/>
    <w:next w:val="802"/>
    <w:link w:val="779"/>
    <w:uiPriority w:val="99"/>
    <w:unhideWhenUsed/>
    <w:qFormat/>
    <w:rPr>
      <w:sz w:val="20"/>
    </w:rPr>
  </w:style>
  <w:style w:type="paragraph" w:styleId="803">
    <w:name w:val="批注框文本"/>
    <w:basedOn w:val="779"/>
    <w:next w:val="803"/>
    <w:link w:val="804"/>
    <w:uiPriority w:val="99"/>
    <w:unhideWhenUsed/>
    <w:rPr>
      <w:sz w:val="18"/>
      <w:szCs w:val="18"/>
    </w:rPr>
  </w:style>
  <w:style w:type="character" w:styleId="804">
    <w:name w:val="批注框文本 字符1"/>
    <w:next w:val="804"/>
    <w:link w:val="803"/>
    <w:uiPriority w:val="99"/>
    <w:semiHidden/>
    <w:rPr>
      <w:sz w:val="18"/>
      <w:szCs w:val="18"/>
    </w:rPr>
  </w:style>
  <w:style w:type="paragraph" w:styleId="805">
    <w:name w:val="页脚"/>
    <w:basedOn w:val="779"/>
    <w:next w:val="805"/>
    <w:link w:val="779"/>
    <w:uiPriority w:val="99"/>
    <w:unhideWhenUsed/>
    <w:qFormat/>
    <w:pPr>
      <w:tabs>
        <w:tab w:val="center" w:pos="7143" w:leader="none"/>
        <w:tab w:val="right" w:pos="14287" w:leader="none"/>
      </w:tabs>
    </w:pPr>
  </w:style>
  <w:style w:type="paragraph" w:styleId="806">
    <w:name w:val="页眉"/>
    <w:basedOn w:val="779"/>
    <w:next w:val="806"/>
    <w:link w:val="779"/>
    <w:uiPriority w:val="99"/>
    <w:unhideWhenUsed/>
    <w:qFormat/>
    <w:pPr>
      <w:tabs>
        <w:tab w:val="center" w:pos="7143" w:leader="none"/>
        <w:tab w:val="right" w:pos="14287" w:leader="none"/>
      </w:tabs>
    </w:pPr>
  </w:style>
  <w:style w:type="paragraph" w:styleId="807">
    <w:name w:val="目录 1"/>
    <w:basedOn w:val="779"/>
    <w:next w:val="779"/>
    <w:link w:val="779"/>
    <w:uiPriority w:val="39"/>
    <w:unhideWhenUsed/>
    <w:qFormat/>
    <w:pPr>
      <w:spacing w:after="57"/>
    </w:pPr>
  </w:style>
  <w:style w:type="paragraph" w:styleId="808">
    <w:name w:val="目录 4"/>
    <w:basedOn w:val="779"/>
    <w:next w:val="779"/>
    <w:link w:val="779"/>
    <w:uiPriority w:val="39"/>
    <w:unhideWhenUsed/>
    <w:qFormat/>
    <w:pPr>
      <w:ind w:left="850"/>
      <w:spacing w:after="57"/>
    </w:pPr>
  </w:style>
  <w:style w:type="paragraph" w:styleId="809">
    <w:name w:val="副标题"/>
    <w:basedOn w:val="779"/>
    <w:next w:val="779"/>
    <w:link w:val="779"/>
    <w:uiPriority w:val="11"/>
    <w:qFormat/>
    <w:pPr>
      <w:spacing w:before="200" w:after="200"/>
    </w:pPr>
    <w:rPr>
      <w:sz w:val="24"/>
    </w:rPr>
  </w:style>
  <w:style w:type="paragraph" w:styleId="810">
    <w:name w:val="脚注文本"/>
    <w:basedOn w:val="779"/>
    <w:next w:val="810"/>
    <w:link w:val="779"/>
    <w:uiPriority w:val="99"/>
    <w:unhideWhenUsed/>
    <w:qFormat/>
    <w:pPr>
      <w:spacing w:after="40"/>
    </w:pPr>
    <w:rPr>
      <w:sz w:val="18"/>
    </w:rPr>
  </w:style>
  <w:style w:type="paragraph" w:styleId="811">
    <w:name w:val="目录 6"/>
    <w:basedOn w:val="779"/>
    <w:next w:val="779"/>
    <w:link w:val="779"/>
    <w:uiPriority w:val="39"/>
    <w:unhideWhenUsed/>
    <w:qFormat/>
    <w:pPr>
      <w:ind w:left="1417"/>
      <w:spacing w:after="57"/>
    </w:pPr>
  </w:style>
  <w:style w:type="paragraph" w:styleId="812">
    <w:name w:val="图表目录"/>
    <w:basedOn w:val="779"/>
    <w:next w:val="779"/>
    <w:link w:val="779"/>
    <w:uiPriority w:val="99"/>
    <w:unhideWhenUsed/>
    <w:qFormat/>
  </w:style>
  <w:style w:type="paragraph" w:styleId="813">
    <w:name w:val="目录 2"/>
    <w:basedOn w:val="779"/>
    <w:next w:val="779"/>
    <w:link w:val="779"/>
    <w:uiPriority w:val="39"/>
    <w:unhideWhenUsed/>
    <w:qFormat/>
    <w:pPr>
      <w:ind w:left="283"/>
      <w:spacing w:after="57"/>
    </w:pPr>
  </w:style>
  <w:style w:type="paragraph" w:styleId="814">
    <w:name w:val="目录 9"/>
    <w:basedOn w:val="779"/>
    <w:next w:val="779"/>
    <w:link w:val="779"/>
    <w:uiPriority w:val="39"/>
    <w:unhideWhenUsed/>
    <w:qFormat/>
    <w:pPr>
      <w:ind w:left="2268"/>
      <w:spacing w:after="57"/>
    </w:pPr>
  </w:style>
  <w:style w:type="paragraph" w:styleId="815">
    <w:name w:val="正文文本 2"/>
    <w:basedOn w:val="779"/>
    <w:next w:val="815"/>
    <w:link w:val="779"/>
    <w:uiPriority w:val="99"/>
    <w:qFormat/>
    <w:pPr>
      <w:ind w:firstLine="200"/>
    </w:pPr>
    <w:rPr>
      <w:rFonts w:eastAsia="仿宋_GB2312"/>
      <w:sz w:val="18"/>
    </w:rPr>
  </w:style>
  <w:style w:type="paragraph" w:styleId="816">
    <w:name w:val="普通(网站)"/>
    <w:basedOn w:val="779"/>
    <w:next w:val="816"/>
    <w:link w:val="779"/>
    <w:uiPriority w:val="99"/>
    <w:unhideWhenUsed/>
    <w:pPr>
      <w:ind w:left="0" w:right="0"/>
      <w:jc w:val="left"/>
      <w:spacing w:before="100" w:beforeAutospacing="1" w:after="100" w:afterAutospacing="1"/>
    </w:pPr>
    <w:rPr>
      <w:sz w:val="24"/>
      <w:lang w:val="en-US" w:eastAsia="zh-CN" w:bidi="ar"/>
    </w:rPr>
  </w:style>
  <w:style w:type="paragraph" w:styleId="817">
    <w:name w:val="标题"/>
    <w:basedOn w:val="779"/>
    <w:next w:val="779"/>
    <w:link w:val="779"/>
    <w:uiPriority w:val="10"/>
    <w:qFormat/>
    <w:pPr>
      <w:contextualSpacing/>
      <w:spacing w:before="300" w:after="200"/>
    </w:pPr>
    <w:rPr>
      <w:sz w:val="48"/>
      <w:szCs w:val="48"/>
    </w:rPr>
  </w:style>
  <w:style w:type="paragraph" w:styleId="818">
    <w:name w:val="批注主题"/>
    <w:basedOn w:val="794"/>
    <w:next w:val="794"/>
    <w:link w:val="819"/>
    <w:uiPriority w:val="99"/>
    <w:unhideWhenUsed/>
    <w:rPr>
      <w:b/>
      <w:bCs/>
    </w:rPr>
  </w:style>
  <w:style w:type="character" w:styleId="819">
    <w:name w:val="批注主题 字符1"/>
    <w:next w:val="819"/>
    <w:link w:val="818"/>
    <w:uiPriority w:val="99"/>
    <w:semiHidden/>
    <w:rPr>
      <w:b/>
      <w:bCs/>
      <w:sz w:val="21"/>
      <w:szCs w:val="24"/>
    </w:rPr>
  </w:style>
  <w:style w:type="table" w:styleId="820">
    <w:name w:val="网格型"/>
    <w:next w:val="820"/>
    <w:link w:val="779"/>
    <w:uiPriority w:val="59"/>
    <w:qFormat/>
    <w:rPr>
      <w:lang w:val="en-US" w:eastAsia="zh-CN" w:bidi="ar-SA"/>
    </w:rPr>
    <w:tblPr/>
  </w:style>
  <w:style w:type="character" w:styleId="821">
    <w:name w:val="要点"/>
    <w:basedOn w:val="789"/>
    <w:next w:val="821"/>
    <w:link w:val="779"/>
    <w:uiPriority w:val="22"/>
    <w:qFormat/>
    <w:rPr>
      <w:b/>
    </w:rPr>
  </w:style>
  <w:style w:type="character" w:styleId="822">
    <w:name w:val="尾注引用"/>
    <w:next w:val="822"/>
    <w:link w:val="779"/>
    <w:uiPriority w:val="99"/>
    <w:unhideWhenUsed/>
    <w:qFormat/>
    <w:rPr>
      <w:vertAlign w:val="superscript"/>
    </w:rPr>
  </w:style>
  <w:style w:type="character" w:styleId="823">
    <w:name w:val="超链接"/>
    <w:next w:val="823"/>
    <w:link w:val="779"/>
    <w:uiPriority w:val="99"/>
    <w:unhideWhenUsed/>
    <w:qFormat/>
    <w:rPr>
      <w:color w:val="0000ff"/>
      <w:u w:val="single"/>
    </w:rPr>
  </w:style>
  <w:style w:type="character" w:styleId="824">
    <w:name w:val="批注引用"/>
    <w:next w:val="824"/>
    <w:link w:val="779"/>
    <w:uiPriority w:val="99"/>
    <w:unhideWhenUsed/>
    <w:rPr>
      <w:sz w:val="21"/>
      <w:szCs w:val="21"/>
    </w:rPr>
  </w:style>
  <w:style w:type="character" w:styleId="825">
    <w:name w:val="脚注引用"/>
    <w:next w:val="825"/>
    <w:link w:val="779"/>
    <w:uiPriority w:val="99"/>
    <w:unhideWhenUsed/>
    <w:qFormat/>
    <w:rPr>
      <w:vertAlign w:val="superscript"/>
    </w:rPr>
  </w:style>
  <w:style w:type="character" w:styleId="826">
    <w:name w:val="默认段落字体11"/>
    <w:next w:val="826"/>
    <w:link w:val="779"/>
    <w:uiPriority w:val="1"/>
    <w:unhideWhenUsed/>
    <w:qFormat/>
  </w:style>
  <w:style w:type="character" w:styleId="827">
    <w:name w:val="明显引用 字符1"/>
    <w:next w:val="827"/>
    <w:link w:val="828"/>
    <w:uiPriority w:val="30"/>
    <w:qFormat/>
    <w:rPr>
      <w:i/>
    </w:rPr>
  </w:style>
  <w:style w:type="paragraph" w:styleId="828">
    <w:name w:val="明显引用"/>
    <w:basedOn w:val="779"/>
    <w:next w:val="779"/>
    <w:link w:val="82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9">
    <w:name w:val="脚注文本 字符"/>
    <w:next w:val="829"/>
    <w:link w:val="830"/>
    <w:uiPriority w:val="99"/>
    <w:qFormat/>
    <w:rPr>
      <w:sz w:val="18"/>
    </w:rPr>
  </w:style>
  <w:style w:type="paragraph" w:styleId="830">
    <w:name w:val="脚注文本11"/>
    <w:basedOn w:val="779"/>
    <w:next w:val="830"/>
    <w:link w:val="829"/>
    <w:uiPriority w:val="99"/>
    <w:unhideWhenUsed/>
    <w:qFormat/>
    <w:pPr>
      <w:spacing w:after="40"/>
    </w:pPr>
    <w:rPr>
      <w:sz w:val="18"/>
    </w:rPr>
  </w:style>
  <w:style w:type="character" w:styleId="831">
    <w:name w:val="Footnote Text Char"/>
    <w:next w:val="831"/>
    <w:link w:val="832"/>
    <w:uiPriority w:val="99"/>
    <w:qFormat/>
    <w:rPr>
      <w:sz w:val="18"/>
    </w:rPr>
  </w:style>
  <w:style w:type="paragraph" w:styleId="832">
    <w:name w:val="脚注文本12"/>
    <w:basedOn w:val="779"/>
    <w:next w:val="832"/>
    <w:link w:val="831"/>
    <w:uiPriority w:val="99"/>
    <w:unhideWhenUsed/>
    <w:qFormat/>
    <w:pPr>
      <w:spacing w:after="40"/>
    </w:pPr>
    <w:rPr>
      <w:sz w:val="18"/>
    </w:rPr>
  </w:style>
  <w:style w:type="character" w:styleId="833">
    <w:name w:val="标题 7 字符"/>
    <w:next w:val="833"/>
    <w:link w:val="834"/>
    <w:uiPriority w:val="9"/>
    <w:qFormat/>
    <w:rPr>
      <w:rFonts w:ascii="Arial" w:hAnsi="Arial" w:eastAsia="Arial" w:cs="Arial"/>
      <w:b/>
      <w:bCs/>
      <w:i/>
      <w:iCs/>
      <w:sz w:val="22"/>
      <w:szCs w:val="22"/>
    </w:rPr>
  </w:style>
  <w:style w:type="paragraph" w:styleId="834">
    <w:name w:val="标题 71"/>
    <w:basedOn w:val="779"/>
    <w:next w:val="779"/>
    <w:link w:val="833"/>
    <w:uiPriority w:val="9"/>
    <w:qFormat/>
    <w:pPr>
      <w:keepLines/>
      <w:keepNext/>
      <w:spacing w:before="320" w:after="200"/>
      <w:outlineLvl w:val="6"/>
    </w:pPr>
    <w:rPr>
      <w:rFonts w:ascii="Arial" w:hAnsi="Arial" w:eastAsia="Arial" w:cs="Arial"/>
      <w:b/>
      <w:bCs/>
      <w:i/>
      <w:iCs/>
      <w:sz w:val="22"/>
      <w:szCs w:val="22"/>
    </w:rPr>
  </w:style>
  <w:style w:type="character" w:styleId="835">
    <w:name w:val="Intense Quote Char"/>
    <w:next w:val="835"/>
    <w:link w:val="779"/>
    <w:uiPriority w:val="30"/>
    <w:rPr>
      <w:i/>
    </w:rPr>
  </w:style>
  <w:style w:type="character" w:styleId="836">
    <w:name w:val="脚注引用1"/>
    <w:next w:val="836"/>
    <w:link w:val="779"/>
    <w:uiPriority w:val="99"/>
    <w:unhideWhenUsed/>
    <w:qFormat/>
    <w:rPr>
      <w:vertAlign w:val="superscript"/>
    </w:rPr>
  </w:style>
  <w:style w:type="character" w:styleId="837">
    <w:name w:val="font41"/>
    <w:next w:val="837"/>
    <w:link w:val="779"/>
    <w:qFormat/>
    <w:rPr>
      <w:rFonts w:ascii="Arial" w:hAnsi="Arial" w:cs="Arial"/>
      <w:color w:val="000000"/>
      <w:sz w:val="22"/>
      <w:szCs w:val="22"/>
      <w:u w:val="none"/>
    </w:rPr>
  </w:style>
  <w:style w:type="character" w:styleId="838">
    <w:name w:val="默认段落字体12"/>
    <w:next w:val="838"/>
    <w:link w:val="779"/>
    <w:uiPriority w:val="1"/>
    <w:unhideWhenUsed/>
    <w:qFormat/>
  </w:style>
  <w:style w:type="character" w:styleId="839">
    <w:name w:val="引用 字符"/>
    <w:next w:val="839"/>
    <w:link w:val="840"/>
    <w:uiPriority w:val="29"/>
    <w:qFormat/>
    <w:rPr>
      <w:i/>
    </w:rPr>
  </w:style>
  <w:style w:type="paragraph" w:styleId="840">
    <w:name w:val="引用1"/>
    <w:basedOn w:val="779"/>
    <w:next w:val="779"/>
    <w:link w:val="839"/>
    <w:uiPriority w:val="29"/>
    <w:qFormat/>
    <w:pPr>
      <w:ind w:left="720" w:right="720"/>
    </w:pPr>
    <w:rPr>
      <w:i/>
    </w:rPr>
  </w:style>
  <w:style w:type="character" w:styleId="841">
    <w:name w:val="标题 5 字符"/>
    <w:next w:val="841"/>
    <w:link w:val="842"/>
    <w:uiPriority w:val="9"/>
    <w:qFormat/>
    <w:rPr>
      <w:rFonts w:ascii="Arial" w:hAnsi="Arial" w:eastAsia="Arial" w:cs="Arial"/>
      <w:b/>
      <w:bCs/>
      <w:sz w:val="24"/>
      <w:szCs w:val="24"/>
    </w:rPr>
  </w:style>
  <w:style w:type="paragraph" w:styleId="842">
    <w:name w:val="标题 51"/>
    <w:basedOn w:val="779"/>
    <w:next w:val="779"/>
    <w:link w:val="841"/>
    <w:uiPriority w:val="9"/>
    <w:qFormat/>
    <w:pPr>
      <w:keepLines/>
      <w:keepNext/>
      <w:spacing w:before="320" w:after="200"/>
      <w:outlineLvl w:val="4"/>
    </w:pPr>
    <w:rPr>
      <w:rFonts w:ascii="Arial" w:hAnsi="Arial" w:eastAsia="Arial" w:cs="Arial"/>
      <w:b/>
      <w:bCs/>
      <w:sz w:val="24"/>
    </w:rPr>
  </w:style>
  <w:style w:type="character" w:styleId="843">
    <w:name w:val="Heading 4 Char"/>
    <w:next w:val="843"/>
    <w:link w:val="844"/>
    <w:uiPriority w:val="9"/>
    <w:qFormat/>
    <w:rPr>
      <w:rFonts w:ascii="Arial" w:hAnsi="Arial" w:eastAsia="Arial" w:cs="Arial"/>
      <w:b/>
      <w:bCs/>
      <w:sz w:val="26"/>
      <w:szCs w:val="26"/>
    </w:rPr>
  </w:style>
  <w:style w:type="paragraph" w:styleId="844">
    <w:name w:val="标题 411"/>
    <w:basedOn w:val="779"/>
    <w:next w:val="779"/>
    <w:link w:val="843"/>
    <w:uiPriority w:val="9"/>
    <w:unhideWhenUsed/>
    <w:qFormat/>
    <w:pPr>
      <w:keepLines/>
      <w:keepNext/>
      <w:spacing w:before="320" w:after="200"/>
      <w:outlineLvl w:val="3"/>
    </w:pPr>
    <w:rPr>
      <w:rFonts w:ascii="Arial" w:hAnsi="Arial" w:eastAsia="Arial" w:cs="Arial"/>
      <w:b/>
      <w:bCs/>
      <w:sz w:val="26"/>
      <w:szCs w:val="26"/>
    </w:rPr>
  </w:style>
  <w:style w:type="character" w:styleId="845">
    <w:name w:val="Heading 6 Char"/>
    <w:next w:val="845"/>
    <w:link w:val="846"/>
    <w:uiPriority w:val="9"/>
    <w:qFormat/>
    <w:rPr>
      <w:rFonts w:ascii="Arial" w:hAnsi="Arial" w:eastAsia="Arial" w:cs="Arial"/>
      <w:b/>
      <w:bCs/>
      <w:sz w:val="22"/>
      <w:szCs w:val="22"/>
    </w:rPr>
  </w:style>
  <w:style w:type="paragraph" w:styleId="846">
    <w:name w:val="标题 611"/>
    <w:basedOn w:val="779"/>
    <w:next w:val="779"/>
    <w:link w:val="845"/>
    <w:uiPriority w:val="9"/>
    <w:unhideWhenUsed/>
    <w:qFormat/>
    <w:pPr>
      <w:keepLines/>
      <w:keepNext/>
      <w:spacing w:before="320" w:after="200"/>
      <w:outlineLvl w:val="5"/>
    </w:pPr>
    <w:rPr>
      <w:rFonts w:ascii="Arial" w:hAnsi="Arial" w:eastAsia="Arial" w:cs="Arial"/>
      <w:b/>
      <w:bCs/>
      <w:sz w:val="22"/>
      <w:szCs w:val="22"/>
    </w:rPr>
  </w:style>
  <w:style w:type="character" w:styleId="847">
    <w:name w:val="font11"/>
    <w:next w:val="847"/>
    <w:link w:val="779"/>
    <w:qFormat/>
    <w:rPr>
      <w:rFonts w:hint="eastAsia" w:ascii="黑体" w:hAnsi="宋体" w:eastAsia="黑体" w:cs="黑体"/>
      <w:color w:val="000000"/>
      <w:sz w:val="18"/>
      <w:szCs w:val="18"/>
      <w:u w:val="none"/>
    </w:rPr>
  </w:style>
  <w:style w:type="character" w:styleId="848">
    <w:name w:val="标题 2 字符"/>
    <w:next w:val="848"/>
    <w:link w:val="849"/>
    <w:uiPriority w:val="9"/>
    <w:qFormat/>
    <w:rPr>
      <w:rFonts w:ascii="Arial" w:hAnsi="Arial" w:eastAsia="Arial" w:cs="Arial"/>
      <w:sz w:val="34"/>
    </w:rPr>
  </w:style>
  <w:style w:type="paragraph" w:styleId="849">
    <w:name w:val="标题 211"/>
    <w:basedOn w:val="779"/>
    <w:next w:val="779"/>
    <w:link w:val="848"/>
    <w:uiPriority w:val="9"/>
    <w:qFormat/>
    <w:pPr>
      <w:keepLines/>
      <w:keepNext/>
      <w:spacing w:before="360" w:after="200"/>
      <w:outlineLvl w:val="1"/>
    </w:pPr>
    <w:rPr>
      <w:rFonts w:ascii="Arial" w:hAnsi="Arial" w:eastAsia="Arial" w:cs="Arial"/>
      <w:sz w:val="34"/>
    </w:rPr>
  </w:style>
  <w:style w:type="character" w:styleId="850">
    <w:name w:val="标题 4 字符"/>
    <w:next w:val="850"/>
    <w:link w:val="851"/>
    <w:uiPriority w:val="9"/>
    <w:qFormat/>
    <w:rPr>
      <w:rFonts w:ascii="Arial" w:hAnsi="Arial" w:eastAsia="Arial" w:cs="Arial"/>
      <w:b/>
      <w:bCs/>
      <w:sz w:val="26"/>
      <w:szCs w:val="26"/>
    </w:rPr>
  </w:style>
  <w:style w:type="paragraph" w:styleId="851">
    <w:name w:val="标题 41"/>
    <w:basedOn w:val="779"/>
    <w:next w:val="852"/>
    <w:link w:val="850"/>
    <w:uiPriority w:val="9"/>
    <w:qFormat/>
    <w:pPr>
      <w:keepLines/>
      <w:keepNext/>
      <w:spacing w:before="320" w:after="200"/>
      <w:outlineLvl w:val="3"/>
    </w:pPr>
    <w:rPr>
      <w:rFonts w:ascii="Arial" w:hAnsi="Arial" w:eastAsia="Arial" w:cs="Arial"/>
      <w:b/>
      <w:bCs/>
      <w:sz w:val="26"/>
      <w:szCs w:val="26"/>
    </w:rPr>
  </w:style>
  <w:style w:type="paragraph" w:styleId="852">
    <w:name w:val="正文11"/>
    <w:next w:val="853"/>
    <w:link w:val="779"/>
    <w:qFormat/>
    <w:pPr>
      <w:jc w:val="both"/>
      <w:widowControl w:val="off"/>
    </w:pPr>
    <w:rPr>
      <w:sz w:val="21"/>
      <w:szCs w:val="24"/>
      <w:lang w:val="en-US" w:eastAsia="zh-CN" w:bidi="ar-SA"/>
    </w:rPr>
  </w:style>
  <w:style w:type="paragraph" w:styleId="853">
    <w:name w:val="正文首行缩进 21"/>
    <w:basedOn w:val="854"/>
    <w:next w:val="779"/>
    <w:link w:val="779"/>
    <w:qFormat/>
    <w:pPr>
      <w:ind w:firstLine="420"/>
    </w:pPr>
    <w:rPr>
      <w:rFonts w:ascii="宋体" w:hAnsi="宋体"/>
      <w:sz w:val="20"/>
      <w:szCs w:val="20"/>
    </w:rPr>
  </w:style>
  <w:style w:type="paragraph" w:styleId="854">
    <w:name w:val="正文文本缩进1"/>
    <w:basedOn w:val="779"/>
    <w:next w:val="855"/>
    <w:link w:val="779"/>
    <w:qFormat/>
    <w:pPr>
      <w:ind w:left="420"/>
      <w:spacing w:after="120"/>
    </w:pPr>
    <w:rPr>
      <w:rFonts w:ascii="Calibri" w:hAnsi="Calibri"/>
    </w:rPr>
  </w:style>
  <w:style w:type="paragraph" w:styleId="855">
    <w:name w:val="寄信人地址1"/>
    <w:basedOn w:val="779"/>
    <w:next w:val="855"/>
    <w:link w:val="779"/>
    <w:uiPriority w:val="99"/>
    <w:unhideWhenUsed/>
    <w:qFormat/>
    <w:rPr>
      <w:rFonts w:ascii="Arial" w:hAnsi="Arial"/>
    </w:rPr>
  </w:style>
  <w:style w:type="character" w:styleId="856">
    <w:name w:val="明显引用 字符"/>
    <w:next w:val="856"/>
    <w:link w:val="857"/>
    <w:uiPriority w:val="30"/>
    <w:qFormat/>
    <w:rPr>
      <w:i/>
    </w:rPr>
  </w:style>
  <w:style w:type="paragraph" w:styleId="857">
    <w:name w:val="明显引用1"/>
    <w:basedOn w:val="779"/>
    <w:next w:val="779"/>
    <w:link w:val="85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8">
    <w:name w:val="页脚 字符"/>
    <w:next w:val="858"/>
    <w:link w:val="859"/>
    <w:uiPriority w:val="99"/>
    <w:qFormat/>
  </w:style>
  <w:style w:type="paragraph" w:styleId="859">
    <w:name w:val="页脚11"/>
    <w:basedOn w:val="779"/>
    <w:next w:val="859"/>
    <w:link w:val="858"/>
    <w:uiPriority w:val="99"/>
    <w:unhideWhenUsed/>
    <w:qFormat/>
    <w:pPr>
      <w:tabs>
        <w:tab w:val="center" w:pos="7143" w:leader="none"/>
        <w:tab w:val="right" w:pos="14287" w:leader="none"/>
      </w:tabs>
    </w:pPr>
  </w:style>
  <w:style w:type="character" w:styleId="860">
    <w:name w:val="尾注文本 字符"/>
    <w:next w:val="860"/>
    <w:link w:val="861"/>
    <w:uiPriority w:val="99"/>
    <w:qFormat/>
    <w:rPr>
      <w:sz w:val="20"/>
    </w:rPr>
  </w:style>
  <w:style w:type="paragraph" w:styleId="861">
    <w:name w:val="尾注文本1"/>
    <w:basedOn w:val="779"/>
    <w:next w:val="861"/>
    <w:link w:val="860"/>
    <w:uiPriority w:val="99"/>
    <w:unhideWhenUsed/>
    <w:qFormat/>
    <w:rPr>
      <w:sz w:val="20"/>
    </w:rPr>
  </w:style>
  <w:style w:type="character" w:styleId="862">
    <w:name w:val="Heading 3 Char"/>
    <w:next w:val="862"/>
    <w:link w:val="863"/>
    <w:uiPriority w:val="9"/>
    <w:qFormat/>
    <w:rPr>
      <w:rFonts w:ascii="Arial" w:hAnsi="Arial" w:eastAsia="Arial" w:cs="Arial"/>
      <w:sz w:val="30"/>
      <w:szCs w:val="30"/>
    </w:rPr>
  </w:style>
  <w:style w:type="paragraph" w:styleId="863">
    <w:name w:val="标题 311"/>
    <w:basedOn w:val="779"/>
    <w:next w:val="779"/>
    <w:link w:val="862"/>
    <w:uiPriority w:val="9"/>
    <w:unhideWhenUsed/>
    <w:qFormat/>
    <w:pPr>
      <w:keepLines/>
      <w:keepNext/>
      <w:spacing w:before="320" w:after="200"/>
      <w:outlineLvl w:val="2"/>
    </w:pPr>
    <w:rPr>
      <w:rFonts w:ascii="Arial" w:hAnsi="Arial" w:eastAsia="Arial" w:cs="Arial"/>
      <w:sz w:val="30"/>
      <w:szCs w:val="30"/>
    </w:rPr>
  </w:style>
  <w:style w:type="character" w:styleId="864">
    <w:name w:val="NormalCharacter11"/>
    <w:next w:val="864"/>
    <w:link w:val="779"/>
    <w:semiHidden/>
    <w:qFormat/>
    <w:rPr>
      <w:rFonts w:ascii="Times New Roman" w:hAnsi="Times New Roman"/>
      <w:sz w:val="21"/>
      <w:szCs w:val="24"/>
      <w:lang w:val="en-US" w:eastAsia="zh-CN" w:bidi="ar-SA"/>
    </w:rPr>
  </w:style>
  <w:style w:type="character" w:styleId="865">
    <w:name w:val="标题 8 字符"/>
    <w:next w:val="865"/>
    <w:link w:val="866"/>
    <w:uiPriority w:val="9"/>
    <w:qFormat/>
    <w:rPr>
      <w:rFonts w:ascii="Arial" w:hAnsi="Arial" w:eastAsia="Arial" w:cs="Arial"/>
      <w:i/>
      <w:iCs/>
      <w:sz w:val="22"/>
      <w:szCs w:val="22"/>
    </w:rPr>
  </w:style>
  <w:style w:type="paragraph" w:styleId="866">
    <w:name w:val="标题 81"/>
    <w:basedOn w:val="779"/>
    <w:next w:val="779"/>
    <w:link w:val="865"/>
    <w:uiPriority w:val="9"/>
    <w:qFormat/>
    <w:pPr>
      <w:keepLines/>
      <w:keepNext/>
      <w:spacing w:before="320" w:after="200"/>
      <w:outlineLvl w:val="7"/>
    </w:pPr>
    <w:rPr>
      <w:rFonts w:ascii="Arial" w:hAnsi="Arial" w:eastAsia="Arial" w:cs="Arial"/>
      <w:i/>
      <w:iCs/>
      <w:sz w:val="22"/>
      <w:szCs w:val="22"/>
    </w:rPr>
  </w:style>
  <w:style w:type="character" w:styleId="867">
    <w:name w:val="超链接11"/>
    <w:next w:val="867"/>
    <w:link w:val="779"/>
    <w:uiPriority w:val="99"/>
    <w:unhideWhenUsed/>
    <w:qFormat/>
    <w:rPr>
      <w:color w:val="0000ff"/>
      <w:u w:val="single"/>
    </w:rPr>
  </w:style>
  <w:style w:type="character" w:styleId="868">
    <w:name w:val="Heading 2 Char"/>
    <w:next w:val="868"/>
    <w:link w:val="869"/>
    <w:uiPriority w:val="9"/>
    <w:qFormat/>
    <w:rPr>
      <w:rFonts w:ascii="Arial" w:hAnsi="Arial" w:eastAsia="Arial" w:cs="Arial"/>
      <w:sz w:val="34"/>
    </w:rPr>
  </w:style>
  <w:style w:type="paragraph" w:styleId="869">
    <w:name w:val="标题 212"/>
    <w:basedOn w:val="779"/>
    <w:next w:val="779"/>
    <w:link w:val="868"/>
    <w:uiPriority w:val="9"/>
    <w:unhideWhenUsed/>
    <w:qFormat/>
    <w:pPr>
      <w:keepLines/>
      <w:keepNext/>
      <w:spacing w:before="360" w:after="200"/>
      <w:outlineLvl w:val="1"/>
    </w:pPr>
    <w:rPr>
      <w:rFonts w:ascii="Arial" w:hAnsi="Arial" w:eastAsia="Arial" w:cs="Arial"/>
      <w:sz w:val="34"/>
    </w:rPr>
  </w:style>
  <w:style w:type="character" w:styleId="870">
    <w:name w:val="超链接12"/>
    <w:next w:val="870"/>
    <w:link w:val="779"/>
    <w:uiPriority w:val="99"/>
    <w:unhideWhenUsed/>
    <w:qFormat/>
    <w:rPr>
      <w:color w:val="0000ff"/>
      <w:u w:val="single"/>
    </w:rPr>
  </w:style>
  <w:style w:type="character" w:styleId="871">
    <w:name w:val="标题 3 字符"/>
    <w:next w:val="871"/>
    <w:link w:val="872"/>
    <w:uiPriority w:val="9"/>
    <w:qFormat/>
    <w:rPr>
      <w:rFonts w:ascii="Arial" w:hAnsi="Arial" w:eastAsia="Arial" w:cs="Arial"/>
      <w:sz w:val="30"/>
      <w:szCs w:val="30"/>
    </w:rPr>
  </w:style>
  <w:style w:type="paragraph" w:styleId="872">
    <w:name w:val="标题 31"/>
    <w:basedOn w:val="779"/>
    <w:next w:val="779"/>
    <w:link w:val="871"/>
    <w:uiPriority w:val="9"/>
    <w:qFormat/>
    <w:pPr>
      <w:keepLines/>
      <w:keepNext/>
      <w:spacing w:before="320" w:after="200"/>
      <w:outlineLvl w:val="2"/>
    </w:pPr>
    <w:rPr>
      <w:rFonts w:ascii="Arial" w:hAnsi="Arial" w:eastAsia="Arial" w:cs="Arial"/>
      <w:sz w:val="30"/>
      <w:szCs w:val="30"/>
    </w:rPr>
  </w:style>
  <w:style w:type="character" w:styleId="873">
    <w:name w:val="标题 字符"/>
    <w:next w:val="873"/>
    <w:link w:val="874"/>
    <w:uiPriority w:val="10"/>
    <w:qFormat/>
    <w:rPr>
      <w:sz w:val="48"/>
      <w:szCs w:val="48"/>
    </w:rPr>
  </w:style>
  <w:style w:type="paragraph" w:styleId="874">
    <w:name w:val="标题1"/>
    <w:basedOn w:val="779"/>
    <w:next w:val="779"/>
    <w:link w:val="873"/>
    <w:uiPriority w:val="10"/>
    <w:qFormat/>
    <w:pPr>
      <w:contextualSpacing/>
      <w:spacing w:before="300" w:after="200"/>
    </w:pPr>
    <w:rPr>
      <w:sz w:val="48"/>
      <w:szCs w:val="48"/>
    </w:rPr>
  </w:style>
  <w:style w:type="character" w:styleId="875">
    <w:name w:val="副标题 字符"/>
    <w:next w:val="875"/>
    <w:link w:val="876"/>
    <w:uiPriority w:val="11"/>
    <w:qFormat/>
    <w:rPr>
      <w:sz w:val="24"/>
      <w:szCs w:val="24"/>
    </w:rPr>
  </w:style>
  <w:style w:type="paragraph" w:styleId="876">
    <w:name w:val="副标题1"/>
    <w:basedOn w:val="779"/>
    <w:next w:val="779"/>
    <w:link w:val="875"/>
    <w:uiPriority w:val="11"/>
    <w:qFormat/>
    <w:pPr>
      <w:spacing w:before="200" w:after="200"/>
    </w:pPr>
    <w:rPr>
      <w:sz w:val="24"/>
    </w:rPr>
  </w:style>
  <w:style w:type="character" w:styleId="877">
    <w:name w:val="脚注引用11"/>
    <w:next w:val="877"/>
    <w:link w:val="779"/>
    <w:uiPriority w:val="99"/>
    <w:unhideWhenUsed/>
    <w:qFormat/>
    <w:rPr>
      <w:vertAlign w:val="superscript"/>
    </w:rPr>
  </w:style>
  <w:style w:type="character" w:styleId="878">
    <w:name w:val="批注主题 字符"/>
    <w:next w:val="878"/>
    <w:link w:val="879"/>
    <w:qFormat/>
    <w:rPr>
      <w:rFonts w:ascii="Times New Roman" w:hAnsi="Times New Roman" w:eastAsia="宋体" w:cs="Times New Roman"/>
      <w:b/>
      <w:bCs/>
      <w:sz w:val="21"/>
      <w:szCs w:val="24"/>
    </w:rPr>
  </w:style>
  <w:style w:type="paragraph" w:styleId="879">
    <w:name w:val="批注主题1"/>
    <w:basedOn w:val="880"/>
    <w:next w:val="880"/>
    <w:link w:val="878"/>
    <w:qFormat/>
    <w:rPr>
      <w:b/>
      <w:bCs/>
    </w:rPr>
  </w:style>
  <w:style w:type="paragraph" w:styleId="880">
    <w:name w:val="批注文字1"/>
    <w:basedOn w:val="779"/>
    <w:next w:val="880"/>
    <w:link w:val="881"/>
    <w:qFormat/>
    <w:pPr>
      <w:jc w:val="left"/>
    </w:pPr>
  </w:style>
  <w:style w:type="character" w:styleId="881">
    <w:name w:val="批注文字 字符"/>
    <w:next w:val="881"/>
    <w:link w:val="880"/>
    <w:qFormat/>
    <w:rPr>
      <w:rFonts w:ascii="Times New Roman" w:hAnsi="Times New Roman" w:eastAsia="宋体" w:cs="Times New Roman"/>
      <w:sz w:val="21"/>
      <w:szCs w:val="24"/>
    </w:rPr>
  </w:style>
  <w:style w:type="character" w:styleId="882">
    <w:name w:val="Heading 1 Char"/>
    <w:next w:val="882"/>
    <w:link w:val="779"/>
    <w:uiPriority w:val="9"/>
    <w:qFormat/>
    <w:rPr>
      <w:rFonts w:ascii="Arial" w:hAnsi="Arial" w:eastAsia="Arial" w:cs="Arial"/>
      <w:sz w:val="40"/>
      <w:szCs w:val="40"/>
    </w:rPr>
  </w:style>
  <w:style w:type="character" w:styleId="883">
    <w:name w:val="Footer Char"/>
    <w:next w:val="883"/>
    <w:link w:val="779"/>
    <w:uiPriority w:val="99"/>
    <w:qFormat/>
  </w:style>
  <w:style w:type="character" w:styleId="884">
    <w:name w:val="标题 1 字符"/>
    <w:next w:val="884"/>
    <w:link w:val="885"/>
    <w:uiPriority w:val="9"/>
    <w:qFormat/>
    <w:rPr>
      <w:rFonts w:ascii="Arial" w:hAnsi="Arial" w:eastAsia="Arial" w:cs="Arial"/>
      <w:sz w:val="40"/>
      <w:szCs w:val="40"/>
    </w:rPr>
  </w:style>
  <w:style w:type="paragraph" w:styleId="885">
    <w:name w:val="标题 112"/>
    <w:basedOn w:val="779"/>
    <w:next w:val="779"/>
    <w:link w:val="884"/>
    <w:uiPriority w:val="9"/>
    <w:qFormat/>
    <w:pPr>
      <w:keepLines/>
      <w:keepNext/>
      <w:spacing w:before="480" w:after="200"/>
      <w:outlineLvl w:val="0"/>
    </w:pPr>
    <w:rPr>
      <w:rFonts w:ascii="Arial" w:hAnsi="Arial" w:eastAsia="Arial" w:cs="Arial"/>
      <w:sz w:val="40"/>
      <w:szCs w:val="40"/>
    </w:rPr>
  </w:style>
  <w:style w:type="character" w:styleId="886">
    <w:name w:val="font121"/>
    <w:next w:val="886"/>
    <w:link w:val="779"/>
    <w:qFormat/>
    <w:rPr>
      <w:rFonts w:hint="eastAsia" w:ascii="宋体" w:hAnsi="宋体" w:eastAsia="宋体" w:cs="宋体"/>
      <w:color w:val="000000"/>
      <w:sz w:val="18"/>
      <w:szCs w:val="18"/>
      <w:u w:val="none"/>
    </w:rPr>
  </w:style>
  <w:style w:type="character" w:styleId="887">
    <w:name w:val="Quote Char"/>
    <w:next w:val="887"/>
    <w:link w:val="779"/>
    <w:uiPriority w:val="29"/>
    <w:rPr>
      <w:i/>
    </w:rPr>
  </w:style>
  <w:style w:type="character" w:styleId="888">
    <w:name w:val="Heading 9 Char"/>
    <w:next w:val="888"/>
    <w:link w:val="889"/>
    <w:uiPriority w:val="9"/>
    <w:qFormat/>
    <w:rPr>
      <w:rFonts w:ascii="Arial" w:hAnsi="Arial" w:eastAsia="Arial" w:cs="Arial"/>
      <w:i/>
      <w:iCs/>
      <w:sz w:val="21"/>
      <w:szCs w:val="21"/>
    </w:rPr>
  </w:style>
  <w:style w:type="paragraph" w:styleId="889">
    <w:name w:val="标题 911"/>
    <w:basedOn w:val="779"/>
    <w:next w:val="779"/>
    <w:link w:val="888"/>
    <w:uiPriority w:val="9"/>
    <w:unhideWhenUsed/>
    <w:qFormat/>
    <w:pPr>
      <w:keepLines/>
      <w:keepNext/>
      <w:spacing w:before="320" w:after="200"/>
      <w:outlineLvl w:val="8"/>
    </w:pPr>
    <w:rPr>
      <w:rFonts w:ascii="Arial" w:hAnsi="Arial" w:eastAsia="Arial" w:cs="Arial"/>
      <w:i/>
      <w:iCs/>
      <w:szCs w:val="21"/>
    </w:rPr>
  </w:style>
  <w:style w:type="character" w:styleId="890">
    <w:name w:val="页眉 字符"/>
    <w:next w:val="890"/>
    <w:link w:val="891"/>
    <w:uiPriority w:val="99"/>
    <w:qFormat/>
  </w:style>
  <w:style w:type="paragraph" w:styleId="891">
    <w:name w:val="页眉11"/>
    <w:basedOn w:val="779"/>
    <w:next w:val="891"/>
    <w:link w:val="890"/>
    <w:uiPriority w:val="99"/>
    <w:unhideWhenUsed/>
    <w:qFormat/>
    <w:pPr>
      <w:tabs>
        <w:tab w:val="center" w:pos="7143" w:leader="none"/>
        <w:tab w:val="right" w:pos="14287" w:leader="none"/>
      </w:tabs>
    </w:pPr>
  </w:style>
  <w:style w:type="character" w:styleId="892">
    <w:name w:val="标题 6 字符"/>
    <w:next w:val="892"/>
    <w:link w:val="893"/>
    <w:uiPriority w:val="9"/>
    <w:qFormat/>
    <w:rPr>
      <w:rFonts w:ascii="Arial" w:hAnsi="Arial" w:eastAsia="Arial" w:cs="Arial"/>
      <w:b/>
      <w:bCs/>
      <w:sz w:val="22"/>
      <w:szCs w:val="22"/>
    </w:rPr>
  </w:style>
  <w:style w:type="paragraph" w:styleId="893">
    <w:name w:val="标题 61"/>
    <w:basedOn w:val="779"/>
    <w:next w:val="779"/>
    <w:link w:val="892"/>
    <w:uiPriority w:val="9"/>
    <w:qFormat/>
    <w:pPr>
      <w:keepLines/>
      <w:keepNext/>
      <w:spacing w:before="320" w:after="200"/>
      <w:outlineLvl w:val="5"/>
    </w:pPr>
    <w:rPr>
      <w:rFonts w:ascii="Arial" w:hAnsi="Arial" w:eastAsia="Arial" w:cs="Arial"/>
      <w:b/>
      <w:bCs/>
      <w:sz w:val="22"/>
      <w:szCs w:val="22"/>
    </w:rPr>
  </w:style>
  <w:style w:type="character" w:styleId="894">
    <w:name w:val="引用 字符1"/>
    <w:next w:val="894"/>
    <w:link w:val="895"/>
    <w:uiPriority w:val="29"/>
    <w:qFormat/>
    <w:rPr>
      <w:i/>
    </w:rPr>
  </w:style>
  <w:style w:type="paragraph" w:styleId="895">
    <w:name w:val="引用"/>
    <w:basedOn w:val="779"/>
    <w:next w:val="779"/>
    <w:link w:val="894"/>
    <w:uiPriority w:val="29"/>
    <w:qFormat/>
    <w:pPr>
      <w:ind w:left="720" w:right="720"/>
    </w:pPr>
    <w:rPr>
      <w:i/>
    </w:rPr>
  </w:style>
  <w:style w:type="character" w:styleId="896">
    <w:name w:val="尾注引用1"/>
    <w:next w:val="896"/>
    <w:link w:val="779"/>
    <w:uiPriority w:val="99"/>
    <w:unhideWhenUsed/>
    <w:qFormat/>
    <w:rPr>
      <w:vertAlign w:val="superscript"/>
    </w:rPr>
  </w:style>
  <w:style w:type="character" w:styleId="897">
    <w:name w:val="页码1"/>
    <w:next w:val="897"/>
    <w:link w:val="779"/>
    <w:qFormat/>
    <w:rPr>
      <w:rFonts w:ascii="Times New Roman" w:hAnsi="Times New Roman" w:eastAsia="宋体" w:cs="Times New Roman"/>
      <w:sz w:val="21"/>
      <w:szCs w:val="24"/>
      <w:lang w:val="en-US" w:eastAsia="zh-CN" w:bidi="ar-SA"/>
    </w:rPr>
  </w:style>
  <w:style w:type="character" w:styleId="898">
    <w:name w:val="超链接1"/>
    <w:next w:val="898"/>
    <w:link w:val="779"/>
    <w:uiPriority w:val="99"/>
    <w:unhideWhenUsed/>
    <w:qFormat/>
    <w:rPr>
      <w:color w:val="0000ff"/>
      <w:u w:val="single"/>
    </w:rPr>
  </w:style>
  <w:style w:type="character" w:styleId="899">
    <w:name w:val="Title Char"/>
    <w:next w:val="899"/>
    <w:link w:val="900"/>
    <w:uiPriority w:val="10"/>
    <w:qFormat/>
    <w:rPr>
      <w:sz w:val="48"/>
      <w:szCs w:val="48"/>
    </w:rPr>
  </w:style>
  <w:style w:type="paragraph" w:styleId="900">
    <w:name w:val="标题11"/>
    <w:basedOn w:val="779"/>
    <w:next w:val="779"/>
    <w:link w:val="899"/>
    <w:uiPriority w:val="10"/>
    <w:qFormat/>
    <w:pPr>
      <w:contextualSpacing/>
      <w:spacing w:before="300" w:after="200"/>
    </w:pPr>
    <w:rPr>
      <w:sz w:val="48"/>
      <w:szCs w:val="48"/>
    </w:rPr>
  </w:style>
  <w:style w:type="character" w:styleId="901">
    <w:name w:val="Endnote Text Char"/>
    <w:next w:val="901"/>
    <w:link w:val="902"/>
    <w:uiPriority w:val="99"/>
    <w:qFormat/>
    <w:rPr>
      <w:sz w:val="20"/>
    </w:rPr>
  </w:style>
  <w:style w:type="paragraph" w:styleId="902">
    <w:name w:val="尾注文本11"/>
    <w:basedOn w:val="779"/>
    <w:next w:val="902"/>
    <w:link w:val="901"/>
    <w:uiPriority w:val="99"/>
    <w:unhideWhenUsed/>
    <w:qFormat/>
    <w:rPr>
      <w:sz w:val="20"/>
    </w:rPr>
  </w:style>
  <w:style w:type="character" w:styleId="903">
    <w:name w:val="尾注引用11"/>
    <w:next w:val="903"/>
    <w:link w:val="779"/>
    <w:uiPriority w:val="99"/>
    <w:unhideWhenUsed/>
    <w:qFormat/>
    <w:rPr>
      <w:vertAlign w:val="superscript"/>
    </w:rPr>
  </w:style>
  <w:style w:type="character" w:styleId="904">
    <w:name w:val="批注引用1"/>
    <w:next w:val="904"/>
    <w:link w:val="779"/>
    <w:qFormat/>
    <w:rPr>
      <w:sz w:val="21"/>
      <w:szCs w:val="21"/>
    </w:rPr>
  </w:style>
  <w:style w:type="character" w:styleId="905">
    <w:name w:val="Header Char"/>
    <w:next w:val="905"/>
    <w:link w:val="906"/>
    <w:uiPriority w:val="99"/>
    <w:qFormat/>
  </w:style>
  <w:style w:type="paragraph" w:styleId="906">
    <w:name w:val="页眉12"/>
    <w:basedOn w:val="779"/>
    <w:next w:val="906"/>
    <w:link w:val="905"/>
    <w:uiPriority w:val="99"/>
    <w:unhideWhenUsed/>
    <w:qFormat/>
    <w:pPr>
      <w:tabs>
        <w:tab w:val="center" w:pos="7143" w:leader="none"/>
        <w:tab w:val="right" w:pos="14287" w:leader="none"/>
      </w:tabs>
    </w:pPr>
  </w:style>
  <w:style w:type="character" w:styleId="907">
    <w:name w:val="wyg1"/>
    <w:next w:val="907"/>
    <w:link w:val="779"/>
    <w:uiPriority w:val="6"/>
    <w:qFormat/>
    <w:rPr>
      <w:rFonts w:ascii="Times New Roman" w:hAnsi="Times New Roman" w:eastAsia="宋体" w:cs="Times New Roman"/>
      <w:sz w:val="21"/>
      <w:szCs w:val="24"/>
      <w:lang w:val="en-US" w:eastAsia="zh-CN" w:bidi="ar-SA"/>
    </w:rPr>
  </w:style>
  <w:style w:type="character" w:styleId="908">
    <w:name w:val="Heading 7 Char"/>
    <w:next w:val="908"/>
    <w:link w:val="909"/>
    <w:uiPriority w:val="9"/>
    <w:qFormat/>
    <w:rPr>
      <w:rFonts w:ascii="Arial" w:hAnsi="Arial" w:eastAsia="Arial" w:cs="Arial"/>
      <w:b/>
      <w:bCs/>
      <w:i/>
      <w:iCs/>
      <w:sz w:val="22"/>
      <w:szCs w:val="22"/>
    </w:rPr>
  </w:style>
  <w:style w:type="paragraph" w:styleId="909">
    <w:name w:val="标题 711"/>
    <w:basedOn w:val="779"/>
    <w:next w:val="779"/>
    <w:link w:val="908"/>
    <w:uiPriority w:val="9"/>
    <w:unhideWhenUsed/>
    <w:qFormat/>
    <w:pPr>
      <w:keepLines/>
      <w:keepNext/>
      <w:spacing w:before="320" w:after="200"/>
      <w:outlineLvl w:val="6"/>
    </w:pPr>
    <w:rPr>
      <w:rFonts w:ascii="Arial" w:hAnsi="Arial" w:eastAsia="Arial" w:cs="Arial"/>
      <w:b/>
      <w:bCs/>
      <w:i/>
      <w:iCs/>
      <w:sz w:val="22"/>
      <w:szCs w:val="22"/>
    </w:rPr>
  </w:style>
  <w:style w:type="character" w:styleId="910">
    <w:name w:val="font131"/>
    <w:next w:val="910"/>
    <w:link w:val="779"/>
    <w:qFormat/>
    <w:rPr>
      <w:rFonts w:hint="eastAsia" w:ascii="宋体" w:hAnsi="宋体" w:eastAsia="宋体" w:cs="宋体"/>
      <w:color w:val="000000"/>
      <w:sz w:val="20"/>
      <w:szCs w:val="20"/>
      <w:u w:val="none"/>
    </w:rPr>
  </w:style>
  <w:style w:type="character" w:styleId="911">
    <w:name w:val="Caption Char"/>
    <w:next w:val="911"/>
    <w:link w:val="912"/>
    <w:uiPriority w:val="99"/>
    <w:qFormat/>
  </w:style>
  <w:style w:type="paragraph" w:styleId="912">
    <w:name w:val="页脚12"/>
    <w:basedOn w:val="779"/>
    <w:next w:val="912"/>
    <w:link w:val="911"/>
    <w:uiPriority w:val="99"/>
    <w:unhideWhenUsed/>
    <w:qFormat/>
    <w:pPr>
      <w:tabs>
        <w:tab w:val="center" w:pos="7143" w:leader="none"/>
        <w:tab w:val="right" w:pos="14287" w:leader="none"/>
      </w:tabs>
    </w:pPr>
  </w:style>
  <w:style w:type="character" w:styleId="913">
    <w:name w:val="font21"/>
    <w:next w:val="913"/>
    <w:link w:val="779"/>
    <w:qFormat/>
    <w:rPr>
      <w:rFonts w:hint="eastAsia" w:ascii="宋体" w:hAnsi="宋体" w:eastAsia="宋体" w:cs="宋体"/>
      <w:b/>
      <w:bCs/>
      <w:color w:val="000000"/>
      <w:sz w:val="28"/>
      <w:szCs w:val="28"/>
      <w:u w:val="none"/>
    </w:rPr>
  </w:style>
  <w:style w:type="character" w:styleId="914">
    <w:name w:val="Heading 8 Char"/>
    <w:next w:val="914"/>
    <w:link w:val="915"/>
    <w:uiPriority w:val="9"/>
    <w:qFormat/>
    <w:rPr>
      <w:rFonts w:ascii="Arial" w:hAnsi="Arial" w:eastAsia="Arial" w:cs="Arial"/>
      <w:i/>
      <w:iCs/>
      <w:sz w:val="22"/>
      <w:szCs w:val="22"/>
    </w:rPr>
  </w:style>
  <w:style w:type="paragraph" w:styleId="915">
    <w:name w:val="标题 811"/>
    <w:basedOn w:val="779"/>
    <w:next w:val="779"/>
    <w:link w:val="914"/>
    <w:uiPriority w:val="9"/>
    <w:unhideWhenUsed/>
    <w:qFormat/>
    <w:pPr>
      <w:keepLines/>
      <w:keepNext/>
      <w:spacing w:before="320" w:after="200"/>
      <w:outlineLvl w:val="7"/>
    </w:pPr>
    <w:rPr>
      <w:rFonts w:ascii="Arial" w:hAnsi="Arial" w:eastAsia="Arial" w:cs="Arial"/>
      <w:i/>
      <w:iCs/>
      <w:sz w:val="22"/>
      <w:szCs w:val="22"/>
    </w:rPr>
  </w:style>
  <w:style w:type="character" w:styleId="916">
    <w:name w:val="NormalCharacter1"/>
    <w:next w:val="916"/>
    <w:link w:val="779"/>
    <w:semiHidden/>
    <w:qFormat/>
    <w:rPr>
      <w:sz w:val="28"/>
      <w:lang w:val="en-US" w:eastAsia="zh-CN" w:bidi="ar-SA"/>
    </w:rPr>
  </w:style>
  <w:style w:type="character" w:styleId="917">
    <w:name w:val="Heading 5 Char"/>
    <w:next w:val="917"/>
    <w:link w:val="918"/>
    <w:uiPriority w:val="9"/>
    <w:qFormat/>
    <w:rPr>
      <w:rFonts w:ascii="Arial" w:hAnsi="Arial" w:eastAsia="Arial" w:cs="Arial"/>
      <w:b/>
      <w:bCs/>
      <w:sz w:val="24"/>
      <w:szCs w:val="24"/>
    </w:rPr>
  </w:style>
  <w:style w:type="paragraph" w:styleId="918">
    <w:name w:val="标题 511"/>
    <w:basedOn w:val="779"/>
    <w:next w:val="779"/>
    <w:link w:val="917"/>
    <w:uiPriority w:val="9"/>
    <w:unhideWhenUsed/>
    <w:qFormat/>
    <w:pPr>
      <w:keepLines/>
      <w:keepNext/>
      <w:spacing w:before="320" w:after="200"/>
      <w:outlineLvl w:val="4"/>
    </w:pPr>
    <w:rPr>
      <w:rFonts w:ascii="Arial" w:hAnsi="Arial" w:eastAsia="Arial" w:cs="Arial"/>
      <w:b/>
      <w:bCs/>
      <w:sz w:val="24"/>
    </w:rPr>
  </w:style>
  <w:style w:type="character" w:styleId="919">
    <w:name w:val="Subtitle Char"/>
    <w:next w:val="919"/>
    <w:link w:val="920"/>
    <w:uiPriority w:val="11"/>
    <w:qFormat/>
    <w:rPr>
      <w:sz w:val="24"/>
      <w:szCs w:val="24"/>
    </w:rPr>
  </w:style>
  <w:style w:type="paragraph" w:styleId="920">
    <w:name w:val="副标题11"/>
    <w:basedOn w:val="779"/>
    <w:next w:val="779"/>
    <w:link w:val="919"/>
    <w:uiPriority w:val="11"/>
    <w:qFormat/>
    <w:pPr>
      <w:spacing w:before="200" w:after="200"/>
    </w:pPr>
    <w:rPr>
      <w:sz w:val="24"/>
    </w:rPr>
  </w:style>
  <w:style w:type="character" w:styleId="921">
    <w:name w:val="批注框文本 字符"/>
    <w:next w:val="921"/>
    <w:link w:val="922"/>
    <w:qFormat/>
    <w:rPr>
      <w:rFonts w:ascii="Times New Roman" w:hAnsi="Times New Roman" w:eastAsia="宋体" w:cs="Times New Roman"/>
      <w:sz w:val="18"/>
      <w:szCs w:val="18"/>
    </w:rPr>
  </w:style>
  <w:style w:type="paragraph" w:styleId="922">
    <w:name w:val="批注框文本1"/>
    <w:basedOn w:val="779"/>
    <w:next w:val="922"/>
    <w:link w:val="921"/>
    <w:qFormat/>
    <w:rPr>
      <w:sz w:val="18"/>
      <w:szCs w:val="18"/>
    </w:rPr>
  </w:style>
  <w:style w:type="character" w:styleId="923">
    <w:name w:val="标题 9 字符"/>
    <w:next w:val="923"/>
    <w:link w:val="924"/>
    <w:uiPriority w:val="9"/>
    <w:qFormat/>
    <w:rPr>
      <w:rFonts w:ascii="Arial" w:hAnsi="Arial" w:eastAsia="Arial" w:cs="Arial"/>
      <w:i/>
      <w:iCs/>
      <w:sz w:val="21"/>
      <w:szCs w:val="21"/>
    </w:rPr>
  </w:style>
  <w:style w:type="paragraph" w:styleId="924">
    <w:name w:val="标题 91"/>
    <w:basedOn w:val="779"/>
    <w:next w:val="779"/>
    <w:link w:val="923"/>
    <w:uiPriority w:val="9"/>
    <w:qFormat/>
    <w:pPr>
      <w:keepLines/>
      <w:keepNext/>
      <w:spacing w:before="320" w:after="200"/>
      <w:outlineLvl w:val="8"/>
    </w:pPr>
    <w:rPr>
      <w:rFonts w:ascii="Arial" w:hAnsi="Arial" w:eastAsia="Arial" w:cs="Arial"/>
      <w:i/>
      <w:iCs/>
      <w:szCs w:val="21"/>
    </w:rPr>
  </w:style>
  <w:style w:type="character" w:styleId="925">
    <w:name w:val="默认段落字体1"/>
    <w:next w:val="925"/>
    <w:link w:val="779"/>
    <w:uiPriority w:val="1"/>
    <w:unhideWhenUsed/>
    <w:qFormat/>
  </w:style>
  <w:style w:type="paragraph" w:styleId="926">
    <w:name w:val="正文文本1"/>
    <w:basedOn w:val="927"/>
    <w:next w:val="929"/>
    <w:link w:val="779"/>
    <w:uiPriority w:val="99"/>
    <w:qFormat/>
    <w:pPr>
      <w:spacing w:after="120"/>
    </w:pPr>
    <w:rPr>
      <w:rFonts w:ascii="Calibri"/>
    </w:rPr>
  </w:style>
  <w:style w:type="paragraph" w:styleId="927">
    <w:name w:val="正文1"/>
    <w:basedOn w:val="852"/>
    <w:next w:val="928"/>
    <w:link w:val="779"/>
    <w:qFormat/>
    <w:pPr>
      <w:jc w:val="left"/>
      <w:spacing w:line="360" w:lineRule="atLeast"/>
    </w:pPr>
    <w:rPr>
      <w:rFonts w:ascii="宋体" w:hAnsi="Calibri"/>
      <w:sz w:val="24"/>
      <w:szCs w:val="20"/>
    </w:rPr>
  </w:style>
  <w:style w:type="paragraph" w:styleId="928">
    <w:name w:val="目录 11"/>
    <w:basedOn w:val="852"/>
    <w:next w:val="929"/>
    <w:link w:val="779"/>
    <w:qFormat/>
    <w:pPr>
      <w:jc w:val="left"/>
      <w:spacing w:after="100" w:line="259" w:lineRule="auto"/>
      <w:widowControl/>
    </w:pPr>
    <w:rPr>
      <w:rFonts w:ascii="Calibri" w:hAnsi="Calibri"/>
      <w:sz w:val="22"/>
      <w:szCs w:val="22"/>
    </w:rPr>
  </w:style>
  <w:style w:type="paragraph" w:styleId="929">
    <w:name w:val="正文12"/>
    <w:next w:val="930"/>
    <w:link w:val="779"/>
    <w:qFormat/>
    <w:pPr>
      <w:jc w:val="both"/>
      <w:widowControl w:val="off"/>
    </w:pPr>
    <w:rPr>
      <w:sz w:val="21"/>
      <w:szCs w:val="24"/>
      <w:lang w:val="en-US" w:eastAsia="zh-CN" w:bidi="ar-SA"/>
    </w:rPr>
  </w:style>
  <w:style w:type="paragraph" w:styleId="930">
    <w:name w:val="正文文本111"/>
    <w:basedOn w:val="779"/>
    <w:next w:val="929"/>
    <w:link w:val="779"/>
    <w:qFormat/>
    <w:rPr>
      <w:rFonts w:ascii="楷体_GB2312" w:hAnsi="Arial" w:eastAsia="楷体_GB2312"/>
      <w:sz w:val="28"/>
      <w:szCs w:val="28"/>
      <w:lang w:eastAsia="en-US"/>
    </w:rPr>
  </w:style>
  <w:style w:type="paragraph" w:styleId="931">
    <w:name w:val="标题 111"/>
    <w:basedOn w:val="779"/>
    <w:next w:val="852"/>
    <w:link w:val="779"/>
    <w:uiPriority w:val="9"/>
    <w:qFormat/>
    <w:pPr>
      <w:keepLines/>
      <w:keepNext/>
      <w:spacing w:before="480" w:after="200"/>
      <w:outlineLvl w:val="0"/>
    </w:pPr>
    <w:rPr>
      <w:rFonts w:ascii="Arial" w:hAnsi="Arial" w:eastAsia="Arial" w:cs="Arial"/>
      <w:sz w:val="40"/>
      <w:szCs w:val="40"/>
    </w:rPr>
  </w:style>
  <w:style w:type="paragraph" w:styleId="932">
    <w:name w:val="目录 41"/>
    <w:basedOn w:val="779"/>
    <w:next w:val="779"/>
    <w:link w:val="779"/>
    <w:uiPriority w:val="39"/>
    <w:unhideWhenUsed/>
    <w:qFormat/>
    <w:pPr>
      <w:ind w:left="850"/>
      <w:spacing w:after="57"/>
    </w:pPr>
  </w:style>
  <w:style w:type="paragraph" w:styleId="933">
    <w:name w:val="索引 51"/>
    <w:basedOn w:val="927"/>
    <w:next w:val="927"/>
    <w:link w:val="779"/>
    <w:qFormat/>
    <w:pPr>
      <w:ind w:left="798"/>
    </w:pPr>
    <w:rPr>
      <w:rFonts w:ascii="Calibri"/>
    </w:rPr>
  </w:style>
  <w:style w:type="paragraph" w:styleId="934">
    <w:name w:val="正文文本12"/>
    <w:basedOn w:val="779"/>
    <w:next w:val="779"/>
    <w:link w:val="779"/>
    <w:uiPriority w:val="99"/>
    <w:qFormat/>
    <w:pPr>
      <w:spacing w:after="120"/>
    </w:pPr>
  </w:style>
  <w:style w:type="paragraph" w:styleId="935">
    <w:name w:val="目录 21"/>
    <w:basedOn w:val="779"/>
    <w:next w:val="779"/>
    <w:link w:val="779"/>
    <w:uiPriority w:val="39"/>
    <w:unhideWhenUsed/>
    <w:qFormat/>
    <w:pPr>
      <w:ind w:left="283"/>
      <w:spacing w:after="57"/>
    </w:pPr>
  </w:style>
  <w:style w:type="paragraph" w:styleId="936">
    <w:name w:val="EnvelopeReturn11"/>
    <w:basedOn w:val="779"/>
    <w:next w:val="936"/>
    <w:link w:val="779"/>
    <w:qFormat/>
    <w:rPr>
      <w:rFonts w:ascii="Arial" w:hAnsi="Arial"/>
    </w:rPr>
  </w:style>
  <w:style w:type="paragraph" w:styleId="937">
    <w:name w:val="TOC Heading"/>
    <w:next w:val="937"/>
    <w:link w:val="779"/>
    <w:uiPriority w:val="39"/>
    <w:unhideWhenUsed/>
    <w:qFormat/>
    <w:rPr>
      <w:lang w:val="en-US" w:eastAsia="zh-CN" w:bidi="ar-SA"/>
    </w:rPr>
  </w:style>
  <w:style w:type="paragraph" w:styleId="938">
    <w:name w:val="目录 61"/>
    <w:basedOn w:val="779"/>
    <w:next w:val="779"/>
    <w:link w:val="779"/>
    <w:uiPriority w:val="39"/>
    <w:unhideWhenUsed/>
    <w:qFormat/>
    <w:pPr>
      <w:ind w:left="1417"/>
      <w:spacing w:after="57"/>
    </w:pPr>
  </w:style>
  <w:style w:type="paragraph" w:styleId="939">
    <w:name w:val="列出段落"/>
    <w:basedOn w:val="779"/>
    <w:next w:val="939"/>
    <w:link w:val="779"/>
    <w:uiPriority w:val="34"/>
    <w:qFormat/>
    <w:pPr>
      <w:contextualSpacing/>
      <w:ind w:left="720"/>
    </w:pPr>
  </w:style>
  <w:style w:type="paragraph" w:styleId="940">
    <w:name w:val="UserStyle_0"/>
    <w:basedOn w:val="929"/>
    <w:next w:val="929"/>
    <w:link w:val="779"/>
    <w:qFormat/>
  </w:style>
  <w:style w:type="paragraph" w:styleId="941">
    <w:name w:val="正文缩进1"/>
    <w:basedOn w:val="779"/>
    <w:next w:val="941"/>
    <w:link w:val="779"/>
    <w:qFormat/>
    <w:pPr>
      <w:ind w:firstLine="420"/>
    </w:pPr>
  </w:style>
  <w:style w:type="paragraph" w:styleId="942">
    <w:name w:val="文本块1"/>
    <w:basedOn w:val="779"/>
    <w:next w:val="942"/>
    <w:link w:val="779"/>
    <w:uiPriority w:val="99"/>
    <w:unhideWhenUsed/>
    <w:qFormat/>
    <w:pPr>
      <w:ind w:left="1440" w:right="1440"/>
      <w:spacing w:after="120"/>
    </w:pPr>
  </w:style>
  <w:style w:type="paragraph" w:styleId="943">
    <w:name w:val="目录 211"/>
    <w:basedOn w:val="779"/>
    <w:next w:val="779"/>
    <w:link w:val="779"/>
    <w:uiPriority w:val="39"/>
    <w:unhideWhenUsed/>
    <w:qFormat/>
    <w:pPr>
      <w:ind w:left="283"/>
      <w:spacing w:after="57"/>
    </w:pPr>
  </w:style>
  <w:style w:type="paragraph" w:styleId="944">
    <w:name w:val="TOC 标题1"/>
    <w:next w:val="944"/>
    <w:link w:val="779"/>
    <w:uiPriority w:val="39"/>
    <w:unhideWhenUsed/>
    <w:qFormat/>
    <w:rPr>
      <w:rFonts w:ascii="Calibri" w:hAnsi="Calibri"/>
      <w:lang w:val="en-US" w:eastAsia="zh-CN" w:bidi="ar-SA"/>
    </w:rPr>
  </w:style>
  <w:style w:type="paragraph" w:styleId="945">
    <w:name w:val="普通(网站)11"/>
    <w:basedOn w:val="779"/>
    <w:next w:val="945"/>
    <w:link w:val="779"/>
    <w:qFormat/>
    <w:pPr>
      <w:spacing w:beforeAutospacing="1" w:afterAutospacing="1"/>
    </w:pPr>
  </w:style>
  <w:style w:type="paragraph" w:styleId="946">
    <w:name w:val="批注文字11"/>
    <w:basedOn w:val="779"/>
    <w:next w:val="946"/>
    <w:link w:val="779"/>
    <w:uiPriority w:val="99"/>
    <w:unhideWhenUsed/>
    <w:qFormat/>
    <w:pPr>
      <w:jc w:val="left"/>
    </w:pPr>
  </w:style>
  <w:style w:type="paragraph" w:styleId="947">
    <w:name w:val="无间隔1"/>
    <w:next w:val="947"/>
    <w:link w:val="779"/>
    <w:uiPriority w:val="1"/>
    <w:qFormat/>
    <w:rPr>
      <w:rFonts w:ascii="Calibri" w:hAnsi="Calibri"/>
      <w:lang w:val="en-US" w:eastAsia="zh-CN" w:bidi="ar-SA"/>
    </w:rPr>
  </w:style>
  <w:style w:type="paragraph" w:styleId="948">
    <w:name w:val="目录 81"/>
    <w:basedOn w:val="779"/>
    <w:next w:val="779"/>
    <w:link w:val="779"/>
    <w:uiPriority w:val="39"/>
    <w:unhideWhenUsed/>
    <w:qFormat/>
    <w:pPr>
      <w:ind w:left="1984"/>
      <w:spacing w:after="57"/>
    </w:pPr>
  </w:style>
  <w:style w:type="paragraph" w:styleId="949">
    <w:name w:val="普通(网站)1"/>
    <w:basedOn w:val="779"/>
    <w:next w:val="949"/>
    <w:link w:val="779"/>
    <w:qFormat/>
    <w:pPr>
      <w:jc w:val="left"/>
      <w:spacing w:before="100" w:beforeAutospacing="1" w:after="100" w:afterAutospacing="1"/>
      <w:widowControl/>
    </w:pPr>
    <w:rPr>
      <w:rFonts w:ascii="宋体" w:hAnsi="宋体" w:cs="宋体"/>
      <w:color w:val="000000"/>
      <w:sz w:val="24"/>
      <w:szCs w:val="20"/>
    </w:rPr>
  </w:style>
  <w:style w:type="paragraph" w:styleId="950">
    <w:name w:val="页眉1"/>
    <w:basedOn w:val="779"/>
    <w:next w:val="950"/>
    <w:link w:val="779"/>
    <w:uiPriority w:val="99"/>
    <w:qFormat/>
    <w:pPr>
      <w:jc w:val="center"/>
      <w:tabs>
        <w:tab w:val="center" w:pos="4153" w:leader="none"/>
        <w:tab w:val="right" w:pos="8306" w:leader="none"/>
      </w:tabs>
      <w:pBdr>
        <w:bottom w:val="single" w:color="000000" w:sz="6" w:space="1"/>
      </w:pBdr>
    </w:pPr>
    <w:rPr>
      <w:sz w:val="18"/>
      <w:szCs w:val="18"/>
    </w:rPr>
  </w:style>
  <w:style w:type="paragraph" w:styleId="951">
    <w:name w:val="信息标题1"/>
    <w:basedOn w:val="779"/>
    <w:next w:val="934"/>
    <w:link w:val="779"/>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952">
    <w:name w:val="目录 911"/>
    <w:basedOn w:val="779"/>
    <w:next w:val="779"/>
    <w:link w:val="779"/>
    <w:uiPriority w:val="39"/>
    <w:unhideWhenUsed/>
    <w:qFormat/>
    <w:pPr>
      <w:ind w:left="2268"/>
      <w:spacing w:after="57"/>
    </w:pPr>
  </w:style>
  <w:style w:type="paragraph" w:styleId="953">
    <w:name w:val="索引 41"/>
    <w:next w:val="779"/>
    <w:link w:val="779"/>
    <w:semiHidden/>
    <w:qFormat/>
    <w:pPr>
      <w:ind w:left="1260"/>
      <w:jc w:val="both"/>
      <w:widowControl w:val="off"/>
    </w:pPr>
    <w:rPr>
      <w:rFonts w:ascii="Calibri" w:hAnsi="Calibri" w:eastAsia="Calibri" w:cs="宋体"/>
      <w:szCs w:val="21"/>
      <w:lang w:val="zh-CN" w:eastAsia="zh-CN" w:bidi="ar-SA"/>
    </w:rPr>
  </w:style>
  <w:style w:type="paragraph" w:styleId="954">
    <w:name w:val="正文缩进2"/>
    <w:basedOn w:val="779"/>
    <w:next w:val="954"/>
    <w:link w:val="779"/>
    <w:qFormat/>
    <w:pPr>
      <w:ind w:firstLine="420"/>
    </w:pPr>
  </w:style>
  <w:style w:type="paragraph" w:styleId="955">
    <w:name w:val="图表目录1"/>
    <w:basedOn w:val="779"/>
    <w:next w:val="779"/>
    <w:link w:val="779"/>
    <w:uiPriority w:val="99"/>
    <w:unhideWhenUsed/>
    <w:qFormat/>
  </w:style>
  <w:style w:type="paragraph" w:styleId="956">
    <w:name w:val="标题 11"/>
    <w:basedOn w:val="779"/>
    <w:next w:val="779"/>
    <w:link w:val="779"/>
    <w:qFormat/>
    <w:pPr>
      <w:jc w:val="center"/>
      <w:keepLines/>
      <w:keepNext/>
      <w:spacing w:line="578" w:lineRule="auto"/>
      <w:outlineLvl w:val="0"/>
    </w:pPr>
    <w:rPr>
      <w:rFonts w:eastAsia="新宋体"/>
      <w:b/>
      <w:bCs/>
      <w:sz w:val="30"/>
      <w:szCs w:val="44"/>
    </w:rPr>
  </w:style>
  <w:style w:type="paragraph" w:styleId="957">
    <w:name w:val="目录 411"/>
    <w:basedOn w:val="779"/>
    <w:next w:val="779"/>
    <w:link w:val="779"/>
    <w:uiPriority w:val="39"/>
    <w:unhideWhenUsed/>
    <w:qFormat/>
    <w:pPr>
      <w:ind w:left="850"/>
      <w:spacing w:after="57"/>
    </w:pPr>
  </w:style>
  <w:style w:type="paragraph" w:styleId="958">
    <w:name w:val="页脚1"/>
    <w:basedOn w:val="779"/>
    <w:next w:val="958"/>
    <w:link w:val="779"/>
    <w:uiPriority w:val="99"/>
    <w:qFormat/>
    <w:pPr>
      <w:jc w:val="left"/>
      <w:tabs>
        <w:tab w:val="center" w:pos="4153" w:leader="none"/>
        <w:tab w:val="right" w:pos="8306" w:leader="none"/>
      </w:tabs>
    </w:pPr>
    <w:rPr>
      <w:sz w:val="18"/>
      <w:szCs w:val="18"/>
    </w:rPr>
  </w:style>
  <w:style w:type="paragraph" w:styleId="959">
    <w:name w:val="目录 112"/>
    <w:basedOn w:val="779"/>
    <w:next w:val="779"/>
    <w:link w:val="779"/>
    <w:uiPriority w:val="39"/>
    <w:unhideWhenUsed/>
    <w:qFormat/>
    <w:pPr>
      <w:spacing w:after="57"/>
    </w:pPr>
  </w:style>
  <w:style w:type="paragraph" w:styleId="960">
    <w:name w:val="一级条标题"/>
    <w:basedOn w:val="961"/>
    <w:next w:val="962"/>
    <w:link w:val="77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61">
    <w:name w:val="章标题"/>
    <w:next w:val="779"/>
    <w:link w:val="779"/>
    <w:qFormat/>
    <w:pPr>
      <w:ind w:left="810" w:hanging="810"/>
      <w:jc w:val="both"/>
      <w:spacing w:before="50" w:after="50"/>
      <w:tabs>
        <w:tab w:val="left" w:pos="810" w:leader="none"/>
        <w:tab w:val="left" w:pos="1265" w:leader="none"/>
      </w:tabs>
      <w:outlineLvl w:val="1"/>
    </w:pPr>
    <w:rPr>
      <w:rFonts w:ascii="黑体" w:eastAsia="黑体"/>
      <w:sz w:val="21"/>
      <w:szCs w:val="22"/>
      <w:lang w:val="en-US" w:eastAsia="zh-CN" w:bidi="ar-SA"/>
    </w:rPr>
  </w:style>
  <w:style w:type="paragraph" w:styleId="962">
    <w:name w:val="段"/>
    <w:basedOn w:val="927"/>
    <w:next w:val="779"/>
    <w:link w:val="779"/>
    <w:qFormat/>
    <w:pPr>
      <w:ind w:firstLine="200"/>
      <w:widowControl/>
    </w:pPr>
    <w:rPr>
      <w:sz w:val="20"/>
    </w:rPr>
  </w:style>
  <w:style w:type="paragraph" w:styleId="963">
    <w:name w:val="正文文本13"/>
    <w:basedOn w:val="779"/>
    <w:next w:val="960"/>
    <w:link w:val="779"/>
    <w:qFormat/>
  </w:style>
  <w:style w:type="paragraph" w:styleId="964">
    <w:name w:val="目录 71"/>
    <w:basedOn w:val="779"/>
    <w:next w:val="779"/>
    <w:link w:val="779"/>
    <w:uiPriority w:val="39"/>
    <w:unhideWhenUsed/>
    <w:qFormat/>
    <w:pPr>
      <w:ind w:left="1701"/>
      <w:spacing w:after="57"/>
    </w:pPr>
  </w:style>
  <w:style w:type="paragraph" w:styleId="965">
    <w:name w:val="正文文本11"/>
    <w:basedOn w:val="779"/>
    <w:next w:val="965"/>
    <w:link w:val="779"/>
    <w:qFormat/>
    <w:pPr>
      <w:spacing w:line="300" w:lineRule="auto"/>
    </w:pPr>
    <w:rPr>
      <w:rFonts w:eastAsia="微软简楷体"/>
      <w:sz w:val="30"/>
    </w:rPr>
  </w:style>
  <w:style w:type="paragraph" w:styleId="966">
    <w:name w:val="题注11"/>
    <w:basedOn w:val="779"/>
    <w:next w:val="779"/>
    <w:link w:val="779"/>
    <w:uiPriority w:val="35"/>
    <w:unhideWhenUsed/>
    <w:qFormat/>
    <w:pPr>
      <w:spacing w:line="276" w:lineRule="auto"/>
    </w:pPr>
    <w:rPr>
      <w:b/>
      <w:bCs/>
      <w:color w:val="4f81bd"/>
      <w:sz w:val="18"/>
      <w:szCs w:val="18"/>
    </w:rPr>
  </w:style>
  <w:style w:type="paragraph" w:styleId="967">
    <w:name w:val="正文1111"/>
    <w:next w:val="968"/>
    <w:link w:val="779"/>
    <w:qFormat/>
    <w:pPr>
      <w:jc w:val="both"/>
      <w:widowControl w:val="off"/>
    </w:pPr>
    <w:rPr>
      <w:sz w:val="21"/>
      <w:szCs w:val="24"/>
      <w:lang w:val="en-US" w:eastAsia="zh-CN" w:bidi="ar-SA"/>
    </w:rPr>
  </w:style>
  <w:style w:type="paragraph" w:styleId="968">
    <w:name w:val="文本块11"/>
    <w:basedOn w:val="779"/>
    <w:next w:val="968"/>
    <w:link w:val="779"/>
    <w:uiPriority w:val="99"/>
    <w:unhideWhenUsed/>
    <w:qFormat/>
    <w:pPr>
      <w:ind w:left="1440" w:right="1440"/>
      <w:spacing w:after="120"/>
    </w:pPr>
  </w:style>
  <w:style w:type="paragraph" w:styleId="969">
    <w:name w:val="目录 111"/>
    <w:basedOn w:val="779"/>
    <w:next w:val="779"/>
    <w:link w:val="779"/>
    <w:uiPriority w:val="39"/>
    <w:unhideWhenUsed/>
    <w:qFormat/>
    <w:pPr>
      <w:spacing w:after="57"/>
    </w:pPr>
  </w:style>
  <w:style w:type="paragraph" w:styleId="970">
    <w:name w:val="目录 711"/>
    <w:basedOn w:val="779"/>
    <w:next w:val="779"/>
    <w:link w:val="779"/>
    <w:uiPriority w:val="39"/>
    <w:unhideWhenUsed/>
    <w:qFormat/>
    <w:pPr>
      <w:ind w:left="1701"/>
      <w:spacing w:after="57"/>
    </w:pPr>
  </w:style>
  <w:style w:type="paragraph" w:styleId="971">
    <w:name w:val="目录 31"/>
    <w:basedOn w:val="779"/>
    <w:next w:val="779"/>
    <w:link w:val="779"/>
    <w:uiPriority w:val="39"/>
    <w:unhideWhenUsed/>
    <w:qFormat/>
    <w:pPr>
      <w:ind w:left="567"/>
      <w:spacing w:after="57"/>
    </w:pPr>
  </w:style>
  <w:style w:type="paragraph" w:styleId="972">
    <w:name w:val="图表目录11"/>
    <w:basedOn w:val="779"/>
    <w:next w:val="779"/>
    <w:link w:val="779"/>
    <w:uiPriority w:val="99"/>
    <w:unhideWhenUsed/>
    <w:qFormat/>
  </w:style>
  <w:style w:type="paragraph" w:styleId="973">
    <w:name w:val="BodyTextIndent11"/>
    <w:basedOn w:val="779"/>
    <w:next w:val="936"/>
    <w:link w:val="779"/>
    <w:qFormat/>
    <w:pPr>
      <w:ind w:left="420"/>
      <w:spacing w:after="120"/>
    </w:pPr>
  </w:style>
  <w:style w:type="paragraph" w:styleId="974">
    <w:name w:val="目录 91"/>
    <w:basedOn w:val="779"/>
    <w:next w:val="779"/>
    <w:link w:val="779"/>
    <w:uiPriority w:val="39"/>
    <w:unhideWhenUsed/>
    <w:qFormat/>
    <w:pPr>
      <w:ind w:left="2268"/>
      <w:spacing w:after="57"/>
    </w:pPr>
  </w:style>
  <w:style w:type="paragraph" w:styleId="975">
    <w:name w:val="目录 511"/>
    <w:basedOn w:val="779"/>
    <w:next w:val="779"/>
    <w:link w:val="779"/>
    <w:uiPriority w:val="39"/>
    <w:unhideWhenUsed/>
    <w:qFormat/>
    <w:pPr>
      <w:ind w:left="1134"/>
      <w:spacing w:after="57"/>
    </w:pPr>
  </w:style>
  <w:style w:type="paragraph" w:styleId="976">
    <w:name w:val="目录 311"/>
    <w:basedOn w:val="779"/>
    <w:next w:val="779"/>
    <w:link w:val="779"/>
    <w:uiPriority w:val="39"/>
    <w:unhideWhenUsed/>
    <w:qFormat/>
    <w:pPr>
      <w:ind w:left="567"/>
      <w:spacing w:after="57"/>
    </w:pPr>
  </w:style>
  <w:style w:type="paragraph" w:styleId="977">
    <w:name w:val="目录 811"/>
    <w:basedOn w:val="779"/>
    <w:next w:val="779"/>
    <w:link w:val="779"/>
    <w:uiPriority w:val="39"/>
    <w:unhideWhenUsed/>
    <w:qFormat/>
    <w:pPr>
      <w:ind w:left="1984"/>
      <w:spacing w:after="57"/>
    </w:pPr>
  </w:style>
  <w:style w:type="paragraph" w:styleId="978">
    <w:name w:val="EnvelopeReturn1"/>
    <w:basedOn w:val="779"/>
    <w:next w:val="978"/>
    <w:link w:val="779"/>
    <w:qFormat/>
    <w:rPr>
      <w:rFonts w:ascii="Arial" w:hAnsi="Arial"/>
    </w:rPr>
  </w:style>
  <w:style w:type="paragraph" w:styleId="979">
    <w:name w:val="目录 611"/>
    <w:basedOn w:val="779"/>
    <w:next w:val="779"/>
    <w:link w:val="779"/>
    <w:uiPriority w:val="39"/>
    <w:unhideWhenUsed/>
    <w:qFormat/>
    <w:pPr>
      <w:ind w:left="1417"/>
      <w:spacing w:after="57"/>
    </w:pPr>
  </w:style>
  <w:style w:type="paragraph" w:styleId="980">
    <w:name w:val="无间隔"/>
    <w:next w:val="980"/>
    <w:link w:val="779"/>
    <w:uiPriority w:val="1"/>
    <w:qFormat/>
    <w:rPr>
      <w:lang w:val="en-US" w:eastAsia="zh-CN" w:bidi="ar-SA"/>
    </w:rPr>
  </w:style>
  <w:style w:type="paragraph" w:styleId="981">
    <w:name w:val="题注1"/>
    <w:basedOn w:val="779"/>
    <w:next w:val="779"/>
    <w:link w:val="779"/>
    <w:uiPriority w:val="35"/>
    <w:qFormat/>
    <w:pPr>
      <w:spacing w:line="276" w:lineRule="auto"/>
    </w:pPr>
    <w:rPr>
      <w:b/>
      <w:bCs/>
      <w:color w:val="4f81bd"/>
      <w:sz w:val="18"/>
      <w:szCs w:val="18"/>
    </w:rPr>
  </w:style>
  <w:style w:type="paragraph" w:styleId="982">
    <w:name w:val="BodyTextIndent1"/>
    <w:basedOn w:val="779"/>
    <w:next w:val="978"/>
    <w:link w:val="779"/>
    <w:qFormat/>
    <w:pPr>
      <w:ind w:left="420"/>
      <w:spacing w:after="120"/>
    </w:pPr>
  </w:style>
  <w:style w:type="paragraph" w:styleId="983">
    <w:name w:val="正文缩进11"/>
    <w:basedOn w:val="779"/>
    <w:next w:val="983"/>
    <w:link w:val="779"/>
    <w:unhideWhenUsed/>
    <w:qFormat/>
    <w:pPr>
      <w:ind w:firstLine="420"/>
    </w:pPr>
  </w:style>
  <w:style w:type="paragraph" w:styleId="984">
    <w:name w:val="目录 51"/>
    <w:basedOn w:val="779"/>
    <w:next w:val="779"/>
    <w:link w:val="779"/>
    <w:uiPriority w:val="39"/>
    <w:unhideWhenUsed/>
    <w:qFormat/>
    <w:pPr>
      <w:ind w:left="1134"/>
      <w:spacing w:after="57"/>
    </w:pPr>
  </w:style>
  <w:style w:type="paragraph" w:styleId="985">
    <w:name w:val="列表段落"/>
    <w:basedOn w:val="779"/>
    <w:next w:val="985"/>
    <w:link w:val="779"/>
    <w:uiPriority w:val="34"/>
    <w:qFormat/>
    <w:pPr>
      <w:contextualSpacing/>
      <w:ind w:left="720"/>
    </w:pPr>
  </w:style>
  <w:style w:type="paragraph" w:styleId="986">
    <w:name w:val="脚注文本1"/>
    <w:basedOn w:val="927"/>
    <w:next w:val="933"/>
    <w:link w:val="779"/>
    <w:qFormat/>
    <w:rPr>
      <w:rFonts w:eastAsia="Times New Roman"/>
      <w:sz w:val="18"/>
      <w:szCs w:val="18"/>
    </w:rPr>
  </w:style>
  <w:style w:type="paragraph" w:styleId="987">
    <w:name w:val="标题 21"/>
    <w:basedOn w:val="779"/>
    <w:next w:val="779"/>
    <w:link w:val="779"/>
    <w:qFormat/>
    <w:pPr>
      <w:jc w:val="left"/>
      <w:keepLines/>
      <w:keepNext/>
      <w:spacing w:before="50"/>
      <w:tabs>
        <w:tab w:val="left" w:pos="0" w:leader="none"/>
      </w:tabs>
    </w:pPr>
    <w:rPr>
      <w:rFonts w:ascii="Arial" w:hAnsi="Arial" w:eastAsia="黑体"/>
      <w:sz w:val="32"/>
      <w:szCs w:val="20"/>
    </w:rPr>
  </w:style>
  <w:style w:type="paragraph" w:styleId="988">
    <w:name w:val="Body text|21"/>
    <w:basedOn w:val="779"/>
    <w:next w:val="988"/>
    <w:link w:val="779"/>
    <w:qFormat/>
    <w:pPr>
      <w:spacing w:before="500" w:after="260" w:line="200" w:lineRule="exact"/>
      <w:shd w:val="clear" w:color="auto" w:fill="ffffff"/>
    </w:pPr>
    <w:rPr>
      <w:rFonts w:ascii="PMingLiU" w:hAnsi="PMingLiU" w:eastAsia="PMingLiU" w:cs="PMingLiU"/>
      <w:spacing w:val="10"/>
      <w:sz w:val="20"/>
      <w:szCs w:val="20"/>
    </w:rPr>
  </w:style>
  <w:style w:type="table" w:styleId="989">
    <w:name w:val="清单表 1 浅色1"/>
    <w:next w:val="989"/>
    <w:link w:val="779"/>
    <w:uiPriority w:val="99"/>
    <w:qFormat/>
    <w:rPr>
      <w:lang w:val="en-US" w:eastAsia="zh-CN" w:bidi="ar-SA"/>
    </w:rPr>
    <w:tblPr/>
  </w:style>
  <w:style w:type="table" w:styleId="990">
    <w:name w:val="List Table 6 Colorful"/>
    <w:basedOn w:val="790"/>
    <w:next w:val="990"/>
    <w:link w:val="779"/>
    <w:uiPriority w:val="99"/>
    <w:qFormat/>
    <w:pPr>
      <w:spacing w:after="0" w:line="240" w:lineRule="auto"/>
    </w:pPr>
    <w:tblPr/>
  </w:style>
  <w:style w:type="table" w:styleId="991">
    <w:name w:val="Plain Table 1"/>
    <w:basedOn w:val="790"/>
    <w:next w:val="991"/>
    <w:link w:val="779"/>
    <w:uiPriority w:val="59"/>
    <w:qFormat/>
    <w:pPr>
      <w:spacing w:after="0" w:line="240" w:lineRule="auto"/>
    </w:pPr>
    <w:tblPr/>
  </w:style>
  <w:style w:type="table" w:styleId="992">
    <w:name w:val="List Table 4 - Accent 5"/>
    <w:next w:val="992"/>
    <w:link w:val="779"/>
    <w:uiPriority w:val="99"/>
    <w:qFormat/>
    <w:rPr>
      <w:lang w:val="en-US" w:eastAsia="zh-CN" w:bidi="ar-SA"/>
    </w:rPr>
    <w:tblPr/>
  </w:style>
  <w:style w:type="table" w:styleId="993">
    <w:name w:val="List Table 5 Dark - Accent 3"/>
    <w:next w:val="993"/>
    <w:link w:val="779"/>
    <w:uiPriority w:val="99"/>
    <w:qFormat/>
    <w:rPr>
      <w:lang w:val="en-US" w:eastAsia="zh-CN" w:bidi="ar-SA"/>
    </w:rPr>
    <w:tblPr/>
  </w:style>
  <w:style w:type="table" w:styleId="994">
    <w:name w:val="Plain Table 2"/>
    <w:basedOn w:val="790"/>
    <w:next w:val="994"/>
    <w:link w:val="779"/>
    <w:uiPriority w:val="59"/>
    <w:pPr>
      <w:spacing w:after="0" w:line="240" w:lineRule="auto"/>
    </w:pPr>
    <w:tblPr/>
  </w:style>
  <w:style w:type="table" w:styleId="995">
    <w:name w:val="清单表 31"/>
    <w:next w:val="995"/>
    <w:link w:val="779"/>
    <w:uiPriority w:val="99"/>
    <w:qFormat/>
    <w:rPr>
      <w:lang w:val="en-US" w:eastAsia="zh-CN" w:bidi="ar-SA"/>
    </w:rPr>
    <w:tblPr/>
  </w:style>
  <w:style w:type="table" w:styleId="996">
    <w:name w:val="Grid Table 7 Colorful - Accent 3"/>
    <w:next w:val="996"/>
    <w:link w:val="779"/>
    <w:uiPriority w:val="99"/>
    <w:qFormat/>
    <w:rPr>
      <w:lang w:val="en-US" w:eastAsia="zh-CN" w:bidi="ar-SA"/>
    </w:rPr>
    <w:tblPr/>
  </w:style>
  <w:style w:type="table" w:styleId="997">
    <w:name w:val="Plain Table 3"/>
    <w:basedOn w:val="790"/>
    <w:next w:val="997"/>
    <w:link w:val="779"/>
    <w:uiPriority w:val="99"/>
    <w:pPr>
      <w:spacing w:after="0" w:line="240" w:lineRule="auto"/>
    </w:pPr>
    <w:tblPr/>
  </w:style>
  <w:style w:type="table" w:styleId="998">
    <w:name w:val="Grid Table 5 Dark- Accent 4"/>
    <w:next w:val="998"/>
    <w:link w:val="779"/>
    <w:uiPriority w:val="99"/>
    <w:qFormat/>
    <w:rPr>
      <w:lang w:val="en-US" w:eastAsia="zh-CN" w:bidi="ar-SA"/>
    </w:rPr>
    <w:tblPr/>
  </w:style>
  <w:style w:type="table" w:styleId="999">
    <w:name w:val="Grid Table 4 - Accent 2"/>
    <w:next w:val="999"/>
    <w:link w:val="779"/>
    <w:uiPriority w:val="59"/>
    <w:qFormat/>
    <w:rPr>
      <w:lang w:val="en-US" w:eastAsia="zh-CN" w:bidi="ar-SA"/>
    </w:rPr>
    <w:tblPr/>
  </w:style>
  <w:style w:type="table" w:styleId="1000">
    <w:name w:val="Plain Table 4"/>
    <w:basedOn w:val="790"/>
    <w:next w:val="1000"/>
    <w:link w:val="779"/>
    <w:uiPriority w:val="99"/>
    <w:qFormat/>
    <w:pPr>
      <w:spacing w:after="0" w:line="240" w:lineRule="auto"/>
    </w:pPr>
    <w:tblPr/>
  </w:style>
  <w:style w:type="table" w:styleId="1001">
    <w:name w:val="Lined - Accent 1"/>
    <w:next w:val="1001"/>
    <w:link w:val="779"/>
    <w:uiPriority w:val="99"/>
    <w:qFormat/>
    <w:rPr>
      <w:color w:val="404040"/>
      <w:lang w:val="en-US" w:eastAsia="zh-CN" w:bidi="ar-SA"/>
    </w:rPr>
    <w:tblPr/>
  </w:style>
  <w:style w:type="table" w:styleId="1002">
    <w:name w:val="List Table 4 - Accent 4"/>
    <w:next w:val="1002"/>
    <w:link w:val="779"/>
    <w:uiPriority w:val="99"/>
    <w:qFormat/>
    <w:rPr>
      <w:lang w:val="en-US" w:eastAsia="zh-CN" w:bidi="ar-SA"/>
    </w:rPr>
    <w:tblPr/>
  </w:style>
  <w:style w:type="table" w:styleId="1003">
    <w:name w:val="Plain Table 5"/>
    <w:basedOn w:val="790"/>
    <w:next w:val="1003"/>
    <w:link w:val="779"/>
    <w:uiPriority w:val="99"/>
    <w:pPr>
      <w:spacing w:after="0" w:line="240" w:lineRule="auto"/>
    </w:pPr>
    <w:tblPr/>
  </w:style>
  <w:style w:type="table" w:styleId="1004">
    <w:name w:val="清单表 6 彩色1"/>
    <w:next w:val="1004"/>
    <w:link w:val="779"/>
    <w:uiPriority w:val="99"/>
    <w:qFormat/>
    <w:rPr>
      <w:lang w:val="en-US" w:eastAsia="zh-CN" w:bidi="ar-SA"/>
    </w:rPr>
    <w:tblPr/>
  </w:style>
  <w:style w:type="table" w:styleId="1005">
    <w:name w:val="清单表 21"/>
    <w:next w:val="1005"/>
    <w:link w:val="779"/>
    <w:uiPriority w:val="99"/>
    <w:qFormat/>
    <w:rPr>
      <w:lang w:val="en-US" w:eastAsia="zh-CN" w:bidi="ar-SA"/>
    </w:rPr>
    <w:tblPr/>
  </w:style>
  <w:style w:type="table" w:styleId="1006">
    <w:name w:val="Grid Table 1 Light"/>
    <w:basedOn w:val="790"/>
    <w:next w:val="1006"/>
    <w:link w:val="779"/>
    <w:uiPriority w:val="99"/>
    <w:pPr>
      <w:spacing w:after="0" w:line="240" w:lineRule="auto"/>
    </w:pPr>
    <w:tblPr/>
  </w:style>
  <w:style w:type="table" w:styleId="1007">
    <w:name w:val="Grid Table 3 - Accent 6"/>
    <w:next w:val="1007"/>
    <w:link w:val="779"/>
    <w:uiPriority w:val="99"/>
    <w:qFormat/>
    <w:rPr>
      <w:lang w:val="en-US" w:eastAsia="zh-CN" w:bidi="ar-SA"/>
    </w:rPr>
    <w:tblPr/>
  </w:style>
  <w:style w:type="table" w:styleId="1008">
    <w:name w:val="List Table 5 Dark - Accent 1"/>
    <w:next w:val="1008"/>
    <w:link w:val="779"/>
    <w:uiPriority w:val="99"/>
    <w:qFormat/>
    <w:rPr>
      <w:lang w:val="en-US" w:eastAsia="zh-CN" w:bidi="ar-SA"/>
    </w:rPr>
    <w:tblPr/>
  </w:style>
  <w:style w:type="table" w:styleId="1009">
    <w:name w:val="Grid Table 2"/>
    <w:basedOn w:val="790"/>
    <w:next w:val="1009"/>
    <w:link w:val="779"/>
    <w:uiPriority w:val="99"/>
    <w:qFormat/>
    <w:pPr>
      <w:spacing w:after="0" w:line="240" w:lineRule="auto"/>
    </w:pPr>
    <w:tblPr/>
  </w:style>
  <w:style w:type="table" w:styleId="1010">
    <w:name w:val="List Table 6 Colorful - Accent 3"/>
    <w:next w:val="1010"/>
    <w:link w:val="779"/>
    <w:uiPriority w:val="99"/>
    <w:qFormat/>
    <w:rPr>
      <w:lang w:val="en-US" w:eastAsia="zh-CN" w:bidi="ar-SA"/>
    </w:rPr>
    <w:tblPr/>
  </w:style>
  <w:style w:type="table" w:styleId="1011">
    <w:name w:val="清单表 5 深色1"/>
    <w:next w:val="1011"/>
    <w:link w:val="779"/>
    <w:uiPriority w:val="99"/>
    <w:qFormat/>
    <w:rPr>
      <w:lang w:val="en-US" w:eastAsia="zh-CN" w:bidi="ar-SA"/>
    </w:rPr>
    <w:tblPr/>
  </w:style>
  <w:style w:type="table" w:styleId="1012">
    <w:name w:val="Grid Table 3"/>
    <w:basedOn w:val="790"/>
    <w:next w:val="1012"/>
    <w:link w:val="779"/>
    <w:uiPriority w:val="99"/>
    <w:qFormat/>
    <w:pPr>
      <w:spacing w:after="0" w:line="240" w:lineRule="auto"/>
    </w:pPr>
    <w:tblPr/>
  </w:style>
  <w:style w:type="table" w:styleId="1013">
    <w:name w:val="List Table 3 - Accent 2"/>
    <w:next w:val="1013"/>
    <w:link w:val="779"/>
    <w:uiPriority w:val="99"/>
    <w:qFormat/>
    <w:rPr>
      <w:lang w:val="en-US" w:eastAsia="zh-CN" w:bidi="ar-SA"/>
    </w:rPr>
    <w:tblPr/>
  </w:style>
  <w:style w:type="table" w:styleId="1014">
    <w:name w:val="List Table 5 Dark"/>
    <w:basedOn w:val="790"/>
    <w:next w:val="1014"/>
    <w:link w:val="779"/>
    <w:uiPriority w:val="99"/>
    <w:qFormat/>
    <w:pPr>
      <w:spacing w:after="0" w:line="240" w:lineRule="auto"/>
    </w:pPr>
    <w:tblPr/>
  </w:style>
  <w:style w:type="table" w:styleId="1015">
    <w:name w:val="Grid Table 4"/>
    <w:basedOn w:val="790"/>
    <w:next w:val="1015"/>
    <w:link w:val="779"/>
    <w:uiPriority w:val="59"/>
    <w:qFormat/>
    <w:pPr>
      <w:spacing w:after="0" w:line="240" w:lineRule="auto"/>
    </w:pPr>
    <w:tblPr/>
  </w:style>
  <w:style w:type="table" w:styleId="1016">
    <w:name w:val="Grid Table 3 - Accent 3"/>
    <w:next w:val="1016"/>
    <w:link w:val="779"/>
    <w:uiPriority w:val="99"/>
    <w:qFormat/>
    <w:rPr>
      <w:lang w:val="en-US" w:eastAsia="zh-CN" w:bidi="ar-SA"/>
    </w:rPr>
    <w:tblPr/>
  </w:style>
  <w:style w:type="table" w:styleId="1017">
    <w:name w:val="List Table 2 - Accent 5"/>
    <w:next w:val="1017"/>
    <w:link w:val="779"/>
    <w:uiPriority w:val="99"/>
    <w:qFormat/>
    <w:rPr>
      <w:lang w:val="en-US" w:eastAsia="zh-CN" w:bidi="ar-SA"/>
    </w:rPr>
    <w:tblPr/>
  </w:style>
  <w:style w:type="table" w:styleId="1018">
    <w:name w:val="Grid Table 5 Dark"/>
    <w:basedOn w:val="790"/>
    <w:next w:val="1018"/>
    <w:link w:val="779"/>
    <w:uiPriority w:val="99"/>
    <w:qFormat/>
    <w:pPr>
      <w:spacing w:after="0" w:line="240" w:lineRule="auto"/>
    </w:pPr>
    <w:tblPr/>
  </w:style>
  <w:style w:type="table" w:styleId="1019">
    <w:name w:val="List Table 1 Light - Accent 4"/>
    <w:next w:val="1019"/>
    <w:link w:val="779"/>
    <w:uiPriority w:val="99"/>
    <w:qFormat/>
    <w:rPr>
      <w:lang w:val="en-US" w:eastAsia="zh-CN" w:bidi="ar-SA"/>
    </w:rPr>
    <w:tblPr/>
  </w:style>
  <w:style w:type="table" w:styleId="1020">
    <w:name w:val="List Table 1 Light - Accent 5"/>
    <w:next w:val="1020"/>
    <w:link w:val="779"/>
    <w:uiPriority w:val="99"/>
    <w:qFormat/>
    <w:rPr>
      <w:lang w:val="en-US" w:eastAsia="zh-CN" w:bidi="ar-SA"/>
    </w:rPr>
    <w:tblPr/>
  </w:style>
  <w:style w:type="table" w:styleId="1021">
    <w:name w:val="Grid Table 6 Colorful"/>
    <w:basedOn w:val="790"/>
    <w:next w:val="1021"/>
    <w:link w:val="779"/>
    <w:uiPriority w:val="99"/>
    <w:qFormat/>
    <w:pPr>
      <w:spacing w:after="0" w:line="240" w:lineRule="auto"/>
    </w:pPr>
    <w:tblPr/>
  </w:style>
  <w:style w:type="table" w:styleId="1022">
    <w:name w:val="无格式表格 31"/>
    <w:next w:val="1022"/>
    <w:link w:val="779"/>
    <w:uiPriority w:val="99"/>
    <w:qFormat/>
    <w:rPr>
      <w:lang w:val="en-US" w:eastAsia="zh-CN" w:bidi="ar-SA"/>
    </w:rPr>
    <w:tblPr/>
  </w:style>
  <w:style w:type="table" w:styleId="1023">
    <w:name w:val="List Table 4 - Accent 3"/>
    <w:next w:val="1023"/>
    <w:link w:val="779"/>
    <w:uiPriority w:val="99"/>
    <w:qFormat/>
    <w:rPr>
      <w:lang w:val="en-US" w:eastAsia="zh-CN" w:bidi="ar-SA"/>
    </w:rPr>
    <w:tblPr/>
  </w:style>
  <w:style w:type="table" w:styleId="1024">
    <w:name w:val="Grid Table 7 Colorful"/>
    <w:basedOn w:val="790"/>
    <w:next w:val="1024"/>
    <w:link w:val="779"/>
    <w:uiPriority w:val="99"/>
    <w:qFormat/>
    <w:pPr>
      <w:spacing w:after="0" w:line="240" w:lineRule="auto"/>
    </w:pPr>
    <w:tblPr/>
  </w:style>
  <w:style w:type="table" w:styleId="1025">
    <w:name w:val="Grid Table 7 Colorful - Accent 2"/>
    <w:next w:val="1025"/>
    <w:link w:val="779"/>
    <w:uiPriority w:val="99"/>
    <w:qFormat/>
    <w:rPr>
      <w:lang w:val="en-US" w:eastAsia="zh-CN" w:bidi="ar-SA"/>
    </w:rPr>
    <w:tblPr/>
  </w:style>
  <w:style w:type="table" w:styleId="1026">
    <w:name w:val="List Table 5 Dark - Accent 2"/>
    <w:next w:val="1026"/>
    <w:link w:val="779"/>
    <w:uiPriority w:val="99"/>
    <w:qFormat/>
    <w:rPr>
      <w:lang w:val="en-US" w:eastAsia="zh-CN" w:bidi="ar-SA"/>
    </w:rPr>
    <w:tblPr/>
  </w:style>
  <w:style w:type="table" w:styleId="1027">
    <w:name w:val="List Table 1 Light"/>
    <w:basedOn w:val="790"/>
    <w:next w:val="1027"/>
    <w:link w:val="779"/>
    <w:uiPriority w:val="99"/>
    <w:qFormat/>
    <w:pPr>
      <w:spacing w:after="0" w:line="240" w:lineRule="auto"/>
    </w:pPr>
    <w:tblPr/>
  </w:style>
  <w:style w:type="table" w:styleId="1028">
    <w:name w:val="Grid Table 6 Colorful - Accent 4"/>
    <w:next w:val="1028"/>
    <w:link w:val="779"/>
    <w:uiPriority w:val="99"/>
    <w:qFormat/>
    <w:rPr>
      <w:lang w:val="en-US" w:eastAsia="zh-CN" w:bidi="ar-SA"/>
    </w:rPr>
    <w:tblPr/>
  </w:style>
  <w:style w:type="table" w:styleId="1029">
    <w:name w:val="List Table 2"/>
    <w:basedOn w:val="790"/>
    <w:next w:val="1029"/>
    <w:link w:val="779"/>
    <w:uiPriority w:val="99"/>
    <w:qFormat/>
    <w:pPr>
      <w:spacing w:after="0" w:line="240" w:lineRule="auto"/>
    </w:pPr>
    <w:tblPr/>
  </w:style>
  <w:style w:type="table" w:styleId="1030">
    <w:name w:val="Grid Table 2 - Accent 5"/>
    <w:next w:val="1030"/>
    <w:link w:val="779"/>
    <w:uiPriority w:val="99"/>
    <w:qFormat/>
    <w:rPr>
      <w:lang w:val="en-US" w:eastAsia="zh-CN" w:bidi="ar-SA"/>
    </w:rPr>
    <w:tblPr/>
  </w:style>
  <w:style w:type="table" w:styleId="1031">
    <w:name w:val="List Table 3"/>
    <w:basedOn w:val="790"/>
    <w:next w:val="1031"/>
    <w:link w:val="779"/>
    <w:uiPriority w:val="99"/>
    <w:qFormat/>
    <w:pPr>
      <w:spacing w:after="0" w:line="240" w:lineRule="auto"/>
    </w:pPr>
    <w:tblPr/>
  </w:style>
  <w:style w:type="table" w:styleId="1032">
    <w:name w:val="网格表 7 彩色1"/>
    <w:next w:val="1032"/>
    <w:link w:val="779"/>
    <w:uiPriority w:val="99"/>
    <w:qFormat/>
    <w:rPr>
      <w:lang w:val="en-US" w:eastAsia="zh-CN" w:bidi="ar-SA"/>
    </w:rPr>
    <w:tblPr/>
  </w:style>
  <w:style w:type="table" w:styleId="1033">
    <w:name w:val="List Table 4"/>
    <w:basedOn w:val="790"/>
    <w:next w:val="1033"/>
    <w:link w:val="779"/>
    <w:uiPriority w:val="99"/>
    <w:qFormat/>
    <w:pPr>
      <w:spacing w:after="0" w:line="240" w:lineRule="auto"/>
    </w:pPr>
    <w:tblPr/>
  </w:style>
  <w:style w:type="table" w:styleId="1034">
    <w:name w:val="List Table 7 Colorful - Accent 1"/>
    <w:next w:val="1034"/>
    <w:link w:val="779"/>
    <w:uiPriority w:val="99"/>
    <w:qFormat/>
    <w:rPr>
      <w:lang w:val="en-US" w:eastAsia="zh-CN" w:bidi="ar-SA"/>
    </w:rPr>
    <w:tblPr/>
  </w:style>
  <w:style w:type="table" w:styleId="1035">
    <w:name w:val="List Table 7 Colorful"/>
    <w:basedOn w:val="790"/>
    <w:next w:val="1035"/>
    <w:link w:val="779"/>
    <w:uiPriority w:val="99"/>
    <w:qFormat/>
    <w:pPr>
      <w:spacing w:after="0" w:line="240" w:lineRule="auto"/>
    </w:pPr>
    <w:tblPr/>
  </w:style>
  <w:style w:type="table" w:styleId="1036">
    <w:name w:val="网格型1"/>
    <w:basedOn w:val="1037"/>
    <w:next w:val="1036"/>
    <w:link w:val="779"/>
    <w:uiPriority w:val="39"/>
    <w:qFormat/>
    <w:tblPr/>
  </w:style>
  <w:style w:type="table" w:styleId="1037">
    <w:name w:val="普通表格1"/>
    <w:next w:val="1037"/>
    <w:link w:val="779"/>
    <w:uiPriority w:val="99"/>
    <w:unhideWhenUsed/>
    <w:qFormat/>
    <w:rPr>
      <w:lang w:val="en-US" w:eastAsia="zh-CN" w:bidi="ar-SA"/>
    </w:rPr>
    <w:tblPr/>
  </w:style>
  <w:style w:type="table" w:styleId="1038">
    <w:name w:val="普通表格12"/>
    <w:next w:val="1038"/>
    <w:link w:val="779"/>
    <w:uiPriority w:val="99"/>
    <w:unhideWhenUsed/>
    <w:qFormat/>
    <w:rPr>
      <w:lang w:val="en-US" w:eastAsia="zh-CN" w:bidi="ar-SA"/>
    </w:rPr>
    <w:tblPr/>
  </w:style>
  <w:style w:type="table" w:styleId="1039">
    <w:name w:val="Grid Table 5 Dark - Accent 3"/>
    <w:next w:val="1039"/>
    <w:link w:val="779"/>
    <w:uiPriority w:val="99"/>
    <w:qFormat/>
    <w:rPr>
      <w:lang w:val="en-US" w:eastAsia="zh-CN" w:bidi="ar-SA"/>
    </w:rPr>
    <w:tblPr/>
  </w:style>
  <w:style w:type="table" w:styleId="1040">
    <w:name w:val="网格型12"/>
    <w:next w:val="1040"/>
    <w:link w:val="779"/>
    <w:uiPriority w:val="59"/>
    <w:qFormat/>
    <w:rPr>
      <w:lang w:val="en-US" w:eastAsia="zh-CN" w:bidi="ar-SA"/>
    </w:rPr>
    <w:tblPr/>
  </w:style>
  <w:style w:type="table" w:styleId="1041">
    <w:name w:val="List Table 3 - Accent 4"/>
    <w:next w:val="1041"/>
    <w:link w:val="779"/>
    <w:uiPriority w:val="99"/>
    <w:qFormat/>
    <w:rPr>
      <w:lang w:val="en-US" w:eastAsia="zh-CN" w:bidi="ar-SA"/>
    </w:rPr>
    <w:tblPr/>
  </w:style>
  <w:style w:type="table" w:styleId="1042">
    <w:name w:val="普通表格11"/>
    <w:next w:val="1042"/>
    <w:link w:val="779"/>
    <w:uiPriority w:val="99"/>
    <w:unhideWhenUsed/>
    <w:qFormat/>
    <w:rPr>
      <w:lang w:val="en-US" w:eastAsia="zh-CN" w:bidi="ar-SA"/>
    </w:rPr>
    <w:tblPr/>
  </w:style>
  <w:style w:type="table" w:styleId="1043">
    <w:name w:val="List Table 7 Colorful - Accent 2"/>
    <w:next w:val="1043"/>
    <w:link w:val="779"/>
    <w:uiPriority w:val="99"/>
    <w:qFormat/>
    <w:rPr>
      <w:lang w:val="en-US" w:eastAsia="zh-CN" w:bidi="ar-SA"/>
    </w:rPr>
    <w:tblPr/>
  </w:style>
  <w:style w:type="table" w:styleId="1044">
    <w:name w:val="Lined - Accent 3"/>
    <w:next w:val="1044"/>
    <w:link w:val="779"/>
    <w:uiPriority w:val="99"/>
    <w:qFormat/>
    <w:rPr>
      <w:color w:val="404040"/>
      <w:lang w:val="en-US" w:eastAsia="zh-CN" w:bidi="ar-SA"/>
    </w:rPr>
    <w:tblPr/>
  </w:style>
  <w:style w:type="table" w:styleId="1045">
    <w:name w:val="网格表 21"/>
    <w:next w:val="1045"/>
    <w:link w:val="779"/>
    <w:uiPriority w:val="99"/>
    <w:qFormat/>
    <w:rPr>
      <w:lang w:val="en-US" w:eastAsia="zh-CN" w:bidi="ar-SA"/>
    </w:rPr>
    <w:tblPr/>
  </w:style>
  <w:style w:type="table" w:styleId="1046">
    <w:name w:val="网格型11"/>
    <w:next w:val="1046"/>
    <w:link w:val="779"/>
    <w:uiPriority w:val="59"/>
    <w:qFormat/>
    <w:rPr>
      <w:lang w:val="en-US" w:eastAsia="zh-CN" w:bidi="ar-SA"/>
    </w:rPr>
    <w:tblPr/>
  </w:style>
  <w:style w:type="table" w:styleId="1047">
    <w:name w:val="List Table 2 - Accent 3"/>
    <w:next w:val="1047"/>
    <w:link w:val="779"/>
    <w:uiPriority w:val="99"/>
    <w:qFormat/>
    <w:rPr>
      <w:lang w:val="en-US" w:eastAsia="zh-CN" w:bidi="ar-SA"/>
    </w:rPr>
    <w:tblPr/>
  </w:style>
  <w:style w:type="table" w:styleId="1048">
    <w:name w:val="List Table 6 Colorful - Accent 1"/>
    <w:next w:val="1048"/>
    <w:link w:val="779"/>
    <w:uiPriority w:val="99"/>
    <w:qFormat/>
    <w:rPr>
      <w:lang w:val="en-US" w:eastAsia="zh-CN" w:bidi="ar-SA"/>
    </w:rPr>
    <w:tblPr/>
  </w:style>
  <w:style w:type="table" w:styleId="1049">
    <w:name w:val="Grid Table 6 Colorful - Accent 1"/>
    <w:next w:val="1049"/>
    <w:link w:val="779"/>
    <w:uiPriority w:val="99"/>
    <w:qFormat/>
    <w:rPr>
      <w:lang w:val="en-US" w:eastAsia="zh-CN" w:bidi="ar-SA"/>
    </w:rPr>
    <w:tblPr/>
  </w:style>
  <w:style w:type="table" w:styleId="1050">
    <w:name w:val="Grid Table 2 - Accent 4"/>
    <w:next w:val="1050"/>
    <w:link w:val="779"/>
    <w:uiPriority w:val="99"/>
    <w:qFormat/>
    <w:rPr>
      <w:lang w:val="en-US" w:eastAsia="zh-CN" w:bidi="ar-SA"/>
    </w:rPr>
    <w:tblPr/>
  </w:style>
  <w:style w:type="table" w:styleId="1051">
    <w:name w:val="Lined - Accent 5"/>
    <w:next w:val="1051"/>
    <w:link w:val="779"/>
    <w:uiPriority w:val="99"/>
    <w:qFormat/>
    <w:rPr>
      <w:color w:val="404040"/>
      <w:lang w:val="en-US" w:eastAsia="zh-CN" w:bidi="ar-SA"/>
    </w:rPr>
    <w:tblPr/>
  </w:style>
  <w:style w:type="table" w:styleId="1052">
    <w:name w:val="List Table 3 - Accent 5"/>
    <w:next w:val="1052"/>
    <w:link w:val="779"/>
    <w:uiPriority w:val="99"/>
    <w:qFormat/>
    <w:rPr>
      <w:lang w:val="en-US" w:eastAsia="zh-CN" w:bidi="ar-SA"/>
    </w:rPr>
    <w:tblPr/>
  </w:style>
  <w:style w:type="table" w:styleId="1053">
    <w:name w:val="无格式表格 21"/>
    <w:next w:val="1053"/>
    <w:link w:val="779"/>
    <w:uiPriority w:val="59"/>
    <w:qFormat/>
    <w:rPr>
      <w:lang w:val="en-US" w:eastAsia="zh-CN" w:bidi="ar-SA"/>
    </w:rPr>
    <w:tblPr/>
  </w:style>
  <w:style w:type="table" w:styleId="1054">
    <w:name w:val="Grid Table 3 - Accent 2"/>
    <w:next w:val="1054"/>
    <w:link w:val="779"/>
    <w:uiPriority w:val="99"/>
    <w:qFormat/>
    <w:rPr>
      <w:lang w:val="en-US" w:eastAsia="zh-CN" w:bidi="ar-SA"/>
    </w:rPr>
    <w:tblPr/>
  </w:style>
  <w:style w:type="table" w:styleId="1055">
    <w:name w:val="List Table 3 - Accent 3"/>
    <w:next w:val="1055"/>
    <w:link w:val="779"/>
    <w:uiPriority w:val="99"/>
    <w:qFormat/>
    <w:rPr>
      <w:lang w:val="en-US" w:eastAsia="zh-CN" w:bidi="ar-SA"/>
    </w:rPr>
    <w:tblPr/>
  </w:style>
  <w:style w:type="table" w:styleId="1056">
    <w:name w:val="Grid Table 1 Light - Accent 1"/>
    <w:next w:val="1056"/>
    <w:link w:val="779"/>
    <w:uiPriority w:val="99"/>
    <w:qFormat/>
    <w:rPr>
      <w:lang w:val="en-US" w:eastAsia="zh-CN" w:bidi="ar-SA"/>
    </w:rPr>
    <w:tblPr/>
  </w:style>
  <w:style w:type="table" w:styleId="1057">
    <w:name w:val="List Table 4 - Accent 2"/>
    <w:next w:val="1057"/>
    <w:link w:val="779"/>
    <w:uiPriority w:val="99"/>
    <w:qFormat/>
    <w:rPr>
      <w:lang w:val="en-US" w:eastAsia="zh-CN" w:bidi="ar-SA"/>
    </w:rPr>
    <w:tblPr/>
  </w:style>
  <w:style w:type="table" w:styleId="1058">
    <w:name w:val="Bordered - Accent 6"/>
    <w:next w:val="1058"/>
    <w:link w:val="779"/>
    <w:uiPriority w:val="99"/>
    <w:qFormat/>
    <w:rPr>
      <w:lang w:val="en-US" w:eastAsia="zh-CN" w:bidi="ar-SA"/>
    </w:rPr>
    <w:tblPr/>
  </w:style>
  <w:style w:type="table" w:styleId="1059">
    <w:name w:val="List Table 6 Colorful - Accent 2"/>
    <w:next w:val="1059"/>
    <w:link w:val="779"/>
    <w:uiPriority w:val="99"/>
    <w:qFormat/>
    <w:rPr>
      <w:lang w:val="en-US" w:eastAsia="zh-CN" w:bidi="ar-SA"/>
    </w:rPr>
    <w:tblPr/>
  </w:style>
  <w:style w:type="table" w:styleId="1060">
    <w:name w:val="List Table 2 - Accent 4"/>
    <w:next w:val="1060"/>
    <w:link w:val="779"/>
    <w:uiPriority w:val="99"/>
    <w:qFormat/>
    <w:rPr>
      <w:lang w:val="en-US" w:eastAsia="zh-CN" w:bidi="ar-SA"/>
    </w:rPr>
    <w:tblPr/>
  </w:style>
  <w:style w:type="table" w:styleId="1061">
    <w:name w:val="Grid Table 7 Colorful - Accent 5"/>
    <w:next w:val="1061"/>
    <w:link w:val="779"/>
    <w:uiPriority w:val="99"/>
    <w:qFormat/>
    <w:rPr>
      <w:lang w:val="en-US" w:eastAsia="zh-CN" w:bidi="ar-SA"/>
    </w:rPr>
    <w:tblPr/>
  </w:style>
  <w:style w:type="table" w:styleId="1062">
    <w:name w:val="Lined - Accent 4"/>
    <w:next w:val="1062"/>
    <w:link w:val="779"/>
    <w:uiPriority w:val="99"/>
    <w:qFormat/>
    <w:rPr>
      <w:color w:val="404040"/>
      <w:lang w:val="en-US" w:eastAsia="zh-CN" w:bidi="ar-SA"/>
    </w:rPr>
    <w:tblPr/>
  </w:style>
  <w:style w:type="table" w:styleId="1063">
    <w:name w:val="List Table 3 - Accent 6"/>
    <w:next w:val="1063"/>
    <w:link w:val="779"/>
    <w:uiPriority w:val="99"/>
    <w:qFormat/>
    <w:rPr>
      <w:lang w:val="en-US" w:eastAsia="zh-CN" w:bidi="ar-SA"/>
    </w:rPr>
    <w:tblPr/>
  </w:style>
  <w:style w:type="table" w:styleId="1064">
    <w:name w:val="Table Grid Light"/>
    <w:next w:val="1064"/>
    <w:link w:val="779"/>
    <w:uiPriority w:val="59"/>
    <w:qFormat/>
    <w:rPr>
      <w:lang w:val="en-US" w:eastAsia="zh-CN" w:bidi="ar-SA"/>
    </w:rPr>
    <w:tblPr/>
  </w:style>
  <w:style w:type="table" w:styleId="1065">
    <w:name w:val="List Table 5 Dark - Accent 6"/>
    <w:next w:val="1065"/>
    <w:link w:val="779"/>
    <w:uiPriority w:val="99"/>
    <w:qFormat/>
    <w:rPr>
      <w:lang w:val="en-US" w:eastAsia="zh-CN" w:bidi="ar-SA"/>
    </w:rPr>
    <w:tblPr/>
  </w:style>
  <w:style w:type="table" w:styleId="1066">
    <w:name w:val="List Table 4 - Accent 6"/>
    <w:next w:val="1066"/>
    <w:link w:val="779"/>
    <w:uiPriority w:val="99"/>
    <w:qFormat/>
    <w:rPr>
      <w:lang w:val="en-US" w:eastAsia="zh-CN" w:bidi="ar-SA"/>
    </w:rPr>
    <w:tblPr/>
  </w:style>
  <w:style w:type="table" w:styleId="1067">
    <w:name w:val="Grid Table 4 - Accent 4"/>
    <w:next w:val="1067"/>
    <w:link w:val="779"/>
    <w:uiPriority w:val="59"/>
    <w:qFormat/>
    <w:rPr>
      <w:lang w:val="en-US" w:eastAsia="zh-CN" w:bidi="ar-SA"/>
    </w:rPr>
    <w:tblPr/>
  </w:style>
  <w:style w:type="table" w:styleId="1068">
    <w:name w:val="Lined - Accent 2"/>
    <w:next w:val="1068"/>
    <w:link w:val="779"/>
    <w:uiPriority w:val="99"/>
    <w:qFormat/>
    <w:rPr>
      <w:color w:val="404040"/>
      <w:lang w:val="en-US" w:eastAsia="zh-CN" w:bidi="ar-SA"/>
    </w:rPr>
    <w:tblPr/>
  </w:style>
  <w:style w:type="table" w:styleId="1069">
    <w:name w:val="Grid Table 3 - Accent 5"/>
    <w:next w:val="1069"/>
    <w:link w:val="779"/>
    <w:uiPriority w:val="99"/>
    <w:qFormat/>
    <w:rPr>
      <w:lang w:val="en-US" w:eastAsia="zh-CN" w:bidi="ar-SA"/>
    </w:rPr>
    <w:tblPr/>
  </w:style>
  <w:style w:type="table" w:styleId="1070">
    <w:name w:val="Grid Table 3 - Accent 4"/>
    <w:next w:val="1070"/>
    <w:link w:val="779"/>
    <w:uiPriority w:val="99"/>
    <w:qFormat/>
    <w:rPr>
      <w:lang w:val="en-US" w:eastAsia="zh-CN" w:bidi="ar-SA"/>
    </w:rPr>
    <w:tblPr/>
  </w:style>
  <w:style w:type="table" w:styleId="1071">
    <w:name w:val="无格式表格 11"/>
    <w:next w:val="1071"/>
    <w:link w:val="779"/>
    <w:uiPriority w:val="59"/>
    <w:qFormat/>
    <w:rPr>
      <w:lang w:val="en-US" w:eastAsia="zh-CN" w:bidi="ar-SA"/>
    </w:rPr>
    <w:tblPr/>
  </w:style>
  <w:style w:type="table" w:styleId="1072">
    <w:name w:val="List Table 7 Colorful - Accent 4"/>
    <w:next w:val="1072"/>
    <w:link w:val="779"/>
    <w:uiPriority w:val="99"/>
    <w:qFormat/>
    <w:rPr>
      <w:lang w:val="en-US" w:eastAsia="zh-CN" w:bidi="ar-SA"/>
    </w:rPr>
    <w:tblPr/>
  </w:style>
  <w:style w:type="table" w:styleId="1073">
    <w:name w:val="Grid Table 5 Dark - Accent 5"/>
    <w:next w:val="1073"/>
    <w:link w:val="779"/>
    <w:uiPriority w:val="99"/>
    <w:qFormat/>
    <w:rPr>
      <w:lang w:val="en-US" w:eastAsia="zh-CN" w:bidi="ar-SA"/>
    </w:rPr>
    <w:tblPr/>
  </w:style>
  <w:style w:type="table" w:styleId="1074">
    <w:name w:val="Bordered - Accent 5"/>
    <w:next w:val="1074"/>
    <w:link w:val="779"/>
    <w:uiPriority w:val="99"/>
    <w:qFormat/>
    <w:rPr>
      <w:lang w:val="en-US" w:eastAsia="zh-CN" w:bidi="ar-SA"/>
    </w:rPr>
    <w:tblPr/>
  </w:style>
  <w:style w:type="table" w:styleId="1075">
    <w:name w:val="Bordered &amp; Lined - Accent 1"/>
    <w:next w:val="1075"/>
    <w:link w:val="779"/>
    <w:uiPriority w:val="99"/>
    <w:qFormat/>
    <w:rPr>
      <w:color w:val="404040"/>
      <w:lang w:val="en-US" w:eastAsia="zh-CN" w:bidi="ar-SA"/>
    </w:rPr>
    <w:tblPr/>
  </w:style>
  <w:style w:type="table" w:styleId="1076">
    <w:name w:val="网格表 1 浅色1"/>
    <w:next w:val="1076"/>
    <w:link w:val="779"/>
    <w:uiPriority w:val="99"/>
    <w:qFormat/>
    <w:rPr>
      <w:lang w:val="en-US" w:eastAsia="zh-CN" w:bidi="ar-SA"/>
    </w:rPr>
    <w:tblPr/>
  </w:style>
  <w:style w:type="table" w:styleId="1077">
    <w:name w:val="Grid Table 2 - Accent 6"/>
    <w:next w:val="1077"/>
    <w:link w:val="779"/>
    <w:uiPriority w:val="99"/>
    <w:qFormat/>
    <w:rPr>
      <w:lang w:val="en-US" w:eastAsia="zh-CN" w:bidi="ar-SA"/>
    </w:rPr>
    <w:tblPr/>
  </w:style>
  <w:style w:type="table" w:styleId="1078">
    <w:name w:val="Grid Table 6 Colorful - Accent 2"/>
    <w:next w:val="1078"/>
    <w:link w:val="779"/>
    <w:uiPriority w:val="99"/>
    <w:qFormat/>
    <w:rPr>
      <w:lang w:val="en-US" w:eastAsia="zh-CN" w:bidi="ar-SA"/>
    </w:rPr>
    <w:tblPr/>
  </w:style>
  <w:style w:type="table" w:styleId="1079">
    <w:name w:val="List Table 1 Light - Accent 6"/>
    <w:next w:val="1079"/>
    <w:link w:val="779"/>
    <w:uiPriority w:val="99"/>
    <w:qFormat/>
    <w:rPr>
      <w:lang w:val="en-US" w:eastAsia="zh-CN" w:bidi="ar-SA"/>
    </w:rPr>
    <w:tblPr/>
  </w:style>
  <w:style w:type="table" w:styleId="1080">
    <w:name w:val="Grid Table 1 Light - Accent 4"/>
    <w:next w:val="1080"/>
    <w:link w:val="779"/>
    <w:uiPriority w:val="99"/>
    <w:qFormat/>
    <w:rPr>
      <w:lang w:val="en-US" w:eastAsia="zh-CN" w:bidi="ar-SA"/>
    </w:rPr>
    <w:tblPr/>
  </w:style>
  <w:style w:type="table" w:styleId="1081">
    <w:name w:val="Grid Table 6 Colorful - Accent 6"/>
    <w:next w:val="1081"/>
    <w:link w:val="779"/>
    <w:uiPriority w:val="99"/>
    <w:qFormat/>
    <w:rPr>
      <w:lang w:val="en-US" w:eastAsia="zh-CN" w:bidi="ar-SA"/>
    </w:rPr>
    <w:tblPr/>
  </w:style>
  <w:style w:type="table" w:styleId="1082">
    <w:name w:val="Bordered - Accent 3"/>
    <w:next w:val="1082"/>
    <w:link w:val="779"/>
    <w:uiPriority w:val="99"/>
    <w:qFormat/>
    <w:rPr>
      <w:lang w:val="en-US" w:eastAsia="zh-CN" w:bidi="ar-SA"/>
    </w:rPr>
    <w:tblPr/>
  </w:style>
  <w:style w:type="table" w:styleId="1083">
    <w:name w:val="无格式表格 41"/>
    <w:next w:val="1083"/>
    <w:link w:val="779"/>
    <w:uiPriority w:val="99"/>
    <w:qFormat/>
    <w:rPr>
      <w:lang w:val="en-US" w:eastAsia="zh-CN" w:bidi="ar-SA"/>
    </w:rPr>
    <w:tblPr/>
  </w:style>
  <w:style w:type="table" w:styleId="1084">
    <w:name w:val="Grid Table 6 Colorful - Accent 5"/>
    <w:next w:val="1084"/>
    <w:link w:val="779"/>
    <w:uiPriority w:val="99"/>
    <w:qFormat/>
    <w:rPr>
      <w:lang w:val="en-US" w:eastAsia="zh-CN" w:bidi="ar-SA"/>
    </w:rPr>
    <w:tblPr/>
  </w:style>
  <w:style w:type="table" w:styleId="1085">
    <w:name w:val="网格表 41"/>
    <w:next w:val="1085"/>
    <w:link w:val="779"/>
    <w:uiPriority w:val="59"/>
    <w:qFormat/>
    <w:rPr>
      <w:lang w:val="en-US" w:eastAsia="zh-CN" w:bidi="ar-SA"/>
    </w:rPr>
    <w:tblPr/>
  </w:style>
  <w:style w:type="table" w:styleId="1086">
    <w:name w:val="Grid Table 4 - Accent 6"/>
    <w:next w:val="1086"/>
    <w:link w:val="779"/>
    <w:uiPriority w:val="59"/>
    <w:qFormat/>
    <w:rPr>
      <w:lang w:val="en-US" w:eastAsia="zh-CN" w:bidi="ar-SA"/>
    </w:rPr>
    <w:tblPr/>
  </w:style>
  <w:style w:type="table" w:styleId="1087">
    <w:name w:val="List Table 2 - Accent 2"/>
    <w:next w:val="1087"/>
    <w:link w:val="779"/>
    <w:uiPriority w:val="99"/>
    <w:qFormat/>
    <w:rPr>
      <w:lang w:val="en-US" w:eastAsia="zh-CN" w:bidi="ar-SA"/>
    </w:rPr>
    <w:tblPr/>
  </w:style>
  <w:style w:type="table" w:styleId="1088">
    <w:name w:val="Bordered - Accent 1"/>
    <w:next w:val="1088"/>
    <w:link w:val="779"/>
    <w:uiPriority w:val="99"/>
    <w:qFormat/>
    <w:rPr>
      <w:lang w:val="en-US" w:eastAsia="zh-CN" w:bidi="ar-SA"/>
    </w:rPr>
    <w:tblPr/>
  </w:style>
  <w:style w:type="table" w:styleId="1089">
    <w:name w:val="Grid Table 1 Light - Accent 3"/>
    <w:next w:val="1089"/>
    <w:link w:val="779"/>
    <w:uiPriority w:val="99"/>
    <w:qFormat/>
    <w:rPr>
      <w:lang w:val="en-US" w:eastAsia="zh-CN" w:bidi="ar-SA"/>
    </w:rPr>
    <w:tblPr/>
  </w:style>
  <w:style w:type="table" w:styleId="1090">
    <w:name w:val="网格表 6 彩色1"/>
    <w:next w:val="1090"/>
    <w:link w:val="779"/>
    <w:uiPriority w:val="99"/>
    <w:qFormat/>
    <w:rPr>
      <w:lang w:val="en-US" w:eastAsia="zh-CN" w:bidi="ar-SA"/>
    </w:rPr>
    <w:tblPr/>
  </w:style>
  <w:style w:type="table" w:styleId="1091">
    <w:name w:val="Grid Table 1 Light - Accent 2"/>
    <w:next w:val="1091"/>
    <w:link w:val="779"/>
    <w:uiPriority w:val="99"/>
    <w:qFormat/>
    <w:rPr>
      <w:lang w:val="en-US" w:eastAsia="zh-CN" w:bidi="ar-SA"/>
    </w:rPr>
    <w:tblPr/>
  </w:style>
  <w:style w:type="table" w:styleId="1092">
    <w:name w:val="List Table 4 - Accent 1"/>
    <w:next w:val="1092"/>
    <w:link w:val="779"/>
    <w:uiPriority w:val="99"/>
    <w:qFormat/>
    <w:rPr>
      <w:lang w:val="en-US" w:eastAsia="zh-CN" w:bidi="ar-SA"/>
    </w:rPr>
    <w:tblPr/>
  </w:style>
  <w:style w:type="table" w:styleId="1093">
    <w:name w:val="Grid Table 5 Dark- Accent 1"/>
    <w:next w:val="1093"/>
    <w:link w:val="779"/>
    <w:uiPriority w:val="99"/>
    <w:qFormat/>
    <w:rPr>
      <w:lang w:val="en-US" w:eastAsia="zh-CN" w:bidi="ar-SA"/>
    </w:rPr>
    <w:tblPr/>
  </w:style>
  <w:style w:type="table" w:styleId="1094">
    <w:name w:val="Grid Table 7 Colorful - Accent 6"/>
    <w:next w:val="1094"/>
    <w:link w:val="779"/>
    <w:uiPriority w:val="99"/>
    <w:qFormat/>
    <w:rPr>
      <w:lang w:val="en-US" w:eastAsia="zh-CN" w:bidi="ar-SA"/>
    </w:rPr>
    <w:tblPr/>
  </w:style>
  <w:style w:type="table" w:styleId="1095">
    <w:name w:val="Grid Table 3 - Accent 1"/>
    <w:next w:val="1095"/>
    <w:link w:val="779"/>
    <w:uiPriority w:val="99"/>
    <w:qFormat/>
    <w:rPr>
      <w:lang w:val="en-US" w:eastAsia="zh-CN" w:bidi="ar-SA"/>
    </w:rPr>
    <w:tblPr/>
  </w:style>
  <w:style w:type="table" w:styleId="1096">
    <w:name w:val="List Table 3 - Accent 1"/>
    <w:next w:val="1096"/>
    <w:link w:val="779"/>
    <w:uiPriority w:val="99"/>
    <w:qFormat/>
    <w:rPr>
      <w:lang w:val="en-US" w:eastAsia="zh-CN" w:bidi="ar-SA"/>
    </w:rPr>
    <w:tblPr/>
  </w:style>
  <w:style w:type="table" w:styleId="1097">
    <w:name w:val="无格式表格 51"/>
    <w:next w:val="1097"/>
    <w:link w:val="779"/>
    <w:uiPriority w:val="99"/>
    <w:qFormat/>
    <w:rPr>
      <w:lang w:val="en-US" w:eastAsia="zh-CN" w:bidi="ar-SA"/>
    </w:rPr>
    <w:tblPr/>
  </w:style>
  <w:style w:type="table" w:styleId="1098">
    <w:name w:val="Grid Table 7 Colorful - Accent 4"/>
    <w:next w:val="1098"/>
    <w:link w:val="779"/>
    <w:uiPriority w:val="99"/>
    <w:qFormat/>
    <w:rPr>
      <w:lang w:val="en-US" w:eastAsia="zh-CN" w:bidi="ar-SA"/>
    </w:rPr>
    <w:tblPr/>
  </w:style>
  <w:style w:type="table" w:styleId="1099">
    <w:name w:val="清单表 7 彩色1"/>
    <w:next w:val="1099"/>
    <w:link w:val="779"/>
    <w:uiPriority w:val="99"/>
    <w:qFormat/>
    <w:rPr>
      <w:lang w:val="en-US" w:eastAsia="zh-CN" w:bidi="ar-SA"/>
    </w:rPr>
    <w:tblPr/>
  </w:style>
  <w:style w:type="table" w:styleId="1100">
    <w:name w:val="Grid Table 4 - Accent 5"/>
    <w:next w:val="1100"/>
    <w:link w:val="779"/>
    <w:uiPriority w:val="59"/>
    <w:qFormat/>
    <w:rPr>
      <w:lang w:val="en-US" w:eastAsia="zh-CN" w:bidi="ar-SA"/>
    </w:rPr>
    <w:tblPr/>
  </w:style>
  <w:style w:type="table" w:styleId="1101">
    <w:name w:val="Bordered"/>
    <w:next w:val="1101"/>
    <w:link w:val="779"/>
    <w:uiPriority w:val="99"/>
    <w:qFormat/>
    <w:rPr>
      <w:lang w:val="en-US" w:eastAsia="zh-CN" w:bidi="ar-SA"/>
    </w:rPr>
    <w:tblPr/>
  </w:style>
  <w:style w:type="table" w:styleId="1102">
    <w:name w:val="Grid Table 1 Light - Accent 5"/>
    <w:next w:val="1102"/>
    <w:link w:val="779"/>
    <w:uiPriority w:val="99"/>
    <w:qFormat/>
    <w:rPr>
      <w:lang w:val="en-US" w:eastAsia="zh-CN" w:bidi="ar-SA"/>
    </w:rPr>
    <w:tblPr/>
  </w:style>
  <w:style w:type="table" w:styleId="1103">
    <w:name w:val="List Table 6 Colorful - Accent 6"/>
    <w:next w:val="1103"/>
    <w:link w:val="779"/>
    <w:uiPriority w:val="99"/>
    <w:qFormat/>
    <w:rPr>
      <w:lang w:val="en-US" w:eastAsia="zh-CN" w:bidi="ar-SA"/>
    </w:rPr>
    <w:tblPr/>
  </w:style>
  <w:style w:type="table" w:styleId="1104">
    <w:name w:val="List Table 7 Colorful - Accent 5"/>
    <w:next w:val="1104"/>
    <w:link w:val="779"/>
    <w:uiPriority w:val="99"/>
    <w:qFormat/>
    <w:rPr>
      <w:lang w:val="en-US" w:eastAsia="zh-CN" w:bidi="ar-SA"/>
    </w:rPr>
    <w:tblPr/>
  </w:style>
  <w:style w:type="table" w:styleId="1105">
    <w:name w:val="清单表 41"/>
    <w:next w:val="1105"/>
    <w:link w:val="779"/>
    <w:uiPriority w:val="99"/>
    <w:qFormat/>
    <w:rPr>
      <w:lang w:val="en-US" w:eastAsia="zh-CN" w:bidi="ar-SA"/>
    </w:rPr>
    <w:tblPr/>
  </w:style>
  <w:style w:type="table" w:styleId="1106">
    <w:name w:val="Grid Table 1 Light - Accent 6"/>
    <w:next w:val="1106"/>
    <w:link w:val="779"/>
    <w:uiPriority w:val="99"/>
    <w:qFormat/>
    <w:rPr>
      <w:lang w:val="en-US" w:eastAsia="zh-CN" w:bidi="ar-SA"/>
    </w:rPr>
    <w:tblPr/>
  </w:style>
  <w:style w:type="table" w:styleId="1107">
    <w:name w:val="Grid Table 7 Colorful - Accent 1"/>
    <w:next w:val="1107"/>
    <w:link w:val="779"/>
    <w:uiPriority w:val="99"/>
    <w:qFormat/>
    <w:rPr>
      <w:lang w:val="en-US" w:eastAsia="zh-CN" w:bidi="ar-SA"/>
    </w:rPr>
    <w:tblPr/>
  </w:style>
  <w:style w:type="table" w:styleId="1108">
    <w:name w:val="Bordered &amp; Lined - Accent 5"/>
    <w:next w:val="1108"/>
    <w:link w:val="779"/>
    <w:uiPriority w:val="99"/>
    <w:qFormat/>
    <w:rPr>
      <w:color w:val="404040"/>
      <w:lang w:val="en-US" w:eastAsia="zh-CN" w:bidi="ar-SA"/>
    </w:rPr>
    <w:tblPr/>
  </w:style>
  <w:style w:type="table" w:styleId="1109">
    <w:name w:val="List Table 5 Dark - Accent 4"/>
    <w:next w:val="1109"/>
    <w:link w:val="779"/>
    <w:uiPriority w:val="99"/>
    <w:qFormat/>
    <w:rPr>
      <w:lang w:val="en-US" w:eastAsia="zh-CN" w:bidi="ar-SA"/>
    </w:rPr>
    <w:tblPr/>
  </w:style>
  <w:style w:type="table" w:styleId="1110">
    <w:name w:val="Bordered &amp; Lined - Accent"/>
    <w:next w:val="1110"/>
    <w:link w:val="779"/>
    <w:uiPriority w:val="99"/>
    <w:qFormat/>
    <w:rPr>
      <w:color w:val="404040"/>
      <w:lang w:val="en-US" w:eastAsia="zh-CN" w:bidi="ar-SA"/>
    </w:rPr>
    <w:tblPr/>
  </w:style>
  <w:style w:type="table" w:styleId="1111">
    <w:name w:val="Lined - Accent"/>
    <w:next w:val="1111"/>
    <w:link w:val="779"/>
    <w:uiPriority w:val="99"/>
    <w:qFormat/>
    <w:rPr>
      <w:color w:val="404040"/>
      <w:lang w:val="en-US" w:eastAsia="zh-CN" w:bidi="ar-SA"/>
    </w:rPr>
    <w:tblPr/>
  </w:style>
  <w:style w:type="table" w:styleId="1112">
    <w:name w:val="List Table 6 Colorful - Accent 4"/>
    <w:next w:val="1112"/>
    <w:link w:val="779"/>
    <w:uiPriority w:val="99"/>
    <w:qFormat/>
    <w:rPr>
      <w:lang w:val="en-US" w:eastAsia="zh-CN" w:bidi="ar-SA"/>
    </w:rPr>
    <w:tblPr/>
  </w:style>
  <w:style w:type="table" w:styleId="1113">
    <w:name w:val="网格表 31"/>
    <w:next w:val="1113"/>
    <w:link w:val="779"/>
    <w:uiPriority w:val="99"/>
    <w:qFormat/>
    <w:rPr>
      <w:lang w:val="en-US" w:eastAsia="zh-CN" w:bidi="ar-SA"/>
    </w:rPr>
    <w:tblPr/>
  </w:style>
  <w:style w:type="table" w:styleId="1114">
    <w:name w:val="Bordered &amp; Lined - Accent 4"/>
    <w:next w:val="1114"/>
    <w:link w:val="779"/>
    <w:uiPriority w:val="99"/>
    <w:qFormat/>
    <w:rPr>
      <w:color w:val="404040"/>
      <w:lang w:val="en-US" w:eastAsia="zh-CN" w:bidi="ar-SA"/>
    </w:rPr>
    <w:tblPr/>
  </w:style>
  <w:style w:type="table" w:styleId="1115">
    <w:name w:val="List Table 1 Light - Accent 2"/>
    <w:next w:val="1115"/>
    <w:link w:val="779"/>
    <w:uiPriority w:val="99"/>
    <w:qFormat/>
    <w:rPr>
      <w:lang w:val="en-US" w:eastAsia="zh-CN" w:bidi="ar-SA"/>
    </w:rPr>
    <w:tblPr/>
  </w:style>
  <w:style w:type="table" w:styleId="1116">
    <w:name w:val="Grid Table 4 - Accent 3"/>
    <w:next w:val="1116"/>
    <w:link w:val="779"/>
    <w:uiPriority w:val="59"/>
    <w:qFormat/>
    <w:rPr>
      <w:lang w:val="en-US" w:eastAsia="zh-CN" w:bidi="ar-SA"/>
    </w:rPr>
    <w:tblPr/>
  </w:style>
  <w:style w:type="table" w:styleId="1117">
    <w:name w:val="Grid Table 2 - Accent 1"/>
    <w:next w:val="1117"/>
    <w:link w:val="779"/>
    <w:uiPriority w:val="99"/>
    <w:qFormat/>
    <w:rPr>
      <w:lang w:val="en-US" w:eastAsia="zh-CN" w:bidi="ar-SA"/>
    </w:rPr>
    <w:tblPr/>
  </w:style>
  <w:style w:type="table" w:styleId="1118">
    <w:name w:val="List Table 5 Dark - Accent 5"/>
    <w:next w:val="1118"/>
    <w:link w:val="779"/>
    <w:uiPriority w:val="99"/>
    <w:qFormat/>
    <w:rPr>
      <w:lang w:val="en-US" w:eastAsia="zh-CN" w:bidi="ar-SA"/>
    </w:rPr>
    <w:tblPr/>
  </w:style>
  <w:style w:type="table" w:styleId="1119">
    <w:name w:val="Lined - Accent 6"/>
    <w:next w:val="1119"/>
    <w:link w:val="779"/>
    <w:uiPriority w:val="99"/>
    <w:qFormat/>
    <w:rPr>
      <w:color w:val="404040"/>
      <w:lang w:val="en-US" w:eastAsia="zh-CN" w:bidi="ar-SA"/>
    </w:rPr>
    <w:tblPr/>
  </w:style>
  <w:style w:type="table" w:styleId="1120">
    <w:name w:val="List Table 7 Colorful - Accent 3"/>
    <w:next w:val="1120"/>
    <w:link w:val="779"/>
    <w:uiPriority w:val="99"/>
    <w:qFormat/>
    <w:rPr>
      <w:lang w:val="en-US" w:eastAsia="zh-CN" w:bidi="ar-SA"/>
    </w:rPr>
    <w:tblPr/>
  </w:style>
  <w:style w:type="table" w:styleId="1121">
    <w:name w:val="Bordered - Accent 2"/>
    <w:next w:val="1121"/>
    <w:link w:val="779"/>
    <w:uiPriority w:val="99"/>
    <w:qFormat/>
    <w:rPr>
      <w:lang w:val="en-US" w:eastAsia="zh-CN" w:bidi="ar-SA"/>
    </w:rPr>
    <w:tblPr/>
  </w:style>
  <w:style w:type="table" w:styleId="1122">
    <w:name w:val="Grid Table 4 - Accent 1"/>
    <w:next w:val="1122"/>
    <w:link w:val="779"/>
    <w:uiPriority w:val="59"/>
    <w:qFormat/>
    <w:rPr>
      <w:lang w:val="en-US" w:eastAsia="zh-CN" w:bidi="ar-SA"/>
    </w:rPr>
    <w:tblPr/>
  </w:style>
  <w:style w:type="table" w:styleId="1123">
    <w:name w:val="Bordered &amp; Lined - Accent 2"/>
    <w:next w:val="1123"/>
    <w:link w:val="779"/>
    <w:uiPriority w:val="99"/>
    <w:qFormat/>
    <w:rPr>
      <w:color w:val="404040"/>
      <w:lang w:val="en-US" w:eastAsia="zh-CN" w:bidi="ar-SA"/>
    </w:rPr>
    <w:tblPr/>
  </w:style>
  <w:style w:type="table" w:styleId="1124">
    <w:name w:val="Table Normal"/>
    <w:next w:val="1124"/>
    <w:link w:val="779"/>
    <w:qFormat/>
    <w:rPr>
      <w:lang w:val="en-US" w:eastAsia="zh-CN" w:bidi="ar-SA"/>
    </w:rPr>
    <w:tblPr/>
  </w:style>
  <w:style w:type="table" w:styleId="1125">
    <w:name w:val="Bordered &amp; Lined - Accent 6"/>
    <w:next w:val="1125"/>
    <w:link w:val="779"/>
    <w:uiPriority w:val="99"/>
    <w:qFormat/>
    <w:rPr>
      <w:color w:val="404040"/>
      <w:lang w:val="en-US" w:eastAsia="zh-CN" w:bidi="ar-SA"/>
    </w:rPr>
    <w:tblPr/>
  </w:style>
  <w:style w:type="table" w:styleId="1126">
    <w:name w:val="List Table 1 Light - Accent 1"/>
    <w:next w:val="1126"/>
    <w:link w:val="779"/>
    <w:uiPriority w:val="99"/>
    <w:qFormat/>
    <w:rPr>
      <w:lang w:val="en-US" w:eastAsia="zh-CN" w:bidi="ar-SA"/>
    </w:rPr>
    <w:tblPr/>
  </w:style>
  <w:style w:type="table" w:styleId="1127">
    <w:name w:val="Grid Table 2 - Accent 2"/>
    <w:next w:val="1127"/>
    <w:link w:val="779"/>
    <w:uiPriority w:val="99"/>
    <w:qFormat/>
    <w:rPr>
      <w:lang w:val="en-US" w:eastAsia="zh-CN" w:bidi="ar-SA"/>
    </w:rPr>
    <w:tblPr/>
  </w:style>
  <w:style w:type="table" w:styleId="1128">
    <w:name w:val="List Table 2 - Accent 6"/>
    <w:next w:val="1128"/>
    <w:link w:val="779"/>
    <w:uiPriority w:val="99"/>
    <w:qFormat/>
    <w:rPr>
      <w:lang w:val="en-US" w:eastAsia="zh-CN" w:bidi="ar-SA"/>
    </w:rPr>
    <w:tblPr/>
  </w:style>
  <w:style w:type="table" w:styleId="1129">
    <w:name w:val="网格表 5 深色1"/>
    <w:next w:val="1129"/>
    <w:link w:val="779"/>
    <w:uiPriority w:val="99"/>
    <w:qFormat/>
    <w:rPr>
      <w:lang w:val="en-US" w:eastAsia="zh-CN" w:bidi="ar-SA"/>
    </w:rPr>
    <w:tblPr/>
  </w:style>
  <w:style w:type="table" w:styleId="1130">
    <w:name w:val="Grid Table 6 Colorful - Accent 3"/>
    <w:next w:val="1130"/>
    <w:link w:val="779"/>
    <w:uiPriority w:val="99"/>
    <w:qFormat/>
    <w:rPr>
      <w:lang w:val="en-US" w:eastAsia="zh-CN" w:bidi="ar-SA"/>
    </w:rPr>
    <w:tblPr/>
  </w:style>
  <w:style w:type="table" w:styleId="1131">
    <w:name w:val="Grid Table 5 Dark - Accent 6"/>
    <w:next w:val="1131"/>
    <w:link w:val="779"/>
    <w:uiPriority w:val="99"/>
    <w:qFormat/>
    <w:rPr>
      <w:lang w:val="en-US" w:eastAsia="zh-CN" w:bidi="ar-SA"/>
    </w:rPr>
    <w:tblPr/>
  </w:style>
  <w:style w:type="table" w:styleId="1132">
    <w:name w:val="List Table 2 - Accent 1"/>
    <w:next w:val="1132"/>
    <w:link w:val="779"/>
    <w:uiPriority w:val="99"/>
    <w:qFormat/>
    <w:rPr>
      <w:lang w:val="en-US" w:eastAsia="zh-CN" w:bidi="ar-SA"/>
    </w:rPr>
    <w:tblPr/>
  </w:style>
  <w:style w:type="table" w:styleId="1133">
    <w:name w:val="Grid Table 2 - Accent 3"/>
    <w:next w:val="1133"/>
    <w:link w:val="779"/>
    <w:uiPriority w:val="99"/>
    <w:qFormat/>
    <w:rPr>
      <w:lang w:val="en-US" w:eastAsia="zh-CN" w:bidi="ar-SA"/>
    </w:rPr>
    <w:tblPr/>
  </w:style>
  <w:style w:type="table" w:styleId="1134">
    <w:name w:val="List Table 1 Light - Accent 3"/>
    <w:next w:val="1134"/>
    <w:link w:val="779"/>
    <w:uiPriority w:val="99"/>
    <w:qFormat/>
    <w:rPr>
      <w:lang w:val="en-US" w:eastAsia="zh-CN" w:bidi="ar-SA"/>
    </w:rPr>
    <w:tblPr/>
  </w:style>
  <w:style w:type="table" w:styleId="1135">
    <w:name w:val="Bordered - Accent 4"/>
    <w:next w:val="1135"/>
    <w:link w:val="779"/>
    <w:uiPriority w:val="99"/>
    <w:qFormat/>
    <w:rPr>
      <w:lang w:val="en-US" w:eastAsia="zh-CN" w:bidi="ar-SA"/>
    </w:rPr>
    <w:tblPr/>
  </w:style>
  <w:style w:type="table" w:styleId="1136">
    <w:name w:val="Grid Table 5 Dark - Accent 2"/>
    <w:next w:val="1136"/>
    <w:link w:val="779"/>
    <w:uiPriority w:val="99"/>
    <w:qFormat/>
    <w:rPr>
      <w:lang w:val="en-US" w:eastAsia="zh-CN" w:bidi="ar-SA"/>
    </w:rPr>
    <w:tblPr/>
  </w:style>
  <w:style w:type="table" w:styleId="1137">
    <w:name w:val="List Table 6 Colorful - Accent 5"/>
    <w:next w:val="1137"/>
    <w:link w:val="779"/>
    <w:uiPriority w:val="99"/>
    <w:qFormat/>
    <w:rPr>
      <w:lang w:val="en-US" w:eastAsia="zh-CN" w:bidi="ar-SA"/>
    </w:rPr>
    <w:tblPr/>
  </w:style>
  <w:style w:type="table" w:styleId="1138">
    <w:name w:val="List Table 7 Colorful - Accent 6"/>
    <w:next w:val="1138"/>
    <w:link w:val="779"/>
    <w:uiPriority w:val="99"/>
    <w:qFormat/>
    <w:rPr>
      <w:lang w:val="en-US" w:eastAsia="zh-CN" w:bidi="ar-SA"/>
    </w:rPr>
    <w:tblPr/>
  </w:style>
  <w:style w:type="table" w:styleId="1139">
    <w:name w:val="Bordered &amp; Lined - Accent 3"/>
    <w:next w:val="1139"/>
    <w:link w:val="779"/>
    <w:uiPriority w:val="99"/>
    <w:qFormat/>
    <w:rPr>
      <w:color w:val="404040"/>
      <w:lang w:val="en-US" w:eastAsia="zh-CN" w:bidi="ar-SA"/>
    </w:rPr>
    <w:tblPr/>
  </w:style>
  <w:style w:type="paragraph" w:styleId="1140">
    <w:name w:val="Normal Indent1"/>
    <w:next w:val="1140"/>
    <w:link w:val="779"/>
    <w:qFormat/>
    <w:pPr>
      <w:ind w:firstLine="420"/>
      <w:spacing w:line="360" w:lineRule="auto"/>
    </w:pPr>
    <w:rPr>
      <w:lang w:val="en-US" w:eastAsia="zh-CN" w:bidi="ar-SA"/>
    </w:rPr>
  </w:style>
  <w:style w:type="paragraph" w:styleId="1141">
    <w:name w:val="脚注文本111"/>
    <w:next w:val="1142"/>
    <w:link w:val="779"/>
    <w:uiPriority w:val="99"/>
    <w:qFormat/>
    <w:pPr>
      <w:widowControl w:val="off"/>
    </w:pPr>
    <w:rPr>
      <w:rFonts w:ascii="宋体" w:eastAsia="Times New Roman"/>
      <w:sz w:val="18"/>
      <w:szCs w:val="18"/>
      <w:lang w:val="en-US" w:eastAsia="zh-CN" w:bidi="ar-SA"/>
    </w:rPr>
  </w:style>
  <w:style w:type="paragraph" w:styleId="1142">
    <w:name w:val="索引 5111"/>
    <w:next w:val="779"/>
    <w:link w:val="779"/>
    <w:qFormat/>
    <w:pPr>
      <w:ind w:left="798"/>
      <w:widowControl w:val="off"/>
    </w:pPr>
    <w:rPr>
      <w:rFonts w:ascii="Calibri" w:hAnsi="Calibri"/>
      <w:sz w:val="21"/>
      <w:szCs w:val="24"/>
      <w:lang w:val="en-US" w:eastAsia="zh-CN" w:bidi="ar-SA"/>
    </w:rPr>
  </w:style>
  <w:style w:type="character" w:styleId="1143">
    <w:name w:val="NormalCharacter1"/>
    <w:next w:val="1143"/>
    <w:link w:val="779"/>
    <w:semiHidden/>
    <w:qFormat/>
    <w:rPr>
      <w:sz w:val="28"/>
      <w:lang w:val="en-US" w:eastAsia="zh-CN" w:bidi="ar-SA"/>
    </w:rPr>
  </w:style>
  <w:style w:type="paragraph" w:styleId="1144">
    <w:name w:val="*正文"/>
    <w:next w:val="1144"/>
    <w:link w:val="779"/>
    <w:qFormat/>
    <w:pPr>
      <w:ind w:firstLine="200"/>
      <w:jc w:val="both"/>
      <w:spacing w:line="360" w:lineRule="auto"/>
      <w:widowControl w:val="off"/>
    </w:pPr>
    <w:rPr>
      <w:rFonts w:ascii="宋体" w:hAnsi="宋体"/>
      <w:sz w:val="24"/>
      <w:lang w:val="zh-CN" w:eastAsia="zh-CN" w:bidi="ar-SA"/>
    </w:rPr>
  </w:style>
  <w:style w:type="paragraph" w:styleId="1145">
    <w:name w:val="Footer1"/>
    <w:next w:val="1145"/>
    <w:link w:val="779"/>
    <w:uiPriority w:val="99"/>
    <w:unhideWhenUsed/>
    <w:qFormat/>
    <w:pPr>
      <w:tabs>
        <w:tab w:val="center" w:pos="7143" w:leader="none"/>
        <w:tab w:val="right" w:pos="14287" w:leader="none"/>
      </w:tabs>
    </w:pPr>
    <w:rPr>
      <w:sz w:val="24"/>
      <w:lang w:val="en-US" w:eastAsia="zh-CN" w:bidi="ar-SA"/>
    </w:rPr>
  </w:style>
  <w:style w:type="paragraph" w:styleId="1146">
    <w:name w:val="正文文本 21"/>
    <w:next w:val="1146"/>
    <w:link w:val="779"/>
    <w:uiPriority w:val="99"/>
    <w:qFormat/>
    <w:pPr>
      <w:ind w:firstLine="200"/>
      <w:spacing w:line="312" w:lineRule="auto"/>
    </w:pPr>
    <w:rPr>
      <w:rFonts w:ascii="Times New Roman" w:hAnsi="Times New Roman" w:eastAsia="仿宋_GB2312" w:cs="Times New Roman"/>
      <w:sz w:val="18"/>
      <w:lang w:eastAsia="zh-CN"/>
    </w:rPr>
  </w:style>
  <w:style w:type="character" w:styleId="1147" w:default="1">
    <w:name w:val="Default Paragraph Font"/>
    <w:uiPriority w:val="1"/>
    <w:semiHidden/>
    <w:unhideWhenUsed/>
  </w:style>
  <w:style w:type="numbering" w:styleId="1148" w:default="1">
    <w:name w:val="No List"/>
    <w:uiPriority w:val="99"/>
    <w:semiHidden/>
    <w:unhideWhenUsed/>
  </w:style>
  <w:style w:type="table" w:styleId="114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image" Target="media/image1.png"/><Relationship Id="rId15"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c:creator>
  <cp:lastModifiedBy>全过程123</cp:lastModifiedBy>
  <cp:revision>6</cp:revision>
  <dcterms:created xsi:type="dcterms:W3CDTF">2023-11-15T03:32:00Z</dcterms:created>
  <dcterms:modified xsi:type="dcterms:W3CDTF">2026-10-28T02:43:48Z</dcterms:modified>
</cp:coreProperties>
</file>