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005"/>
          <w:rFonts w:ascii="黑体" w:hAnsi="华文中宋" w:eastAsia="黑体" w:cs="黑体"/>
          <w:color w:val="000000" w:themeColor="text1"/>
          <w:spacing w:val="20"/>
          <w:sz w:val="72"/>
          <w:szCs w:val="72"/>
          <w:highlight w:val="none"/>
          <w14:textFill>
            <w14:solidFill>
              <w14:schemeClr w14:val="tx1"/>
            </w14:solidFill>
          </w14:textFill>
        </w:rPr>
      </w:pPr>
      <w:r>
        <w:rPr>
          <w:rFonts w:ascii="黑体" w:hAnsi="华文中宋" w:eastAsia="黑体" w:cs="黑体"/>
          <w:color w:val="000000" w:themeColor="text1"/>
          <w:spacing w:val="20"/>
          <w:sz w:val="72"/>
          <w:szCs w:val="72"/>
          <w:highlight w:val="none"/>
          <w14:textFill>
            <w14:solidFill>
              <w14:schemeClr w14:val="tx1"/>
            </w14:solidFill>
          </w14:textFill>
        </w:rPr>
      </w:r>
      <w:r/>
    </w:p>
    <w:p>
      <w:pPr>
        <w:jc w:val="center"/>
        <w:rPr>
          <w:rStyle w:val="1005"/>
          <w:rFonts w:ascii="黑体" w:hAnsi="华文中宋" w:eastAsia="黑体"/>
          <w:color w:val="000000" w:themeColor="text1"/>
          <w:spacing w:val="20"/>
          <w:sz w:val="72"/>
          <w:szCs w:val="72"/>
          <w:highlight w:val="none"/>
          <w14:textFill>
            <w14:solidFill>
              <w14:schemeClr w14:val="tx1"/>
            </w14:solidFill>
          </w14:textFill>
        </w:rPr>
      </w:pPr>
      <w:r>
        <w:rPr>
          <w:rStyle w:val="1005"/>
          <w:rFonts w:hint="eastAsia" w:ascii="黑体" w:hAnsi="华文中宋" w:eastAsia="黑体" w:cs="黑体"/>
          <w:color w:val="000000" w:themeColor="text1"/>
          <w:spacing w:val="20"/>
          <w:sz w:val="72"/>
          <w:szCs w:val="72"/>
          <w:highlight w:val="none"/>
          <w14:textFill>
            <w14:solidFill>
              <w14:schemeClr w14:val="tx1"/>
            </w14:solidFill>
          </w14:textFill>
        </w:rPr>
        <w:t xml:space="preserve">无锡市滨湖区政府采购</w:t>
      </w:r>
      <w:r/>
    </w:p>
    <w:p>
      <w:pPr>
        <w:rPr>
          <w:rStyle w:val="1005"/>
          <w:rFonts w:ascii="华文中宋" w:hAnsi="华文中宋" w:eastAsia="Times New Roman"/>
          <w:color w:val="000000" w:themeColor="text1"/>
          <w:sz w:val="30"/>
          <w:szCs w:val="30"/>
          <w:highlight w:val="none"/>
          <w14:textFill>
            <w14:solidFill>
              <w14:schemeClr w14:val="tx1"/>
            </w14:solidFill>
          </w14:textFill>
        </w:rPr>
      </w:pPr>
      <w:r>
        <w:rPr>
          <w:rFonts w:ascii="华文中宋" w:hAnsi="华文中宋" w:eastAsia="Times New Roman"/>
          <w:color w:val="000000" w:themeColor="text1"/>
          <w:sz w:val="30"/>
          <w:szCs w:val="30"/>
          <w:highlight w:val="none"/>
          <w14:textFill>
            <w14:solidFill>
              <w14:schemeClr w14:val="tx1"/>
            </w14:solidFill>
          </w14:textFill>
        </w:rPr>
      </w:r>
      <w:r/>
    </w:p>
    <w:p>
      <w:pPr>
        <w:rPr>
          <w:rStyle w:val="1005"/>
          <w:rFonts w:ascii="华文中宋" w:hAnsi="华文中宋" w:eastAsia="Times New Roman"/>
          <w:color w:val="000000" w:themeColor="text1"/>
          <w:sz w:val="30"/>
          <w:szCs w:val="30"/>
          <w:highlight w:val="none"/>
          <w14:textFill>
            <w14:solidFill>
              <w14:schemeClr w14:val="tx1"/>
            </w14:solidFill>
          </w14:textFill>
        </w:rPr>
      </w:pPr>
      <w:r>
        <w:rPr>
          <w:rFonts w:ascii="华文中宋" w:hAnsi="华文中宋" w:eastAsia="Times New Roman"/>
          <w:color w:val="000000" w:themeColor="text1"/>
          <w:sz w:val="30"/>
          <w:szCs w:val="30"/>
          <w:highlight w:val="none"/>
          <w14:textFill>
            <w14:solidFill>
              <w14:schemeClr w14:val="tx1"/>
            </w14:solidFill>
          </w14:textFill>
        </w:rPr>
      </w:r>
      <w:r/>
    </w:p>
    <w:p>
      <w:pPr>
        <w:jc w:val="center"/>
        <w:rPr>
          <w:rStyle w:val="1005"/>
          <w:rFonts w:ascii="黑体" w:hAnsi="华文中宋" w:eastAsia="黑体"/>
          <w:color w:val="000000" w:themeColor="text1"/>
          <w:spacing w:val="20"/>
          <w:sz w:val="52"/>
          <w:szCs w:val="52"/>
          <w:highlight w:val="none"/>
          <w14:textFill>
            <w14:solidFill>
              <w14:schemeClr w14:val="tx1"/>
            </w14:solidFill>
          </w14:textFill>
        </w:rPr>
      </w:pPr>
      <w:r>
        <w:rPr>
          <w:rFonts w:ascii="黑体" w:hAnsi="华文中宋" w:eastAsia="黑体"/>
          <w:color w:val="000000" w:themeColor="text1"/>
          <w:spacing w:val="20"/>
          <w:sz w:val="52"/>
          <w:szCs w:val="52"/>
          <w:highlight w:val="none"/>
          <w14:textFill>
            <w14:solidFill>
              <w14:schemeClr w14:val="tx1"/>
            </w14:solidFill>
          </w14:textFill>
        </w:rPr>
      </w:r>
      <w:r/>
    </w:p>
    <w:p>
      <w:pPr>
        <w:jc w:val="center"/>
        <w:rPr>
          <w:rStyle w:val="1005"/>
          <w:rFonts w:ascii="黑体" w:hAnsi="华文中宋" w:eastAsia="黑体"/>
          <w:color w:val="000000" w:themeColor="text1"/>
          <w:spacing w:val="20"/>
          <w:sz w:val="52"/>
          <w:szCs w:val="52"/>
          <w:highlight w:val="none"/>
          <w14:textFill>
            <w14:solidFill>
              <w14:schemeClr w14:val="tx1"/>
            </w14:solidFill>
          </w14:textFill>
        </w:rPr>
      </w:pPr>
      <w:r>
        <w:rPr>
          <w:rFonts w:ascii="黑体" w:hAnsi="华文中宋" w:eastAsia="黑体"/>
          <w:color w:val="000000" w:themeColor="text1"/>
          <w:spacing w:val="20"/>
          <w:sz w:val="52"/>
          <w:szCs w:val="52"/>
          <w:highlight w:val="none"/>
          <w14:textFill>
            <w14:solidFill>
              <w14:schemeClr w14:val="tx1"/>
            </w14:solidFill>
          </w14:textFill>
        </w:rPr>
      </w:r>
      <w:r/>
    </w:p>
    <w:p>
      <w:pPr>
        <w:jc w:val="center"/>
        <w:rPr>
          <w:rStyle w:val="1005"/>
          <w:rFonts w:ascii="黑体" w:hAnsi="黑体" w:eastAsia="黑体" w:cs="黑体"/>
          <w:color w:val="000000" w:themeColor="text1"/>
          <w:spacing w:val="20"/>
          <w:sz w:val="52"/>
          <w:szCs w:val="52"/>
          <w:highlight w:val="none"/>
          <w14:textFill>
            <w14:solidFill>
              <w14:schemeClr w14:val="tx1"/>
            </w14:solidFill>
          </w14:textFill>
        </w:rPr>
      </w:pPr>
      <w:r>
        <w:rPr>
          <w:rFonts w:hint="eastAsia" w:ascii="黑体" w:hAnsi="黑体" w:eastAsia="黑体" w:cs="黑体"/>
          <w:b/>
          <w:color w:val="000000" w:themeColor="text1"/>
          <w:sz w:val="72"/>
          <w:szCs w:val="72"/>
          <w:highlight w:val="none"/>
          <w14:textFill>
            <w14:solidFill>
              <w14:schemeClr w14:val="tx1"/>
            </w14:solidFill>
          </w14:textFill>
        </w:rPr>
        <w:t xml:space="preserve">公开招标文件</w:t>
      </w:r>
      <w:r/>
    </w:p>
    <w:p>
      <w:pPr>
        <w:jc w:val="center"/>
        <w:rPr>
          <w:rStyle w:val="1005"/>
          <w:rFonts w:ascii="宋体"/>
          <w:color w:val="000000" w:themeColor="text1"/>
          <w:sz w:val="30"/>
          <w:szCs w:val="30"/>
          <w:highlight w:val="none"/>
          <w14:textFill>
            <w14:solidFill>
              <w14:schemeClr w14:val="tx1"/>
            </w14:solidFill>
          </w14:textFill>
        </w:rPr>
      </w:pPr>
      <w:r>
        <w:rPr>
          <w:rFonts w:hint="eastAsia" w:eastAsia="黑体"/>
          <w:b/>
          <w:color w:val="000000" w:themeColor="text1"/>
          <w:sz w:val="28"/>
          <w:szCs w:val="28"/>
          <w:highlight w:val="none"/>
          <w14:textFill>
            <w14:solidFill>
              <w14:schemeClr w14:val="tx1"/>
            </w14:solidFill>
          </w14:textFill>
        </w:rPr>
        <w:t xml:space="preserve">（全流程电子化）</w:t>
      </w:r>
      <w:r/>
    </w:p>
    <w:p>
      <w:pPr>
        <w:jc w:val="center"/>
        <w:rPr>
          <w:rFonts w:eastAsia="黑体"/>
          <w:b/>
          <w:color w:val="000000" w:themeColor="text1"/>
          <w:sz w:val="28"/>
          <w:szCs w:val="28"/>
          <w:highlight w:val="none"/>
          <w14:textFill>
            <w14:solidFill>
              <w14:schemeClr w14:val="tx1"/>
            </w14:solidFill>
          </w14:textFill>
        </w:rPr>
      </w:pPr>
      <w:r>
        <w:rPr>
          <w:rFonts w:eastAsia="黑体"/>
          <w:b/>
          <w:color w:val="000000" w:themeColor="text1"/>
          <w:sz w:val="28"/>
          <w:szCs w:val="28"/>
          <w:highlight w:val="none"/>
          <w14:textFill>
            <w14:solidFill>
              <w14:schemeClr w14:val="tx1"/>
            </w14:solidFill>
          </w14:textFill>
        </w:rPr>
      </w:r>
      <w:r/>
    </w:p>
    <w:p>
      <w:pPr>
        <w:rPr>
          <w:rStyle w:val="1005"/>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r>
      <w:r/>
    </w:p>
    <w:p>
      <w:pPr>
        <w:spacing w:line="360" w:lineRule="auto"/>
        <w:rPr>
          <w:rStyle w:val="1005"/>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r>
      <w:r/>
    </w:p>
    <w:p>
      <w:pPr>
        <w:ind w:firstLine="412"/>
        <w:jc w:val="left"/>
        <w:spacing w:line="480" w:lineRule="auto"/>
        <w:rPr>
          <w:rStyle w:val="1005"/>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05"/>
          <w:rFonts w:hint="eastAsia" w:ascii="宋体" w:hAnsi="宋体" w:cs="宋体"/>
          <w:b/>
          <w:bCs/>
          <w:color w:val="000000" w:themeColor="text1"/>
          <w:sz w:val="28"/>
          <w:szCs w:val="28"/>
          <w:highlight w:val="none"/>
          <w14:textFill>
            <w14:solidFill>
              <w14:schemeClr w14:val="tx1"/>
            </w14:solidFill>
          </w14:textFill>
        </w:rPr>
        <w:t xml:space="preserve">采购项目编号：</w:t>
      </w:r>
      <w:r>
        <w:rPr>
          <w:rStyle w:val="1005"/>
          <w:rFonts w:hint="eastAsia" w:cs="宋体"/>
          <w:b/>
          <w:color w:val="000000" w:themeColor="text1"/>
          <w:sz w:val="28"/>
          <w:szCs w:val="28"/>
          <w:highlight w:val="none"/>
          <w:lang w:eastAsia="zh-CN"/>
          <w14:textFill>
            <w14:solidFill>
              <w14:schemeClr w14:val="tx1"/>
            </w14:solidFill>
          </w14:textFill>
        </w:rPr>
        <w:t xml:space="preserve">JSZC-320211-HYFW-G2026-0012</w:t>
      </w:r>
      <w:r/>
    </w:p>
    <w:p>
      <w:pPr>
        <w:ind w:firstLine="412"/>
        <w:jc w:val="left"/>
        <w:spacing w:line="480" w:lineRule="auto"/>
        <w:rPr>
          <w:rStyle w:val="1005"/>
          <w:rFonts w:ascii="宋体" w:hAnsi="宋体" w:cs="宋体"/>
          <w:b/>
          <w:bCs/>
          <w:color w:val="000000" w:themeColor="text1"/>
          <w:sz w:val="28"/>
          <w:szCs w:val="28"/>
          <w:highlight w:val="none"/>
          <w14:textFill>
            <w14:solidFill>
              <w14:schemeClr w14:val="tx1"/>
            </w14:solidFill>
          </w14:textFill>
        </w:rPr>
      </w:pPr>
      <w:r>
        <w:rPr>
          <w:rStyle w:val="1005"/>
          <w:rFonts w:hint="eastAsia" w:ascii="宋体" w:hAnsi="宋体" w:cs="宋体"/>
          <w:b/>
          <w:bCs/>
          <w:color w:val="000000" w:themeColor="text1"/>
          <w:sz w:val="28"/>
          <w:szCs w:val="28"/>
          <w:highlight w:val="none"/>
          <w14:textFill>
            <w14:solidFill>
              <w14:schemeClr w14:val="tx1"/>
            </w14:solidFill>
          </w14:textFill>
        </w:rPr>
        <w:t xml:space="preserve">采购项目名称：滨湖区渔政指挥调度中心视频监控扩容项目</w:t>
      </w:r>
      <w:r/>
    </w:p>
    <w:p>
      <w:pPr>
        <w:ind w:firstLine="412"/>
        <w:jc w:val="left"/>
        <w:spacing w:line="480" w:lineRule="auto"/>
        <w:rPr>
          <w:rStyle w:val="1005"/>
          <w:rFonts w:ascii="宋体" w:hAnsi="宋体" w:cs="宋体"/>
          <w:b/>
          <w:bCs/>
          <w:color w:val="000000" w:themeColor="text1"/>
          <w:sz w:val="28"/>
          <w:szCs w:val="28"/>
          <w:highlight w:val="none"/>
          <w14:textFill>
            <w14:solidFill>
              <w14:schemeClr w14:val="tx1"/>
            </w14:solidFill>
          </w14:textFill>
        </w:rPr>
      </w:pPr>
      <w:r>
        <w:rPr>
          <w:rStyle w:val="1005"/>
          <w:rFonts w:hint="eastAsia" w:ascii="宋体" w:hAnsi="宋体" w:cs="宋体"/>
          <w:b/>
          <w:bCs/>
          <w:color w:val="000000" w:themeColor="text1"/>
          <w:sz w:val="28"/>
          <w:szCs w:val="28"/>
          <w:highlight w:val="none"/>
          <w14:textFill>
            <w14:solidFill>
              <w14:schemeClr w14:val="tx1"/>
            </w14:solidFill>
          </w14:textFill>
        </w:rPr>
        <w:t xml:space="preserve">采购单位：</w:t>
      </w:r>
      <w:r>
        <w:rPr>
          <w:rStyle w:val="1005"/>
          <w:rFonts w:hint="eastAsia" w:cs="宋体"/>
          <w:b/>
          <w:color w:val="000000" w:themeColor="text1"/>
          <w:sz w:val="28"/>
          <w:szCs w:val="28"/>
          <w:highlight w:val="none"/>
          <w14:textFill>
            <w14:solidFill>
              <w14:schemeClr w14:val="tx1"/>
            </w14:solidFill>
          </w14:textFill>
        </w:rPr>
        <w:t xml:space="preserve">无锡市滨湖区农业农村局</w:t>
      </w:r>
      <w:r/>
    </w:p>
    <w:p>
      <w:pPr>
        <w:ind w:firstLine="412"/>
        <w:jc w:val="left"/>
        <w:spacing w:line="480" w:lineRule="auto"/>
        <w:rPr>
          <w:rStyle w:val="1005"/>
          <w:rFonts w:ascii="宋体" w:hAnsi="宋体" w:cs="宋体"/>
          <w:b/>
          <w:bCs/>
          <w:color w:val="000000" w:themeColor="text1"/>
          <w:sz w:val="28"/>
          <w:szCs w:val="28"/>
          <w:highlight w:val="none"/>
          <w14:textFill>
            <w14:solidFill>
              <w14:schemeClr w14:val="tx1"/>
            </w14:solidFill>
          </w14:textFill>
        </w:rPr>
      </w:pPr>
      <w:r>
        <w:rPr>
          <w:rStyle w:val="1005"/>
          <w:rFonts w:hint="eastAsia" w:ascii="宋体" w:hAnsi="宋体" w:cs="宋体"/>
          <w:b/>
          <w:bCs/>
          <w:color w:val="000000" w:themeColor="text1"/>
          <w:sz w:val="28"/>
          <w:szCs w:val="28"/>
          <w:highlight w:val="none"/>
          <w14:textFill>
            <w14:solidFill>
              <w14:schemeClr w14:val="tx1"/>
            </w14:solidFill>
          </w14:textFill>
        </w:rPr>
        <w:t xml:space="preserve">代理机构：无锡浩源招投标咨询服务有限公司 </w:t>
      </w:r>
      <w:r/>
    </w:p>
    <w:p>
      <w:pPr>
        <w:spacing w:line="360" w:lineRule="auto"/>
        <w:rPr>
          <w:rStyle w:val="1005"/>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r>
      <w:r/>
    </w:p>
    <w:p>
      <w:pPr>
        <w:rPr>
          <w:rStyle w:val="1005"/>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r>
      <w:r/>
    </w:p>
    <w:p>
      <w:pPr>
        <w:jc w:val="center"/>
        <w:spacing w:before="156" w:after="156" w:line="480" w:lineRule="auto"/>
        <w:rPr>
          <w:rFonts w:ascii="华文中宋" w:hAnsi="华文中宋" w:eastAsia="华文中宋"/>
          <w:b/>
          <w:bCs/>
          <w:color w:val="000000" w:themeColor="text1"/>
          <w:sz w:val="32"/>
          <w:szCs w:val="32"/>
          <w:highlight w:val="none"/>
          <w14:textFill>
            <w14:solidFill>
              <w14:schemeClr w14:val="tx1"/>
            </w14:solidFill>
          </w14:textFill>
        </w:rPr>
      </w:pPr>
      <w:r>
        <w:rPr>
          <w:rStyle w:val="1005"/>
          <w:rFonts w:hint="eastAsia" w:ascii="宋体" w:hAnsi="宋体" w:cs="宋体"/>
          <w:b/>
          <w:bCs/>
          <w:color w:val="000000" w:themeColor="text1"/>
          <w:sz w:val="44"/>
          <w:szCs w:val="44"/>
          <w:highlight w:val="none"/>
          <w14:textFill>
            <w14:solidFill>
              <w14:schemeClr w14:val="tx1"/>
            </w14:solidFill>
          </w14:textFill>
        </w:rPr>
        <w:t xml:space="preserve">二〇二六年</w:t>
      </w:r>
      <w:r>
        <w:rPr>
          <w:rStyle w:val="1005"/>
          <w:rFonts w:hint="eastAsia" w:ascii="宋体" w:hAnsi="宋体" w:cs="宋体"/>
          <w:b/>
          <w:bCs/>
          <w:color w:val="000000" w:themeColor="text1"/>
          <w:sz w:val="44"/>
          <w:szCs w:val="44"/>
          <w:highlight w:val="none"/>
          <w:lang w:val="en-US" w:eastAsia="zh-CN"/>
          <w14:textFill>
            <w14:solidFill>
              <w14:schemeClr w14:val="tx1"/>
            </w14:solidFill>
          </w14:textFill>
        </w:rPr>
        <w:t xml:space="preserve">十</w:t>
      </w:r>
      <w:r>
        <w:rPr>
          <w:rStyle w:val="1005"/>
          <w:rFonts w:hint="eastAsia" w:ascii="宋体" w:hAnsi="宋体" w:cs="宋体"/>
          <w:b/>
          <w:bCs/>
          <w:color w:val="000000" w:themeColor="text1"/>
          <w:sz w:val="44"/>
          <w:szCs w:val="44"/>
          <w:highlight w:val="none"/>
          <w14:textFill>
            <w14:solidFill>
              <w14:schemeClr w14:val="tx1"/>
            </w14:solidFill>
          </w14:textFill>
        </w:rPr>
        <w:t xml:space="preserve">月</w:t>
      </w:r>
      <w:r/>
    </w:p>
    <w:p>
      <w:pPr>
        <w:jc w:val="center"/>
        <w:rPr>
          <w:rStyle w:val="737"/>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rPr>
          <w:rStyle w:val="737"/>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rPr>
          <w:rStyle w:val="737"/>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rPr>
          <w:rStyle w:val="737"/>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rPr>
          <w:rStyle w:val="737"/>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jc w:val="center"/>
        <w:rPr>
          <w:rStyle w:val="737"/>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jc w:val="center"/>
        <w:rPr>
          <w:rStyle w:val="737"/>
          <w:rFonts w:eastAsia="黑体"/>
          <w:bCs/>
          <w:color w:val="000000" w:themeColor="text1"/>
          <w:sz w:val="48"/>
          <w:highlight w:val="none"/>
          <w14:textFill>
            <w14:solidFill>
              <w14:schemeClr w14:val="tx1"/>
            </w14:solidFill>
          </w14:textFill>
        </w:rPr>
      </w:pPr>
      <w:r>
        <w:rPr>
          <w:rStyle w:val="737"/>
          <w:rFonts w:hint="eastAsia" w:eastAsia="黑体"/>
          <w:bCs/>
          <w:color w:val="000000" w:themeColor="text1"/>
          <w:sz w:val="48"/>
          <w:highlight w:val="none"/>
          <w14:textFill>
            <w14:solidFill>
              <w14:schemeClr w14:val="tx1"/>
            </w14:solidFill>
          </w14:textFill>
        </w:rPr>
        <w:t xml:space="preserve">目     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一、投标邀请函-----------------------------------------(2)</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二、投标人须知-----------------------------------------(4)</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三、项目需求及有关说明--------------------------------(</w:t>
      </w:r>
      <w:r>
        <w:rPr>
          <w:rFonts w:hint="eastAsia" w:ascii="宋体" w:hAnsi="宋体"/>
          <w:bCs/>
          <w:color w:val="000000" w:themeColor="text1"/>
          <w:sz w:val="30"/>
          <w:szCs w:val="30"/>
          <w:highlight w:val="none"/>
          <w:lang w:val="en-US" w:eastAsia="zh-CN"/>
          <w14:textFill>
            <w14:solidFill>
              <w14:schemeClr w14:val="tx1"/>
            </w14:solidFill>
          </w14:textFill>
        </w:rPr>
        <w:t xml:space="preserve">21</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四、合同书（格式文本）--------------------------------(3</w:t>
      </w:r>
      <w:r>
        <w:rPr>
          <w:rFonts w:hint="eastAsia" w:ascii="宋体" w:hAnsi="宋体"/>
          <w:bCs/>
          <w:color w:val="000000" w:themeColor="text1"/>
          <w:sz w:val="30"/>
          <w:szCs w:val="30"/>
          <w:highlight w:val="none"/>
          <w:lang w:val="en-US" w:eastAsia="zh-CN"/>
          <w14:textFill>
            <w14:solidFill>
              <w14:schemeClr w14:val="tx1"/>
            </w14:solidFill>
          </w14:textFill>
        </w:rPr>
        <w:t xml:space="preserve">0</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五、投标文件格式--------------------------------------(3</w:t>
      </w:r>
      <w:r>
        <w:rPr>
          <w:rFonts w:hint="eastAsia" w:ascii="宋体" w:hAnsi="宋体"/>
          <w:bCs/>
          <w:color w:val="000000" w:themeColor="text1"/>
          <w:sz w:val="30"/>
          <w:szCs w:val="30"/>
          <w:highlight w:val="none"/>
          <w:lang w:val="en-US" w:eastAsia="zh-CN"/>
          <w14:textFill>
            <w14:solidFill>
              <w14:schemeClr w14:val="tx1"/>
            </w14:solidFill>
          </w14:textFill>
        </w:rPr>
        <w:t xml:space="preserve">3</w:t>
      </w:r>
      <w:r>
        <w:rPr>
          <w:rFonts w:hint="eastAsia" w:ascii="宋体" w:hAnsi="宋体"/>
          <w:bCs/>
          <w:color w:val="000000" w:themeColor="text1"/>
          <w:sz w:val="30"/>
          <w:szCs w:val="30"/>
          <w:highlight w:val="none"/>
          <w14:textFill>
            <w14:solidFill>
              <w14:schemeClr w14:val="tx1"/>
            </w14:solidFill>
          </w14:textFill>
        </w:rPr>
        <w:t xml:space="preserve">)</w:t>
      </w:r>
      <w:r/>
    </w:p>
    <w:p>
      <w:pPr>
        <w:spacing w:line="72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spacing w:line="48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0" w:name="报价方须知前附表"/>
      <w:r/>
      <w:bookmarkEnd w:id="0"/>
      <w:r>
        <w:rPr>
          <w:rFonts w:ascii="宋体" w:hAnsi="宋体"/>
          <w:bCs/>
          <w:color w:val="000000" w:themeColor="text1"/>
          <w:sz w:val="32"/>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我公司受无锡市滨湖区农业农村局委托，对滨湖区渔政指挥调度中心视频监控扩容项目进行公开招标，欢迎你单位参加投标并请注意下表中的相关事项：</w:t>
      </w:r>
      <w:r/>
    </w:p>
    <w:tbl>
      <w:tblPr>
        <w:tblStyle w:val="699"/>
        <w:tblW w:w="92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8591"/>
      </w:tblGrid>
      <w:tr>
        <w:trPr>
          <w:trHeight w:val="729"/>
        </w:trPr>
        <w:tc>
          <w:tcPr>
            <w:tcW w:w="691" w:type="dxa"/>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序号</w:t>
            </w:r>
            <w:r/>
          </w:p>
        </w:tc>
        <w:tc>
          <w:tcPr>
            <w:tcW w:w="85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内    容</w:t>
            </w:r>
            <w:r/>
          </w:p>
        </w:tc>
      </w:tr>
      <w:tr>
        <w:trPr>
          <w:trHeight w:val="542"/>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项目名称：滨湖区渔政指挥调度中心视频监控扩容项目</w:t>
            </w:r>
            <w:r/>
          </w:p>
          <w:p>
            <w:pPr>
              <w:spacing w:line="276" w:lineRule="auto"/>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编    号：</w:t>
            </w:r>
            <w:r>
              <w:rPr>
                <w:rFonts w:hint="eastAsia" w:ascii="宋体" w:hAnsi="宋体"/>
                <w:bCs/>
                <w:color w:val="000000" w:themeColor="text1"/>
                <w:szCs w:val="21"/>
                <w:highlight w:val="none"/>
                <w:lang w:eastAsia="zh-CN"/>
                <w14:textFill>
                  <w14:solidFill>
                    <w14:schemeClr w14:val="tx1"/>
                  </w14:solidFill>
                </w14:textFill>
              </w:rPr>
              <w:t xml:space="preserve">JSZC-320211-HYFW-G2026-0012</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 购 人：无锡市滨湖区农业农村局</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采购方式：公开招标</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服务期限：三年（自合同签订生效之日起）</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采购预算：135.95万元</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本项目是否专门面向中小企业采购：否</w:t>
            </w:r>
            <w:r/>
          </w:p>
          <w:p>
            <w:pPr>
              <w:spacing w:line="276" w:lineRule="auto"/>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标的行业：软件和信息技术服务业</w:t>
            </w:r>
            <w:r/>
          </w:p>
          <w:p>
            <w:pPr>
              <w:spacing w:line="276" w:lineRule="auto"/>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根据《中小企业划型标准规定》（工信部联企业</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2011</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300号）规定，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trHeight w:val="633"/>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采购代理机构：无锡浩源招投标咨询服务有限公司 </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地        址：无锡市太湖西大道2188号901-902室</w:t>
            </w:r>
            <w:r/>
          </w:p>
        </w:tc>
      </w:tr>
      <w:tr>
        <w:trPr>
          <w:trHeight w:val="1012"/>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p>
        </w:tc>
        <w:tc>
          <w:tcPr>
            <w:tcW w:w="8591" w:type="dxa"/>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投标人条件：供应商参加本次政府采购活动应当符合《中华人民共和国政府采购法》第二十二条的规定。</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注：本项目不接受联合体投标。</w:t>
            </w:r>
            <w:r/>
          </w:p>
        </w:tc>
      </w:tr>
      <w:tr>
        <w:trPr>
          <w:trHeight w:val="258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p>
        </w:tc>
        <w:tc>
          <w:tcPr>
            <w:tcW w:w="8591" w:type="dxa"/>
            <w:vAlign w:val="center"/>
            <w:textDirection w:val="lrTb"/>
            <w:noWrap w:val="false"/>
          </w:tcPr>
          <w:p>
            <w:pPr>
              <w:spacing w:line="276" w:lineRule="auto"/>
              <w:rPr>
                <w:rFonts w:hAnsi="宋体"/>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招标文件获取信息：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获取招标文件方式：投标人登录苏采云平台（http://jszfcg.jsczt.cn/jszc/login?）中免费下载公开招标文件（“项目参与”——“采购项目”找到需要获取采购文件的项目，点击“我要参与”——“参与投标”——“下载文件”</w:t>
            </w:r>
            <w:r>
              <w:rPr>
                <w:bCs/>
                <w:color w:val="000000" w:themeColor="text1"/>
                <w:szCs w:val="21"/>
                <w:highlight w:val="none"/>
                <w14:textFill>
                  <w14:solidFill>
                    <w14:schemeClr w14:val="tx1"/>
                  </w14:solidFill>
                </w14:textFill>
              </w:rPr>
              <w:t xml:space="preserve">，完成项目参与</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将苏采云平台中下载的采购文件（后缀名为“.kedt”）导入到“政府采购客户端”，离线按要求编制并加密响应文件（使用“CA数字证书”），导出加密的投标文件（后缀名为zip，不得超过150M）并在苏采云平台上传该加密的响应文件，对</w:t>
            </w:r>
            <w:r>
              <w:rPr>
                <w:rFonts w:hint="eastAsia" w:ascii="宋体" w:hAnsi="宋体"/>
                <w:bCs/>
                <w:color w:val="000000" w:themeColor="text1"/>
                <w:szCs w:val="21"/>
                <w:highlight w:val="none"/>
                <w14:textFill>
                  <w14:solidFill>
                    <w14:schemeClr w14:val="tx1"/>
                  </w14:solidFill>
                </w14:textFill>
              </w:rPr>
              <w:t xml:space="preserve">招</w:t>
            </w:r>
            <w:r>
              <w:rPr>
                <w:rFonts w:ascii="宋体" w:hAnsi="宋体"/>
                <w:bCs/>
                <w:color w:val="000000" w:themeColor="text1"/>
                <w:szCs w:val="21"/>
                <w:highlight w:val="none"/>
                <w14:textFill>
                  <w14:solidFill>
                    <w14:schemeClr w14:val="tx1"/>
                  </w14:solidFill>
                </w14:textFill>
              </w:rPr>
              <w:t xml:space="preserve">标文件各项内容作出实质性响应，否则其响应文件无效。</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）招标文件获取时间：自招标文件公告发布之日起5个工作日</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（3）招标文件获取地点：网上获取</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"http://jszfcg.jsczt.cn/jszc/login" \o "http://jszfcg.jsczt.cn/jszc/login" </w:instrText>
            </w:r>
            <w:r>
              <w:rPr>
                <w:color w:val="000000" w:themeColor="text1"/>
                <w:highlight w:val="none"/>
                <w14:textFill>
                  <w14:solidFill>
                    <w14:schemeClr w14:val="tx1"/>
                  </w14:solidFill>
                </w14:textFill>
              </w:rPr>
              <w:fldChar w:fldCharType="separate"/>
            </w:r>
            <w:r>
              <w:rPr>
                <w:rStyle w:val="739"/>
                <w:rFonts w:hint="eastAsia"/>
                <w:bCs/>
                <w:color w:val="000000" w:themeColor="text1"/>
                <w:szCs w:val="21"/>
                <w:highlight w:val="none"/>
                <w14:textFill>
                  <w14:solidFill>
                    <w14:schemeClr w14:val="tx1"/>
                  </w14:solidFill>
                </w14:textFill>
              </w:rPr>
              <w:t xml:space="preserve">http://jszfcg.jsczt.cn/jszc/login</w:t>
            </w:r>
            <w:r>
              <w:rPr>
                <w:rStyle w:val="739"/>
                <w:rFonts w:hint="eastAsia"/>
                <w:bCs/>
                <w:color w:val="000000" w:themeColor="text1"/>
                <w:szCs w:val="21"/>
                <w:highlight w:val="none"/>
                <w14:textFill>
                  <w14:solidFill>
                    <w14:schemeClr w14:val="tx1"/>
                  </w14:solidFill>
                </w14:textFill>
              </w:rPr>
              <w:fldChar w:fldCharType="end"/>
            </w:r>
            <w:r>
              <w:rPr>
                <w:rFonts w:hint="eastAsia"/>
                <w:bCs/>
                <w:color w:val="000000" w:themeColor="text1"/>
                <w:szCs w:val="21"/>
                <w:highlight w:val="none"/>
                <w14:textFill>
                  <w14:solidFill>
                    <w14:schemeClr w14:val="tx1"/>
                  </w14:solidFill>
                </w14:textFill>
              </w:rPr>
              <w:t xml:space="preserve">?)</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投标人应承担其编制投标文件以及递交投标文件所涉及的一切费用，采购人对上述费用不负任何责任。</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说明：投标人须完成</w:t>
            </w:r>
            <w:r>
              <w:rPr>
                <w:rFonts w:hint="eastAsia"/>
                <w:bCs/>
                <w:color w:val="000000" w:themeColor="text1"/>
                <w:szCs w:val="21"/>
                <w:highlight w:val="none"/>
                <w14:textFill>
                  <w14:solidFill>
                    <w14:schemeClr w14:val="tx1"/>
                  </w14:solidFill>
                </w14:textFill>
              </w:rPr>
              <w:t xml:space="preserve">主体信息库注册和网上</w:t>
            </w:r>
            <w:r>
              <w:rPr>
                <w:rFonts w:hint="eastAsia" w:ascii="宋体" w:hAnsi="宋体"/>
                <w:bCs/>
                <w:color w:val="000000" w:themeColor="text1"/>
                <w:szCs w:val="21"/>
                <w:highlight w:val="none"/>
                <w14:textFill>
                  <w14:solidFill>
                    <w14:schemeClr w14:val="tx1"/>
                  </w14:solidFill>
                </w14:textFill>
              </w:rPr>
              <w:t xml:space="preserve">报名，方可按要求制作、上传投标文件，对投标文件各项内容作出实质性响应，否则投标无效。</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本项目线上答疑</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提疑截止时间：2026年</w:t>
            </w:r>
            <w:r>
              <w:rPr>
                <w:rFonts w:hint="eastAsia"/>
                <w:bCs/>
                <w:color w:val="000000" w:themeColor="text1"/>
                <w:szCs w:val="21"/>
                <w:highlight w:val="none"/>
                <w:lang w:val="en-US" w:eastAsia="zh-CN"/>
                <w14:textFill>
                  <w14:solidFill>
                    <w14:schemeClr w14:val="tx1"/>
                  </w14:solidFill>
                </w14:textFill>
              </w:rPr>
              <w:t xml:space="preserve">11</w:t>
            </w:r>
            <w:r>
              <w:rPr>
                <w:rFonts w:hint="eastAsia"/>
                <w:bCs/>
                <w:color w:val="000000" w:themeColor="text1"/>
                <w:szCs w:val="21"/>
                <w:highlight w:val="none"/>
                <w14:textFill>
                  <w14:solidFill>
                    <w14:schemeClr w14:val="tx1"/>
                  </w14:solidFill>
                </w14:textFill>
              </w:rPr>
              <w:t xml:space="preserve">月</w:t>
            </w:r>
            <w:r>
              <w:rPr>
                <w:rFonts w:hint="eastAsia"/>
                <w:bCs/>
                <w:color w:val="000000" w:themeColor="text1"/>
                <w:szCs w:val="21"/>
                <w:highlight w:val="none"/>
                <w:lang w:val="en-US" w:eastAsia="zh-CN"/>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日17:00，以书面形式（含电子邮件）发送给</w:t>
            </w:r>
            <w:r>
              <w:rPr>
                <w:rFonts w:ascii="SimSun" w:hAnsi="SimSun" w:eastAsia="SimSun" w:cs="SimSun"/>
                <w:color w:val="000000"/>
                <w:sz w:val="21"/>
                <w:highlight w:val="none"/>
              </w:rPr>
              <w:t xml:space="preserve">采购代理机构</w:t>
            </w:r>
            <w:r>
              <w:rPr>
                <w:rFonts w:hint="eastAsia"/>
                <w:bCs/>
                <w:color w:val="000000" w:themeColor="text1"/>
                <w:szCs w:val="21"/>
                <w:highlight w:val="none"/>
                <w14:textFill>
                  <w14:solidFill>
                    <w14:schemeClr w14:val="tx1"/>
                  </w14:solidFill>
                </w14:textFill>
              </w:rPr>
              <w:t xml:space="preserve">；</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答疑时间：2026年</w:t>
            </w:r>
            <w:r>
              <w:rPr>
                <w:rFonts w:hint="eastAsia"/>
                <w:bCs/>
                <w:color w:val="000000" w:themeColor="text1"/>
                <w:szCs w:val="21"/>
                <w:highlight w:val="none"/>
                <w:lang w:val="en-US" w:eastAsia="zh-CN"/>
                <w14:textFill>
                  <w14:solidFill>
                    <w14:schemeClr w14:val="tx1"/>
                  </w14:solidFill>
                </w14:textFill>
              </w:rPr>
              <w:t xml:space="preserve">11</w:t>
            </w:r>
            <w:r>
              <w:rPr>
                <w:rFonts w:hint="eastAsia"/>
                <w:bCs/>
                <w:color w:val="000000" w:themeColor="text1"/>
                <w:szCs w:val="21"/>
                <w:highlight w:val="none"/>
                <w14:textFill>
                  <w14:solidFill>
                    <w14:schemeClr w14:val="tx1"/>
                  </w14:solidFill>
                </w14:textFill>
              </w:rPr>
              <w:t xml:space="preserve">月</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日，以书面形式（含电子邮件）回发给投标人。</w:t>
            </w:r>
            <w:r/>
          </w:p>
        </w:tc>
      </w:tr>
      <w:tr>
        <w:trPr>
          <w:trHeight w:val="30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投标保证金：无</w:t>
            </w:r>
            <w:r/>
          </w:p>
        </w:tc>
      </w:tr>
      <w:tr>
        <w:trPr>
          <w:trHeight w:val="16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投标有效期：提交投标文件的截止之日起90天</w:t>
            </w:r>
            <w:r/>
          </w:p>
        </w:tc>
      </w:tr>
      <w:tr>
        <w:trPr>
          <w:trHeight w:val="56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投标文件的提交方式和地点：投标人通过苏采云平台提交数据电文形式的投标文件。</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投标文件的开启方式和地点：投标人通过苏采云平台进入“开标大厅”开启（解密）投标文件。推荐使用谷歌浏览器，参与苏采云平台线上不见面开标。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网上投标截止时间：</w:t>
            </w:r>
            <w:r>
              <w:rPr>
                <w:rFonts w:hint="eastAsia"/>
                <w:bCs/>
                <w:color w:val="000000" w:themeColor="text1"/>
                <w:szCs w:val="21"/>
                <w:highlight w:val="none"/>
                <w:lang w:eastAsia="zh-CN"/>
                <w14:textFill>
                  <w14:solidFill>
                    <w14:schemeClr w14:val="tx1"/>
                  </w14:solidFill>
                </w14:textFill>
              </w:rPr>
              <w:t xml:space="preserve">2026年11月16日</w:t>
            </w:r>
            <w:r>
              <w:rPr>
                <w:rFonts w:hint="eastAsia"/>
                <w:bCs/>
                <w:color w:val="000000" w:themeColor="text1"/>
                <w:szCs w:val="21"/>
                <w:highlight w:val="none"/>
                <w14:textFill>
                  <w14:solidFill>
                    <w14:schemeClr w14:val="tx1"/>
                  </w14:solidFill>
                </w14:textFill>
              </w:rPr>
              <w:t xml:space="preserve">1</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0截止（截止期后的投标文件恕不接受）；</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网上投标解密时间：</w:t>
            </w:r>
            <w:r>
              <w:rPr>
                <w:rFonts w:hint="eastAsia"/>
                <w:bCs/>
                <w:color w:val="000000" w:themeColor="text1"/>
                <w:szCs w:val="21"/>
                <w:highlight w:val="none"/>
                <w:lang w:eastAsia="zh-CN"/>
                <w14:textFill>
                  <w14:solidFill>
                    <w14:schemeClr w14:val="tx1"/>
                  </w14:solidFill>
                </w14:textFill>
              </w:rPr>
              <w:t xml:space="preserve">2026年11月16日</w:t>
            </w:r>
            <w:r>
              <w:rPr>
                <w:rFonts w:hint="eastAsia"/>
                <w:bCs/>
                <w:color w:val="000000" w:themeColor="text1"/>
                <w:szCs w:val="21"/>
                <w:highlight w:val="none"/>
                <w14:textFill>
                  <w14:solidFill>
                    <w14:schemeClr w14:val="tx1"/>
                  </w14:solidFill>
                </w14:textFill>
              </w:rPr>
              <w:t xml:space="preserve">开启解密后半小时；</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开标时间：</w:t>
            </w:r>
            <w:r>
              <w:rPr>
                <w:rFonts w:hint="eastAsia"/>
                <w:bCs/>
                <w:color w:val="000000" w:themeColor="text1"/>
                <w:szCs w:val="21"/>
                <w:highlight w:val="none"/>
                <w:lang w:eastAsia="zh-CN"/>
                <w14:textFill>
                  <w14:solidFill>
                    <w14:schemeClr w14:val="tx1"/>
                  </w14:solidFill>
                </w14:textFill>
              </w:rPr>
              <w:t xml:space="preserve">2026年11月16日</w:t>
            </w:r>
            <w:r>
              <w:rPr>
                <w:rFonts w:hint="eastAsia"/>
                <w:bCs/>
                <w:color w:val="000000" w:themeColor="text1"/>
                <w:szCs w:val="21"/>
                <w:highlight w:val="none"/>
                <w14:textFill>
                  <w14:solidFill>
                    <w14:schemeClr w14:val="tx1"/>
                  </w14:solidFill>
                </w14:textFill>
              </w:rPr>
              <w:t xml:space="preserve">1</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开标地点：无锡市滨湖区公共资源交易中心二楼开标室（无锡市滨湖区隐秀路152号)</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评标时间：</w:t>
            </w:r>
            <w:r>
              <w:rPr>
                <w:rFonts w:hint="eastAsia"/>
                <w:bCs/>
                <w:color w:val="000000" w:themeColor="text1"/>
                <w:szCs w:val="21"/>
                <w:highlight w:val="none"/>
                <w:lang w:eastAsia="zh-CN"/>
                <w14:textFill>
                  <w14:solidFill>
                    <w14:schemeClr w14:val="tx1"/>
                  </w14:solidFill>
                </w14:textFill>
              </w:rPr>
              <w:t xml:space="preserve">2026年11月16日</w:t>
            </w:r>
            <w:r>
              <w:rPr>
                <w:rFonts w:hint="eastAsia"/>
                <w:bCs/>
                <w:color w:val="000000" w:themeColor="text1"/>
                <w:szCs w:val="21"/>
                <w:highlight w:val="none"/>
                <w14:textFill>
                  <w14:solidFill>
                    <w14:schemeClr w14:val="tx1"/>
                  </w14:solidFill>
                </w14:textFill>
              </w:rPr>
              <w:t xml:space="preserve">1</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评标地点：无锡市滨湖区公共资源交易中心三楼评标室（无锡市滨湖区隐秀路152号）</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2.本次采购采用“江苏省政府采购（苏采云）平台”进行采购活动，采购文件发布、报价、评审和中标结果发布全程电子化。</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3.开标当天投标人无须到达开标现场，请被授权代表保持通信畅通。</w:t>
            </w:r>
            <w:r/>
          </w:p>
        </w:tc>
      </w:tr>
      <w:tr>
        <w:trPr>
          <w:cantSplit/>
          <w:trHeight w:val="63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有关本次政府采购活动程序方面的问题，可来人、来函（传真）或电话联系。</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采购人：无锡市滨湖区农业农村局</w:t>
            </w:r>
            <w:r/>
          </w:p>
          <w:p>
            <w:pPr>
              <w:jc w:val="left"/>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联系地址：无锡市金城西路500号</w:t>
            </w:r>
            <w:r/>
          </w:p>
          <w:p>
            <w:pPr>
              <w:spacing w:line="276" w:lineRule="auto"/>
              <w:widowControl/>
              <w:rPr>
                <w:bCs/>
                <w:color w:val="000000" w:themeColor="text1"/>
                <w:szCs w:val="21"/>
                <w:highlight w:val="none"/>
                <w14:textFill>
                  <w14:solidFill>
                    <w14:schemeClr w14:val="tx1"/>
                  </w14:solidFill>
                </w14:textFill>
              </w:rPr>
            </w:pPr>
            <w:r/>
            <w:bookmarkStart w:id="1" w:name="_Hlk21622344"/>
            <w:r>
              <w:rPr>
                <w:rFonts w:hint="eastAsia"/>
                <w:bCs/>
                <w:color w:val="000000" w:themeColor="text1"/>
                <w:szCs w:val="21"/>
                <w:highlight w:val="none"/>
                <w14:textFill>
                  <w14:solidFill>
                    <w14:schemeClr w14:val="tx1"/>
                  </w14:solidFill>
                </w14:textFill>
              </w:rPr>
              <w:t xml:space="preserve">联系人：冯郁</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联系电话：</w:t>
            </w:r>
            <w:bookmarkEnd w:id="1"/>
            <w:r>
              <w:rPr>
                <w:rFonts w:hint="eastAsia"/>
                <w:bCs/>
                <w:color w:val="000000" w:themeColor="text1"/>
                <w:szCs w:val="21"/>
                <w:highlight w:val="none"/>
                <w14:textFill>
                  <w14:solidFill>
                    <w14:schemeClr w14:val="tx1"/>
                  </w14:solidFill>
                </w14:textFill>
              </w:rPr>
              <w:t xml:space="preserve">0510-81173050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采购代理机构：无锡浩源招投标咨询服务有限公司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联系地址：无锡市太湖西大道2188号901-902室</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联系人：封维苑、孙加琛</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联系电话：0510-</w:t>
            </w:r>
            <w:r>
              <w:rPr>
                <w:bCs/>
                <w:color w:val="000000" w:themeColor="text1"/>
                <w:szCs w:val="21"/>
                <w:highlight w:val="none"/>
                <w14:textFill>
                  <w14:solidFill>
                    <w14:schemeClr w14:val="tx1"/>
                  </w14:solidFill>
                </w14:textFill>
              </w:rPr>
              <w:t xml:space="preserve">85011990</w:t>
            </w:r>
            <w:r>
              <w:rPr>
                <w:rFonts w:hint="eastAsia"/>
                <w:bCs/>
                <w:color w:val="000000" w:themeColor="text1"/>
                <w:szCs w:val="21"/>
                <w:highlight w:val="none"/>
                <w14:textFill>
                  <w14:solidFill>
                    <w14:schemeClr w14:val="tx1"/>
                  </w14:solidFill>
                </w14:textFill>
              </w:rPr>
              <w:t xml:space="preserve">、18051937382</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电子邮件地址：htztb</w:t>
            </w:r>
            <w:r>
              <w:rPr>
                <w:bCs/>
                <w:color w:val="000000" w:themeColor="text1"/>
                <w:szCs w:val="21"/>
                <w:highlight w:val="none"/>
                <w14:textFill>
                  <w14:solidFill>
                    <w14:schemeClr w14:val="tx1"/>
                  </w14:solidFill>
                </w14:textFill>
              </w:rPr>
              <w:t xml:space="preserve">2016@163.com</w:t>
            </w:r>
            <w:r/>
          </w:p>
        </w:tc>
      </w:tr>
      <w:tr>
        <w:trPr>
          <w:cantSplit/>
          <w:trHeight w:val="63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投标人主体信息库注册：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1.请有意参加本项目投标的供应商按以下流程进行操作：</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（1）访问“江苏省政府采购（苏采云）平台”—“用户注册”按钮进入注册界面，也可以直接通过http://jszfcg.jsczt.cn/jszc/login？进入注册界面。</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（2）办理并领取CA和电子签章（办理地址：</w:t>
            </w:r>
            <w:r>
              <w:rPr>
                <w:bCs/>
                <w:color w:val="000000" w:themeColor="text1"/>
                <w:szCs w:val="21"/>
                <w:highlight w:val="none"/>
                <w14:textFill>
                  <w14:solidFill>
                    <w14:schemeClr w14:val="tx1"/>
                  </w14:solidFill>
                </w14:textFill>
              </w:rPr>
              <w:t xml:space="preserve">无锡市观山路市民中心12号楼2楼公共资源交易大厅9号10号窗口</w:t>
            </w:r>
            <w:r>
              <w:rPr>
                <w:rFonts w:hint="eastAsia"/>
                <w:bCs/>
                <w:color w:val="000000" w:themeColor="text1"/>
                <w:szCs w:val="21"/>
                <w:highlight w:val="none"/>
                <w14:textFill>
                  <w14:solidFill>
                    <w14:schemeClr w14:val="tx1"/>
                  </w14:solidFill>
                </w14:textFill>
              </w:rPr>
              <w:t xml:space="preserve">）。</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（3）“苏采云”系统供应商操作手册链接：</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（4）CA驱动下载链接（政务CA方正签章控件驱动）：</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技术服务QQ：3071474382（服务时间：工作日9:00-17:00）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（服务时间：工作日9:00-17:00）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2.完成注册的供应商方可绑定CA，并使用CA登录苏采云平台，参与项目，上传投标文件，进行投标。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3.如投标人未按上述要求操作，由此所产生的损失及风险由投标人自行承担。</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4.有关本次招标的事项若存在变动或修改，敬请及时关注江苏政府采购网发布的信息更正公告。如潜在投标人未按上述要求操作，由此所产生的损失及风险由潜在投标人自行承担。</w:t>
            </w:r>
            <w:r/>
          </w:p>
        </w:tc>
      </w:tr>
    </w:tbl>
    <w:p>
      <w:pPr>
        <w:jc w:val="center"/>
        <w:spacing w:line="490" w:lineRule="exact"/>
        <w:rPr>
          <w:rFonts w:ascii="黑体" w:eastAsia="黑体"/>
          <w:bCs/>
          <w:color w:val="000000" w:themeColor="text1"/>
          <w:sz w:val="28"/>
          <w:szCs w:val="28"/>
          <w:highlight w:val="none"/>
          <w14:textFill>
            <w14:solidFill>
              <w14:schemeClr w14:val="tx1"/>
            </w14:solidFill>
          </w14:textFill>
        </w:rPr>
      </w:pPr>
      <w:r/>
      <w:bookmarkStart w:id="2" w:name="二．报价方须知"/>
      <w:r/>
      <w:bookmarkEnd w:id="2"/>
      <w:r/>
      <w:r/>
    </w:p>
    <w:p>
      <w:pPr>
        <w:jc w:val="center"/>
        <w:spacing w:line="49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二、投标人须知</w:t>
      </w:r>
      <w:r/>
    </w:p>
    <w:p>
      <w:pPr>
        <w:ind w:firstLine="420"/>
        <w:spacing w:line="360" w:lineRule="auto"/>
        <w:tabs>
          <w:tab w:val="left" w:pos="735" w:leader="none"/>
        </w:tabs>
        <w:rPr>
          <w:rFonts w:ascii="黑体" w:hAnsi="宋体" w:eastAsia="黑体"/>
          <w:bCs/>
          <w:color w:val="000000" w:themeColor="text1"/>
          <w:sz w:val="24"/>
          <w:szCs w:val="24"/>
          <w:highlight w:val="none"/>
          <w14:textFill>
            <w14:solidFill>
              <w14:schemeClr w14:val="tx1"/>
            </w14:solidFill>
          </w14:textFill>
        </w:rPr>
      </w:pPr>
      <w:r/>
      <w:bookmarkStart w:id="3" w:name="四．合同书"/>
      <w:r/>
      <w:bookmarkEnd w:id="3"/>
      <w:r/>
      <w:bookmarkStart w:id="4" w:name="三．项目技术配置和有关说明"/>
      <w:r/>
      <w:bookmarkEnd w:id="4"/>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20"/>
        <w:spacing w:line="360" w:lineRule="auto"/>
        <w:tabs>
          <w:tab w:val="left" w:pos="73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（二）招标文件</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1.招标文件包括本文件目录所列全部内容，投标人应仔细阅读，并在投标文件中充分反映招标文件的所有要求；</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2.投标人应在投标邀请函规定的地点及方式获取招标文件及有关资料，按要求制作、上传投标文件，对招标文件各项内容作出实质性响应，否则投标无效；</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3.投标人一旦参加本项目投标，即表明承诺接受了本招标文件中的所有条件和规定；</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4.招标文件仅作为本次采购使用。</w:t>
      </w:r>
      <w:r/>
    </w:p>
    <w:p>
      <w:pPr>
        <w:ind w:left="-2" w:firstLine="420"/>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 招标文件的解释</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1.投标人如有需要对投标文件要求澄清的问题，于“投标邀请函”第5项规定的时间前以电子邮件形式（</w:t>
      </w:r>
      <w:r>
        <w:rPr>
          <w:color w:val="000000" w:themeColor="text1"/>
          <w:highlight w:val="none"/>
          <w14:textFill>
            <w14:solidFill>
              <w14:schemeClr w14:val="tx1"/>
            </w14:solidFill>
          </w14:textFill>
        </w:rPr>
        <w:t xml:space="preserve">htztb2016@163.com</w:t>
      </w:r>
      <w:r>
        <w:rPr>
          <w:rFonts w:hint="eastAsia" w:ascii="宋体" w:hAnsi="宋体"/>
          <w:bCs/>
          <w:color w:val="000000" w:themeColor="text1"/>
          <w:sz w:val="24"/>
          <w:szCs w:val="24"/>
          <w:highlight w:val="none"/>
          <w14:textFill>
            <w14:solidFill>
              <w14:schemeClr w14:val="tx1"/>
            </w14:solidFill>
          </w14:textFill>
        </w:rPr>
        <w:t xml:space="preserve">）发送至无锡浩源招投标咨询服务有限公司。</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2.本文件的最终解释权归采购人。</w:t>
      </w:r>
      <w:r/>
    </w:p>
    <w:p>
      <w:pPr>
        <w:ind w:left="-2" w:firstLine="42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（四） 招标文件的</w:t>
      </w:r>
      <w:r>
        <w:rPr>
          <w:rFonts w:hint="eastAsia" w:ascii="黑体" w:hAnsi="黑体" w:eastAsia="黑体"/>
          <w:bCs/>
          <w:color w:val="000000" w:themeColor="text1"/>
          <w:sz w:val="24"/>
          <w:szCs w:val="24"/>
          <w:highlight w:val="none"/>
          <w14:textFill>
            <w14:solidFill>
              <w14:schemeClr w14:val="tx1"/>
            </w14:solidFill>
          </w14:textFill>
        </w:rPr>
        <w:t xml:space="preserve">澄清或修改</w:t>
      </w:r>
      <w:r/>
    </w:p>
    <w:p>
      <w:pPr>
        <w:ind w:firstLine="523"/>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1.采购人或者采购代理机构可以对已发出的招标文件进行必要的澄清或者修改，</w:t>
      </w:r>
      <w:r>
        <w:rPr>
          <w:rStyle w:val="1005"/>
          <w:rFonts w:hint="eastAsia" w:ascii="宋体" w:hAnsi="宋体" w:cs="宋体"/>
          <w:color w:val="000000" w:themeColor="text1"/>
          <w:sz w:val="24"/>
          <w:szCs w:val="24"/>
          <w:highlight w:val="none"/>
          <w14:textFill>
            <w14:solidFill>
              <w14:schemeClr w14:val="tx1"/>
            </w14:solidFill>
          </w14:textFill>
        </w:rPr>
        <w:t xml:space="preserve">澄清或者修改将在原公告发布媒体上发布澄清公告。</w:t>
      </w:r>
      <w:r>
        <w:rPr>
          <w:bCs/>
          <w:color w:val="000000" w:themeColor="text1"/>
          <w:sz w:val="24"/>
          <w:szCs w:val="24"/>
          <w:highlight w:val="none"/>
          <w14:textFill>
            <w14:solidFill>
              <w14:schemeClr w14:val="tx1"/>
            </w14:solidFill>
          </w14:textFill>
        </w:rPr>
        <w:t xml:space="preserve">澄清或者修改的内容为招标文件的组成部分</w:t>
      </w:r>
      <w:r>
        <w:rPr>
          <w:rFonts w:hint="eastAsia"/>
          <w:bCs/>
          <w:color w:val="000000" w:themeColor="text1"/>
          <w:sz w:val="24"/>
          <w:szCs w:val="24"/>
          <w:highlight w:val="none"/>
          <w14:textFill>
            <w14:solidFill>
              <w14:schemeClr w14:val="tx1"/>
            </w14:solidFill>
          </w14:textFill>
        </w:rPr>
        <w:t xml:space="preserve">；</w:t>
      </w:r>
      <w:r/>
    </w:p>
    <w:p>
      <w:pPr>
        <w:ind w:firstLine="523"/>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2.澄清或者修改的内容如果影响投标文件编制的，采购代理机构将在投标截止时间至少15日前发布公告，并以书面形式通知所有获取招标文件的潜在投标</w:t>
      </w:r>
      <w:r>
        <w:rPr>
          <w:rFonts w:hint="eastAsia"/>
          <w:bCs/>
          <w:color w:val="000000" w:themeColor="text1"/>
          <w:sz w:val="24"/>
          <w:szCs w:val="24"/>
          <w:highlight w:val="none"/>
          <w14:textFill>
            <w14:solidFill>
              <w14:schemeClr w14:val="tx1"/>
            </w14:solidFill>
          </w14:textFill>
        </w:rPr>
        <w:t xml:space="preserve">人</w:t>
      </w:r>
      <w:r>
        <w:rPr>
          <w:bCs/>
          <w:color w:val="000000" w:themeColor="text1"/>
          <w:sz w:val="24"/>
          <w:szCs w:val="24"/>
          <w:highlight w:val="none"/>
          <w14:textFill>
            <w14:solidFill>
              <w14:schemeClr w14:val="tx1"/>
            </w14:solidFill>
          </w14:textFill>
        </w:rPr>
        <w:t xml:space="preserve">；不足15日的，采购代理机构将顺延提交投标文件的截止时间；</w:t>
      </w:r>
      <w:r/>
    </w:p>
    <w:p>
      <w:pPr>
        <w:ind w:firstLine="523"/>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3.请招标文件的收受人收到采购代理机构的书面通知后，于投标截止日前书面回函（传真件）采购代理机构，传真：0510-</w:t>
      </w:r>
      <w:r>
        <w:rPr>
          <w:rFonts w:hint="eastAsia"/>
          <w:bCs/>
          <w:color w:val="000000" w:themeColor="text1"/>
          <w:sz w:val="24"/>
          <w:szCs w:val="24"/>
          <w:highlight w:val="none"/>
          <w14:textFill>
            <w14:solidFill>
              <w14:schemeClr w14:val="tx1"/>
            </w14:solidFill>
          </w14:textFill>
        </w:rPr>
        <w:t xml:space="preserve">85011990</w:t>
      </w:r>
      <w:r>
        <w:rPr>
          <w:bCs/>
          <w:color w:val="000000" w:themeColor="text1"/>
          <w:sz w:val="24"/>
          <w:szCs w:val="24"/>
          <w:highlight w:val="none"/>
          <w14:textFill>
            <w14:solidFill>
              <w14:schemeClr w14:val="tx1"/>
            </w14:solidFill>
          </w14:textFill>
        </w:rPr>
        <w:t xml:space="preserve">，逾期不回视同收到此书面通知。因投标</w:t>
      </w:r>
      <w:r>
        <w:rPr>
          <w:rFonts w:hint="eastAsia"/>
          <w:bCs/>
          <w:color w:val="000000" w:themeColor="text1"/>
          <w:sz w:val="24"/>
          <w:szCs w:val="24"/>
          <w:highlight w:val="none"/>
          <w14:textFill>
            <w14:solidFill>
              <w14:schemeClr w14:val="tx1"/>
            </w14:solidFill>
          </w14:textFill>
        </w:rPr>
        <w:t xml:space="preserve">人</w:t>
      </w:r>
      <w:r>
        <w:rPr>
          <w:bCs/>
          <w:color w:val="000000" w:themeColor="text1"/>
          <w:sz w:val="24"/>
          <w:szCs w:val="24"/>
          <w:highlight w:val="none"/>
          <w14:textFill>
            <w14:solidFill>
              <w14:schemeClr w14:val="tx1"/>
            </w14:solidFill>
          </w14:textFill>
        </w:rPr>
        <w:t xml:space="preserve">未尽注意义务，未及时全面地关注澄清或修改内容导致其提交的投标材料不符合采购代理机构要求，而造成的损失及风险（包括但不限于未中标）由投标</w:t>
      </w:r>
      <w:r>
        <w:rPr>
          <w:rFonts w:hint="eastAsia"/>
          <w:bCs/>
          <w:color w:val="000000" w:themeColor="text1"/>
          <w:sz w:val="24"/>
          <w:szCs w:val="24"/>
          <w:highlight w:val="none"/>
          <w14:textFill>
            <w14:solidFill>
              <w14:schemeClr w14:val="tx1"/>
            </w14:solidFill>
          </w14:textFill>
        </w:rPr>
        <w:t xml:space="preserve">人</w:t>
      </w:r>
      <w:r>
        <w:rPr>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 投标文件的组成（相应内容以数据电文形式上传至苏采云平台）</w:t>
      </w:r>
      <w:r/>
    </w:p>
    <w:p>
      <w:pPr>
        <w:ind w:firstLine="480"/>
        <w:jc w:val="left"/>
        <w:spacing w:line="360" w:lineRule="auto"/>
        <w:rPr>
          <w:color w:val="000000" w:themeColor="text1"/>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1.投标函（</w:t>
      </w:r>
      <w:r>
        <w:rPr>
          <w:rStyle w:val="1005"/>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（1）关于资格的声明函（</w:t>
      </w:r>
      <w:r>
        <w:rPr>
          <w:rStyle w:val="1005"/>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投标人有效期内的营业执照复印件和扫描件，如投标人是被授权的分支机构还须另行提供出具授权书的企业法人有效期内的营业执照复印件或扫描件</w:t>
      </w:r>
      <w:r>
        <w:rPr>
          <w:rFonts w:hint="eastAsia" w:ascii="宋体" w:hAnsi="宋体"/>
          <w:b/>
          <w:bCs/>
          <w:color w:val="000000" w:themeColor="text1"/>
          <w:sz w:val="24"/>
          <w:szCs w:val="24"/>
          <w:highlight w:val="none"/>
          <w14:textFill>
            <w14:solidFill>
              <w14:schemeClr w14:val="tx1"/>
            </w14:solidFill>
          </w14:textFill>
        </w:rPr>
        <w:t xml:space="preserve">（投标人和投标人总公司的营业执照复印件或扫描件均须加盖各自公章）；</w:t>
      </w:r>
      <w:r/>
    </w:p>
    <w:p>
      <w:pPr>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（3）委托投标授权书</w:t>
      </w:r>
      <w:r>
        <w:rPr>
          <w:rFonts w:hint="eastAsia" w:ascii="Arial" w:hAnsi="Arial" w:cs="Arial"/>
          <w:b/>
          <w:bCs/>
          <w:color w:val="000000" w:themeColor="text1"/>
          <w:sz w:val="24"/>
          <w:szCs w:val="24"/>
          <w:highlight w:val="none"/>
          <w14:textFill>
            <w14:solidFill>
              <w14:schemeClr w14:val="tx1"/>
            </w14:solidFill>
          </w14:textFill>
        </w:rPr>
        <w:t xml:space="preserve">并</w:t>
      </w:r>
      <w:r>
        <w:rPr>
          <w:rFonts w:ascii="Arial" w:hAnsi="Arial" w:cs="Arial"/>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（投标人为企业法人的除外，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b/>
          <w:bCs/>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投标人法定代表人授权委托书并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投标人如为分支机构的，请自行将</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“法定代表人”更改为“负责人”，如分支机构投标时涉及招标文件中“法定代表人”要求的部分，其具体要求视同本条规定）</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（5）投标人法定代表人身份证原件扫描件及</w:t>
      </w:r>
      <w:r>
        <w:rPr>
          <w:rFonts w:hint="eastAsia" w:ascii="宋体" w:hAnsi="宋体"/>
          <w:bCs/>
          <w:color w:val="000000" w:themeColor="text1"/>
          <w:sz w:val="24"/>
          <w:szCs w:val="24"/>
          <w:highlight w:val="none"/>
          <w14:textFill>
            <w14:solidFill>
              <w14:schemeClr w14:val="tx1"/>
            </w14:solidFill>
          </w14:textFill>
        </w:rPr>
        <w:t xml:space="preserve">被授权代表人身份证</w:t>
      </w:r>
      <w:r>
        <w:rPr>
          <w:rStyle w:val="1005"/>
          <w:rFonts w:hint="eastAsia" w:ascii="宋体" w:hAnsi="宋体" w:cs="宋体"/>
          <w:color w:val="000000" w:themeColor="text1"/>
          <w:sz w:val="24"/>
          <w:szCs w:val="24"/>
          <w:highlight w:val="none"/>
          <w14:textFill>
            <w14:solidFill>
              <w14:schemeClr w14:val="tx1"/>
            </w14:solidFill>
          </w14:textFill>
        </w:rPr>
        <w:t xml:space="preserve">原件扫描件</w:t>
      </w:r>
      <w:r>
        <w:rPr>
          <w:rFonts w:hint="eastAsia" w:ascii="宋体" w:hAnsi="宋体"/>
          <w:color w:val="000000" w:themeColor="text1"/>
          <w:sz w:val="24"/>
          <w:highlight w:val="none"/>
          <w14:textFill>
            <w14:solidFill>
              <w14:schemeClr w14:val="tx1"/>
            </w14:solidFill>
          </w14:textFill>
        </w:rPr>
        <w:t xml:space="preserve">（</w:t>
      </w:r>
      <w:r>
        <w:rPr>
          <w:rStyle w:val="1005"/>
          <w:rFonts w:hint="eastAsia"/>
          <w:b/>
          <w:color w:val="000000" w:themeColor="text1"/>
          <w:sz w:val="24"/>
          <w:szCs w:val="24"/>
          <w:highlight w:val="none"/>
          <w14:textFill>
            <w14:solidFill>
              <w14:schemeClr w14:val="tx1"/>
            </w14:solidFill>
          </w14:textFill>
        </w:rPr>
        <w:t xml:space="preserve">投标时必须提交有效身份证明，法定代表人亲自参与报价的不用提供被授权代表的身份证复印件</w:t>
      </w:r>
      <w:r>
        <w:rPr>
          <w:rFonts w:hint="eastAsia" w:ascii="宋体" w:hAnsi="宋体"/>
          <w:color w:val="000000" w:themeColor="text1"/>
          <w:sz w:val="24"/>
          <w:highlight w:val="none"/>
          <w14:textFill>
            <w14:solidFill>
              <w14:schemeClr w14:val="tx1"/>
            </w14:solidFill>
          </w14:textFill>
        </w:rPr>
        <w:t xml:space="preserve">）</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投标人近一年中任意一个月（不含投标当月）的纳税情况</w:t>
      </w:r>
      <w:bookmarkStart w:id="5" w:name="OLE_LINK11"/>
      <w:r/>
      <w:bookmarkStart w:id="6" w:name="OLE_LINK10"/>
      <w:r>
        <w:rPr>
          <w:rFonts w:hint="eastAsia" w:ascii="宋体" w:hAnsi="宋体"/>
          <w:bCs/>
          <w:color w:val="000000" w:themeColor="text1"/>
          <w:sz w:val="24"/>
          <w:szCs w:val="24"/>
          <w:highlight w:val="none"/>
          <w14:textFill>
            <w14:solidFill>
              <w14:schemeClr w14:val="tx1"/>
            </w14:solidFill>
          </w14:textFill>
        </w:rPr>
        <w:t xml:space="preserve">（不包括个人所得税、社会保险费）</w:t>
      </w:r>
      <w:bookmarkEnd w:id="5"/>
      <w:r/>
      <w:bookmarkEnd w:id="6"/>
      <w:r>
        <w:rPr>
          <w:rFonts w:hint="eastAsia" w:ascii="宋体" w:hAnsi="宋体"/>
          <w:bCs/>
          <w:color w:val="000000" w:themeColor="text1"/>
          <w:sz w:val="24"/>
          <w:szCs w:val="24"/>
          <w:highlight w:val="none"/>
          <w14:textFill>
            <w14:solidFill>
              <w14:schemeClr w14:val="tx1"/>
            </w14:solidFill>
          </w14:textFill>
        </w:rPr>
        <w:t xml:space="preserve">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rPr>
          <w:rStyle w:val="1005"/>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被授权代表由本企业缴纳的近一年中任意一个月（不含投标当月）的社会保险缴纳证明复印件或扫描件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（9）经第三方专业机构审计的2025年度的审计报告（所附的资产负债表、利润表），或近一年中任意一个月（不含投标当月）的财务报告（资产负债表、利润表）</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复印件或扫描件</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（10）承诺书（</w:t>
      </w:r>
      <w:r>
        <w:rPr>
          <w:rStyle w:val="1005"/>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bCs/>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w:t>
      </w:r>
      <w:r>
        <w:rPr>
          <w:rFonts w:hint="eastAsia" w:ascii="宋体" w:hAnsi="宋体"/>
          <w:bCs/>
          <w:color w:val="000000" w:themeColor="text1"/>
          <w:sz w:val="24"/>
          <w:szCs w:val="24"/>
          <w:highlight w:val="none"/>
          <w14:textFill>
            <w14:solidFill>
              <w14:schemeClr w14:val="tx1"/>
            </w14:solidFill>
          </w14:textFill>
        </w:rPr>
        <w:t xml:space="preserve">金等），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在中国大陆有效居留的许可证明。投标人所提交的证明文件的完整与否，将直接影响其报价文件的审核和评分结果。</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4.明细报价表（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5.补充性文件</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（1）中</w:t>
      </w:r>
      <w:r>
        <w:rPr>
          <w:rFonts w:hint="eastAsia" w:ascii="Arial" w:hAnsi="Arial" w:cs="Arial"/>
          <w:color w:val="000000" w:themeColor="text1"/>
          <w:sz w:val="24"/>
          <w:szCs w:val="24"/>
          <w:highlight w:val="none"/>
          <w14:textFill>
            <w14:solidFill>
              <w14:schemeClr w14:val="tx1"/>
            </w14:solidFill>
          </w14:textFill>
        </w:rPr>
        <w:t xml:space="preserve">小企业声明函（格式见附件）</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（2）残疾人福利性单位声明函（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3）由省级以上监狱管理局、戒毒管理局（含新疆生产建设兵团）出具的属于监狱企业的证明文件复印件（</w:t>
      </w:r>
      <w:r>
        <w:rPr>
          <w:rFonts w:hint="eastAsia"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如是监狱企业的提供）</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6.投标人情况表（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7.人员配置表（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8.服务方案</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9.投标偏离表（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Style w:val="1005"/>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10.评分标准中对应的其他所需证明材料（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 （六） 投标文件的要求</w:t>
      </w:r>
      <w:r/>
    </w:p>
    <w:p>
      <w:pPr>
        <w:ind w:left="458"/>
        <w:spacing w:line="360" w:lineRule="auto"/>
        <w:tabs>
          <w:tab w:val="left" w:pos="525" w:leader="none"/>
          <w:tab w:val="left" w:pos="945" w:leader="none"/>
        </w:tabs>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1.所有文件、往来函件均应使用简体中文（规格、型号辅助符号除外）。</w:t>
      </w:r>
      <w:r/>
    </w:p>
    <w:p>
      <w:pPr>
        <w:ind w:firstLine="480"/>
        <w:spacing w:line="360" w:lineRule="auto"/>
        <w:tabs>
          <w:tab w:val="left" w:pos="525" w:leader="none"/>
          <w:tab w:val="left" w:pos="945" w:leader="none"/>
        </w:tabs>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2.投标</w:t>
      </w:r>
      <w:r>
        <w:rPr>
          <w:rStyle w:val="1005"/>
          <w:rFonts w:ascii="宋体" w:hAnsi="宋体" w:cs="宋体"/>
          <w:color w:val="000000" w:themeColor="text1"/>
          <w:sz w:val="24"/>
          <w:szCs w:val="24"/>
          <w:highlight w:val="none"/>
          <w14:textFill>
            <w14:solidFill>
              <w14:schemeClr w14:val="tx1"/>
            </w14:solidFill>
          </w14:textFill>
        </w:rPr>
        <w:t xml:space="preserve">文件由</w:t>
      </w:r>
      <w:r>
        <w:rPr>
          <w:rStyle w:val="1005"/>
          <w:rFonts w:hint="eastAsia" w:ascii="宋体" w:hAnsi="宋体" w:cs="宋体"/>
          <w:color w:val="000000" w:themeColor="text1"/>
          <w:sz w:val="24"/>
          <w:szCs w:val="24"/>
          <w:highlight w:val="none"/>
          <w14:textFill>
            <w14:solidFill>
              <w14:schemeClr w14:val="tx1"/>
            </w14:solidFill>
          </w14:textFill>
        </w:rPr>
        <w:t xml:space="preserve">投标人</w:t>
      </w:r>
      <w:r>
        <w:rPr>
          <w:rStyle w:val="1005"/>
          <w:rFonts w:ascii="宋体" w:hAnsi="宋体" w:cs="宋体"/>
          <w:color w:val="000000" w:themeColor="text1"/>
          <w:sz w:val="24"/>
          <w:szCs w:val="24"/>
          <w:highlight w:val="none"/>
          <w14:textFill>
            <w14:solidFill>
              <w14:schemeClr w14:val="tx1"/>
            </w14:solidFill>
          </w14:textFill>
        </w:rPr>
        <w:t xml:space="preserve">按给定格式如实填写（编写），须有法人（盖章）、法定代表人或法定代表人授权代表签字或盖章，方为有效，未尽事宜可自行补充。</w:t>
      </w:r>
      <w:r/>
    </w:p>
    <w:p>
      <w:pPr>
        <w:ind w:firstLine="480"/>
        <w:spacing w:line="360" w:lineRule="auto"/>
        <w:tabs>
          <w:tab w:val="left" w:pos="525" w:leader="none"/>
          <w:tab w:val="left" w:pos="945" w:leader="none"/>
        </w:tabs>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3.如无特别说明，投标人</w:t>
      </w:r>
      <w:r>
        <w:rPr>
          <w:rStyle w:val="1005"/>
          <w:rFonts w:ascii="宋体" w:hAnsi="宋体" w:cs="宋体"/>
          <w:color w:val="000000" w:themeColor="text1"/>
          <w:sz w:val="24"/>
          <w:szCs w:val="24"/>
          <w:highlight w:val="none"/>
          <w14:textFill>
            <w14:solidFill>
              <w14:schemeClr w14:val="tx1"/>
            </w14:solidFill>
          </w14:textFill>
        </w:rPr>
        <w:t xml:space="preserve">报价一律以人民币为报价结算货币，结算单位为“元”。</w:t>
      </w:r>
      <w:r/>
    </w:p>
    <w:p>
      <w:pPr>
        <w:ind w:firstLine="480"/>
        <w:spacing w:line="360" w:lineRule="auto"/>
        <w:tabs>
          <w:tab w:val="left" w:pos="525" w:leader="none"/>
          <w:tab w:val="left" w:pos="945" w:leader="none"/>
        </w:tabs>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4.投标</w:t>
      </w:r>
      <w:r>
        <w:rPr>
          <w:rStyle w:val="1005"/>
          <w:rFonts w:ascii="宋体" w:hAnsi="宋体" w:cs="宋体"/>
          <w:color w:val="000000" w:themeColor="text1"/>
          <w:sz w:val="24"/>
          <w:szCs w:val="24"/>
          <w:highlight w:val="none"/>
          <w14:textFill>
            <w14:solidFill>
              <w14:schemeClr w14:val="tx1"/>
            </w14:solidFill>
          </w14:textFill>
        </w:rPr>
        <w:t xml:space="preserve">文件格式部分，应由</w:t>
      </w:r>
      <w:r>
        <w:rPr>
          <w:rStyle w:val="1005"/>
          <w:rFonts w:hint="eastAsia" w:ascii="宋体" w:hAnsi="宋体" w:cs="宋体"/>
          <w:color w:val="000000" w:themeColor="text1"/>
          <w:sz w:val="24"/>
          <w:szCs w:val="24"/>
          <w:highlight w:val="none"/>
          <w14:textFill>
            <w14:solidFill>
              <w14:schemeClr w14:val="tx1"/>
            </w14:solidFill>
          </w14:textFill>
        </w:rPr>
        <w:t xml:space="preserve">投标人</w:t>
      </w:r>
      <w:r>
        <w:rPr>
          <w:rStyle w:val="1005"/>
          <w:rFonts w:ascii="宋体" w:hAnsi="宋体" w:cs="宋体"/>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tabs>
          <w:tab w:val="left" w:pos="525" w:leader="none"/>
          <w:tab w:val="left" w:pos="945" w:leader="none"/>
        </w:tabs>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5.投标费自理。</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（七）网上投标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5.投标人应对要求提供的资格证明文件（如资质证书、资格证书）、技术资料（如白皮书、彩页、手册、检测报告等）扫描上传至投标系统。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6.投标人进行网上投标请参照《政府采购项目电子交易管理操作指南－供应商》。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（八）无效投标文件的确认</w:t>
      </w:r>
      <w:r/>
    </w:p>
    <w:p>
      <w:pPr>
        <w:ind w:firstLine="480"/>
        <w:spacing w:line="360" w:lineRule="auto"/>
        <w:tabs>
          <w:tab w:val="left" w:pos="945" w:leader="none"/>
        </w:tabs>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投标单位有下列情况之一者，投标文件无效：</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1.未按规定在</w:t>
      </w:r>
      <w:r>
        <w:rPr>
          <w:rFonts w:hint="eastAsia" w:ascii="宋体" w:hAnsi="宋体" w:cs="宋体"/>
          <w:color w:val="000000" w:themeColor="text1"/>
          <w:sz w:val="24"/>
          <w:szCs w:val="24"/>
          <w:highlight w:val="none"/>
          <w14:textFill>
            <w14:solidFill>
              <w14:schemeClr w14:val="tx1"/>
            </w14:solidFill>
          </w14:textFill>
        </w:rPr>
        <w:t xml:space="preserve">“江苏政府采购云平台”</w:t>
      </w:r>
      <w:r>
        <w:rPr>
          <w:rStyle w:val="1005"/>
          <w:rFonts w:hint="eastAsia" w:ascii="宋体" w:hAnsi="宋体" w:cs="宋体"/>
          <w:color w:val="000000" w:themeColor="text1"/>
          <w:sz w:val="24"/>
          <w:szCs w:val="24"/>
          <w:highlight w:val="none"/>
          <w14:textFill>
            <w14:solidFill>
              <w14:schemeClr w14:val="tx1"/>
            </w14:solidFill>
          </w14:textFill>
        </w:rPr>
        <w:t xml:space="preserve">注册的；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2.电子投标文件未按规定的期限报价的；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3.电子投标文件未按要求签署、盖章的；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4.投标人未按采购文件要求解密投标文件的；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5.投标人的法定代表人授权代表，无法定代表人授权委托书的；</w:t>
      </w:r>
      <w:r/>
    </w:p>
    <w:p>
      <w:pPr>
        <w:ind w:firstLine="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6.不具备招标文件中规定的资格要求及未按招标文件规定的要求提供资格证明文件的；</w:t>
      </w:r>
      <w:r/>
    </w:p>
    <w:p>
      <w:pPr>
        <w:ind w:firstLine="480"/>
        <w:spacing w:line="360" w:lineRule="auto"/>
        <w:widowControl/>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7.响应文件未按采购文件规定的内容和要求填写的；没有在投标系统指定位置上传对应文件、材料的；投标文件含有采购人不能接受的附加条件的；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8.投标文件未按招标文件规定的格式、内容和要求填写、制作的；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9.投标文件图片、字迹模糊不清、无法辨认的；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10.投标文件中有招标文件未允许提供的选择性内容的；</w:t>
      </w:r>
      <w:r/>
    </w:p>
    <w:p>
      <w:pPr>
        <w:ind w:left="480"/>
        <w:spacing w:line="360" w:lineRule="auto"/>
        <w:widowControl/>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11.不同投标人的投标文件载明的项目管理成员或者联系人员为同一人；</w:t>
      </w:r>
      <w:r/>
    </w:p>
    <w:p>
      <w:pPr>
        <w:ind w:left="480"/>
        <w:spacing w:line="360" w:lineRule="auto"/>
        <w:widowControl/>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12.不同投标人的投标文件异常一致或者投标报价呈规律性差异；</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13.恶意串通其他投标单位，故意哄抬价格或压价的；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14.提供虚假材料的（包括营业执照、财务报表、资格证明文件等）；</w:t>
      </w:r>
      <w:r/>
    </w:p>
    <w:p>
      <w:pPr>
        <w:ind w:firstLine="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15.投标文件未按招标文件格式加盖投标人公章及法定代表人或授权代表签字或盖章的；</w:t>
      </w:r>
      <w:r/>
    </w:p>
    <w:p>
      <w:pPr>
        <w:ind w:left="480"/>
        <w:spacing w:line="360" w:lineRule="auto"/>
        <w:widowControl/>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16.不同投标人投标文件中的项目相关人员出现同一人的；</w:t>
      </w:r>
      <w:r/>
    </w:p>
    <w:p>
      <w:pPr>
        <w:ind w:firstLine="480"/>
        <w:spacing w:line="360" w:lineRule="auto"/>
        <w:widowControl/>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17.投标系统中不同投标人上传或编制电子投标（响应）文件的IP地址（与MAC地址一致的；或标书制作工具客户端标识码信息一致的），或MAC地址一致，或标书制作工具客户端标识码信息一致的； </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18.不同投标人聘请同一人为其报价提供技术或经济咨询服务的；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19.单位负责人为同一人或者存在直接控股、管理关系的不同供应商；</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20.不同投标人的投标文件异常一致或者投标报价呈规律性差异；</w:t>
      </w:r>
      <w:r/>
    </w:p>
    <w:p>
      <w:pPr>
        <w:ind w:firstLine="480"/>
        <w:spacing w:line="360" w:lineRule="auto"/>
        <w:widowControl/>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21.评标委员会认为投标人的报价明显低于其他通过符合性审查投标人的报价，有可能影响产品质量或者不能诚信履约的，未能在合理的时间内（自江苏省政府采购-苏采云平台通知之时起半个小时内）提供书面说明或相关证明材料；以证明其报价合理性的；</w:t>
      </w:r>
      <w:r/>
    </w:p>
    <w:p>
      <w:pPr>
        <w:ind w:firstLine="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22.未通过初步资格性审查、投标文件资格性检查、投标文件符合性检查的；</w:t>
      </w:r>
      <w:r/>
    </w:p>
    <w:p>
      <w:pPr>
        <w:ind w:firstLine="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23.列入失信被执行人、重大税收违法案件当事人名单、政府采购严重违法失信行为记录名单及其他不符合《中华人民共和国政府采购法》第二十二条规定条件的；</w:t>
      </w:r>
      <w:r/>
    </w:p>
    <w:p>
      <w:pPr>
        <w:ind w:left="480"/>
        <w:spacing w:line="360" w:lineRule="auto"/>
        <w:widowControl/>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24.同一投标文件中单位名称落款与公章不是同一单位的；</w:t>
      </w:r>
      <w:r/>
    </w:p>
    <w:p>
      <w:pPr>
        <w:ind w:left="480"/>
        <w:spacing w:line="360" w:lineRule="auto"/>
        <w:widowControl/>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25.不同投标人委托同一单位或者个人办理报价事宜的；</w:t>
      </w:r>
      <w:r/>
    </w:p>
    <w:p>
      <w:pPr>
        <w:ind w:left="480"/>
        <w:spacing w:line="360" w:lineRule="auto"/>
        <w:widowControl/>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26.法律法规和招标文件规定的其他无效情形。</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（九）开标、评标</w:t>
      </w:r>
      <w:r/>
    </w:p>
    <w:p>
      <w:pPr>
        <w:ind w:firstLine="593"/>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1.开标相关规定</w:t>
      </w:r>
      <w:r/>
    </w:p>
    <w:p>
      <w:pPr>
        <w:ind w:firstLine="480"/>
        <w:spacing w:line="360" w:lineRule="auto"/>
        <w:rPr>
          <w:rFonts w:ascii="黑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由专家及采购人代表组成评标委员会，并实行回避制度；</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所有投标人在招标文件规定的时间内解密各自投标文件。解密后，投标人须自行准备设备（包括但不限于笔记本电脑、无线网络），按采购文件规定时间解密后，在评审过程中保持在线，等待评标委员会的询问，并等待评审结果，中途不得离开。如未按要求应答，由此所产生的损失及风险由投标人自行承担；</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开标在提交投标文件截止时间的同一时间进行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（4）开标过程由采购代理机构主持并负责记录；</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（6）开标时，投标文件报价出现前后不一致的，按照下列规定修正：</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③单价金额小数点或者百分比有明显错位的，以价格响应表的总价为准，并修改单价；</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 xml:space="preserve">（8）投标人未参加开标的，视同认可开标结果。</w:t>
      </w:r>
      <w:r/>
    </w:p>
    <w:p>
      <w:pPr>
        <w:ind w:firstLine="593"/>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（9）唱标</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1）开标后，宣读各投标人的《开标一览表》；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2）唱标内容仅涉及《开标一览表》。</w:t>
      </w:r>
      <w:r/>
    </w:p>
    <w:p>
      <w:pPr>
        <w:ind w:firstLine="593"/>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（10）信用证明审查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1）采购人或采购代理机构通过信用中国网站（www.creditchina.gov.cn）、中国政府采购网（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\o "http://www.ccgp.gov.cn"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2）采购人或采购代理机构通过相关渠道查询的投标人主体信用记录，与项目其他采购资料一并保存。</w:t>
      </w:r>
      <w:r/>
    </w:p>
    <w:p>
      <w:pPr>
        <w:ind w:firstLine="593"/>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（11）资格性审查：</w:t>
      </w:r>
      <w:r>
        <w:rPr>
          <w:rFonts w:ascii="宋体" w:hAnsi="宋体"/>
          <w:b/>
          <w:bCs/>
          <w:color w:val="000000" w:themeColor="text1"/>
          <w:sz w:val="24"/>
          <w:highlight w:val="none"/>
          <w14:textFill>
            <w14:solidFill>
              <w14:schemeClr w14:val="tx1"/>
            </w14:solidFill>
          </w14:textFill>
        </w:rPr>
        <w:t xml:space="preserve">投标文件资格</w:t>
      </w:r>
      <w:r>
        <w:rPr>
          <w:rFonts w:hint="eastAsia" w:ascii="宋体" w:hAnsi="宋体"/>
          <w:b/>
          <w:bCs/>
          <w:color w:val="000000" w:themeColor="text1"/>
          <w:sz w:val="24"/>
          <w:highlight w:val="none"/>
          <w14:textFill>
            <w14:solidFill>
              <w14:schemeClr w14:val="tx1"/>
            </w14:solidFill>
          </w14:textFill>
        </w:rPr>
        <w:t xml:space="preserve">性审</w:t>
      </w:r>
      <w:r>
        <w:rPr>
          <w:rFonts w:ascii="宋体" w:hAnsi="宋体"/>
          <w:b/>
          <w:bCs/>
          <w:color w:val="000000" w:themeColor="text1"/>
          <w:sz w:val="24"/>
          <w:highlight w:val="none"/>
          <w14:textFill>
            <w14:solidFill>
              <w14:schemeClr w14:val="tx1"/>
            </w14:solidFill>
          </w14:textFill>
        </w:rPr>
        <w:t xml:space="preserve">查</w:t>
      </w:r>
      <w:r>
        <w:rPr>
          <w:rFonts w:hint="eastAsia" w:ascii="宋体" w:hAnsi="宋体"/>
          <w:b/>
          <w:bCs/>
          <w:color w:val="000000" w:themeColor="text1"/>
          <w:sz w:val="24"/>
          <w:highlight w:val="none"/>
          <w14:textFill>
            <w14:solidFill>
              <w14:schemeClr w14:val="tx1"/>
            </w14:solidFill>
          </w14:textFill>
        </w:rPr>
        <w:t xml:space="preserve">由</w:t>
      </w:r>
      <w:r>
        <w:rPr>
          <w:rFonts w:hint="eastAsia" w:ascii="宋体" w:hAnsi="宋体"/>
          <w:b/>
          <w:bCs/>
          <w:color w:val="000000" w:themeColor="text1"/>
          <w:sz w:val="24"/>
          <w:szCs w:val="24"/>
          <w:highlight w:val="none"/>
          <w14:textFill>
            <w14:solidFill>
              <w14:schemeClr w14:val="tx1"/>
            </w14:solidFill>
          </w14:textFill>
        </w:rPr>
        <w:t xml:space="preserve">采购代理机构或采购人负责，对投标人投标文件中的资格、资信证明文件进行审查。</w:t>
      </w:r>
      <w:r/>
    </w:p>
    <w:p>
      <w:pPr>
        <w:ind w:firstLine="480"/>
        <w:spacing w:line="360" w:lineRule="auto"/>
        <w:tabs>
          <w:tab w:val="left" w:pos="840" w:leader="none"/>
          <w:tab w:val="left" w:pos="1050"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w:t>
      </w:r>
      <w:r>
        <w:rPr>
          <w:rFonts w:ascii="宋体" w:hAnsi="宋体"/>
          <w:b/>
          <w:bCs/>
          <w:color w:val="000000" w:themeColor="text1"/>
          <w:sz w:val="24"/>
          <w:highlight w:val="none"/>
          <w14:textFill>
            <w14:solidFill>
              <w14:schemeClr w14:val="tx1"/>
            </w14:solidFill>
          </w14:textFill>
        </w:rPr>
        <w:t xml:space="preserve">评标</w:t>
      </w:r>
      <w:r/>
    </w:p>
    <w:p>
      <w:pPr>
        <w:ind w:firstLine="353"/>
        <w:spacing w:line="360" w:lineRule="auto"/>
        <w:tabs>
          <w:tab w:val="left" w:pos="13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（1）投标文件符合性审查</w:t>
      </w:r>
      <w:r/>
    </w:p>
    <w:p>
      <w:pPr>
        <w:ind w:firstLine="480"/>
        <w:spacing w:line="360" w:lineRule="auto"/>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cs="宋体"/>
          <w:b/>
          <w:color w:val="000000" w:themeColor="text1"/>
          <w:sz w:val="24"/>
          <w:szCs w:val="21"/>
          <w:highlight w:val="none"/>
          <w:lang w:bidi="ar"/>
          <w14:textFill>
            <w14:solidFill>
              <w14:schemeClr w14:val="tx1"/>
            </w14:solidFill>
          </w14:textFill>
        </w:rPr>
        <w:outlineLvl w:val="0"/>
      </w:pPr>
      <w:r/>
      <w:bookmarkStart w:id="7" w:name="_Toc116946315"/>
      <w:r>
        <w:rPr>
          <w:rFonts w:hint="eastAsia" w:ascii="宋体" w:hAnsi="宋体" w:cs="宋体"/>
          <w:b/>
          <w:color w:val="000000" w:themeColor="text1"/>
          <w:sz w:val="24"/>
          <w:szCs w:val="21"/>
          <w:highlight w:val="none"/>
          <w:lang w:bidi="ar"/>
          <w14:textFill>
            <w14:solidFill>
              <w14:schemeClr w14:val="tx1"/>
            </w14:solidFill>
          </w14:textFill>
        </w:rPr>
        <w:t xml:space="preserve">符合性审查表</w:t>
      </w:r>
      <w:bookmarkEnd w:id="7"/>
      <w:r/>
      <w:r/>
    </w:p>
    <w:tbl>
      <w:tblPr>
        <w:tblStyle w:val="699"/>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021"/>
        <w:gridCol w:w="8117"/>
      </w:tblGrid>
      <w:tr>
        <w:trPr>
          <w:jc w:val="center"/>
          <w:trHeight w:val="426"/>
        </w:trPr>
        <w:tc>
          <w:tcPr>
            <w:tcW w:w="396"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序号</w:t>
            </w:r>
            <w:r/>
          </w:p>
        </w:tc>
        <w:tc>
          <w:tcPr>
            <w:tcW w:w="1023"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评审点要求概况</w:t>
            </w:r>
            <w:r/>
          </w:p>
        </w:tc>
        <w:tc>
          <w:tcPr>
            <w:tcW w:w="3581"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评审点具体描述</w:t>
            </w:r>
            <w:r/>
          </w:p>
        </w:tc>
      </w:tr>
      <w:tr>
        <w:trPr>
          <w:jc w:val="center"/>
          <w:trHeight w:val="281"/>
        </w:trPr>
        <w:tc>
          <w:tcPr>
            <w:gridSpan w:val="3"/>
            <w:tcW w:w="9565"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（一）报价要求</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1</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投标报价是固定唯一价，且没有超过本项目预算金额</w:t>
            </w:r>
            <w:r/>
          </w:p>
        </w:tc>
      </w:tr>
      <w:tr>
        <w:trPr>
          <w:jc w:val="center"/>
          <w:trHeight w:val="702"/>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2</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报价修正</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如出现投标报价错误的，按照处理原则修正后的报价，投标人须按规定进行在线确认。</w:t>
            </w:r>
            <w:r/>
          </w:p>
        </w:tc>
      </w:tr>
      <w:tr>
        <w:trPr>
          <w:jc w:val="center"/>
          <w:trHeight w:val="1593"/>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3</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报价合理性</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标委员会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p>
        </w:tc>
      </w:tr>
      <w:tr>
        <w:trPr>
          <w:jc w:val="center"/>
          <w:trHeight w:val="4824"/>
        </w:trPr>
        <w:tc>
          <w:tcPr>
            <w:tcW w:w="396" w:type="dxa"/>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W w:w="1023" w:type="dxa"/>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异常低价审查</w:t>
            </w:r>
            <w:r/>
          </w:p>
        </w:tc>
        <w:tc>
          <w:tcPr>
            <w:tcW w:w="3581" w:type="dxa"/>
            <w:vAlign w:val="center"/>
            <w:textDirection w:val="lrTb"/>
            <w:noWrap w:val="false"/>
          </w:tcPr>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根据《关于推动解决政府采购异常低价问题的通知》（财库〔2026〕2号）要求，政府采购评审中出现下列情形之一的，评审委员会应当启动异常低价投标（响应）审查程序：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①投标（响应）报价低于全部通过符合性审查供应商投标（响应）报价平均值50%的，即投标（响应）报价＜全部通过符合性审查供应商投标（响应）报价平均值×50%；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③投标（响应）报价低于采购项目最高限价45%的，即投标（响应）报价＜采购项目最高限价×45%；</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④评审委员会基于专业判断，认为供应商报价过低，有可能影响产品质量或者不能诚信履约的其他情形。</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相关法律法规对供应商报价有规定的，从其规定。</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57"/>
        </w:trPr>
        <w:tc>
          <w:tcPr>
            <w:gridSpan w:val="3"/>
            <w:tcW w:w="9565" w:type="dxa"/>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W w:w="9565"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（二）商务、技术要求</w:t>
            </w:r>
            <w:r/>
          </w:p>
        </w:tc>
      </w:tr>
      <w:tr>
        <w:trPr>
          <w:jc w:val="center"/>
          <w:trHeight w:val="40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投标有效期满足招标文件要求（90天）。</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5</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投标文件的签署和盖章</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投标文件符合招标文件的签署和签章要求。</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6</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投标文件内容完整，无重大错漏，并已按招标文件要求签字、签章。</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7</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附加条件</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投标文件未含有采购人不能接受的附加条件。</w:t>
            </w:r>
            <w:r/>
          </w:p>
        </w:tc>
      </w:tr>
      <w:tr>
        <w:trPr>
          <w:jc w:val="center"/>
          <w:trHeight w:val="33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8</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无效情形</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投标文件中未有法律法规和招标文件规定的其他无效情形。</w:t>
            </w:r>
            <w:r/>
          </w:p>
        </w:tc>
      </w:tr>
      <w:tr>
        <w:trPr>
          <w:jc w:val="center"/>
          <w:trHeight w:val="32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9</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投标方案</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投标供应商提供的投标方案及报价方案固定。</w:t>
            </w:r>
            <w:r/>
          </w:p>
        </w:tc>
      </w:tr>
      <w:tr>
        <w:trPr>
          <w:jc w:val="center"/>
          <w:trHeight w:val="697"/>
        </w:trPr>
        <w:tc>
          <w:tcPr>
            <w:gridSpan w:val="3"/>
            <w:tcW w:w="9565" w:type="dxa"/>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353"/>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（2）询标</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评标委员会认为投标文件中有含义不明确、同类问题表述不一致或者有明显文字和计算错误的，评标委员会可以通过“苏采云”系统发起 “澄清要求函”，要求投标人作出必要的澄清、说明或者纠正。接到“澄清要求函”的投标人应当通过“苏采云”系统中提交“澄清响应函”，并加盖CA电子公章。澄清、说明或补正的内容作为投标文件的补充部分，且不得超出投标文件的范围或者改变投标文件的实质性内容，具体操作方式见《操作手册》。接到评委会澄清、说明和补正要求的投标人如未按规定及时作出澄清、说明和补正，其风险由投标人自行承担。</w:t>
      </w:r>
      <w:r/>
    </w:p>
    <w:p>
      <w:pPr>
        <w:ind w:firstLine="353"/>
        <w:spacing w:line="360" w:lineRule="auto"/>
        <w:tabs>
          <w:tab w:val="left" w:pos="1365" w:leader="none"/>
        </w:tabs>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）比较与评价</w:t>
      </w:r>
      <w:r/>
    </w:p>
    <w:p>
      <w:pPr>
        <w:ind w:firstLine="480"/>
        <w:spacing w:line="360" w:lineRule="auto"/>
        <w:tabs>
          <w:tab w:val="left" w:pos="136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投标文件资格性</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符合性检</w:t>
      </w:r>
      <w:r>
        <w:rPr>
          <w:rFonts w:ascii="宋体" w:hAnsi="宋体"/>
          <w:bCs/>
          <w:color w:val="000000" w:themeColor="text1"/>
          <w:sz w:val="24"/>
          <w:szCs w:val="24"/>
          <w:highlight w:val="none"/>
          <w14:textFill>
            <w14:solidFill>
              <w14:schemeClr w14:val="tx1"/>
            </w14:solidFill>
          </w14:textFill>
        </w:rPr>
        <w:t xml:space="preserve">查</w:t>
      </w:r>
      <w:r>
        <w:rPr>
          <w:rFonts w:hint="eastAsia" w:ascii="宋体" w:hAnsi="宋体"/>
          <w:bCs/>
          <w:color w:val="000000" w:themeColor="text1"/>
          <w:sz w:val="24"/>
          <w:szCs w:val="24"/>
          <w:highlight w:val="none"/>
          <w14:textFill>
            <w14:solidFill>
              <w14:schemeClr w14:val="tx1"/>
            </w14:solidFill>
          </w14:textFill>
        </w:rPr>
        <w:t xml:space="preserve">结束后，评标委员会</w:t>
      </w:r>
      <w:r>
        <w:rPr>
          <w:rFonts w:ascii="宋体" w:hAnsi="宋体"/>
          <w:bCs/>
          <w:color w:val="000000" w:themeColor="text1"/>
          <w:sz w:val="24"/>
          <w:highlight w:val="none"/>
          <w14:textFill>
            <w14:solidFill>
              <w14:schemeClr w14:val="tx1"/>
            </w14:solidFill>
          </w14:textFill>
        </w:rPr>
        <w:t xml:space="preserve">按招标文件中规定的评标方法和标准，对</w:t>
      </w:r>
      <w:r>
        <w:rPr>
          <w:rFonts w:hint="eastAsia" w:ascii="宋体" w:hAnsi="宋体"/>
          <w:bCs/>
          <w:color w:val="000000" w:themeColor="text1"/>
          <w:sz w:val="24"/>
          <w:highlight w:val="none"/>
          <w14:textFill>
            <w14:solidFill>
              <w14:schemeClr w14:val="tx1"/>
            </w14:solidFill>
          </w14:textFill>
        </w:rPr>
        <w:t xml:space="preserve">资格性检查和符合性检查合格的投标文件进行</w:t>
      </w:r>
      <w:r>
        <w:rPr>
          <w:rFonts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2）评标方法与评审标准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且</w:t>
      </w:r>
      <w:r>
        <w:rPr>
          <w:rFonts w:hint="eastAsia" w:ascii="宋体" w:hAnsi="宋体" w:cs="宋体"/>
          <w:bCs/>
          <w:color w:val="000000" w:themeColor="text1"/>
          <w:sz w:val="24"/>
          <w:highlight w:val="none"/>
          <w14:textFill>
            <w14:solidFill>
              <w14:schemeClr w14:val="tx1"/>
            </w14:solidFill>
          </w14:textFill>
        </w:rPr>
        <w:t xml:space="preserve">按照评审因素的量化指标评审得分最高的投标人为排名第一的中标候选人</w:t>
      </w:r>
      <w:r>
        <w:rPr>
          <w:rFonts w:hint="eastAsia" w:ascii="宋体" w:hAnsi="宋体"/>
          <w:bCs/>
          <w:color w:val="000000" w:themeColor="text1"/>
          <w:sz w:val="24"/>
          <w:highlight w:val="none"/>
          <w14:textFill>
            <w14:solidFill>
              <w14:schemeClr w14:val="tx1"/>
            </w14:solidFill>
          </w14:textFill>
        </w:rPr>
        <w:t xml:space="preserve">。本次评标评分保留小数点后两位。</w:t>
      </w:r>
      <w:r/>
    </w:p>
    <w:p>
      <w:pPr>
        <w:ind w:firstLine="482"/>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提供相同品牌产品且通过资格审查、符合性审查的不同供应商参加本项目投标的，按一家供应商计算，评审后得分最高的同品牌供应商获得评审排名资格；评审得分相同的，由评审小组确定最终投标总报价最低的同品牌供应商获得评审排名资格；最终投标总报价相同的，由采购人委托评审小组确定一个该品牌提供更优售后服务的供应商获得评审排名资格，其他同品牌供应商无评审排名资格。非单一产品采购项目，多家供应商提供的核心产品品牌相同的，同上处理。</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3.评分标准</w:t>
      </w:r>
      <w:r/>
    </w:p>
    <w:p>
      <w:pPr>
        <w:ind w:firstLine="480"/>
        <w:spacing w:line="360" w:lineRule="auto"/>
        <w:rPr>
          <w:rFonts w:ascii="宋体" w:hAnsi="宋体" w:cs="黑体"/>
          <w:b/>
          <w:bCs/>
          <w:color w:val="000000" w:themeColor="text1"/>
          <w:sz w:val="24"/>
          <w:szCs w:val="24"/>
          <w:highlight w:val="none"/>
          <w14:textFill>
            <w14:solidFill>
              <w14:schemeClr w14:val="tx1"/>
            </w14:solidFill>
          </w14:textFill>
        </w:rPr>
      </w:pPr>
      <w:r>
        <w:rPr>
          <w:rFonts w:hint="eastAsia" w:ascii="宋体" w:hAnsi="宋体" w:cs="黑体"/>
          <w:b/>
          <w:bCs/>
          <w:color w:val="000000" w:themeColor="text1"/>
          <w:sz w:val="24"/>
          <w:szCs w:val="24"/>
          <w:highlight w:val="none"/>
          <w14:textFill>
            <w14:solidFill>
              <w14:schemeClr w14:val="tx1"/>
            </w14:solidFill>
          </w14:textFill>
        </w:rPr>
        <w:t xml:space="preserve">本项目</w:t>
      </w:r>
      <w:r>
        <w:rPr>
          <w:rFonts w:hint="eastAsia" w:ascii="宋体" w:hAnsi="宋体" w:cs="黑体"/>
          <w:b/>
          <w:color w:val="000000" w:themeColor="text1"/>
          <w:sz w:val="24"/>
          <w:szCs w:val="24"/>
          <w:highlight w:val="none"/>
          <w14:textFill>
            <w14:solidFill>
              <w14:schemeClr w14:val="tx1"/>
            </w14:solidFill>
          </w14:textFill>
        </w:rPr>
        <w:t xml:space="preserve">采用综合评分法，</w:t>
      </w:r>
      <w:r>
        <w:rPr>
          <w:rFonts w:hint="eastAsia" w:ascii="宋体" w:hAnsi="宋体" w:cs="黑体"/>
          <w:b/>
          <w:bCs/>
          <w:color w:val="000000" w:themeColor="text1"/>
          <w:sz w:val="24"/>
          <w:szCs w:val="24"/>
          <w:highlight w:val="none"/>
          <w14:textFill>
            <w14:solidFill>
              <w14:schemeClr w14:val="tx1"/>
            </w14:solidFill>
          </w14:textFill>
        </w:rPr>
        <w:t xml:space="preserve">评标分值为100分，其中价格分23分，综合实力2</w:t>
      </w:r>
      <w:r>
        <w:rPr>
          <w:rFonts w:hint="eastAsia" w:ascii="宋体" w:hAnsi="宋体" w:cs="黑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黑体"/>
          <w:b/>
          <w:bCs/>
          <w:color w:val="000000" w:themeColor="text1"/>
          <w:sz w:val="24"/>
          <w:szCs w:val="24"/>
          <w:highlight w:val="none"/>
          <w14:textFill>
            <w14:solidFill>
              <w14:schemeClr w14:val="tx1"/>
            </w14:solidFill>
          </w14:textFill>
        </w:rPr>
        <w:t xml:space="preserve">分，服务方案5</w:t>
      </w:r>
      <w:r>
        <w:rPr>
          <w:rFonts w:hint="eastAsia" w:ascii="宋体" w:hAnsi="宋体" w:cs="黑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黑体"/>
          <w:b/>
          <w:bCs/>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cs="黑体"/>
          <w:b/>
          <w:color w:val="000000" w:themeColor="text1"/>
          <w:sz w:val="24"/>
          <w:szCs w:val="24"/>
          <w:highlight w:val="none"/>
          <w14:textFill>
            <w14:solidFill>
              <w14:schemeClr w14:val="tx1"/>
            </w14:solidFill>
          </w14:textFill>
        </w:rPr>
      </w:pPr>
      <w:r>
        <w:rPr>
          <w:rFonts w:hint="eastAsia" w:ascii="宋体" w:hAnsi="宋体" w:cs="黑体"/>
          <w:b/>
          <w:color w:val="000000" w:themeColor="text1"/>
          <w:sz w:val="24"/>
          <w:szCs w:val="24"/>
          <w:highlight w:val="none"/>
          <w14:textFill>
            <w14:solidFill>
              <w14:schemeClr w14:val="tx1"/>
            </w14:solidFill>
          </w14:textFill>
        </w:rPr>
        <w:t xml:space="preserve">（1）价格分（23分）</w:t>
      </w:r>
      <w:r/>
    </w:p>
    <w:p>
      <w:pPr>
        <w:ind w:firstLine="480"/>
        <w:spacing w:line="360" w:lineRule="auto"/>
        <w:rPr>
          <w:rFonts w:ascii="宋体" w:hAnsi="宋体" w:cs="黑体"/>
          <w:bCs/>
          <w:color w:val="000000" w:themeColor="text1"/>
          <w:sz w:val="24"/>
          <w:szCs w:val="24"/>
          <w:highlight w:val="none"/>
          <w14:textFill>
            <w14:solidFill>
              <w14:schemeClr w14:val="tx1"/>
            </w14:solidFill>
          </w14:textFill>
        </w:rPr>
      </w:pPr>
      <w:r>
        <w:rPr>
          <w:rFonts w:hint="eastAsia" w:ascii="宋体" w:hAnsi="宋体" w:cs="黑体"/>
          <w:bCs/>
          <w:color w:val="000000" w:themeColor="text1"/>
          <w:sz w:val="24"/>
          <w:szCs w:val="24"/>
          <w:highlight w:val="none"/>
          <w14:textFill>
            <w14:solidFill>
              <w14:schemeClr w14:val="tx1"/>
            </w14:solidFill>
          </w14:textFill>
        </w:rPr>
        <w:t xml:space="preserve">1）本项目采购预算为135.95万元，投标人报价高于采购预算的，投标无效；</w:t>
      </w:r>
      <w:r/>
    </w:p>
    <w:p>
      <w:pPr>
        <w:ind w:firstLine="480"/>
        <w:spacing w:line="360" w:lineRule="auto"/>
        <w:rPr>
          <w:rFonts w:ascii="宋体" w:hAnsi="宋体" w:cs="黑体"/>
          <w:bCs/>
          <w:color w:val="000000" w:themeColor="text1"/>
          <w:sz w:val="24"/>
          <w:szCs w:val="24"/>
          <w:highlight w:val="none"/>
          <w14:textFill>
            <w14:solidFill>
              <w14:schemeClr w14:val="tx1"/>
            </w14:solidFill>
          </w14:textFill>
        </w:rPr>
      </w:pPr>
      <w:r>
        <w:rPr>
          <w:rFonts w:hint="eastAsia" w:ascii="宋体" w:hAnsi="宋体" w:cs="黑体"/>
          <w:bCs/>
          <w:color w:val="000000" w:themeColor="text1"/>
          <w:sz w:val="24"/>
          <w:szCs w:val="24"/>
          <w:highlight w:val="none"/>
          <w14:textFill>
            <w14:solidFill>
              <w14:schemeClr w14:val="tx1"/>
            </w14:solidFill>
          </w14:textFill>
        </w:rPr>
        <w:t xml:space="preserve">2）采用低价优先法计算，即满足公开招标文件要求且价格最低的投标人报价为评标基准价，其价格分为满分。</w:t>
      </w:r>
      <w:r/>
    </w:p>
    <w:p>
      <w:pPr>
        <w:ind w:firstLine="480"/>
        <w:spacing w:line="360" w:lineRule="auto"/>
        <w:rPr>
          <w:rFonts w:ascii="宋体" w:hAnsi="宋体" w:cs="黑体"/>
          <w:bCs/>
          <w:color w:val="000000" w:themeColor="text1"/>
          <w:sz w:val="24"/>
          <w:szCs w:val="24"/>
          <w:highlight w:val="none"/>
          <w14:textFill>
            <w14:solidFill>
              <w14:schemeClr w14:val="tx1"/>
            </w14:solidFill>
          </w14:textFill>
        </w:rPr>
      </w:pPr>
      <w:r>
        <w:rPr>
          <w:rFonts w:hint="eastAsia" w:ascii="宋体" w:hAnsi="宋体" w:cs="黑体"/>
          <w:bCs/>
          <w:color w:val="000000" w:themeColor="text1"/>
          <w:sz w:val="24"/>
          <w:szCs w:val="24"/>
          <w:highlight w:val="none"/>
          <w14:textFill>
            <w14:solidFill>
              <w14:schemeClr w14:val="tx1"/>
            </w14:solidFill>
          </w14:textFill>
        </w:rPr>
        <w:t xml:space="preserve">3）计算公式：报价得分=（评标基准价／投标人报价）×价格权值×100。</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备注：对小型和微型企业、残疾人福利性单位、监狱企业产品的价格给予10%的扣除，对扣除后的价格进行评审，同一供应商，以上三项价格扣除优惠不得重复享受。</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格式见附件），对其声明的真实性承担法律责任，在资格性审查和评审过程中无需提供证明其企业规模的其他材料。</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参加投标的残疾人福利性单位，应当按照《财政部、民政部、中国残疾人联合会关于促进残疾人就业政府采购政策的通知》（财库〔2017〕141号）的规定填写《残疾人福利性单位声明函》。</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按属于小、微型企业、监狱企业、残疾人福利性单位产品细目报价表认真填写，如未按要求填写和提供有效证明或相关内容表述不清的，不得享受价格扣除。</w:t>
      </w:r>
      <w:r/>
    </w:p>
    <w:p>
      <w:pPr>
        <w:ind w:firstLine="566"/>
        <w:spacing w:line="360" w:lineRule="auto"/>
        <w:tabs>
          <w:tab w:val="left" w:pos="945" w:leader="none"/>
          <w:tab w:val="left" w:pos="115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4）对本国产品的支持政策：根据《</w:t>
      </w:r>
      <w:bookmarkStart w:id="8" w:name="OLE_LINK22"/>
      <w:r>
        <w:rPr>
          <w:rFonts w:hint="eastAsia" w:ascii="宋体" w:hAnsi="宋体"/>
          <w:b/>
          <w:color w:val="000000" w:themeColor="text1"/>
          <w:sz w:val="24"/>
          <w:szCs w:val="24"/>
          <w:highlight w:val="none"/>
          <w14:textFill>
            <w14:solidFill>
              <w14:schemeClr w14:val="tx1"/>
            </w14:solidFill>
          </w14:textFill>
        </w:rPr>
        <w:t xml:space="preserve">国务院办公厅关于在政府采购中实施本国产品标准及相关政策的通知</w:t>
      </w:r>
      <w:bookmarkEnd w:id="8"/>
      <w:r>
        <w:rPr>
          <w:rFonts w:hint="eastAsia" w:ascii="宋体" w:hAnsi="宋体"/>
          <w:b/>
          <w:color w:val="000000" w:themeColor="text1"/>
          <w:sz w:val="24"/>
          <w:szCs w:val="24"/>
          <w:highlight w:val="none"/>
          <w14:textFill>
            <w14:solidFill>
              <w14:schemeClr w14:val="tx1"/>
            </w14:solidFill>
          </w14:textFill>
        </w:rPr>
        <w:t xml:space="preserve">》（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①本国产品价格扣除政策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a.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b.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②注意事项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a.提供本国产品进行投标（报价）的供应商需在</w:t>
      </w:r>
      <w:r>
        <w:rPr>
          <w:rFonts w:hint="eastAsia" w:ascii="宋体" w:hAnsi="宋体"/>
          <w:color w:val="000000" w:themeColor="text1"/>
          <w:sz w:val="24"/>
          <w:szCs w:val="24"/>
          <w:highlight w:val="none"/>
          <w14:textFill>
            <w14:solidFill>
              <w14:schemeClr w14:val="tx1"/>
            </w14:solidFill>
          </w14:textFill>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b.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c.当采购项目或者采购包中含有多种产品，除按上述要求提供《关于符合本国产品标准的声明函》外，供应商还应在《明细分项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d.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即，当小微型企业价格扣除政策和本国产品价格扣除政策同时享受时，按以下计算方式进行计算：供应商参与评审的报价=供应商投标总报价×[1-（小微型企业价格扣除+本国产品价格扣除）]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例如，供应商总报价100000元，经认定可以享受小微型企业价格扣除政策以及本国产品价格扣除政策的，则该供应商参与评审的报价为：100000×[1-（10%+20%）]=70000元。</w:t>
      </w:r>
      <w:r/>
    </w:p>
    <w:p>
      <w:pPr>
        <w:ind w:firstLine="480"/>
        <w:spacing w:line="360" w:lineRule="auto"/>
        <w:rPr>
          <w:rFonts w:ascii="宋体" w:hAnsi="宋体" w:cs="黑体"/>
          <w:b/>
          <w:bCs/>
          <w:color w:val="000000" w:themeColor="text1"/>
          <w:sz w:val="24"/>
          <w:szCs w:val="24"/>
          <w:highlight w:val="none"/>
          <w14:textFill>
            <w14:solidFill>
              <w14:schemeClr w14:val="tx1"/>
            </w14:solidFill>
          </w14:textFill>
        </w:rPr>
      </w:pPr>
      <w:r>
        <w:rPr>
          <w:rFonts w:hint="eastAsia" w:ascii="宋体" w:hAnsi="宋体" w:cs="黑体"/>
          <w:b/>
          <w:bCs/>
          <w:color w:val="000000" w:themeColor="text1"/>
          <w:sz w:val="24"/>
          <w:szCs w:val="24"/>
          <w:highlight w:val="none"/>
          <w14:textFill>
            <w14:solidFill>
              <w14:schemeClr w14:val="tx1"/>
            </w14:solidFill>
          </w14:textFill>
        </w:rPr>
        <w:t xml:space="preserve">（2）综合实力（2</w:t>
      </w:r>
      <w:r>
        <w:rPr>
          <w:rFonts w:hint="eastAsia" w:ascii="宋体" w:hAnsi="宋体" w:cs="黑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黑体"/>
          <w:b/>
          <w:bCs/>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cs="黑体"/>
          <w:b/>
          <w:color w:val="000000" w:themeColor="text1"/>
          <w:sz w:val="24"/>
          <w:szCs w:val="24"/>
          <w:highlight w:val="none"/>
          <w14:textFill>
            <w14:solidFill>
              <w14:schemeClr w14:val="tx1"/>
            </w14:solidFill>
          </w14:textFill>
        </w:rPr>
      </w:pPr>
      <w:r>
        <w:rPr>
          <w:rFonts w:hint="eastAsia" w:ascii="宋体" w:hAnsi="宋体" w:cs="黑体"/>
          <w:b/>
          <w:bCs/>
          <w:color w:val="000000" w:themeColor="text1"/>
          <w:sz w:val="24"/>
          <w:szCs w:val="24"/>
          <w:highlight w:val="none"/>
          <w14:textFill>
            <w14:solidFill>
              <w14:schemeClr w14:val="tx1"/>
            </w14:solidFill>
          </w14:textFill>
        </w:rPr>
        <w:t xml:space="preserve">1）</w:t>
      </w:r>
      <w:r>
        <w:rPr>
          <w:rFonts w:hint="eastAsia" w:ascii="宋体" w:hAnsi="宋体" w:cs="黑体"/>
          <w:b/>
          <w:color w:val="000000" w:themeColor="text1"/>
          <w:sz w:val="24"/>
          <w:szCs w:val="24"/>
          <w:highlight w:val="none"/>
          <w14:textFill>
            <w14:solidFill>
              <w14:schemeClr w14:val="tx1"/>
            </w14:solidFill>
          </w14:textFill>
        </w:rPr>
        <w:t xml:space="preserve">业绩（2分）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自2023年1月1日以来，投标人承接过或正在履行的类似业绩，有一个得1分，最高得2分。（提供合同</w:t>
      </w:r>
      <w:bookmarkStart w:id="9" w:name="OLE_LINK5"/>
      <w:r>
        <w:rPr>
          <w:rFonts w:hint="eastAsia" w:ascii="宋体" w:hAnsi="宋体" w:cs="黑体"/>
          <w:color w:val="000000" w:themeColor="text1"/>
          <w:sz w:val="24"/>
          <w:szCs w:val="24"/>
          <w:highlight w:val="none"/>
          <w14:textFill>
            <w14:solidFill>
              <w14:schemeClr w14:val="tx1"/>
            </w14:solidFill>
          </w14:textFill>
        </w:rPr>
        <w:t xml:space="preserve">扫描件</w:t>
      </w:r>
      <w:bookmarkEnd w:id="9"/>
      <w:r>
        <w:rPr>
          <w:rFonts w:hint="eastAsia" w:ascii="宋体" w:hAnsi="宋体" w:cs="黑体"/>
          <w:color w:val="000000" w:themeColor="text1"/>
          <w:sz w:val="24"/>
          <w:szCs w:val="24"/>
          <w:highlight w:val="none"/>
          <w14:textFill>
            <w14:solidFill>
              <w14:schemeClr w14:val="tx1"/>
            </w14:solidFill>
          </w14:textFill>
        </w:rPr>
        <w:t xml:space="preserve">或协议书或中标通知书复印件，不提供不得分）</w:t>
      </w:r>
      <w:r/>
    </w:p>
    <w:p>
      <w:pPr>
        <w:ind w:firstLine="480"/>
        <w:spacing w:line="360" w:lineRule="auto"/>
        <w:rPr>
          <w:rFonts w:ascii="宋体" w:hAnsi="宋体" w:cs="黑体"/>
          <w:b/>
          <w:color w:val="000000" w:themeColor="text1"/>
          <w:sz w:val="24"/>
          <w:szCs w:val="24"/>
          <w:highlight w:val="none"/>
          <w14:textFill>
            <w14:solidFill>
              <w14:schemeClr w14:val="tx1"/>
            </w14:solidFill>
          </w14:textFill>
        </w:rPr>
      </w:pPr>
      <w:r>
        <w:rPr>
          <w:rFonts w:hint="eastAsia" w:ascii="宋体" w:hAnsi="宋体" w:cs="黑体"/>
          <w:b/>
          <w:color w:val="000000" w:themeColor="text1"/>
          <w:sz w:val="24"/>
          <w:szCs w:val="24"/>
          <w:highlight w:val="none"/>
          <w14:textFill>
            <w14:solidFill>
              <w14:schemeClr w14:val="tx1"/>
            </w14:solidFill>
          </w14:textFill>
        </w:rPr>
        <w:t xml:space="preserve">2）企业资质认证（3分）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投标人具有有效期内的质量管理体系认证证书、信息技术服务管理体系认证证书、信息安全管理体系认证证书，有一个得1分，最高得3分。（须提供有效期内的认证证书，不提供不得分）</w:t>
      </w:r>
      <w:r/>
    </w:p>
    <w:p>
      <w:pPr>
        <w:ind w:firstLine="480"/>
        <w:spacing w:line="360" w:lineRule="auto"/>
        <w:rPr>
          <w:rFonts w:ascii="宋体" w:hAnsi="宋体" w:cs="黑体"/>
          <w:b/>
          <w:bCs/>
          <w:color w:val="000000" w:themeColor="text1"/>
          <w:sz w:val="24"/>
          <w:szCs w:val="24"/>
          <w:highlight w:val="none"/>
          <w14:textFill>
            <w14:solidFill>
              <w14:schemeClr w14:val="tx1"/>
            </w14:solidFill>
          </w14:textFill>
        </w:rPr>
      </w:pPr>
      <w:r>
        <w:rPr>
          <w:rFonts w:hint="eastAsia" w:ascii="宋体" w:hAnsi="宋体" w:cs="黑体"/>
          <w:b/>
          <w:bCs/>
          <w:color w:val="000000" w:themeColor="text1"/>
          <w:sz w:val="24"/>
          <w:szCs w:val="24"/>
          <w:highlight w:val="none"/>
          <w14:textFill>
            <w14:solidFill>
              <w14:schemeClr w14:val="tx1"/>
            </w14:solidFill>
          </w14:textFill>
        </w:rPr>
        <w:t xml:space="preserve">3）</w:t>
      </w:r>
      <w:r>
        <w:rPr>
          <w:rFonts w:hint="eastAsia" w:ascii="宋体" w:hAnsi="宋体" w:cs="黑体"/>
          <w:b/>
          <w:bCs/>
          <w:color w:val="000000" w:themeColor="text1"/>
          <w:sz w:val="24"/>
          <w:highlight w:val="none"/>
          <w14:textFill>
            <w14:solidFill>
              <w14:schemeClr w14:val="tx1"/>
            </w14:solidFill>
          </w14:textFill>
        </w:rPr>
        <w:t xml:space="preserve">团队配置（6分）</w:t>
      </w:r>
      <w:r>
        <w:rPr>
          <w:rFonts w:hint="eastAsia" w:ascii="宋体" w:hAnsi="宋体" w:cs="黑体"/>
          <w:bCs/>
          <w:color w:val="000000" w:themeColor="text1"/>
          <w:sz w:val="24"/>
          <w:szCs w:val="24"/>
          <w:highlight w:val="none"/>
          <w14:textFill>
            <w14:solidFill>
              <w14:schemeClr w14:val="tx1"/>
            </w14:solidFill>
          </w14:textFill>
        </w:rPr>
        <w:t xml:space="preserve">（</w:t>
      </w:r>
      <w:r>
        <w:rPr>
          <w:rFonts w:hint="eastAsia" w:ascii="宋体" w:hAnsi="宋体" w:cs="黑体"/>
          <w:b/>
          <w:bCs/>
          <w:color w:val="000000" w:themeColor="text1"/>
          <w:sz w:val="24"/>
          <w:szCs w:val="24"/>
          <w:highlight w:val="none"/>
          <w14:textFill>
            <w14:solidFill>
              <w14:schemeClr w14:val="tx1"/>
            </w14:solidFill>
          </w14:textFill>
        </w:rPr>
        <w:t xml:space="preserve">填写人员配置表，格式见附件</w:t>
      </w:r>
      <w:r>
        <w:rPr>
          <w:rFonts w:hint="eastAsia" w:ascii="宋体" w:hAnsi="宋体" w:cs="黑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①项目负责人（3分）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投标人为本项目实施、服务配备的项目负责人具有有效的信息系统项目管理师证书、注册信息安全工程师、系统架构设计师（高级）证书，每提供一类证书得1分，最高得3分。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②项目实施与维护人员技术配置（3分）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投标供应商为本项目配备的项目组成员（除项目负责人外）具有</w:t>
      </w:r>
      <w:r>
        <w:rPr>
          <w:rFonts w:ascii="宋体" w:hAnsi="宋体" w:cs="宋体"/>
          <w:color w:val="000000" w:themeColor="text1"/>
          <w:sz w:val="24"/>
          <w:szCs w:val="24"/>
          <w:highlight w:val="none"/>
          <w14:textFill>
            <w14:solidFill>
              <w14:schemeClr w14:val="tx1"/>
            </w14:solidFill>
          </w14:textFill>
        </w:rPr>
        <w:t xml:space="preserve">弱电系统工程师</w:t>
      </w:r>
      <w:r>
        <w:rPr>
          <w:rFonts w:hint="eastAsia" w:ascii="宋体" w:hAnsi="宋体" w:cs="黑体"/>
          <w:color w:val="000000" w:themeColor="text1"/>
          <w:sz w:val="24"/>
          <w:szCs w:val="24"/>
          <w:highlight w:val="none"/>
          <w14:textFill>
            <w14:solidFill>
              <w14:schemeClr w14:val="tx1"/>
            </w14:solidFill>
          </w14:textFill>
        </w:rPr>
        <w:t xml:space="preserve">证书，</w:t>
      </w:r>
      <w:r>
        <w:rPr>
          <w:rFonts w:ascii="宋体" w:hAnsi="宋体" w:cs="宋体"/>
          <w:color w:val="000000" w:themeColor="text1"/>
          <w:sz w:val="24"/>
          <w:szCs w:val="24"/>
          <w:highlight w:val="none"/>
          <w14:textFill>
            <w14:solidFill>
              <w14:schemeClr w14:val="tx1"/>
            </w14:solidFill>
          </w14:textFill>
        </w:rPr>
        <w:t xml:space="preserve">智能化系统工程师(高级)</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高级IT运维工程师</w:t>
      </w:r>
      <w:r>
        <w:rPr>
          <w:rFonts w:hint="eastAsia" w:ascii="宋体" w:hAnsi="宋体" w:cs="宋体"/>
          <w:color w:val="000000" w:themeColor="text1"/>
          <w:sz w:val="24"/>
          <w:szCs w:val="24"/>
          <w:highlight w:val="none"/>
          <w14:textFill>
            <w14:solidFill>
              <w14:schemeClr w14:val="tx1"/>
            </w14:solidFill>
          </w14:textFill>
        </w:rPr>
        <w:t xml:space="preserve">证书，</w:t>
      </w:r>
      <w:r>
        <w:rPr>
          <w:rFonts w:hint="eastAsia" w:ascii="宋体" w:hAnsi="宋体" w:cs="黑体"/>
          <w:color w:val="000000" w:themeColor="text1"/>
          <w:sz w:val="24"/>
          <w:szCs w:val="24"/>
          <w:highlight w:val="none"/>
          <w14:textFill>
            <w14:solidFill>
              <w14:schemeClr w14:val="tx1"/>
            </w14:solidFill>
          </w14:textFill>
        </w:rPr>
        <w:t xml:space="preserve">每提供一类证书得1分，最高得3分。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投标人需提供上述人员的证书</w:t>
      </w:r>
      <w:bookmarkStart w:id="10" w:name="OLE_LINK8"/>
      <w:r>
        <w:rPr>
          <w:rFonts w:hint="eastAsia" w:ascii="宋体" w:hAnsi="宋体" w:cs="黑体"/>
          <w:color w:val="000000" w:themeColor="text1"/>
          <w:sz w:val="24"/>
          <w:szCs w:val="24"/>
          <w:highlight w:val="none"/>
          <w14:textFill>
            <w14:solidFill>
              <w14:schemeClr w14:val="tx1"/>
            </w14:solidFill>
          </w14:textFill>
        </w:rPr>
        <w:t xml:space="preserve">复印件或扫描件</w:t>
      </w:r>
      <w:bookmarkEnd w:id="10"/>
      <w:r>
        <w:rPr>
          <w:rFonts w:hint="eastAsia" w:ascii="宋体" w:hAnsi="宋体" w:cs="黑体"/>
          <w:color w:val="000000" w:themeColor="text1"/>
          <w:sz w:val="24"/>
          <w:szCs w:val="24"/>
          <w:highlight w:val="none"/>
          <w14:textFill>
            <w14:solidFill>
              <w14:schemeClr w14:val="tx1"/>
            </w14:solidFill>
          </w14:textFill>
        </w:rPr>
        <w:t xml:space="preserve">，并提供</w:t>
      </w:r>
      <w:r>
        <w:rPr>
          <w:rFonts w:hint="eastAsia" w:ascii="宋体" w:hAnsi="宋体" w:cs="黑体"/>
          <w:bCs/>
          <w:color w:val="000000" w:themeColor="text1"/>
          <w:sz w:val="24"/>
          <w:szCs w:val="24"/>
          <w:highlight w:val="none"/>
          <w14:textFill>
            <w14:solidFill>
              <w14:schemeClr w14:val="tx1"/>
            </w14:solidFill>
          </w14:textFill>
        </w:rPr>
        <w:t xml:space="preserve">投标人为其缴纳近一年中任意1个月的社保证明材料</w:t>
      </w:r>
      <w:r>
        <w:rPr>
          <w:rFonts w:hint="eastAsia" w:ascii="宋体" w:hAnsi="宋体" w:cs="黑体"/>
          <w:color w:val="000000" w:themeColor="text1"/>
          <w:sz w:val="24"/>
          <w:szCs w:val="24"/>
          <w:highlight w:val="none"/>
          <w14:textFill>
            <w14:solidFill>
              <w14:schemeClr w14:val="tx1"/>
            </w14:solidFill>
          </w14:textFill>
        </w:rPr>
        <w:t xml:space="preserve">复印件或扫描件，不提供不得分。</w:t>
      </w:r>
      <w:r/>
    </w:p>
    <w:p>
      <w:pPr>
        <w:ind w:firstLine="480"/>
        <w:spacing w:line="360" w:lineRule="auto"/>
        <w:rPr>
          <w:rFonts w:ascii="宋体" w:hAnsi="宋体" w:cs="黑体"/>
          <w:b/>
          <w:bCs/>
          <w:color w:val="000000" w:themeColor="text1"/>
          <w:sz w:val="24"/>
          <w:highlight w:val="none"/>
          <w14:textFill>
            <w14:solidFill>
              <w14:schemeClr w14:val="tx1"/>
            </w14:solidFill>
          </w14:textFill>
        </w:rPr>
      </w:pPr>
      <w:r>
        <w:rPr>
          <w:rFonts w:hint="eastAsia" w:ascii="宋体" w:hAnsi="宋体" w:cs="黑体"/>
          <w:b/>
          <w:bCs/>
          <w:color w:val="000000" w:themeColor="text1"/>
          <w:sz w:val="24"/>
          <w:highlight w:val="none"/>
          <w14:textFill>
            <w14:solidFill>
              <w14:schemeClr w14:val="tx1"/>
            </w14:solidFill>
          </w14:textFill>
        </w:rPr>
        <w:t xml:space="preserve">4）产品配置（1</w:t>
      </w:r>
      <w:r>
        <w:rPr>
          <w:rFonts w:hint="eastAsia" w:ascii="宋体" w:hAnsi="宋体" w:cs="黑体"/>
          <w:b/>
          <w:bCs/>
          <w:color w:val="000000" w:themeColor="text1"/>
          <w:sz w:val="24"/>
          <w:highlight w:val="none"/>
          <w:lang w:val="en-US" w:eastAsia="zh-CN"/>
          <w14:textFill>
            <w14:solidFill>
              <w14:schemeClr w14:val="tx1"/>
            </w14:solidFill>
          </w14:textFill>
        </w:rPr>
        <w:t xml:space="preserve">1</w:t>
      </w:r>
      <w:r>
        <w:rPr>
          <w:rFonts w:hint="eastAsia" w:ascii="宋体" w:hAnsi="宋体" w:cs="黑体"/>
          <w:b/>
          <w:bCs/>
          <w:color w:val="000000" w:themeColor="text1"/>
          <w:sz w:val="24"/>
          <w:highlight w:val="none"/>
          <w14:textFill>
            <w14:solidFill>
              <w14:schemeClr w14:val="tx1"/>
            </w14:solidFill>
          </w14:textFill>
        </w:rPr>
        <w:t xml:space="preserve">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①微转台摄像机的转速：水平不低于0.01°/s～180°/s；俯仰不低于0.01°/s～100°/s（1分）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②微转台摄像机水平俯仰角度：水平360°；俯仰±90°（1分）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③微转台摄像机巡航预置位大于3000个（1分）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④微转台摄像机巡航扫描：支持12条以上，每条可支持200个以上（1分）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⑤微转台摄像机防护等级：≥IP67（1分）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⑥微转台摄像机跟踪稳定精度：不大于0.1°（1分）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⑦微转台摄像机安装方式：支持正装、吊装、侧装、壁装、临时架设5种安装方式，支持画面反转（1分）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⑧微转台摄像机一体化设计5窗口多通道（1分）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⑨微转台摄像机热成像伪彩极性：支持16种以上伪彩色显示（1分）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⑩高清激光高速球机的激光照明：为连续波CW激光（1分）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⑪高清激光高速球机的同步功能：镜头变倍过程中，激光光斑的大小会同步变化（1分）</w:t>
      </w:r>
      <w:r/>
    </w:p>
    <w:p>
      <w:pPr>
        <w:ind w:firstLine="480"/>
        <w:spacing w:line="360" w:lineRule="auto"/>
        <w:rPr>
          <w:rFonts w:ascii="宋体" w:hAnsi="宋体" w:cs="黑体" w:eastAsiaTheme="minorEastAsia"/>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（投标时提供带有CMA或CNAS认可的检测机构出具的检测报告复印件）</w:t>
      </w:r>
      <w:r/>
    </w:p>
    <w:p>
      <w:pPr>
        <w:ind w:firstLine="480"/>
        <w:spacing w:line="360" w:lineRule="auto"/>
        <w:rPr>
          <w:rFonts w:ascii="宋体" w:hAnsi="宋体" w:cs="黑体"/>
          <w:b/>
          <w:bCs/>
          <w:color w:val="000000" w:themeColor="text1"/>
          <w:sz w:val="24"/>
          <w:szCs w:val="24"/>
          <w:highlight w:val="none"/>
          <w14:textFill>
            <w14:solidFill>
              <w14:schemeClr w14:val="tx1"/>
            </w14:solidFill>
          </w14:textFill>
        </w:rPr>
      </w:pPr>
      <w:r>
        <w:rPr>
          <w:rFonts w:hint="eastAsia" w:ascii="宋体" w:hAnsi="宋体" w:cs="黑体"/>
          <w:b/>
          <w:bCs/>
          <w:color w:val="000000" w:themeColor="text1"/>
          <w:sz w:val="24"/>
          <w:szCs w:val="24"/>
          <w:highlight w:val="none"/>
          <w14:textFill>
            <w14:solidFill>
              <w14:schemeClr w14:val="tx1"/>
            </w14:solidFill>
          </w14:textFill>
        </w:rPr>
        <w:t xml:space="preserve">（3）服务方案（5</w:t>
      </w:r>
      <w:r>
        <w:rPr>
          <w:rFonts w:hint="eastAsia" w:ascii="宋体" w:hAnsi="宋体" w:cs="黑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黑体"/>
          <w:b/>
          <w:bCs/>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1）项目技术方案（20分）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包括但不限于①项目整体需求分析（2.5分）②项目</w:t>
      </w:r>
      <w:r>
        <w:rPr>
          <w:rFonts w:ascii="宋体" w:hAnsi="宋体" w:cs="宋体"/>
          <w:color w:val="000000" w:themeColor="text1"/>
          <w:sz w:val="24"/>
          <w:highlight w:val="none"/>
          <w14:textFill>
            <w14:solidFill>
              <w14:schemeClr w14:val="tx1"/>
            </w14:solidFill>
          </w14:textFill>
        </w:rPr>
        <w:t xml:space="preserve">总体方案</w:t>
      </w:r>
      <w:r>
        <w:rPr>
          <w:rFonts w:hint="eastAsia" w:ascii="宋体" w:hAnsi="宋体" w:cs="宋体"/>
          <w:color w:val="000000" w:themeColor="text1"/>
          <w:sz w:val="24"/>
          <w:szCs w:val="24"/>
          <w:highlight w:val="none"/>
          <w14:textFill>
            <w14:solidFill>
              <w14:schemeClr w14:val="tx1"/>
            </w14:solidFill>
          </w14:textFill>
        </w:rPr>
        <w:t xml:space="preserve">（2.5分）③</w:t>
      </w:r>
      <w:r>
        <w:rPr>
          <w:rFonts w:hint="eastAsia" w:ascii="宋体" w:hAnsi="宋体"/>
          <w:bCs/>
          <w:color w:val="000000" w:themeColor="text1"/>
          <w:sz w:val="24"/>
          <w:szCs w:val="24"/>
          <w:highlight w:val="none"/>
          <w14:textFill>
            <w14:solidFill>
              <w14:schemeClr w14:val="tx1"/>
            </w14:solidFill>
          </w14:textFill>
        </w:rPr>
        <w:t xml:space="preserve">视频监控点位设计方案（2.5分）</w:t>
      </w:r>
      <w:r>
        <w:rPr>
          <w:rFonts w:hint="eastAsia" w:ascii="宋体" w:hAnsi="宋体" w:cs="宋体"/>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视频监控点位建设方案</w:t>
      </w:r>
      <w:r>
        <w:rPr>
          <w:rFonts w:hint="eastAsia" w:ascii="宋体" w:hAnsi="宋体" w:cs="宋体"/>
          <w:color w:val="000000" w:themeColor="text1"/>
          <w:sz w:val="24"/>
          <w:szCs w:val="24"/>
          <w:highlight w:val="none"/>
          <w14:textFill>
            <w14:solidFill>
              <w14:schemeClr w14:val="tx1"/>
            </w14:solidFill>
          </w14:textFill>
        </w:rPr>
        <w:t xml:space="preserve">（2.5分）⑤网络系统</w:t>
      </w:r>
      <w:r>
        <w:rPr>
          <w:rFonts w:hint="eastAsia" w:ascii="宋体" w:hAnsi="宋体" w:cs="宋体"/>
          <w:bCs/>
          <w:color w:val="000000" w:themeColor="text1"/>
          <w:sz w:val="24"/>
          <w:szCs w:val="24"/>
          <w:highlight w:val="none"/>
          <w14:textFill>
            <w14:solidFill>
              <w14:schemeClr w14:val="tx1"/>
            </w14:solidFill>
          </w14:textFill>
        </w:rPr>
        <w:t xml:space="preserve">设计方案（2.5分）</w:t>
      </w:r>
      <w:r>
        <w:rPr>
          <w:rFonts w:hint="eastAsia" w:ascii="宋体" w:hAnsi="宋体" w:cs="宋体"/>
          <w:color w:val="000000" w:themeColor="text1"/>
          <w:sz w:val="24"/>
          <w:szCs w:val="24"/>
          <w:highlight w:val="none"/>
          <w14:textFill>
            <w14:solidFill>
              <w14:schemeClr w14:val="tx1"/>
            </w14:solidFill>
          </w14:textFill>
        </w:rPr>
        <w:t xml:space="preserve">⑥</w:t>
      </w:r>
      <w:r>
        <w:rPr>
          <w:rFonts w:hint="eastAsia" w:ascii="宋体" w:hAnsi="宋体"/>
          <w:bCs/>
          <w:color w:val="000000" w:themeColor="text1"/>
          <w:sz w:val="24"/>
          <w:szCs w:val="24"/>
          <w:highlight w:val="none"/>
          <w14:textFill>
            <w14:solidFill>
              <w14:schemeClr w14:val="tx1"/>
            </w14:solidFill>
          </w14:textFill>
        </w:rPr>
        <w:t xml:space="preserve">网络信息安全实现方案</w:t>
      </w:r>
      <w:r>
        <w:rPr>
          <w:rFonts w:hint="eastAsia" w:ascii="宋体" w:hAnsi="宋体" w:cs="宋体"/>
          <w:color w:val="000000" w:themeColor="text1"/>
          <w:sz w:val="24"/>
          <w:szCs w:val="24"/>
          <w:highlight w:val="none"/>
          <w14:textFill>
            <w14:solidFill>
              <w14:schemeClr w14:val="tx1"/>
            </w14:solidFill>
          </w14:textFill>
        </w:rPr>
        <w:t xml:space="preserve">（2.5分）⑦</w:t>
      </w:r>
      <w:r>
        <w:rPr>
          <w:rFonts w:ascii="宋体" w:hAnsi="宋体" w:cs="宋体"/>
          <w:color w:val="000000" w:themeColor="text1"/>
          <w:sz w:val="24"/>
          <w:highlight w:val="none"/>
          <w14:textFill>
            <w14:solidFill>
              <w14:schemeClr w14:val="tx1"/>
            </w14:solidFill>
          </w14:textFill>
        </w:rPr>
        <w:t xml:space="preserve">视频数据接入服务方案</w:t>
      </w:r>
      <w:r>
        <w:rPr>
          <w:rFonts w:hint="eastAsia" w:ascii="宋体" w:hAnsi="宋体" w:cs="宋体"/>
          <w:color w:val="000000" w:themeColor="text1"/>
          <w:sz w:val="24"/>
          <w:szCs w:val="24"/>
          <w:highlight w:val="none"/>
          <w14:textFill>
            <w14:solidFill>
              <w14:schemeClr w14:val="tx1"/>
            </w14:solidFill>
          </w14:textFill>
        </w:rPr>
        <w:t xml:space="preserve">（2.5分）⑧项目重难点分析与解决措施（2.5分）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投标人须针对每条内容进行阐述，阐述内容须满足采购需求。</w:t>
      </w:r>
      <w:r>
        <w:rPr>
          <w:rFonts w:hint="eastAsia" w:ascii="宋体" w:hAnsi="宋体" w:cs="黑体"/>
          <w:bCs/>
          <w:color w:val="000000" w:themeColor="text1"/>
          <w:sz w:val="24"/>
          <w:szCs w:val="24"/>
          <w:highlight w:val="none"/>
          <w14:textFill>
            <w14:solidFill>
              <w14:schemeClr w14:val="tx1"/>
            </w14:solidFill>
          </w14:textFill>
        </w:rPr>
        <w:t xml:space="preserve">方案完整、内容详尽、针对性很强的，每条最高得2.5分；方案较完整、内容较详尽、针对性较强的，每条最高得2分；方案较完整、内容较详尽、但针对性一般的，每条最高得1.5分；方案不完整、内容简略、针对性不强的，每条最高得1分。每缺少一条内容或内容存在不能满足采购需求，或存在逻辑错误、前后矛盾，或存在违反现行相关规范的，该条不得分。</w:t>
      </w:r>
      <w:r>
        <w:rPr>
          <w:rFonts w:hint="eastAsia" w:ascii="宋体" w:hAnsi="宋体" w:cs="黑体"/>
          <w:color w:val="000000" w:themeColor="text1"/>
          <w:sz w:val="24"/>
          <w:szCs w:val="24"/>
          <w:highlight w:val="none"/>
          <w14:textFill>
            <w14:solidFill>
              <w14:schemeClr w14:val="tx1"/>
            </w14:solidFill>
          </w14:textFill>
        </w:rPr>
        <w:t xml:space="preserve">本项最高得20分。</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2）组织实施方案（1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包括但不限于①工作进度安排（</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分）②组织施工方案（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分）③项目质量保障方案（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分）④施工安全保障措施（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cs="黑体"/>
          <w:bCs/>
          <w:color w:val="000000" w:themeColor="text1"/>
          <w:sz w:val="24"/>
          <w:szCs w:val="24"/>
          <w:highlight w:val="none"/>
          <w14:textFill>
            <w14:solidFill>
              <w14:schemeClr w14:val="tx1"/>
            </w14:solidFill>
          </w14:textFill>
        </w:rPr>
      </w:pPr>
      <w:r/>
      <w:bookmarkStart w:id="11" w:name="OLE_LINK20"/>
      <w:r/>
      <w:bookmarkStart w:id="12" w:name="OLE_LINK21"/>
      <w:r>
        <w:rPr>
          <w:rFonts w:hint="eastAsia" w:ascii="宋体" w:hAnsi="宋体" w:cs="黑体"/>
          <w:color w:val="000000" w:themeColor="text1"/>
          <w:sz w:val="24"/>
          <w:szCs w:val="24"/>
          <w:highlight w:val="none"/>
          <w14:textFill>
            <w14:solidFill>
              <w14:schemeClr w14:val="tx1"/>
            </w14:solidFill>
          </w14:textFill>
        </w:rPr>
        <w:t xml:space="preserve">投标人须针对每条内容进行阐述，阐述内容须满足采购需求。</w:t>
      </w:r>
      <w:r>
        <w:rPr>
          <w:rFonts w:hint="eastAsia" w:ascii="宋体" w:hAnsi="宋体" w:cs="黑体"/>
          <w:bCs/>
          <w:color w:val="000000" w:themeColor="text1"/>
          <w:sz w:val="24"/>
          <w:szCs w:val="24"/>
          <w:highlight w:val="none"/>
          <w14:textFill>
            <w14:solidFill>
              <w14:schemeClr w14:val="tx1"/>
            </w14:solidFill>
          </w14:textFill>
        </w:rPr>
        <w:t xml:space="preserve">方案完整、内容详尽、针对性很强的，每条最高得</w:t>
      </w:r>
      <w:r>
        <w:rPr>
          <w:rFonts w:hint="eastAsia" w:ascii="宋体" w:hAnsi="宋体" w:cs="黑体"/>
          <w:bCs/>
          <w:color w:val="000000" w:themeColor="text1"/>
          <w:sz w:val="24"/>
          <w:szCs w:val="24"/>
          <w:highlight w:val="none"/>
          <w:lang w:val="en-US" w:eastAsia="zh-CN"/>
          <w14:textFill>
            <w14:solidFill>
              <w14:schemeClr w14:val="tx1"/>
            </w14:solidFill>
          </w14:textFill>
        </w:rPr>
        <w:t xml:space="preserve">2.5</w:t>
      </w:r>
      <w:r>
        <w:rPr>
          <w:rFonts w:hint="eastAsia" w:ascii="宋体" w:hAnsi="宋体" w:cs="黑体"/>
          <w:bCs/>
          <w:color w:val="000000" w:themeColor="text1"/>
          <w:sz w:val="24"/>
          <w:szCs w:val="24"/>
          <w:highlight w:val="none"/>
          <w14:textFill>
            <w14:solidFill>
              <w14:schemeClr w14:val="tx1"/>
            </w14:solidFill>
          </w14:textFill>
        </w:rPr>
        <w:t xml:space="preserve">分；</w:t>
      </w:r>
      <w:bookmarkStart w:id="13" w:name="OLE_LINK19"/>
      <w:r/>
      <w:bookmarkStart w:id="14" w:name="OLE_LINK18"/>
      <w:r>
        <w:rPr>
          <w:rFonts w:hint="eastAsia" w:ascii="宋体" w:hAnsi="宋体" w:cs="黑体"/>
          <w:bCs/>
          <w:color w:val="000000" w:themeColor="text1"/>
          <w:sz w:val="24"/>
          <w:szCs w:val="24"/>
          <w:highlight w:val="none"/>
          <w14:textFill>
            <w14:solidFill>
              <w14:schemeClr w14:val="tx1"/>
            </w14:solidFill>
          </w14:textFill>
        </w:rPr>
        <w:t xml:space="preserve">方案较完整、内容较详尽、针对性较强的，每条最高得</w:t>
      </w:r>
      <w:r>
        <w:rPr>
          <w:rFonts w:hint="eastAsia" w:ascii="宋体" w:hAnsi="宋体" w:cs="黑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黑体"/>
          <w:bCs/>
          <w:color w:val="000000" w:themeColor="text1"/>
          <w:sz w:val="24"/>
          <w:szCs w:val="24"/>
          <w:highlight w:val="none"/>
          <w14:textFill>
            <w14:solidFill>
              <w14:schemeClr w14:val="tx1"/>
            </w14:solidFill>
          </w14:textFill>
        </w:rPr>
        <w:t xml:space="preserve">分；方案较完整、内容较详尽、但针对性一般的，每条最高得</w:t>
      </w:r>
      <w:r>
        <w:rPr>
          <w:rFonts w:hint="eastAsia" w:ascii="宋体" w:hAnsi="宋体" w:cs="黑体"/>
          <w:bCs/>
          <w:color w:val="000000" w:themeColor="text1"/>
          <w:sz w:val="24"/>
          <w:szCs w:val="24"/>
          <w:highlight w:val="none"/>
          <w:lang w:val="en-US" w:eastAsia="zh-CN"/>
          <w14:textFill>
            <w14:solidFill>
              <w14:schemeClr w14:val="tx1"/>
            </w14:solidFill>
          </w14:textFill>
        </w:rPr>
        <w:t xml:space="preserve">1.5</w:t>
      </w:r>
      <w:r>
        <w:rPr>
          <w:rFonts w:hint="eastAsia" w:ascii="宋体" w:hAnsi="宋体" w:cs="黑体"/>
          <w:bCs/>
          <w:color w:val="000000" w:themeColor="text1"/>
          <w:sz w:val="24"/>
          <w:szCs w:val="24"/>
          <w:highlight w:val="none"/>
          <w14:textFill>
            <w14:solidFill>
              <w14:schemeClr w14:val="tx1"/>
            </w14:solidFill>
          </w14:textFill>
        </w:rPr>
        <w:t xml:space="preserve">分；方案不完整、内容简略、针对性不强的，每条最高得</w:t>
      </w:r>
      <w:r>
        <w:rPr>
          <w:rFonts w:hint="eastAsia" w:ascii="宋体" w:hAnsi="宋体" w:cs="黑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黑体"/>
          <w:bCs/>
          <w:color w:val="000000" w:themeColor="text1"/>
          <w:sz w:val="24"/>
          <w:szCs w:val="24"/>
          <w:highlight w:val="none"/>
          <w14:textFill>
            <w14:solidFill>
              <w14:schemeClr w14:val="tx1"/>
            </w14:solidFill>
          </w14:textFill>
        </w:rPr>
        <w:t xml:space="preserve">分。每缺少一条内容或内容存在不能满足采购需求，或存在逻辑错误、前后矛盾，或存在违反现行相关规范的，该条不得分。</w:t>
      </w:r>
      <w:r>
        <w:rPr>
          <w:rFonts w:hint="eastAsia" w:ascii="宋体" w:hAnsi="宋体" w:cs="黑体"/>
          <w:color w:val="000000" w:themeColor="text1"/>
          <w:sz w:val="24"/>
          <w:szCs w:val="24"/>
          <w:highlight w:val="none"/>
          <w14:textFill>
            <w14:solidFill>
              <w14:schemeClr w14:val="tx1"/>
            </w14:solidFill>
          </w14:textFill>
        </w:rPr>
        <w:t xml:space="preserve">本项最高得</w:t>
      </w:r>
      <w:r>
        <w:rPr>
          <w:rFonts w:hint="eastAsia" w:ascii="宋体" w:hAnsi="宋体" w:cs="黑体"/>
          <w:color w:val="000000" w:themeColor="text1"/>
          <w:sz w:val="24"/>
          <w:szCs w:val="24"/>
          <w:highlight w:val="none"/>
          <w:lang w:val="en-US" w:eastAsia="zh-CN"/>
          <w14:textFill>
            <w14:solidFill>
              <w14:schemeClr w14:val="tx1"/>
            </w14:solidFill>
          </w14:textFill>
        </w:rPr>
        <w:t xml:space="preserve">10</w:t>
      </w:r>
      <w:r>
        <w:rPr>
          <w:rFonts w:hint="eastAsia" w:ascii="宋体" w:hAnsi="宋体" w:cs="黑体"/>
          <w:color w:val="000000" w:themeColor="text1"/>
          <w:sz w:val="24"/>
          <w:szCs w:val="24"/>
          <w:highlight w:val="none"/>
          <w14:textFill>
            <w14:solidFill>
              <w14:schemeClr w14:val="tx1"/>
            </w14:solidFill>
          </w14:textFill>
        </w:rPr>
        <w:t xml:space="preserve">分。</w:t>
      </w:r>
      <w:bookmarkEnd w:id="11"/>
      <w:r/>
      <w:bookmarkEnd w:id="12"/>
      <w:r/>
      <w:bookmarkEnd w:id="13"/>
      <w:r/>
      <w:bookmarkEnd w:id="14"/>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hint="eastAsia" w:ascii="宋体" w:hAnsi="宋体" w:cs="黑体"/>
          <w:b/>
          <w:bCs/>
          <w:color w:val="000000" w:themeColor="text1"/>
          <w:sz w:val="24"/>
          <w:highlight w:val="none"/>
          <w14:textFill>
            <w14:solidFill>
              <w14:schemeClr w14:val="tx1"/>
            </w14:solidFill>
          </w14:textFill>
        </w:rPr>
        <w:t xml:space="preserve">产品配置</w:t>
      </w:r>
      <w:r>
        <w:rPr>
          <w:rFonts w:hint="eastAsia" w:ascii="宋体" w:hAnsi="宋体"/>
          <w:b/>
          <w:bCs/>
          <w:color w:val="000000" w:themeColor="text1"/>
          <w:sz w:val="24"/>
          <w:highlight w:val="none"/>
          <w14:textFill>
            <w14:solidFill>
              <w14:schemeClr w14:val="tx1"/>
            </w14:solidFill>
          </w14:textFill>
        </w:rPr>
        <w:t xml:space="preserve">服务方案（</w:t>
      </w:r>
      <w:r>
        <w:rPr>
          <w:rFonts w:hint="eastAsia" w:ascii="宋体" w:hAnsi="宋体"/>
          <w:b/>
          <w:bCs/>
          <w:color w:val="000000" w:themeColor="text1"/>
          <w:sz w:val="24"/>
          <w:highlight w:val="none"/>
          <w:lang w:val="en-US" w:eastAsia="zh-CN"/>
          <w14:textFill>
            <w14:solidFill>
              <w14:schemeClr w14:val="tx1"/>
            </w14:solidFill>
          </w14:textFill>
        </w:rPr>
        <w:t xml:space="preserve">6</w:t>
      </w:r>
      <w:r>
        <w:rPr>
          <w:rFonts w:hint="eastAsia" w:ascii="宋体" w:hAnsi="宋体"/>
          <w:b/>
          <w:bCs/>
          <w:color w:val="000000" w:themeColor="text1"/>
          <w:sz w:val="24"/>
          <w:highlight w:val="none"/>
          <w14:textFill>
            <w14:solidFill>
              <w14:schemeClr w14:val="tx1"/>
            </w14:solidFill>
          </w14:textFill>
        </w:rPr>
        <w:t xml:space="preserve">分）</w:t>
      </w:r>
      <w:r/>
    </w:p>
    <w:p>
      <w:pPr>
        <w:ind w:firstLine="480"/>
        <w:spacing w:line="360" w:lineRule="auto"/>
        <w:rPr>
          <w:rFonts w:ascii="宋体" w:hAnsi="宋体" w:cs="黑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包括但不限于</w:t>
      </w:r>
      <w:r>
        <w:rPr>
          <w:rFonts w:hint="eastAsia" w:ascii="宋体" w:hAnsi="宋体" w:cs="宋体"/>
          <w:color w:val="000000" w:themeColor="text1"/>
          <w:sz w:val="24"/>
          <w:highlight w:val="none"/>
          <w14:textFill>
            <w14:solidFill>
              <w14:schemeClr w14:val="tx1"/>
            </w14:solidFill>
          </w14:textFill>
        </w:rPr>
        <w:t xml:space="preserve">①软硬件产品的质量保障方案（3分）②网络</w:t>
      </w:r>
      <w:r>
        <w:rPr>
          <w:rFonts w:ascii="宋体" w:hAnsi="宋体" w:cs="宋体"/>
          <w:color w:val="000000" w:themeColor="text1"/>
          <w:sz w:val="24"/>
          <w:highlight w:val="none"/>
          <w14:textFill>
            <w14:solidFill>
              <w14:schemeClr w14:val="tx1"/>
            </w14:solidFill>
          </w14:textFill>
        </w:rPr>
        <w:t xml:space="preserve">租赁服务</w:t>
      </w:r>
      <w:r>
        <w:rPr>
          <w:rFonts w:hint="eastAsia" w:ascii="宋体" w:hAnsi="宋体" w:cs="宋体"/>
          <w:color w:val="000000" w:themeColor="text1"/>
          <w:sz w:val="24"/>
          <w:highlight w:val="none"/>
          <w14:textFill>
            <w14:solidFill>
              <w14:schemeClr w14:val="tx1"/>
            </w14:solidFill>
          </w14:textFill>
        </w:rPr>
        <w:t xml:space="preserve">方案（3分）</w:t>
      </w:r>
      <w:r/>
    </w:p>
    <w:p>
      <w:pPr>
        <w:ind w:firstLine="480"/>
        <w:spacing w:line="360" w:lineRule="auto"/>
        <w:rPr>
          <w:rFonts w:ascii="宋体" w:hAnsi="宋体" w:cs="黑体"/>
          <w:bCs/>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投标人须针对每条内容进行阐述，阐述内容须满足采购需求。</w:t>
      </w:r>
      <w:r>
        <w:rPr>
          <w:rFonts w:hint="eastAsia" w:ascii="宋体" w:hAnsi="宋体" w:cs="黑体"/>
          <w:bCs/>
          <w:color w:val="000000" w:themeColor="text1"/>
          <w:sz w:val="24"/>
          <w:szCs w:val="24"/>
          <w:highlight w:val="none"/>
          <w14:textFill>
            <w14:solidFill>
              <w14:schemeClr w14:val="tx1"/>
            </w14:solidFill>
          </w14:textFill>
        </w:rPr>
        <w:t xml:space="preserve">方案完整、内容详尽、针对性很强的，每条最高得3分；方案较完整、内容较详尽、针对性较强的，每条最高得2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cs="黑体"/>
          <w:color w:val="000000" w:themeColor="text1"/>
          <w:sz w:val="24"/>
          <w:szCs w:val="24"/>
          <w:highlight w:val="none"/>
          <w14:textFill>
            <w14:solidFill>
              <w14:schemeClr w14:val="tx1"/>
            </w14:solidFill>
          </w14:textFill>
        </w:rPr>
        <w:t xml:space="preserve">本项最高得6分。</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4）运维服务方案（6分）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包括但不限于①网络系统运维方案（2分）②监控系统运维方案（2分）③运维服务重难点及应对措施（2分）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投标人须针对每条内容进行阐述，阐述内容须满足采购需求。</w:t>
      </w:r>
      <w:r>
        <w:rPr>
          <w:rFonts w:hint="eastAsia" w:ascii="宋体" w:hAnsi="宋体" w:cs="黑体"/>
          <w:bCs/>
          <w:color w:val="000000" w:themeColor="text1"/>
          <w:sz w:val="24"/>
          <w:szCs w:val="24"/>
          <w:highlight w:val="none"/>
          <w14:textFill>
            <w14:solidFill>
              <w14:schemeClr w14:val="tx1"/>
            </w14:solidFill>
          </w14:textFill>
        </w:rPr>
        <w:t xml:space="preserve">方案完整、内容详尽、针对性很强的，每条最高得2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cs="黑体"/>
          <w:color w:val="000000" w:themeColor="text1"/>
          <w:sz w:val="24"/>
          <w:szCs w:val="24"/>
          <w:highlight w:val="none"/>
          <w14:textFill>
            <w14:solidFill>
              <w14:schemeClr w14:val="tx1"/>
            </w14:solidFill>
          </w14:textFill>
        </w:rPr>
        <w:t xml:space="preserve">本项最高得6分。</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5）服务团队建设方案（6分）</w:t>
      </w:r>
      <w:r/>
    </w:p>
    <w:p>
      <w:pPr>
        <w:ind w:firstLine="480"/>
        <w:spacing w:line="360" w:lineRule="auto"/>
        <w:rPr>
          <w:rFonts w:ascii="宋体" w:hAnsi="宋体" w:cs="黑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包括但不限于①</w:t>
      </w:r>
      <w:r>
        <w:rPr>
          <w:rFonts w:hint="eastAsia" w:ascii="宋体" w:hAnsi="宋体" w:cs="黑体"/>
          <w:bCs/>
          <w:color w:val="000000" w:themeColor="text1"/>
          <w:sz w:val="24"/>
          <w:szCs w:val="24"/>
          <w:highlight w:val="none"/>
          <w14:textFill>
            <w14:solidFill>
              <w14:schemeClr w14:val="tx1"/>
            </w14:solidFill>
          </w14:textFill>
        </w:rPr>
        <w:t xml:space="preserve">团队组建方案（2分）</w:t>
      </w:r>
      <w:r>
        <w:rPr>
          <w:rFonts w:hint="eastAsia" w:ascii="宋体" w:hAnsi="宋体" w:cs="宋体"/>
          <w:color w:val="000000" w:themeColor="text1"/>
          <w:sz w:val="24"/>
          <w:szCs w:val="24"/>
          <w:highlight w:val="none"/>
          <w14:textFill>
            <w14:solidFill>
              <w14:schemeClr w14:val="tx1"/>
            </w14:solidFill>
          </w14:textFill>
        </w:rPr>
        <w:t xml:space="preserve">②</w:t>
      </w:r>
      <w:r>
        <w:rPr>
          <w:rFonts w:hint="eastAsia" w:ascii="宋体" w:hAnsi="宋体" w:cs="黑体"/>
          <w:bCs/>
          <w:color w:val="000000" w:themeColor="text1"/>
          <w:sz w:val="24"/>
          <w:szCs w:val="24"/>
          <w:highlight w:val="none"/>
          <w14:textFill>
            <w14:solidFill>
              <w14:schemeClr w14:val="tx1"/>
            </w14:solidFill>
          </w14:textFill>
        </w:rPr>
        <w:t xml:space="preserve">各岗位职责分工及管理机制（2分）③人员管理与考核方案（2分）</w:t>
      </w:r>
      <w:r/>
    </w:p>
    <w:p>
      <w:pPr>
        <w:ind w:firstLine="480"/>
        <w:spacing w:line="360" w:lineRule="auto"/>
        <w:rPr>
          <w:rFonts w:ascii="宋体" w:hAnsi="宋体" w:cs="黑体"/>
          <w:bCs/>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投标人须针对每条内容进行阐述，阐述内容须满足采购需求。</w:t>
      </w:r>
      <w:r>
        <w:rPr>
          <w:rFonts w:hint="eastAsia" w:ascii="宋体" w:hAnsi="宋体" w:cs="黑体"/>
          <w:bCs/>
          <w:color w:val="000000" w:themeColor="text1"/>
          <w:sz w:val="24"/>
          <w:szCs w:val="24"/>
          <w:highlight w:val="none"/>
          <w14:textFill>
            <w14:solidFill>
              <w14:schemeClr w14:val="tx1"/>
            </w14:solidFill>
          </w14:textFill>
        </w:rPr>
        <w:t xml:space="preserve">方案完整、内容详尽、针对性很强的，每条最高得2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cs="黑体"/>
          <w:color w:val="000000" w:themeColor="text1"/>
          <w:sz w:val="24"/>
          <w:szCs w:val="24"/>
          <w:highlight w:val="none"/>
          <w14:textFill>
            <w14:solidFill>
              <w14:schemeClr w14:val="tx1"/>
            </w14:solidFill>
          </w14:textFill>
        </w:rPr>
        <w:t xml:space="preserve">本项最高得6分。</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6）培训及服务响应（</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包括但不限于</w:t>
      </w:r>
      <w:r>
        <w:rPr>
          <w:rFonts w:hint="eastAsia" w:ascii="宋体" w:hAnsi="宋体" w:cs="黑体"/>
          <w:bCs/>
          <w:color w:val="000000" w:themeColor="text1"/>
          <w:sz w:val="24"/>
          <w:szCs w:val="24"/>
          <w:highlight w:val="none"/>
          <w14:textFill>
            <w14:solidFill>
              <w14:schemeClr w14:val="tx1"/>
            </w14:solidFill>
          </w14:textFill>
        </w:rPr>
        <w:t xml:space="preserve">①</w:t>
      </w:r>
      <w:r>
        <w:rPr>
          <w:rFonts w:hint="eastAsia" w:ascii="宋体" w:hAnsi="宋体" w:cs="宋体"/>
          <w:bCs/>
          <w:color w:val="000000" w:themeColor="text1"/>
          <w:sz w:val="24"/>
          <w:szCs w:val="24"/>
          <w:highlight w:val="none"/>
          <w14:textFill>
            <w14:solidFill>
              <w14:schemeClr w14:val="tx1"/>
            </w14:solidFill>
          </w14:textFill>
        </w:rPr>
        <w:t xml:space="preserve">培训</w:t>
      </w:r>
      <w:r>
        <w:rPr>
          <w:rFonts w:hint="eastAsia" w:ascii="宋体" w:hAnsi="宋体" w:cs="黑体"/>
          <w:bCs/>
          <w:color w:val="000000" w:themeColor="text1"/>
          <w:sz w:val="24"/>
          <w:szCs w:val="24"/>
          <w:highlight w:val="none"/>
          <w14:textFill>
            <w14:solidFill>
              <w14:schemeClr w14:val="tx1"/>
            </w14:solidFill>
          </w14:textFill>
        </w:rPr>
        <w:t xml:space="preserve">服务方案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黑体"/>
          <w:bCs/>
          <w:color w:val="000000" w:themeColor="text1"/>
          <w:sz w:val="24"/>
          <w:szCs w:val="24"/>
          <w:highlight w:val="none"/>
          <w14:textFill>
            <w14:solidFill>
              <w14:schemeClr w14:val="tx1"/>
            </w14:solidFill>
          </w14:textFill>
        </w:rPr>
        <w:t xml:space="preserve">②质保期服务及故障处理流程、响应时间</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投标人须针对每条内容进行阐述，阐述内容须满足采购需求。方案完整、内容详尽、针对性很强的，每条最高得</w:t>
      </w:r>
      <w:r>
        <w:rPr>
          <w:rFonts w:hint="eastAsia" w:ascii="宋体" w:hAnsi="宋体" w:cs="黑体"/>
          <w:color w:val="000000" w:themeColor="text1"/>
          <w:sz w:val="24"/>
          <w:szCs w:val="24"/>
          <w:highlight w:val="none"/>
          <w:lang w:val="en-US" w:eastAsia="zh-CN"/>
          <w14:textFill>
            <w14:solidFill>
              <w14:schemeClr w14:val="tx1"/>
            </w14:solidFill>
          </w14:textFill>
        </w:rPr>
        <w:t xml:space="preserve">2</w:t>
      </w:r>
      <w:r>
        <w:rPr>
          <w:rFonts w:hint="eastAsia" w:ascii="宋体" w:hAnsi="宋体" w:cs="黑体"/>
          <w:color w:val="000000" w:themeColor="text1"/>
          <w:sz w:val="24"/>
          <w:szCs w:val="24"/>
          <w:highlight w:val="none"/>
          <w14:textFill>
            <w14:solidFill>
              <w14:schemeClr w14:val="tx1"/>
            </w14:solidFill>
          </w14:textFill>
        </w:rPr>
        <w:t xml:space="preserve">分；方案较完整、内容较详尽、针对性较强的，每条最高得1</w:t>
      </w:r>
      <w:r>
        <w:rPr>
          <w:rFonts w:hint="eastAsia" w:ascii="宋体" w:hAnsi="宋体" w:cs="黑体"/>
          <w:color w:val="000000" w:themeColor="text1"/>
          <w:sz w:val="24"/>
          <w:szCs w:val="24"/>
          <w:highlight w:val="none"/>
          <w:lang w:val="en-US" w:eastAsia="zh-CN"/>
          <w14:textFill>
            <w14:solidFill>
              <w14:schemeClr w14:val="tx1"/>
            </w14:solidFill>
          </w14:textFill>
        </w:rPr>
        <w:t xml:space="preserve">.5</w:t>
      </w:r>
      <w:r>
        <w:rPr>
          <w:rFonts w:hint="eastAsia" w:ascii="宋体" w:hAnsi="宋体" w:cs="黑体"/>
          <w:color w:val="000000" w:themeColor="text1"/>
          <w:sz w:val="24"/>
          <w:szCs w:val="24"/>
          <w:highlight w:val="none"/>
          <w14:textFill>
            <w14:solidFill>
              <w14:schemeClr w14:val="tx1"/>
            </w14:solidFill>
          </w14:textFill>
        </w:rPr>
        <w:t xml:space="preserve">分；方案较完整、内容较详尽、但针对性一般的，每条最高得</w:t>
      </w:r>
      <w:r>
        <w:rPr>
          <w:rFonts w:hint="eastAsia" w:ascii="宋体" w:hAnsi="宋体" w:cs="黑体"/>
          <w:color w:val="000000" w:themeColor="text1"/>
          <w:sz w:val="24"/>
          <w:szCs w:val="24"/>
          <w:highlight w:val="none"/>
          <w:lang w:val="en-US" w:eastAsia="zh-CN"/>
          <w14:textFill>
            <w14:solidFill>
              <w14:schemeClr w14:val="tx1"/>
            </w14:solidFill>
          </w14:textFill>
        </w:rPr>
        <w:t xml:space="preserve">1</w:t>
      </w:r>
      <w:r>
        <w:rPr>
          <w:rFonts w:hint="eastAsia" w:ascii="宋体" w:hAnsi="宋体" w:cs="黑体"/>
          <w:color w:val="000000" w:themeColor="text1"/>
          <w:sz w:val="24"/>
          <w:szCs w:val="24"/>
          <w:highlight w:val="none"/>
          <w14:textFill>
            <w14:solidFill>
              <w14:schemeClr w14:val="tx1"/>
            </w14:solidFill>
          </w14:textFill>
        </w:rPr>
        <w:t xml:space="preserve">分；方案不完整、内容简略、针对性不强的，每条最高得</w:t>
      </w:r>
      <w:r>
        <w:rPr>
          <w:rFonts w:hint="eastAsia" w:ascii="宋体" w:hAnsi="宋体" w:cs="黑体"/>
          <w:color w:val="000000" w:themeColor="text1"/>
          <w:sz w:val="24"/>
          <w:szCs w:val="24"/>
          <w:highlight w:val="none"/>
          <w:lang w:val="en-US" w:eastAsia="zh-CN"/>
          <w14:textFill>
            <w14:solidFill>
              <w14:schemeClr w14:val="tx1"/>
            </w14:solidFill>
          </w14:textFill>
        </w:rPr>
        <w:t xml:space="preserve">0.5</w:t>
      </w:r>
      <w:r>
        <w:rPr>
          <w:rFonts w:hint="eastAsia" w:ascii="宋体" w:hAnsi="宋体" w:cs="黑体"/>
          <w:color w:val="000000" w:themeColor="text1"/>
          <w:sz w:val="24"/>
          <w:szCs w:val="24"/>
          <w:highlight w:val="none"/>
          <w14:textFill>
            <w14:solidFill>
              <w14:schemeClr w14:val="tx1"/>
            </w14:solidFill>
          </w14:textFill>
        </w:rPr>
        <w:t xml:space="preserve">分。每缺少一条内容或内容存在不能满足采购需求，或存在逻辑错误、前后矛盾，或存在违反现行相关规范的，该条不得分。本项最高得</w:t>
      </w:r>
      <w:r>
        <w:rPr>
          <w:rFonts w:hint="eastAsia" w:ascii="宋体" w:hAnsi="宋体" w:cs="黑体"/>
          <w:color w:val="000000" w:themeColor="text1"/>
          <w:sz w:val="24"/>
          <w:szCs w:val="24"/>
          <w:highlight w:val="none"/>
          <w:lang w:val="en-US" w:eastAsia="zh-CN"/>
          <w14:textFill>
            <w14:solidFill>
              <w14:schemeClr w14:val="tx1"/>
            </w14:solidFill>
          </w14:textFill>
        </w:rPr>
        <w:t xml:space="preserve">4</w:t>
      </w:r>
      <w:r>
        <w:rPr>
          <w:rFonts w:hint="eastAsia" w:ascii="宋体" w:hAnsi="宋体" w:cs="黑体"/>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7）应急预案（2分）</w:t>
      </w:r>
      <w:r/>
    </w:p>
    <w:p>
      <w:pPr>
        <w:ind w:firstLine="480"/>
        <w:spacing w:line="360" w:lineRule="auto"/>
        <w:rPr>
          <w:rFonts w:ascii="宋体" w:hAnsi="宋体" w:cs="黑体"/>
          <w:bCs/>
          <w:color w:val="000000" w:themeColor="text1"/>
          <w:sz w:val="24"/>
          <w:szCs w:val="24"/>
          <w:highlight w:val="none"/>
          <w14:textFill>
            <w14:solidFill>
              <w14:schemeClr w14:val="tx1"/>
            </w14:solidFill>
          </w14:textFill>
        </w:rPr>
      </w:pPr>
      <w:r>
        <w:rPr>
          <w:rFonts w:hint="eastAsia" w:ascii="宋体" w:hAnsi="宋体" w:cs="黑体"/>
          <w:bCs/>
          <w:color w:val="000000" w:themeColor="text1"/>
          <w:sz w:val="24"/>
          <w:szCs w:val="24"/>
          <w:highlight w:val="none"/>
          <w14:textFill>
            <w14:solidFill>
              <w14:schemeClr w14:val="tx1"/>
            </w14:solidFill>
          </w14:textFill>
        </w:rPr>
        <w:t xml:space="preserve">包括但不限于①突发事件视频调度应急保障（1分）②系统设备故障应急处置（1分）</w:t>
      </w:r>
      <w:r/>
    </w:p>
    <w:p>
      <w:pPr>
        <w:ind w:firstLine="516"/>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投标人须针对每条内容进行阐述，阐述内容须满足采购需求。</w:t>
      </w:r>
      <w:r>
        <w:rPr>
          <w:rFonts w:hint="eastAsia" w:ascii="宋体" w:hAnsi="宋体" w:cs="黑体"/>
          <w:bCs/>
          <w:color w:val="000000" w:themeColor="text1"/>
          <w:sz w:val="24"/>
          <w:szCs w:val="24"/>
          <w:highlight w:val="none"/>
          <w14:textFill>
            <w14:solidFill>
              <w14:schemeClr w14:val="tx1"/>
            </w14:solidFill>
          </w14:textFill>
        </w:rPr>
        <w:t xml:space="preserve">方案完整、内容详尽、针对性很强的，每条最高得1分；方案较完整、内容较详尽、针对性较强的，每条最高得0.5分；缺少内容或内容存在不能满足采购需求，或存在逻辑错误、前后矛盾，或存在违反现行相关规范的，该条不得分。</w:t>
      </w:r>
      <w:r>
        <w:rPr>
          <w:rFonts w:hint="eastAsia" w:ascii="宋体" w:hAnsi="宋体" w:cs="黑体"/>
          <w:color w:val="000000" w:themeColor="text1"/>
          <w:sz w:val="24"/>
          <w:szCs w:val="24"/>
          <w:highlight w:val="none"/>
          <w14:textFill>
            <w14:solidFill>
              <w14:schemeClr w14:val="tx1"/>
            </w14:solidFill>
          </w14:textFill>
        </w:rPr>
        <w:t xml:space="preserve">本项最高得2分。</w:t>
      </w:r>
      <w:r/>
    </w:p>
    <w:p>
      <w:pPr>
        <w:ind w:firstLine="516"/>
        <w:spacing w:line="360" w:lineRule="auto"/>
        <w:rPr>
          <w:rFonts w:ascii="宋体" w:hAnsi="宋体" w:cs="宋体"/>
          <w:b/>
          <w:color w:val="000000" w:themeColor="text1"/>
          <w:sz w:val="24"/>
          <w:szCs w:val="30"/>
          <w:highlight w:val="none"/>
          <w14:textFill>
            <w14:solidFill>
              <w14:schemeClr w14:val="tx1"/>
            </w14:solidFill>
          </w14:textFill>
        </w:rPr>
      </w:pPr>
      <w:r>
        <w:rPr>
          <w:rFonts w:hint="eastAsia" w:ascii="宋体" w:hAnsi="宋体" w:cs="宋体"/>
          <w:b/>
          <w:color w:val="000000" w:themeColor="text1"/>
          <w:sz w:val="24"/>
          <w:szCs w:val="30"/>
          <w:highlight w:val="none"/>
          <w14:textFill>
            <w14:solidFill>
              <w14:schemeClr w14:val="tx1"/>
            </w14:solidFill>
          </w14:textFill>
        </w:rPr>
        <w:t xml:space="preserve">8</w:t>
      </w:r>
      <w:r>
        <w:rPr>
          <w:rFonts w:ascii="宋体" w:hAnsi="宋体" w:cs="宋体"/>
          <w:b/>
          <w:color w:val="000000" w:themeColor="text1"/>
          <w:sz w:val="24"/>
          <w:szCs w:val="30"/>
          <w:highlight w:val="none"/>
          <w14:textFill>
            <w14:solidFill>
              <w14:schemeClr w14:val="tx1"/>
            </w14:solidFill>
          </w14:textFill>
        </w:rPr>
        <w:t xml:space="preserve">）</w:t>
      </w:r>
      <w:r>
        <w:rPr>
          <w:rFonts w:hint="eastAsia" w:ascii="宋体" w:hAnsi="宋体" w:cs="宋体"/>
          <w:b/>
          <w:color w:val="000000" w:themeColor="text1"/>
          <w:sz w:val="24"/>
          <w:szCs w:val="30"/>
          <w:highlight w:val="none"/>
          <w14:textFill>
            <w14:solidFill>
              <w14:schemeClr w14:val="tx1"/>
            </w14:solidFill>
          </w14:textFill>
        </w:rPr>
        <w:t xml:space="preserve">加分因素（1分）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依据财政部、发展改革委发布的《节能产品政府采购品目清单》和财政部、生态环境部发布的《环境标志产品政府采购品目清单》，所投产品属于节能产品政府采</w:t>
      </w:r>
      <w:r>
        <w:rPr>
          <w:rFonts w:hint="eastAsia" w:ascii="宋体" w:hAnsi="宋体" w:cs="宋体"/>
          <w:color w:val="000000" w:themeColor="text1"/>
          <w:sz w:val="24"/>
          <w:highlight w:val="none"/>
          <w14:textFill>
            <w14:solidFill>
              <w14:schemeClr w14:val="tx1"/>
            </w14:solidFill>
          </w14:textFill>
        </w:rPr>
        <w:t xml:space="preserve">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的分别加0.5分。（提供所投产品由国家确定的认证机构出具的、处于有效期之内的节能产品认证证书复印件、环境标志产品认证证书复印件，否则不得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注：同一产品同时具备节能产品认证证书、环境标志产品认证证书的，不重复计分。</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（十）定标</w:t>
      </w:r>
      <w:r/>
    </w:p>
    <w:p>
      <w:pPr>
        <w:ind w:firstLine="480"/>
        <w:spacing w:line="360" w:lineRule="auto"/>
        <w:tabs>
          <w:tab w:val="left" w:pos="709" w:leader="none"/>
          <w:tab w:val="left" w:pos="1050" w:leader="none"/>
          <w:tab w:val="left" w:pos="1418"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1.采购代理机构在评标结束后2个工作日内将评标报告送采购人，采购人在收到评标报告5个工作日内，在评标报告确定的中标候选人名单中按顺序</w:t>
      </w:r>
      <w:r>
        <w:rPr>
          <w:rFonts w:hint="eastAsia" w:ascii="宋体" w:hAnsi="宋体"/>
          <w:b/>
          <w:bCs/>
          <w:color w:val="000000" w:themeColor="text1"/>
          <w:sz w:val="24"/>
          <w:szCs w:val="24"/>
          <w:highlight w:val="none"/>
          <w14:textFill>
            <w14:solidFill>
              <w14:schemeClr w14:val="tx1"/>
            </w14:solidFill>
          </w14:textFill>
        </w:rPr>
        <w:t xml:space="preserve">确定1家中标人</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2.采购代理机构在财政部门指定的政府采购信息发布媒体上发布中标公告的同时，采购代理机构将向中标单位发出中标通知书；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w:t>
      </w:r>
      <w:r>
        <w:rPr>
          <w:rFonts w:hint="eastAsia" w:ascii="宋体" w:hAnsi="宋体"/>
          <w:bCs/>
          <w:color w:val="000000" w:themeColor="text1"/>
          <w:sz w:val="24"/>
          <w:highlight w:val="none"/>
          <w14:textFill>
            <w14:solidFill>
              <w14:schemeClr w14:val="tx1"/>
            </w14:solidFill>
          </w14:textFill>
        </w:rPr>
        <w:t xml:space="preserve">人</w:t>
      </w:r>
      <w:r>
        <w:rPr>
          <w:rFonts w:ascii="宋体" w:hAnsi="宋体"/>
          <w:bCs/>
          <w:color w:val="000000" w:themeColor="text1"/>
          <w:sz w:val="24"/>
          <w:szCs w:val="24"/>
          <w:highlight w:val="none"/>
          <w14:textFill>
            <w14:solidFill>
              <w14:schemeClr w14:val="tx1"/>
            </w14:solidFill>
          </w14:textFill>
        </w:rPr>
        <w:t xml:space="preserve">如有质疑，应在法定质疑期限内，即</w:t>
      </w:r>
      <w:r>
        <w:rPr>
          <w:rFonts w:hint="eastAsia" w:ascii="宋体" w:hAnsi="宋体"/>
          <w:bCs/>
          <w:color w:val="000000" w:themeColor="text1"/>
          <w:sz w:val="24"/>
          <w:szCs w:val="24"/>
          <w:highlight w:val="none"/>
          <w14:textFill>
            <w14:solidFill>
              <w14:schemeClr w14:val="tx1"/>
            </w14:solidFill>
          </w14:textFill>
        </w:rPr>
        <w:t xml:space="preserve">中标</w:t>
      </w:r>
      <w:r>
        <w:rPr>
          <w:rFonts w:ascii="宋体" w:hAnsi="宋体"/>
          <w:bCs/>
          <w:color w:val="000000" w:themeColor="text1"/>
          <w:sz w:val="24"/>
          <w:szCs w:val="24"/>
          <w:highlight w:val="none"/>
          <w14:textFill>
            <w14:solidFill>
              <w14:schemeClr w14:val="tx1"/>
            </w14:solidFill>
          </w14:textFill>
        </w:rPr>
        <w:t xml:space="preserve">公告期限届满之日起7个工作日内，以书面形式（原件）送达</w:t>
      </w:r>
      <w:r>
        <w:rPr>
          <w:rFonts w:hint="eastAsia" w:ascii="宋体" w:hAnsi="宋体"/>
          <w:bCs/>
          <w:color w:val="000000" w:themeColor="text1"/>
          <w:sz w:val="24"/>
          <w:szCs w:val="24"/>
          <w:highlight w:val="none"/>
          <w14:textFill>
            <w14:solidFill>
              <w14:schemeClr w14:val="tx1"/>
            </w14:solidFill>
          </w14:textFill>
        </w:rPr>
        <w:t xml:space="preserve">采购人和无锡浩源招投标咨询服务有限公司</w:t>
      </w:r>
      <w:r>
        <w:rPr>
          <w:rFonts w:ascii="宋体" w:hAnsi="宋体"/>
          <w:bCs/>
          <w:color w:val="000000" w:themeColor="text1"/>
          <w:sz w:val="24"/>
          <w:szCs w:val="24"/>
          <w:highlight w:val="none"/>
          <w14:textFill>
            <w14:solidFill>
              <w14:schemeClr w14:val="tx1"/>
            </w14:solidFill>
          </w14:textFill>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000000" w:themeColor="text1"/>
          <w:sz w:val="24"/>
          <w:szCs w:val="24"/>
          <w:highlight w:val="none"/>
          <w14:textFill>
            <w14:solidFill>
              <w14:schemeClr w14:val="tx1"/>
            </w14:solidFill>
          </w14:textFill>
        </w:rPr>
        <w:t xml:space="preserve">采购人和无锡浩源招投标咨询服务有限公司</w:t>
      </w:r>
      <w:r>
        <w:rPr>
          <w:rFonts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将在收到符合上述要求的书面质疑后七个工作日内，对质疑内容作出答复。在法定质疑期限外送达的质疑函或法定质疑期限内送达的质疑函不符合上述要求的均为无效质疑，无效质疑不予受理。</w:t>
      </w:r>
      <w:r/>
    </w:p>
    <w:p>
      <w:pPr>
        <w:ind w:right="211"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4.投标、开标及定标的整个过程均由监督人员进行现场监督，并同时接受无锡市滨湖区政府采购监督管理部门的监督。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（十一）签订、履行合同</w:t>
      </w:r>
      <w:r/>
    </w:p>
    <w:p>
      <w:pPr>
        <w:ind w:firstLine="480"/>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采购代理机构宣布中标结果，按照本招标文件和中标单位投标文件的约定，采购人应当自中标通知书发出之日起30内，按照采购文件确定的事项与中标单位签订政府采购合同。采购人因不可抗力原因迟延签订合同的，应当自不可抗力事由消除之日起7日内完成合同签订事宜。与中标单位所签订的合同不得对招标文件确定的事项和中标单位投标文件作实质性修改；</w:t>
      </w:r>
      <w:r/>
    </w:p>
    <w:p>
      <w:pPr>
        <w:ind w:firstLine="480"/>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2.履约保证金：</w:t>
      </w:r>
      <w:r>
        <w:rPr>
          <w:rFonts w:ascii="宋体" w:hAnsi="宋体"/>
          <w:bCs/>
          <w:color w:val="000000" w:themeColor="text1"/>
          <w:sz w:val="24"/>
          <w:szCs w:val="24"/>
          <w:highlight w:val="none"/>
          <w14:textFill>
            <w14:solidFill>
              <w14:schemeClr w14:val="tx1"/>
            </w14:solidFill>
          </w14:textFill>
        </w:rPr>
        <w:t xml:space="preserve">中标单位须自合同签订生效后十日内，向采购人提交合同金额的2%履约保证金。履约保证金以支票、汇票、本票或保函的方式向采购人出具。在本项目服务期满并经验收合格后二个月内不计利息退回</w:t>
      </w:r>
      <w:r>
        <w:rPr>
          <w:rFonts w:hint="eastAsia" w:ascii="宋体" w:hAnsi="宋体"/>
          <w:bCs/>
          <w:color w:val="000000" w:themeColor="text1"/>
          <w:sz w:val="24"/>
          <w:szCs w:val="24"/>
          <w:highlight w:val="none"/>
          <w14:textFill>
            <w14:solidFill>
              <w14:schemeClr w14:val="tx1"/>
            </w14:solidFill>
          </w14:textFill>
        </w:rPr>
        <w:t xml:space="preserve">。</w:t>
      </w:r>
      <w:r/>
    </w:p>
    <w:p>
      <w:pPr>
        <w:ind w:firstLine="283"/>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1.符合条件的投标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或者对招标文件作出实质性响应的投标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不足三家；</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3.因重大变故，采购任务取消。 </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采取不正当手段诋毁、排挤其他投标人的；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与招标采购单位、其他投标人恶意串通的；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在招标过程中与招标采购单位进行协商谈判、不按照招标文件和中标单位的投标文件订立合同，或者与采购单位另行订立背离合同实质性内容的协议的；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投标人有上述</w:t>
      </w:r>
      <w:r>
        <w:rPr>
          <w:bCs/>
          <w:color w:val="000000" w:themeColor="text1"/>
          <w:sz w:val="24"/>
          <w:szCs w:val="24"/>
          <w:highlight w:val="none"/>
          <w14:textFill>
            <w14:solidFill>
              <w14:schemeClr w14:val="tx1"/>
            </w14:solidFill>
          </w14:textFill>
        </w:rPr>
        <w:t xml:space="preserve">1项</w:t>
      </w:r>
      <w:r>
        <w:rPr>
          <w:rFonts w:hint="eastAsia"/>
          <w:bCs/>
          <w:color w:val="000000" w:themeColor="text1"/>
          <w:sz w:val="24"/>
          <w:szCs w:val="24"/>
          <w:highlight w:val="none"/>
          <w14:textFill>
            <w14:solidFill>
              <w14:schemeClr w14:val="tx1"/>
            </w14:solidFill>
          </w14:textFill>
        </w:rPr>
        <w:t xml:space="preserve">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（十四）其他</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招标文件的条款必须认真审阅，投标人应自行检查投标文件页数是否齐全。若有遗漏、重复或不清楚，需立刻通知采购人予以更正；凡属对条款的误解所造成的投标价格失误，由投标人负责。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（十五）关于招标代理服务费</w:t>
      </w:r>
      <w:r/>
    </w:p>
    <w:p>
      <w:pPr>
        <w:ind w:firstLine="425"/>
        <w:spacing w:line="360" w:lineRule="auto"/>
        <w:rPr>
          <w:rFonts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本项目</w:t>
      </w:r>
      <w:r>
        <w:rPr>
          <w:rFonts w:hint="eastAsia" w:ascii="宋体" w:hAnsi="宋体"/>
          <w:bCs/>
          <w:color w:val="000000" w:themeColor="text1"/>
          <w:sz w:val="24"/>
          <w:szCs w:val="24"/>
          <w:highlight w:val="none"/>
          <w14:textFill>
            <w14:solidFill>
              <w14:schemeClr w14:val="tx1"/>
            </w14:solidFill>
          </w14:textFill>
        </w:rPr>
        <w:t xml:space="preserve">招标</w:t>
      </w:r>
      <w:r>
        <w:rPr>
          <w:rFonts w:hint="eastAsia" w:ascii="宋体" w:hAnsi="宋体"/>
          <w:bCs/>
          <w:color w:val="000000" w:themeColor="text1"/>
          <w:sz w:val="24"/>
          <w:highlight w:val="none"/>
          <w14:textFill>
            <w14:solidFill>
              <w14:schemeClr w14:val="tx1"/>
            </w14:solidFill>
          </w14:textFill>
        </w:rPr>
        <w:t xml:space="preserve">代理服务费为7686元，由采购人在该项目中标合同签订完成后支付；</w:t>
      </w:r>
      <w:r/>
    </w:p>
    <w:p>
      <w:pPr>
        <w:ind w:firstLine="425"/>
        <w:spacing w:line="360" w:lineRule="auto"/>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招标代理机构出具全额发票。</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（十六）政府采购合同融资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根据无锡市《关于开展政府采购合同融资工作的通知》（锡财购〔2020〕17号）要求：合同融资，是指参与政府</w:t>
      </w:r>
      <w:r>
        <w:rPr>
          <w:rFonts w:hint="eastAsia" w:ascii="宋体" w:hAnsi="宋体"/>
          <w:bCs/>
          <w:color w:val="000000" w:themeColor="text1"/>
          <w:sz w:val="24"/>
          <w:szCs w:val="24"/>
          <w:highlight w:val="none"/>
          <w14:textFill>
            <w14:solidFill>
              <w14:schemeClr w14:val="tx1"/>
            </w14:solidFill>
          </w14:textFill>
        </w:rPr>
        <w:t xml:space="preserve">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2"/>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20" w:lineRule="exact"/>
        <w:rPr>
          <w:rFonts w:ascii="宋体" w:hAns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（十八）各方无条件遵守中华人民共和国法律</w:t>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三、项目需求及有关说明</w:t>
      </w:r>
      <w:r/>
    </w:p>
    <w:p>
      <w:pPr>
        <w:jc w:val="center"/>
        <w:spacing w:line="360" w:lineRule="auto"/>
        <w:rPr>
          <w:rFonts w:ascii="宋体" w:hAnsi="宋体" w:cs="宋体"/>
          <w:color w:val="000000" w:themeColor="text1"/>
          <w:sz w:val="24"/>
          <w:szCs w:val="24"/>
          <w:highlight w:val="none"/>
          <w14:textFill>
            <w14:solidFill>
              <w14:schemeClr w14:val="tx1"/>
            </w14:solidFill>
          </w14:textFill>
        </w:rPr>
        <w:outlineLvl w:val="0"/>
      </w:pPr>
      <w:r>
        <w:rPr>
          <w:rFonts w:ascii="宋体" w:hAnsi="宋体" w:cs="宋体"/>
          <w:color w:val="000000" w:themeColor="text1"/>
          <w:sz w:val="24"/>
          <w:szCs w:val="24"/>
          <w:highlight w:val="none"/>
          <w14:textFill>
            <w14:solidFill>
              <w14:schemeClr w14:val="tx1"/>
            </w14:solidFill>
          </w14:textFill>
        </w:rPr>
      </w:r>
      <w:r/>
    </w:p>
    <w:p>
      <w:pPr>
        <w:ind w:left="-2" w:firstLine="420"/>
        <w:spacing w:line="360" w:lineRule="auto"/>
        <w:rPr>
          <w:rFonts w:ascii="黑体" w:hAnsi="黑体" w:eastAsia="黑体"/>
          <w:color w:val="000000" w:themeColor="text1"/>
          <w:sz w:val="24"/>
          <w:szCs w:val="24"/>
          <w:highlight w:val="none"/>
          <w14:textFill>
            <w14:solidFill>
              <w14:schemeClr w14:val="tx1"/>
            </w14:solidFill>
          </w14:textFill>
        </w:rPr>
        <w:outlineLvl w:val="0"/>
      </w:pPr>
      <w:r>
        <w:rPr>
          <w:rFonts w:hint="eastAsia" w:ascii="黑体" w:hAnsi="黑体" w:eastAsia="黑体"/>
          <w:color w:val="000000" w:themeColor="text1"/>
          <w:sz w:val="24"/>
          <w:szCs w:val="24"/>
          <w:highlight w:val="none"/>
          <w14:textFill>
            <w14:solidFill>
              <w14:schemeClr w14:val="tx1"/>
            </w14:solidFill>
          </w14:textFill>
        </w:rPr>
        <w:t xml:space="preserve">（一）项目介绍</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1.项目背景</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为进一步落实党中央、国务院，省、市有关决策部署，扎实推进长江“十年禁渔”落地见效，加强保护太湖水域水生生物资源、保护生物多样性、促进生态渔业可持续发展和生态文明保护和修复，围绕智能执法巡查、事件预警、执法调度、现场处置，事件回溯，业务归档全流程智能AI监管，坚决清除涉渔违法违规行为。经研究决定，对滨湖区渔政指挥调度中心视频监控扩容项目进行招标采购。</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2.项目目标</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实现滨湖区所辖106.8公里太湖水域重点禁捕水域视频监控的全覆盖，将前期建设过程中以及系统使用过程中发现的监控盲点进行补充和完善。</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3.服务内容</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新增胥山、龙头渚踏青农庄、外水、沙渚庙、杨干港、长广溪、胡埭富安商业广场格林豪泰酒店、杨家固城河闸口、富安大桥九个视频监控点位</w:t>
      </w:r>
      <w:r>
        <w:rPr>
          <w:rFonts w:hint="eastAsia" w:ascii="宋体" w:hAnsi="宋体"/>
          <w:bCs/>
          <w:color w:val="000000" w:themeColor="text1"/>
          <w:sz w:val="24"/>
          <w:szCs w:val="24"/>
          <w:highlight w:val="none"/>
          <w14:textFill>
            <w14:solidFill>
              <w14:schemeClr w14:val="tx1"/>
            </w14:solidFill>
          </w14:textFill>
        </w:rPr>
        <w:t xml:space="preserve">。</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已建成的慕湾果园监控点位将向西移动30米左右新位置</w:t>
      </w:r>
      <w:r>
        <w:rPr>
          <w:rFonts w:hint="eastAsia" w:ascii="宋体" w:hAnsi="宋体"/>
          <w:bCs/>
          <w:color w:val="000000" w:themeColor="text1"/>
          <w:sz w:val="24"/>
          <w:szCs w:val="24"/>
          <w:highlight w:val="none"/>
          <w14:textFill>
            <w14:solidFill>
              <w14:schemeClr w14:val="tx1"/>
            </w14:solidFill>
          </w14:textFill>
        </w:rPr>
        <w:t xml:space="preserve">。</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新增九个点位的视频监控将接入滨湖区渔政指挥调度平台，同时将新增的视频信号接入公安雪亮平台和城运网。</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4.服务期限：三年（自合同签订生效之日起）</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5.硬件交付期限：签订合同后6个月内完成现场安装、调试</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6.交付地点：采购人指定地点</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7.质保期：项目整体硬件质保5年（自验收通过之日计）</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8.采购人不统一组织现场勘查，投标人如需勘查可与采购人联系，经采购人同意后由采购人安排人员陪同前往现场踏勘，投标人自行承担勘查费用和保障勘查人员的人身及财产安全。</w:t>
      </w:r>
      <w:r/>
    </w:p>
    <w:p>
      <w:pPr>
        <w:ind w:left="-2" w:firstLine="420"/>
        <w:spacing w:line="360" w:lineRule="auto"/>
        <w:rPr>
          <w:color w:val="000000" w:themeColor="text1"/>
          <w:highlight w:val="none"/>
          <w14:textFill>
            <w14:solidFill>
              <w14:schemeClr w14:val="tx1"/>
            </w14:solidFill>
          </w14:textFill>
        </w:rPr>
        <w:outlineLvl w:val="0"/>
      </w:pPr>
      <w:r/>
      <w:bookmarkStart w:id="15" w:name="OLE_LINK3"/>
      <w:r>
        <w:rPr>
          <w:rFonts w:hint="eastAsia" w:ascii="黑体" w:hAnsi="黑体" w:eastAsia="黑体"/>
          <w:color w:val="000000" w:themeColor="text1"/>
          <w:sz w:val="24"/>
          <w:szCs w:val="24"/>
          <w:highlight w:val="none"/>
          <w14:textFill>
            <w14:solidFill>
              <w14:schemeClr w14:val="tx1"/>
            </w14:solidFill>
          </w14:textFill>
        </w:rPr>
        <w:t xml:space="preserve">（二）技术规格及数量明细清单</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1.硬件设备（核心产品为微转台摄像机）</w:t>
      </w:r>
      <w:r/>
    </w:p>
    <w:tbl>
      <w:tblPr>
        <w:tblStyle w:val="69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73"/>
        <w:gridCol w:w="1797"/>
        <w:gridCol w:w="4094"/>
        <w:gridCol w:w="1484"/>
        <w:gridCol w:w="861"/>
        <w:gridCol w:w="762"/>
      </w:tblGrid>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所属系统及部署位置</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数量</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jc w:val="center"/>
              <w:widowControl/>
              <w:rPr>
                <w:rFonts w:ascii="仿宋" w:hAnsi="仿宋" w:eastAsia="仿宋" w:cs="仿宋"/>
                <w:color w:val="000000" w:themeColor="text1"/>
                <w:sz w:val="24"/>
                <w:szCs w:val="24"/>
                <w:highlight w:val="none"/>
                <w14:textFill>
                  <w14:solidFill>
                    <w14:schemeClr w14:val="tx1"/>
                  </w14:solidFill>
                </w14:textFill>
              </w:rPr>
            </w:pPr>
            <w:r/>
            <w:bookmarkStart w:id="16" w:name="OLE_LINK2"/>
            <w:r/>
            <w:bookmarkStart w:id="17" w:name="OLE_LINK1"/>
            <w:r>
              <w:rPr>
                <w:rFonts w:hint="eastAsia" w:ascii="仿宋" w:hAnsi="仿宋" w:eastAsia="仿宋" w:cs="仿宋"/>
                <w:color w:val="000000" w:themeColor="text1"/>
                <w:sz w:val="24"/>
                <w:szCs w:val="24"/>
                <w:highlight w:val="none"/>
                <w:lang w:bidi="ar"/>
                <w14:textFill>
                  <w14:solidFill>
                    <w14:schemeClr w14:val="tx1"/>
                  </w14:solidFill>
                </w14:textFill>
              </w:rPr>
              <w:t xml:space="preserve">微转台摄像机</w:t>
            </w:r>
            <w:bookmarkEnd w:id="16"/>
            <w:r/>
            <w:bookmarkEnd w:id="17"/>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可见光</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1.镜头焦距：7mm～300mm</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2.变焦倍数：光学变倍43倍，数字变倍16倍</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3.对中型车辆作用距离（4.6m×2.3m）：探测不小于7000m，识别不小于4000m</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4.对站立人员作用距离（1.8m×0.5m）：探测不小于5000m，识别不小于2500m</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5.分辨率：1920×1080</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6.照度：彩色0.01Lux，黑白0.001Lux</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7.视频编码：H.265/H.264/MJPEG，支持多码流</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8.图像处理：白平衡、电子快门、背光补偿、强光抑制、数字降噪、电子防抖、宽动态等</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9.透雾：</w:t>
            </w:r>
            <w:r>
              <w:rPr>
                <w:rFonts w:hint="eastAsia" w:ascii="仿宋" w:hAnsi="仿宋" w:eastAsia="仿宋" w:cs="仿宋"/>
                <w:color w:val="000000"/>
                <w:sz w:val="24"/>
                <w:szCs w:val="24"/>
                <w:u w:val="none"/>
                <w:lang w:val="en-US" w:eastAsia="zh-CN" w:bidi="ar"/>
              </w:rPr>
              <w:t xml:space="preserve">支持光学/电子双重透雾</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红外热成像</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1.作用距离：在能见度不小于10km、常温通视条件下，对中型车辆（4.6m×2.3m）探测不小于5000m，识别不小于1800m；对站立人员（1.8m×0.5m）探测不小于2500m，识别不小于900m；对火源(2m×2m) 探测不小于2000m</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2.探测器：非制冷VOx红外焦平面阵列</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3.阵列规模：640×512</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4.光谱范围：8μm～14μm</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5.NETD：40mK（@25℃ F1.0）</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6.镜头焦距：不小于50mm，定焦，无热化或电动聚焦可选</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7.视场：8.8°×7.0°</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8.图像增强：数字图像增强技术，支持热像图像增强调节</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9.伪彩极性：16种伪彩色图像，热黑/热白两种极性</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10.图像调节：AGC自动增益控制，亮度、对比度调节</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11.电子变倍： 1.0×～8.0×连续变倍（步长0.1），支持全局鹰眼显示</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12.测距标尺：支持被动测距</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13.坏点矫正：支持</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14.图像校正：支持手动校正、背景校正、自动校正</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15.强光保护：支持抗阳光损伤</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智能化</w:t>
            </w:r>
            <w:r>
              <w:rPr>
                <w:rFonts w:hint="eastAsia" w:ascii="仿宋" w:hAnsi="仿宋" w:eastAsia="仿宋" w:cs="仿宋"/>
                <w:b/>
                <w:bCs/>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1.火点检测报警：灵敏度阈值支持连续无级精细调节、目标大小、目标数量1-16个可设置，自动选择最突出目标显示，热点追踪，跟踪稳定精度：不大于0.2°</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2.智能分析：支持入侵侦测、越界侦测、进入/离开区域侦测、移动侦测、徘徊检测、人员聚集、快速移动、目标跟踪、物品遗留、物品拿取；人/车目标检测、人脸检测；支持人、车辆筛选过滤功能</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3.自动跟踪：支持多场景跟踪，支持报警联动跟踪，支持在可见光和热成像的场景下对移动目标进行框选跟踪</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4.AR信息融合：点位200–500个</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报警管理：支持报警抓拍上传</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5.转速：水平不低于0.01°/s～180°/s；俯仰不低于0.01°/s～90°/s</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6.俯仰角度：水平不小于270°；俯仰不小于±80°</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7.预置位巡航：预置位不少于3000个</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8.巡航扫描：支持12条巡航路线，每条可支持200个</w:t>
            </w:r>
            <w:r/>
          </w:p>
          <w:p>
            <w:pPr>
              <w:jc w:val="left"/>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整机要求</w:t>
            </w:r>
            <w:r/>
          </w:p>
          <w:p>
            <w:pPr>
              <w:numPr>
                <w:ilvl w:val="0"/>
                <w:numId w:val="2"/>
              </w:num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支持正装、吊装、侧装、壁装、临时架设中至少3种安装方式，支持画面反转</w:t>
            </w:r>
            <w:r/>
          </w:p>
          <w:p>
            <w:pPr>
              <w:numPr>
                <w:ilvl w:val="0"/>
                <w:numId w:val="2"/>
              </w:num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一体化设计，至少4窗口多通道；</w:t>
            </w:r>
            <w:r/>
          </w:p>
          <w:p>
            <w:pPr>
              <w:jc w:val="left"/>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3.防护等级不小于IP66</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胥山，龙头渚踏青农庄，外水，沙渚庙，杨干港</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高清激光高速球机</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1.传感器：1/2.8''CMOS，日夜切换</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2.分辨率：200万像素,1920×1080</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3.照度：彩色:0.01 Lux，黑白:0.001Lux（@F1.2 AGC ON）</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4.电子快门：50Hz，1/3 秒至 1/100000 秒；60Hz，1/3 秒至 1/100000 秒</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5.水平旋转范围，可0°-360°连续旋转</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6.垂直旋转范围，可0°-90°自动翻转</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7.第三码流分辨率：支持主、子码流所有分辨率</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8.激光照明和同步：镜头变倍过程中支持激光照射</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9.宽动态范围：120dB</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10.白平衡：自动/手动/自动跟踪白平衡/室外/室内/日光灯（自然光）/钠灯（路灯）</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11.支持SD卡本地存储（最大支持256G）,断网续传，增益控制自动/手动，背光补偿、电子透雾、强光抑制、3D数字降噪，饱和度、亮度、对比度、锐度可调</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12.焦距：5～117mm，高清电动变焦</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13.聚焦：手动/自动/半自动聚焦，3A自适应主动式聚焦算法，支持多种触发模式，精准高速</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14.日夜型通光：保证夜间激光补光状态下画面清晰无雾化、无眩光</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15.预置位：变倍聚焦位置定位、反馈</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16.湿度：&lt;90%</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17.防雷击：接口电路内置浪涌保护，电源4000V，信号2000V </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18.防盐雾：在盐雾环境下可正常工作</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19.防护等级不小于IP66</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长广溪、胡埭富安商业广场格林豪泰酒店、杨家固城河闸口、富安大桥</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定制拼接式立杆</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1.圆形立杆4+2M，上口径为φ160mm，下口径为φ260mm，壁厚6mm；4米处采用套筒连接2米高端杆件，可360度旋转，可可靠固定；底法兰尺寸为500*500*16mm，整体热浸锌，喷塑</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因湖边机械设备无法到达，需人工抬运至湖边，采用4台卷扬机、吊杆等设备人工安装                          </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胥山，龙头渚踏青农庄，外水</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定制立杆</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1.圆形立杆4+2M，上口径为φ160mm，下口径为φ260mm，壁厚6mm；4米处采用套筒连接2米高端杆件，可360度旋转，可可靠固定；底法兰尺寸为500*500*16mm，整体热浸锌，喷塑</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因湖边机械设备无法到达，需人工抬运至湖边，采用4台卷扬机、吊杆等设备人工安装                          </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沙渚庙，长广溪，杨干港</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定制回转挑臂</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t xml:space="preserve">1</w:t>
            </w:r>
            <w:r>
              <w:rPr>
                <w:rFonts w:hint="eastAsia" w:ascii="仿宋" w:hAnsi="仿宋" w:eastAsia="仿宋" w:cs="仿宋"/>
                <w:color w:val="000000" w:themeColor="text1"/>
                <w:sz w:val="24"/>
                <w:szCs w:val="24"/>
                <w:highlight w:val="none"/>
                <w:lang w:bidi="ar"/>
                <w14:textFill>
                  <w14:solidFill>
                    <w14:schemeClr w14:val="tx1"/>
                  </w14:solidFill>
                </w14:textFill>
              </w:rPr>
              <w:t xml:space="preserve">.挑臂3米，远端口径为φ120mm，近端口径为φ160mm，壁厚4mm；与主杆采用法兰连接，整体热浸锌喷塑。   </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2.因湖边机械设备无法到达，需人工抬运至湖边，采用4台卷扬机、吊杆等设备人工安装              </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胥山，龙头渚踏青农庄，外水，沙渚庙，长广溪，杨干港</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C25混凝土基础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1.1400*1400*1800，C25混凝土，预埋地笼尺寸为M24*6支*1.5米</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2.因湖边机械设备无法到达，需人工抬运至湖边，采用卷扬机、吊杆等设备人工安装。                                 </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胥山，龙头渚踏青农庄，外水，沙渚庙，杨干港，长广溪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4.5米立杆主杆</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主杆为八角形，上口径为φ120mm，下口径为φ200mm，壁厚4mm；底法兰尺寸为400*400*16mm，预埋件尺寸为M16*4 支*0.8 米。整体热浸锌，喷塑。</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胡埭富安商业广场格林豪泰酒店、杨家固城河闸口、富安大桥</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立杆横臂</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1～2米，横臂为八角形，口径为φ100mm，壁厚4mm/抱箍或壁装底板固定。整体热浸锌，喷塑。</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胡埭富安商业广场格林豪泰酒店、杨家固城河闸口、富安大桥</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4.5米立杆基础</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1000*1000*1200，基础要求:土方开挖、弃土、回填。含地笼；立杆基础采用混凝土浇筑，混凝土标号C25；河边人工浇筑。</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胡埭富安商业广场格林豪泰酒店、杨家固城河闸口、富安大桥</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r>
    </w:tbl>
    <w:p>
      <w:pPr>
        <w:numPr>
          <w:ilvl w:val="0"/>
          <w:numId w:val="0"/>
        </w:numPr>
        <w:ind w:left="-2" w:firstLine="472"/>
        <w:spacing w:line="360" w:lineRule="auto"/>
        <w:rPr>
          <w:color w:val="000000" w:themeColor="text1"/>
          <w:highlight w:val="none"/>
          <w14:textFill>
            <w14:solidFill>
              <w14:schemeClr w14:val="tx1"/>
            </w14:solidFill>
          </w14:textFill>
        </w:rPr>
        <w:outlineLvl w:val="0"/>
      </w:pPr>
      <w:r>
        <w:rPr>
          <w:rFonts w:ascii="Times New Roman" w:hAnsi="Times New Roman" w:eastAsia="宋体" w:cs="Times New Roman"/>
          <w:color w:val="000000" w:themeColor="text1"/>
          <w:sz w:val="21"/>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综合布线</w:t>
      </w:r>
      <w:r/>
    </w:p>
    <w:tbl>
      <w:tblPr>
        <w:tblStyle w:val="699"/>
        <w:tblW w:w="4993" w:type="pct"/>
        <w:tblInd w:w="0" w:type="dxa"/>
        <w:tblLayout w:type="fixed"/>
        <w:tblCellMar>
          <w:left w:w="108" w:type="dxa"/>
          <w:top w:w="0" w:type="dxa"/>
          <w:right w:w="108" w:type="dxa"/>
          <w:bottom w:w="0" w:type="dxa"/>
        </w:tblCellMar>
        <w:tblLook w:val="04A0" w:firstRow="1" w:lastRow="0" w:firstColumn="1" w:lastColumn="0" w:noHBand="0" w:noVBand="1"/>
      </w:tblPr>
      <w:tblGrid>
        <w:gridCol w:w="601"/>
        <w:gridCol w:w="1778"/>
        <w:gridCol w:w="5570"/>
        <w:gridCol w:w="841"/>
        <w:gridCol w:w="768"/>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数量</w:t>
            </w:r>
            <w:r/>
          </w:p>
        </w:tc>
      </w:tr>
      <w:tr>
        <w:trPr>
          <w:trHeight w:val="2496"/>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立杆迁移</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1.8米立杆移位拆装</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2.基坑1400*1400*1800，C30混凝土浇筑</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bidi="ar"/>
                <w14:textFill>
                  <w14:solidFill>
                    <w14:schemeClr w14:val="tx1"/>
                  </w14:solidFill>
                </w14:textFill>
              </w:rPr>
              <w:t xml:space="preserve">预埋件尺寸为M24*8支*1.5米 </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4.安装位置与站位距离较远，需大型汽吊进场吊装，人工固定</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5.摄像机拆装</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6.设备箱拆装</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7.管线拆除</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8.重新敷设电缆、光缆保护管150米</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9.新增FSRVV3*4电源线180米，4芯单模光缆200米</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10.光纤熔接</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设备机箱</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Style w:val="1032"/>
                <w:rFonts w:hint="default"/>
                <w:color w:val="000000" w:themeColor="text1"/>
                <w:highlight w:val="none"/>
                <w:lang w:bidi="ar"/>
                <w14:textFill>
                  <w14:solidFill>
                    <w14:schemeClr w14:val="tx1"/>
                  </w14:solidFill>
                </w14:textFill>
              </w:rPr>
              <w:t xml:space="preserve">机箱尺寸510mm*380mm*280mm左右</w:t>
            </w:r>
            <w:r>
              <w:rPr>
                <w:rStyle w:val="1033"/>
                <w:rFonts w:hint="default"/>
                <w:color w:val="000000" w:themeColor="text1"/>
                <w:highlight w:val="none"/>
                <w:lang w:bidi="ar"/>
                <w14:textFill>
                  <w14:solidFill>
                    <w14:schemeClr w14:val="tx1"/>
                  </w14:solidFill>
                </w14:textFill>
              </w:rPr>
              <w:t xml:space="preserve">，壁厚不小于1.2mm不锈钢材质，含底板、插座、端子排、组合接线插座、光纤终端盒及托架、箱内活动支架、机箱电源等配件,背包式机箱</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电表</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导轨式，200V25A单相两线制</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空气开关</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2P C型 16A220V</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避雷器</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电源、网络二合一防雷器12V或24V</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600</w:t>
            </w:r>
            <w:r>
              <w:rPr>
                <w:rFonts w:ascii="FangSong" w:hAnsi="FangSong" w:eastAsia="FangSong" w:cs="FangSong"/>
                <w:color w:val="000000"/>
                <w:sz w:val="24"/>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600</w:t>
            </w:r>
            <w:r>
              <w:rPr>
                <w:rFonts w:ascii="FangSong" w:hAnsi="FangSong" w:eastAsia="FangSong" w:cs="FangSong"/>
                <w:color w:val="000000"/>
                <w:sz w:val="24"/>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400含井盖</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避雷针</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Style w:val="1034"/>
                <w:rFonts w:eastAsia="仿宋"/>
                <w:color w:val="000000" w:themeColor="text1"/>
                <w:highlight w:val="none"/>
                <w:lang w:bidi="ar"/>
                <w14:textFill>
                  <w14:solidFill>
                    <w14:schemeClr w14:val="tx1"/>
                  </w14:solidFill>
                </w14:textFill>
              </w:rPr>
              <w:t xml:space="preserve">φ</w:t>
            </w:r>
            <w:r>
              <w:rPr>
                <w:rStyle w:val="1035"/>
                <w:rFonts w:eastAsia="仿宋"/>
                <w:color w:val="000000" w:themeColor="text1"/>
                <w:highlight w:val="none"/>
                <w:lang w:bidi="ar"/>
                <w14:textFill>
                  <w14:solidFill>
                    <w14:schemeClr w14:val="tx1"/>
                  </w14:solidFill>
                </w14:textFill>
              </w:rPr>
              <w:t xml:space="preserve">18</w:t>
            </w:r>
            <w:r>
              <w:rPr>
                <w:rStyle w:val="1032"/>
                <w:rFonts w:hint="default"/>
                <w:color w:val="000000" w:themeColor="text1"/>
                <w:highlight w:val="none"/>
                <w:lang w:bidi="ar"/>
                <w14:textFill>
                  <w14:solidFill>
                    <w14:schemeClr w14:val="tx1"/>
                  </w14:solidFill>
                </w14:textFill>
              </w:rPr>
              <w:t xml:space="preserve">热镀锌钢筋800高</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接地装置</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Style w:val="1032"/>
                <w:rFonts w:hint="default"/>
                <w:color w:val="000000" w:themeColor="text1"/>
                <w:highlight w:val="none"/>
                <w:lang w:bidi="ar"/>
                <w14:textFill>
                  <w14:solidFill>
                    <w14:schemeClr w14:val="tx1"/>
                  </w14:solidFill>
                </w14:textFill>
              </w:rPr>
              <w:t xml:space="preserve">每套臂应有一根2.5m热镀锌接地棒，</w:t>
            </w:r>
            <w:r>
              <w:rPr>
                <w:rFonts w:hint="eastAsia" w:ascii="仿宋" w:hAnsi="仿宋" w:eastAsia="仿宋" w:cs="仿宋"/>
                <w:b w:val="0"/>
                <w:bCs w:val="0"/>
                <w:i w:val="0"/>
                <w:iCs w:val="0"/>
                <w:color w:val="000000"/>
                <w:sz w:val="24"/>
                <w:szCs w:val="24"/>
                <w:u w:val="none"/>
                <w:lang w:val="en-US" w:eastAsia="zh-CN" w:bidi="ar"/>
              </w:rPr>
              <w:t xml:space="preserve">采用16m㎡裸铜线和杆件连接</w:t>
            </w:r>
            <w:r>
              <w:rPr>
                <w:rStyle w:val="1032"/>
                <w:rFonts w:hint="default"/>
                <w:color w:val="000000" w:themeColor="text1"/>
                <w:highlight w:val="none"/>
                <w:lang w:bidi="ar"/>
                <w14:textFill>
                  <w14:solidFill>
                    <w14:schemeClr w14:val="tx1"/>
                  </w14:solidFill>
                </w14:textFill>
              </w:rPr>
              <w:t xml:space="preserve">，接地电阻为﹤4</w:t>
            </w:r>
            <w:r>
              <w:rPr>
                <w:rStyle w:val="1025"/>
                <w:rFonts w:hint="default" w:eastAsia="仿宋"/>
                <w:color w:val="000000" w:themeColor="text1"/>
                <w:highlight w:val="none"/>
                <w:lang w:bidi="ar"/>
                <w14:textFill>
                  <w14:solidFill>
                    <w14:schemeClr w14:val="tx1"/>
                  </w14:solidFill>
                </w14:textFill>
              </w:rPr>
              <w:t xml:space="preserve">Ω</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信号线</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防水六类网线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防水FSRVV3*1.5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防水FSRVV3*4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2000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防水FSRVV3*2.5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单模光缆</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电缆、光缆保护管（软管）</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PE32埋山地敷设</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挂钩、紧固件、胶布、螺栓、不锈钢抱箍等</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3米光跳线</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SC单模3米</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2米网络跳线</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六类非屏蔽</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摄像机支架</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定制（根据现场实际需求）</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光纤熔接</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机械法</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光纤终端盒</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4口黑色烤漆0.8mm钢板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耦合器</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SC法兰主体陶瓷套管防尘帽</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尾纤</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SC单头1m</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摄像机电源</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220V5A</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绿化开挖补偿</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根据现场实际情况确定（含25项-30项）</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拆除路面</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 xml:space="preserve">1.</w:t>
            </w:r>
            <w:r>
              <w:rPr>
                <w:rFonts w:hint="eastAsia" w:ascii="仿宋" w:hAnsi="仿宋" w:eastAsia="仿宋" w:cs="仿宋"/>
                <w:color w:val="000000" w:themeColor="text1"/>
                <w:sz w:val="24"/>
                <w:szCs w:val="24"/>
                <w:highlight w:val="none"/>
                <w:lang w:bidi="ar"/>
                <w14:textFill>
                  <w14:solidFill>
                    <w14:schemeClr w14:val="tx1"/>
                  </w14:solidFill>
                </w14:textFill>
              </w:rPr>
              <w:t xml:space="preserve">拆除路面2、厚度:C30混凝土厚度25cm，锯缝机锯缝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路面修复与包封</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混凝土路面修复包封，C30混凝土。</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绿化内开挖沟槽</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各种苗木、草坪拆除及恢复，沟槽开挖及回填。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450</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人工开挖，山地、草地、道路等开挖。</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Style w:val="1033"/>
                <w:rFonts w:hint="default"/>
                <w:color w:val="000000" w:themeColor="text1"/>
                <w:highlight w:val="none"/>
                <w:lang w:bidi="ar"/>
                <w14:textFill>
                  <w14:solidFill>
                    <w14:schemeClr w14:val="tx1"/>
                  </w14:solidFill>
                </w14:textFill>
              </w:rPr>
              <w:t xml:space="preserve">m</w:t>
            </w:r>
            <w:r>
              <w:rPr>
                <w:rStyle w:val="1036"/>
                <w:color w:val="000000" w:themeColor="text1"/>
                <w:highlight w:val="none"/>
                <w:lang w:bidi="ar"/>
                <w14:textFill>
                  <w14:solidFill>
                    <w14:schemeClr w14:val="tx1"/>
                  </w14:solidFill>
                </w14:textFill>
              </w:rPr>
              <w:t xml:space="preserve">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310</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回填方</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人工回填，山地、草地、道路等。</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Style w:val="1033"/>
                <w:rFonts w:hint="default"/>
                <w:color w:val="000000" w:themeColor="text1"/>
                <w:highlight w:val="none"/>
                <w:lang w:bidi="ar"/>
                <w14:textFill>
                  <w14:solidFill>
                    <w14:schemeClr w14:val="tx1"/>
                  </w14:solidFill>
                </w14:textFill>
              </w:rPr>
              <w:t xml:space="preserve">m</w:t>
            </w:r>
            <w:r>
              <w:rPr>
                <w:rStyle w:val="1036"/>
                <w:color w:val="000000" w:themeColor="text1"/>
                <w:highlight w:val="none"/>
                <w:lang w:bidi="ar"/>
                <w14:textFill>
                  <w14:solidFill>
                    <w14:schemeClr w14:val="tx1"/>
                  </w14:solidFill>
                </w14:textFill>
              </w:rPr>
              <w:t xml:space="preserve">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250</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余土弃置</w:t>
            </w:r>
            <w:r/>
          </w:p>
        </w:tc>
        <w:tc>
          <w:tcPr>
            <w:shd w:val="clear" w:color="auto" w:fill="ffffff"/>
            <w:tcBorders>
              <w:top w:val="single" w:color="000000" w:sz="4" w:space="0"/>
              <w:left w:val="single" w:color="000000" w:sz="4" w:space="0"/>
              <w:bottom w:val="single" w:color="000000" w:sz="4" w:space="0"/>
              <w:right w:val="single" w:color="000000" w:sz="4" w:space="0"/>
            </w:tcBorders>
            <w:tcW w:w="291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多余土方外运弃置，运距20KM以内。</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Style w:val="1033"/>
                <w:rFonts w:hint="default"/>
                <w:color w:val="000000" w:themeColor="text1"/>
                <w:highlight w:val="none"/>
                <w:lang w:bidi="ar"/>
                <w14:textFill>
                  <w14:solidFill>
                    <w14:schemeClr w14:val="tx1"/>
                  </w14:solidFill>
                </w14:textFill>
              </w:rPr>
              <w:t xml:space="preserve">m</w:t>
            </w:r>
            <w:r>
              <w:rPr>
                <w:rStyle w:val="1036"/>
                <w:color w:val="000000" w:themeColor="text1"/>
                <w:highlight w:val="none"/>
                <w:lang w:bidi="ar"/>
                <w14:textFill>
                  <w14:solidFill>
                    <w14:schemeClr w14:val="tx1"/>
                  </w14:solidFill>
                </w14:textFill>
              </w:rPr>
              <w:t xml:space="preserve">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60</w:t>
            </w:r>
            <w:r/>
          </w:p>
        </w:tc>
      </w:tr>
    </w:tbl>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3.网络租赁</w:t>
      </w:r>
      <w:r/>
    </w:p>
    <w:tbl>
      <w:tblPr>
        <w:tblStyle w:val="699"/>
        <w:tblW w:w="4994" w:type="pct"/>
        <w:tblInd w:w="0" w:type="dxa"/>
        <w:tblLayout w:type="fixed"/>
        <w:tblCellMar>
          <w:left w:w="108" w:type="dxa"/>
          <w:top w:w="0" w:type="dxa"/>
          <w:right w:w="108" w:type="dxa"/>
          <w:bottom w:w="0" w:type="dxa"/>
        </w:tblCellMar>
        <w:tblLook w:val="04A0" w:firstRow="1" w:lastRow="0" w:firstColumn="1" w:lastColumn="0" w:noHBand="0" w:noVBand="1"/>
      </w:tblPr>
      <w:tblGrid>
        <w:gridCol w:w="835"/>
        <w:gridCol w:w="1401"/>
        <w:gridCol w:w="1793"/>
        <w:gridCol w:w="3034"/>
        <w:gridCol w:w="858"/>
        <w:gridCol w:w="914"/>
        <w:gridCol w:w="725"/>
      </w:tblGrid>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所属系统及部署位置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备注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网络专线</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100M MPLS VPN</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9个新增监控点位到机房</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三年</w:t>
            </w:r>
            <w:bookmarkEnd w:id="15"/>
            <w:r/>
            <w:r/>
          </w:p>
        </w:tc>
      </w:tr>
    </w:tbl>
    <w:p>
      <w:pPr>
        <w:ind w:left="-2" w:firstLine="542"/>
        <w:spacing w:line="360" w:lineRule="auto"/>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注：以上所有内容都包含在项目</w:t>
      </w:r>
      <w:r>
        <w:rPr>
          <w:rFonts w:ascii="宋体" w:hAnsi="宋体"/>
          <w:b/>
          <w:color w:val="000000" w:themeColor="text1"/>
          <w:sz w:val="24"/>
          <w:szCs w:val="24"/>
          <w:highlight w:val="none"/>
          <w14:textFill>
            <w14:solidFill>
              <w14:schemeClr w14:val="tx1"/>
            </w14:solidFill>
          </w14:textFill>
        </w:rPr>
        <w:t xml:space="preserve">中标价</w:t>
      </w:r>
      <w:r>
        <w:rPr>
          <w:rFonts w:hint="eastAsia" w:ascii="宋体" w:hAnsi="宋体"/>
          <w:b/>
          <w:color w:val="000000" w:themeColor="text1"/>
          <w:sz w:val="24"/>
          <w:szCs w:val="24"/>
          <w:highlight w:val="none"/>
          <w14:textFill>
            <w14:solidFill>
              <w14:schemeClr w14:val="tx1"/>
            </w14:solidFill>
          </w14:textFill>
        </w:rPr>
        <w:t xml:space="preserve">中，采购人除支付合同金额外，不再另行支付其他费用。</w:t>
      </w:r>
      <w:r/>
    </w:p>
    <w:p>
      <w:pPr>
        <w:ind w:firstLine="420"/>
        <w:spacing w:line="360" w:lineRule="auto"/>
        <w:tabs>
          <w:tab w:val="left" w:pos="855" w:leader="none"/>
        </w:tabs>
        <w:rPr>
          <w:rFonts w:ascii="黑体" w:hAnsi="黑体" w:eastAsia="黑体"/>
          <w:color w:val="000000" w:themeColor="text1"/>
          <w:sz w:val="24"/>
          <w:szCs w:val="24"/>
          <w:highlight w:val="none"/>
          <w14:textFill>
            <w14:solidFill>
              <w14:schemeClr w14:val="tx1"/>
            </w14:solidFill>
          </w14:textFill>
        </w:rPr>
        <w:outlineLvl w:val="0"/>
      </w:pPr>
      <w:r>
        <w:rPr>
          <w:rFonts w:hint="eastAsia" w:ascii="黑体" w:hAnsi="黑体" w:eastAsia="黑体"/>
          <w:color w:val="000000" w:themeColor="text1"/>
          <w:sz w:val="24"/>
          <w:szCs w:val="24"/>
          <w:highlight w:val="none"/>
          <w14:textFill>
            <w14:solidFill>
              <w14:schemeClr w14:val="tx1"/>
            </w14:solidFill>
          </w14:textFill>
        </w:rPr>
        <w:t xml:space="preserve">（三）技术规范</w:t>
      </w:r>
      <w:r/>
    </w:p>
    <w:p>
      <w:pPr>
        <w:ind w:left="-2" w:firstLine="540"/>
        <w:spacing w:line="360" w:lineRule="auto"/>
        <w:rPr>
          <w:rFonts w:ascii="宋体" w:hAnsi="宋体"/>
          <w:bCs/>
          <w:color w:val="000000" w:themeColor="text1"/>
          <w:sz w:val="24"/>
          <w:szCs w:val="24"/>
          <w:highlight w:val="none"/>
          <w:lang w:val="zh-CN"/>
          <w14:textFill>
            <w14:solidFill>
              <w14:schemeClr w14:val="tx1"/>
            </w14:solidFill>
          </w14:textFill>
        </w:rPr>
        <w:outlineLvl w:val="0"/>
      </w:pPr>
      <w:r>
        <w:rPr>
          <w:rFonts w:hint="eastAsia" w:ascii="宋体" w:hAnsi="宋体"/>
          <w:bCs/>
          <w:color w:val="000000" w:themeColor="text1"/>
          <w:sz w:val="24"/>
          <w:szCs w:val="24"/>
          <w:highlight w:val="none"/>
          <w:lang w:val="zh-CN"/>
          <w14:textFill>
            <w14:solidFill>
              <w14:schemeClr w14:val="tx1"/>
            </w14:solidFill>
          </w14:textFill>
        </w:rPr>
        <w:t xml:space="preserve">《电力工程电缆设计标准》（GB50217-2018）</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《城市消防远程监控系统技术规范》（GB50440-2007）</w:t>
      </w:r>
      <w:r/>
    </w:p>
    <w:p>
      <w:pPr>
        <w:ind w:left="-2" w:firstLine="540"/>
        <w:spacing w:line="360" w:lineRule="auto"/>
        <w:rPr>
          <w:color w:val="000000" w:themeColor="text1"/>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《城市消防远程监控系统》（GB26875.1-2011）</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（如遇政策变化按照最新政策文件执行）</w:t>
      </w:r>
      <w:r/>
    </w:p>
    <w:p>
      <w:pPr>
        <w:numPr>
          <w:ilvl w:val="0"/>
          <w:numId w:val="3"/>
        </w:numPr>
        <w:ind w:left="-2" w:firstLine="420"/>
        <w:spacing w:line="360" w:lineRule="auto"/>
        <w:rPr>
          <w:rFonts w:ascii="黑体" w:hAnsi="黑体" w:eastAsia="黑体"/>
          <w:color w:val="000000" w:themeColor="text1"/>
          <w:sz w:val="24"/>
          <w:szCs w:val="24"/>
          <w:highlight w:val="none"/>
          <w14:textFill>
            <w14:solidFill>
              <w14:schemeClr w14:val="tx1"/>
            </w14:solidFill>
          </w14:textFill>
        </w:rPr>
        <w:outlineLvl w:val="0"/>
      </w:pPr>
      <w:r>
        <w:rPr>
          <w:rFonts w:hint="eastAsia" w:ascii="黑体" w:hAnsi="黑体" w:eastAsia="黑体"/>
          <w:color w:val="000000" w:themeColor="text1"/>
          <w:sz w:val="24"/>
          <w:szCs w:val="24"/>
          <w:highlight w:val="none"/>
          <w14:textFill>
            <w14:solidFill>
              <w14:schemeClr w14:val="tx1"/>
            </w14:solidFill>
          </w14:textFill>
        </w:rPr>
        <w:t xml:space="preserve">采购标的需满足的性能要求</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1.视频监控系统要求</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高清图像采集：在光照充足的白天或良好的光线环境中，渔政视频监控系统的可见光摄像头须具备高分辨率的图像采集能力。应达到至少1080p及以上的分辨率，以清晰捕捉船只的各种细节，包括船只的类型（如渔船、货船、非法捕捞船等）、船体颜色、船身标识、船上设备等信息。热成像摄像头应具备高灵敏度的红外探测器，能够检测到微小的温度变化，确保在恶劣环境下能够有效发现目标船只。</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移动船只检测与框选</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当有船只在监控水域内移动时，系统要能够迅速检测到目标。</w:t>
      </w:r>
      <w:r>
        <w:rPr>
          <w:rFonts w:hint="eastAsia" w:ascii="宋体" w:hAnsi="宋体"/>
          <w:bCs/>
          <w:color w:val="000000" w:themeColor="text1"/>
          <w:sz w:val="24"/>
          <w:szCs w:val="24"/>
          <w:highlight w:val="none"/>
          <w14:textFill>
            <w14:solidFill>
              <w14:schemeClr w14:val="tx1"/>
            </w14:solidFill>
          </w14:textFill>
        </w:rPr>
        <w:t xml:space="preserve">具有</w:t>
      </w:r>
      <w:r>
        <w:rPr>
          <w:rFonts w:ascii="宋体" w:hAnsi="宋体"/>
          <w:bCs/>
          <w:color w:val="000000" w:themeColor="text1"/>
          <w:sz w:val="24"/>
          <w:szCs w:val="24"/>
          <w:highlight w:val="none"/>
          <w14:textFill>
            <w14:solidFill>
              <w14:schemeClr w14:val="tx1"/>
            </w14:solidFill>
          </w14:textFill>
        </w:rPr>
        <w:t xml:space="preserve">目标检测算法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对视频画面中的船只进行实时识别。一旦检测到移动船只，系统会自动在监控画面中以鲜明的矩形框将其框选出来，框选的颜色和样式应可根据用户需求进行自定义设置，以便于操作人员在众多监控画面中快速定位目标。</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跟踪功能系统</w:t>
      </w:r>
      <w:r>
        <w:rPr>
          <w:rFonts w:hint="eastAsia" w:ascii="宋体" w:hAnsi="宋体"/>
          <w:bCs/>
          <w:color w:val="000000" w:themeColor="text1"/>
          <w:sz w:val="24"/>
          <w:szCs w:val="24"/>
          <w:highlight w:val="none"/>
          <w14:textFill>
            <w14:solidFill>
              <w14:schemeClr w14:val="tx1"/>
            </w14:solidFill>
          </w14:textFill>
        </w:rPr>
        <w:t xml:space="preserve">须具备</w:t>
      </w:r>
      <w:r>
        <w:rPr>
          <w:rFonts w:ascii="宋体" w:hAnsi="宋体"/>
          <w:bCs/>
          <w:color w:val="000000" w:themeColor="text1"/>
          <w:sz w:val="24"/>
          <w:szCs w:val="24"/>
          <w:highlight w:val="none"/>
          <w14:textFill>
            <w14:solidFill>
              <w14:schemeClr w14:val="tx1"/>
            </w14:solidFill>
          </w14:textFill>
        </w:rPr>
        <w:t xml:space="preserve">跟踪能力，确保框选标记能够紧密跟随移动船只。采用跟踪算法，对船只的运动轨迹进行实时预测和更新。无论船只以何种速度、方向行驶，包括加速、减速、转弯等复杂运动，框选标记都能准确跟踪，且跟踪误差应控制在极小范围内，保证对目标船只的持续监控。系统要能够在低光照或恶劣环境下持续跟踪移动船只，确保不丢失目标。同时，记录船只的热成像数据，包括热轮廓变化、温度分布等信息。</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（4）系统的稳定性。系统应具备7×24 小时不间断工作的能力，在长时间运行过程中，不应出现死机、崩溃等故障。同时，要具备良好的抗干扰能力，能够抵御外界环境因素（如电磁干扰、温度变化、湿度变化等）和网络波动的影响，保证监控数据的稳定传输和处理。</w:t>
      </w:r>
      <w:r/>
    </w:p>
    <w:p>
      <w:pPr>
        <w:ind w:left="-2" w:firstLine="420"/>
        <w:spacing w:line="360" w:lineRule="auto"/>
        <w:rPr>
          <w:rFonts w:ascii="黑体" w:hAnsi="黑体" w:eastAsia="黑体"/>
          <w:color w:val="000000" w:themeColor="text1"/>
          <w:sz w:val="24"/>
          <w:szCs w:val="24"/>
          <w:highlight w:val="none"/>
          <w14:textFill>
            <w14:solidFill>
              <w14:schemeClr w14:val="tx1"/>
            </w14:solidFill>
          </w14:textFill>
        </w:rPr>
        <w:outlineLvl w:val="0"/>
      </w:pPr>
      <w:r>
        <w:rPr>
          <w:rFonts w:hint="eastAsia" w:ascii="黑体" w:hAnsi="黑体" w:eastAsia="黑体"/>
          <w:color w:val="000000" w:themeColor="text1"/>
          <w:sz w:val="24"/>
          <w:szCs w:val="24"/>
          <w:highlight w:val="none"/>
          <w14:textFill>
            <w14:solidFill>
              <w14:schemeClr w14:val="tx1"/>
            </w14:solidFill>
          </w14:textFill>
        </w:rPr>
        <w:t xml:space="preserve">（五）运维要求</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1.总体要求</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（1）系统需要24小时不间断运行，投标人应配备信息系统运维人员对设备进行日常维护保养工作，如排除系统软硬件故障、系统升级等。</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（2）运维人员工作内容包括建立系统设备档案、系统维护记录、系统维护记录分析等服务项目。配合专业单位的技术支持，保障系统正常运行。</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（3）对智能化系统进行正常的设备维护所需的基本维护条件，即做到“四齐”，即备件齐、配件齐、工具齐、仪器齐。</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（4）在对智能化信息化系统设备进行维护过程中，应对一些情况加以防范，尽可能使设备的运行正常，主要做好防潮、防尘、防腐、防雷、防干扰的工作。</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2.网络系统运维要求。保障系统、网络的正常运行，日常检查：整体网络的运行和线路、系统的运行是否正常、关键数据的备份是否正常执行。维护内容包括但不限于:</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（1）对系统配置列表中的计算机系统和网络设备进行检查、维护和更新；</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（2）定期巡检:每月1次，提供巡检、维护、保养；</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（3）检查系统运行状况，记录报警内容；</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（4）对系统数据、设备配置进行备份工作；</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（5）清洁主要设备内部灰尘。</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3.监控系统运维要求</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（1）负责对系统配置列表中所有的设施设备及强弱电连线维修或更换；</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（2）定期巡检：每月1次，提供巡检、维护、保养；</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（3）检查系统运行状况，记录报警内容；</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（4）对系统主控设备、摄像机设备、硬盘录像设备、电源柜等进行预防性维护工作；</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（5）对解码器、操作键盘进行功能性检查工作</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（6）对防盗报警设备(红外双监探测器、被动红外线探测器、紧急报警按钮)进行测试</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（7）周界报警探测器的校准，功能测试工作，硬件故障维修工作</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（8）安防系统各类信号线回路、供电回路、控制回路的检测及故障排除</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（9）硬盘录像机及磁盘阵列维护和硬件故障维修工作</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（10）对主控机的软件备份工作</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（11）矩阵报警接口、继电器接口模块、64路报警接口进行检查</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（12）清洁各设备内部灰尘，除静电</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（13）检查摄像机输入连接头是否牢固，线缆是否可靠连接</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（14）检查各环路输出连接头是否牢固，线缆是否可靠连接</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（15）检查硬盘录像机输入的各个连接头是否牢固，线缆是否可靠连接</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（16）检查摄像机输出连接头是否牢固，线缆是否可靠连接</w:t>
      </w:r>
      <w:r>
        <w:rPr>
          <w:rFonts w:hint="eastAsia" w:ascii="宋体" w:hAnsi="宋体"/>
          <w:bCs/>
          <w:color w:val="000000" w:themeColor="text1"/>
          <w:sz w:val="24"/>
          <w:szCs w:val="24"/>
          <w:highlight w:val="none"/>
          <w14:textFill>
            <w14:solidFill>
              <w14:schemeClr w14:val="tx1"/>
            </w14:solidFill>
          </w14:textFill>
        </w:rPr>
        <w:t xml:space="preserve">；</w:t>
      </w:r>
      <w:r/>
      <w:r>
        <w:rPr>
          <w:rFonts w:hint="eastAsia" w:ascii="宋体" w:hAnsi="宋体"/>
          <w:bCs/>
          <w:color w:val="000000" w:themeColor="text1"/>
          <w:sz w:val="24"/>
          <w:szCs w:val="24"/>
          <w:highlight w:val="none"/>
          <w14:textFill>
            <w14:solidFill>
              <w14:schemeClr w14:val="tx1"/>
            </w14:solidFill>
          </w14:textFill>
        </w:rPr>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（17）检查摄像机供电是否正常</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r>
      <w:r/>
    </w:p>
    <w:p>
      <w:pPr>
        <w:ind w:left="-2" w:firstLine="420"/>
        <w:spacing w:line="360" w:lineRule="auto"/>
        <w:rPr>
          <w:rFonts w:ascii="黑体" w:hAnsi="黑体" w:eastAsia="黑体"/>
          <w:color w:val="000000" w:themeColor="text1"/>
          <w:sz w:val="24"/>
          <w:szCs w:val="24"/>
          <w:highlight w:val="none"/>
          <w14:textFill>
            <w14:solidFill>
              <w14:schemeClr w14:val="tx1"/>
            </w14:solidFill>
          </w14:textFill>
        </w:rPr>
        <w:outlineLvl w:val="0"/>
      </w:pPr>
      <w:r>
        <w:rPr>
          <w:rFonts w:hint="eastAsia" w:ascii="黑体" w:hAnsi="黑体" w:eastAsia="黑体"/>
          <w:color w:val="000000" w:themeColor="text1"/>
          <w:sz w:val="24"/>
          <w:szCs w:val="24"/>
          <w:highlight w:val="none"/>
          <w14:textFill>
            <w14:solidFill>
              <w14:schemeClr w14:val="tx1"/>
            </w14:solidFill>
          </w14:textFill>
        </w:rPr>
        <w:t xml:space="preserve">（六）综合说明及其他说明</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1.服务要求</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w:t>
      </w:r>
      <w:r>
        <w:rPr>
          <w:rFonts w:ascii="SimSun" w:hAnsi="SimSun" w:eastAsia="SimSun" w:cs="SimSun"/>
          <w:color w:val="000000"/>
          <w:sz w:val="24"/>
        </w:rPr>
        <w:t xml:space="preserve">投标人</w:t>
      </w:r>
      <w:r>
        <w:rPr>
          <w:rFonts w:hint="eastAsia" w:ascii="宋体" w:hAnsi="宋体"/>
          <w:bCs/>
          <w:color w:val="000000" w:themeColor="text1"/>
          <w:sz w:val="24"/>
          <w:szCs w:val="24"/>
          <w:highlight w:val="none"/>
          <w14:textFill>
            <w14:solidFill>
              <w14:schemeClr w14:val="tx1"/>
            </w14:solidFill>
          </w14:textFill>
        </w:rPr>
        <w:t xml:space="preserve">应负责软硬件设备的运输、搬运、安装调试，直至验收合格。</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（2）培训：</w:t>
      </w:r>
      <w:r>
        <w:rPr>
          <w:rFonts w:ascii="SimSun" w:hAnsi="SimSun" w:eastAsia="SimSun" w:cs="SimSun"/>
          <w:color w:val="000000"/>
          <w:sz w:val="24"/>
        </w:rPr>
        <w:t xml:space="preserve">投标人</w:t>
      </w:r>
      <w:r>
        <w:rPr>
          <w:rFonts w:hint="eastAsia" w:ascii="宋体" w:hAnsi="宋体"/>
          <w:bCs/>
          <w:color w:val="000000" w:themeColor="text1"/>
          <w:sz w:val="24"/>
          <w:szCs w:val="24"/>
          <w:highlight w:val="none"/>
          <w14:textFill>
            <w14:solidFill>
              <w14:schemeClr w14:val="tx1"/>
            </w14:solidFill>
          </w14:textFill>
        </w:rPr>
        <w:t xml:space="preserve">须对软硬件设备使用人员进行现场培训，直至使用人员能完全操作。</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（3）响应时间：在质保期内，一旦发生质量问题，</w:t>
      </w:r>
      <w:r>
        <w:rPr>
          <w:rFonts w:ascii="SimSun" w:hAnsi="SimSun" w:eastAsia="SimSun" w:cs="SimSun"/>
          <w:color w:val="000000"/>
          <w:sz w:val="24"/>
        </w:rPr>
        <w:t xml:space="preserve">投标人</w:t>
      </w:r>
      <w:r>
        <w:rPr>
          <w:rFonts w:hint="eastAsia" w:ascii="宋体" w:hAnsi="宋体"/>
          <w:bCs/>
          <w:color w:val="000000" w:themeColor="text1"/>
          <w:sz w:val="24"/>
          <w:szCs w:val="24"/>
          <w:highlight w:val="none"/>
          <w14:textFill>
            <w14:solidFill>
              <w14:schemeClr w14:val="tx1"/>
            </w14:solidFill>
          </w14:textFill>
        </w:rPr>
        <w:t xml:space="preserve">接到通知2小时内响应，48小时内赶到现场进行修理、更换或退货。维修日程不超过7个工作日。</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（4）硬件产品</w:t>
      </w:r>
      <w:r>
        <w:rPr>
          <w:rFonts w:ascii="宋体" w:hAnsi="宋体"/>
          <w:bCs/>
          <w:color w:val="000000" w:themeColor="text1"/>
          <w:sz w:val="24"/>
          <w:szCs w:val="24"/>
          <w:highlight w:val="none"/>
          <w14:textFill>
            <w14:solidFill>
              <w14:schemeClr w14:val="tx1"/>
            </w14:solidFill>
          </w14:textFill>
        </w:rPr>
        <w:t xml:space="preserve">全部根据国家有关规定执行“三包”</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包退、包换和包修</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2.人员配置要求</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（1）投标人须为本项目配置专职人员至少3人，其中项目负责人1名，工程师2名；相关人员须具备本项目安装调试和运维服务所需的技术能力与相关技能证书或职称证书</w:t>
      </w:r>
      <w:r>
        <w:rPr>
          <w:rFonts w:hint="eastAsia" w:ascii="宋体" w:hAnsi="宋体"/>
          <w:bCs/>
          <w:color w:val="000000" w:themeColor="text1"/>
          <w:sz w:val="24"/>
          <w:szCs w:val="24"/>
          <w:highlight w:val="none"/>
          <w14:textFill>
            <w14:solidFill>
              <w14:schemeClr w14:val="tx1"/>
            </w14:solidFill>
          </w14:textFill>
        </w:rPr>
        <w:t xml:space="preserve">；</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（2）网络设备及硬件设备维保：投标人的服务团队需经过原厂认证的工程师或者原厂工程师；</w:t>
      </w:r>
      <w:r/>
    </w:p>
    <w:p>
      <w:pPr>
        <w:ind w:left="-2" w:firstLine="540"/>
        <w:spacing w:line="360" w:lineRule="auto"/>
        <w:rPr>
          <w:rFonts w:ascii="宋体" w:hAnsi="宋体" w:cs="宋体"/>
          <w:color w:val="000000" w:themeColor="text1"/>
          <w:sz w:val="24"/>
          <w:highlight w:val="none"/>
          <w:lang w:val="zh-CN"/>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（3）投标人</w:t>
      </w:r>
      <w:r>
        <w:rPr>
          <w:rFonts w:hint="eastAsia" w:ascii="宋体" w:hAnsi="宋体" w:cs="宋体"/>
          <w:color w:val="000000" w:themeColor="text1"/>
          <w:sz w:val="24"/>
          <w:highlight w:val="none"/>
          <w:lang w:val="zh-CN"/>
          <w14:textFill>
            <w14:solidFill>
              <w14:schemeClr w14:val="tx1"/>
            </w14:solidFill>
          </w14:textFill>
        </w:rPr>
        <w:t xml:space="preserve">为实施合同而雇用的特殊工种的人员应受过专门的培训并已取得政府有关管理机构颁发的上岗证书。</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3.投标人的报价应包括但不限于软硬件设备及其配件的采购、运输、安装调试、综合布线、网络租赁、培训、运维及售后服务等一切有关的为完成本项目发生的所有费用。</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4.质量及验收：采购人根据国家有关规定、</w:t>
      </w:r>
      <w:r>
        <w:rPr>
          <w:rFonts w:hint="eastAsia" w:ascii="宋体" w:hAnsi="宋体"/>
          <w:b/>
          <w:bCs/>
          <w:color w:val="000000" w:themeColor="text1"/>
          <w:sz w:val="24"/>
          <w:szCs w:val="24"/>
          <w:highlight w:val="none"/>
          <w14:textFill>
            <w14:solidFill>
              <w14:schemeClr w14:val="tx1"/>
            </w14:solidFill>
          </w14:textFill>
        </w:rPr>
        <w:t xml:space="preserve">采购文件的技术参数</w:t>
      </w:r>
      <w:r>
        <w:rPr>
          <w:rFonts w:hint="eastAsia" w:ascii="宋体" w:hAnsi="宋体"/>
          <w:bCs/>
          <w:color w:val="000000" w:themeColor="text1"/>
          <w:sz w:val="24"/>
          <w:szCs w:val="24"/>
          <w:highlight w:val="none"/>
          <w14:textFill>
            <w14:solidFill>
              <w14:schemeClr w14:val="tx1"/>
            </w14:solidFill>
          </w14:textFill>
        </w:rPr>
        <w:t xml:space="preserve">、中标单位的投标文件以及合同约定的内容和验收标准进行验收。验收情况作为支付货款的依据。如有质疑，以相关质量技术检验检测机构的检验结果为准，如产生检验费用，则该费用由过失方承担。按行业通行标准、厂方出厂标准、招标文件要求和供方投标文件的承诺，并不低于国家相关标准。</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5.本项目合同履行地点为无锡市，具体地点以合同书约定为准。成交单位必须按采购人要求将本项目中硬件设备送到指定地点（包括可能的分布范围），并分地实施安装调试和后期运维。</w:t>
      </w:r>
      <w:r/>
    </w:p>
    <w:p>
      <w:pPr>
        <w:ind w:left="-2" w:firstLine="54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6.服务期满后说明：中标单位所建设的设备经双方协商处理，中标单位不得擅自拆除。服务期满后，本项目中的软硬件产权归采购人所有。</w:t>
      </w:r>
      <w:r/>
    </w:p>
    <w:p>
      <w:pPr>
        <w:ind w:firstLine="544"/>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付款方式</w:t>
      </w:r>
      <w:r/>
    </w:p>
    <w:p>
      <w:pPr>
        <w:ind w:firstLine="482"/>
        <w:spacing w:line="360" w:lineRule="auto"/>
        <w:tabs>
          <w:tab w:val="left" w:pos="945" w:leader="none"/>
        </w:tabs>
        <w:rPr>
          <w:rFonts w:ascii="宋体" w:hAnsi="宋体" w:cs="仿宋"/>
          <w:bCs/>
          <w:color w:val="000000" w:themeColor="text1"/>
          <w:sz w:val="24"/>
          <w:highlight w:val="none"/>
          <w14:textFill>
            <w14:solidFill>
              <w14:schemeClr w14:val="tx1"/>
            </w14:solidFill>
          </w14:textFill>
        </w:rPr>
        <w:outlineLvl w:val="0"/>
      </w:pPr>
      <w:r>
        <w:rPr>
          <w:rFonts w:hint="eastAsia" w:ascii="宋体" w:hAnsi="宋体" w:cs="仿宋"/>
          <w:bCs/>
          <w:color w:val="000000" w:themeColor="text1"/>
          <w:sz w:val="24"/>
          <w:highlight w:val="none"/>
          <w14:textFill>
            <w14:solidFill>
              <w14:schemeClr w14:val="tx1"/>
            </w14:solidFill>
          </w14:textFill>
        </w:rPr>
        <w:t xml:space="preserve">（1）合同签订生效后，采购人向中标单位支付合同金额的50%作为预付款；项目终验合格后，采购人向中标单位支付至合同金额的80%；审定后采购人向中标单位支付至项目审定价的90%；在项目服务期满后，采购人向中标单位支付合同余款。</w:t>
      </w:r>
      <w:r/>
    </w:p>
    <w:p>
      <w:pPr>
        <w:ind w:firstLine="482"/>
        <w:spacing w:line="360" w:lineRule="auto"/>
        <w:tabs>
          <w:tab w:val="left" w:pos="945" w:leader="none"/>
        </w:tabs>
        <w:rPr>
          <w:rFonts w:ascii="宋体" w:hAnsi="宋体" w:cs="仿宋"/>
          <w:bCs/>
          <w:color w:val="000000" w:themeColor="text1"/>
          <w:sz w:val="24"/>
          <w:highlight w:val="none"/>
          <w14:textFill>
            <w14:solidFill>
              <w14:schemeClr w14:val="tx1"/>
            </w14:solidFill>
          </w14:textFill>
        </w:rPr>
        <w:outlineLvl w:val="0"/>
      </w:pPr>
      <w:r>
        <w:rPr>
          <w:rFonts w:hint="eastAsia" w:ascii="宋体" w:hAnsi="宋体" w:cs="仿宋"/>
          <w:bCs/>
          <w:color w:val="000000" w:themeColor="text1"/>
          <w:sz w:val="24"/>
          <w:highlight w:val="none"/>
          <w14:textFill>
            <w14:solidFill>
              <w14:schemeClr w14:val="tx1"/>
            </w14:solidFill>
          </w14:textFill>
        </w:rPr>
        <w:t xml:space="preserve">（2）采购人每次支付前，中标单位提供正规发票。</w:t>
      </w:r>
      <w:r/>
    </w:p>
    <w:p>
      <w:pPr>
        <w:ind w:left="-2" w:firstLine="540"/>
        <w:spacing w:line="360" w:lineRule="auto"/>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8.投标人负责用电及消防工作的安全，确保杜绝一切安全事故。因投标人的过错（包括故意和管理过失）发生施工、消防、用电等事故，由投标人承担一切责任，采购人不承担任何责任。</w:t>
      </w:r>
      <w:r/>
    </w:p>
    <w:p>
      <w:pPr>
        <w:jc w:val="center"/>
        <w:spacing w:line="360" w:lineRule="auto"/>
        <w:rPr>
          <w:rFonts w:ascii="宋体" w:hAnsi="宋体" w:cs="宋体"/>
          <w:color w:val="000000" w:themeColor="text1"/>
          <w:sz w:val="24"/>
          <w:szCs w:val="24"/>
          <w:highlight w:val="none"/>
          <w14:textFill>
            <w14:solidFill>
              <w14:schemeClr w14:val="tx1"/>
            </w14:solidFill>
          </w14:textFill>
        </w:rPr>
        <w:outlineLvl w:val="0"/>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宋体" w:hAnsi="宋体" w:cs="宋体"/>
          <w:color w:val="000000" w:themeColor="text1"/>
          <w:sz w:val="24"/>
          <w:szCs w:val="24"/>
          <w:highlight w:val="none"/>
          <w14:textFill>
            <w14:solidFill>
              <w14:schemeClr w14:val="tx1"/>
            </w14:solidFill>
          </w14:textFill>
        </w:rPr>
        <w:outlineLvl w:val="0"/>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360" w:lineRule="auto"/>
        <w:rPr>
          <w:rFonts w:ascii="黑体" w:eastAsia="黑体"/>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四、</w:t>
      </w:r>
      <w:r>
        <w:rPr>
          <w:rFonts w:ascii="黑体" w:eastAsia="黑体"/>
          <w:bCs/>
          <w:color w:val="000000" w:themeColor="text1"/>
          <w:sz w:val="28"/>
          <w:szCs w:val="28"/>
          <w:highlight w:val="none"/>
          <w14:textFill>
            <w14:solidFill>
              <w14:schemeClr w14:val="tx1"/>
            </w14:solidFill>
          </w14:textFill>
        </w:rPr>
        <w:t xml:space="preserve">合同</w:t>
      </w:r>
      <w:r>
        <w:rPr>
          <w:rFonts w:hint="eastAsia" w:ascii="黑体" w:eastAsia="黑体"/>
          <w:bCs/>
          <w:color w:val="000000" w:themeColor="text1"/>
          <w:sz w:val="28"/>
          <w:szCs w:val="28"/>
          <w:highlight w:val="none"/>
          <w14:textFill>
            <w14:solidFill>
              <w14:schemeClr w14:val="tx1"/>
            </w14:solidFill>
          </w14:textFill>
        </w:rPr>
        <w:t xml:space="preserve">书</w:t>
      </w:r>
      <w:r/>
    </w:p>
    <w:p>
      <w:pPr>
        <w:ind w:firstLine="420"/>
        <w:jc w:val="center"/>
        <w:spacing w:line="360" w:lineRule="auto"/>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（本合同为基本格式，正式内容待公开招标后填制）</w:t>
      </w:r>
      <w:r/>
    </w:p>
    <w:p>
      <w:pPr>
        <w:ind w:left="1800" w:hanging="180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566"/>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甲方（采购人）：无锡市滨湖区农业农村局</w:t>
      </w:r>
      <w:r/>
    </w:p>
    <w:p>
      <w:pPr>
        <w:ind w:firstLine="566"/>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p>
    <w:p>
      <w:pPr>
        <w:ind w:firstLine="566"/>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乙方（中标单位）：</w:t>
      </w:r>
      <w:r/>
    </w:p>
    <w:p>
      <w:pPr>
        <w:ind w:firstLine="566"/>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p>
    <w:p>
      <w:pPr>
        <w:ind w:firstLine="566"/>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丙方（见证人）：无锡浩源招投标咨询服务有限公司 </w:t>
      </w:r>
      <w:r/>
    </w:p>
    <w:p>
      <w:pPr>
        <w:ind w:firstLine="566"/>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rPr>
          <w:bCs/>
          <w:color w:val="000000" w:themeColor="text1"/>
          <w:sz w:val="24"/>
          <w:szCs w:val="24"/>
          <w:highlight w:val="none"/>
          <w14:textFill>
            <w14:solidFill>
              <w14:schemeClr w14:val="tx1"/>
            </w14:solidFill>
          </w14:textFill>
        </w:rPr>
        <w:t xml:space="preserve"> </w:t>
      </w:r>
      <w:r/>
    </w:p>
    <w:p>
      <w:pPr>
        <w:jc w:val="left"/>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中华人民共和国政府采购法》和《中华人民共和国民法典》的相关规定，为做好滨湖区渔政指挥调度中心视频监控扩容项目（以下简称“本项目”）的服务工作，经甲乙双方友好协商，本着公平、自愿、诚实守信的原则，就本项目签订本合同：</w:t>
      </w:r>
      <w:r/>
    </w:p>
    <w:p>
      <w:pPr>
        <w:pStyle w:val="934"/>
        <w:ind w:firstLine="480"/>
        <w:spacing w:line="360" w:lineRule="auto"/>
        <w:rPr>
          <w:rFonts w:hAnsi="宋体" w:cs="宋体"/>
          <w:color w:val="000000" w:themeColor="text1"/>
          <w:sz w:val="24"/>
          <w:szCs w:val="24"/>
          <w:highlight w:val="none"/>
          <w:lang w:eastAsia="zh-CN" w:bidi="ar"/>
          <w14:textFill>
            <w14:solidFill>
              <w14:schemeClr w14:val="tx1"/>
            </w14:solidFill>
          </w14:textFill>
        </w:rPr>
      </w:pPr>
      <w:r>
        <w:rPr>
          <w:rFonts w:hint="eastAsia" w:hAnsi="宋体" w:cs="宋体"/>
          <w:color w:val="000000" w:themeColor="text1"/>
          <w:sz w:val="24"/>
          <w:szCs w:val="24"/>
          <w:highlight w:val="none"/>
          <w:lang w:eastAsia="zh-CN" w:bidi="ar"/>
          <w14:textFill>
            <w14:solidFill>
              <w14:schemeClr w14:val="tx1"/>
            </w14:solidFill>
          </w14:textFill>
        </w:rPr>
        <w:t xml:space="preserve">一、采购内容</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二、履行时限(期限)、地点和方式</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三、合同金额及付款方式</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1.合同金额</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2.付款方式</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3.收款人信息</w:t>
      </w:r>
      <w:r/>
    </w:p>
    <w:p>
      <w:pPr>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四、服务内容与要求</w:t>
      </w:r>
      <w:r/>
    </w:p>
    <w:p>
      <w:pPr>
        <w:pStyle w:val="934"/>
        <w:ind w:firstLine="480"/>
        <w:spacing w:line="360" w:lineRule="auto"/>
        <w:rPr>
          <w:rFonts w:hAnsi="宋体" w:cs="宋体"/>
          <w:color w:val="000000" w:themeColor="text1"/>
          <w:sz w:val="24"/>
          <w:szCs w:val="24"/>
          <w:highlight w:val="none"/>
          <w:lang w:eastAsia="zh-CN" w:bidi="ar"/>
          <w14:textFill>
            <w14:solidFill>
              <w14:schemeClr w14:val="tx1"/>
            </w14:solidFill>
          </w14:textFill>
        </w:rPr>
      </w:pPr>
      <w:r>
        <w:rPr>
          <w:rFonts w:hint="eastAsia" w:hAnsi="宋体" w:cs="宋体"/>
          <w:color w:val="000000" w:themeColor="text1"/>
          <w:sz w:val="24"/>
          <w:szCs w:val="24"/>
          <w:highlight w:val="none"/>
          <w:lang w:eastAsia="zh-CN" w:bidi="ar"/>
          <w14:textFill>
            <w14:solidFill>
              <w14:schemeClr w14:val="tx1"/>
            </w14:solidFill>
          </w14:textFill>
        </w:rPr>
        <w:t xml:space="preserve">五</w:t>
      </w:r>
      <w:r>
        <w:rPr>
          <w:rFonts w:hAnsi="宋体" w:cs="宋体"/>
          <w:color w:val="000000" w:themeColor="text1"/>
          <w:sz w:val="24"/>
          <w:szCs w:val="24"/>
          <w:highlight w:val="none"/>
          <w:lang w:eastAsia="zh-CN" w:bidi="ar"/>
          <w14:textFill>
            <w14:solidFill>
              <w14:schemeClr w14:val="tx1"/>
            </w14:solidFill>
          </w14:textFill>
        </w:rPr>
        <w:t xml:space="preserve">、验收要求、交付标准和方法</w:t>
      </w:r>
      <w:r/>
    </w:p>
    <w:p>
      <w:pPr>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六、甲乙双方的权利和义务</w:t>
      </w:r>
      <w:r/>
    </w:p>
    <w:p>
      <w:pPr>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七、履约验收实施方案</w:t>
      </w:r>
      <w:r/>
    </w:p>
    <w:p>
      <w:pPr>
        <w:pStyle w:val="1013"/>
        <w:ind w:firstLine="480"/>
        <w:spacing w:before="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 xml:space="preserve">八、保密条款</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应加强本项目的信息管理，控制相关信息的使用范围，防止信息外泄和滥用。乙方在开展服务过程中获取的相关信息承担保密责任，不得将信息用于其他用途。乙方泄露本项目的相关信息，或未经允许用于其他用途的，任何信息的泄露，均为违约行为并承担相关的法律责任；给甲方</w:t>
      </w:r>
      <w:r>
        <w:rPr>
          <w:rFonts w:hint="eastAsia" w:ascii="宋体" w:hAnsi="宋体"/>
          <w:bCs/>
          <w:color w:val="000000" w:themeColor="text1"/>
          <w:sz w:val="24"/>
          <w:szCs w:val="24"/>
          <w:highlight w:val="none"/>
          <w:lang w:eastAsia="zh-CN"/>
          <w14:textFill>
            <w14:solidFill>
              <w14:schemeClr w14:val="tx1"/>
            </w14:solidFill>
          </w14:textFill>
        </w:rPr>
        <w:t xml:space="preserve">造成损失的，由乙方</w:t>
      </w:r>
      <w:r>
        <w:rPr>
          <w:rFonts w:hint="eastAsia" w:ascii="宋体" w:hAnsi="宋体"/>
          <w:bCs/>
          <w:color w:val="000000" w:themeColor="text1"/>
          <w:sz w:val="24"/>
          <w:szCs w:val="24"/>
          <w:highlight w:val="none"/>
          <w14:textFill>
            <w14:solidFill>
              <w14:schemeClr w14:val="tx1"/>
            </w14:solidFill>
          </w14:textFill>
        </w:rPr>
        <w:t xml:space="preserve">应当承担赔偿责任。</w:t>
      </w:r>
      <w:r/>
    </w:p>
    <w:p>
      <w:pPr>
        <w:pStyle w:val="1013"/>
        <w:ind w:firstLine="480"/>
        <w:spacing w:before="0"/>
        <w:rPr>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 xml:space="preserve">九、违约责任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1.本合同签订后甲方不得无故要求终止本合同的履行或者解除本合同，否则视为乙方已经完成全部项目服务工作并达到符合合同约定的工作成果，甲方应向乙方支付本合同项下约定的全部合同价款。</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2.本合同签订后乙方不得无故要求解除本合同或者中止本合同的履行，</w:t>
      </w:r>
      <w:r>
        <w:rPr>
          <w:rFonts w:ascii="宋体" w:hAnsi="宋体"/>
          <w:color w:val="000000" w:themeColor="text1"/>
          <w:sz w:val="24"/>
          <w:highlight w:val="none"/>
          <w14:textFill>
            <w14:solidFill>
              <w14:schemeClr w14:val="tx1"/>
            </w14:solidFill>
          </w14:textFill>
        </w:rPr>
        <w:t xml:space="preserve">否则</w:t>
      </w:r>
      <w:r>
        <w:rPr>
          <w:rFonts w:hint="eastAsia" w:ascii="宋体" w:hAnsi="宋体"/>
          <w:color w:val="000000" w:themeColor="text1"/>
          <w:sz w:val="24"/>
          <w:highlight w:val="none"/>
          <w14:textFill>
            <w14:solidFill>
              <w14:schemeClr w14:val="tx1"/>
            </w14:solidFill>
          </w14:textFill>
        </w:rPr>
        <w:t xml:space="preserve">乙方</w:t>
      </w:r>
      <w:r>
        <w:rPr>
          <w:rFonts w:ascii="宋体" w:hAnsi="宋体"/>
          <w:color w:val="000000" w:themeColor="text1"/>
          <w:sz w:val="24"/>
          <w:highlight w:val="none"/>
          <w14:textFill>
            <w14:solidFill>
              <w14:schemeClr w14:val="tx1"/>
            </w14:solidFill>
          </w14:textFill>
        </w:rPr>
        <w:t xml:space="preserve">须全额</w:t>
      </w:r>
      <w:r>
        <w:rPr>
          <w:rFonts w:hint="eastAsia" w:ascii="宋体" w:hAnsi="宋体"/>
          <w:color w:val="000000" w:themeColor="text1"/>
          <w:sz w:val="24"/>
          <w:highlight w:val="none"/>
          <w14:textFill>
            <w14:solidFill>
              <w14:schemeClr w14:val="tx1"/>
            </w14:solidFill>
          </w14:textFill>
        </w:rPr>
        <w:t xml:space="preserve">退还甲方已</w:t>
      </w:r>
      <w:r>
        <w:rPr>
          <w:rFonts w:ascii="宋体" w:hAnsi="宋体"/>
          <w:color w:val="000000" w:themeColor="text1"/>
          <w:sz w:val="24"/>
          <w:highlight w:val="none"/>
          <w14:textFill>
            <w14:solidFill>
              <w14:schemeClr w14:val="tx1"/>
            </w14:solidFill>
          </w14:textFill>
        </w:rPr>
        <w:t xml:space="preserve">支付的</w:t>
      </w:r>
      <w:r>
        <w:rPr>
          <w:rFonts w:hint="eastAsia" w:ascii="宋体" w:hAnsi="宋体"/>
          <w:color w:val="000000" w:themeColor="text1"/>
          <w:sz w:val="24"/>
          <w:highlight w:val="none"/>
          <w14:textFill>
            <w14:solidFill>
              <w14:schemeClr w14:val="tx1"/>
            </w14:solidFill>
          </w14:textFill>
        </w:rPr>
        <w:t xml:space="preserve">费用。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3.违反本合同约定，违约方应当按照《中华人民共和国民法典》有关条款的规定，承担违约责任，任一方中途解除合同的应支付合同总金额的</w:t>
      </w:r>
      <w:r>
        <w:rPr>
          <w:rFonts w:ascii="宋体" w:hAnsi="宋体"/>
          <w:color w:val="000000" w:themeColor="text1"/>
          <w:sz w:val="24"/>
          <w:highlight w:val="none"/>
          <w14:textFill>
            <w14:solidFill>
              <w14:schemeClr w14:val="tx1"/>
            </w14:solidFill>
          </w14:textFill>
        </w:rPr>
        <w:t xml:space="preserve">20</w:t>
      </w:r>
      <w:r>
        <w:rPr>
          <w:rFonts w:hint="eastAsia" w:ascii="宋体" w:hAnsi="宋体"/>
          <w:color w:val="000000" w:themeColor="text1"/>
          <w:sz w:val="24"/>
          <w:highlight w:val="none"/>
          <w14:textFill>
            <w14:solidFill>
              <w14:schemeClr w14:val="tx1"/>
            </w14:solidFill>
          </w14:textFill>
        </w:rPr>
        <w:t xml:space="preserve">%作为违约金；违约金无法弥补损失的，还应继续赔偿损失。</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4.因不可抗力，造成甲乙双方不能履行合同义务的，双方均不承担违约责任。</w:t>
      </w:r>
      <w:r/>
    </w:p>
    <w:p>
      <w:pPr>
        <w:ind w:firstLine="480"/>
        <w:spacing w:line="360" w:lineRule="auto"/>
        <w:rPr>
          <w:rFonts w:ascii="宋体"/>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十、</w:t>
      </w:r>
      <w:r>
        <w:rPr>
          <w:rFonts w:hint="eastAsia" w:ascii="宋体"/>
          <w:color w:val="000000" w:themeColor="text1"/>
          <w:sz w:val="24"/>
          <w:szCs w:val="24"/>
          <w:highlight w:val="none"/>
          <w:lang w:val="zh-CN"/>
          <w14:textFill>
            <w14:solidFill>
              <w14:schemeClr w14:val="tx1"/>
            </w14:solidFill>
          </w14:textFill>
        </w:rPr>
        <w:t xml:space="preserve">不可抗力</w:t>
      </w:r>
      <w:r/>
    </w:p>
    <w:p>
      <w:pPr>
        <w:ind w:firstLine="480"/>
        <w:spacing w:line="360" w:lineRule="auto"/>
        <w:rPr>
          <w:rFonts w:ascii="宋体"/>
          <w:color w:val="000000" w:themeColor="text1"/>
          <w:sz w:val="24"/>
          <w:szCs w:val="24"/>
          <w:highlight w:val="none"/>
          <w:lang w:val="zh-CN"/>
          <w14:textFill>
            <w14:solidFill>
              <w14:schemeClr w14:val="tx1"/>
            </w14:solidFill>
          </w14:textFill>
        </w:rPr>
      </w:pPr>
      <w:r>
        <w:rPr>
          <w:rFonts w:hint="eastAsia" w:ascii="宋体"/>
          <w:color w:val="000000" w:themeColor="text1"/>
          <w:sz w:val="24"/>
          <w:szCs w:val="24"/>
          <w:highlight w:val="none"/>
          <w:lang w:val="zh-CN"/>
          <w14:textFill>
            <w14:solidFill>
              <w14:schemeClr w14:val="tx1"/>
            </w14:solidFill>
          </w14:textFill>
        </w:rPr>
        <w:t xml:space="preserve">任何一方由于不可抗力原因不能履行合同时，应在不可抗力事件发生后48小时内向对方通报，以减轻可能给对方造成的损失，在取得有关机构的不可抗力证明或双方谅解确认后，允许延期履行或修订合同，并根据情况可部分或全部免于承担违约责任。</w:t>
      </w:r>
      <w:r/>
    </w:p>
    <w:p>
      <w:pPr>
        <w:pStyle w:val="716"/>
        <w:ind w:firstLine="480"/>
        <w:jc w:val="left"/>
        <w:spacing w:line="360" w:lineRule="auto"/>
        <w:tabs>
          <w:tab w:val="clear" w:pos="4153" w:leader="none"/>
          <w:tab w:val="clear" w:pos="8306" w:leader="none"/>
        </w:tabs>
        <w:rPr>
          <w:rFonts w:ascii="宋体" w:hAnsi="宋体" w:cs="宋体"/>
          <w:bCs/>
          <w:color w:val="000000" w:themeColor="text1"/>
          <w:sz w:val="24"/>
          <w:szCs w:val="24"/>
          <w:highlight w:val="none"/>
          <w14:textFill>
            <w14:solidFill>
              <w14:schemeClr w14:val="tx1"/>
            </w14:solidFill>
          </w14:textFill>
        </w:rPr>
        <w:pBdr>
          <w:bottom w:val="none" w:color="000000" w:sz="0" w:space="0"/>
        </w:pBdr>
      </w:pPr>
      <w:r>
        <w:rPr>
          <w:rFonts w:hint="eastAsia" w:ascii="宋体" w:hAnsi="宋体" w:cs="宋体"/>
          <w:bCs/>
          <w:color w:val="000000" w:themeColor="text1"/>
          <w:sz w:val="24"/>
          <w:szCs w:val="24"/>
          <w:highlight w:val="none"/>
          <w14:textFill>
            <w14:solidFill>
              <w14:schemeClr w14:val="tx1"/>
            </w14:solidFill>
          </w14:textFill>
        </w:rPr>
        <w:t xml:space="preserve">十一、争议处理</w:t>
      </w:r>
      <w:r/>
    </w:p>
    <w:p>
      <w:pPr>
        <w:pStyle w:val="716"/>
        <w:ind w:firstLine="480"/>
        <w:jc w:val="left"/>
        <w:spacing w:line="360" w:lineRule="auto"/>
        <w:tabs>
          <w:tab w:val="clear" w:pos="4153" w:leader="none"/>
          <w:tab w:val="clear" w:pos="8306" w:leader="none"/>
        </w:tabs>
        <w:rPr>
          <w:rFonts w:ascii="宋体" w:hAnsi="宋体" w:cs="宋体"/>
          <w:bCs/>
          <w:color w:val="000000" w:themeColor="text1"/>
          <w:sz w:val="24"/>
          <w:szCs w:val="24"/>
          <w:highlight w:val="none"/>
          <w14:textFill>
            <w14:solidFill>
              <w14:schemeClr w14:val="tx1"/>
            </w14:solidFill>
          </w14:textFill>
        </w:rPr>
        <w:pBdr>
          <w:bottom w:val="none" w:color="000000" w:sz="0" w:space="0"/>
        </w:pBdr>
      </w:pPr>
      <w:r>
        <w:rPr>
          <w:rFonts w:hint="eastAsia" w:ascii="宋体" w:hAnsi="宋体" w:cs="宋体"/>
          <w:bCs/>
          <w:color w:val="000000" w:themeColor="text1"/>
          <w:sz w:val="24"/>
          <w:szCs w:val="24"/>
          <w:highlight w:val="none"/>
          <w14:textFill>
            <w14:solidFill>
              <w14:schemeClr w14:val="tx1"/>
            </w14:solidFill>
          </w14:textFill>
        </w:rPr>
        <w:t xml:space="preserve">在本合同执行中，发生的争议应由各方积极协商解决。协商不成时，可向甲方所在地（管辖）人民法院起诉。</w:t>
      </w:r>
      <w:r/>
    </w:p>
    <w:p>
      <w:pPr>
        <w:pStyle w:val="716"/>
        <w:ind w:firstLine="480"/>
        <w:jc w:val="left"/>
        <w:spacing w:line="360" w:lineRule="auto"/>
        <w:tabs>
          <w:tab w:val="clear" w:pos="4153" w:leader="none"/>
          <w:tab w:val="clear" w:pos="8306" w:leader="none"/>
        </w:tabs>
        <w:rPr>
          <w:rFonts w:ascii="宋体"/>
          <w:bCs/>
          <w:color w:val="000000" w:themeColor="text1"/>
          <w:sz w:val="24"/>
          <w:szCs w:val="24"/>
          <w:highlight w:val="none"/>
          <w14:textFill>
            <w14:solidFill>
              <w14:schemeClr w14:val="tx1"/>
            </w14:solidFill>
          </w14:textFill>
        </w:rPr>
        <w:pBdr>
          <w:bottom w:val="none" w:color="000000" w:sz="0" w:space="0"/>
        </w:pBdr>
      </w:pPr>
      <w:r>
        <w:rPr>
          <w:rFonts w:hint="eastAsia" w:ascii="宋体" w:hAnsi="宋体" w:cs="宋体"/>
          <w:bCs/>
          <w:color w:val="000000" w:themeColor="text1"/>
          <w:sz w:val="24"/>
          <w:szCs w:val="24"/>
          <w:highlight w:val="none"/>
          <w14:textFill>
            <w14:solidFill>
              <w14:schemeClr w14:val="tx1"/>
            </w14:solidFill>
          </w14:textFill>
        </w:rPr>
        <w:t xml:space="preserve">十二、其他约定</w:t>
      </w:r>
      <w:r/>
    </w:p>
    <w:p>
      <w:pPr>
        <w:pStyle w:val="716"/>
        <w:ind w:firstLine="480"/>
        <w:jc w:val="left"/>
        <w:spacing w:line="360" w:lineRule="auto"/>
        <w:tabs>
          <w:tab w:val="clear" w:pos="4153" w:leader="none"/>
          <w:tab w:val="clear" w:pos="8306" w:leader="none"/>
        </w:tabs>
        <w:rPr>
          <w:rFonts w:ascii="宋体" w:hAnsi="宋体" w:cs="宋体"/>
          <w:bCs/>
          <w:color w:val="000000" w:themeColor="text1"/>
          <w:sz w:val="24"/>
          <w:szCs w:val="24"/>
          <w:highlight w:val="none"/>
          <w14:textFill>
            <w14:solidFill>
              <w14:schemeClr w14:val="tx1"/>
            </w14:solidFill>
          </w14:textFill>
        </w:rPr>
        <w:pBdr>
          <w:bottom w:val="none" w:color="000000" w:sz="0" w:space="0"/>
        </w:pBdr>
      </w:pPr>
      <w:r>
        <w:rPr>
          <w:rFonts w:hint="eastAsia" w:ascii="宋体" w:hAnsi="宋体" w:cs="宋体"/>
          <w:bCs/>
          <w:color w:val="000000" w:themeColor="text1"/>
          <w:sz w:val="24"/>
          <w:szCs w:val="24"/>
          <w:highlight w:val="none"/>
          <w14:textFill>
            <w14:solidFill>
              <w14:schemeClr w14:val="tx1"/>
            </w14:solidFill>
          </w14:textFill>
        </w:rPr>
        <w:t xml:space="preserve">1.本合同如有未尽事宜，经各方协商后可随时以书面形式修改或补充，并作为本合同的组成部分。修改或补充部分与本合同具有同等法律效力。</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.所有经各方签署确认的文件（包括会议纪要、补充协议、往来信函）、招标文件</w:t>
      </w:r>
      <w:r>
        <w:rPr>
          <w:rFonts w:hint="eastAsia" w:ascii="宋体" w:hAnsi="宋体"/>
          <w:color w:val="000000" w:themeColor="text1"/>
          <w:sz w:val="24"/>
          <w:highlight w:val="none"/>
          <w14:textFill>
            <w14:solidFill>
              <w14:schemeClr w14:val="tx1"/>
            </w14:solidFill>
          </w14:textFill>
        </w:rPr>
        <w:t xml:space="preserve">、投标</w:t>
      </w:r>
      <w:r>
        <w:rPr>
          <w:rFonts w:ascii="宋体" w:hAnsi="宋体"/>
          <w:color w:val="000000" w:themeColor="text1"/>
          <w:sz w:val="24"/>
          <w:highlight w:val="none"/>
          <w14:textFill>
            <w14:solidFill>
              <w14:schemeClr w14:val="tx1"/>
            </w14:solidFill>
          </w14:textFill>
        </w:rPr>
        <w:t xml:space="preserve">文件、合同附件及《中标通知书》均为本合同不可分割的有效组成部分，与本合同具有同等的法律效力。</w:t>
      </w:r>
      <w:r>
        <w:rPr>
          <w:rFonts w:hint="eastAsia" w:ascii="宋体" w:hAnsi="宋体"/>
          <w:color w:val="000000" w:themeColor="text1"/>
          <w:sz w:val="24"/>
          <w:highlight w:val="none"/>
          <w14:textFill>
            <w14:solidFill>
              <w14:schemeClr w14:val="tx1"/>
            </w14:solidFill>
          </w14:textFill>
        </w:rPr>
        <w:t xml:space="preserve">本合同与前述文件内容发生冲突的，以本合同为准。</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18" w:name="bookmark36"/>
      <w:r/>
      <w:bookmarkEnd w:id="18"/>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.本合同自甲乙双方法定代表人或授权代表签字，经</w:t>
      </w:r>
      <w:r>
        <w:rPr>
          <w:rFonts w:hint="eastAsia" w:ascii="宋体" w:hAnsi="宋体"/>
          <w:color w:val="000000" w:themeColor="text1"/>
          <w:sz w:val="24"/>
          <w:highlight w:val="none"/>
          <w14:textFill>
            <w14:solidFill>
              <w14:schemeClr w14:val="tx1"/>
            </w14:solidFill>
          </w14:textFill>
        </w:rPr>
        <w:t xml:space="preserve">丙</w:t>
      </w:r>
      <w:r>
        <w:rPr>
          <w:rFonts w:ascii="宋体" w:hAnsi="宋体"/>
          <w:color w:val="000000" w:themeColor="text1"/>
          <w:sz w:val="24"/>
          <w:highlight w:val="none"/>
          <w14:textFill>
            <w14:solidFill>
              <w14:schemeClr w14:val="tx1"/>
            </w14:solidFill>
          </w14:textFill>
        </w:rPr>
        <w:t xml:space="preserve">方见证，并</w:t>
      </w:r>
      <w:r>
        <w:rPr>
          <w:rFonts w:hint="eastAsia" w:ascii="宋体" w:hAnsi="宋体"/>
          <w:color w:val="000000" w:themeColor="text1"/>
          <w:sz w:val="24"/>
          <w:highlight w:val="none"/>
          <w14:textFill>
            <w14:solidFill>
              <w14:schemeClr w14:val="tx1"/>
            </w14:solidFill>
          </w14:textFill>
        </w:rPr>
        <w:t xml:space="preserve">在各方</w:t>
      </w:r>
      <w:r>
        <w:rPr>
          <w:rFonts w:ascii="宋体" w:hAnsi="宋体"/>
          <w:color w:val="000000" w:themeColor="text1"/>
          <w:sz w:val="24"/>
          <w:highlight w:val="none"/>
          <w14:textFill>
            <w14:solidFill>
              <w14:schemeClr w14:val="tx1"/>
            </w14:solidFill>
          </w14:textFill>
        </w:rPr>
        <w:t xml:space="preserve">单位</w:t>
      </w:r>
      <w:r>
        <w:rPr>
          <w:rFonts w:hint="eastAsia" w:ascii="宋体" w:hAnsi="宋体"/>
          <w:color w:val="000000" w:themeColor="text1"/>
          <w:sz w:val="24"/>
          <w:highlight w:val="none"/>
          <w14:textFill>
            <w14:solidFill>
              <w14:schemeClr w14:val="tx1"/>
            </w14:solidFill>
          </w14:textFill>
        </w:rPr>
        <w:t xml:space="preserve">盖章</w:t>
      </w:r>
      <w:r>
        <w:rPr>
          <w:rFonts w:ascii="宋体" w:hAnsi="宋体"/>
          <w:color w:val="000000" w:themeColor="text1"/>
          <w:sz w:val="24"/>
          <w:highlight w:val="none"/>
          <w14:textFill>
            <w14:solidFill>
              <w14:schemeClr w14:val="tx1"/>
            </w14:solidFill>
          </w14:textFill>
        </w:rPr>
        <w:t xml:space="preserve">之日起生效</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本合同</w:t>
      </w:r>
      <w:r>
        <w:rPr>
          <w:rFonts w:hint="eastAsia" w:ascii="宋体" w:hAnsi="宋体"/>
          <w:color w:val="000000" w:themeColor="text1"/>
          <w:sz w:val="24"/>
          <w:highlight w:val="none"/>
          <w14:textFill>
            <w14:solidFill>
              <w14:schemeClr w14:val="tx1"/>
            </w14:solidFill>
          </w14:textFill>
        </w:rPr>
        <w:t xml:space="preserve">壹</w:t>
      </w:r>
      <w:r>
        <w:rPr>
          <w:rFonts w:ascii="宋体" w:hAnsi="宋体"/>
          <w:color w:val="000000" w:themeColor="text1"/>
          <w:sz w:val="24"/>
          <w:highlight w:val="none"/>
          <w14:textFill>
            <w14:solidFill>
              <w14:schemeClr w14:val="tx1"/>
            </w14:solidFill>
          </w14:textFill>
        </w:rPr>
        <w:t xml:space="preserve">式</w:t>
      </w:r>
      <w:r>
        <w:rPr>
          <w:rFonts w:hint="eastAsia" w:ascii="宋体" w:hAnsi="宋体"/>
          <w:color w:val="000000" w:themeColor="text1"/>
          <w:sz w:val="24"/>
          <w:highlight w:val="none"/>
          <w14:textFill>
            <w14:solidFill>
              <w14:schemeClr w14:val="tx1"/>
            </w14:solidFill>
          </w14:textFill>
        </w:rPr>
        <w:t xml:space="preserve">陆</w:t>
      </w:r>
      <w:r>
        <w:rPr>
          <w:rFonts w:ascii="宋体" w:hAnsi="宋体"/>
          <w:color w:val="000000" w:themeColor="text1"/>
          <w:sz w:val="24"/>
          <w:highlight w:val="none"/>
          <w14:textFill>
            <w14:solidFill>
              <w14:schemeClr w14:val="tx1"/>
            </w14:solidFill>
          </w14:textFill>
        </w:rPr>
        <w:t xml:space="preserve">份，甲乙双方各执</w:t>
      </w:r>
      <w:r>
        <w:rPr>
          <w:rFonts w:hint="eastAsia" w:ascii="宋体" w:hAnsi="宋体"/>
          <w:color w:val="000000" w:themeColor="text1"/>
          <w:sz w:val="24"/>
          <w:highlight w:val="none"/>
          <w14:textFill>
            <w14:solidFill>
              <w14:schemeClr w14:val="tx1"/>
            </w14:solidFill>
          </w14:textFill>
        </w:rPr>
        <w:t xml:space="preserve">贰</w:t>
      </w:r>
      <w:r>
        <w:rPr>
          <w:rFonts w:ascii="宋体" w:hAnsi="宋体"/>
          <w:color w:val="000000" w:themeColor="text1"/>
          <w:sz w:val="24"/>
          <w:highlight w:val="none"/>
          <w14:textFill>
            <w14:solidFill>
              <w14:schemeClr w14:val="tx1"/>
            </w14:solidFill>
          </w14:textFill>
        </w:rPr>
        <w:t xml:space="preserve">份，见证方</w:t>
      </w:r>
      <w:r>
        <w:rPr>
          <w:rFonts w:hint="eastAsia" w:ascii="宋体" w:hAnsi="宋体"/>
          <w:color w:val="000000" w:themeColor="text1"/>
          <w:sz w:val="24"/>
          <w:highlight w:val="none"/>
          <w14:textFill>
            <w14:solidFill>
              <w14:schemeClr w14:val="tx1"/>
            </w14:solidFill>
          </w14:textFill>
        </w:rPr>
        <w:t xml:space="preserve">贰</w:t>
      </w:r>
      <w:r>
        <w:rPr>
          <w:rFonts w:ascii="宋体" w:hAnsi="宋体"/>
          <w:color w:val="000000" w:themeColor="text1"/>
          <w:sz w:val="24"/>
          <w:highlight w:val="none"/>
          <w14:textFill>
            <w14:solidFill>
              <w14:schemeClr w14:val="tx1"/>
            </w14:solidFill>
          </w14:textFill>
        </w:rPr>
        <w:t xml:space="preserve">份</w:t>
      </w:r>
      <w:r>
        <w:rPr>
          <w:rFonts w:hint="eastAsia" w:ascii="宋体" w:hAnsi="宋体"/>
          <w:color w:val="000000" w:themeColor="text1"/>
          <w:sz w:val="24"/>
          <w:highlight w:val="none"/>
          <w14:textFill>
            <w14:solidFill>
              <w14:schemeClr w14:val="tx1"/>
            </w14:solidFill>
          </w14:textFill>
        </w:rPr>
        <w:t xml:space="preserve">，具有同等法律效力</w:t>
      </w:r>
      <w:r>
        <w:rPr>
          <w:rFonts w:ascii="宋体" w:hAnsi="宋体"/>
          <w:color w:val="000000" w:themeColor="text1"/>
          <w:sz w:val="24"/>
          <w:highlight w:val="none"/>
          <w14:textFill>
            <w14:solidFill>
              <w14:schemeClr w14:val="tx1"/>
            </w14:solidFill>
          </w14:textFill>
        </w:rPr>
        <w:t xml:space="preserve">。</w:t>
      </w:r>
      <w:r/>
    </w:p>
    <w:p>
      <w:pPr>
        <w:spacing w:line="44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甲方（采购</w:t>
      </w:r>
      <w:r>
        <w:rPr>
          <w:rFonts w:hint="eastAsia" w:hAnsi="宋体" w:cs="宋体"/>
          <w:bCs/>
          <w:color w:val="000000" w:themeColor="text1"/>
          <w:sz w:val="24"/>
          <w:highlight w:val="none"/>
          <w14:textFill>
            <w14:solidFill>
              <w14:schemeClr w14:val="tx1"/>
            </w14:solidFill>
          </w14:textFill>
        </w:rPr>
        <w:t xml:space="preserve">人</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（盖章）   </w:t>
      </w:r>
      <w:r>
        <w:rPr>
          <w:rFonts w:hint="eastAsia"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乙方（</w:t>
      </w:r>
      <w:r>
        <w:rPr>
          <w:rFonts w:hint="eastAsia" w:hAnsi="宋体" w:cs="宋体"/>
          <w:bCs/>
          <w:color w:val="000000" w:themeColor="text1"/>
          <w:sz w:val="24"/>
          <w:highlight w:val="none"/>
          <w14:textFill>
            <w14:solidFill>
              <w14:schemeClr w14:val="tx1"/>
            </w14:solidFill>
          </w14:textFill>
        </w:rPr>
        <w:t xml:space="preserve">中标单位</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地址：</w:t>
      </w:r>
      <w:r>
        <w:rPr>
          <w:rFonts w:hint="eastAsia" w:ascii="宋体" w:hAnsi="宋体" w:cs="宋体"/>
          <w:bCs/>
          <w:color w:val="000000" w:themeColor="text1"/>
          <w:sz w:val="24"/>
          <w:highlight w:val="none"/>
          <w:u w:val="single"/>
          <w14:textFill>
            <w14:solidFill>
              <w14:schemeClr w14:val="tx1"/>
            </w14:solidFill>
          </w14:textFill>
        </w:rPr>
        <w:t xml:space="preserve">                                 </w:t>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法定（授权）代表人：</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法定（授权）代表人：</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144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日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日</w:t>
      </w:r>
      <w:r/>
    </w:p>
    <w:p>
      <w:pPr>
        <w:spacing w:line="44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见证方：</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法定（授权）代表人：</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ind w:firstLine="1440"/>
        <w:spacing w:line="440" w:lineRule="exact"/>
        <w:rPr>
          <w:rFonts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u w:val="single"/>
          <w14:textFill>
            <w14:solidFill>
              <w14:schemeClr w14:val="tx1"/>
            </w14:solidFill>
          </w14:textFill>
        </w:rPr>
        <w:t xml:space="preserve">        </w:t>
      </w:r>
      <w:r>
        <w:rPr>
          <w:rFonts w:hint="eastAsia" w:ascii="宋体" w:hAnsi="宋体" w:cs="宋体"/>
          <w:bCs/>
          <w:color w:val="000000" w:themeColor="text1"/>
          <w:sz w:val="24"/>
          <w:szCs w:val="22"/>
          <w:highlight w:val="none"/>
          <w14:textFill>
            <w14:solidFill>
              <w14:schemeClr w14:val="tx1"/>
            </w14:solidFill>
          </w14:textFill>
        </w:rPr>
        <w:t xml:space="preserve">年</w:t>
      </w:r>
      <w:r>
        <w:rPr>
          <w:rFonts w:hint="eastAsia" w:ascii="宋体" w:hAnsi="宋体" w:cs="宋体"/>
          <w:bCs/>
          <w:color w:val="000000" w:themeColor="text1"/>
          <w:sz w:val="24"/>
          <w:szCs w:val="22"/>
          <w:highlight w:val="none"/>
          <w:u w:val="single"/>
          <w14:textFill>
            <w14:solidFill>
              <w14:schemeClr w14:val="tx1"/>
            </w14:solidFill>
          </w14:textFill>
        </w:rPr>
        <w:t xml:space="preserve">      </w:t>
      </w:r>
      <w:r>
        <w:rPr>
          <w:rFonts w:hint="eastAsia" w:ascii="宋体" w:hAnsi="宋体" w:cs="宋体"/>
          <w:bCs/>
          <w:color w:val="000000" w:themeColor="text1"/>
          <w:sz w:val="24"/>
          <w:szCs w:val="22"/>
          <w:highlight w:val="none"/>
          <w14:textFill>
            <w14:solidFill>
              <w14:schemeClr w14:val="tx1"/>
            </w14:solidFill>
          </w14:textFill>
        </w:rPr>
        <w:t xml:space="preserve">月</w:t>
      </w:r>
      <w:r>
        <w:rPr>
          <w:rFonts w:hint="eastAsia" w:ascii="宋体" w:hAnsi="宋体" w:cs="宋体"/>
          <w:bCs/>
          <w:color w:val="000000" w:themeColor="text1"/>
          <w:sz w:val="24"/>
          <w:szCs w:val="22"/>
          <w:highlight w:val="none"/>
          <w:u w:val="single"/>
          <w14:textFill>
            <w14:solidFill>
              <w14:schemeClr w14:val="tx1"/>
            </w14:solidFill>
          </w14:textFill>
        </w:rPr>
        <w:t xml:space="preserve">       </w:t>
      </w:r>
      <w:r>
        <w:rPr>
          <w:rFonts w:hint="eastAsia" w:ascii="宋体" w:hAnsi="宋体" w:cs="宋体"/>
          <w:bCs/>
          <w:color w:val="000000" w:themeColor="text1"/>
          <w:sz w:val="24"/>
          <w:szCs w:val="22"/>
          <w:highlight w:val="none"/>
          <w14:textFill>
            <w14:solidFill>
              <w14:schemeClr w14:val="tx1"/>
            </w14:solidFill>
          </w14:textFill>
        </w:rPr>
        <w:t xml:space="preserve">日</w:t>
      </w:r>
      <w:r/>
    </w:p>
    <w:p>
      <w:pPr>
        <w:ind w:firstLine="1440"/>
        <w:spacing w:line="440" w:lineRule="exact"/>
        <w:rPr>
          <w:rFonts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rPr>
          <w:rFonts w:hint="eastAsia"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br w:type="page" w:clear="all"/>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bookmarkStart w:id="35" w:name="_GoBack"/>
      <w:r/>
      <w:bookmarkEnd w:id="35"/>
      <w:r>
        <w:rPr>
          <w:rFonts w:hint="eastAsia" w:ascii="黑体" w:hAnsi="黑体" w:eastAsia="黑体"/>
          <w:color w:val="000000" w:themeColor="text1"/>
          <w:sz w:val="28"/>
          <w:szCs w:val="28"/>
          <w:highlight w:val="none"/>
          <w14:textFill>
            <w14:solidFill>
              <w14:schemeClr w14:val="tx1"/>
            </w14:solidFill>
          </w14:textFill>
        </w:rPr>
        <w:t xml:space="preserve">五、投标文件格式</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left="1676"/>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center"/>
        <w:rPr>
          <w:rFonts w:ascii="黑体" w:hAnsi="华文中宋" w:eastAsia="黑体"/>
          <w:bCs/>
          <w:color w:val="000000" w:themeColor="text1"/>
          <w:sz w:val="52"/>
          <w:szCs w:val="52"/>
          <w:highlight w:val="none"/>
          <w14:textFill>
            <w14:solidFill>
              <w14:schemeClr w14:val="tx1"/>
            </w14:solidFill>
          </w14:textFill>
        </w:rPr>
      </w:pPr>
      <w:r>
        <w:rPr>
          <w:rFonts w:ascii="黑体" w:hAnsi="华文中宋" w:eastAsia="黑体"/>
          <w:bCs/>
          <w:color w:val="000000" w:themeColor="text1"/>
          <w:sz w:val="52"/>
          <w:szCs w:val="52"/>
          <w:highlight w:val="none"/>
          <w14:textFill>
            <w14:solidFill>
              <w14:schemeClr w14:val="tx1"/>
            </w14:solidFill>
          </w14:textFill>
        </w:rPr>
      </w:r>
      <w:r/>
    </w:p>
    <w:p>
      <w:pPr>
        <w:jc w:val="center"/>
        <w:rPr>
          <w:rFonts w:ascii="黑体" w:hAnsi="黑体" w:eastAsia="黑体"/>
          <w:bCs/>
          <w:color w:val="000000" w:themeColor="text1"/>
          <w:spacing w:val="20"/>
          <w:sz w:val="52"/>
          <w:szCs w:val="52"/>
          <w:highlight w:val="none"/>
          <w14:textFill>
            <w14:solidFill>
              <w14:schemeClr w14:val="tx1"/>
            </w14:solidFill>
          </w14:textFill>
        </w:rPr>
      </w:pPr>
      <w:r>
        <w:rPr>
          <w:rFonts w:hint="eastAsia" w:ascii="黑体" w:hAnsi="黑体" w:eastAsia="黑体"/>
          <w:bCs/>
          <w:color w:val="000000" w:themeColor="text1"/>
          <w:spacing w:val="20"/>
          <w:sz w:val="52"/>
          <w:szCs w:val="52"/>
          <w:highlight w:val="none"/>
          <w14:textFill>
            <w14:solidFill>
              <w14:schemeClr w14:val="tx1"/>
            </w14:solidFill>
          </w14:textFill>
        </w:rPr>
        <w:t xml:space="preserve">滨湖区渔政指挥调度中心视频</w:t>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hAnsi="黑体" w:eastAsia="黑体"/>
          <w:bCs/>
          <w:color w:val="000000" w:themeColor="text1"/>
          <w:spacing w:val="20"/>
          <w:sz w:val="52"/>
          <w:szCs w:val="52"/>
          <w:highlight w:val="none"/>
          <w14:textFill>
            <w14:solidFill>
              <w14:schemeClr w14:val="tx1"/>
            </w14:solidFill>
          </w14:textFill>
        </w:rPr>
        <w:t xml:space="preserve">监控扩容项目</w:t>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ascii="黑体" w:hAnsi="黑体"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hint="eastAsia" w:ascii="黑体" w:hAnsi="黑体" w:eastAsia="黑体"/>
          <w:bCs/>
          <w:color w:val="000000" w:themeColor="text1"/>
          <w:sz w:val="52"/>
          <w:szCs w:val="52"/>
          <w:highlight w:val="none"/>
          <w14:textFill>
            <w14:solidFill>
              <w14:schemeClr w14:val="tx1"/>
            </w14:solidFill>
          </w14:textFill>
        </w:rPr>
        <w:t xml:space="preserve">投标文件</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1320"/>
        <w:spacing w:line="360" w:lineRule="auto"/>
        <w:rPr>
          <w:rFonts w:hint="eastAsia"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r>
      <w:r/>
    </w:p>
    <w:p>
      <w:pPr>
        <w:ind w:firstLine="1320"/>
        <w:spacing w:line="360" w:lineRule="auto"/>
        <w:rPr>
          <w:rFonts w:hint="eastAsia"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r>
      <w:r/>
    </w:p>
    <w:p>
      <w:pPr>
        <w:ind w:firstLine="1320"/>
        <w:spacing w:line="360" w:lineRule="auto"/>
        <w:rPr>
          <w:rFonts w:hint="eastAsia" w:ascii="黑体" w:hAnsi="黑体" w:eastAsia="黑体"/>
          <w:bCs/>
          <w:color w:val="000000" w:themeColor="text1"/>
          <w:sz w:val="44"/>
          <w:szCs w:val="44"/>
          <w:highlight w:val="none"/>
          <w:lang w:eastAsia="zh-CN"/>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编号：</w:t>
      </w:r>
      <w:r>
        <w:rPr>
          <w:rFonts w:hint="eastAsia" w:ascii="黑体" w:hAnsi="黑体" w:eastAsia="黑体"/>
          <w:bCs/>
          <w:color w:val="000000" w:themeColor="text1"/>
          <w:sz w:val="44"/>
          <w:szCs w:val="44"/>
          <w:highlight w:val="none"/>
          <w:lang w:eastAsia="zh-CN"/>
          <w14:textFill>
            <w14:solidFill>
              <w14:schemeClr w14:val="tx1"/>
            </w14:solidFill>
          </w14:textFill>
        </w:rPr>
        <w:t xml:space="preserve">JSZC-320211-HYFW-G2026-0012</w:t>
      </w:r>
      <w:r/>
    </w:p>
    <w:p>
      <w:pPr>
        <w:ind w:firstLine="880"/>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投标人：</w:t>
      </w:r>
      <w:r>
        <w:rPr>
          <w:rFonts w:ascii="黑体" w:hAnsi="黑体" w:eastAsia="黑体"/>
          <w:bCs/>
          <w:color w:val="000000" w:themeColor="text1"/>
          <w:sz w:val="44"/>
          <w:szCs w:val="44"/>
          <w:highlight w:val="none"/>
          <w14:textFill>
            <w14:solidFill>
              <w14:schemeClr w14:val="tx1"/>
            </w14:solidFill>
          </w14:textFill>
        </w:rPr>
        <w:t xml:space="preserve"> </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二〇二六年 月</w:t>
      </w:r>
      <w:r/>
    </w:p>
    <w:p>
      <w:pPr>
        <w:rPr>
          <w:rFonts w:ascii="宋体" w:hAnsi="宋体"/>
          <w:b/>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 （一）投标函（格式）</w:t>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致无锡浩源招投标咨询服务有限公司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我们收到你们编号</w:t>
      </w:r>
      <w:r>
        <w:rPr>
          <w:rFonts w:hint="eastAsia" w:ascii="宋体" w:hAnsi="宋体"/>
          <w:bCs/>
          <w:color w:val="000000" w:themeColor="text1"/>
          <w:sz w:val="24"/>
          <w:szCs w:val="24"/>
          <w:highlight w:val="none"/>
          <w:lang w:eastAsia="zh-CN"/>
          <w14:textFill>
            <w14:solidFill>
              <w14:schemeClr w14:val="tx1"/>
            </w14:solidFill>
          </w14:textFill>
        </w:rPr>
        <w:t xml:space="preserve">JSZC-320211-HYFW-G2026-0012</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招标文件，经仔细阅读和研究，我们决定参加此次滨湖区渔政指挥调度中心视频监控扩容项目的投标。</w:t>
      </w:r>
      <w:r/>
    </w:p>
    <w:p>
      <w:pPr>
        <w:ind w:firstLine="480"/>
        <w:spacing w:line="360" w:lineRule="auto"/>
        <w:tabs>
          <w:tab w:val="left" w:pos="315" w:leader="none"/>
          <w:tab w:val="left" w:pos="525" w:leader="none"/>
          <w:tab w:val="left" w:pos="945" w:leader="none"/>
          <w:tab w:val="left" w:pos="1155" w:leader="none"/>
        </w:tabs>
        <w:rPr>
          <w:rStyle w:val="738"/>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一、我们愿意提供在招标文件中要求的文件、资料（具体内容如下）</w:t>
      </w:r>
      <w:r>
        <w:rPr>
          <w:rStyle w:val="738"/>
          <w:rFonts w:hint="eastAsia"/>
          <w:color w:val="000000" w:themeColor="text1"/>
          <w:highlight w:val="none"/>
          <w14:textFill>
            <w14:solidFill>
              <w14:schemeClr w14:val="tx1"/>
            </w14:solidFill>
          </w14:textFill>
        </w:rPr>
        <w:t xml:space="preserve">：</w:t>
      </w:r>
      <w:r/>
    </w:p>
    <w:p>
      <w:pPr>
        <w:ind w:firstLine="480"/>
        <w:jc w:val="left"/>
        <w:spacing w:line="360" w:lineRule="auto"/>
        <w:rPr>
          <w:rStyle w:val="1005"/>
          <w:rFonts w:ascii="宋体" w:hAnsi="宋体" w:cs="宋体"/>
          <w:b/>
          <w:color w:val="000000" w:themeColor="text1"/>
          <w:sz w:val="24"/>
          <w:szCs w:val="24"/>
          <w:highlight w:val="none"/>
          <w14:textFill>
            <w14:solidFill>
              <w14:schemeClr w14:val="tx1"/>
            </w14:solidFill>
          </w14:textFill>
        </w:rPr>
      </w:pPr>
      <w:r>
        <w:rPr>
          <w:rStyle w:val="1005"/>
          <w:rFonts w:hint="eastAsia" w:ascii="宋体" w:hAnsi="宋体" w:cs="宋体"/>
          <w:b/>
          <w:color w:val="000000" w:themeColor="text1"/>
          <w:sz w:val="24"/>
          <w:szCs w:val="24"/>
          <w:highlight w:val="none"/>
          <w14:textFill>
            <w14:solidFill>
              <w14:schemeClr w14:val="tx1"/>
            </w14:solidFill>
          </w14:textFill>
        </w:rPr>
        <w:t xml:space="preserve">第一部分：证明文件部分</w:t>
      </w:r>
      <w:r/>
    </w:p>
    <w:p>
      <w:pPr>
        <w:ind w:firstLine="480"/>
        <w:jc w:val="left"/>
        <w:spacing w:line="360" w:lineRule="auto"/>
        <w:rPr>
          <w:color w:val="000000" w:themeColor="text1"/>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1.投标函（</w:t>
      </w:r>
      <w:r>
        <w:rPr>
          <w:rStyle w:val="1005"/>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005"/>
          <w:rFonts w:ascii="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2.资格、资信证明文件</w:t>
      </w:r>
      <w:r>
        <w:rPr>
          <w:rFonts w:hint="eastAsia" w:ascii="宋体" w:hAnsi="宋体" w:cs="宋体"/>
          <w:b/>
          <w:color w:val="000000" w:themeColor="text1"/>
          <w:highlight w:val="none"/>
          <w14:textFill>
            <w14:solidFill>
              <w14:schemeClr w14:val="tx1"/>
            </w14:solidFill>
          </w14:textFill>
        </w:rPr>
        <w:t xml:space="preserve">（</w:t>
      </w:r>
      <w:r>
        <w:rPr>
          <w:rStyle w:val="1005"/>
          <w:rFonts w:hint="eastAsia"/>
          <w:b/>
          <w:color w:val="000000" w:themeColor="text1"/>
          <w:sz w:val="24"/>
          <w:szCs w:val="24"/>
          <w:highlight w:val="none"/>
          <w14:textFill>
            <w14:solidFill>
              <w14:schemeClr w14:val="tx1"/>
            </w14:solidFill>
          </w14:textFill>
        </w:rPr>
        <w:t xml:space="preserve">扫描后上传，身份证应为正、反面</w:t>
      </w:r>
      <w:r>
        <w:rPr>
          <w:rFonts w:hint="eastAsia" w:ascii="宋体" w:hAnsi="宋体" w:cs="宋体"/>
          <w:b/>
          <w:color w:val="000000" w:themeColor="text1"/>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（1）关于资格的声明函（</w:t>
      </w:r>
      <w:r>
        <w:rPr>
          <w:rStyle w:val="1005"/>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投标人有效期内的营业执照复印件和扫描件，如投标人是被授权的分支机构还须另行提供出具授权书的企业法人有效期内的营业执照复印件或扫描件</w:t>
      </w:r>
      <w:r>
        <w:rPr>
          <w:rFonts w:hint="eastAsia" w:ascii="宋体" w:hAnsi="宋体"/>
          <w:b/>
          <w:bCs/>
          <w:color w:val="000000" w:themeColor="text1"/>
          <w:sz w:val="24"/>
          <w:szCs w:val="24"/>
          <w:highlight w:val="none"/>
          <w14:textFill>
            <w14:solidFill>
              <w14:schemeClr w14:val="tx1"/>
            </w14:solidFill>
          </w14:textFill>
        </w:rPr>
        <w:t xml:space="preserve">（投标人和投标人总公司的营业执照复印件或扫描件均须加盖各自公章）；</w:t>
      </w:r>
      <w:r/>
    </w:p>
    <w:p>
      <w:pPr>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（3）委托投标授权书</w:t>
      </w:r>
      <w:r>
        <w:rPr>
          <w:rFonts w:hint="eastAsia" w:ascii="Arial" w:hAnsi="Arial" w:cs="Arial"/>
          <w:b/>
          <w:bCs/>
          <w:color w:val="000000" w:themeColor="text1"/>
          <w:sz w:val="24"/>
          <w:szCs w:val="24"/>
          <w:highlight w:val="none"/>
          <w14:textFill>
            <w14:solidFill>
              <w14:schemeClr w14:val="tx1"/>
            </w14:solidFill>
          </w14:textFill>
        </w:rPr>
        <w:t xml:space="preserve">并</w:t>
      </w:r>
      <w:r>
        <w:rPr>
          <w:rFonts w:ascii="Arial" w:hAnsi="Arial" w:cs="Arial"/>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（投标人为企业法人的除外，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b/>
          <w:bCs/>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投标人法定代表人授权委托书并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投标人如为分支机构的，请自行将</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“法定代表人”更改为“负责人”，如分支机构投标时涉及招标文件中“法定代表人”要求的部分，其具体要求视同本条规定）</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（5）投标人法定代表人身份证原件扫描件及</w:t>
      </w:r>
      <w:r>
        <w:rPr>
          <w:rFonts w:hint="eastAsia" w:ascii="宋体" w:hAnsi="宋体"/>
          <w:bCs/>
          <w:color w:val="000000" w:themeColor="text1"/>
          <w:sz w:val="24"/>
          <w:szCs w:val="24"/>
          <w:highlight w:val="none"/>
          <w14:textFill>
            <w14:solidFill>
              <w14:schemeClr w14:val="tx1"/>
            </w14:solidFill>
          </w14:textFill>
        </w:rPr>
        <w:t xml:space="preserve">被授权代表人身份证</w:t>
      </w:r>
      <w:r>
        <w:rPr>
          <w:rStyle w:val="1005"/>
          <w:rFonts w:hint="eastAsia" w:ascii="宋体" w:hAnsi="宋体" w:cs="宋体"/>
          <w:color w:val="000000" w:themeColor="text1"/>
          <w:sz w:val="24"/>
          <w:szCs w:val="24"/>
          <w:highlight w:val="none"/>
          <w14:textFill>
            <w14:solidFill>
              <w14:schemeClr w14:val="tx1"/>
            </w14:solidFill>
          </w14:textFill>
        </w:rPr>
        <w:t xml:space="preserve">原件扫描件</w:t>
      </w:r>
      <w:r>
        <w:rPr>
          <w:rFonts w:hint="eastAsia" w:ascii="宋体" w:hAnsi="宋体"/>
          <w:color w:val="000000" w:themeColor="text1"/>
          <w:sz w:val="24"/>
          <w:highlight w:val="none"/>
          <w14:textFill>
            <w14:solidFill>
              <w14:schemeClr w14:val="tx1"/>
            </w14:solidFill>
          </w14:textFill>
        </w:rPr>
        <w:t xml:space="preserve">（</w:t>
      </w:r>
      <w:r>
        <w:rPr>
          <w:rStyle w:val="1005"/>
          <w:rFonts w:hint="eastAsia"/>
          <w:b/>
          <w:color w:val="000000" w:themeColor="text1"/>
          <w:sz w:val="24"/>
          <w:szCs w:val="24"/>
          <w:highlight w:val="none"/>
          <w14:textFill>
            <w14:solidFill>
              <w14:schemeClr w14:val="tx1"/>
            </w14:solidFill>
          </w14:textFill>
        </w:rPr>
        <w:t xml:space="preserve">投标时必须提交有效身份证明，法定代表人亲自参与报价的不用提供被授权代表的身份证复印件</w:t>
      </w:r>
      <w:r>
        <w:rPr>
          <w:rFonts w:hint="eastAsia" w:ascii="宋体" w:hAnsi="宋体"/>
          <w:color w:val="000000" w:themeColor="text1"/>
          <w:sz w:val="24"/>
          <w:highlight w:val="none"/>
          <w14:textFill>
            <w14:solidFill>
              <w14:schemeClr w14:val="tx1"/>
            </w14:solidFill>
          </w14:textFill>
        </w:rPr>
        <w:t xml:space="preserve">）</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投标人近一年中任意一个月（不含投标当月）的纳税情况（不包括个人所得税、社会保险费）证明复印件或扫描件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rPr>
          <w:rStyle w:val="1005"/>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被授权代表由本企业缴纳的近一年中任意一个月（不含投标当月）的社会保险缴纳证明复印件或扫描件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（9）经第三方专业机构审计的2025年度的审计报告（所附的资产负债表、利润表），或近一年中任意一个月（不含投标当月）的财务报告（资产负债表、利润表）</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复印件或扫描件</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color w:val="000000" w:themeColor="text1"/>
          <w:sz w:val="24"/>
          <w:szCs w:val="24"/>
          <w:highlight w:val="none"/>
          <w14:textFill>
            <w14:solidFill>
              <w14:schemeClr w14:val="tx1"/>
            </w14:solidFill>
          </w14:textFill>
        </w:rPr>
        <w:t xml:space="preserve">（10）承诺书（</w:t>
      </w:r>
      <w:r>
        <w:rPr>
          <w:rStyle w:val="1005"/>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05"/>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w:t>
      </w:r>
      <w:r>
        <w:rPr>
          <w:rFonts w:hint="eastAsia" w:ascii="宋体" w:hAnsi="宋体"/>
          <w:bCs/>
          <w:color w:val="000000" w:themeColor="text1"/>
          <w:sz w:val="24"/>
          <w:szCs w:val="24"/>
          <w:highlight w:val="none"/>
          <w14:textFill>
            <w14:solidFill>
              <w14:schemeClr w14:val="tx1"/>
            </w14:solidFill>
          </w14:textFill>
        </w:rPr>
        <w:t xml:space="preserve">金等），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在中国大陆有效居留的许可证明。投标人所提交的证明文件的完整与否，将直接影响其报价文件的审核和评分结果。</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Style w:val="1005"/>
          <w:rFonts w:hint="eastAsia" w:ascii="宋体" w:hAnsi="宋体" w:cs="宋体"/>
          <w:b/>
          <w:color w:val="000000" w:themeColor="text1"/>
          <w:sz w:val="24"/>
          <w:szCs w:val="24"/>
          <w:highlight w:val="none"/>
          <w14:textFill>
            <w14:solidFill>
              <w14:schemeClr w14:val="tx1"/>
            </w14:solidFill>
          </w14:textFill>
        </w:rPr>
        <w:t xml:space="preserve">第二部分 报价部分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2.明细报价表（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b/>
          <w:color w:val="000000" w:themeColor="text1"/>
          <w:sz w:val="24"/>
          <w:szCs w:val="24"/>
          <w:highlight w:val="none"/>
          <w14:textFill>
            <w14:solidFill>
              <w14:schemeClr w14:val="tx1"/>
            </w14:solidFill>
          </w14:textFill>
        </w:rPr>
      </w:pPr>
      <w:r>
        <w:rPr>
          <w:rStyle w:val="1005"/>
          <w:rFonts w:hint="eastAsia" w:ascii="宋体" w:hAnsi="宋体" w:cs="宋体"/>
          <w:b/>
          <w:color w:val="000000" w:themeColor="text1"/>
          <w:sz w:val="24"/>
          <w:szCs w:val="24"/>
          <w:highlight w:val="none"/>
          <w14:textFill>
            <w14:solidFill>
              <w14:schemeClr w14:val="tx1"/>
            </w14:solidFill>
          </w14:textFill>
        </w:rPr>
        <w:t xml:space="preserve">第三部分 补充证明文件部分</w:t>
      </w:r>
      <w:r/>
    </w:p>
    <w:p>
      <w:pPr>
        <w:ind w:firstLine="480"/>
        <w:jc w:val="left"/>
        <w:spacing w:line="360" w:lineRule="auto"/>
        <w:rPr>
          <w:rStyle w:val="1005"/>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1.中</w:t>
      </w:r>
      <w:r>
        <w:rPr>
          <w:rFonts w:hint="eastAsia" w:ascii="Arial" w:hAnsi="Arial" w:cs="Arial"/>
          <w:color w:val="000000" w:themeColor="text1"/>
          <w:sz w:val="24"/>
          <w:szCs w:val="24"/>
          <w:highlight w:val="none"/>
          <w14:textFill>
            <w14:solidFill>
              <w14:schemeClr w14:val="tx1"/>
            </w14:solidFill>
          </w14:textFill>
        </w:rPr>
        <w:t xml:space="preserve">小企业声明函（格式见附件）</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2.残疾人福利性单位声明函（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由省级以上监狱管理局、戒毒管理局（含新疆生产建设兵团）出具的属于监狱企业的证明文件复印件（</w:t>
      </w:r>
      <w:r>
        <w:rPr>
          <w:rFonts w:hint="eastAsia"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如是监狱企业的提供）</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4.投标人情况表（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5.人员配置表（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05"/>
          <w:rFonts w:ascii="宋体" w:hAnsi="宋体" w:cs="宋体"/>
          <w:b/>
          <w:color w:val="000000" w:themeColor="text1"/>
          <w:sz w:val="24"/>
          <w:szCs w:val="24"/>
          <w:highlight w:val="none"/>
          <w14:textFill>
            <w14:solidFill>
              <w14:schemeClr w14:val="tx1"/>
            </w14:solidFill>
          </w14:textFill>
        </w:rPr>
      </w:pPr>
      <w:r>
        <w:rPr>
          <w:rStyle w:val="1005"/>
          <w:rFonts w:hint="eastAsia" w:ascii="宋体" w:hAnsi="宋体" w:cs="宋体"/>
          <w:b/>
          <w:color w:val="000000" w:themeColor="text1"/>
          <w:sz w:val="24"/>
          <w:szCs w:val="24"/>
          <w:highlight w:val="none"/>
          <w14:textFill>
            <w14:solidFill>
              <w14:schemeClr w14:val="tx1"/>
            </w14:solidFill>
          </w14:textFill>
        </w:rPr>
        <w:t xml:space="preserve">第四部分 评审材料部分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1.技术标（服务方案）</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2.投标偏离表</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480"/>
        <w:spacing w:line="360" w:lineRule="auto"/>
        <w:rPr>
          <w:rStyle w:val="1005"/>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3.评分标准中对应的其他所需证明材料（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二、我们同意按照招标文件中的规定，本投标文件投标的有效期限为投标截止日起90天；</w:t>
      </w:r>
      <w:r/>
    </w:p>
    <w:p>
      <w:pPr>
        <w:ind w:firstLine="480"/>
        <w:spacing w:line="360" w:lineRule="auto"/>
        <w:tabs>
          <w:tab w:val="left" w:pos="1050" w:leader="none"/>
        </w:tabs>
        <w:rPr>
          <w:rFonts w:ascii="宋体" w:hAnsi="宋体"/>
          <w:bCs/>
          <w:color w:val="000000" w:themeColor="text1"/>
          <w:sz w:val="24"/>
          <w:szCs w:val="24"/>
          <w:highlight w:val="none"/>
          <w:lang w:val="en-GB"/>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四、我们认为你们有权决定中标者；</w:t>
      </w:r>
      <w:r/>
    </w:p>
    <w:p>
      <w:pPr>
        <w:ind w:firstLine="480"/>
        <w:spacing w:line="360" w:lineRule="auto"/>
        <w:tabs>
          <w:tab w:val="left" w:pos="945" w:leader="none"/>
          <w:tab w:val="left" w:pos="12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六、我们认可并遵守招标文件的所有规定，放弃对招标文件质疑的权利。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                              邮编：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开户名称：</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开户银行：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开户账号：</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（二）（投标人）关于资格的声明函（格式）</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 ：</w:t>
      </w:r>
      <w:r/>
    </w:p>
    <w:p>
      <w:pPr>
        <w:ind w:firstLine="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1.我单位在参加政府采购活动前三年内在经营活动中没有重大违法记录。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2.我单位愿针对本次项目（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JSZC-320211-HYFW-G2026-0012</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法定代表人或被授权代表（签字或盖章）：</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备注：上述所称“重大违法记录”，是指投标人因违法经营受到刑事处罚或者责令停产停业、吊销许可证或者执照、较大数额罚款等行政处罚。（“较大数额罚款”的金额标准参照（财库</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022〕</w:t>
      </w:r>
      <w:r>
        <w:rPr>
          <w:rFonts w:hint="eastAsia" w:ascii="宋体" w:hAnsi="宋体"/>
          <w:bCs/>
          <w:color w:val="000000" w:themeColor="text1"/>
          <w:sz w:val="24"/>
          <w:highlight w:val="none"/>
          <w14:textFill>
            <w14:solidFill>
              <w14:schemeClr w14:val="tx1"/>
            </w14:solidFill>
          </w14:textFill>
        </w:rPr>
        <w:t xml:space="preserve">3号）（苏财购</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022〕</w:t>
      </w:r>
      <w:r>
        <w:rPr>
          <w:rFonts w:hint="eastAsia" w:ascii="宋体" w:hAnsi="宋体"/>
          <w:bCs/>
          <w:color w:val="000000" w:themeColor="text1"/>
          <w:sz w:val="24"/>
          <w:highlight w:val="none"/>
          <w14:textFill>
            <w14:solidFill>
              <w14:schemeClr w14:val="tx1"/>
            </w14:solidFill>
          </w14:textFill>
        </w:rPr>
        <w:t xml:space="preserve">2号）和（锡财购</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022〕</w:t>
      </w:r>
      <w:r>
        <w:rPr>
          <w:rFonts w:hint="eastAsia" w:ascii="宋体" w:hAnsi="宋体"/>
          <w:bCs/>
          <w:color w:val="000000" w:themeColor="text1"/>
          <w:sz w:val="24"/>
          <w:highlight w:val="none"/>
          <w14:textFill>
            <w14:solidFill>
              <w14:schemeClr w14:val="tx1"/>
            </w14:solidFill>
          </w14:textFill>
        </w:rPr>
        <w:t xml:space="preserve">2号）的文件执行）</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left="855" w:hanging="855"/>
        <w:spacing w:line="360" w:lineRule="auto"/>
        <w:tabs>
          <w:tab w:val="left" w:pos="630" w:leader="none"/>
          <w:tab w:val="left" w:pos="85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w:t>
      </w:r>
      <w:r>
        <w:rPr>
          <w:rFonts w:hint="eastAsia" w:ascii="黑体" w:hAnsi="黑体" w:eastAsia="黑体"/>
          <w:bCs/>
          <w:color w:val="000000" w:themeColor="text1"/>
          <w:sz w:val="24"/>
          <w:szCs w:val="24"/>
          <w:highlight w:val="none"/>
          <w14:textFill>
            <w14:solidFill>
              <w14:schemeClr w14:val="tx1"/>
            </w14:solidFill>
          </w14:textFill>
        </w:rPr>
        <w:t xml:space="preserve">委托投标授权书</w:t>
      </w:r>
      <w:r>
        <w:rPr>
          <w:rFonts w:hint="eastAsia" w:ascii="黑体" w:hAnsi="宋体" w:eastAsia="黑体"/>
          <w:bCs/>
          <w:color w:val="000000" w:themeColor="text1"/>
          <w:sz w:val="24"/>
          <w:szCs w:val="24"/>
          <w:highlight w:val="none"/>
          <w14:textFill>
            <w14:solidFill>
              <w14:schemeClr w14:val="tx1"/>
            </w14:solidFill>
          </w14:textFill>
        </w:rPr>
        <w:t xml:space="preserve">（格式）</w:t>
      </w:r>
      <w:r/>
    </w:p>
    <w:p>
      <w:pPr>
        <w:ind w:left="855"/>
        <w:rPr>
          <w:rFonts w:ascii="宋体" w:hAnsi="宋体"/>
          <w:b/>
          <w:color w:val="000000" w:themeColor="text1"/>
          <w:sz w:val="22"/>
          <w:szCs w:val="21"/>
          <w:highlight w:val="none"/>
          <w14:textFill>
            <w14:solidFill>
              <w14:schemeClr w14:val="tx1"/>
            </w14:solidFill>
          </w14:textFill>
        </w:rPr>
      </w:pPr>
      <w:r>
        <w:rPr>
          <w:rFonts w:hint="eastAsia" w:ascii="宋体" w:hAnsi="宋体"/>
          <w:b/>
          <w:color w:val="000000" w:themeColor="text1"/>
          <w:sz w:val="22"/>
          <w:szCs w:val="21"/>
          <w:highlight w:val="none"/>
          <w14:textFill>
            <w14:solidFill>
              <w14:schemeClr w14:val="tx1"/>
            </w14:solidFill>
          </w14:textFill>
        </w:rPr>
        <w:t xml:space="preserve">（投标人如果是分支机构，投标时必须提交本授权书原件）</w:t>
      </w:r>
      <w:r/>
    </w:p>
    <w:p>
      <w:pPr>
        <w:jc w:val="center"/>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委托投标授权书</w:t>
      </w:r>
      <w:r/>
    </w:p>
    <w:p>
      <w:pPr>
        <w:spacing w:before="312" w:after="312"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无锡浩源招投标咨询服务有限公司：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（法人名称），在此授权</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（分支机构名称）参加贵公司组织的</w:t>
      </w:r>
      <w:r>
        <w:rPr>
          <w:rFonts w:hint="eastAsia" w:ascii="宋体" w:hAnsi="宋体"/>
          <w:bCs/>
          <w:color w:val="000000" w:themeColor="text1"/>
          <w:sz w:val="24"/>
          <w:highlight w:val="none"/>
          <w14:textFill>
            <w14:solidFill>
              <w14:schemeClr w14:val="tx1"/>
            </w14:solidFill>
          </w14:textFill>
        </w:rPr>
        <w:t xml:space="preserve">滨湖区渔政指挥调度中心视频监控扩容项目</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JSZC-320211-HYFW-G2026-0012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的投标具体工作，并签署全部有关的文件、协议及合同，及其协议、合同的执行、完成。我方在此承诺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（分支机构名称）在投标过程中的所有承诺对我方均具有约束力，我方保证为上述单位就此次政府采购活动承担全部责任，并履行招标文件的各项要求和投标文件中作出的一切承诺。</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法人（盖章）： </w:t>
      </w:r>
      <w:r/>
    </w:p>
    <w:p>
      <w:pPr>
        <w:ind w:firstLine="52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法定代表人签字或盖章：</w:t>
      </w:r>
      <w:r>
        <w:rPr>
          <w:rFonts w:hint="eastAsia" w:ascii="宋体" w:hAnsi="宋体"/>
          <w:color w:val="000000" w:themeColor="text1"/>
          <w:sz w:val="24"/>
          <w:highlight w:val="none"/>
          <w14:textFill>
            <w14:solidFill>
              <w14:schemeClr w14:val="tx1"/>
            </w14:solidFill>
          </w14:textFill>
        </w:rPr>
        <w:t xml:space="preserve"> </w:t>
      </w:r>
      <w:r/>
    </w:p>
    <w:p>
      <w:pPr>
        <w:ind w:firstLine="72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（四）（投标人）法定代表人授权委托书（格式）</w:t>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法定代表人授权委托书</w:t>
      </w:r>
      <w:r/>
    </w:p>
    <w:p>
      <w:pPr>
        <w:spacing w:line="48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 ：</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系中华人民共和国合法企业</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法定地址：                特授权       代表我单位全权办理针对本项目（</w:t>
      </w:r>
      <w:r>
        <w:rPr>
          <w:rFonts w:hint="eastAsia" w:ascii="宋体" w:hAnsi="宋体"/>
          <w:color w:val="000000" w:themeColor="text1"/>
          <w:sz w:val="24"/>
          <w:szCs w:val="24"/>
          <w:highlight w:val="none"/>
          <w:lang w:eastAsia="zh-CN"/>
          <w14:textFill>
            <w14:solidFill>
              <w14:schemeClr w14:val="tx1"/>
            </w14:solidFill>
          </w14:textFill>
        </w:rPr>
        <w:t xml:space="preserve">JSZC-320211-HYFW-G2026-0012</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我单位对被授权人的签名负全部责任。</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在撤销授权的书面通知送达你处以前，本授权书一直有效，被授权人签署的所有文件（在授权书有效期内签署的）不因授权的撤销而失效。被授权人无转授权权。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被授权人情况：</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年龄：       职务：</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身份证号码：                电话：</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被授权人签名：</w:t>
      </w:r>
      <w:r>
        <w:rPr>
          <w:rFonts w:hint="eastAsia" w:ascii="宋体" w:hAnsi="宋体"/>
          <w:bCs/>
          <w:color w:val="000000" w:themeColor="text1"/>
          <w:sz w:val="24"/>
          <w:szCs w:val="24"/>
          <w:highlight w:val="none"/>
          <w14:textFill>
            <w14:solidFill>
              <w14:schemeClr w14:val="tx1"/>
            </w14:solidFill>
          </w14:textFill>
        </w:rPr>
        <w:t xml:space="preserve">               单位名称（盖章）：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法定代表人或被授权代表（签字或盖章）：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tbl>
      <w:tblPr>
        <w:tblStyle w:val="699"/>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504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授权代表身份证复印件</w:t>
            </w:r>
            <w:r/>
          </w:p>
        </w:tc>
      </w:tr>
    </w:tbl>
    <w:p>
      <w:pPr>
        <w:spacing w:line="360" w:lineRule="auto"/>
        <w:tabs>
          <w:tab w:val="left" w:pos="630" w:leader="none"/>
        </w:tabs>
        <w:rPr>
          <w:color w:val="000000" w:themeColor="text1"/>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（五）</w:t>
      </w:r>
      <w:r>
        <w:rPr>
          <w:rFonts w:hint="eastAsia" w:ascii="黑体" w:hAnsi="黑体" w:eastAsia="黑体"/>
          <w:bCs/>
          <w:color w:val="000000" w:themeColor="text1"/>
          <w:sz w:val="24"/>
          <w:szCs w:val="24"/>
          <w:highlight w:val="none"/>
          <w14:textFill>
            <w14:solidFill>
              <w14:schemeClr w14:val="tx1"/>
            </w14:solidFill>
          </w14:textFill>
        </w:rPr>
        <w:t xml:space="preserve">承诺书（格式）</w:t>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承诺书</w:t>
      </w:r>
      <w:r/>
    </w:p>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（投标人名称）在此承诺：</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1.本单位对本项目（</w:t>
      </w:r>
      <w:r>
        <w:rPr>
          <w:rFonts w:hint="eastAsia" w:ascii="宋体" w:hAnsi="宋体"/>
          <w:color w:val="000000" w:themeColor="text1"/>
          <w:sz w:val="24"/>
          <w:szCs w:val="24"/>
          <w:highlight w:val="none"/>
          <w:lang w:eastAsia="zh-CN"/>
          <w14:textFill>
            <w14:solidFill>
              <w14:schemeClr w14:val="tx1"/>
            </w14:solidFill>
          </w14:textFill>
        </w:rPr>
        <w:t xml:space="preserve">JSZC-320211-HYFW-G2026-0012</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在有效期限内按投标文件承诺进行优质服务，严格执行国家的有关规定。如不符合前述承诺，本公司将承担一切法律责任。</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www.creditchina.gov.cn</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列入失信执行人、重大税收违法案件当事人名单、政府采购严重违法失信行为记录名单。</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3.本公司承诺响应招标文件的付款方式。</w:t>
      </w:r>
      <w:r/>
    </w:p>
    <w:p>
      <w:pPr>
        <w:ind w:firstLine="480"/>
        <w:spacing w:line="48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auto"/>
          <w:sz w:val="24"/>
          <w:highlight w:val="none"/>
          <w:lang w:val="en-US" w:eastAsia="zh-CN"/>
        </w:rPr>
        <w:t xml:space="preserve">本公司（单位）保证中标并合同签订生效后，将按招标文件要求及投标文件中做出的相应承诺将相关人员及时配置到位。</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Cs w:val="21"/>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br w:type="page" w:clear="all"/>
      </w:r>
      <w:r>
        <w:rPr>
          <w:rFonts w:hint="eastAsia" w:ascii="黑体" w:hAnsi="黑体" w:eastAsia="黑体"/>
          <w:bCs/>
          <w:color w:val="000000" w:themeColor="text1"/>
          <w:sz w:val="24"/>
          <w:szCs w:val="24"/>
          <w:highlight w:val="none"/>
          <w14:textFill>
            <w14:solidFill>
              <w14:schemeClr w14:val="tx1"/>
            </w14:solidFill>
          </w14:textFill>
        </w:rPr>
        <w:t xml:space="preserve">（六）开标一览表（格式）</w:t>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 </w:t>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color w:val="000000" w:themeColor="text1"/>
          <w:sz w:val="28"/>
          <w:szCs w:val="28"/>
          <w:highlight w:val="none"/>
          <w14:textFill>
            <w14:solidFill>
              <w14:schemeClr w14:val="tx1"/>
            </w14:solidFill>
          </w14:textFill>
        </w:rPr>
        <w:t xml:space="preserve"> </w:t>
      </w: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240"/>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政府采购编号：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JSZC-320211-HYFW-G2026-0012</w:t>
      </w:r>
      <w:r/>
    </w:p>
    <w:tbl>
      <w:tblPr>
        <w:tblStyle w:val="699"/>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3"/>
        <w:gridCol w:w="5121"/>
      </w:tblGrid>
      <w:tr>
        <w:trPr>
          <w:cantSplit/>
          <w:jc w:val="center"/>
          <w:trHeight w:val="666"/>
        </w:trPr>
        <w:tc>
          <w:tcPr>
            <w:tcW w:w="4273"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5121"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报价（元）</w:t>
            </w:r>
            <w:r/>
          </w:p>
        </w:tc>
      </w:tr>
      <w:tr>
        <w:trPr>
          <w:cantSplit/>
          <w:jc w:val="center"/>
          <w:trHeight w:val="3317"/>
        </w:trPr>
        <w:tc>
          <w:tcPr>
            <w:tcW w:w="4273" w:type="dxa"/>
            <w:vAlign w:val="center"/>
            <w:textDirection w:val="lrTb"/>
            <w:noWrap w:val="false"/>
          </w:tcPr>
          <w:p>
            <w:pPr>
              <w:pStyle w:val="993"/>
              <w:jc w:val="center"/>
              <w:spacing w:line="400" w:lineRule="exact"/>
              <w:rPr>
                <w:rFonts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滨湖区渔政指挥调度中心视频监控扩容项目</w:t>
            </w:r>
            <w:r/>
          </w:p>
        </w:tc>
        <w:tc>
          <w:tcPr>
            <w:tcW w:w="5121" w:type="dxa"/>
            <w:vAlign w:val="center"/>
            <w:textDirection w:val="lrTb"/>
            <w:noWrap w:val="false"/>
          </w:tcPr>
          <w:p>
            <w:pPr>
              <w:ind w:firstLine="9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大写：</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9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p>
        </w:tc>
      </w:tr>
    </w:tbl>
    <w:p>
      <w:pPr>
        <w:ind w:firstLine="60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备注：本项目采购预算为135.95万元</w:t>
      </w:r>
      <w:r>
        <w:rPr>
          <w:rFonts w:ascii="宋体" w:hAnsi="宋体" w:cs="宋体"/>
          <w:color w:val="000000" w:themeColor="text1"/>
          <w:sz w:val="24"/>
          <w:szCs w:val="24"/>
          <w:highlight w:val="none"/>
          <w14:textFill>
            <w14:solidFill>
              <w14:schemeClr w14:val="tx1"/>
            </w14:solidFill>
          </w14:textFill>
        </w:rPr>
        <w:t xml:space="preserve">。</w:t>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投标人（盖章）：</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  法定代表人或被授权代表（签字或盖章）：</w:t>
      </w:r>
      <w:r/>
    </w:p>
    <w:p>
      <w:pPr>
        <w:ind w:firstLine="67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ind w:left="588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hint="eastAsia" w:ascii="华文中宋" w:hAnsi="华文中宋" w:eastAsia="华文中宋"/>
          <w:b/>
          <w:color w:val="000000" w:themeColor="text1"/>
          <w:sz w:val="30"/>
          <w:szCs w:val="30"/>
          <w:highlight w:val="none"/>
          <w14:textFill>
            <w14:solidFill>
              <w14:schemeClr w14:val="tx1"/>
            </w14:solidFill>
          </w14:textFill>
        </w:rPr>
        <w:br w:type="page" w:clear="all"/>
      </w:r>
      <w:r/>
    </w:p>
    <w:p>
      <w:pPr>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投标人情况表（格式）</w:t>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投标人情况表</w:t>
      </w:r>
      <w:r/>
    </w:p>
    <w:p>
      <w:pPr>
        <w:pStyle w:val="701"/>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70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单位名称（盖章）</w:t>
      </w:r>
      <w:r/>
    </w:p>
    <w:tbl>
      <w:tblPr>
        <w:tblStyle w:val="699"/>
        <w:tblW w:w="0" w:type="auto"/>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
        <w:gridCol w:w="2552"/>
      </w:tblGrid>
      <w:tr>
        <w:trPr>
          <w:cantSplit/>
          <w:trHeight w:val="446"/>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w:t>
            </w:r>
            <w:r/>
          </w:p>
        </w:tc>
        <w:tc>
          <w:tcPr>
            <w:tcW w:w="2268"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18"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成立日期</w:t>
            </w:r>
            <w:r/>
          </w:p>
        </w:tc>
        <w:tc>
          <w:tcPr>
            <w:gridSpan w:val="2"/>
            <w:tcW w:w="2835"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10"/>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注册地址</w:t>
            </w:r>
            <w:r/>
          </w:p>
        </w:tc>
        <w:tc>
          <w:tcPr>
            <w:tcW w:w="2268"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18"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注册资金</w:t>
            </w:r>
            <w:r/>
          </w:p>
        </w:tc>
        <w:tc>
          <w:tcPr>
            <w:gridSpan w:val="2"/>
            <w:tcW w:w="2835" w:type="dxa"/>
            <w:textDirection w:val="lrTb"/>
            <w:noWrap w:val="false"/>
          </w:tcPr>
          <w:p>
            <w:pPr>
              <w:pStyle w:val="701"/>
              <w:ind w:firstLine="216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02"/>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经营范围</w:t>
            </w:r>
            <w:r/>
          </w:p>
        </w:tc>
        <w:tc>
          <w:tcPr>
            <w:gridSpan w:val="4"/>
            <w:tcW w:w="6521"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22"/>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企业资质等级</w:t>
            </w:r>
            <w:r/>
          </w:p>
        </w:tc>
        <w:tc>
          <w:tcPr>
            <w:tcW w:w="2268" w:type="dxa"/>
            <w:vAlign w:val="bottom"/>
            <w:textDirection w:val="lrTb"/>
            <w:noWrap w:val="false"/>
          </w:tcPr>
          <w:p>
            <w:pPr>
              <w:pStyle w:val="701"/>
              <w:ind w:firstLine="0"/>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W w:w="1701"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员工总人数</w:t>
            </w:r>
            <w:r/>
          </w:p>
        </w:tc>
        <w:tc>
          <w:tcPr>
            <w:tcW w:w="2552" w:type="dxa"/>
            <w:vAlign w:val="bottom"/>
            <w:textDirection w:val="lrTb"/>
            <w:noWrap w:val="false"/>
          </w:tcPr>
          <w:p>
            <w:pPr>
              <w:pStyle w:val="701"/>
              <w:ind w:firstLine="0"/>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70"/>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资产总计</w:t>
            </w:r>
            <w:r/>
          </w:p>
        </w:tc>
        <w:tc>
          <w:tcPr>
            <w:tcW w:w="2268" w:type="dxa"/>
            <w:vAlign w:val="bottom"/>
            <w:textDirection w:val="lrTb"/>
            <w:noWrap w:val="false"/>
          </w:tcPr>
          <w:p>
            <w:pPr>
              <w:pStyle w:val="701"/>
              <w:ind w:firstLine="0"/>
              <w:jc w:val="righ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万元</w:t>
            </w:r>
            <w:r/>
          </w:p>
        </w:tc>
        <w:tc>
          <w:tcPr>
            <w:gridSpan w:val="2"/>
            <w:tcW w:w="1701"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销售收入</w:t>
            </w:r>
            <w:r/>
          </w:p>
        </w:tc>
        <w:tc>
          <w:tcPr>
            <w:tcW w:w="2552" w:type="dxa"/>
            <w:vAlign w:val="bottom"/>
            <w:textDirection w:val="lrTb"/>
            <w:noWrap w:val="false"/>
          </w:tcPr>
          <w:p>
            <w:pPr>
              <w:pStyle w:val="701"/>
              <w:ind w:firstLine="0"/>
              <w:jc w:val="righ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20</w:t>
            </w:r>
            <w:r>
              <w:rPr>
                <w:rFonts w:ascii="宋体" w:hAnsi="宋体"/>
                <w:color w:val="000000" w:themeColor="text1"/>
                <w:szCs w:val="21"/>
                <w:highlight w:val="none"/>
                <w:u w:val="single"/>
                <w14:textFill>
                  <w14:solidFill>
                    <w14:schemeClr w14:val="tx1"/>
                  </w14:solidFill>
                </w14:textFill>
              </w:rPr>
              <w:t xml:space="preserve">2</w:t>
            </w:r>
            <w:r>
              <w:rPr>
                <w:rFonts w:hint="eastAsia" w:ascii="宋体" w:hAnsi="宋体"/>
                <w:color w:val="000000" w:themeColor="text1"/>
                <w:szCs w:val="21"/>
                <w:highlight w:val="none"/>
                <w:u w:val="singl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万元</w:t>
            </w:r>
            <w:r/>
          </w:p>
        </w:tc>
      </w:tr>
      <w:tr>
        <w:trPr>
          <w:cantSplit/>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实现利润</w:t>
            </w:r>
            <w:r/>
          </w:p>
        </w:tc>
        <w:tc>
          <w:tcPr>
            <w:tcW w:w="2268" w:type="dxa"/>
            <w:vAlign w:val="bottom"/>
            <w:textDirection w:val="lrTb"/>
            <w:noWrap w:val="false"/>
          </w:tcPr>
          <w:p>
            <w:pPr>
              <w:pStyle w:val="701"/>
              <w:ind w:firstLine="0"/>
              <w:jc w:val="righ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20</w:t>
            </w:r>
            <w:r>
              <w:rPr>
                <w:rFonts w:ascii="宋体" w:hAnsi="宋体"/>
                <w:color w:val="000000" w:themeColor="text1"/>
                <w:szCs w:val="21"/>
                <w:highlight w:val="none"/>
                <w:u w:val="single"/>
                <w14:textFill>
                  <w14:solidFill>
                    <w14:schemeClr w14:val="tx1"/>
                  </w14:solidFill>
                </w14:textFill>
              </w:rPr>
              <w:t xml:space="preserve">2</w:t>
            </w:r>
            <w:r>
              <w:rPr>
                <w:rFonts w:hint="eastAsia" w:ascii="宋体" w:hAnsi="宋体"/>
                <w:color w:val="000000" w:themeColor="text1"/>
                <w:szCs w:val="21"/>
                <w:highlight w:val="none"/>
                <w:u w:val="singl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万元</w:t>
            </w:r>
            <w:r/>
          </w:p>
        </w:tc>
        <w:tc>
          <w:tcPr>
            <w:gridSpan w:val="2"/>
            <w:tcW w:w="1701"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营业面积</w:t>
            </w:r>
            <w:r/>
          </w:p>
        </w:tc>
        <w:tc>
          <w:tcPr>
            <w:tcW w:w="2552" w:type="dxa"/>
            <w:vAlign w:val="bottom"/>
            <w:textDirection w:val="lrTb"/>
            <w:noWrap w:val="false"/>
          </w:tcPr>
          <w:p>
            <w:pPr>
              <w:pStyle w:val="701"/>
              <w:ind w:firstLine="0"/>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平方米</w:t>
            </w:r>
            <w:r/>
          </w:p>
        </w:tc>
      </w:tr>
      <w:tr>
        <w:trPr>
          <w:cantSplit/>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单位简历及内设机构情况</w:t>
            </w:r>
            <w:r/>
          </w:p>
        </w:tc>
        <w:tc>
          <w:tcPr>
            <w:gridSpan w:val="4"/>
            <w:tcW w:w="6521"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88"/>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单位优势及特长</w:t>
            </w:r>
            <w:r/>
          </w:p>
        </w:tc>
        <w:tc>
          <w:tcPr>
            <w:gridSpan w:val="4"/>
            <w:tcW w:w="6521"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1069"/>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商业信誉和健全的财务会计制度介绍</w:t>
            </w:r>
            <w:r/>
          </w:p>
        </w:tc>
        <w:tc>
          <w:tcPr>
            <w:gridSpan w:val="4"/>
            <w:tcW w:w="6521"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1023"/>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履行合同所必需的设备和专业技术能力情况</w:t>
            </w:r>
            <w:r/>
          </w:p>
        </w:tc>
        <w:tc>
          <w:tcPr>
            <w:gridSpan w:val="4"/>
            <w:tcW w:w="6521"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981"/>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依法缴纳税收和社会保障资金情况</w:t>
            </w:r>
            <w:r/>
          </w:p>
        </w:tc>
        <w:tc>
          <w:tcPr>
            <w:gridSpan w:val="4"/>
            <w:tcW w:w="6521"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1257"/>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参加政府采购活动前三年内，在经营活动中</w:t>
            </w:r>
            <w:r>
              <w:rPr>
                <w:rFonts w:hint="eastAsia" w:ascii="宋体" w:hAnsi="宋体"/>
                <w:color w:val="000000" w:themeColor="text1"/>
                <w:szCs w:val="21"/>
                <w:highlight w:val="none"/>
                <w14:textFill>
                  <w14:solidFill>
                    <w14:schemeClr w14:val="tx1"/>
                  </w14:solidFill>
                </w14:textFill>
              </w:rPr>
              <w:t xml:space="preserve">有无</w:t>
            </w:r>
            <w:r>
              <w:rPr>
                <w:rFonts w:ascii="宋体" w:hAnsi="宋体"/>
                <w:color w:val="000000" w:themeColor="text1"/>
                <w:szCs w:val="21"/>
                <w:highlight w:val="none"/>
                <w14:textFill>
                  <w14:solidFill>
                    <w14:schemeClr w14:val="tx1"/>
                  </w14:solidFill>
                </w14:textFill>
              </w:rPr>
              <w:t xml:space="preserve">重大违法记录</w:t>
            </w:r>
            <w:r/>
          </w:p>
        </w:tc>
        <w:tc>
          <w:tcPr>
            <w:gridSpan w:val="4"/>
            <w:tcW w:w="6521"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60"/>
        </w:trPr>
        <w:tc>
          <w:tcPr>
            <w:tcW w:w="2552"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其他需要说明的情况</w:t>
            </w:r>
            <w:r/>
          </w:p>
        </w:tc>
        <w:tc>
          <w:tcPr>
            <w:gridSpan w:val="4"/>
            <w:tcW w:w="6521" w:type="dxa"/>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tabs>
          <w:tab w:val="left" w:pos="630" w:leader="none"/>
        </w:tabs>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黑体" w:eastAsia="黑体"/>
          <w:bCs/>
          <w:color w:val="000000" w:themeColor="text1"/>
          <w:sz w:val="24"/>
          <w:szCs w:val="24"/>
          <w:highlight w:val="none"/>
          <w14:textFill>
            <w14:solidFill>
              <w14:schemeClr w14:val="tx1"/>
            </w14:solidFill>
          </w14:textFill>
        </w:rPr>
        <w:t xml:space="preserve">八</w:t>
      </w:r>
      <w:r>
        <w:rPr>
          <w:rFonts w:hint="eastAsia" w:ascii="黑体" w:hAnsi="宋体" w:eastAsia="黑体"/>
          <w:bCs/>
          <w:color w:val="000000" w:themeColor="text1"/>
          <w:sz w:val="24"/>
          <w:szCs w:val="24"/>
          <w:highlight w:val="none"/>
          <w14:textFill>
            <w14:solidFill>
              <w14:schemeClr w14:val="tx1"/>
            </w14:solidFill>
          </w14:textFill>
        </w:rPr>
        <w:t xml:space="preserve">）人员配置表（格式）</w:t>
      </w:r>
      <w:r/>
    </w:p>
    <w:p>
      <w:pPr>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（1）人员配置表</w:t>
      </w:r>
      <w:r/>
    </w:p>
    <w:p>
      <w:pPr>
        <w:pStyle w:val="705"/>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480"/>
        <w:jc w:val="cente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hint="eastAsia" w:ascii="宋体" w:hAnsi="宋体" w:eastAsia="黑体"/>
          <w:bCs/>
          <w:color w:val="000000" w:themeColor="text1"/>
          <w:szCs w:val="21"/>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政府采购编号：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JSZC-320211-HYFW-G2026-0012</w:t>
      </w:r>
      <w:r/>
    </w:p>
    <w:tbl>
      <w:tblPr>
        <w:tblStyle w:val="699"/>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98"/>
        <w:gridCol w:w="704"/>
        <w:gridCol w:w="800"/>
        <w:gridCol w:w="800"/>
        <w:gridCol w:w="773"/>
        <w:gridCol w:w="1653"/>
        <w:gridCol w:w="1653"/>
        <w:gridCol w:w="1621"/>
      </w:tblGrid>
      <w:tr>
        <w:trPr>
          <w:trHeight w:val="607"/>
        </w:trPr>
        <w:tc>
          <w:tcPr>
            <w:tcW w:w="719"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序号</w:t>
            </w:r>
            <w:r/>
          </w:p>
        </w:tc>
        <w:tc>
          <w:tcPr>
            <w:tcW w:w="698"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姓名</w:t>
            </w:r>
            <w:r/>
          </w:p>
        </w:tc>
        <w:tc>
          <w:tcPr>
            <w:tcW w:w="70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性别</w:t>
            </w:r>
            <w:r/>
          </w:p>
        </w:tc>
        <w:tc>
          <w:tcPr>
            <w:tcW w:w="800"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年龄</w:t>
            </w:r>
            <w:r/>
          </w:p>
        </w:tc>
        <w:tc>
          <w:tcPr>
            <w:tcW w:w="800"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岗位名称</w:t>
            </w:r>
            <w:r/>
          </w:p>
        </w:tc>
        <w:tc>
          <w:tcPr>
            <w:tcW w:w="773"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学历</w:t>
            </w:r>
            <w:r/>
          </w:p>
        </w:tc>
        <w:tc>
          <w:tcPr>
            <w:tcW w:w="1653"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证书</w:t>
            </w:r>
            <w:r/>
          </w:p>
        </w:tc>
        <w:tc>
          <w:tcPr>
            <w:tcW w:w="1653"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主要资历、经验及承担过的项目</w:t>
            </w:r>
            <w:r/>
          </w:p>
        </w:tc>
        <w:tc>
          <w:tcPr>
            <w:tcW w:w="1621"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备注</w:t>
            </w:r>
            <w:r/>
          </w:p>
        </w:tc>
      </w:tr>
      <w:tr>
        <w:trPr>
          <w:trHeight w:val="521"/>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1</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75"/>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2</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3"/>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3</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1"/>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4</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503"/>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5</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6</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7</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5"/>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8</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50"/>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9</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7"/>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bl>
    <w:p>
      <w:pPr>
        <w:spacing w:line="400" w:lineRule="exact"/>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ind w:firstLine="640"/>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1016"/>
        <w:ind w:firstLine="420"/>
        <w:jc w:val="lef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注：1、上表可自行延长。</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0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1440"/>
        <w:spacing w:line="360" w:lineRule="auto"/>
        <w:rPr>
          <w:rFonts w:ascii="宋体" w:hAnsi="宋体"/>
          <w:b/>
          <w:bCs/>
          <w:color w:val="000000" w:themeColor="text1"/>
          <w:sz w:val="24"/>
          <w:szCs w:val="24"/>
          <w:highlight w:val="none"/>
          <w14:textFill>
            <w14:solidFill>
              <w14:schemeClr w14:val="tx1"/>
            </w14:solidFill>
          </w14:textFill>
        </w:rPr>
        <w:outlineLvl w:val="0"/>
      </w:pPr>
      <w:r>
        <w:rPr>
          <w:rFonts w:hint="eastAsia" w:ascii="宋体" w:hAnsi="宋体"/>
          <w:b/>
          <w:bCs/>
          <w:color w:val="000000" w:themeColor="text1"/>
          <w:sz w:val="24"/>
          <w:szCs w:val="24"/>
          <w:highlight w:val="none"/>
          <w14:textFill>
            <w14:solidFill>
              <w14:schemeClr w14:val="tx1"/>
            </w14:solidFill>
          </w14:textFill>
        </w:rPr>
        <w:t xml:space="preserve">法定代表人或被授权代表（签字或盖章）：</w:t>
      </w:r>
      <w:r/>
    </w:p>
    <w:p>
      <w:pPr>
        <w:ind w:firstLine="5280"/>
        <w:spacing w:line="360" w:lineRule="auto"/>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日期：</w:t>
      </w:r>
      <w:r/>
    </w:p>
    <w:p>
      <w:pPr>
        <w:spacing w:line="560" w:lineRule="atLeas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Style w:val="1016"/>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016"/>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016"/>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016"/>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016"/>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016"/>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016"/>
        <w:rPr>
          <w:rFonts w:ascii="黑体" w:hAnsi="Times New Roman" w:eastAsia="黑体"/>
          <w:color w:val="000000" w:themeColor="text1"/>
          <w:sz w:val="28"/>
          <w:szCs w:val="28"/>
          <w:highlight w:val="none"/>
          <w14:textFill>
            <w14:solidFill>
              <w14:schemeClr w14:val="tx1"/>
            </w14:solidFill>
          </w14:textFill>
        </w:rPr>
      </w:pPr>
      <w:r>
        <w:rPr>
          <w:rFonts w:hint="eastAsia" w:ascii="黑体" w:hAnsi="Times New Roman" w:eastAsia="黑体"/>
          <w:color w:val="000000" w:themeColor="text1"/>
          <w:sz w:val="28"/>
          <w:szCs w:val="28"/>
          <w:highlight w:val="none"/>
          <w14:textFill>
            <w14:solidFill>
              <w14:schemeClr w14:val="tx1"/>
            </w14:solidFill>
          </w14:textFill>
        </w:rPr>
        <w:t xml:space="preserve">（2）拟派项目负责人简历</w:t>
      </w:r>
      <w:r/>
    </w:p>
    <w:p>
      <w:pPr>
        <w:pStyle w:val="701"/>
        <w:ind w:firstLine="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p>
      <w:pPr>
        <w:pStyle w:val="101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hint="eastAsia" w:ascii="宋体" w:hAnsi="宋体" w:eastAsia="黑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政府采购编号：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JSZC-320211-HYFW-G2026-0012</w:t>
      </w:r>
      <w:r/>
    </w:p>
    <w:tbl>
      <w:tblPr>
        <w:tblStyle w:val="69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W w:w="1851"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姓名</w:t>
            </w:r>
            <w:r/>
          </w:p>
        </w:tc>
        <w:tc>
          <w:tcPr>
            <w:tcW w:w="2394"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83"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性别</w:t>
            </w:r>
            <w:r/>
          </w:p>
        </w:tc>
        <w:tc>
          <w:tcPr>
            <w:gridSpan w:val="2"/>
            <w:tcW w:w="3612"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45"/>
        </w:trPr>
        <w:tc>
          <w:tcPr>
            <w:tcW w:w="929"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W w:w="1851"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身份证号码</w:t>
            </w:r>
            <w:r/>
          </w:p>
        </w:tc>
        <w:tc>
          <w:tcPr>
            <w:gridSpan w:val="2"/>
            <w:tcW w:w="3477"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54"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出生年月</w:t>
            </w:r>
            <w:r/>
          </w:p>
        </w:tc>
        <w:tc>
          <w:tcPr>
            <w:tcW w:w="2358"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年</w:t>
            </w:r>
            <w:r>
              <w:rPr>
                <w:rFonts w:hAnsi="宋体"/>
                <w:color w:val="000000" w:themeColor="text1"/>
                <w:szCs w:val="21"/>
                <w:highlight w:val="non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 </w:t>
            </w:r>
            <w:r>
              <w:rPr>
                <w:rFonts w:hAnsi="宋体"/>
                <w:color w:val="000000" w:themeColor="text1"/>
                <w:szCs w:val="21"/>
                <w:highlight w:val="non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月</w:t>
            </w:r>
            <w:r/>
          </w:p>
        </w:tc>
      </w:tr>
      <w:tr>
        <w:trPr>
          <w:cantSplit/>
          <w:jc w:val="center"/>
          <w:trHeight w:val="645"/>
        </w:trPr>
        <w:tc>
          <w:tcPr>
            <w:tcW w:w="929"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p>
        </w:tc>
        <w:tc>
          <w:tcPr>
            <w:gridSpan w:val="5"/>
            <w:tcW w:w="8940" w:type="dxa"/>
            <w:vAlign w:val="center"/>
            <w:textDirection w:val="lrTb"/>
            <w:noWrap w:val="false"/>
          </w:tcPr>
          <w:p>
            <w:pPr>
              <w:pStyle w:val="701"/>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联系电话</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传真</w:t>
            </w:r>
            <w:r>
              <w:rPr>
                <w:rFonts w:hint="eastAsia" w:ascii="宋体" w:hAnsi="宋体"/>
                <w:color w:val="000000" w:themeColor="text1"/>
                <w:szCs w:val="21"/>
                <w:highlight w:val="none"/>
                <w14:textFill>
                  <w14:solidFill>
                    <w14:schemeClr w14:val="tx1"/>
                  </w14:solidFill>
                </w14:textFill>
              </w:rPr>
              <w:t xml:space="preserve">： </w:t>
            </w:r>
            <w:r/>
          </w:p>
        </w:tc>
      </w:tr>
      <w:tr>
        <w:trPr>
          <w:cantSplit/>
          <w:jc w:val="center"/>
          <w:trHeight w:val="1964"/>
        </w:trPr>
        <w:tc>
          <w:tcPr>
            <w:tcW w:w="929"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c>
          <w:tcPr>
            <w:gridSpan w:val="5"/>
            <w:tcW w:w="8940" w:type="dxa"/>
            <w:textDirection w:val="lrTb"/>
            <w:noWrap w:val="false"/>
          </w:tcPr>
          <w:p>
            <w:pPr>
              <w:pStyle w:val="701"/>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从事工作时间</w:t>
            </w:r>
            <w:r>
              <w:rPr>
                <w:rFonts w:hint="eastAsia" w:ascii="宋体" w:hAnsi="宋体"/>
                <w:color w:val="000000" w:themeColor="text1"/>
                <w:szCs w:val="21"/>
                <w:highlight w:val="none"/>
                <w14:textFill>
                  <w14:solidFill>
                    <w14:schemeClr w14:val="tx1"/>
                  </w14:solidFill>
                </w14:textFill>
              </w:rPr>
              <w:t xml:space="preserve">及工作经历：</w:t>
            </w:r>
            <w:r/>
          </w:p>
        </w:tc>
      </w:tr>
      <w:tr>
        <w:trPr>
          <w:cantSplit/>
          <w:jc w:val="center"/>
          <w:trHeight w:val="625"/>
        </w:trPr>
        <w:tc>
          <w:tcPr>
            <w:tcW w:w="929"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p>
        </w:tc>
        <w:tc>
          <w:tcPr>
            <w:gridSpan w:val="5"/>
            <w:tcW w:w="8940" w:type="dxa"/>
            <w:vAlign w:val="center"/>
            <w:textDirection w:val="lrTb"/>
            <w:noWrap w:val="false"/>
          </w:tcPr>
          <w:p>
            <w:pPr>
              <w:pStyle w:val="701"/>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拥有的职称：</w:t>
            </w:r>
            <w:r/>
          </w:p>
        </w:tc>
      </w:tr>
      <w:tr>
        <w:trPr>
          <w:cantSplit/>
          <w:jc w:val="center"/>
          <w:trHeight w:val="625"/>
        </w:trPr>
        <w:tc>
          <w:tcPr>
            <w:tcW w:w="929" w:type="dxa"/>
            <w:vAlign w:val="center"/>
            <w:textDirection w:val="lrTb"/>
            <w:noWrap w:val="false"/>
          </w:tcPr>
          <w:p>
            <w:pPr>
              <w:pStyle w:val="701"/>
              <w:ind w:firstLine="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gridSpan w:val="5"/>
            <w:tcW w:w="8940" w:type="dxa"/>
            <w:vAlign w:val="center"/>
            <w:textDirection w:val="lrTb"/>
            <w:noWrap w:val="false"/>
          </w:tcPr>
          <w:p>
            <w:pPr>
              <w:pStyle w:val="701"/>
              <w:ind w:firstLine="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gridSpan w:val="5"/>
            <w:tcW w:w="8940" w:type="dxa"/>
            <w:vAlign w:val="center"/>
            <w:textDirection w:val="lrTb"/>
            <w:noWrap w:val="false"/>
          </w:tcPr>
          <w:p>
            <w:pPr>
              <w:pStyle w:val="701"/>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gridSpan w:val="5"/>
            <w:tcW w:w="8940" w:type="dxa"/>
            <w:textDirection w:val="lrTb"/>
            <w:noWrap w:val="false"/>
          </w:tcPr>
          <w:p>
            <w:pPr>
              <w:pStyle w:val="701"/>
              <w:ind w:firstLine="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近5年内负责的类似项目：</w:t>
            </w:r>
            <w:r/>
          </w:p>
        </w:tc>
      </w:tr>
      <w:tr>
        <w:trPr>
          <w:cantSplit/>
          <w:jc w:val="center"/>
          <w:trHeight w:val="607"/>
        </w:trPr>
        <w:tc>
          <w:tcPr>
            <w:tcBorders>
              <w:bottom w:val="single" w:color="000000" w:sz="6" w:space="0"/>
            </w:tcBorders>
            <w:tcW w:w="929" w:type="dxa"/>
            <w:vAlign w:val="center"/>
            <w:textDirection w:val="lrTb"/>
            <w:noWrap w:val="false"/>
          </w:tcPr>
          <w:p>
            <w:pPr>
              <w:ind w:left="-2"/>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gridSpan w:val="5"/>
            <w:tcBorders>
              <w:bottom w:val="single" w:color="000000" w:sz="6" w:space="0"/>
            </w:tcBorders>
            <w:tcW w:w="8940" w:type="dxa"/>
            <w:vAlign w:val="center"/>
            <w:textDirection w:val="lrTb"/>
            <w:noWrap w:val="false"/>
          </w:tcPr>
          <w:p>
            <w:pPr>
              <w:pStyle w:val="701"/>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其他需要说明的情况</w:t>
            </w:r>
            <w:r/>
          </w:p>
        </w:tc>
      </w:tr>
    </w:tbl>
    <w:p>
      <w:pPr>
        <w:pStyle w:val="1016"/>
        <w:ind w:firstLine="420"/>
        <w:jc w:val="lef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w:t>
      </w:r>
      <w:r>
        <w:rPr>
          <w:rFonts w:hint="eastAsia" w:cs="宋体"/>
          <w:color w:val="000000" w:themeColor="text1"/>
          <w:sz w:val="21"/>
          <w:szCs w:val="21"/>
          <w:highlight w:val="none"/>
          <w:lang w:bidi="ar"/>
          <w14:textFill>
            <w14:solidFill>
              <w14:schemeClr w14:val="tx1"/>
            </w14:solidFill>
          </w14:textFill>
        </w:rPr>
        <w:t xml:space="preserve">投标人可根据自身情况调整表格及内容</w:t>
      </w:r>
      <w:r>
        <w:rPr>
          <w:rFonts w:hint="eastAsia"/>
          <w:color w:val="000000" w:themeColor="text1"/>
          <w:sz w:val="21"/>
          <w:szCs w:val="21"/>
          <w:highlight w:val="none"/>
          <w14:textFill>
            <w14:solidFill>
              <w14:schemeClr w14:val="tx1"/>
            </w14:solidFill>
          </w14:textFill>
        </w:rPr>
        <w:t xml:space="preserve">。</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16"/>
        <w:ind w:right="19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投标人（盖章）</w:t>
      </w:r>
      <w:r>
        <w:rPr>
          <w:color w:val="000000" w:themeColor="text1"/>
          <w:highlight w:val="none"/>
          <w14:textFill>
            <w14:solidFill>
              <w14:schemeClr w14:val="tx1"/>
            </w14:solidFill>
          </w14:textFill>
        </w:rPr>
        <w:t xml:space="preserve">：</w:t>
      </w:r>
      <w:r/>
    </w:p>
    <w:p>
      <w:pPr>
        <w:pStyle w:val="1016"/>
        <w:ind w:right="96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b/>
          <w:bCs w:val="0"/>
          <w:color w:val="000000" w:themeColor="text1"/>
          <w:highlight w:val="none"/>
          <w14:textFill>
            <w14:solidFill>
              <w14:schemeClr w14:val="tx1"/>
            </w14:solidFill>
          </w14:textFill>
        </w:rPr>
        <w:t xml:space="preserve">法定代表人或被授权代表（签字或盖章）</w:t>
      </w:r>
      <w:r>
        <w:rPr>
          <w:b/>
          <w:bCs w:val="0"/>
          <w:color w:val="000000" w:themeColor="text1"/>
          <w:highlight w:val="none"/>
          <w14:textFill>
            <w14:solidFill>
              <w14:schemeClr w14:val="tx1"/>
            </w14:solidFill>
          </w14:textFill>
        </w:rPr>
        <w:t xml:space="preserve">：</w:t>
      </w:r>
      <w:r/>
    </w:p>
    <w:p>
      <w:pPr>
        <w:pStyle w:val="1016"/>
        <w:ind w:right="96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p>
    <w:p>
      <w:pPr>
        <w:ind w:firstLine="6300"/>
        <w:spacing w:line="360" w:lineRule="auto"/>
        <w:rPr>
          <w:rFonts w:ascii="宋体" w:hAns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p>
    <w:p>
      <w:pPr>
        <w:pStyle w:val="1016"/>
        <w:ind w:right="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90"/>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（九）投标偏离表（格式）</w:t>
      </w:r>
      <w:r/>
    </w:p>
    <w:p>
      <w:pPr>
        <w:ind w:firstLine="490"/>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p>
    <w:tbl>
      <w:tblPr>
        <w:tblStyle w:val="69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spacing w:line="360" w:lineRule="auto"/>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360" w:lineRule="auto"/>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（3）如有技术偏离项，请于本表中列明偏离内容，如需要可自行延长，其余无偏离内容不须赘述。</w:t>
      </w:r>
      <w:bookmarkStart w:id="19" w:name="_Hlt26609389"/>
      <w:r/>
      <w:bookmarkEnd w:id="19"/>
      <w:r/>
      <w:bookmarkStart w:id="20" w:name="_Hlt26955066"/>
      <w:r/>
      <w:bookmarkEnd w:id="20"/>
      <w:r/>
      <w:bookmarkStart w:id="21" w:name="_格式2__法定代表人授权书"/>
      <w:r/>
      <w:bookmarkEnd w:id="21"/>
      <w:r/>
      <w:bookmarkStart w:id="22" w:name="_Hlt26671374"/>
      <w:r/>
      <w:bookmarkEnd w:id="22"/>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黑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14:textFill>
            <w14:solidFill>
              <w14:schemeClr w14:val="tx1"/>
            </w14:solidFill>
          </w14:textFill>
        </w:rPr>
        <w:t xml:space="preserve">）中小企业声明函（格式）</w:t>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中小企业声明函（服务）</w:t>
      </w:r>
      <w:r/>
    </w:p>
    <w:p>
      <w:pPr>
        <w:spacing w:line="588" w:lineRule="exact"/>
        <w:rPr>
          <w:rFonts w:ascii="宋体" w:hAnsi="宋体"/>
          <w:b/>
          <w:color w:val="000000" w:themeColor="text1"/>
          <w:spacing w:val="6"/>
          <w:sz w:val="30"/>
          <w:szCs w:val="30"/>
          <w:highlight w:val="none"/>
          <w14:textFill>
            <w14:solidFill>
              <w14:schemeClr w14:val="tx1"/>
            </w14:solidFill>
          </w14:textFill>
        </w:rPr>
      </w:pPr>
      <w:r>
        <w:rPr>
          <w:rFonts w:ascii="宋体" w:hAnsi="宋体"/>
          <w:b/>
          <w:color w:val="000000" w:themeColor="text1"/>
          <w:spacing w:val="6"/>
          <w:sz w:val="30"/>
          <w:szCs w:val="30"/>
          <w:highlight w:val="none"/>
          <w14:textFill>
            <w14:solidFill>
              <w14:schemeClr w14:val="tx1"/>
            </w14:solidFill>
          </w14:textFill>
        </w:rPr>
      </w:r>
      <w:r/>
    </w:p>
    <w:p>
      <w:pPr>
        <w:ind w:firstLine="504"/>
        <w:spacing w:line="360" w:lineRule="auto"/>
        <w:rPr>
          <w:rFonts w:asci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本公司（联合体）郑重声明，根据《政府采购促进中小企业发展管理办法》（财库</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2020</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color w:val="000000" w:themeColor="text1"/>
          <w:spacing w:val="6"/>
          <w:sz w:val="24"/>
          <w:szCs w:val="24"/>
          <w:highlight w:val="none"/>
          <w14:textFill>
            <w14:solidFill>
              <w14:schemeClr w14:val="tx1"/>
            </w14:solidFill>
          </w14:textFill>
        </w:rPr>
        <w:t xml:space="preserve">46</w:t>
      </w:r>
      <w:r>
        <w:rPr>
          <w:rFonts w:hint="eastAsia" w:ascii="宋体" w:hAnsi="宋体"/>
          <w:color w:val="000000" w:themeColor="text1"/>
          <w:spacing w:val="6"/>
          <w:sz w:val="24"/>
          <w:szCs w:val="24"/>
          <w:highlight w:val="none"/>
          <w14:textFill>
            <w14:solidFill>
              <w14:schemeClr w14:val="tx1"/>
            </w14:solidFill>
          </w14:textFill>
        </w:rPr>
        <w:t xml:space="preserve">号）的规定，本公司（联合体）参加（单位名称）的（项目名称）采购活动，</w:t>
      </w:r>
      <w:r>
        <w:rPr>
          <w:rFonts w:hint="eastAsia" w:ascii="宋体" w:hAnsi="宋体"/>
          <w:b/>
          <w:color w:val="000000" w:themeColor="text1"/>
          <w:spacing w:val="6"/>
          <w:sz w:val="24"/>
          <w:szCs w:val="24"/>
          <w:highlight w:val="none"/>
          <w14:textFill>
            <w14:solidFill>
              <w14:schemeClr w14:val="tx1"/>
            </w14:solidFill>
          </w14:textFill>
        </w:rPr>
        <w:t xml:space="preserve">服务全部由符合政府要求的中小企业承接。</w:t>
      </w:r>
      <w:r>
        <w:rPr>
          <w:rFonts w:hint="eastAsia" w:ascii="宋体" w:hAnsi="宋体"/>
          <w:color w:val="000000" w:themeColor="text1"/>
          <w:spacing w:val="6"/>
          <w:sz w:val="24"/>
          <w:szCs w:val="24"/>
          <w:highlight w:val="none"/>
          <w14:textFill>
            <w14:solidFill>
              <w14:schemeClr w14:val="tx1"/>
            </w14:solidFill>
          </w14:textFill>
        </w:rPr>
        <w:t xml:space="preserve">相关企业（含联合体中的中小企业、签订分包意向协议的中小企业）的具体情况如下：</w:t>
      </w:r>
      <w:r/>
    </w:p>
    <w:p>
      <w:pPr>
        <w:ind w:firstLine="504"/>
        <w:spacing w:line="360" w:lineRule="auto"/>
        <w:rPr>
          <w:rFonts w:ascii="宋体"/>
          <w:color w:val="000000" w:themeColor="text1"/>
          <w:sz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right="1560" w:firstLine="2520"/>
        <w:jc w:val="left"/>
        <w:spacing w:line="360" w:lineRule="auto"/>
        <w:tabs>
          <w:tab w:val="left" w:pos="4860" w:leader="none"/>
        </w:tabs>
        <w:rPr>
          <w:rFonts w:asci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投标人名称（盖章）：</w:t>
      </w:r>
      <w:r>
        <w:rPr>
          <w:rFonts w:ascii="宋体" w:hAnsi="宋体"/>
          <w:color w:val="000000" w:themeColor="text1"/>
          <w:spacing w:val="6"/>
          <w:sz w:val="24"/>
          <w:szCs w:val="24"/>
          <w:highlight w:val="none"/>
          <w14:textFill>
            <w14:solidFill>
              <w14:schemeClr w14:val="tx1"/>
            </w14:solidFill>
          </w14:textFill>
        </w:rPr>
        <w:t xml:space="preserve"> </w:t>
      </w:r>
      <w:r/>
    </w:p>
    <w:p>
      <w:pPr>
        <w:jc w:val="left"/>
        <w:spacing w:line="360" w:lineRule="auto"/>
        <w:rPr>
          <w:rFonts w:asci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t xml:space="preserve">                             </w:t>
      </w:r>
      <w:r>
        <w:rPr>
          <w:rFonts w:hint="eastAsia" w:ascii="宋体" w:hAnsi="宋体"/>
          <w:color w:val="000000" w:themeColor="text1"/>
          <w:spacing w:val="6"/>
          <w:sz w:val="24"/>
          <w:szCs w:val="24"/>
          <w:highlight w:val="none"/>
          <w14:textFill>
            <w14:solidFill>
              <w14:schemeClr w14:val="tx1"/>
            </w14:solidFill>
          </w14:textFill>
        </w:rPr>
        <w:t xml:space="preserve">日</w:t>
      </w:r>
      <w:r>
        <w:rPr>
          <w:rFonts w:ascii="宋体" w:hAnsi="宋体"/>
          <w:color w:val="000000" w:themeColor="text1"/>
          <w:spacing w:val="6"/>
          <w:sz w:val="24"/>
          <w:szCs w:val="24"/>
          <w:highlight w:val="none"/>
          <w14:textFill>
            <w14:solidFill>
              <w14:schemeClr w14:val="tx1"/>
            </w14:solidFill>
          </w14:textFill>
        </w:rPr>
        <w:t xml:space="preserve">  </w:t>
      </w:r>
      <w:r>
        <w:rPr>
          <w:rFonts w:hint="eastAsia" w:ascii="宋体" w:hAnsi="宋体"/>
          <w:color w:val="000000" w:themeColor="text1"/>
          <w:spacing w:val="6"/>
          <w:sz w:val="24"/>
          <w:szCs w:val="24"/>
          <w:highlight w:val="none"/>
          <w14:textFill>
            <w14:solidFill>
              <w14:schemeClr w14:val="tx1"/>
            </w14:solidFill>
          </w14:textFill>
        </w:rPr>
        <w:t xml:space="preserve">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ind w:firstLine="480"/>
        <w:spacing w:line="360" w:lineRule="auto"/>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从业人员、营业收入、资产总额填报上一年度数据，新成立企业可不填报；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本声明为承诺制，若中标后，中小企业声明函随中标公告一起挂网公示。</w:t>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黑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（十一）残疾人福利性单位声明函（格式）</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
        <w:spacing w:line="580" w:lineRule="exact"/>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                                     投标人（盖章）：</w:t>
      </w:r>
      <w:r/>
    </w:p>
    <w:p>
      <w:pPr>
        <w:ind w:firstLine="52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日  期：</w:t>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before="15" w:after="15"/>
        <w:shd w:val="clear" w:color="auto" w:fill="ffffff"/>
        <w:widowControl/>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（十二）关于符合本国产品标准的声明函</w:t>
      </w:r>
      <w:r/>
    </w:p>
    <w:p>
      <w:pPr>
        <w:jc w:val="center"/>
        <w:spacing w:before="15" w:after="15"/>
        <w:shd w:val="clear" w:color="auto" w:fill="ffffff"/>
        <w:widowControl/>
        <w:rPr>
          <w:rFonts w:ascii="宋体" w:hAnsi="宋体" w:cs="宋体"/>
          <w:b/>
          <w:bCs/>
          <w:color w:val="000000" w:themeColor="text1"/>
          <w:sz w:val="30"/>
          <w:szCs w:val="30"/>
          <w:highlight w:val="none"/>
          <w:shd w:val="clear" w:color="auto" w:fill="ffffff"/>
          <w14:textFill>
            <w14:solidFill>
              <w14:schemeClr w14:val="tx1"/>
            </w14:solidFill>
          </w14:textFill>
        </w:rPr>
      </w:pPr>
      <w:r>
        <w:rPr>
          <w:rFonts w:ascii="宋体" w:hAnsi="宋体" w:cs="宋体"/>
          <w:b/>
          <w:bCs/>
          <w:color w:val="000000" w:themeColor="text1"/>
          <w:sz w:val="30"/>
          <w:szCs w:val="30"/>
          <w:highlight w:val="none"/>
          <w:shd w:val="clear" w:color="auto" w:fill="ffffff"/>
          <w14:textFill>
            <w14:solidFill>
              <w14:schemeClr w14:val="tx1"/>
            </w14:solidFill>
          </w14:textFill>
        </w:rPr>
      </w:r>
      <w:r/>
    </w:p>
    <w:p>
      <w:pPr>
        <w:jc w:val="center"/>
        <w:spacing w:before="15" w:after="15"/>
        <w:shd w:val="clear" w:color="auto" w:fill="ffffff"/>
        <w:widowControl/>
        <w:rPr>
          <w:rFonts w:ascii="宋体" w:hAnsi="宋体" w:cs="宋体"/>
          <w:b/>
          <w:bCs/>
          <w:color w:val="000000" w:themeColor="text1"/>
          <w:sz w:val="30"/>
          <w:szCs w:val="30"/>
          <w:highlight w:val="none"/>
          <w:shd w:val="clear" w:color="auto" w:fill="ffffff"/>
          <w14:textFill>
            <w14:solidFill>
              <w14:schemeClr w14:val="tx1"/>
            </w14:solidFill>
          </w14:textFill>
        </w:rPr>
      </w:pPr>
      <w:r>
        <w:rPr>
          <w:rFonts w:ascii="宋体" w:hAnsi="宋体" w:cs="宋体"/>
          <w:b/>
          <w:bCs/>
          <w:color w:val="000000" w:themeColor="text1"/>
          <w:sz w:val="30"/>
          <w:szCs w:val="30"/>
          <w:highlight w:val="none"/>
          <w:shd w:val="clear" w:color="auto" w:fill="ffffff"/>
          <w14:textFill>
            <w14:solidFill>
              <w14:schemeClr w14:val="tx1"/>
            </w14:solidFill>
          </w14:textFill>
        </w:rPr>
      </w:r>
      <w:r/>
    </w:p>
    <w:p>
      <w:pPr>
        <w:jc w:val="center"/>
        <w:spacing w:before="15" w:after="15"/>
        <w:shd w:val="clear" w:color="auto" w:fill="ffffff"/>
        <w:widowControl/>
        <w:rPr>
          <w:rFonts w:ascii="宋体" w:hAnsi="宋体" w:cs="宋体"/>
          <w:b/>
          <w:bCs/>
          <w:color w:val="000000" w:themeColor="text1"/>
          <w:sz w:val="30"/>
          <w:szCs w:val="30"/>
          <w:highlight w:val="none"/>
          <w:shd w:val="clear" w:color="auto" w:fill="ffffff"/>
          <w14:textFill>
            <w14:solidFill>
              <w14:schemeClr w14:val="tx1"/>
            </w14:solidFill>
          </w14:textFill>
        </w:rPr>
      </w:pPr>
      <w:r>
        <w:rPr>
          <w:rFonts w:ascii="宋体" w:hAnsi="宋体" w:cs="宋体"/>
          <w:b/>
          <w:bCs/>
          <w:color w:val="000000" w:themeColor="text1"/>
          <w:sz w:val="30"/>
          <w:szCs w:val="30"/>
          <w:highlight w:val="none"/>
          <w:shd w:val="clear" w:color="auto" w:fill="ffffff"/>
          <w14:textFill>
            <w14:solidFill>
              <w14:schemeClr w14:val="tx1"/>
            </w14:solidFill>
          </w14:textFill>
        </w:rPr>
      </w:r>
      <w:r/>
    </w:p>
    <w:p>
      <w:pPr>
        <w:jc w:val="center"/>
        <w:spacing w:before="15" w:after="15"/>
        <w:shd w:val="clear" w:color="auto" w:fill="ffffff"/>
        <w:widowControl/>
        <w:rPr>
          <w:rFonts w:ascii="宋体" w:hAnsi="宋体" w:cs="宋体"/>
          <w:b/>
          <w:bCs/>
          <w:color w:val="000000" w:themeColor="text1"/>
          <w:sz w:val="30"/>
          <w:szCs w:val="30"/>
          <w:highlight w:val="none"/>
          <w:shd w:val="clear" w:color="auto" w:fill="ffffff"/>
          <w14:textFill>
            <w14:solidFill>
              <w14:schemeClr w14:val="tx1"/>
            </w14:solidFill>
          </w14:textFill>
        </w:rPr>
      </w:pPr>
      <w:r>
        <w:rPr>
          <w:rFonts w:ascii="宋体" w:hAnsi="宋体" w:cs="宋体"/>
          <w:b/>
          <w:bCs/>
          <w:color w:val="000000" w:themeColor="text1"/>
          <w:sz w:val="30"/>
          <w:szCs w:val="30"/>
          <w:highlight w:val="none"/>
          <w:shd w:val="clear" w:color="auto" w:fill="ffffff"/>
          <w14:textFill>
            <w14:solidFill>
              <w14:schemeClr w14:val="tx1"/>
            </w14:solidFill>
          </w14:textFill>
        </w:rPr>
      </w:r>
      <w:r/>
    </w:p>
    <w:p>
      <w:pPr>
        <w:jc w:val="center"/>
        <w:spacing w:before="15" w:after="15"/>
        <w:shd w:val="clear" w:color="auto" w:fill="ffffff"/>
        <w:widowControl/>
        <w:rPr>
          <w:rFonts w:ascii="宋体" w:hAnsi="宋体" w:cs="宋体"/>
          <w:b/>
          <w:bCs/>
          <w:color w:val="000000" w:themeColor="text1"/>
          <w:sz w:val="30"/>
          <w:szCs w:val="30"/>
          <w:highlight w:val="none"/>
          <w:shd w:val="clear" w:color="auto" w:fill="ffffff"/>
          <w14:textFill>
            <w14:solidFill>
              <w14:schemeClr w14:val="tx1"/>
            </w14:solidFill>
          </w14:textFill>
        </w:rPr>
      </w:pPr>
      <w:r>
        <w:rPr>
          <w:rFonts w:ascii="宋体" w:hAnsi="宋体" w:cs="宋体"/>
          <w:b/>
          <w:bCs/>
          <w:color w:val="000000" w:themeColor="text1"/>
          <w:sz w:val="30"/>
          <w:szCs w:val="30"/>
          <w:highlight w:val="none"/>
          <w:shd w:val="clear" w:color="auto" w:fill="ffffff"/>
          <w14:textFill>
            <w14:solidFill>
              <w14:schemeClr w14:val="tx1"/>
            </w14:solidFill>
          </w14:textFill>
        </w:rPr>
      </w:r>
      <w:r/>
    </w:p>
    <w:p>
      <w:pPr>
        <w:jc w:val="center"/>
        <w:spacing w:before="15" w:after="15"/>
        <w:shd w:val="clear" w:color="auto" w:fill="ffffff"/>
        <w:widowControl/>
        <w:rPr>
          <w:color w:val="000000" w:themeColor="text1"/>
          <w:sz w:val="24"/>
          <w:szCs w:val="24"/>
          <w:highlight w:val="none"/>
          <w14:textFill>
            <w14:solidFill>
              <w14:schemeClr w14:val="tx1"/>
            </w14:solidFill>
          </w14:textFill>
        </w:rPr>
      </w:pPr>
      <w:r/>
      <w:bookmarkStart w:id="23" w:name="OLE_LINK54"/>
      <w:r>
        <w:rPr>
          <w:rFonts w:hint="eastAsia" w:ascii="宋体" w:hAnsi="宋体" w:cs="宋体"/>
          <w:b/>
          <w:bCs/>
          <w:color w:val="000000" w:themeColor="text1"/>
          <w:sz w:val="30"/>
          <w:szCs w:val="30"/>
          <w:highlight w:val="none"/>
          <w:shd w:val="clear" w:color="auto" w:fill="ffffff"/>
          <w14:textFill>
            <w14:solidFill>
              <w14:schemeClr w14:val="tx1"/>
            </w14:solidFill>
          </w14:textFill>
        </w:rPr>
        <w:t xml:space="preserve">关于符合本国产品标准的声明函</w:t>
      </w:r>
      <w:bookmarkEnd w:id="23"/>
      <w:r/>
      <w:r/>
    </w:p>
    <w:p>
      <w:pPr>
        <w:ind w:firstLine="420"/>
        <w:spacing w:before="15" w:after="15"/>
        <w:shd w:val="clear" w:color="auto" w:fill="ffffff"/>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 </w:t>
      </w:r>
      <w:r/>
    </w:p>
    <w:p>
      <w:pPr>
        <w:ind w:firstLine="420"/>
        <w:spacing w:line="360" w:lineRule="auto"/>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1.</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（微转台摄像机）</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，生产厂为</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（厂名）</w:t>
      </w:r>
      <w:r>
        <w:rPr>
          <w:rFonts w:hint="eastAsia" w:ascii="宋体" w:hAnsi="宋体" w:cs="宋体"/>
          <w:color w:val="000000" w:themeColor="text1"/>
          <w:sz w:val="24"/>
          <w:szCs w:val="24"/>
          <w:highlight w:val="none"/>
          <w:shd w:val="clear" w:color="auto" w:fill="ffffff"/>
          <w:vertAlign w:val="superscript"/>
          <w14:textFill>
            <w14:solidFill>
              <w14:schemeClr w14:val="tx1"/>
            </w14:solidFill>
          </w14:textFill>
        </w:rPr>
        <w:t xml:space="preserve">2</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，厂址为</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（生产厂址）</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vertAlign w:val="superscript"/>
          <w14:textFill>
            <w14:solidFill>
              <w14:schemeClr w14:val="tx1"/>
            </w14:solidFill>
          </w14:textFill>
        </w:rPr>
        <w:t xml:space="preserve">3</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的</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vertAlign w:val="superscript"/>
          <w14:textFill>
            <w14:solidFill>
              <w14:schemeClr w14:val="tx1"/>
            </w14:solidFill>
          </w14:textFill>
        </w:rPr>
        <w:t xml:space="preserve">4</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在中国境内生产。</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的</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vertAlign w:val="superscript"/>
          <w14:textFill>
            <w14:solidFill>
              <w14:schemeClr w14:val="tx1"/>
            </w14:solidFill>
          </w14:textFill>
        </w:rPr>
        <w:t xml:space="preserve">5</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在中国境内完成。</w:t>
      </w:r>
      <w:r/>
    </w:p>
    <w:p>
      <w:pPr>
        <w:ind w:firstLine="420"/>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2.</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（产品名称2）</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，生产厂为</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（厂名）</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，厂址为</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（生产厂址）</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的</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在中国境内生产。</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的</w:t>
      </w:r>
      <w:r>
        <w:rPr>
          <w:rFonts w:hint="eastAsia" w:ascii="宋体" w:hAnsi="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在中国境内完成。</w:t>
      </w:r>
      <w:r/>
    </w:p>
    <w:p>
      <w:pPr>
        <w:ind w:firstLine="420"/>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w:t>
      </w:r>
      <w:r/>
    </w:p>
    <w:p>
      <w:pPr>
        <w:ind w:firstLine="420"/>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spacing w:before="30" w:after="30" w:line="0" w:lineRule="atLeast"/>
        <w:shd w:val="clear" w:color="auto" w:fill="ffffff"/>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 </w:t>
      </w:r>
      <w:r/>
    </w:p>
    <w:p>
      <w:pPr>
        <w:jc w:val="right"/>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   公司（单位）名称：         </w:t>
      </w:r>
      <w:r/>
    </w:p>
    <w:p>
      <w:pPr>
        <w:jc w:val="center"/>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                             年   月   日         </w:t>
      </w:r>
      <w:r/>
    </w:p>
    <w:p>
      <w:pPr>
        <w:spacing w:before="30" w:after="30" w:line="0" w:lineRule="atLeast"/>
        <w:shd w:val="clear" w:color="auto" w:fill="ffffff"/>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 </w:t>
      </w:r>
      <w:r/>
    </w:p>
    <w:p>
      <w:pPr>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1.产品如有型号，请在“产品名称”栏一并填写。</w:t>
      </w:r>
      <w:r/>
    </w:p>
    <w:p>
      <w:pPr>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4.该产品的关键组件要求实施前，“关键组件”栏可不填，下同。</w:t>
      </w:r>
      <w:r/>
    </w:p>
    <w:p>
      <w:pPr>
        <w:spacing w:before="30" w:after="30" w:line="360" w:lineRule="auto"/>
        <w:shd w:val="clear" w:color="auto" w:fill="ffffff"/>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5.该产品的关键工序要求实施前，“关键工序”栏可不填，下同。</w:t>
      </w:r>
      <w:r/>
    </w:p>
    <w:p>
      <w:pPr>
        <w:jc w:val="left"/>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br w:type="page" w:clear="all"/>
      </w:r>
      <w:r>
        <w:rPr>
          <w:rFonts w:hint="eastAsia" w:ascii="黑体" w:hAnsi="黑体" w:eastAsia="黑体"/>
          <w:color w:val="000000" w:themeColor="text1"/>
          <w:sz w:val="24"/>
          <w:szCs w:val="24"/>
          <w:highlight w:val="none"/>
          <w14:textFill>
            <w14:solidFill>
              <w14:schemeClr w14:val="tx1"/>
            </w14:solidFill>
          </w14:textFill>
        </w:rPr>
        <w:t xml:space="preserve">附1：</w:t>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政府采购履约担保函（项目用）</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编号：</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（采购人）：</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鉴于你方与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（以下简称供应商）于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日签订编号为   的《           政府采购合同》（以下简称“主合同”），且依据该合同的约定，供应商应在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一、保证责任的情形及保证金额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（一）在供应商出现下列情形之一时，我方承担保证责任：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1.将中标项目转让给他人，或者在投标文件中未说明，且未经采购招标机构同意，将中标项目分包给他人的；</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2.主合同约定的应当缴纳履约保证金的情形： </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（1）未按主合同约定的质量、数量和期限供应货物/提供服务/完成工程的；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（二）我方的保证范围是主合同约定的合同价款总额的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%数额为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），币种为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。（即主合同履约保证金金额）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二、保证的方式及保证期间</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我方保证的方式为：连带责任保证。</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我方保证的期间为：自本合同生效之日起至供应商按照主合同约定的供货/完工期限届满后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日内。</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如果供应商未按主合同约定向贵方供应货物/提供服务/完成工程的，由我方在保证金额内向你方支付上述款项。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三、承担保证责任的程序</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如果你方与供应商因货物质量问题产生争议，你方还需同时提供</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2.我方收到你方的书面索赔通知及相应证明材料，在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工作日内进行核定后按照本保函的承诺承担保证责任。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四、保证责任的终止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1.保证期间届满你方未向我方书面主张保证责任的，自保证期间届满次日起，我方保证责任自动终止。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3.按照法律法规的规定或出现应终止我方保证责任的其他情形的，我方在本保函项下的保证责任亦终止。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五、免责条款</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1.因你方违反主合同约定致使供应商不能履行义务的，我方不承担保证责任。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3.因不可抗力造成供应商不能履行供货义务的，我方不承担保证责任。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六、争议的解决</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因本保函发生的纠纷，由你我双方协商解决，协商不成的，通过诉讼程序解决，诉讼管辖地法院为采购人所在地人民</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七、保函的生效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本保函自我方加盖公章之日起生效。</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保证人：（公章）</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年     月      日</w:t>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br w:type="page" w:clear="all"/>
      </w:r>
      <w:r/>
    </w:p>
    <w:p>
      <w:pPr>
        <w:rPr>
          <w:rFonts w:asci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w:t>
      </w:r>
      <w:r>
        <w:rPr>
          <w:rFonts w:hint="eastAsia" w:ascii="黑体" w:eastAsia="黑体"/>
          <w:color w:val="000000" w:themeColor="text1"/>
          <w:sz w:val="24"/>
          <w:szCs w:val="24"/>
          <w:highlight w:val="none"/>
          <w14:textFill>
            <w14:solidFill>
              <w14:schemeClr w14:val="tx1"/>
            </w14:solidFill>
          </w14:textFill>
        </w:rPr>
        <w:t xml:space="preserve">2：</w:t>
      </w:r>
      <w:r/>
    </w:p>
    <w:p>
      <w:pPr>
        <w:rPr>
          <w:rFonts w:ascii="黑体" w:eastAsia="黑体"/>
          <w:color w:val="000000" w:themeColor="text1"/>
          <w:sz w:val="24"/>
          <w:szCs w:val="24"/>
          <w:highlight w:val="none"/>
          <w14:textFill>
            <w14:solidFill>
              <w14:schemeClr w14:val="tx1"/>
            </w14:solidFill>
          </w14:textFill>
        </w:rPr>
      </w:pPr>
      <w:r>
        <w:rPr>
          <w:rFonts w:asci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无锡市政府采购合同融资政策告知函</w:t>
      </w:r>
      <w:r/>
    </w:p>
    <w:p>
      <w:pPr>
        <w:spacing w:line="5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各供应商：</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欢迎贵公司参与无锡市政府采购活动！</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2020</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17</w:t>
      </w:r>
      <w:r>
        <w:rPr>
          <w:rFonts w:hint="eastAsia" w:ascii="宋体" w:hAnsi="宋体" w:cs="宋体"/>
          <w:color w:val="000000" w:themeColor="text1"/>
          <w:sz w:val="24"/>
          <w:szCs w:val="24"/>
          <w:highlight w:val="none"/>
          <w14:textFill>
            <w14:solidFill>
              <w14:schemeClr w14:val="tx1"/>
            </w14:solidFill>
          </w14:textFill>
        </w:rPr>
        <w:t xml:space="preserve">号）及《关于进一步推进政府采购合同融资工作的通知》（锡财购〔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号）的文件精神，按照双方自愿的原则提供便捷、优惠的贷款服务。</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贷款渠道和提供贷款的金融机构，可在无锡政府采购网无锡市政府采购交易管理一体化系统建设的“政采贷”平台查询联系。</w:t>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p>
      <w:pPr>
        <w:rPr>
          <w:rFonts w:ascii="华文中宋" w:hAnsi="华文中宋" w:eastAsia="华文中宋"/>
          <w:b/>
          <w:color w:val="000000" w:themeColor="text1"/>
          <w:sz w:val="30"/>
          <w:szCs w:val="30"/>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134" w:right="1133" w:bottom="993" w:left="1418" w:header="624" w:footer="907" w:gutter="0"/>
          <w:pgNumType w:start="0"/>
          <w:cols w:num="1" w:sep="0" w:space="720" w:equalWidth="1"/>
          <w:docGrid w:linePitch="360"/>
          <w:titlePg/>
        </w:sectPr>
      </w:pPr>
      <w:r>
        <w:rPr>
          <w:rFonts w:ascii="华文中宋" w:hAnsi="华文中宋" w:eastAsia="华文中宋"/>
          <w:b/>
          <w:color w:val="000000" w:themeColor="text1"/>
          <w:sz w:val="30"/>
          <w:szCs w:val="30"/>
          <w:highlight w:val="none"/>
          <w14:textFill>
            <w14:solidFill>
              <w14:schemeClr w14:val="tx1"/>
            </w14:solidFill>
          </w14:textFill>
        </w:rPr>
        <w:br w:type="page" w:clear="all"/>
      </w:r>
      <w:r/>
    </w:p>
    <w:p>
      <w:pPr>
        <w:rPr>
          <w:rFonts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附3</w:t>
      </w:r>
      <w:r>
        <w:rPr>
          <w:rFonts w:hint="eastAsia" w:ascii="黑体" w:eastAsia="黑体"/>
          <w:color w:val="000000" w:themeColor="text1"/>
          <w:sz w:val="24"/>
          <w:szCs w:val="24"/>
          <w:highlight w:val="none"/>
          <w14:textFill>
            <w14:solidFill>
              <w14:schemeClr w14:val="tx1"/>
            </w14:solidFill>
          </w14:textFill>
        </w:rPr>
        <w:t xml:space="preserve">：</w:t>
      </w:r>
      <w:r>
        <w:rPr>
          <w:rFonts w:hint="eastAsia" w:ascii="黑体" w:hAnsi="黑体" w:eastAsia="黑体"/>
          <w:bCs/>
          <w:color w:val="000000" w:themeColor="text1"/>
          <w:sz w:val="24"/>
          <w:szCs w:val="24"/>
          <w:highlight w:val="none"/>
          <w14:textFill>
            <w14:solidFill>
              <w14:schemeClr w14:val="tx1"/>
            </w14:solidFill>
          </w14:textFill>
        </w:rPr>
        <w:t xml:space="preserve">明细报价表（格式）</w:t>
      </w:r>
      <w:r/>
    </w:p>
    <w:p>
      <w:pPr>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明细报价表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240"/>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政府采购编号：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JSZC-320211-HYFW-G2026-0012</w:t>
      </w:r>
      <w:r/>
    </w:p>
    <w:p>
      <w:pPr>
        <w:ind w:firstLine="240"/>
        <w:spacing w:line="360" w:lineRule="auto"/>
        <w:rPr>
          <w:rFonts w:ascii="黑体" w:eastAsia="黑体"/>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硬件设备</w:t>
      </w:r>
      <w:r/>
    </w:p>
    <w:tbl>
      <w:tblPr>
        <w:tblStyle w:val="699"/>
        <w:tblW w:w="4684" w:type="pct"/>
        <w:tblInd w:w="0" w:type="dxa"/>
        <w:tblLayout w:type="autofit"/>
        <w:tblCellMar>
          <w:left w:w="108" w:type="dxa"/>
          <w:top w:w="0" w:type="dxa"/>
          <w:right w:w="108" w:type="dxa"/>
          <w:bottom w:w="0" w:type="dxa"/>
        </w:tblCellMar>
        <w:tblLook w:val="04A0" w:firstRow="1" w:lastRow="0" w:firstColumn="1" w:lastColumn="0" w:noHBand="0" w:noVBand="1"/>
      </w:tblPr>
      <w:tblGrid>
        <w:gridCol w:w="551"/>
        <w:gridCol w:w="2162"/>
        <w:gridCol w:w="5616"/>
        <w:gridCol w:w="1488"/>
        <w:gridCol w:w="931"/>
        <w:gridCol w:w="794"/>
        <w:gridCol w:w="1205"/>
        <w:gridCol w:w="1237"/>
      </w:tblGrid>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单价报价（元）</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总价报价（元）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微转台摄像机</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left"/>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可见光</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1.镜头焦距：7mm～300mm；</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2.变焦倍数：光学变倍43倍，数字变倍16倍</w:t>
            </w:r>
            <w:bookmarkStart w:id="24" w:name="OLE_LINK6"/>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bookmarkEnd w:id="24"/>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3.对中型车辆作用距离（4.6m×2.3m）：探测不小于7000m，识别不小于4000m；</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4.对站立人员作用距离（1.8m×0.5m）：探测不小于5000m，识别不小于2500m；</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5.分辨率：1920×1080；</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6.照度：彩色0.01Lux，黑白0.001Lux；</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7.视频编码：H.265/H.264/MJPEG，支持多码流；</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8.图像处理：白平衡、电子快门、背光补偿、强光抑制、数字降噪、电子防抖、宽动态等；</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9.透雾：</w:t>
            </w:r>
            <w:r>
              <w:rPr>
                <w:rFonts w:hint="eastAsia" w:ascii="仿宋" w:hAnsi="仿宋" w:eastAsia="仿宋" w:cs="仿宋"/>
                <w:color w:val="000000"/>
                <w:sz w:val="24"/>
                <w:szCs w:val="24"/>
                <w:u w:val="none"/>
                <w:lang w:val="en-US" w:eastAsia="zh-CN" w:bidi="ar"/>
              </w:rPr>
              <w:t xml:space="preserve">支持光学/电子双重透雾</w:t>
            </w: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红外热成像</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1.作用距离：在能见度不小于10km、常温通视条件下，对中型车辆（4.6m×2.3m）探测不小于5000m，识别不小于1800m；对站立人员（1.8m×0.5m）探测不小于2500m，识别不小于900m；对火源(2m×2m) 探测不小于2000m</w:t>
            </w:r>
            <w:bookmarkStart w:id="25" w:name="OLE_LINK9"/>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bookmarkEnd w:id="25"/>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2.探测器：非制冷VOx红外焦平面阵列；</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3.阵列规模：640×512；</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4.光谱范围：8μm～14μm；</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5.NETD：40mK（@25℃ F1.0）；</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6.镜头焦距：不小于50mm，定焦，无热化或电动聚焦可选；</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7.视场：8.8°×7.0°</w:t>
            </w:r>
            <w:bookmarkStart w:id="26" w:name="OLE_LINK12"/>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bookmarkEnd w:id="26"/>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8.图像增强：数字图像增强技术，支持热像图像增强调节；</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9.伪彩极性：16种伪彩色图像，热黑/热白两种极性；</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10.图像调节：AGC自动增益控制，亮度、对比度调节；</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11.电子变倍： 1.0×～8.0×连续变倍（步长0.1），支持全局鹰眼显示；</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12.测距标尺：支持被动测距；</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13.坏点矫正：支持；</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14.图像校正：支持手动校正、背景校正、自动校正；</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15.强光保护：支持抗阳光损伤；</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智能化</w:t>
            </w:r>
            <w:r>
              <w:rPr>
                <w:rFonts w:hint="eastAsia" w:ascii="仿宋" w:hAnsi="仿宋" w:eastAsia="仿宋" w:cs="仿宋"/>
                <w:b/>
                <w:bCs/>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1.火点检测报警：灵敏度阈值支持连续无级精细调节、目标大小、目标数量1-16个可设置，自动选择最突出目标显示，热点追踪，跟踪稳定精度：不大于0.2°；</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2.智能分析：支持入侵侦测、越界侦测、</w:t>
            </w:r>
            <w:r/>
          </w:p>
          <w:p>
            <w:pPr>
              <w:jc w:val="left"/>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进入/离开区域侦测、移动侦测、徘徊检测、人员聚集、快速移动、目标跟踪、物品遗留、物品拿取；</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人/车目标检测、人脸检测；支持人、车辆筛选过滤功能；</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3.自动跟踪：支持多场景跟踪，支持报警联动跟踪，支持在可见光和热成像的场景下对移动目标进行框选跟踪；</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4.AR信息融合：点位200–500个；</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报警管理：支持报警抓拍上传</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5.转速：水平不低于0.01°/s～180°/s；俯仰不低于0.01°/s～90°/s；</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6.俯仰角度：水平不小于270°；俯仰不小于±80°；</w:t>
            </w:r>
            <w:r/>
          </w:p>
          <w:p>
            <w:pPr>
              <w:jc w:val="left"/>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7.</w:t>
            </w:r>
            <w:bookmarkStart w:id="27" w:name="OLE_LINK23"/>
            <w:r/>
            <w:bookmarkStart w:id="28" w:name="OLE_LINK17"/>
            <w:r>
              <w:rPr>
                <w:rFonts w:hint="eastAsia" w:ascii="仿宋" w:hAnsi="仿宋" w:eastAsia="仿宋" w:cs="仿宋"/>
                <w:color w:val="000000" w:themeColor="text1"/>
                <w:sz w:val="24"/>
                <w:szCs w:val="24"/>
                <w:highlight w:val="none"/>
                <w:lang w:bidi="ar"/>
                <w14:textFill>
                  <w14:solidFill>
                    <w14:schemeClr w14:val="tx1"/>
                  </w14:solidFill>
                </w14:textFill>
              </w:rPr>
              <w:t xml:space="preserve">预置位巡航</w:t>
            </w:r>
            <w:bookmarkEnd w:id="27"/>
            <w:r/>
            <w:bookmarkEnd w:id="28"/>
            <w:r>
              <w:rPr>
                <w:rFonts w:hint="eastAsia" w:ascii="仿宋" w:hAnsi="仿宋" w:eastAsia="仿宋" w:cs="仿宋"/>
                <w:color w:val="000000" w:themeColor="text1"/>
                <w:sz w:val="24"/>
                <w:szCs w:val="24"/>
                <w:highlight w:val="none"/>
                <w:lang w:bidi="ar"/>
                <w14:textFill>
                  <w14:solidFill>
                    <w14:schemeClr w14:val="tx1"/>
                  </w14:solidFill>
                </w14:textFill>
              </w:rPr>
              <w:t xml:space="preserve">：预置位不少于3000个。</w:t>
            </w:r>
            <w:r/>
          </w:p>
          <w:p>
            <w:pPr>
              <w:jc w:val="left"/>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8.巡航扫描：支持12条巡航路线，每条可支持200个。</w:t>
            </w:r>
            <w:r/>
          </w:p>
          <w:p>
            <w:pPr>
              <w:jc w:val="left"/>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整机要求</w:t>
            </w:r>
            <w:r/>
          </w:p>
          <w:p>
            <w:pPr>
              <w:jc w:val="left"/>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1.支持正装、吊装、侧装、壁装、临时架设中至少3种安装方式，支持画面反转；</w:t>
            </w:r>
            <w:r/>
          </w:p>
          <w:p>
            <w:pPr>
              <w:jc w:val="left"/>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2.一体化设计，至少4窗口多通道；</w:t>
            </w:r>
            <w:r/>
          </w:p>
          <w:p>
            <w:pPr>
              <w:jc w:val="left"/>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3.防护等级不小于IP66。</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高清激光高速球机</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left"/>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1.传感器：1/2.8''CMOS，日夜切换；</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2.分辨率：200万像素,1920×1080；</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3.照度：彩色:0.01 Lux，黑白:0.001Lux（@F1.2 AGC ON）；</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4.电子快门：50Hz，1/3 秒至 1/100000 秒；60Hz，1/3 秒至 1/100000 秒；</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5.水平旋转范围，可0°-360°连续旋转；</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6.垂直旋转范围，可0°-90°自动翻转；</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7.第三码流分辨率：支持主、子码流所有分辨率；</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8.激光照明和同步：镜头变倍过程中支持激光照射</w:t>
            </w:r>
            <w:bookmarkStart w:id="29" w:name="OLE_LINK26"/>
            <w:r/>
            <w:bookmarkStart w:id="30" w:name="OLE_LINK27"/>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bookmarkEnd w:id="29"/>
            <w:r/>
            <w:bookmarkEnd w:id="30"/>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9.宽动态范围：120dB；</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10.白平衡：自动/手动/自动跟踪白平衡/室外/室内/日光灯（自然光）/钠灯（路灯）；</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11.支持SD卡本地存储（最大支持256G）,断网续传，增益控制自动/手动，背光补偿、电子透雾、强光抑制、3D数字降噪，饱和度、亮度、对比度、锐度可调；</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12.焦距：5～117mm，高清电动变焦</w:t>
            </w:r>
            <w:bookmarkStart w:id="31" w:name="OLE_LINK29"/>
            <w:r/>
            <w:bookmarkStart w:id="32" w:name="OLE_LINK28"/>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bookmarkEnd w:id="31"/>
            <w:r/>
            <w:bookmarkEnd w:id="32"/>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13.聚焦：手动/自动/半自动聚焦，3A自适应主动式聚焦算法，支持多种触发模式，精准高速；</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14. 日夜型通光：保证夜间激光补光状态下画面清晰无雾化、无眩光</w:t>
            </w:r>
            <w:bookmarkStart w:id="33" w:name="OLE_LINK32"/>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bookmarkEnd w:id="33"/>
            <w:r/>
            <w:r/>
          </w:p>
          <w:p>
            <w:pPr>
              <w:jc w:val="left"/>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15.预置位：变倍聚焦位置定位、反馈；</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16.湿度：&lt;90%；</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17.防雷击：接口电路内置浪涌保护，电源4000V，信号2000V；</w:t>
            </w:r>
            <w:r>
              <w:rPr>
                <w:rFonts w:hint="eastAsia" w:ascii="仿宋" w:hAnsi="仿宋" w:eastAsia="仿宋" w:cs="仿宋"/>
                <w:color w:val="000000" w:themeColor="text1"/>
                <w:sz w:val="24"/>
                <w:szCs w:val="24"/>
                <w:highlight w:val="none"/>
                <w:lang w:bidi="ar"/>
                <w14:textFill>
                  <w14:solidFill>
                    <w14:schemeClr w14:val="tx1"/>
                  </w14:solidFill>
                </w14:textFill>
              </w:rPr>
              <w:br/>
            </w:r>
            <w:r>
              <w:rPr>
                <w:rFonts w:hint="eastAsia" w:ascii="仿宋" w:hAnsi="仿宋" w:eastAsia="仿宋" w:cs="仿宋"/>
                <w:color w:val="000000" w:themeColor="text1"/>
                <w:sz w:val="24"/>
                <w:szCs w:val="24"/>
                <w:highlight w:val="none"/>
                <w:lang w:bidi="ar"/>
                <w14:textFill>
                  <w14:solidFill>
                    <w14:schemeClr w14:val="tx1"/>
                  </w14:solidFill>
                </w14:textFill>
              </w:rPr>
              <w:t xml:space="preserve">18.防盐雾：在盐雾环境下可正常工作；</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19.防护等级不小于IP66</w:t>
            </w: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定制拼接式立杆</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1.圆形立杆4+2M，上口径为φ160mm，下口径为φ260mm，壁厚6mm；4米处采用套筒连接2米高端杆件，可360度旋转，可可靠固定；底法兰尺寸为500*500*16mm，整体热浸锌，喷塑</w:t>
            </w: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因湖边机械设备无法到达，需人工抬运至湖边，采用4台卷扬机、吊杆等设备人工安装。                           </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定制立杆</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1.圆形立杆4+2M，上口径为φ160mm，下口径为φ260mm，壁厚6mm；4米处采用套筒连接2米高端杆件，可360度旋转，可可靠固定；底法兰尺寸为500*500*16mm，整体热浸锌，喷塑。 </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因湖边机械设备无法到达，需人工抬运至湖边，采用4台卷扬机、吊杆等设备人工安装。                             </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定制回转挑臂</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t xml:space="preserve">1</w:t>
            </w:r>
            <w:r>
              <w:rPr>
                <w:rFonts w:hint="eastAsia" w:ascii="仿宋" w:hAnsi="仿宋" w:eastAsia="仿宋" w:cs="仿宋"/>
                <w:color w:val="000000" w:themeColor="text1"/>
                <w:sz w:val="24"/>
                <w:szCs w:val="24"/>
                <w:highlight w:val="none"/>
                <w:lang w:bidi="ar"/>
                <w14:textFill>
                  <w14:solidFill>
                    <w14:schemeClr w14:val="tx1"/>
                  </w14:solidFill>
                </w14:textFill>
              </w:rPr>
              <w:t xml:space="preserve">.挑臂3米，远端口径为φ120mm，近端口径为φ160mm，壁厚4mm；与主杆采用法兰连接，整体热浸锌喷塑。   </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2.因湖边机械设备无法到达，需人工抬运至湖边，采用4台卷扬机、吊杆等设备人工安装。              </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C25混凝土基础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1.1400*1400*1800，C25混凝土，预埋地笼尺寸为M24*6支*1.5米</w:t>
            </w: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p>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2.因湖边机械设备无法到达，需人工抬运至湖边，采用卷扬机、吊杆等设备人工安装。                           </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4.5米立杆主杆</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主杆为八角形，上口径为φ120mm，下口径为φ200mm，壁厚4mm；底法兰尺寸为400*400*16mm，预埋件尺寸为M16*4 支*0.8 米。整体热浸锌，喷塑。</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立杆横臂</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1～2米，横臂为八角形，口径为φ100mm，壁厚4mm/抱箍或壁装底板固定。整体热浸锌，喷塑。</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4.5米立杆基础</w:t>
            </w:r>
            <w:r/>
          </w:p>
        </w:tc>
        <w:tc>
          <w:tcPr>
            <w:shd w:val="clear" w:color="auto" w:fill="auto"/>
            <w:tcBorders>
              <w:top w:val="single" w:color="000000" w:sz="4" w:space="0"/>
              <w:left w:val="single" w:color="000000" w:sz="4" w:space="0"/>
              <w:bottom w:val="single" w:color="000000" w:sz="4" w:space="0"/>
              <w:right w:val="single" w:color="000000" w:sz="4" w:space="0"/>
            </w:tcBorders>
            <w:tcW w:w="2008"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1000*1000*1200，基础要求:土方开挖、弃土、回填。含地笼；立杆基础采用混凝土浇筑，混凝土标号C25；河边人工浇筑。</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bl>
    <w:p>
      <w:pPr>
        <w:ind w:firstLine="240"/>
        <w:spacing w:line="360" w:lineRule="auto"/>
        <w:rPr>
          <w:rFonts w:ascii="宋体" w:hAnsi="宋体"/>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综合布线</w:t>
      </w:r>
      <w:r/>
    </w:p>
    <w:tbl>
      <w:tblPr>
        <w:tblStyle w:val="699"/>
        <w:tblW w:w="4678" w:type="pct"/>
        <w:jc w:val="center"/>
        <w:tblLayout w:type="autofit"/>
        <w:tblCellMar>
          <w:left w:w="108" w:type="dxa"/>
          <w:top w:w="0" w:type="dxa"/>
          <w:right w:w="108" w:type="dxa"/>
          <w:bottom w:w="0" w:type="dxa"/>
        </w:tblCellMar>
        <w:tblLook w:val="04A0" w:firstRow="1" w:lastRow="0" w:firstColumn="1" w:lastColumn="0" w:noHBand="0" w:noVBand="1"/>
      </w:tblPr>
      <w:tblGrid>
        <w:gridCol w:w="500"/>
        <w:gridCol w:w="2137"/>
        <w:gridCol w:w="5662"/>
        <w:gridCol w:w="1109"/>
        <w:gridCol w:w="994"/>
        <w:gridCol w:w="849"/>
        <w:gridCol w:w="1441"/>
        <w:gridCol w:w="1274"/>
      </w:tblGrid>
      <w:tr>
        <w:trPr>
          <w:jc w:val="center"/>
          <w:trHeight w:val="680"/>
          <w:tblHeader/>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单价报价（元）</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总价报价（元）</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立杆迁移</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1.8米立杆移位拆装；</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2.基坑1400*1400*1800，C30混凝土浇筑；</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bidi="ar"/>
                <w14:textFill>
                  <w14:solidFill>
                    <w14:schemeClr w14:val="tx1"/>
                  </w14:solidFill>
                </w14:textFill>
              </w:rPr>
              <w:t xml:space="preserve">预埋件尺寸为M24*8支*1.5米</w:t>
            </w: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 </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4.安装位置与站位距离较远，需大型汽吊进场吊装，人工固定；</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5.摄像机拆装；</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6.设备箱拆装；</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7.管线拆除；</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8.重新敷设电缆、光缆保护管150米；</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9.新增FSRVV3*4电源线180米，4芯单模光缆200米；</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10.光纤熔接。</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设备机箱</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Style w:val="1032"/>
                <w:rFonts w:hint="default"/>
                <w:color w:val="000000" w:themeColor="text1"/>
                <w:highlight w:val="none"/>
                <w:lang w:bidi="ar"/>
                <w14:textFill>
                  <w14:solidFill>
                    <w14:schemeClr w14:val="tx1"/>
                  </w14:solidFill>
                </w14:textFill>
              </w:rPr>
              <w:t xml:space="preserve">机箱尺寸510mm*380mm*280mm左右</w:t>
            </w:r>
            <w:r>
              <w:rPr>
                <w:rStyle w:val="1033"/>
                <w:rFonts w:hint="default"/>
                <w:color w:val="000000" w:themeColor="text1"/>
                <w:highlight w:val="none"/>
                <w:lang w:bidi="ar"/>
                <w14:textFill>
                  <w14:solidFill>
                    <w14:schemeClr w14:val="tx1"/>
                  </w14:solidFill>
                </w14:textFill>
              </w:rPr>
              <w:t xml:space="preserve">，壁厚不小于1.2mm不锈钢材质，含底板、插座、端子排、组合接线插座、光纤终端盒及托架、箱内活动支架、机箱电源等配件,背包式机箱；</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电表</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导轨式，200V25A单相两线制</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空气开关</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2P C型 16A220V</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避雷器</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电源、网络二合一防雷器12V或24V</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600*600*400含井盖</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避雷针</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Style w:val="1034"/>
                <w:rFonts w:eastAsia="仿宋"/>
                <w:color w:val="000000" w:themeColor="text1"/>
                <w:highlight w:val="none"/>
                <w:lang w:bidi="ar"/>
                <w14:textFill>
                  <w14:solidFill>
                    <w14:schemeClr w14:val="tx1"/>
                  </w14:solidFill>
                </w14:textFill>
              </w:rPr>
              <w:t xml:space="preserve">φ</w:t>
            </w:r>
            <w:r>
              <w:rPr>
                <w:rStyle w:val="1035"/>
                <w:rFonts w:eastAsia="仿宋"/>
                <w:color w:val="000000" w:themeColor="text1"/>
                <w:highlight w:val="none"/>
                <w:lang w:bidi="ar"/>
                <w14:textFill>
                  <w14:solidFill>
                    <w14:schemeClr w14:val="tx1"/>
                  </w14:solidFill>
                </w14:textFill>
              </w:rPr>
              <w:t xml:space="preserve">18</w:t>
            </w:r>
            <w:r>
              <w:rPr>
                <w:rStyle w:val="1032"/>
                <w:rFonts w:hint="default"/>
                <w:color w:val="000000" w:themeColor="text1"/>
                <w:highlight w:val="none"/>
                <w:lang w:bidi="ar"/>
                <w14:textFill>
                  <w14:solidFill>
                    <w14:schemeClr w14:val="tx1"/>
                  </w14:solidFill>
                </w14:textFill>
              </w:rPr>
              <w:t xml:space="preserve">热镀锌钢筋800高</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接地装置</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Style w:val="1032"/>
                <w:rFonts w:hint="default"/>
                <w:color w:val="000000" w:themeColor="text1"/>
                <w:highlight w:val="none"/>
                <w:lang w:bidi="ar"/>
                <w14:textFill>
                  <w14:solidFill>
                    <w14:schemeClr w14:val="tx1"/>
                  </w14:solidFill>
                </w14:textFill>
              </w:rPr>
              <w:t xml:space="preserve">每套臂应有一根2.5m热镀锌接地棒，</w:t>
            </w:r>
            <w:r>
              <w:rPr>
                <w:rFonts w:hint="eastAsia" w:ascii="仿宋" w:hAnsi="仿宋" w:eastAsia="仿宋" w:cs="仿宋"/>
                <w:b w:val="0"/>
                <w:bCs w:val="0"/>
                <w:i w:val="0"/>
                <w:iCs w:val="0"/>
                <w:color w:val="000000"/>
                <w:sz w:val="24"/>
                <w:szCs w:val="24"/>
                <w:u w:val="none"/>
                <w:lang w:val="en-US" w:eastAsia="zh-CN" w:bidi="ar"/>
              </w:rPr>
              <w:t xml:space="preserve">采用16m㎡裸铜线和杆件连接</w:t>
            </w:r>
            <w:r>
              <w:rPr>
                <w:rStyle w:val="1032"/>
                <w:rFonts w:hint="default"/>
                <w:color w:val="000000" w:themeColor="text1"/>
                <w:highlight w:val="none"/>
                <w:lang w:bidi="ar"/>
                <w14:textFill>
                  <w14:solidFill>
                    <w14:schemeClr w14:val="tx1"/>
                  </w14:solidFill>
                </w14:textFill>
              </w:rPr>
              <w:t xml:space="preserve">，接地电阻为﹤4</w:t>
            </w:r>
            <w:r>
              <w:rPr>
                <w:rStyle w:val="1025"/>
                <w:rFonts w:hint="default" w:eastAsia="仿宋"/>
                <w:color w:val="000000" w:themeColor="text1"/>
                <w:highlight w:val="none"/>
                <w:lang w:bidi="ar"/>
                <w14:textFill>
                  <w14:solidFill>
                    <w14:schemeClr w14:val="tx1"/>
                  </w14:solidFill>
                </w14:textFill>
              </w:rPr>
              <w:t xml:space="preserve">Ω</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信号线</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防水六类网线</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防水FSRVV3</w:t>
            </w:r>
            <w:bookmarkStart w:id="34" w:name="OLE_LINK37"/>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bookmarkEnd w:id="34"/>
            <w:r>
              <w:rPr>
                <w:rFonts w:hint="eastAsia" w:ascii="仿宋" w:hAnsi="仿宋" w:eastAsia="仿宋" w:cs="仿宋"/>
                <w:color w:val="000000" w:themeColor="text1"/>
                <w:sz w:val="24"/>
                <w:szCs w:val="24"/>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防水FSRVV3*4</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防水FSRVV3*2.5</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单模光缆</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电缆、光缆保护管</w:t>
            </w:r>
            <w:r/>
          </w:p>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（软管）</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PE32埋山地敷设</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挂钩、紧固件、胶布、螺栓、不锈钢抱箍等</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3米光跳线</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SC单模3米</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2米网络跳线</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六类非屏蔽</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摄像机支架</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定制（根据现场实际需求）</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光纤熔接</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机械法</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光纤终端盒</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4口黑色烤漆0.8mm钢板</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耦合器</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SC法兰主体陶瓷套管防尘帽</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尾纤</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SC单头1m</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摄像机电源</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220V5A</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绿化开挖补偿</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根据现场实际情况确定（含25项-30项）</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拆除路面</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1.拆除路面</w:t>
            </w:r>
            <w:r/>
          </w:p>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2.厚度:C30混凝土厚度25cm，锯缝机锯缝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路面修复与包封</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混凝土路面修复包封，C30混凝土。</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绿化内开挖沟槽</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各种苗木、草坪拆除及恢复，沟槽开挖及回填。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人工开挖，山地、草地、道路等开挖。</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Style w:val="1033"/>
                <w:rFonts w:hint="default"/>
                <w:color w:val="000000" w:themeColor="text1"/>
                <w:highlight w:val="none"/>
                <w:lang w:bidi="ar"/>
                <w14:textFill>
                  <w14:solidFill>
                    <w14:schemeClr w14:val="tx1"/>
                  </w14:solidFill>
                </w14:textFill>
              </w:rPr>
            </w:pPr>
            <w:r>
              <w:rPr>
                <w:rFonts w:hint="default"/>
                <w:color w:val="000000" w:themeColor="text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Style w:val="1033"/>
                <w:rFonts w:hint="default"/>
                <w:color w:val="000000" w:themeColor="text1"/>
                <w:highlight w:val="none"/>
                <w:lang w:bidi="ar"/>
                <w14:textFill>
                  <w14:solidFill>
                    <w14:schemeClr w14:val="tx1"/>
                  </w14:solidFill>
                </w14:textFill>
              </w:rPr>
              <w:t xml:space="preserve">m</w:t>
            </w:r>
            <w:r>
              <w:rPr>
                <w:rStyle w:val="1036"/>
                <w:color w:val="000000" w:themeColor="text1"/>
                <w:highlight w:val="none"/>
                <w:lang w:bidi="ar"/>
                <w14:textFill>
                  <w14:solidFill>
                    <w14:schemeClr w14:val="tx1"/>
                  </w14:solidFill>
                </w14:textFill>
              </w:rPr>
              <w:t xml:space="preserve">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回填方</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人工回填，山地、草地、道路等。</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Style w:val="1033"/>
                <w:rFonts w:hint="default"/>
                <w:color w:val="000000" w:themeColor="text1"/>
                <w:highlight w:val="none"/>
                <w:lang w:bidi="ar"/>
                <w14:textFill>
                  <w14:solidFill>
                    <w14:schemeClr w14:val="tx1"/>
                  </w14:solidFill>
                </w14:textFill>
              </w:rPr>
            </w:pPr>
            <w:r>
              <w:rPr>
                <w:rFonts w:hint="default"/>
                <w:color w:val="000000" w:themeColor="text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Style w:val="1033"/>
                <w:rFonts w:hint="default"/>
                <w:color w:val="000000" w:themeColor="text1"/>
                <w:highlight w:val="none"/>
                <w:lang w:bidi="ar"/>
                <w14:textFill>
                  <w14:solidFill>
                    <w14:schemeClr w14:val="tx1"/>
                  </w14:solidFill>
                </w14:textFill>
              </w:rPr>
              <w:t xml:space="preserve">m</w:t>
            </w:r>
            <w:r>
              <w:rPr>
                <w:rStyle w:val="1036"/>
                <w:color w:val="000000" w:themeColor="text1"/>
                <w:highlight w:val="none"/>
                <w:lang w:bidi="ar"/>
                <w14:textFill>
                  <w14:solidFill>
                    <w14:schemeClr w14:val="tx1"/>
                  </w14:solidFill>
                </w14:textFill>
              </w:rPr>
              <w:t xml:space="preserve">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79"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余土弃置</w:t>
            </w:r>
            <w:r/>
          </w:p>
        </w:tc>
        <w:tc>
          <w:tcPr>
            <w:shd w:val="clear" w:color="auto" w:fill="ffffff"/>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left"/>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多余土方外运弃置，运距20KM以内。</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Style w:val="1033"/>
                <w:rFonts w:hint="default"/>
                <w:color w:val="000000" w:themeColor="text1"/>
                <w:highlight w:val="none"/>
                <w:lang w:bidi="ar"/>
                <w14:textFill>
                  <w14:solidFill>
                    <w14:schemeClr w14:val="tx1"/>
                  </w14:solidFill>
                </w14:textFill>
              </w:rPr>
            </w:pPr>
            <w:r>
              <w:rPr>
                <w:rFonts w:hint="default"/>
                <w:color w:val="000000" w:themeColor="text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Style w:val="1033"/>
                <w:rFonts w:hint="default"/>
                <w:color w:val="000000" w:themeColor="text1"/>
                <w:highlight w:val="none"/>
                <w:lang w:bidi="ar"/>
                <w14:textFill>
                  <w14:solidFill>
                    <w14:schemeClr w14:val="tx1"/>
                  </w14:solidFill>
                </w14:textFill>
              </w:rPr>
              <w:t xml:space="preserve">m</w:t>
            </w:r>
            <w:r>
              <w:rPr>
                <w:rStyle w:val="1036"/>
                <w:color w:val="000000" w:themeColor="text1"/>
                <w:highlight w:val="none"/>
                <w:lang w:bidi="ar"/>
                <w14:textFill>
                  <w14:solidFill>
                    <w14:schemeClr w14:val="tx1"/>
                  </w14:solidFill>
                </w14:textFill>
              </w:rPr>
              <w:t xml:space="preserve">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bl>
    <w:p>
      <w:pPr>
        <w:ind w:left="47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网络租赁</w:t>
      </w:r>
      <w:r/>
    </w:p>
    <w:tbl>
      <w:tblPr>
        <w:tblStyle w:val="699"/>
        <w:tblW w:w="4701" w:type="pct"/>
        <w:tblInd w:w="392" w:type="dxa"/>
        <w:tblLayout w:type="fixed"/>
        <w:tblCellMar>
          <w:left w:w="108" w:type="dxa"/>
          <w:top w:w="0" w:type="dxa"/>
          <w:right w:w="108" w:type="dxa"/>
          <w:bottom w:w="0" w:type="dxa"/>
        </w:tblCellMar>
        <w:tblLook w:val="04A0" w:firstRow="1" w:lastRow="0" w:firstColumn="1" w:lastColumn="0" w:noHBand="0" w:noVBand="1"/>
      </w:tblPr>
      <w:tblGrid>
        <w:gridCol w:w="567"/>
        <w:gridCol w:w="2080"/>
        <w:gridCol w:w="2335"/>
        <w:gridCol w:w="3382"/>
        <w:gridCol w:w="1134"/>
        <w:gridCol w:w="1044"/>
        <w:gridCol w:w="862"/>
        <w:gridCol w:w="1353"/>
        <w:gridCol w:w="1277"/>
      </w:tblGrid>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center"/>
            <w:textDirection w:val="lrTb"/>
            <w:noWrap/>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所属系统及部署位置</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单价报价（元）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ascii="仿宋" w:hAnsi="仿宋" w:eastAsia="仿宋" w:cs="仿宋"/>
                <w:b/>
                <w:bCs/>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总价报价（元）</w:t>
            </w:r>
            <w:r/>
          </w:p>
        </w:tc>
      </w:tr>
      <w:tr>
        <w:trPr>
          <w:trHeight w:val="479"/>
        </w:trPr>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网络专线</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100M MPLS VPN</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9个新增监控点位到机房</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三年</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仿宋"/>
                <w:color w:val="000000" w:themeColor="text1"/>
                <w:sz w:val="24"/>
                <w:szCs w:val="24"/>
                <w:highlight w:val="none"/>
                <w:lang w:bidi="ar"/>
                <w14:textFill>
                  <w14:solidFill>
                    <w14:schemeClr w14:val="tx1"/>
                  </w14:solidFill>
                </w14:textFill>
              </w:rPr>
            </w:r>
            <w:r/>
          </w:p>
        </w:tc>
      </w:tr>
    </w:tbl>
    <w:p>
      <w:pPr>
        <w:pStyle w:val="1031"/>
        <w:ind w:firstLine="420"/>
        <w:spacing w:line="400" w:lineRule="exact"/>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说明：明细报价表包含投标各项成本核算和投入的成本明细，合计金额应与开标一览表合计金额一致；否则，以开标一览表合计金额为准。</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投标人（盖章）：</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 法定代表人或被授权代表（签字或盖章）：</w:t>
      </w:r>
      <w:r/>
    </w:p>
    <w:p>
      <w:pPr>
        <w:ind w:firstLine="6720"/>
        <w:spacing w:line="360" w:lineRule="auto"/>
        <w:rPr>
          <w:rFonts w:ascii="宋体"/>
          <w:b/>
          <w:color w:val="000000" w:themeColor="text1"/>
          <w:sz w:val="30"/>
          <w:szCs w:val="30"/>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sectPr>
      <w:footnotePr/>
      <w:endnotePr/>
      <w:type w:val="nextPage"/>
      <w:pgSz w:w="16838" w:h="11906" w:orient="landscape"/>
      <w:pgMar w:top="1418" w:right="1134" w:bottom="1133" w:left="993" w:header="624"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華康中楷體">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mbria">
    <w:panose1 w:val="02040503050406030204"/>
  </w:font>
  <w:font w:name="楷体_GB2312">
    <w:panose1 w:val="02010609060101010101"/>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6"/>
      </w:rPr>
      <w:framePr w:wrap="around" w:vAnchor="text" w:hAnchor="page" w:x="6029" w:y="201"/>
    </w:pPr>
    <w:r>
      <w:rPr>
        <w:rStyle w:val="736"/>
      </w:rPr>
      <w:fldChar w:fldCharType="begin"/>
    </w:r>
    <w:r>
      <w:rPr>
        <w:rStyle w:val="736"/>
      </w:rPr>
      <w:instrText xml:space="preserve">PAGE  </w:instrText>
    </w:r>
    <w:r>
      <w:rPr>
        <w:rStyle w:val="736"/>
      </w:rPr>
      <w:fldChar w:fldCharType="separate"/>
    </w:r>
    <w:r>
      <w:rPr>
        <w:rStyle w:val="736"/>
      </w:rPr>
      <w:t xml:space="preserve">3</w:t>
    </w:r>
    <w:r>
      <w:rPr>
        <w:rStyle w:val="736"/>
      </w:rPr>
      <w:fldChar w:fldCharType="end"/>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6"/>
      </w:rPr>
      <w:framePr w:wrap="around" w:vAnchor="text" w:hAnchor="margin" w:xAlign="center" w:y="1"/>
    </w:pPr>
    <w:r>
      <w:rPr>
        <w:rStyle w:val="736"/>
      </w:rPr>
      <w:fldChar w:fldCharType="begin"/>
    </w:r>
    <w:r>
      <w:rPr>
        <w:rStyle w:val="736"/>
      </w:rPr>
      <w:instrText xml:space="preserve">PAGE  </w:instrText>
    </w:r>
    <w:r>
      <w:rPr>
        <w:rStyle w:val="736"/>
      </w:rPr>
      <w:fldChar w:fldCharType="separate"/>
    </w:r>
    <w:r>
      <w:rPr>
        <w:rStyle w:val="736"/>
      </w:rPr>
      <w:t xml:space="preserve">1</w:t>
    </w:r>
    <w:r>
      <w:rPr>
        <w:rStyle w:val="736"/>
      </w:rPr>
      <w:fldChar w:fldCharType="end"/>
    </w:r>
    <w:r/>
  </w:p>
  <w:p>
    <w:pPr>
      <w:pStyle w:val="7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both"/>
      <w:rPr>
        <w:rFonts w:ascii="华文新魏" w:eastAsia="华文新魏"/>
        <w:b/>
        <w:sz w:val="21"/>
        <w:szCs w:val="21"/>
      </w:rPr>
    </w:pPr>
    <w:r>
      <w:rPr>
        <w:rFonts w:hint="eastAsia" w:ascii="华文新魏" w:eastAsia="华文新魏"/>
        <w:b/>
        <w:bCs/>
        <w:sz w:val="21"/>
        <w:szCs w:val="21"/>
        <w:lang w:eastAsia="zh-CN"/>
      </w:rPr>
      <w:t xml:space="preserve">JSZC-320211-HYFW-G2026-0012</w:t>
    </w:r>
    <w:r>
      <w:rPr>
        <w:rFonts w:hint="eastAsia" w:ascii="华文新魏" w:eastAsia="华文新魏"/>
        <w:b/>
        <w:bCs/>
        <w:sz w:val="21"/>
        <w:szCs w:val="21"/>
      </w:rPr>
      <w:t xml:space="preserve">  滨湖区渔政指挥调度中心视频监控扩容项目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693"/>
      <w:isLgl w:val="false"/>
      <w:suff w:val="space"/>
      <w:lvlText w:val="%1."/>
      <w:lvlJc w:val="left"/>
      <w:pPr>
        <w:ind w:left="360" w:hanging="360"/>
        <w:tabs>
          <w:tab w:val="left" w:pos="360" w:leader="none"/>
        </w:tabs>
      </w:p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name w:val="TOC Heading"/>
    <w:uiPriority w:val="39"/>
    <w:unhideWhenUsed/>
  </w:style>
  <w:style w:type="paragraph" w:styleId="68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89">
    <w:name w:val="Heading 1"/>
    <w:basedOn w:val="688"/>
    <w:next w:val="688"/>
    <w:link w:val="778"/>
    <w:uiPriority w:val="0"/>
    <w:qFormat/>
    <w:pPr>
      <w:jc w:val="center"/>
      <w:keepNext/>
      <w:outlineLvl w:val="0"/>
    </w:pPr>
    <w:rPr>
      <w:rFonts w:ascii="楷体_GB2312" w:eastAsia="楷体_GB2312"/>
      <w:b/>
      <w:sz w:val="28"/>
    </w:rPr>
  </w:style>
  <w:style w:type="paragraph" w:styleId="690">
    <w:name w:val="Heading 2"/>
    <w:basedOn w:val="688"/>
    <w:next w:val="688"/>
    <w:link w:val="779"/>
    <w:uiPriority w:val="0"/>
    <w:qFormat/>
    <w:pPr>
      <w:jc w:val="center"/>
      <w:keepNext/>
      <w:outlineLvl w:val="1"/>
    </w:pPr>
    <w:rPr>
      <w:rFonts w:ascii="楷体_GB2312" w:eastAsia="楷体_GB2312"/>
      <w:b/>
      <w:bCs/>
      <w:sz w:val="18"/>
    </w:rPr>
  </w:style>
  <w:style w:type="paragraph" w:styleId="691">
    <w:name w:val="Heading 3"/>
    <w:basedOn w:val="688"/>
    <w:next w:val="688"/>
    <w:link w:val="780"/>
    <w:uiPriority w:val="0"/>
    <w:qFormat/>
    <w:pPr>
      <w:jc w:val="center"/>
      <w:keepNext/>
      <w:outlineLvl w:val="2"/>
    </w:pPr>
    <w:rPr>
      <w:rFonts w:eastAsia="楷体_GB2312"/>
      <w:b/>
      <w:bCs/>
      <w:sz w:val="15"/>
    </w:rPr>
  </w:style>
  <w:style w:type="paragraph" w:styleId="692">
    <w:name w:val="Heading 4"/>
    <w:basedOn w:val="688"/>
    <w:next w:val="688"/>
    <w:link w:val="781"/>
    <w:uiPriority w:val="0"/>
    <w:qFormat/>
    <w:pPr>
      <w:jc w:val="center"/>
      <w:keepNext/>
      <w:outlineLvl w:val="3"/>
    </w:pPr>
    <w:rPr>
      <w:rFonts w:eastAsia="楷体_GB2312"/>
      <w:b/>
      <w:bCs/>
      <w:sz w:val="13"/>
    </w:rPr>
  </w:style>
  <w:style w:type="paragraph" w:styleId="693">
    <w:name w:val="Heading 5"/>
    <w:basedOn w:val="688"/>
    <w:next w:val="688"/>
    <w:link w:val="925"/>
    <w:uiPriority w:val="0"/>
    <w:qFormat/>
    <w:pPr>
      <w:numPr>
        <w:ilvl w:val="0"/>
        <w:numId w:val="1"/>
      </w:numPr>
      <w:keepNext/>
      <w:outlineLvl w:val="4"/>
    </w:pPr>
    <w:rPr>
      <w:rFonts w:ascii="楷体_GB2312" w:eastAsia="楷体_GB2312"/>
      <w:bCs/>
      <w:sz w:val="28"/>
      <w:lang w:eastAsia="en-US"/>
    </w:rPr>
  </w:style>
  <w:style w:type="paragraph" w:styleId="694">
    <w:name w:val="Heading 6"/>
    <w:basedOn w:val="688"/>
    <w:next w:val="688"/>
    <w:link w:val="926"/>
    <w:uiPriority w:val="0"/>
    <w:qFormat/>
    <w:pPr>
      <w:keepLines/>
      <w:keepNext/>
      <w:spacing w:before="240" w:after="64" w:line="320" w:lineRule="auto"/>
      <w:outlineLvl w:val="5"/>
    </w:pPr>
    <w:rPr>
      <w:rFonts w:ascii="Cambria" w:hAnsi="Cambria"/>
      <w:b/>
      <w:bCs/>
      <w:sz w:val="24"/>
      <w:szCs w:val="24"/>
      <w:lang w:eastAsia="en-US"/>
    </w:rPr>
  </w:style>
  <w:style w:type="paragraph" w:styleId="695">
    <w:name w:val="Heading 7"/>
    <w:basedOn w:val="688"/>
    <w:next w:val="688"/>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85"/>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86"/>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spacing w:after="57"/>
    </w:pPr>
  </w:style>
  <w:style w:type="paragraph" w:styleId="701">
    <w:name w:val="Normal Indent"/>
    <w:basedOn w:val="688"/>
    <w:link w:val="1015"/>
    <w:uiPriority w:val="0"/>
    <w:qFormat/>
    <w:pPr>
      <w:ind w:firstLine="420"/>
    </w:pPr>
  </w:style>
  <w:style w:type="paragraph" w:styleId="702">
    <w:name w:val="Caption"/>
    <w:basedOn w:val="688"/>
    <w:next w:val="688"/>
    <w:uiPriority w:val="35"/>
    <w:semiHidden/>
    <w:unhideWhenUsed/>
    <w:qFormat/>
    <w:pPr>
      <w:spacing w:line="276" w:lineRule="auto"/>
    </w:pPr>
    <w:rPr>
      <w:b/>
      <w:bCs/>
      <w:color w:val="4f81bd"/>
      <w:sz w:val="18"/>
      <w:szCs w:val="18"/>
    </w:rPr>
  </w:style>
  <w:style w:type="paragraph" w:styleId="703">
    <w:name w:val="Document Map"/>
    <w:basedOn w:val="688"/>
    <w:uiPriority w:val="0"/>
    <w:semiHidden/>
    <w:qFormat/>
    <w:pPr>
      <w:shd w:val="clear" w:color="auto" w:fill="000080"/>
    </w:pPr>
  </w:style>
  <w:style w:type="paragraph" w:styleId="704">
    <w:name w:val="annotation text"/>
    <w:basedOn w:val="688"/>
    <w:link w:val="1022"/>
    <w:uiPriority w:val="0"/>
    <w:qFormat/>
    <w:pPr>
      <w:jc w:val="left"/>
    </w:pPr>
    <w:rPr>
      <w:szCs w:val="24"/>
    </w:rPr>
  </w:style>
  <w:style w:type="paragraph" w:styleId="705">
    <w:name w:val="Body Text"/>
    <w:basedOn w:val="688"/>
    <w:link w:val="927"/>
    <w:uiPriority w:val="0"/>
    <w:qFormat/>
    <w:rPr>
      <w:rFonts w:ascii="华文中宋" w:eastAsia="华文中宋"/>
      <w:bCs/>
      <w:sz w:val="28"/>
      <w:lang w:eastAsia="en-US"/>
    </w:rPr>
  </w:style>
  <w:style w:type="paragraph" w:styleId="706">
    <w:name w:val="Body Text Indent"/>
    <w:basedOn w:val="688"/>
    <w:link w:val="1020"/>
    <w:uiPriority w:val="0"/>
    <w:qFormat/>
    <w:pPr>
      <w:ind w:firstLine="576"/>
    </w:pPr>
    <w:rPr>
      <w:b/>
      <w:sz w:val="30"/>
    </w:rPr>
  </w:style>
  <w:style w:type="paragraph" w:styleId="707">
    <w:name w:val="toc 5"/>
    <w:basedOn w:val="688"/>
    <w:next w:val="688"/>
    <w:uiPriority w:val="39"/>
    <w:unhideWhenUsed/>
    <w:qFormat/>
    <w:pPr>
      <w:ind w:left="1134"/>
      <w:spacing w:after="57"/>
    </w:pPr>
  </w:style>
  <w:style w:type="paragraph" w:styleId="708">
    <w:name w:val="toc 3"/>
    <w:basedOn w:val="688"/>
    <w:next w:val="688"/>
    <w:uiPriority w:val="39"/>
    <w:unhideWhenUsed/>
    <w:qFormat/>
    <w:pPr>
      <w:ind w:left="567"/>
      <w:spacing w:after="57"/>
    </w:pPr>
  </w:style>
  <w:style w:type="paragraph" w:styleId="709">
    <w:name w:val="Plain Text"/>
    <w:basedOn w:val="688"/>
    <w:link w:val="1008"/>
    <w:uiPriority w:val="0"/>
    <w:qFormat/>
    <w:rPr>
      <w:rFonts w:ascii="宋体" w:hAnsi="Courier New"/>
      <w:szCs w:val="21"/>
    </w:rPr>
  </w:style>
  <w:style w:type="paragraph" w:styleId="710">
    <w:name w:val="toc 8"/>
    <w:basedOn w:val="688"/>
    <w:next w:val="688"/>
    <w:uiPriority w:val="39"/>
    <w:unhideWhenUsed/>
    <w:qFormat/>
    <w:pPr>
      <w:ind w:left="1984"/>
      <w:spacing w:after="57"/>
    </w:pPr>
  </w:style>
  <w:style w:type="paragraph" w:styleId="711">
    <w:name w:val="Date"/>
    <w:basedOn w:val="688"/>
    <w:next w:val="688"/>
    <w:uiPriority w:val="0"/>
    <w:qFormat/>
    <w:rPr>
      <w:rFonts w:eastAsia="黑体"/>
      <w:b/>
      <w:sz w:val="36"/>
    </w:rPr>
  </w:style>
  <w:style w:type="paragraph" w:styleId="712">
    <w:name w:val="Body Text Indent 2"/>
    <w:basedOn w:val="688"/>
    <w:uiPriority w:val="0"/>
    <w:qFormat/>
    <w:pPr>
      <w:ind w:left="900"/>
    </w:pPr>
    <w:rPr>
      <w:rFonts w:ascii="楷体_GB2312" w:eastAsia="楷体_GB2312"/>
      <w:b/>
      <w:sz w:val="28"/>
    </w:rPr>
  </w:style>
  <w:style w:type="paragraph" w:styleId="713">
    <w:name w:val="endnote text"/>
    <w:basedOn w:val="688"/>
    <w:link w:val="923"/>
    <w:uiPriority w:val="99"/>
    <w:semiHidden/>
    <w:unhideWhenUsed/>
    <w:qFormat/>
    <w:rPr>
      <w:sz w:val="20"/>
    </w:rPr>
  </w:style>
  <w:style w:type="paragraph" w:styleId="714">
    <w:name w:val="Balloon Text"/>
    <w:basedOn w:val="688"/>
    <w:uiPriority w:val="0"/>
    <w:semiHidden/>
    <w:qFormat/>
    <w:rPr>
      <w:sz w:val="18"/>
      <w:szCs w:val="18"/>
    </w:rPr>
  </w:style>
  <w:style w:type="paragraph" w:styleId="715">
    <w:name w:val="Footer"/>
    <w:basedOn w:val="688"/>
    <w:link w:val="928"/>
    <w:uiPriority w:val="99"/>
    <w:qFormat/>
    <w:pPr>
      <w:jc w:val="left"/>
      <w:tabs>
        <w:tab w:val="center" w:pos="4153" w:leader="none"/>
        <w:tab w:val="right" w:pos="8306" w:leader="none"/>
      </w:tabs>
    </w:pPr>
    <w:rPr>
      <w:sz w:val="18"/>
      <w:lang w:eastAsia="en-US"/>
    </w:rPr>
  </w:style>
  <w:style w:type="paragraph" w:styleId="716">
    <w:name w:val="Header"/>
    <w:basedOn w:val="688"/>
    <w:link w:val="1010"/>
    <w:uiPriority w:val="99"/>
    <w:qFormat/>
    <w:pPr>
      <w:jc w:val="center"/>
      <w:tabs>
        <w:tab w:val="center" w:pos="4153" w:leader="none"/>
        <w:tab w:val="right" w:pos="8306" w:leader="none"/>
      </w:tabs>
      <w:pBdr>
        <w:bottom w:val="single" w:color="000000" w:sz="6" w:space="1"/>
      </w:pBdr>
    </w:pPr>
    <w:rPr>
      <w:sz w:val="18"/>
    </w:rPr>
  </w:style>
  <w:style w:type="paragraph" w:styleId="717">
    <w:name w:val="toc 1"/>
    <w:basedOn w:val="688"/>
    <w:next w:val="688"/>
    <w:uiPriority w:val="39"/>
    <w:unhideWhenUsed/>
    <w:qFormat/>
    <w:pPr>
      <w:spacing w:after="57"/>
    </w:pPr>
  </w:style>
  <w:style w:type="paragraph" w:styleId="718">
    <w:name w:val="toc 4"/>
    <w:basedOn w:val="688"/>
    <w:next w:val="688"/>
    <w:uiPriority w:val="39"/>
    <w:unhideWhenUsed/>
    <w:qFormat/>
    <w:pPr>
      <w:ind w:left="850"/>
      <w:spacing w:after="57"/>
    </w:pPr>
  </w:style>
  <w:style w:type="paragraph" w:styleId="719">
    <w:name w:val="Subtitle"/>
    <w:basedOn w:val="688"/>
    <w:next w:val="688"/>
    <w:link w:val="789"/>
    <w:uiPriority w:val="11"/>
    <w:qFormat/>
    <w:pPr>
      <w:spacing w:before="200" w:after="200"/>
    </w:pPr>
    <w:rPr>
      <w:sz w:val="24"/>
      <w:szCs w:val="24"/>
    </w:rPr>
  </w:style>
  <w:style w:type="paragraph" w:styleId="720">
    <w:name w:val="footnote text"/>
    <w:basedOn w:val="688"/>
    <w:link w:val="922"/>
    <w:uiPriority w:val="99"/>
    <w:semiHidden/>
    <w:unhideWhenUsed/>
    <w:qFormat/>
    <w:pPr>
      <w:spacing w:after="40"/>
    </w:pPr>
    <w:rPr>
      <w:sz w:val="18"/>
    </w:rPr>
  </w:style>
  <w:style w:type="paragraph" w:styleId="721">
    <w:name w:val="toc 6"/>
    <w:basedOn w:val="688"/>
    <w:next w:val="688"/>
    <w:uiPriority w:val="39"/>
    <w:unhideWhenUsed/>
    <w:qFormat/>
    <w:pPr>
      <w:ind w:left="1417"/>
      <w:spacing w:after="57"/>
    </w:pPr>
  </w:style>
  <w:style w:type="paragraph" w:styleId="722">
    <w:name w:val="Body Text Indent 3"/>
    <w:basedOn w:val="688"/>
    <w:uiPriority w:val="0"/>
    <w:qFormat/>
    <w:pPr>
      <w:ind w:left="359" w:firstLine="359"/>
    </w:pPr>
  </w:style>
  <w:style w:type="paragraph" w:styleId="723">
    <w:name w:val="table of figures"/>
    <w:basedOn w:val="688"/>
    <w:next w:val="688"/>
    <w:uiPriority w:val="99"/>
    <w:unhideWhenUsed/>
    <w:qFormat/>
  </w:style>
  <w:style w:type="paragraph" w:styleId="724">
    <w:name w:val="toc 2"/>
    <w:basedOn w:val="688"/>
    <w:next w:val="688"/>
    <w:uiPriority w:val="39"/>
    <w:unhideWhenUsed/>
    <w:qFormat/>
    <w:pPr>
      <w:ind w:left="283"/>
      <w:spacing w:after="57"/>
    </w:pPr>
  </w:style>
  <w:style w:type="paragraph" w:styleId="725">
    <w:name w:val="toc 9"/>
    <w:basedOn w:val="688"/>
    <w:next w:val="688"/>
    <w:uiPriority w:val="39"/>
    <w:unhideWhenUsed/>
    <w:qFormat/>
    <w:pPr>
      <w:ind w:left="2268"/>
      <w:spacing w:after="57"/>
    </w:pPr>
  </w:style>
  <w:style w:type="paragraph" w:styleId="726">
    <w:name w:val="Body Text 2"/>
    <w:basedOn w:val="688"/>
    <w:uiPriority w:val="0"/>
    <w:qFormat/>
    <w:pPr>
      <w:spacing w:after="120" w:line="480" w:lineRule="auto"/>
    </w:pPr>
  </w:style>
  <w:style w:type="paragraph" w:styleId="727">
    <w:name w:val="HTML Preformatted"/>
    <w:basedOn w:val="688"/>
    <w:link w:val="929"/>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lang w:eastAsia="en-US"/>
    </w:rPr>
  </w:style>
  <w:style w:type="paragraph" w:styleId="728">
    <w:name w:val="Normal (Web)"/>
    <w:basedOn w:val="688"/>
    <w:link w:val="1011"/>
    <w:uiPriority w:val="0"/>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729">
    <w:name w:val="Title"/>
    <w:basedOn w:val="688"/>
    <w:next w:val="688"/>
    <w:link w:val="788"/>
    <w:uiPriority w:val="10"/>
    <w:qFormat/>
    <w:pPr>
      <w:contextualSpacing/>
      <w:spacing w:before="300" w:after="200"/>
    </w:pPr>
    <w:rPr>
      <w:sz w:val="48"/>
      <w:szCs w:val="48"/>
    </w:rPr>
  </w:style>
  <w:style w:type="paragraph" w:styleId="730">
    <w:name w:val="annotation subject"/>
    <w:basedOn w:val="704"/>
    <w:next w:val="704"/>
    <w:uiPriority w:val="0"/>
    <w:semiHidden/>
    <w:qFormat/>
    <w:rPr>
      <w:b/>
      <w:bCs/>
      <w:szCs w:val="20"/>
    </w:rPr>
  </w:style>
  <w:style w:type="paragraph" w:styleId="731">
    <w:name w:val="Body Text First Indent"/>
    <w:basedOn w:val="705"/>
    <w:link w:val="1024"/>
    <w:uiPriority w:val="99"/>
    <w:unhideWhenUsed/>
    <w:qFormat/>
    <w:pPr>
      <w:ind w:firstLine="420"/>
      <w:spacing w:after="120"/>
    </w:pPr>
    <w:rPr>
      <w:rFonts w:ascii="Times New Roman" w:eastAsia="宋体"/>
      <w:bCs w:val="0"/>
      <w:sz w:val="21"/>
      <w:szCs w:val="22"/>
      <w:lang w:eastAsia="zh-CN"/>
    </w:rPr>
  </w:style>
  <w:style w:type="paragraph" w:styleId="732">
    <w:name w:val="Body Text First Indent 2"/>
    <w:basedOn w:val="706"/>
    <w:link w:val="1027"/>
    <w:uiPriority w:val="99"/>
    <w:semiHidden/>
    <w:unhideWhenUsed/>
    <w:qFormat/>
    <w:pPr>
      <w:ind w:left="420" w:firstLine="420"/>
      <w:spacing w:after="120"/>
    </w:pPr>
    <w:rPr>
      <w:b w:val="0"/>
      <w:sz w:val="21"/>
    </w:rPr>
  </w:style>
  <w:style w:type="table" w:styleId="733">
    <w:name w:val="Table Grid"/>
    <w:basedOn w:val="6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698"/>
    <w:uiPriority w:val="22"/>
    <w:qFormat/>
    <w:rPr>
      <w:b/>
      <w:bCs/>
    </w:rPr>
  </w:style>
  <w:style w:type="character" w:styleId="735">
    <w:name w:val="endnote reference"/>
    <w:uiPriority w:val="99"/>
    <w:semiHidden/>
    <w:unhideWhenUsed/>
    <w:qFormat/>
    <w:rPr>
      <w:vertAlign w:val="superscript"/>
    </w:rPr>
  </w:style>
  <w:style w:type="character" w:styleId="736">
    <w:name w:val="page number"/>
    <w:uiPriority w:val="0"/>
    <w:qFormat/>
  </w:style>
  <w:style w:type="character" w:styleId="737">
    <w:name w:val="FollowedHyperlink"/>
    <w:uiPriority w:val="0"/>
    <w:qFormat/>
    <w:rPr>
      <w:color w:val="000000"/>
      <w:u w:val="none"/>
    </w:rPr>
  </w:style>
  <w:style w:type="character" w:styleId="738">
    <w:name w:val="HTML Typewriter"/>
    <w:uiPriority w:val="0"/>
    <w:qFormat/>
    <w:rPr>
      <w:rFonts w:ascii="宋体" w:hAnsi="宋体" w:eastAsia="宋体" w:cs="宋体"/>
      <w:sz w:val="24"/>
      <w:szCs w:val="24"/>
    </w:rPr>
  </w:style>
  <w:style w:type="character" w:styleId="739">
    <w:name w:val="Hyperlink"/>
    <w:uiPriority w:val="0"/>
    <w:qFormat/>
    <w:rPr>
      <w:color w:val="000000"/>
      <w:u w:val="none"/>
    </w:rPr>
  </w:style>
  <w:style w:type="character" w:styleId="740">
    <w:name w:val="annotation reference"/>
    <w:uiPriority w:val="0"/>
    <w:qFormat/>
    <w:rPr>
      <w:sz w:val="21"/>
      <w:szCs w:val="21"/>
    </w:rPr>
  </w:style>
  <w:style w:type="character" w:styleId="741">
    <w:name w:val="footnote reference"/>
    <w:uiPriority w:val="99"/>
    <w:unhideWhenUsed/>
    <w:qFormat/>
    <w:rPr>
      <w:vertAlign w:val="superscript"/>
    </w:rPr>
  </w:style>
  <w:style w:type="paragraph" w:styleId="742" w:customStyle="1">
    <w:name w:val="正文文本12"/>
    <w:basedOn w:val="688"/>
    <w:next w:val="743"/>
    <w:uiPriority w:val="99"/>
    <w:qFormat/>
    <w:rPr>
      <w:rFonts w:ascii="仿宋_GB2312" w:eastAsia="仿宋_GB2312" w:cs="仿宋_GB2312"/>
      <w:sz w:val="28"/>
      <w:szCs w:val="28"/>
    </w:rPr>
  </w:style>
  <w:style w:type="paragraph" w:styleId="743" w:customStyle="1">
    <w:name w:val="列表1"/>
    <w:basedOn w:val="688"/>
    <w:uiPriority w:val="0"/>
    <w:qFormat/>
    <w:pPr>
      <w:ind w:left="360" w:hanging="360"/>
      <w:spacing w:after="20" w:line="288" w:lineRule="auto"/>
      <w:tabs>
        <w:tab w:val="left" w:pos="360" w:leader="none"/>
      </w:tabs>
    </w:pPr>
    <w:rPr>
      <w:lang w:val="en-GB"/>
    </w:rPr>
  </w:style>
  <w:style w:type="paragraph" w:styleId="744" w:customStyle="1">
    <w:name w:val="TOC 标题1"/>
    <w:uiPriority w:val="39"/>
    <w:unhideWhenUsed/>
    <w:qFormat/>
    <w:rPr>
      <w:rFonts w:ascii="Times New Roman" w:hAnsi="Times New Roman" w:eastAsia="宋体" w:cs="Times New Roman"/>
      <w:lang w:val="en-US" w:eastAsia="zh-CN" w:bidi="ar-SA"/>
    </w:rPr>
  </w:style>
  <w:style w:type="character" w:styleId="745" w:customStyle="1">
    <w:name w:val="Heading 1 Char"/>
    <w:basedOn w:val="698"/>
    <w:uiPriority w:val="9"/>
    <w:qFormat/>
    <w:rPr>
      <w:rFonts w:ascii="Arial" w:hAnsi="Arial" w:eastAsia="Arial" w:cs="Arial"/>
      <w:sz w:val="40"/>
      <w:szCs w:val="40"/>
    </w:rPr>
  </w:style>
  <w:style w:type="character" w:styleId="746" w:customStyle="1">
    <w:name w:val="Heading 2 Char"/>
    <w:basedOn w:val="698"/>
    <w:uiPriority w:val="9"/>
    <w:qFormat/>
    <w:rPr>
      <w:rFonts w:ascii="Arial" w:hAnsi="Arial" w:eastAsia="Arial" w:cs="Arial"/>
      <w:sz w:val="34"/>
    </w:rPr>
  </w:style>
  <w:style w:type="character" w:styleId="747" w:customStyle="1">
    <w:name w:val="Heading 3 Char"/>
    <w:basedOn w:val="698"/>
    <w:uiPriority w:val="9"/>
    <w:qFormat/>
    <w:rPr>
      <w:rFonts w:ascii="Arial" w:hAnsi="Arial" w:eastAsia="Arial" w:cs="Arial"/>
      <w:sz w:val="30"/>
      <w:szCs w:val="30"/>
    </w:rPr>
  </w:style>
  <w:style w:type="character" w:styleId="748" w:customStyle="1">
    <w:name w:val="Heading 4 Char"/>
    <w:basedOn w:val="698"/>
    <w:uiPriority w:val="9"/>
    <w:qFormat/>
    <w:rPr>
      <w:rFonts w:ascii="Arial" w:hAnsi="Arial" w:eastAsia="Arial" w:cs="Arial"/>
      <w:b/>
      <w:bCs/>
      <w:sz w:val="26"/>
      <w:szCs w:val="26"/>
    </w:rPr>
  </w:style>
  <w:style w:type="character" w:styleId="749" w:customStyle="1">
    <w:name w:val="Heading 7 Char"/>
    <w:basedOn w:val="698"/>
    <w:uiPriority w:val="9"/>
    <w:qFormat/>
    <w:rPr>
      <w:rFonts w:ascii="Arial" w:hAnsi="Arial" w:eastAsia="Arial" w:cs="Arial"/>
      <w:b/>
      <w:bCs/>
      <w:i/>
      <w:iCs/>
      <w:sz w:val="22"/>
      <w:szCs w:val="22"/>
    </w:rPr>
  </w:style>
  <w:style w:type="character" w:styleId="750" w:customStyle="1">
    <w:name w:val="Heading 8 Char"/>
    <w:basedOn w:val="698"/>
    <w:uiPriority w:val="9"/>
    <w:qFormat/>
    <w:rPr>
      <w:rFonts w:ascii="Arial" w:hAnsi="Arial" w:eastAsia="Arial" w:cs="Arial"/>
      <w:i/>
      <w:iCs/>
      <w:sz w:val="22"/>
      <w:szCs w:val="22"/>
    </w:rPr>
  </w:style>
  <w:style w:type="character" w:styleId="751" w:customStyle="1">
    <w:name w:val="Heading 9 Char"/>
    <w:basedOn w:val="698"/>
    <w:uiPriority w:val="9"/>
    <w:qFormat/>
    <w:rPr>
      <w:rFonts w:ascii="Arial" w:hAnsi="Arial" w:eastAsia="Arial" w:cs="Arial"/>
      <w:i/>
      <w:iCs/>
      <w:sz w:val="21"/>
      <w:szCs w:val="21"/>
    </w:rPr>
  </w:style>
  <w:style w:type="character" w:styleId="752" w:customStyle="1">
    <w:name w:val="Title Char"/>
    <w:basedOn w:val="698"/>
    <w:uiPriority w:val="10"/>
    <w:qFormat/>
    <w:rPr>
      <w:sz w:val="48"/>
      <w:szCs w:val="48"/>
    </w:rPr>
  </w:style>
  <w:style w:type="character" w:styleId="753" w:customStyle="1">
    <w:name w:val="Subtitle Char"/>
    <w:basedOn w:val="698"/>
    <w:uiPriority w:val="11"/>
    <w:qFormat/>
    <w:rPr>
      <w:sz w:val="24"/>
      <w:szCs w:val="24"/>
    </w:rPr>
  </w:style>
  <w:style w:type="character" w:styleId="754" w:customStyle="1">
    <w:name w:val="Quote Char"/>
    <w:uiPriority w:val="29"/>
    <w:qFormat/>
    <w:rPr>
      <w:i/>
    </w:rPr>
  </w:style>
  <w:style w:type="character" w:styleId="755" w:customStyle="1">
    <w:name w:val="Intense Quote Char"/>
    <w:uiPriority w:val="30"/>
    <w:qFormat/>
    <w:rPr>
      <w:i/>
    </w:rPr>
  </w:style>
  <w:style w:type="table" w:styleId="756" w:customStyle="1">
    <w:name w:val="Plain Table 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69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69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69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11"/>
    <w:uiPriority w:val="39"/>
    <w:unhideWhenUsed/>
    <w:qFormat/>
    <w:rPr>
      <w:rFonts w:ascii="Times New Roman" w:hAnsi="Times New Roman" w:eastAsia="宋体" w:cs="Times New Roman"/>
      <w:lang w:val="en-US" w:eastAsia="zh-CN" w:bidi="ar-SA"/>
    </w:rPr>
  </w:style>
  <w:style w:type="character" w:styleId="778" w:customStyle="1">
    <w:name w:val="标题 1 Char"/>
    <w:link w:val="689"/>
    <w:uiPriority w:val="9"/>
    <w:qFormat/>
    <w:rPr>
      <w:rFonts w:ascii="Arial" w:hAnsi="Arial" w:eastAsia="Arial" w:cs="Arial"/>
      <w:sz w:val="40"/>
      <w:szCs w:val="40"/>
    </w:rPr>
  </w:style>
  <w:style w:type="character" w:styleId="779" w:customStyle="1">
    <w:name w:val="标题 2 Char"/>
    <w:link w:val="690"/>
    <w:uiPriority w:val="9"/>
    <w:qFormat/>
    <w:rPr>
      <w:rFonts w:ascii="Arial" w:hAnsi="Arial" w:eastAsia="Arial" w:cs="Arial"/>
      <w:sz w:val="34"/>
    </w:rPr>
  </w:style>
  <w:style w:type="character" w:styleId="780" w:customStyle="1">
    <w:name w:val="标题 3 Char"/>
    <w:link w:val="691"/>
    <w:uiPriority w:val="9"/>
    <w:qFormat/>
    <w:rPr>
      <w:rFonts w:ascii="Arial" w:hAnsi="Arial" w:eastAsia="Arial" w:cs="Arial"/>
      <w:sz w:val="30"/>
      <w:szCs w:val="30"/>
    </w:rPr>
  </w:style>
  <w:style w:type="character" w:styleId="781" w:customStyle="1">
    <w:name w:val="标题 4 Char"/>
    <w:link w:val="692"/>
    <w:uiPriority w:val="9"/>
    <w:qFormat/>
    <w:rPr>
      <w:rFonts w:ascii="Arial" w:hAnsi="Arial" w:eastAsia="Arial" w:cs="Arial"/>
      <w:b/>
      <w:bCs/>
      <w:sz w:val="26"/>
      <w:szCs w:val="26"/>
    </w:rPr>
  </w:style>
  <w:style w:type="character" w:styleId="782" w:customStyle="1">
    <w:name w:val="Heading 5 Char"/>
    <w:uiPriority w:val="9"/>
    <w:qFormat/>
    <w:rPr>
      <w:rFonts w:ascii="Arial" w:hAnsi="Arial" w:eastAsia="Arial" w:cs="Arial"/>
      <w:b/>
      <w:bCs/>
      <w:sz w:val="24"/>
      <w:szCs w:val="24"/>
    </w:rPr>
  </w:style>
  <w:style w:type="character" w:styleId="783" w:customStyle="1">
    <w:name w:val="Heading 6 Char"/>
    <w:uiPriority w:val="9"/>
    <w:qFormat/>
    <w:rPr>
      <w:rFonts w:ascii="Arial" w:hAnsi="Arial" w:eastAsia="Arial" w:cs="Arial"/>
      <w:b/>
      <w:bCs/>
      <w:sz w:val="22"/>
      <w:szCs w:val="22"/>
    </w:rPr>
  </w:style>
  <w:style w:type="character" w:styleId="784" w:customStyle="1">
    <w:name w:val="标题 7 Char"/>
    <w:link w:val="695"/>
    <w:uiPriority w:val="9"/>
    <w:qFormat/>
    <w:rPr>
      <w:rFonts w:ascii="Arial" w:hAnsi="Arial" w:eastAsia="Arial" w:cs="Arial"/>
      <w:b/>
      <w:bCs/>
      <w:i/>
      <w:iCs/>
      <w:sz w:val="22"/>
      <w:szCs w:val="22"/>
    </w:rPr>
  </w:style>
  <w:style w:type="character" w:styleId="785" w:customStyle="1">
    <w:name w:val="标题 8 Char"/>
    <w:link w:val="696"/>
    <w:uiPriority w:val="9"/>
    <w:qFormat/>
    <w:rPr>
      <w:rFonts w:ascii="Arial" w:hAnsi="Arial" w:eastAsia="Arial" w:cs="Arial"/>
      <w:i/>
      <w:iCs/>
      <w:sz w:val="22"/>
      <w:szCs w:val="22"/>
    </w:rPr>
  </w:style>
  <w:style w:type="character" w:styleId="786" w:customStyle="1">
    <w:name w:val="标题 9 Char"/>
    <w:link w:val="697"/>
    <w:uiPriority w:val="9"/>
    <w:qFormat/>
    <w:rPr>
      <w:rFonts w:ascii="Arial" w:hAnsi="Arial" w:eastAsia="Arial" w:cs="Arial"/>
      <w:i/>
      <w:iCs/>
      <w:sz w:val="21"/>
      <w:szCs w:val="21"/>
    </w:rPr>
  </w:style>
  <w:style w:type="paragraph" w:styleId="787">
    <w:name w:val="No Spacing"/>
    <w:uiPriority w:val="1"/>
    <w:qFormat/>
    <w:rPr>
      <w:rFonts w:ascii="Times New Roman" w:hAnsi="Times New Roman" w:eastAsia="宋体" w:cs="Times New Roman"/>
      <w:lang w:val="en-US" w:eastAsia="zh-CN" w:bidi="ar-SA"/>
    </w:rPr>
  </w:style>
  <w:style w:type="character" w:styleId="788" w:customStyle="1">
    <w:name w:val="标题 Char"/>
    <w:link w:val="729"/>
    <w:uiPriority w:val="10"/>
    <w:qFormat/>
    <w:rPr>
      <w:sz w:val="48"/>
      <w:szCs w:val="48"/>
    </w:rPr>
  </w:style>
  <w:style w:type="character" w:styleId="789" w:customStyle="1">
    <w:name w:val="副标题 Char"/>
    <w:link w:val="719"/>
    <w:uiPriority w:val="11"/>
    <w:qFormat/>
    <w:rPr>
      <w:sz w:val="24"/>
      <w:szCs w:val="24"/>
    </w:rPr>
  </w:style>
  <w:style w:type="paragraph" w:styleId="790">
    <w:name w:val="Quote"/>
    <w:basedOn w:val="688"/>
    <w:next w:val="688"/>
    <w:link w:val="791"/>
    <w:uiPriority w:val="29"/>
    <w:qFormat/>
    <w:pPr>
      <w:ind w:left="720" w:right="720"/>
    </w:pPr>
    <w:rPr>
      <w:i/>
    </w:rPr>
  </w:style>
  <w:style w:type="character" w:styleId="791" w:customStyle="1">
    <w:name w:val="引用 Char"/>
    <w:link w:val="790"/>
    <w:uiPriority w:val="29"/>
    <w:qFormat/>
    <w:rPr>
      <w:i/>
    </w:rPr>
  </w:style>
  <w:style w:type="paragraph" w:styleId="792">
    <w:name w:val="Intense Quote"/>
    <w:basedOn w:val="688"/>
    <w:next w:val="688"/>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Char"/>
    <w:link w:val="792"/>
    <w:uiPriority w:val="30"/>
    <w:qFormat/>
    <w:rPr>
      <w:i/>
    </w:rPr>
  </w:style>
  <w:style w:type="character" w:styleId="794" w:customStyle="1">
    <w:name w:val="Header Char"/>
    <w:uiPriority w:val="99"/>
    <w:qFormat/>
  </w:style>
  <w:style w:type="character" w:styleId="795" w:customStyle="1">
    <w:name w:val="Footer Char"/>
    <w:uiPriority w:val="99"/>
    <w:qFormat/>
  </w:style>
  <w:style w:type="character" w:styleId="796" w:customStyle="1">
    <w:name w:val="Caption Char"/>
    <w:uiPriority w:val="99"/>
    <w:qFormat/>
  </w:style>
  <w:style w:type="table" w:styleId="7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0" w:customStyle="1">
    <w:name w:val="无格式表格 31"/>
    <w:uiPriority w:val="99"/>
    <w:qFormat/>
    <w:tblPr>
      <w:tblCellMar>
        <w:left w:w="0" w:type="dxa"/>
        <w:top w:w="0" w:type="dxa"/>
        <w:right w:w="0" w:type="dxa"/>
        <w:bottom w:w="0" w:type="dxa"/>
      </w:tblCellMar>
    </w:tblPr>
  </w:style>
  <w:style w:type="table" w:styleId="801" w:customStyle="1">
    <w:name w:val="无格式表格 41"/>
    <w:uiPriority w:val="99"/>
    <w:qFormat/>
    <w:tblPr>
      <w:tblCellMar>
        <w:left w:w="0" w:type="dxa"/>
        <w:top w:w="0" w:type="dxa"/>
        <w:right w:w="0" w:type="dxa"/>
        <w:bottom w:w="0" w:type="dxa"/>
      </w:tblCellMar>
    </w:tblPr>
  </w:style>
  <w:style w:type="table" w:styleId="802" w:customStyle="1">
    <w:name w:val="无格式表格 51"/>
    <w:uiPriority w:val="99"/>
    <w:qFormat/>
    <w:tblPr>
      <w:tblCellMar>
        <w:left w:w="0" w:type="dxa"/>
        <w:top w:w="0" w:type="dxa"/>
        <w:right w:w="0" w:type="dxa"/>
        <w:bottom w:w="0" w:type="dxa"/>
      </w:tblCellMar>
    </w:tblPr>
  </w:style>
  <w:style w:type="table" w:styleId="80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清单表 1 浅色1"/>
    <w:uiPriority w:val="99"/>
    <w:qFormat/>
    <w:tblPr>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qFormat/>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qFormat/>
    <w:tblPr>
      <w:tblCellMar>
        <w:left w:w="0" w:type="dxa"/>
        <w:top w:w="0" w:type="dxa"/>
        <w:right w:w="0" w:type="dxa"/>
        <w:bottom w:w="0" w:type="dxa"/>
      </w:tblCellMar>
    </w:tblPr>
  </w:style>
  <w:style w:type="table" w:styleId="858" w:customStyle="1">
    <w:name w:val="List Table 1 Light - Accent 6"/>
    <w:uiPriority w:val="99"/>
    <w:qFormat/>
    <w:tblPr>
      <w:tblCellMar>
        <w:left w:w="0" w:type="dxa"/>
        <w:top w:w="0" w:type="dxa"/>
        <w:right w:w="0" w:type="dxa"/>
        <w:bottom w:w="0" w:type="dxa"/>
      </w:tblCellMar>
    </w:tblPr>
  </w:style>
  <w:style w:type="table" w:styleId="85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1" w:customStyle="1">
    <w:name w:val="Lined - Accent"/>
    <w:uiPriority w:val="99"/>
    <w:qFormat/>
    <w:rPr>
      <w:color w:val="404040"/>
    </w:rPr>
    <w:tblPr>
      <w:tblCellMar>
        <w:left w:w="0" w:type="dxa"/>
        <w:top w:w="0" w:type="dxa"/>
        <w:right w:w="0" w:type="dxa"/>
        <w:bottom w:w="0" w:type="dxa"/>
      </w:tblCellMar>
    </w:tblPr>
  </w:style>
  <w:style w:type="table" w:styleId="902" w:customStyle="1">
    <w:name w:val="Lined - Accent 1"/>
    <w:uiPriority w:val="99"/>
    <w:qFormat/>
    <w:rPr>
      <w:color w:val="404040"/>
    </w:rPr>
    <w:tblPr>
      <w:tblCellMar>
        <w:left w:w="0" w:type="dxa"/>
        <w:top w:w="0" w:type="dxa"/>
        <w:right w:w="0" w:type="dxa"/>
        <w:bottom w:w="0" w:type="dxa"/>
      </w:tblCellMar>
    </w:tblPr>
  </w:style>
  <w:style w:type="table" w:styleId="903" w:customStyle="1">
    <w:name w:val="Lined - Accent 2"/>
    <w:uiPriority w:val="99"/>
    <w:qFormat/>
    <w:rPr>
      <w:color w:val="404040"/>
    </w:rPr>
    <w:tblPr>
      <w:tblCellMar>
        <w:left w:w="0" w:type="dxa"/>
        <w:top w:w="0" w:type="dxa"/>
        <w:right w:w="0" w:type="dxa"/>
        <w:bottom w:w="0" w:type="dxa"/>
      </w:tblCellMar>
    </w:tblPr>
  </w:style>
  <w:style w:type="table" w:styleId="904" w:customStyle="1">
    <w:name w:val="Lined - Accent 3"/>
    <w:uiPriority w:val="99"/>
    <w:qFormat/>
    <w:rPr>
      <w:color w:val="404040"/>
    </w:rPr>
    <w:tblPr>
      <w:tblCellMar>
        <w:left w:w="0" w:type="dxa"/>
        <w:top w:w="0" w:type="dxa"/>
        <w:right w:w="0" w:type="dxa"/>
        <w:bottom w:w="0" w:type="dxa"/>
      </w:tblCellMar>
    </w:tblPr>
  </w:style>
  <w:style w:type="table" w:styleId="905" w:customStyle="1">
    <w:name w:val="Lined - Accent 4"/>
    <w:uiPriority w:val="99"/>
    <w:qFormat/>
    <w:rPr>
      <w:color w:val="404040"/>
    </w:rPr>
    <w:tblPr>
      <w:tblCellMar>
        <w:left w:w="0" w:type="dxa"/>
        <w:top w:w="0" w:type="dxa"/>
        <w:right w:w="0" w:type="dxa"/>
        <w:bottom w:w="0" w:type="dxa"/>
      </w:tblCellMar>
    </w:tblPr>
  </w:style>
  <w:style w:type="table" w:styleId="906" w:customStyle="1">
    <w:name w:val="Lined - Accent 5"/>
    <w:uiPriority w:val="99"/>
    <w:qFormat/>
    <w:rPr>
      <w:color w:val="404040"/>
    </w:rPr>
    <w:tblPr>
      <w:tblCellMar>
        <w:left w:w="0" w:type="dxa"/>
        <w:top w:w="0" w:type="dxa"/>
        <w:right w:w="0" w:type="dxa"/>
        <w:bottom w:w="0" w:type="dxa"/>
      </w:tblCellMar>
    </w:tblPr>
  </w:style>
  <w:style w:type="table" w:styleId="907" w:customStyle="1">
    <w:name w:val="Lined - Accent 6"/>
    <w:uiPriority w:val="99"/>
    <w:qFormat/>
    <w:rPr>
      <w:color w:val="404040"/>
    </w:rPr>
    <w:tblPr>
      <w:tblCellMar>
        <w:left w:w="0" w:type="dxa"/>
        <w:top w:w="0" w:type="dxa"/>
        <w:right w:w="0" w:type="dxa"/>
        <w:bottom w:w="0" w:type="dxa"/>
      </w:tblCellMar>
    </w:tblPr>
  </w:style>
  <w:style w:type="table" w:styleId="9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2" w:customStyle="1">
    <w:name w:val="脚注文本 Char"/>
    <w:link w:val="720"/>
    <w:uiPriority w:val="99"/>
    <w:qFormat/>
    <w:rPr>
      <w:sz w:val="18"/>
    </w:rPr>
  </w:style>
  <w:style w:type="character" w:styleId="923" w:customStyle="1">
    <w:name w:val="尾注文本 Char"/>
    <w:link w:val="713"/>
    <w:uiPriority w:val="99"/>
    <w:qFormat/>
    <w:rPr>
      <w:sz w:val="20"/>
    </w:rPr>
  </w:style>
  <w:style w:type="paragraph" w:styleId="924" w:customStyle="1">
    <w:name w:val="TOC 标题11"/>
    <w:uiPriority w:val="39"/>
    <w:unhideWhenUsed/>
    <w:qFormat/>
    <w:rPr>
      <w:rFonts w:ascii="Times New Roman" w:hAnsi="Times New Roman" w:eastAsia="宋体" w:cs="Times New Roman"/>
      <w:lang w:val="en-US" w:eastAsia="zh-CN" w:bidi="ar-SA"/>
    </w:rPr>
  </w:style>
  <w:style w:type="character" w:styleId="925" w:customStyle="1">
    <w:name w:val="标题 5 Char"/>
    <w:link w:val="693"/>
    <w:uiPriority w:val="0"/>
    <w:qFormat/>
    <w:rPr>
      <w:rFonts w:ascii="楷体_GB2312" w:eastAsia="楷体_GB2312"/>
      <w:bCs/>
      <w:sz w:val="28"/>
    </w:rPr>
  </w:style>
  <w:style w:type="character" w:styleId="926" w:customStyle="1">
    <w:name w:val="标题 6 Char"/>
    <w:link w:val="694"/>
    <w:uiPriority w:val="0"/>
    <w:qFormat/>
    <w:rPr>
      <w:rFonts w:ascii="Cambria" w:hAnsi="Cambria" w:eastAsia="宋体" w:cs="Times New Roman"/>
      <w:b/>
      <w:bCs/>
      <w:sz w:val="24"/>
      <w:szCs w:val="24"/>
    </w:rPr>
  </w:style>
  <w:style w:type="character" w:styleId="927" w:customStyle="1">
    <w:name w:val="正文文本 Char"/>
    <w:link w:val="705"/>
    <w:uiPriority w:val="0"/>
    <w:qFormat/>
    <w:rPr>
      <w:rFonts w:ascii="华文中宋" w:eastAsia="华文中宋"/>
      <w:bCs/>
      <w:sz w:val="28"/>
    </w:rPr>
  </w:style>
  <w:style w:type="character" w:styleId="928" w:customStyle="1">
    <w:name w:val="页脚 Char"/>
    <w:link w:val="715"/>
    <w:uiPriority w:val="99"/>
    <w:qFormat/>
    <w:rPr>
      <w:sz w:val="18"/>
    </w:rPr>
  </w:style>
  <w:style w:type="character" w:styleId="929" w:customStyle="1">
    <w:name w:val="HTML 预设格式 Char"/>
    <w:link w:val="727"/>
    <w:uiPriority w:val="99"/>
    <w:qFormat/>
    <w:rPr>
      <w:rFonts w:ascii="Arial" w:hAnsi="Arial" w:cs="Arial"/>
      <w:sz w:val="21"/>
      <w:szCs w:val="21"/>
    </w:rPr>
  </w:style>
  <w:style w:type="paragraph" w:styleId="930" w:customStyle="1">
    <w:name w:val="正文首行缩进1"/>
    <w:basedOn w:val="705"/>
    <w:uiPriority w:val="0"/>
    <w:qFormat/>
    <w:pPr>
      <w:ind w:firstLine="420"/>
      <w:spacing w:after="120"/>
    </w:pPr>
    <w:rPr>
      <w:rFonts w:ascii="Times New Roman" w:eastAsia="宋体"/>
      <w:bCs w:val="0"/>
      <w:sz w:val="21"/>
    </w:rPr>
  </w:style>
  <w:style w:type="character" w:styleId="931" w:customStyle="1">
    <w:name w:val="style151"/>
    <w:uiPriority w:val="0"/>
    <w:qFormat/>
    <w:rPr>
      <w:sz w:val="18"/>
      <w:szCs w:val="18"/>
    </w:rPr>
  </w:style>
  <w:style w:type="character" w:styleId="932" w:customStyle="1">
    <w:name w:val="未处理的提及1"/>
    <w:uiPriority w:val="99"/>
    <w:unhideWhenUsed/>
    <w:qFormat/>
    <w:rPr>
      <w:color w:val="605e5c"/>
      <w:shd w:val="clear" w:color="auto" w:fill="e1dfdd"/>
    </w:rPr>
  </w:style>
  <w:style w:type="character" w:styleId="933" w:customStyle="1">
    <w:name w:val="纯文本 Char"/>
    <w:link w:val="934"/>
    <w:uiPriority w:val="0"/>
    <w:qFormat/>
    <w:rPr>
      <w:rFonts w:ascii="宋体" w:hAnsi="Courier New"/>
      <w:szCs w:val="21"/>
    </w:rPr>
  </w:style>
  <w:style w:type="paragraph" w:styleId="934" w:customStyle="1">
    <w:name w:val="纯文本1"/>
    <w:basedOn w:val="688"/>
    <w:link w:val="933"/>
    <w:uiPriority w:val="0"/>
    <w:qFormat/>
    <w:rPr>
      <w:rFonts w:ascii="宋体" w:hAnsi="Courier New"/>
      <w:sz w:val="20"/>
      <w:szCs w:val="21"/>
      <w:lang w:eastAsia="en-US"/>
    </w:rPr>
  </w:style>
  <w:style w:type="character" w:styleId="935" w:customStyle="1">
    <w:name w:val="case31"/>
    <w:uiPriority w:val="0"/>
    <w:qFormat/>
    <w:rPr>
      <w:sz w:val="21"/>
      <w:szCs w:val="21"/>
    </w:rPr>
  </w:style>
  <w:style w:type="character" w:styleId="936" w:customStyle="1">
    <w:name w:val="apple-style-span"/>
    <w:uiPriority w:val="0"/>
    <w:qFormat/>
  </w:style>
  <w:style w:type="character" w:styleId="937" w:customStyle="1">
    <w:name w:val="apple-converted-space"/>
    <w:uiPriority w:val="0"/>
    <w:qFormat/>
  </w:style>
  <w:style w:type="paragraph" w:styleId="938" w:customStyle="1">
    <w:name w:val="xl51"/>
    <w:basedOn w:val="68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9" w:customStyle="1">
    <w:name w:val="xl61"/>
    <w:basedOn w:val="68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40" w:customStyle="1">
    <w:name w:val="xl53"/>
    <w:basedOn w:val="68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41" w:customStyle="1">
    <w:name w:val="xl52"/>
    <w:basedOn w:val="68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42" w:customStyle="1">
    <w:name w:val="xl55"/>
    <w:basedOn w:val="68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43" w:customStyle="1">
    <w:name w:val="font13"/>
    <w:basedOn w:val="688"/>
    <w:uiPriority w:val="0"/>
    <w:qFormat/>
    <w:pPr>
      <w:jc w:val="left"/>
      <w:spacing w:before="100" w:beforeAutospacing="1" w:after="100" w:afterAutospacing="1"/>
      <w:widowControl/>
    </w:pPr>
    <w:rPr>
      <w:i/>
      <w:iCs/>
      <w:sz w:val="36"/>
      <w:szCs w:val="36"/>
    </w:rPr>
  </w:style>
  <w:style w:type="paragraph" w:styleId="944" w:customStyle="1">
    <w:name w:val="xl31"/>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45" w:customStyle="1">
    <w:name w:val="font7"/>
    <w:basedOn w:val="688"/>
    <w:uiPriority w:val="0"/>
    <w:qFormat/>
    <w:pPr>
      <w:jc w:val="left"/>
      <w:spacing w:before="100" w:beforeAutospacing="1" w:after="100" w:afterAutospacing="1"/>
      <w:widowControl/>
    </w:pPr>
    <w:rPr>
      <w:b/>
      <w:bCs/>
      <w:i/>
      <w:iCs/>
      <w:sz w:val="20"/>
    </w:rPr>
  </w:style>
  <w:style w:type="paragraph" w:styleId="946" w:customStyle="1">
    <w:name w:val="font14"/>
    <w:basedOn w:val="688"/>
    <w:uiPriority w:val="0"/>
    <w:qFormat/>
    <w:pPr>
      <w:jc w:val="left"/>
      <w:spacing w:before="100" w:beforeAutospacing="1" w:after="100" w:afterAutospacing="1"/>
      <w:widowControl/>
    </w:pPr>
    <w:rPr>
      <w:sz w:val="36"/>
      <w:szCs w:val="36"/>
    </w:rPr>
  </w:style>
  <w:style w:type="paragraph" w:styleId="947" w:customStyle="1">
    <w:name w:val="xl40"/>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8" w:customStyle="1">
    <w:name w:val="修订1"/>
    <w:uiPriority w:val="99"/>
    <w:semiHidden/>
    <w:qFormat/>
    <w:rPr>
      <w:rFonts w:ascii="Times New Roman" w:hAnsi="Times New Roman" w:eastAsia="宋体" w:cs="Times New Roman"/>
      <w:sz w:val="21"/>
      <w:lang w:val="en-US" w:eastAsia="zh-CN" w:bidi="ar-SA"/>
    </w:rPr>
  </w:style>
  <w:style w:type="paragraph" w:styleId="949" w:customStyle="1">
    <w:name w:val="xl44"/>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50" w:customStyle="1">
    <w:name w:val="列出段落1"/>
    <w:basedOn w:val="688"/>
    <w:link w:val="951"/>
    <w:uiPriority w:val="34"/>
    <w:qFormat/>
    <w:pPr>
      <w:ind w:firstLine="420"/>
    </w:pPr>
    <w:rPr>
      <w:lang w:eastAsia="en-US"/>
    </w:rPr>
  </w:style>
  <w:style w:type="character" w:styleId="951" w:customStyle="1">
    <w:name w:val="列出段落 Char"/>
    <w:link w:val="950"/>
    <w:uiPriority w:val="34"/>
    <w:qFormat/>
    <w:rPr>
      <w:sz w:val="21"/>
    </w:rPr>
  </w:style>
  <w:style w:type="paragraph" w:styleId="952" w:customStyle="1">
    <w:name w:val="xl59"/>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53" w:customStyle="1">
    <w:name w:val="xl37"/>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54" w:customStyle="1">
    <w:name w:val="默认段落字体 Para Char"/>
    <w:basedOn w:val="688"/>
    <w:uiPriority w:val="0"/>
    <w:qFormat/>
    <w:pPr>
      <w:ind w:left="552" w:hanging="420"/>
      <w:tabs>
        <w:tab w:val="left" w:pos="552" w:leader="none"/>
      </w:tabs>
    </w:pPr>
    <w:rPr>
      <w:sz w:val="24"/>
      <w:szCs w:val="24"/>
    </w:rPr>
  </w:style>
  <w:style w:type="paragraph" w:styleId="955"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56" w:customStyle="1">
    <w:name w:val="xl25"/>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7" w:customStyle="1">
    <w:name w:val="xl4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xl34"/>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9" w:customStyle="1">
    <w:name w:val="xl48"/>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60" w:customStyle="1">
    <w:name w:val="发文字号"/>
    <w:basedOn w:val="688"/>
    <w:uiPriority w:val="0"/>
    <w:qFormat/>
    <w:pPr>
      <w:jc w:val="center"/>
    </w:pPr>
    <w:rPr>
      <w:rFonts w:ascii="仿宋_GB2312" w:eastAsia="仿宋_GB2312"/>
      <w:sz w:val="32"/>
    </w:rPr>
  </w:style>
  <w:style w:type="paragraph" w:styleId="961" w:customStyle="1">
    <w:name w:val="2 Char"/>
    <w:basedOn w:val="688"/>
    <w:uiPriority w:val="0"/>
    <w:qFormat/>
    <w:pPr>
      <w:jc w:val="left"/>
      <w:spacing w:after="160" w:line="240" w:lineRule="exact"/>
      <w:widowControl/>
    </w:pPr>
    <w:rPr>
      <w:rFonts w:ascii="Verdana" w:hAnsi="Verdana" w:eastAsia="仿宋_GB2312"/>
      <w:sz w:val="24"/>
      <w:lang w:eastAsia="en-US"/>
    </w:rPr>
  </w:style>
  <w:style w:type="paragraph" w:styleId="962" w:customStyle="1">
    <w:name w:val="xl29"/>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3" w:customStyle="1">
    <w:name w:val="xl32"/>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4" w:customStyle="1">
    <w:name w:val="xl46"/>
    <w:basedOn w:val="68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65" w:customStyle="1">
    <w:name w:val="Char1 Char Char Char Char Char Char"/>
    <w:basedOn w:val="688"/>
    <w:next w:val="688"/>
    <w:uiPriority w:val="0"/>
    <w:qFormat/>
    <w:pPr>
      <w:keepLines/>
      <w:keepNext/>
      <w:pageBreakBefore/>
    </w:pPr>
    <w:rPr>
      <w:rFonts w:ascii="Tahoma" w:hAnsi="Tahoma"/>
      <w:sz w:val="24"/>
    </w:rPr>
  </w:style>
  <w:style w:type="paragraph" w:styleId="966" w:customStyle="1">
    <w:name w:val="font9"/>
    <w:basedOn w:val="688"/>
    <w:uiPriority w:val="0"/>
    <w:qFormat/>
    <w:pPr>
      <w:jc w:val="left"/>
      <w:spacing w:before="100" w:beforeAutospacing="1" w:after="100" w:afterAutospacing="1"/>
      <w:widowControl/>
    </w:pPr>
    <w:rPr>
      <w:b/>
      <w:bCs/>
      <w:sz w:val="20"/>
    </w:rPr>
  </w:style>
  <w:style w:type="paragraph" w:styleId="967" w:customStyle="1">
    <w:name w:val="Char Char Char Char"/>
    <w:basedOn w:val="688"/>
    <w:uiPriority w:val="0"/>
    <w:qFormat/>
    <w:pPr>
      <w:ind w:firstLine="420"/>
      <w:tabs>
        <w:tab w:val="left" w:pos="360" w:leader="none"/>
      </w:tabs>
    </w:pPr>
    <w:rPr>
      <w:rFonts w:ascii="Arial" w:hAnsi="Arial" w:cs="Arial"/>
      <w:sz w:val="20"/>
    </w:rPr>
  </w:style>
  <w:style w:type="paragraph" w:styleId="968" w:customStyle="1">
    <w:name w:val="xl63"/>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69" w:customStyle="1">
    <w:name w:val="xl42"/>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0" w:customStyle="1">
    <w:name w:val="xl27"/>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1" w:customStyle="1">
    <w:name w:val="font12"/>
    <w:basedOn w:val="688"/>
    <w:uiPriority w:val="0"/>
    <w:qFormat/>
    <w:pPr>
      <w:jc w:val="left"/>
      <w:spacing w:before="100" w:beforeAutospacing="1" w:after="100" w:afterAutospacing="1"/>
      <w:widowControl/>
    </w:pPr>
    <w:rPr>
      <w:rFonts w:hint="eastAsia" w:ascii="宋体" w:hAnsi="宋体"/>
      <w:sz w:val="36"/>
      <w:szCs w:val="36"/>
    </w:rPr>
  </w:style>
  <w:style w:type="paragraph" w:styleId="972" w:customStyle="1">
    <w:name w:val="xl43"/>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73" w:customStyle="1">
    <w:name w:val="灿"/>
    <w:basedOn w:val="688"/>
    <w:uiPriority w:val="0"/>
    <w:qFormat/>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974" w:customStyle="1">
    <w:name w:val="xl33"/>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5" w:customStyle="1">
    <w:name w:val="xl30"/>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6" w:customStyle="1">
    <w:name w:val="xl24"/>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7" w:customStyle="1">
    <w:name w:val="xl56"/>
    <w:basedOn w:val="68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78"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79" w:customStyle="1">
    <w:name w:val="xl54"/>
    <w:basedOn w:val="68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80" w:customStyle="1">
    <w:name w:val="xl41"/>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1" w:customStyle="1">
    <w:name w:val="xl45"/>
    <w:basedOn w:val="688"/>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82" w:customStyle="1">
    <w:name w:val="xl57"/>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83" w:customStyle="1">
    <w:name w:val="xl35"/>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84" w:customStyle="1">
    <w:name w:val="font6"/>
    <w:basedOn w:val="688"/>
    <w:uiPriority w:val="0"/>
    <w:qFormat/>
    <w:pPr>
      <w:jc w:val="left"/>
      <w:spacing w:before="100" w:beforeAutospacing="1" w:after="100" w:afterAutospacing="1"/>
      <w:widowControl/>
    </w:pPr>
    <w:rPr>
      <w:rFonts w:hint="eastAsia" w:ascii="宋体" w:hAnsi="宋体"/>
      <w:b/>
      <w:bCs/>
      <w:sz w:val="20"/>
    </w:rPr>
  </w:style>
  <w:style w:type="paragraph" w:styleId="985" w:customStyle="1">
    <w:name w:val="xl60"/>
    <w:basedOn w:val="68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6" w:customStyle="1">
    <w:name w:val="xl49"/>
    <w:basedOn w:val="68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87">
    <w:name w:val="List Paragraph"/>
    <w:basedOn w:val="688"/>
    <w:uiPriority w:val="0"/>
    <w:qFormat/>
    <w:pPr>
      <w:ind w:firstLine="420"/>
    </w:pPr>
    <w:rPr>
      <w:rFonts w:ascii="Calibri" w:hAnsi="Calibri"/>
      <w:szCs w:val="22"/>
    </w:rPr>
  </w:style>
  <w:style w:type="paragraph" w:styleId="988" w:customStyle="1">
    <w:name w:val="缺省文本"/>
    <w:basedOn w:val="688"/>
    <w:uiPriority w:val="0"/>
    <w:qFormat/>
    <w:pPr>
      <w:jc w:val="left"/>
    </w:pPr>
    <w:rPr>
      <w:sz w:val="24"/>
    </w:rPr>
  </w:style>
  <w:style w:type="paragraph" w:styleId="989" w:customStyle="1">
    <w:name w:val="font10"/>
    <w:basedOn w:val="68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990" w:customStyle="1">
    <w:name w:val="xl39"/>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customStyle="1">
    <w:name w:val="xl50"/>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9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3" w:customStyle="1">
    <w:name w:val="普通文字"/>
    <w:basedOn w:val="688"/>
    <w:next w:val="688"/>
    <w:uiPriority w:val="0"/>
    <w:qFormat/>
    <w:rPr>
      <w:rFonts w:ascii="宋体"/>
      <w:sz w:val="24"/>
    </w:rPr>
  </w:style>
  <w:style w:type="paragraph" w:styleId="994" w:customStyle="1">
    <w:name w:val="xl3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5" w:customStyle="1">
    <w:name w:val="xl26"/>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6" w:customStyle="1">
    <w:name w:val="xl58"/>
    <w:basedOn w:val="68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97" w:customStyle="1">
    <w:name w:val="Char"/>
    <w:basedOn w:val="688"/>
    <w:uiPriority w:val="0"/>
    <w:qFormat/>
    <w:pPr>
      <w:jc w:val="left"/>
      <w:spacing w:after="160" w:line="240" w:lineRule="exact"/>
      <w:widowControl/>
    </w:pPr>
    <w:rPr>
      <w:rFonts w:ascii="Verdana" w:hAnsi="Verdana" w:eastAsia="仿宋_GB2312"/>
      <w:sz w:val="24"/>
      <w:lang w:eastAsia="en-US"/>
    </w:rPr>
  </w:style>
  <w:style w:type="paragraph" w:styleId="998" w:customStyle="1">
    <w:name w:val="font8"/>
    <w:basedOn w:val="688"/>
    <w:uiPriority w:val="0"/>
    <w:qFormat/>
    <w:pPr>
      <w:jc w:val="left"/>
      <w:spacing w:before="100" w:beforeAutospacing="1" w:after="100" w:afterAutospacing="1"/>
      <w:widowControl/>
    </w:pPr>
    <w:rPr>
      <w:rFonts w:hint="eastAsia" w:ascii="宋体" w:hAnsi="宋体"/>
      <w:b/>
      <w:bCs/>
      <w:i/>
      <w:iCs/>
      <w:sz w:val="20"/>
    </w:rPr>
  </w:style>
  <w:style w:type="paragraph" w:styleId="999" w:customStyle="1">
    <w:name w:val="xl3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0" w:customStyle="1">
    <w:name w:val="font11"/>
    <w:basedOn w:val="688"/>
    <w:uiPriority w:val="0"/>
    <w:qFormat/>
    <w:pPr>
      <w:jc w:val="left"/>
      <w:spacing w:before="100" w:beforeAutospacing="1" w:after="100" w:afterAutospacing="1"/>
      <w:widowControl/>
    </w:pPr>
    <w:rPr>
      <w:b/>
      <w:bCs/>
      <w:sz w:val="18"/>
      <w:szCs w:val="18"/>
    </w:rPr>
  </w:style>
  <w:style w:type="paragraph" w:styleId="1001" w:customStyle="1">
    <w:name w:val="xl62"/>
    <w:basedOn w:val="68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2" w:customStyle="1">
    <w:name w:val="Char Char3 Char Char Char1 Char Char Char Char"/>
    <w:basedOn w:val="688"/>
    <w:uiPriority w:val="0"/>
    <w:qFormat/>
    <w:rPr>
      <w:szCs w:val="24"/>
    </w:rPr>
  </w:style>
  <w:style w:type="character" w:styleId="1003" w:customStyle="1">
    <w:name w:val="Body text|1_"/>
    <w:link w:val="1004"/>
    <w:uiPriority w:val="0"/>
    <w:qFormat/>
    <w:rPr>
      <w:rFonts w:ascii="宋体" w:hAnsi="宋体" w:cs="宋体"/>
      <w:sz w:val="26"/>
      <w:szCs w:val="26"/>
      <w:lang w:val="zh-TW" w:eastAsia="zh-TW" w:bidi="zh-TW"/>
    </w:rPr>
  </w:style>
  <w:style w:type="paragraph" w:styleId="1004" w:customStyle="1">
    <w:name w:val="Body text|1"/>
    <w:basedOn w:val="688"/>
    <w:link w:val="1003"/>
    <w:uiPriority w:val="0"/>
    <w:qFormat/>
    <w:pPr>
      <w:ind w:firstLine="400"/>
      <w:jc w:val="left"/>
      <w:spacing w:line="408" w:lineRule="auto"/>
    </w:pPr>
    <w:rPr>
      <w:rFonts w:ascii="宋体" w:hAnsi="宋体" w:cs="宋体"/>
      <w:sz w:val="26"/>
      <w:szCs w:val="26"/>
      <w:lang w:val="zh-TW" w:eastAsia="zh-TW" w:bidi="zh-TW"/>
    </w:rPr>
  </w:style>
  <w:style w:type="character" w:styleId="1005" w:customStyle="1">
    <w:name w:val="NormalCharacter1"/>
    <w:uiPriority w:val="99"/>
    <w:qFormat/>
    <w:rPr>
      <w:rFonts w:hint="default" w:ascii="Times New Roman" w:hAnsi="Times New Roman" w:eastAsia="宋体" w:cs="Times New Roman"/>
      <w:sz w:val="21"/>
    </w:rPr>
  </w:style>
  <w:style w:type="paragraph" w:styleId="1006" w:customStyle="1">
    <w:name w:val="UserStyle_4"/>
    <w:basedOn w:val="688"/>
    <w:link w:val="1030"/>
    <w:uiPriority w:val="99"/>
    <w:qFormat/>
    <w:pPr>
      <w:widowControl/>
    </w:pPr>
    <w:rPr>
      <w:sz w:val="20"/>
    </w:rPr>
  </w:style>
  <w:style w:type="paragraph" w:styleId="1007" w:customStyle="1">
    <w:name w:val="UserStyle_6"/>
    <w:basedOn w:val="688"/>
    <w:next w:val="688"/>
    <w:uiPriority w:val="99"/>
    <w:qFormat/>
    <w:pPr>
      <w:widowControl/>
    </w:pPr>
    <w:rPr>
      <w:rFonts w:ascii="宋体" w:cs="宋体"/>
      <w:sz w:val="24"/>
      <w:szCs w:val="24"/>
    </w:rPr>
  </w:style>
  <w:style w:type="character" w:styleId="1008" w:customStyle="1">
    <w:name w:val="纯文本 Char1"/>
    <w:link w:val="709"/>
    <w:uiPriority w:val="0"/>
    <w:qFormat/>
    <w:rPr>
      <w:rFonts w:ascii="宋体" w:hAnsi="Courier New"/>
      <w:sz w:val="21"/>
      <w:szCs w:val="21"/>
    </w:rPr>
  </w:style>
  <w:style w:type="character" w:styleId="1009" w:customStyle="1">
    <w:name w:val="页脚 字符1"/>
    <w:uiPriority w:val="99"/>
    <w:qFormat/>
    <w:rPr>
      <w:sz w:val="18"/>
      <w:szCs w:val="18"/>
    </w:rPr>
  </w:style>
  <w:style w:type="character" w:styleId="1010" w:customStyle="1">
    <w:name w:val="页眉 Char"/>
    <w:link w:val="716"/>
    <w:uiPriority w:val="99"/>
    <w:qFormat/>
    <w:rPr>
      <w:sz w:val="18"/>
    </w:rPr>
  </w:style>
  <w:style w:type="character" w:styleId="1011" w:customStyle="1">
    <w:name w:val="普通(网站) Char"/>
    <w:link w:val="728"/>
    <w:uiPriority w:val="0"/>
    <w:qFormat/>
    <w:rPr>
      <w:rFonts w:ascii="Arial Unicode MS" w:hAnsi="Arial Unicode MS" w:eastAsia="Arial Unicode MS"/>
      <w:color w:val="000000"/>
      <w:sz w:val="24"/>
      <w:szCs w:val="24"/>
      <w:lang w:eastAsia="en-US"/>
    </w:rPr>
  </w:style>
  <w:style w:type="character" w:styleId="1012" w:customStyle="1">
    <w:name w:val="正文2 Char Char"/>
    <w:link w:val="1013"/>
    <w:uiPriority w:val="0"/>
    <w:qFormat/>
    <w:rPr>
      <w:rFonts w:ascii="宋体" w:hAnsi="宋体"/>
      <w:sz w:val="24"/>
    </w:rPr>
  </w:style>
  <w:style w:type="paragraph" w:styleId="1013" w:customStyle="1">
    <w:name w:val="正文2"/>
    <w:basedOn w:val="688"/>
    <w:link w:val="1012"/>
    <w:uiPriority w:val="0"/>
    <w:qFormat/>
    <w:pPr>
      <w:ind w:firstLine="510"/>
      <w:spacing w:before="156" w:line="360" w:lineRule="auto"/>
    </w:pPr>
    <w:rPr>
      <w:rFonts w:ascii="宋体" w:hAnsi="宋体"/>
      <w:sz w:val="24"/>
    </w:rPr>
  </w:style>
  <w:style w:type="paragraph" w:styleId="1014" w:customStyle="1">
    <w:name w:val="列出段落11"/>
    <w:basedOn w:val="688"/>
    <w:uiPriority w:val="0"/>
    <w:qFormat/>
    <w:pPr>
      <w:ind w:firstLine="420"/>
    </w:pPr>
    <w:rPr>
      <w:rFonts w:ascii="Calibri" w:hAnsi="Calibri"/>
      <w:color w:val="000000"/>
      <w:spacing w:val="-8"/>
      <w:sz w:val="34"/>
      <w:szCs w:val="22"/>
    </w:rPr>
  </w:style>
  <w:style w:type="character" w:styleId="1015" w:customStyle="1">
    <w:name w:val="正文缩进 Char"/>
    <w:link w:val="701"/>
    <w:uiPriority w:val="0"/>
    <w:qFormat/>
    <w:rPr>
      <w:sz w:val="21"/>
    </w:rPr>
  </w:style>
  <w:style w:type="paragraph" w:styleId="1016" w:customStyle="1">
    <w:name w:val="样式 小四 段前: 5 磅 段后: 5 磅 首行缩进:  2 字符"/>
    <w:basedOn w:val="688"/>
    <w:uiPriority w:val="0"/>
    <w:qFormat/>
    <w:pPr>
      <w:jc w:val="center"/>
      <w:spacing w:line="360" w:lineRule="auto"/>
    </w:pPr>
    <w:rPr>
      <w:rFonts w:ascii="宋体" w:hAnsi="宋体"/>
      <w:bCs/>
      <w:color w:val="ff0000"/>
      <w:sz w:val="24"/>
      <w:szCs w:val="24"/>
    </w:rPr>
  </w:style>
  <w:style w:type="character" w:styleId="1017" w:customStyle="1">
    <w:name w:val="正文缩进 字符"/>
    <w:uiPriority w:val="0"/>
    <w:qFormat/>
    <w:rPr>
      <w:rFonts w:ascii="Times New Roman" w:hAnsi="Times New Roman"/>
    </w:rPr>
  </w:style>
  <w:style w:type="character" w:styleId="1018" w:customStyle="1">
    <w:name w:val="页脚 字符"/>
    <w:basedOn w:val="698"/>
    <w:uiPriority w:val="99"/>
    <w:qFormat/>
  </w:style>
  <w:style w:type="paragraph" w:styleId="1019" w:customStyle="1">
    <w:name w:val="正文首行缩进 21"/>
    <w:basedOn w:val="706"/>
    <w:link w:val="1021"/>
    <w:uiPriority w:val="99"/>
    <w:unhideWhenUsed/>
    <w:qFormat/>
    <w:pPr>
      <w:ind w:left="420" w:firstLine="420"/>
      <w:spacing w:after="120"/>
    </w:pPr>
    <w:rPr>
      <w:b w:val="0"/>
      <w:sz w:val="21"/>
      <w:szCs w:val="24"/>
    </w:rPr>
  </w:style>
  <w:style w:type="character" w:styleId="1020" w:customStyle="1">
    <w:name w:val="正文文本缩进 Char"/>
    <w:link w:val="706"/>
    <w:uiPriority w:val="0"/>
    <w:qFormat/>
    <w:rPr>
      <w:b/>
      <w:sz w:val="30"/>
    </w:rPr>
  </w:style>
  <w:style w:type="character" w:styleId="1021" w:customStyle="1">
    <w:name w:val="正文首行缩进 2 Char"/>
    <w:link w:val="1019"/>
    <w:uiPriority w:val="99"/>
    <w:qFormat/>
    <w:rPr>
      <w:sz w:val="21"/>
      <w:szCs w:val="24"/>
    </w:rPr>
  </w:style>
  <w:style w:type="character" w:styleId="1022" w:customStyle="1">
    <w:name w:val="批注文字 Char"/>
    <w:link w:val="704"/>
    <w:uiPriority w:val="0"/>
    <w:qFormat/>
    <w:rPr>
      <w:sz w:val="21"/>
      <w:szCs w:val="24"/>
    </w:rPr>
  </w:style>
  <w:style w:type="character" w:styleId="1023" w:customStyle="1">
    <w:name w:val="font81"/>
    <w:uiPriority w:val="0"/>
    <w:qFormat/>
    <w:rPr>
      <w:rFonts w:hint="eastAsia" w:ascii="仿宋" w:hAnsi="仿宋" w:eastAsia="仿宋" w:cs="仿宋"/>
      <w:color w:val="000000"/>
      <w:sz w:val="20"/>
      <w:szCs w:val="20"/>
      <w:u w:val="none"/>
    </w:rPr>
  </w:style>
  <w:style w:type="character" w:styleId="1024" w:customStyle="1">
    <w:name w:val="正文首行缩进 Char"/>
    <w:link w:val="731"/>
    <w:uiPriority w:val="99"/>
    <w:qFormat/>
    <w:rPr>
      <w:rFonts w:ascii="华文中宋" w:eastAsia="华文中宋"/>
      <w:sz w:val="21"/>
      <w:szCs w:val="22"/>
    </w:rPr>
  </w:style>
  <w:style w:type="character" w:styleId="1025" w:customStyle="1">
    <w:name w:val="font61"/>
    <w:basedOn w:val="698"/>
    <w:uiPriority w:val="0"/>
    <w:qFormat/>
    <w:rPr>
      <w:rFonts w:hint="eastAsia" w:ascii="宋体" w:hAnsi="宋体" w:eastAsia="宋体" w:cs="宋体"/>
      <w:color w:val="000000"/>
      <w:sz w:val="22"/>
      <w:szCs w:val="22"/>
      <w:u w:val="none"/>
    </w:rPr>
  </w:style>
  <w:style w:type="character" w:styleId="1026" w:customStyle="1">
    <w:name w:val="font101"/>
    <w:uiPriority w:val="0"/>
    <w:qFormat/>
    <w:rPr>
      <w:rFonts w:hint="eastAsia" w:ascii="宋体" w:hAnsi="宋体" w:eastAsia="宋体" w:cs="宋体"/>
      <w:color w:val="000000"/>
      <w:sz w:val="22"/>
      <w:szCs w:val="22"/>
      <w:u w:val="single"/>
    </w:rPr>
  </w:style>
  <w:style w:type="character" w:styleId="1027" w:customStyle="1">
    <w:name w:val="正文首行缩进 2 Char1"/>
    <w:basedOn w:val="1020"/>
    <w:link w:val="732"/>
    <w:uiPriority w:val="99"/>
    <w:semiHidden/>
    <w:qFormat/>
    <w:rPr>
      <w:b w:val="0"/>
      <w:sz w:val="21"/>
    </w:rPr>
  </w:style>
  <w:style w:type="character" w:styleId="1028" w:customStyle="1">
    <w:name w:val="font01"/>
    <w:uiPriority w:val="0"/>
    <w:qFormat/>
    <w:rPr>
      <w:rFonts w:hint="eastAsia" w:ascii="宋体" w:hAnsi="宋体" w:eastAsia="宋体" w:cs="宋体"/>
      <w:color w:val="000000"/>
      <w:sz w:val="22"/>
      <w:szCs w:val="22"/>
      <w:u w:val="none"/>
    </w:rPr>
  </w:style>
  <w:style w:type="paragraph" w:styleId="1029" w:customStyle="1">
    <w:name w:val="正文-宋体"/>
    <w:basedOn w:val="688"/>
    <w:uiPriority w:val="7"/>
    <w:qFormat/>
    <w:pPr>
      <w:ind w:firstLine="560"/>
      <w:spacing w:line="600" w:lineRule="exact"/>
      <w:tabs>
        <w:tab w:val="left" w:pos="4020" w:leader="none"/>
      </w:tabs>
    </w:pPr>
    <w:rPr>
      <w:rFonts w:ascii="宋体" w:hAnsi="宋体" w:cs="Arial"/>
      <w:color w:val="000000"/>
      <w:sz w:val="28"/>
      <w:szCs w:val="28"/>
    </w:rPr>
  </w:style>
  <w:style w:type="character" w:styleId="1030" w:customStyle="1">
    <w:name w:val="NormalCharacter11"/>
    <w:link w:val="1006"/>
    <w:uiPriority w:val="99"/>
    <w:qFormat/>
  </w:style>
  <w:style w:type="paragraph" w:styleId="1031" w:customStyle="1">
    <w:name w:val="普通(网站)1"/>
    <w:basedOn w:val="688"/>
    <w:uiPriority w:val="99"/>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character" w:styleId="1032" w:customStyle="1">
    <w:name w:val="font31"/>
    <w:basedOn w:val="698"/>
    <w:uiPriority w:val="0"/>
    <w:qFormat/>
    <w:rPr>
      <w:rFonts w:hint="eastAsia" w:ascii="仿宋" w:hAnsi="仿宋" w:eastAsia="仿宋" w:cs="仿宋"/>
      <w:color w:val="000000"/>
      <w:sz w:val="24"/>
      <w:szCs w:val="24"/>
      <w:u w:val="none"/>
    </w:rPr>
  </w:style>
  <w:style w:type="character" w:styleId="1033" w:customStyle="1">
    <w:name w:val="font21"/>
    <w:basedOn w:val="698"/>
    <w:uiPriority w:val="0"/>
    <w:qFormat/>
    <w:rPr>
      <w:rFonts w:hint="eastAsia" w:ascii="仿宋" w:hAnsi="仿宋" w:eastAsia="仿宋" w:cs="仿宋"/>
      <w:color w:val="000000"/>
      <w:sz w:val="24"/>
      <w:szCs w:val="24"/>
      <w:u w:val="none"/>
    </w:rPr>
  </w:style>
  <w:style w:type="character" w:styleId="1034" w:customStyle="1">
    <w:name w:val="font41"/>
    <w:basedOn w:val="698"/>
    <w:uiPriority w:val="0"/>
    <w:qFormat/>
    <w:rPr>
      <w:rFonts w:ascii="Calibri" w:hAnsi="Calibri" w:cs="Calibri"/>
      <w:color w:val="000000"/>
      <w:sz w:val="24"/>
      <w:szCs w:val="24"/>
      <w:u w:val="none"/>
    </w:rPr>
  </w:style>
  <w:style w:type="character" w:styleId="1035" w:customStyle="1">
    <w:name w:val="font51"/>
    <w:basedOn w:val="698"/>
    <w:uiPriority w:val="0"/>
    <w:qFormat/>
    <w:rPr>
      <w:rFonts w:hint="default" w:ascii="Calibri" w:hAnsi="Calibri" w:cs="Calibri"/>
      <w:color w:val="000000"/>
      <w:sz w:val="24"/>
      <w:szCs w:val="24"/>
      <w:u w:val="none"/>
    </w:rPr>
  </w:style>
  <w:style w:type="character" w:styleId="1036" w:customStyle="1">
    <w:name w:val="font71"/>
    <w:basedOn w:val="698"/>
    <w:uiPriority w:val="0"/>
    <w:qFormat/>
    <w:rPr>
      <w:rFonts w:ascii="Malgun Gothic" w:hAnsi="Malgun Gothic" w:eastAsia="Malgun Gothic" w:cs="Malgun Gothic"/>
      <w:color w:val="000000"/>
      <w:sz w:val="24"/>
      <w:szCs w:val="24"/>
      <w:u w:val="none"/>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83c7b172-11c0-446e-a8ac-adc0f2b69995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5DDAB342</paraID>
      <start>69</start>
      <end>70</end>
      <status>unmodified</status>
      <modifiedWord/>
      <trackRevisions>false</trackRevisions>
    </reviewItem>
    <reviewItem>
      <errorID>991a8b21-01ea-4705-97c0-fc7746382360</errorID>
      <errorWord>“.</errorWord>
      <group>L1_Punc</group>
      <groupName>标点问题</groupName>
      <ability>L2_Punc_CN</ability>
      <abilityName>标点符号问题</abilityName>
      <candidateList>
        <item>“</item>
      </candidateList>
      <explain/>
      <paraID>5DDAB342</paraID>
      <start>149</start>
      <end>151</end>
      <status>unmodified</status>
      <modifiedWord/>
      <trackRevisions>false</trackRevisions>
    </reviewItem>
    <reviewItem>
      <errorID>743147ea-57c1-4f5e-8b64-019b3e7b370a</errorID>
      <errorWord>)</errorWord>
      <group>L1_Format</group>
      <groupName>格式问题</groupName>
      <ability>L2_HalfPunc_CN</ability>
      <abilityName>全半角问题</abilityName>
      <candidateList>
        <item>）</item>
      </candidateList>
      <explain>文本全半角错误。</explain>
      <paraID>6EE5BD3D</paraID>
      <start>38</start>
      <end>39</end>
      <status>unmodified</status>
      <modifiedWord/>
      <trackRevisions>false</trackRevisions>
    </reviewItem>
    <reviewItem>
      <errorID>52381d53-86aa-4353-87ed-95b83fc5a2d8</errorID>
      <errorWord>)</errorWord>
      <group>L1_Format</group>
      <groupName>格式问题</groupName>
      <ability>L2_HalfPunc_CN</ability>
      <abilityName>全半角问题</abilityName>
      <candidateList>
        <item>）</item>
      </candidateList>
      <explain>文本全半角错误。</explain>
      <paraID>726FE2A0</paraID>
      <start>134</start>
      <end>135</end>
      <status>unmodified</status>
      <modifiedWord/>
      <trackRevisions>false</trackRevisions>
    </reviewItem>
    <reviewItem>
      <errorID>a505a286-f106-440f-8bec-90c2b55e7871</errorID>
      <errorWord>(</errorWord>
      <group>L1_Format</group>
      <groupName>格式问题</groupName>
      <ability>L2_HalfPunc_CN</ability>
      <abilityName>全半角问题</abilityName>
      <candidateList>
        <item>（</item>
      </candidateList>
      <explain>文本全半角错误。</explain>
      <paraID>7CDEC4D1</paraID>
      <start>46</start>
      <end>47</end>
      <status>unmodified</status>
      <modifiedWord/>
      <trackRevisions>false</trackRevisions>
    </reviewItem>
    <reviewItem>
      <errorID>8b728808-edb2-4db2-a045-5494ca416d60</errorID>
      <errorWord>)</errorWord>
      <group>L1_Format</group>
      <groupName>格式问题</groupName>
      <ability>L2_HalfPunc_CN</ability>
      <abilityName>全半角问题</abilityName>
      <candidateList>
        <item>）</item>
      </candidateList>
      <explain>文本全半角错误。</explain>
      <paraID>7CDEC4D1</paraID>
      <start>49</start>
      <end>50</end>
      <status>unmodified</status>
      <modifiedWord/>
      <trackRevisions>false</trackRevisions>
    </reviewItem>
    <reviewItem>
      <errorID>7df82fff-d7d7-427a-8474-1c7d0d4fe164</errorID>
      <errorWord>。。</errorWord>
      <group>L1_Punc</group>
      <groupName>标点问题</groupName>
      <ability>L2_Punc_CN</ability>
      <abilityName>标点符号问题</abilityName>
      <candidateList>
        <item>。</item>
      </candidateList>
      <explain/>
      <paraID> E35C7EB</paraID>
      <start>96</start>
      <end>98</end>
      <status>unmodified</status>
      <modifiedWord/>
      <trackRevisions>false</trackRevisions>
    </reviewItem>
    <reviewItem>
      <errorID>ac125658-d240-42fa-bf17-c997d3f5d7ce</errorID>
      <errorWord>(</errorWord>
      <group>L1_Format</group>
      <groupName>格式问题</groupName>
      <ability>L2_HalfPunc_CN</ability>
      <abilityName>全半角问题</abilityName>
      <candidateList>
        <item>（</item>
      </candidateList>
      <explain>文本全半角错误。</explain>
      <paraID>689CB351</paraID>
      <start>382</start>
      <end>383</end>
      <status>unmodified</status>
      <modifiedWord/>
      <trackRevisions>false</trackRevisions>
    </reviewItem>
    <reviewItem>
      <errorID>a0ecb93a-dd44-41d2-90e2-ff98d1b0ab95</errorID>
      <errorWord>)</errorWord>
      <group>L1_Format</group>
      <groupName>格式问题</groupName>
      <ability>L2_HalfPunc_CN</ability>
      <abilityName>全半角问题</abilityName>
      <candidateList>
        <item>）</item>
      </candidateList>
      <explain>文本全半角错误。</explain>
      <paraID>689CB351</paraID>
      <start>388</start>
      <end>389</end>
      <status>unmodified</status>
      <modifiedWord/>
      <trackRevisions>false</trackRevisions>
    </reviewItem>
    <reviewItem>
      <errorID>0709284a-71d6-48b3-9c98-d3ff9a023c96</errorID>
      <errorWord>,</errorWord>
      <group>L1_Format</group>
      <groupName>格式问题</groupName>
      <ability>L2_HalfPunc_CN</ability>
      <abilityName>全半角问题</abilityName>
      <candidateList>
        <item>，</item>
      </candidateList>
      <explain>文本全半角错误。</explain>
      <paraID>31438C92</paraID>
      <start>35</start>
      <end>36</end>
      <status>unmodified</status>
      <modifiedWord/>
      <trackRevisions>false</trackRevisions>
    </reviewItem>
    <reviewItem>
      <errorID>4b7b7ed3-e7fb-4f9b-bd36-230452432382</errorID>
      <errorWord>:</errorWord>
      <group>L1_Format</group>
      <groupName>格式问题</groupName>
      <ability>L2_HalfPunc_CN</ability>
      <abilityName>全半角问题</abilityName>
      <candidateList>
        <item>：</item>
      </candidateList>
      <explain>文本全半角错误。</explain>
      <paraID>31438C92</paraID>
      <start>53</start>
      <end>54</end>
      <status>unmodified</status>
      <modifiedWord/>
      <trackRevisions>false</trackRevisions>
    </reviewItem>
    <reviewItem>
      <errorID>928f31d2-bcfb-4ef4-aaab-b009a683fe42</errorID>
      <errorWord>:</errorWord>
      <group>L1_Format</group>
      <groupName>格式问题</groupName>
      <ability>L2_HalfPunc_CN</ability>
      <abilityName>全半角问题</abilityName>
      <candidateList>
        <item>：</item>
      </candidateList>
      <explain>文本全半角错误。</explain>
      <paraID>31438C92</paraID>
      <start>65</start>
      <end>66</end>
      <status>unmodified</status>
      <modifiedWord/>
      <trackRevisions>false</trackRevisions>
    </reviewItem>
    <reviewItem>
      <errorID>f06181d8-3653-4704-9a8d-595504732dbf</errorID>
      <errorWord>,</errorWord>
      <group>L1_Format</group>
      <groupName>格式问题</groupName>
      <ability>L2_HalfPunc_CN</ability>
      <abilityName>全半角问题</abilityName>
      <candidateList>
        <item>，</item>
      </candidateList>
      <explain>文本全半角错误。</explain>
      <paraID>6AFC493B</paraID>
      <start>104</start>
      <end>105</end>
      <status>unmodified</status>
      <modifiedWord/>
      <trackRevisions>false</trackRevisions>
    </reviewItem>
    <reviewItem>
      <errorID>cafb68ad-2634-4ea5-b21e-a6ccf297d317</errorID>
      <errorWord>:</errorWord>
      <group>L1_Format</group>
      <groupName>格式问题</groupName>
      <ability>L2_HalfPunc_CN</ability>
      <abilityName>全半角问题</abilityName>
      <candidateList>
        <item>：</item>
      </candidateList>
      <explain>文本全半角错误。</explain>
      <paraID>1BA377C3</paraID>
      <start>19</start>
      <end>20</end>
      <status>unmodified</status>
      <modifiedWord/>
      <trackRevisions>false</trackRevisions>
    </reviewItem>
    <reviewItem>
      <errorID>0612cdaa-b960-4cd8-abe4-f921c4d00f36</errorID>
      <errorWord>,</errorWord>
      <group>L1_Format</group>
      <groupName>格式问题</groupName>
      <ability>L2_HalfPunc_CN</ability>
      <abilityName>全半角问题</abilityName>
      <candidateList>
        <item>，</item>
      </candidateList>
      <explain>文本全半角错误。</explain>
      <paraID>7422F641</paraID>
      <start>81</start>
      <end>82</end>
      <status>unmodified</status>
      <modifiedWord/>
      <trackRevisions>false</trackRevisions>
    </reviewItem>
    <reviewItem>
      <errorID>cf3396af-df57-4163-9fe3-8fa752e8eff9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67245C7</paraID>
      <start>0</start>
      <end>2</end>
      <status>modified</status>
      <modifiedWord>1.</modifiedWord>
      <trackRevisions>false</trackRevisions>
    </reviewItem>
    <reviewItem>
      <errorID>aa3b1c71-275d-4be3-aa21-d14bc18e0061</errorID>
      <errorWord>:</errorWord>
      <group>L1_Format</group>
      <groupName>格式问题</groupName>
      <ability>L2_HalfPunc_CN</ability>
      <abilityName>全半角问题</abilityName>
      <candidateList>
        <item>：</item>
      </candidateList>
      <explain>文本全半角错误。</explain>
      <paraID> 67245C7</paraID>
      <start>10</start>
      <end>11</end>
      <status>unmodified</status>
      <modifiedWord/>
      <trackRevisions>false</trackRevisions>
    </reviewItem>
    <reviewItem>
      <errorID>e93780e1-2e21-4d44-931d-e331107fa91e</errorID>
      <errorWord>:</errorWord>
      <group>L1_Format</group>
      <groupName>格式问题</groupName>
      <ability>L2_HalfPunc_CN</ability>
      <abilityName>全半角问题</abilityName>
      <candidateList>
        <item>：</item>
      </candidateList>
      <explain>文本全半角错误。</explain>
      <paraID>1685E3A6</paraID>
      <start>74</start>
      <end>75</end>
      <status>unmodified</status>
      <modifiedWord/>
      <trackRevisions>false</trackRevisions>
    </reviewItem>
    <reviewItem>
      <errorID>db16ade3-b6b8-4170-8bae-aef55f0217af</errorID>
      <errorWord>:</errorWord>
      <group>L1_Format</group>
      <groupName>格式问题</groupName>
      <ability>L2_HalfPunc_CN</ability>
      <abilityName>全半角问题</abilityName>
      <candidateList>
        <item>：</item>
      </candidateList>
      <explain>文本全半角错误。</explain>
      <paraID>265403DF</paraID>
      <start>7</start>
      <end>8</end>
      <status>unmodified</status>
      <modifiedWord/>
      <trackRevisions>false</trackRevisions>
    </reviewItem>
    <reviewItem>
      <errorID>6b69afff-f896-42d8-8281-64c2253dc01f</errorID>
      <errorWord>(</errorWord>
      <group>L1_Format</group>
      <groupName>格式问题</groupName>
      <ability>L2_HalfPunc_CN</ability>
      <abilityName>全半角问题</abilityName>
      <candidateList>
        <item>（</item>
      </candidateList>
      <explain>文本全半角错误。</explain>
      <paraID>7FCD2B0A</paraID>
      <start>10</start>
      <end>11</end>
      <status>unmodified</status>
      <modifiedWord/>
      <trackRevisions>false</trackRevisions>
    </reviewItem>
    <reviewItem>
      <errorID>ff795a18-b930-4caa-a0bc-6d284910dffd</errorID>
      <errorWord>)</errorWord>
      <group>L1_Format</group>
      <groupName>格式问题</groupName>
      <ability>L2_HalfPunc_CN</ability>
      <abilityName>全半角问题</abilityName>
      <candidateList>
        <item>）</item>
      </candidateList>
      <explain>文本全半角错误。</explain>
      <paraID>7FCD2B0A</paraID>
      <start>34</start>
      <end>35</end>
      <status>unmodified</status>
      <modifiedWord/>
      <trackRevisions>false</trackRevisions>
    </reviewItem>
    <reviewItem>
      <errorID>cd1c6ce7-8aee-4f2f-8746-aa1f67d4d034</errorID>
      <errorWord>(</errorWord>
      <group>L1_Format</group>
      <groupName>格式问题</groupName>
      <ability>L2_HalfPunc_CN</ability>
      <abilityName>全半角问题</abilityName>
      <candidateList>
        <item>（</item>
      </candidateList>
      <explain>文本全半角错误。</explain>
      <paraID> 19010A4</paraID>
      <start>6</start>
      <end>7</end>
      <status>unmodified</status>
      <modifiedWord/>
      <trackRevisions>false</trackRevisions>
    </reviewItem>
    <reviewItem>
      <errorID>6af96b92-c63c-4b5f-a0c9-4e3c8a7c20ed</errorID>
      <errorWord>)</errorWord>
      <group>L1_Format</group>
      <groupName>格式问题</groupName>
      <ability>L2_HalfPunc_CN</ability>
      <abilityName>全半角问题</abilityName>
      <candidateList>
        <item>）</item>
      </candidateList>
      <explain>文本全半角错误。</explain>
      <paraID> 19010A4</paraID>
      <start>9</start>
      <end>10</end>
      <status>unmodified</status>
      <modifiedWord/>
      <trackRevisions>false</trackRevisions>
    </reviewItem>
    <reviewItem>
      <errorID>6f9f7739-1b07-4e0e-beea-4550eca746b7</errorID>
      <errorWord>造成损失的，乙方</errorWord>
      <group>L1_Word</group>
      <groupName>字词问题</groupName>
      <ability>L2_Typo</ability>
      <abilityName>字词错误</abilityName>
      <candidateList>
        <item>造成损失的，由乙方</item>
      </candidateList>
      <explain/>
      <paraID>1E87A131</paraID>
      <start>126</start>
      <end>135</end>
      <status>modified</status>
      <modifiedWord>造成损失的，由乙方</modifiedWord>
      <trackRevisions>false</trackRevisions>
    </reviewItem>
    <reviewItem>
      <errorID>76c28c5c-f433-4911-b28d-d3c0c9ebc537</errorID>
      <errorWord>（</errorWord>
      <group>L1_Punc</group>
      <groupName>标点问题</groupName>
      <ability>L2_Punc_CN</ability>
      <abilityName>标点符号问题</abilityName>
      <candidateList/>
      <explain>同一形式括号套用。</explain>
      <paraID>6851468D</paraID>
      <start>79</start>
      <end>80</end>
      <status>unmodified</status>
      <modifiedWord/>
      <trackRevisions>false</trackRevisions>
    </reviewItem>
    <reviewItem>
      <errorID>d37082e5-00c6-4206-a2ce-1b403d348ace</errorID>
      <errorWord>）</errorWord>
      <group>L1_Punc</group>
      <groupName>标点问题</groupName>
      <ability>L2_Punc_CN</ability>
      <abilityName>标点符号问题</abilityName>
      <candidateList/>
      <explain>同一形式括号套用。</explain>
      <paraID>6851468D</paraID>
      <start>90</start>
      <end>91</end>
      <status>unmodified</status>
      <modifiedWord/>
      <trackRevisions>false</trackRevisions>
    </reviewItem>
    <reviewItem>
      <errorID>b12d8bec-ee4f-4197-930c-ab24608fd58e</errorID>
      <errorWord>（</errorWord>
      <group>L1_Punc</group>
      <groupName>标点问题</groupName>
      <ability>L2_Punc_CN</ability>
      <abilityName>标点符号问题</abilityName>
      <candidateList/>
      <explain>同一形式括号套用。</explain>
      <paraID>6851468D</paraID>
      <start>91</start>
      <end>92</end>
      <status>unmodified</status>
      <modifiedWord/>
      <trackRevisions>false</trackRevisions>
    </reviewItem>
    <reviewItem>
      <errorID>db22f1aa-9151-446e-a828-885d37e231ab</errorID>
      <errorWord>）</errorWord>
      <group>L1_Punc</group>
      <groupName>标点问题</groupName>
      <ability>L2_Punc_CN</ability>
      <abilityName>标点符号问题</abilityName>
      <candidateList/>
      <explain>同一形式括号套用。</explain>
      <paraID>6851468D</paraID>
      <start>103</start>
      <end>104</end>
      <status>unmodified</status>
      <modifiedWord/>
      <trackRevisions>false</trackRevisions>
    </reviewItem>
    <reviewItem>
      <errorID>40ae9809-8936-415b-b526-cc3b84fb6cdd</errorID>
      <errorWord>（</errorWord>
      <group>L1_Punc</group>
      <groupName>标点问题</groupName>
      <ability>L2_Punc_CN</ability>
      <abilityName>标点符号问题</abilityName>
      <candidateList/>
      <explain>同一形式括号套用。</explain>
      <paraID>6851468D</paraID>
      <start>105</start>
      <end>106</end>
      <status>unmodified</status>
      <modifiedWord/>
      <trackRevisions>false</trackRevisions>
    </reviewItem>
    <reviewItem>
      <errorID>3101e351-ade9-43b1-9335-00a45a8774ad</errorID>
      <errorWord>）</errorWord>
      <group>L1_Punc</group>
      <groupName>标点问题</groupName>
      <ability>L2_Punc_CN</ability>
      <abilityName>标点符号问题</abilityName>
      <candidateList/>
      <explain>同一形式括号套用。</explain>
      <paraID>6851468D</paraID>
      <start>117</start>
      <end>118</end>
      <status>unmodified</status>
      <modifiedWord/>
      <trackRevisions>false</trackRevisions>
    </reviewItem>
    <reviewItem>
      <errorID>0303f6d6-65e5-4bbb-bfc2-2e006533ceb9</errorID>
      <errorWord>。</errorWord>
      <group>L1_Format</group>
      <groupName>格式问题</groupName>
      <ability>L2_HalfPunc_CN</ability>
      <abilityName>全半角问题</abilityName>
      <candidateList>
        <item>.</item>
      </candidateList>
      <explain>文本全半角错误。</explain>
      <paraID>4F23159C</paraID>
      <start>62</start>
      <end>63</end>
      <status>unmodified</status>
      <modifiedWord/>
      <trackRevisions>false</trackRevisions>
    </reviewItem>
    <reviewItem>
      <errorID>809e8b3d-c7ea-44c4-9787-35e1957924a4</errorID>
      <errorWord>(</errorWord>
      <group>L1_Format</group>
      <groupName>格式问题</groupName>
      <ability>L2_HalfPunc_CN</ability>
      <abilityName>全半角问题</abilityName>
      <candidateList>
        <item>（</item>
      </candidateList>
      <explain>文本全半角错误。</explain>
      <paraID>4A51EB65</paraID>
      <start>391</start>
      <end>392</end>
      <status>unmodified</status>
      <modifiedWord/>
      <trackRevisions>false</trackRevisions>
    </reviewItem>
    <reviewItem>
      <errorID>6b2f3c58-b112-44d2-9c4e-2f5999bdeb60</errorID>
      <errorWord>)</errorWord>
      <group>L1_Format</group>
      <groupName>格式问题</groupName>
      <ability>L2_HalfPunc_CN</ability>
      <abilityName>全半角问题</abilityName>
      <candidateList>
        <item>）</item>
      </candidateList>
      <explain>文本全半角错误。</explain>
      <paraID>4A51EB65</paraID>
      <start>397</start>
      <end>398</end>
      <status>unmodified</status>
      <modifiedWord/>
      <trackRevisions>false</trackRevisions>
    </reviewItem>
    <reviewItem>
      <errorID>629f5320-3f05-4c4b-9384-42bcd832fb93</errorID>
      <errorWord>,</errorWord>
      <group>L1_Format</group>
      <groupName>格式问题</groupName>
      <ability>L2_HalfPunc_CN</ability>
      <abilityName>全半角问题</abilityName>
      <candidateList>
        <item>，</item>
      </candidateList>
      <explain>文本全半角错误。</explain>
      <paraID>433FB6D4</paraID>
      <start>36</start>
      <end>37</end>
      <status>unmodified</status>
      <modifiedWord/>
      <trackRevisions>false</trackRevisions>
    </reviewItem>
    <reviewItem>
      <errorID>34e12805-848c-4964-952f-ea3da5ad7732</errorID>
      <errorWord>:</errorWord>
      <group>L1_Format</group>
      <groupName>格式问题</groupName>
      <ability>L2_HalfPunc_CN</ability>
      <abilityName>全半角问题</abilityName>
      <candidateList>
        <item>：</item>
      </candidateList>
      <explain>文本全半角错误。</explain>
      <paraID>433FB6D4</paraID>
      <start>55</start>
      <end>56</end>
      <status>unmodified</status>
      <modifiedWord/>
      <trackRevisions>false</trackRevisions>
    </reviewItem>
    <reviewItem>
      <errorID>d82b92a3-51e7-4cec-b341-4abdbe9f445c</errorID>
      <errorWord>:</errorWord>
      <group>L1_Format</group>
      <groupName>格式问题</groupName>
      <ability>L2_HalfPunc_CN</ability>
      <abilityName>全半角问题</abilityName>
      <candidateList>
        <item>：</item>
      </candidateList>
      <explain>文本全半角错误。</explain>
      <paraID>433FB6D4</paraID>
      <start>67</start>
      <end>68</end>
      <status>unmodified</status>
      <modifiedWord/>
      <trackRevisions>false</trackRevisions>
    </reviewItem>
    <reviewItem>
      <errorID>3b69cf05-6e7c-43db-b20b-67b9b0f2667c</errorID>
      <errorWord>,</errorWord>
      <group>L1_Format</group>
      <groupName>格式问题</groupName>
      <ability>L2_HalfPunc_CN</ability>
      <abilityName>全半角问题</abilityName>
      <candidateList>
        <item>，</item>
      </candidateList>
      <explain>文本全半角错误。</explain>
      <paraID> 9C1FE1C</paraID>
      <start>106</start>
      <end>107</end>
      <status>unmodified</status>
      <modifiedWord/>
      <trackRevisions>false</trackRevisions>
    </reviewItem>
    <reviewItem>
      <errorID>76769f8a-02de-42f9-a68a-eab1f3effdd1</errorID>
      <errorWord>:</errorWord>
      <group>L1_Format</group>
      <groupName>格式问题</groupName>
      <ability>L2_HalfPunc_CN</ability>
      <abilityName>全半角问题</abilityName>
      <candidateList>
        <item>：</item>
      </candidateList>
      <explain>文本全半角错误。</explain>
      <paraID>4A85268E</paraID>
      <start>19</start>
      <end>20</end>
      <status>unmodified</status>
      <modifiedWord/>
      <trackRevisions>false</trackRevisions>
    </reviewItem>
    <reviewItem>
      <errorID>561e5f21-efb2-4f66-a11f-3643b276dfe8</errorID>
      <errorWord>,</errorWord>
      <group>L1_Format</group>
      <groupName>格式问题</groupName>
      <ability>L2_HalfPunc_CN</ability>
      <abilityName>全半角问题</abilityName>
      <candidateList>
        <item>，</item>
      </candidateList>
      <explain>文本全半角错误。</explain>
      <paraID>6A26418E</paraID>
      <start>81</start>
      <end>82</end>
      <status>unmodified</status>
      <modifiedWord/>
      <trackRevisions>false</trackRevisions>
    </reviewItem>
    <reviewItem>
      <errorID>e2e9f1ae-8e31-474b-87fb-a8491fd097dc</errorID>
      <errorWord>:</errorWord>
      <group>L1_Format</group>
      <groupName>格式问题</groupName>
      <ability>L2_HalfPunc_CN</ability>
      <abilityName>全半角问题</abilityName>
      <candidateList>
        <item>：</item>
      </candidateList>
      <explain>文本全半角错误。</explain>
      <paraID>31155F42</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0CA15DFD-5D49-4303-A719-5562F1ED4788}"/>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王琳</cp:lastModifiedBy>
  <cp:revision>32</cp:revision>
  <dcterms:created xsi:type="dcterms:W3CDTF">2025-04-02T05:54:00Z</dcterms:created>
  <dcterms:modified xsi:type="dcterms:W3CDTF">2026-10-22T08:12:44Z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eyJoZGlkIjoiMDEyOWI1MzhmODBhZmIyMDc0OGMxMTk0Yjk5MmVlY2MiLCJ1c2VySWQiOiI1MzgxNzcxMTAifQ==</vt:lpwstr>
  </property>
  <property fmtid="{D5CDD505-2E9C-101B-9397-08002B2CF9AE}" pid="3" name="KSOProductBuildVer">
    <vt:lpwstr>2052-12.1.0.29161</vt:lpwstr>
  </property>
  <property fmtid="{D5CDD505-2E9C-101B-9397-08002B2CF9AE}" pid="4" name="ICV">
    <vt:lpwstr>5C1B5A62589E40E8A7CC3E01BD617D26_13</vt:lpwstr>
  </property>
</Properties>
</file>