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8"/>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1048"/>
        <w:jc w:val="center"/>
        <w:rPr>
          <w:rFonts w:hint="eastAsia"/>
          <w:b/>
          <w:bCs/>
          <w:color w:val="000000"/>
          <w:sz w:val="72"/>
          <w:szCs w:val="72"/>
          <w:highlight w:val="none"/>
        </w:rPr>
      </w:pPr>
      <w:r>
        <w:rPr>
          <w:rFonts w:hint="eastAsia"/>
          <w:b/>
          <w:bCs/>
          <w:color w:val="000000"/>
          <w:sz w:val="72"/>
          <w:szCs w:val="72"/>
          <w:highlight w:val="none"/>
        </w:rPr>
      </w:r>
      <w:r/>
    </w:p>
    <w:p>
      <w:pPr>
        <w:pStyle w:val="1048"/>
        <w:jc w:val="center"/>
        <w:rPr>
          <w:rFonts w:hint="eastAsia"/>
          <w:b/>
          <w:bCs/>
          <w:color w:val="000000"/>
          <w:sz w:val="72"/>
          <w:szCs w:val="72"/>
          <w:highlight w:val="none"/>
        </w:rPr>
      </w:pPr>
      <w:r>
        <w:rPr>
          <w:rFonts w:hint="eastAsia"/>
          <w:b/>
          <w:bCs/>
          <w:color w:val="000000"/>
          <w:sz w:val="72"/>
          <w:szCs w:val="72"/>
          <w:highlight w:val="none"/>
        </w:rPr>
      </w:r>
      <w:r/>
    </w:p>
    <w:p>
      <w:pPr>
        <w:pStyle w:val="1048"/>
        <w:jc w:val="center"/>
        <w:rPr>
          <w:rFonts w:hint="eastAsia" w:eastAsia="宋体"/>
          <w:color w:val="000000"/>
          <w:highlight w:val="none"/>
          <w:lang w:eastAsia="zh-CN"/>
        </w:rPr>
      </w:pPr>
      <w:r>
        <w:rPr>
          <w:rFonts w:hint="eastAsia"/>
          <w:b/>
          <w:bCs/>
          <w:color w:val="000000"/>
          <w:sz w:val="72"/>
          <w:szCs w:val="72"/>
          <w:highlight w:val="none"/>
          <w:lang w:eastAsia="zh-CN"/>
        </w:rPr>
        <w:t xml:space="preserve">经开区电子警察更新项目</w:t>
      </w:r>
      <w:r>
        <w:rPr>
          <w:rFonts w:hint="eastAsia" w:eastAsia="宋体"/>
          <w:color w:val="000000"/>
          <w:highlight w:val="none"/>
          <w:lang w:eastAsia="zh-CN"/>
        </w:rPr>
      </w:r>
      <w:r/>
    </w:p>
    <w:p>
      <w:pPr>
        <w:pStyle w:val="1048"/>
        <w:jc w:val="center"/>
        <w:rPr>
          <w:rFonts w:hint="eastAsia"/>
          <w:b/>
          <w:bCs/>
          <w:color w:val="000000"/>
          <w:sz w:val="72"/>
          <w:szCs w:val="72"/>
          <w:highlight w:val="none"/>
        </w:rPr>
      </w:pPr>
      <w:r>
        <w:rPr>
          <w:rFonts w:hint="eastAsia"/>
          <w:b/>
          <w:bCs/>
          <w:color w:val="000000"/>
          <w:sz w:val="72"/>
          <w:szCs w:val="72"/>
          <w:highlight w:val="none"/>
        </w:rPr>
      </w:r>
      <w:r/>
    </w:p>
    <w:p>
      <w:pPr>
        <w:pStyle w:val="1048"/>
        <w:jc w:val="center"/>
        <w:rPr>
          <w:rFonts w:hint="eastAsia"/>
          <w:b/>
          <w:bCs/>
          <w:color w:val="000000"/>
          <w:sz w:val="72"/>
          <w:szCs w:val="72"/>
          <w:highlight w:val="none"/>
        </w:rPr>
      </w:pPr>
      <w:r>
        <w:rPr>
          <w:rFonts w:hint="eastAsia"/>
          <w:b/>
          <w:bCs/>
          <w:color w:val="000000"/>
          <w:sz w:val="72"/>
          <w:szCs w:val="72"/>
          <w:highlight w:val="none"/>
        </w:rPr>
      </w:r>
      <w:r/>
    </w:p>
    <w:p>
      <w:pPr>
        <w:pStyle w:val="1048"/>
        <w:jc w:val="center"/>
        <w:rPr>
          <w:b/>
          <w:bCs/>
          <w:color w:val="000000"/>
          <w:sz w:val="72"/>
          <w:szCs w:val="72"/>
          <w:highlight w:val="none"/>
        </w:rPr>
      </w:pPr>
      <w:r>
        <w:rPr>
          <w:rFonts w:hint="eastAsia"/>
          <w:b/>
          <w:bCs/>
          <w:color w:val="000000"/>
          <w:sz w:val="72"/>
          <w:szCs w:val="72"/>
          <w:highlight w:val="none"/>
        </w:rPr>
        <w:t xml:space="preserve">公开</w:t>
      </w:r>
      <w:r>
        <w:rPr>
          <w:b/>
          <w:bCs/>
          <w:color w:val="000000"/>
          <w:sz w:val="72"/>
          <w:szCs w:val="72"/>
          <w:highlight w:val="none"/>
        </w:rPr>
        <w:t xml:space="preserve">招标文件</w:t>
      </w:r>
      <w:r>
        <w:rPr>
          <w:b/>
          <w:bCs/>
          <w:color w:val="000000"/>
          <w:sz w:val="72"/>
          <w:szCs w:val="72"/>
          <w:highlight w:val="none"/>
        </w:rPr>
      </w:r>
      <w:r/>
    </w:p>
    <w:p>
      <w:pPr>
        <w:pStyle w:val="1048"/>
        <w:jc w:val="center"/>
        <w:rPr>
          <w:b/>
          <w:bCs/>
          <w:color w:val="000000"/>
          <w:sz w:val="60"/>
          <w:szCs w:val="60"/>
          <w:highlight w:val="none"/>
        </w:rPr>
      </w:pPr>
      <w:r>
        <w:rPr>
          <w:b/>
          <w:bCs/>
          <w:color w:val="000000"/>
          <w:sz w:val="60"/>
          <w:szCs w:val="60"/>
          <w:highlight w:val="none"/>
        </w:rPr>
      </w:r>
      <w:r/>
    </w:p>
    <w:p>
      <w:pPr>
        <w:pStyle w:val="1048"/>
        <w:jc w:val="center"/>
        <w:spacing w:line="360" w:lineRule="auto"/>
        <w:rPr>
          <w:color w:val="000000"/>
          <w:sz w:val="60"/>
          <w:szCs w:val="60"/>
          <w:highlight w:val="none"/>
        </w:rPr>
      </w:pPr>
      <w:r>
        <w:rPr>
          <w:color w:val="000000"/>
          <w:sz w:val="60"/>
          <w:szCs w:val="60"/>
          <w:highlight w:val="none"/>
        </w:rPr>
      </w:r>
      <w:r/>
    </w:p>
    <w:p>
      <w:pPr>
        <w:pStyle w:val="1134"/>
        <w:ind w:firstLine="1200"/>
        <w:rPr>
          <w:color w:val="000000"/>
          <w:sz w:val="60"/>
          <w:szCs w:val="60"/>
          <w:highlight w:val="none"/>
        </w:rPr>
      </w:pPr>
      <w:r>
        <w:rPr>
          <w:color w:val="000000"/>
          <w:sz w:val="60"/>
          <w:szCs w:val="60"/>
          <w:highlight w:val="none"/>
        </w:rPr>
      </w:r>
      <w:r/>
    </w:p>
    <w:p>
      <w:pPr>
        <w:pStyle w:val="1134"/>
        <w:ind w:firstLine="1200"/>
        <w:rPr>
          <w:color w:val="000000"/>
          <w:sz w:val="60"/>
          <w:szCs w:val="60"/>
          <w:highlight w:val="none"/>
        </w:rPr>
      </w:pPr>
      <w:r>
        <w:rPr>
          <w:color w:val="000000"/>
          <w:sz w:val="60"/>
          <w:szCs w:val="60"/>
          <w:highlight w:val="none"/>
        </w:rPr>
      </w:r>
      <w:r/>
    </w:p>
    <w:p>
      <w:pPr>
        <w:pStyle w:val="1134"/>
        <w:ind w:firstLine="1200"/>
        <w:rPr>
          <w:color w:val="000000"/>
          <w:sz w:val="60"/>
          <w:szCs w:val="60"/>
          <w:highlight w:val="none"/>
        </w:rPr>
      </w:pPr>
      <w:r>
        <w:rPr>
          <w:color w:val="000000"/>
          <w:sz w:val="60"/>
          <w:szCs w:val="60"/>
          <w:highlight w:val="none"/>
        </w:rPr>
      </w:r>
      <w:r/>
    </w:p>
    <w:p>
      <w:pPr>
        <w:pStyle w:val="1134"/>
        <w:ind w:firstLine="0"/>
        <w:rPr>
          <w:color w:val="000000"/>
          <w:sz w:val="60"/>
          <w:szCs w:val="60"/>
          <w:highlight w:val="none"/>
        </w:rPr>
      </w:pPr>
      <w:r>
        <w:rPr>
          <w:color w:val="000000"/>
          <w:sz w:val="60"/>
          <w:szCs w:val="60"/>
          <w:highlight w:val="none"/>
        </w:rPr>
      </w:r>
      <w:r/>
    </w:p>
    <w:p>
      <w:pPr>
        <w:pStyle w:val="1048"/>
        <w:ind w:firstLine="1687"/>
        <w:jc w:val="both"/>
        <w:spacing w:line="480" w:lineRule="auto"/>
        <w:tabs>
          <w:tab w:val="left" w:pos="5609" w:leader="none"/>
        </w:tabs>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rPr>
        <w:t xml:space="preserve">项目名称：</w:t>
      </w:r>
      <w:r>
        <w:rPr>
          <w:rFonts w:hint="eastAsia" w:ascii="宋体" w:hAnsi="宋体" w:cs="宋体"/>
          <w:b/>
          <w:color w:val="000000"/>
          <w:sz w:val="28"/>
          <w:szCs w:val="28"/>
          <w:highlight w:val="none"/>
          <w:u w:val="single"/>
          <w:lang w:eastAsia="zh-CN"/>
        </w:rPr>
        <w:t xml:space="preserve">经开区电子警察更新项目</w:t>
      </w:r>
      <w:r>
        <w:rPr>
          <w:rFonts w:hint="eastAsia" w:ascii="宋体" w:hAnsi="宋体" w:eastAsia="宋体" w:cs="宋体"/>
          <w:b/>
          <w:color w:val="000000"/>
          <w:sz w:val="28"/>
          <w:szCs w:val="28"/>
          <w:highlight w:val="none"/>
          <w:lang w:eastAsia="zh-CN"/>
        </w:rPr>
      </w:r>
      <w:r/>
    </w:p>
    <w:p>
      <w:pPr>
        <w:pStyle w:val="1048"/>
        <w:ind w:firstLine="1687"/>
        <w:spacing w:line="480" w:lineRule="auto"/>
        <w:tabs>
          <w:tab w:val="left" w:pos="5609" w:leader="none"/>
        </w:tabs>
        <w:rPr>
          <w:rFonts w:ascii="宋体" w:hAnsi="宋体" w:cs="宋体"/>
          <w:b/>
          <w:color w:val="000000"/>
          <w:sz w:val="28"/>
          <w:szCs w:val="28"/>
          <w:highlight w:val="none"/>
          <w:u w:val="single"/>
        </w:rPr>
      </w:pPr>
      <w:r>
        <w:rPr>
          <w:rFonts w:hint="eastAsia" w:ascii="宋体" w:hAnsi="宋体" w:cs="宋体"/>
          <w:b/>
          <w:color w:val="000000"/>
          <w:sz w:val="28"/>
          <w:szCs w:val="28"/>
          <w:highlight w:val="none"/>
        </w:rPr>
        <w:t xml:space="preserve">项目编号</w:t>
      </w:r>
      <w:r>
        <w:rPr>
          <w:rFonts w:hint="eastAsia" w:ascii="宋体" w:hAnsi="宋体" w:cs="宋体"/>
          <w:b/>
          <w:color w:val="000000"/>
          <w:sz w:val="28"/>
          <w:szCs w:val="28"/>
          <w:highlight w:val="none"/>
          <w:lang w:eastAsia="zh-CN"/>
        </w:rPr>
        <w:t xml:space="preserve">：</w:t>
      </w:r>
      <w:r>
        <w:rPr>
          <w:rFonts w:hint="eastAsia" w:ascii="宋体" w:hAnsi="宋体" w:cs="宋体"/>
          <w:b/>
          <w:color w:val="000000"/>
          <w:sz w:val="28"/>
          <w:szCs w:val="28"/>
          <w:highlight w:val="none"/>
          <w:u w:val="single"/>
          <w:lang w:eastAsia="zh-CN"/>
        </w:rPr>
        <w:t xml:space="preserve">JSZC-320412056-CZYJ-G2026-0014</w:t>
      </w:r>
      <w:r>
        <w:rPr>
          <w:rFonts w:ascii="宋体" w:hAnsi="宋体" w:cs="宋体"/>
          <w:b/>
          <w:color w:val="000000"/>
          <w:sz w:val="28"/>
          <w:szCs w:val="28"/>
          <w:highlight w:val="none"/>
          <w:u w:val="single"/>
        </w:rPr>
      </w:r>
      <w:r/>
    </w:p>
    <w:p>
      <w:pPr>
        <w:pStyle w:val="1048"/>
        <w:ind w:firstLine="1687"/>
        <w:spacing w:line="480" w:lineRule="auto"/>
        <w:tabs>
          <w:tab w:val="left" w:pos="5609" w:leader="none"/>
        </w:tabs>
        <w:rPr>
          <w:rFonts w:hint="eastAsia" w:ascii="宋体" w:hAnsi="宋体" w:eastAsia="宋体" w:cs="宋体"/>
          <w:b/>
          <w:color w:val="000000"/>
          <w:sz w:val="28"/>
          <w:szCs w:val="28"/>
          <w:highlight w:val="none"/>
          <w:u w:val="single"/>
          <w:lang w:eastAsia="zh-CN"/>
        </w:rPr>
      </w:pPr>
      <w:r>
        <w:rPr>
          <w:rFonts w:hint="eastAsia" w:ascii="宋体" w:hAnsi="宋体" w:cs="宋体"/>
          <w:b/>
          <w:color w:val="000000"/>
          <w:sz w:val="28"/>
          <w:szCs w:val="28"/>
          <w:highlight w:val="none"/>
        </w:rPr>
        <w:t xml:space="preserve">采 购 人：</w:t>
      </w:r>
      <w:r>
        <w:rPr>
          <w:rFonts w:hint="eastAsia" w:ascii="宋体" w:hAnsi="宋体" w:cs="宋体"/>
          <w:b/>
          <w:color w:val="000000"/>
          <w:sz w:val="28"/>
          <w:szCs w:val="28"/>
          <w:highlight w:val="none"/>
          <w:u w:val="single"/>
          <w:lang w:eastAsia="zh-CN"/>
        </w:rPr>
        <w:t xml:space="preserve">常州市公安局常州经济开发区分局</w:t>
      </w:r>
      <w:r>
        <w:rPr>
          <w:rFonts w:hint="eastAsia" w:ascii="宋体" w:hAnsi="宋体" w:eastAsia="宋体" w:cs="宋体"/>
          <w:b/>
          <w:color w:val="000000"/>
          <w:sz w:val="28"/>
          <w:szCs w:val="28"/>
          <w:highlight w:val="none"/>
          <w:u w:val="single"/>
          <w:lang w:eastAsia="zh-CN"/>
        </w:rPr>
      </w:r>
      <w:r/>
    </w:p>
    <w:p>
      <w:pPr>
        <w:pStyle w:val="1048"/>
        <w:ind w:firstLine="1687"/>
        <w:spacing w:line="480" w:lineRule="auto"/>
        <w:tabs>
          <w:tab w:val="left" w:pos="5609" w:leader="none"/>
        </w:tabs>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采购代理机构：</w:t>
      </w:r>
      <w:r>
        <w:rPr>
          <w:rFonts w:hint="eastAsia" w:ascii="宋体" w:hAnsi="宋体" w:cs="宋体"/>
          <w:b/>
          <w:color w:val="000000"/>
          <w:sz w:val="28"/>
          <w:szCs w:val="28"/>
          <w:highlight w:val="none"/>
          <w:u w:val="single"/>
        </w:rPr>
        <w:t xml:space="preserve">常州市阳峻项目管理有限公司</w:t>
      </w:r>
      <w:r>
        <w:rPr>
          <w:rFonts w:hint="eastAsia" w:ascii="宋体" w:hAnsi="宋体" w:cs="宋体"/>
          <w:b/>
          <w:color w:val="000000"/>
          <w:sz w:val="28"/>
          <w:szCs w:val="28"/>
          <w:highlight w:val="none"/>
        </w:rPr>
      </w:r>
      <w:r/>
    </w:p>
    <w:p>
      <w:pPr>
        <w:pStyle w:val="1048"/>
        <w:jc w:val="center"/>
        <w:spacing w:line="360" w:lineRule="auto"/>
        <w:rPr>
          <w:b/>
          <w:color w:val="000000"/>
          <w:sz w:val="36"/>
          <w:szCs w:val="36"/>
          <w:highlight w:val="none"/>
        </w:rPr>
        <w:outlineLvl w:val="0"/>
      </w:pPr>
      <w:r>
        <w:rPr>
          <w:b/>
          <w:bCs/>
          <w:color w:val="000000"/>
          <w:sz w:val="44"/>
          <w:highlight w:val="none"/>
        </w:rPr>
        <w:br w:type="page" w:clear="all"/>
      </w:r>
      <w:bookmarkStart w:id="0" w:name="_Toc99301418"/>
      <w:r>
        <w:rPr>
          <w:rFonts w:hint="eastAsia"/>
          <w:b/>
          <w:color w:val="000000"/>
          <w:sz w:val="32"/>
          <w:szCs w:val="32"/>
          <w:highlight w:val="none"/>
        </w:rPr>
        <w:t xml:space="preserve">目      录</w:t>
      </w:r>
      <w:bookmarkEnd w:id="0"/>
      <w:r>
        <w:rPr>
          <w:b/>
          <w:color w:val="000000"/>
          <w:sz w:val="36"/>
          <w:szCs w:val="36"/>
          <w:highlight w:val="none"/>
        </w:rPr>
      </w:r>
      <w:r/>
    </w:p>
    <w:p>
      <w:pPr>
        <w:pStyle w:val="1048"/>
        <w:rPr>
          <w:color w:val="000000"/>
          <w:highlight w:val="none"/>
        </w:rPr>
      </w:pPr>
      <w:r>
        <w:rPr>
          <w:color w:val="000000"/>
          <w:highlight w:val="none"/>
        </w:rPr>
      </w:r>
      <w:r/>
    </w:p>
    <w:p>
      <w:pPr>
        <w:pStyle w:val="1048"/>
        <w:rPr>
          <w:color w:val="000000"/>
          <w:highlight w:val="none"/>
        </w:rPr>
      </w:pPr>
      <w:r>
        <w:rPr>
          <w:color w:val="000000"/>
          <w:highlight w:val="none"/>
        </w:rPr>
      </w:r>
      <w:r/>
    </w:p>
    <w:p>
      <w:pPr>
        <w:pStyle w:val="1048"/>
        <w:rPr>
          <w:color w:val="000000"/>
          <w:highlight w:val="none"/>
        </w:rPr>
      </w:pPr>
      <w:r>
        <w:rPr>
          <w:color w:val="000000"/>
          <w:highlight w:val="none"/>
        </w:rPr>
      </w:r>
      <w:r/>
    </w:p>
    <w:p>
      <w:pPr>
        <w:pStyle w:val="1103"/>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1103"/>
        <w:spacing w:line="480" w:lineRule="auto"/>
        <w:tabs>
          <w:tab w:val="left" w:pos="1050" w:leader="none"/>
          <w:tab w:val="right" w:pos="8937" w:leader="dot"/>
        </w:tabs>
        <w:rPr>
          <w:rStyle w:val="1127"/>
          <w:rFonts w:ascii="Times New Roman" w:hAnsi="Times New Roman"/>
          <w:color w:val="000000"/>
          <w:sz w:val="28"/>
          <w:szCs w:val="28"/>
          <w:highlight w:val="none"/>
        </w:rPr>
      </w:pPr>
      <w:r>
        <w:rPr>
          <w:rStyle w:val="1127"/>
          <w:rFonts w:ascii="Times New Roman" w:hAnsi="Times New Roman"/>
          <w:color w:val="000000"/>
          <w:sz w:val="28"/>
          <w:szCs w:val="28"/>
          <w:highlight w:val="none"/>
        </w:rPr>
        <w:fldChar w:fldCharType="begin"/>
      </w:r>
      <w:r>
        <w:rPr>
          <w:rStyle w:val="1127"/>
          <w:rFonts w:ascii="Times New Roman" w:hAnsi="Times New Roman"/>
          <w:color w:val="000000"/>
          <w:sz w:val="28"/>
          <w:szCs w:val="28"/>
          <w:highlight w:val="none"/>
        </w:rPr>
        <w:instrText xml:space="preserve"> HYPERLINK \l "_Toc99301419" </w:instrText>
      </w:r>
      <w:r>
        <w:rPr>
          <w:rStyle w:val="1127"/>
          <w:rFonts w:ascii="Times New Roman" w:hAnsi="Times New Roman"/>
          <w:color w:val="000000"/>
          <w:sz w:val="28"/>
          <w:szCs w:val="28"/>
          <w:highlight w:val="none"/>
        </w:rPr>
        <w:fldChar w:fldCharType="separate"/>
      </w:r>
      <w:r>
        <w:rPr>
          <w:rStyle w:val="1127"/>
          <w:rFonts w:ascii="Times New Roman" w:hAnsi="Times New Roman"/>
          <w:color w:val="000000"/>
          <w:sz w:val="28"/>
          <w:szCs w:val="28"/>
          <w:highlight w:val="none"/>
        </w:rPr>
        <w:t xml:space="preserve">第一章   投标邀请</w:t>
      </w:r>
      <w:r>
        <w:rPr>
          <w:rStyle w:val="1127"/>
          <w:rFonts w:ascii="Times New Roman" w:hAnsi="Times New Roman"/>
          <w:color w:val="000000"/>
          <w:sz w:val="28"/>
          <w:szCs w:val="28"/>
          <w:highlight w:val="none"/>
        </w:rPr>
        <w:tab/>
      </w:r>
      <w:r>
        <w:rPr>
          <w:rStyle w:val="1127"/>
          <w:rFonts w:hint="eastAsia" w:ascii="Times New Roman" w:hAnsi="Times New Roman"/>
          <w:color w:val="000000"/>
          <w:sz w:val="28"/>
          <w:szCs w:val="28"/>
          <w:highlight w:val="none"/>
        </w:rPr>
        <w:t xml:space="preserve">2</w:t>
      </w:r>
      <w:r>
        <w:rPr>
          <w:rStyle w:val="1127"/>
          <w:rFonts w:ascii="Times New Roman" w:hAnsi="Times New Roman"/>
          <w:color w:val="000000"/>
          <w:sz w:val="28"/>
          <w:szCs w:val="28"/>
          <w:highlight w:val="none"/>
        </w:rPr>
        <w:fldChar w:fldCharType="end"/>
      </w:r>
      <w:r>
        <w:rPr>
          <w:rStyle w:val="1127"/>
          <w:rFonts w:ascii="Times New Roman" w:hAnsi="Times New Roman"/>
          <w:color w:val="000000"/>
          <w:sz w:val="28"/>
          <w:szCs w:val="28"/>
          <w:highlight w:val="none"/>
        </w:rPr>
      </w:r>
      <w:r/>
    </w:p>
    <w:p>
      <w:pPr>
        <w:pStyle w:val="1103"/>
        <w:spacing w:line="480" w:lineRule="auto"/>
        <w:tabs>
          <w:tab w:val="left" w:pos="1050" w:leader="none"/>
          <w:tab w:val="right" w:pos="8937" w:leader="dot"/>
        </w:tabs>
        <w:rPr>
          <w:rStyle w:val="1127"/>
          <w:rFonts w:ascii="Times New Roman" w:hAnsi="Times New Roman"/>
          <w:color w:val="000000"/>
          <w:sz w:val="28"/>
          <w:szCs w:val="28"/>
          <w:highlight w:val="none"/>
        </w:rPr>
      </w:pPr>
      <w:r>
        <w:rPr>
          <w:rStyle w:val="1127"/>
          <w:rFonts w:ascii="Times New Roman" w:hAnsi="Times New Roman"/>
          <w:color w:val="000000"/>
          <w:sz w:val="28"/>
          <w:szCs w:val="28"/>
          <w:highlight w:val="none"/>
        </w:rPr>
        <w:fldChar w:fldCharType="begin"/>
      </w:r>
      <w:r>
        <w:rPr>
          <w:rStyle w:val="1127"/>
          <w:rFonts w:ascii="Times New Roman" w:hAnsi="Times New Roman"/>
          <w:color w:val="000000"/>
          <w:sz w:val="28"/>
          <w:szCs w:val="28"/>
          <w:highlight w:val="none"/>
        </w:rPr>
        <w:instrText xml:space="preserve"> HYPERLINK \l "_Toc99301420" </w:instrText>
      </w:r>
      <w:r>
        <w:rPr>
          <w:rStyle w:val="1127"/>
          <w:rFonts w:ascii="Times New Roman" w:hAnsi="Times New Roman"/>
          <w:color w:val="000000"/>
          <w:sz w:val="28"/>
          <w:szCs w:val="28"/>
          <w:highlight w:val="none"/>
        </w:rPr>
        <w:fldChar w:fldCharType="separate"/>
      </w:r>
      <w:r>
        <w:rPr>
          <w:rStyle w:val="1127"/>
          <w:rFonts w:ascii="Times New Roman" w:hAnsi="Times New Roman"/>
          <w:color w:val="000000"/>
          <w:sz w:val="28"/>
          <w:szCs w:val="28"/>
          <w:highlight w:val="none"/>
        </w:rPr>
        <w:t xml:space="preserve">第二章   投标人须知</w:t>
      </w:r>
      <w:r>
        <w:rPr>
          <w:rStyle w:val="1127"/>
          <w:rFonts w:ascii="Times New Roman" w:hAnsi="Times New Roman"/>
          <w:color w:val="000000"/>
          <w:sz w:val="28"/>
          <w:szCs w:val="28"/>
          <w:highlight w:val="none"/>
        </w:rPr>
        <w:tab/>
      </w:r>
      <w:r>
        <w:rPr>
          <w:rStyle w:val="1127"/>
          <w:rFonts w:hint="eastAsia" w:ascii="Times New Roman" w:hAnsi="Times New Roman"/>
          <w:color w:val="000000"/>
          <w:sz w:val="28"/>
          <w:szCs w:val="28"/>
          <w:highlight w:val="none"/>
        </w:rPr>
        <w:t xml:space="preserve">6</w:t>
      </w:r>
      <w:r>
        <w:rPr>
          <w:rStyle w:val="1127"/>
          <w:rFonts w:ascii="Times New Roman" w:hAnsi="Times New Roman"/>
          <w:color w:val="000000"/>
          <w:sz w:val="28"/>
          <w:szCs w:val="28"/>
          <w:highlight w:val="none"/>
        </w:rPr>
        <w:fldChar w:fldCharType="end"/>
      </w:r>
      <w:r>
        <w:rPr>
          <w:rStyle w:val="1127"/>
          <w:rFonts w:ascii="Times New Roman" w:hAnsi="Times New Roman"/>
          <w:color w:val="000000"/>
          <w:sz w:val="28"/>
          <w:szCs w:val="28"/>
          <w:highlight w:val="none"/>
        </w:rPr>
      </w:r>
      <w:r/>
    </w:p>
    <w:p>
      <w:pPr>
        <w:pStyle w:val="1103"/>
        <w:spacing w:line="480" w:lineRule="auto"/>
        <w:tabs>
          <w:tab w:val="left" w:pos="1050" w:leader="none"/>
          <w:tab w:val="right" w:pos="8937" w:leader="dot"/>
        </w:tabs>
        <w:rPr>
          <w:rStyle w:val="1127"/>
          <w:rFonts w:hint="eastAsia" w:ascii="Times New Roman" w:hAnsi="Times New Roman" w:eastAsia="宋体"/>
          <w:color w:val="000000"/>
          <w:sz w:val="28"/>
          <w:szCs w:val="28"/>
          <w:highlight w:val="none"/>
          <w:lang w:eastAsia="zh-CN"/>
        </w:rPr>
      </w:pPr>
      <w:r>
        <w:rPr>
          <w:rStyle w:val="1127"/>
          <w:rFonts w:ascii="Times New Roman" w:hAnsi="Times New Roman"/>
          <w:color w:val="000000"/>
          <w:sz w:val="28"/>
          <w:szCs w:val="28"/>
          <w:highlight w:val="none"/>
        </w:rPr>
        <w:fldChar w:fldCharType="begin"/>
      </w:r>
      <w:r>
        <w:rPr>
          <w:rStyle w:val="1127"/>
          <w:rFonts w:ascii="Times New Roman" w:hAnsi="Times New Roman"/>
          <w:color w:val="000000"/>
          <w:sz w:val="28"/>
          <w:szCs w:val="28"/>
          <w:highlight w:val="none"/>
        </w:rPr>
        <w:instrText xml:space="preserve"> HYPERLINK \l "_Toc99301421" </w:instrText>
      </w:r>
      <w:r>
        <w:rPr>
          <w:rStyle w:val="1127"/>
          <w:rFonts w:ascii="Times New Roman" w:hAnsi="Times New Roman"/>
          <w:color w:val="000000"/>
          <w:sz w:val="28"/>
          <w:szCs w:val="28"/>
          <w:highlight w:val="none"/>
        </w:rPr>
        <w:fldChar w:fldCharType="separate"/>
      </w:r>
      <w:r>
        <w:rPr>
          <w:rStyle w:val="1127"/>
          <w:rFonts w:ascii="Times New Roman" w:hAnsi="Times New Roman"/>
          <w:color w:val="000000"/>
          <w:sz w:val="28"/>
          <w:szCs w:val="28"/>
          <w:highlight w:val="none"/>
        </w:rPr>
        <w:t xml:space="preserve">第三章   资</w:t>
      </w:r>
      <w:bookmarkStart w:id="1" w:name="_Hlt100754117"/>
      <w:r>
        <w:rPr>
          <w:rStyle w:val="1127"/>
          <w:rFonts w:ascii="Times New Roman" w:hAnsi="Times New Roman"/>
          <w:color w:val="000000"/>
          <w:sz w:val="28"/>
          <w:szCs w:val="28"/>
          <w:highlight w:val="none"/>
        </w:rPr>
        <w:t xml:space="preserve">格</w:t>
      </w:r>
      <w:bookmarkEnd w:id="1"/>
      <w:r>
        <w:rPr>
          <w:rStyle w:val="1127"/>
          <w:rFonts w:ascii="Times New Roman" w:hAnsi="Times New Roman"/>
          <w:color w:val="000000"/>
          <w:sz w:val="28"/>
          <w:szCs w:val="28"/>
          <w:highlight w:val="none"/>
        </w:rPr>
        <w:t xml:space="preserve">审查</w:t>
      </w:r>
      <w:r>
        <w:rPr>
          <w:rStyle w:val="1127"/>
          <w:rFonts w:ascii="Times New Roman" w:hAnsi="Times New Roman"/>
          <w:color w:val="000000"/>
          <w:sz w:val="28"/>
          <w:szCs w:val="28"/>
          <w:highlight w:val="none"/>
        </w:rPr>
        <w:tab/>
      </w:r>
      <w:r>
        <w:rPr>
          <w:rStyle w:val="1127"/>
          <w:rFonts w:hint="eastAsia" w:ascii="Times New Roman" w:hAnsi="Times New Roman"/>
          <w:color w:val="000000"/>
          <w:sz w:val="28"/>
          <w:szCs w:val="28"/>
          <w:highlight w:val="none"/>
        </w:rPr>
        <w:t xml:space="preserve">1</w:t>
      </w:r>
      <w:r>
        <w:rPr>
          <w:rStyle w:val="1127"/>
          <w:rFonts w:ascii="Times New Roman" w:hAnsi="Times New Roman"/>
          <w:color w:val="000000"/>
          <w:sz w:val="28"/>
          <w:szCs w:val="28"/>
          <w:highlight w:val="none"/>
        </w:rPr>
        <w:fldChar w:fldCharType="end"/>
      </w:r>
      <w:r>
        <w:rPr>
          <w:rStyle w:val="1127"/>
          <w:rFonts w:hint="eastAsia" w:ascii="Times New Roman" w:hAnsi="Times New Roman"/>
          <w:color w:val="000000"/>
          <w:sz w:val="28"/>
          <w:szCs w:val="28"/>
          <w:highlight w:val="none"/>
          <w:lang w:val="en-US" w:eastAsia="zh-CN"/>
        </w:rPr>
        <w:t xml:space="preserve">8</w:t>
      </w:r>
      <w:r>
        <w:rPr>
          <w:rStyle w:val="1127"/>
          <w:rFonts w:hint="eastAsia" w:ascii="Times New Roman" w:hAnsi="Times New Roman" w:eastAsia="宋体"/>
          <w:color w:val="000000"/>
          <w:sz w:val="28"/>
          <w:szCs w:val="28"/>
          <w:highlight w:val="none"/>
          <w:lang w:eastAsia="zh-CN"/>
        </w:rPr>
      </w:r>
      <w:r/>
    </w:p>
    <w:p>
      <w:pPr>
        <w:pStyle w:val="1103"/>
        <w:spacing w:line="480" w:lineRule="auto"/>
        <w:tabs>
          <w:tab w:val="left" w:pos="1050" w:leader="none"/>
          <w:tab w:val="right" w:pos="8937" w:leader="dot"/>
        </w:tabs>
        <w:rPr>
          <w:rStyle w:val="1127"/>
          <w:rFonts w:hint="eastAsia" w:ascii="Times New Roman" w:hAnsi="Times New Roman" w:eastAsia="宋体"/>
          <w:color w:val="000000"/>
          <w:sz w:val="28"/>
          <w:szCs w:val="28"/>
          <w:highlight w:val="none"/>
          <w:lang w:eastAsia="zh-CN"/>
        </w:rPr>
      </w:pPr>
      <w:r>
        <w:rPr>
          <w:rStyle w:val="1127"/>
          <w:rFonts w:ascii="Times New Roman" w:hAnsi="Times New Roman"/>
          <w:color w:val="000000"/>
          <w:sz w:val="28"/>
          <w:szCs w:val="28"/>
          <w:highlight w:val="none"/>
        </w:rPr>
        <w:fldChar w:fldCharType="begin"/>
      </w:r>
      <w:r>
        <w:rPr>
          <w:rStyle w:val="1127"/>
          <w:rFonts w:ascii="Times New Roman" w:hAnsi="Times New Roman"/>
          <w:color w:val="000000"/>
          <w:sz w:val="28"/>
          <w:szCs w:val="28"/>
          <w:highlight w:val="none"/>
        </w:rPr>
        <w:instrText xml:space="preserve"> HYPERLINK \l "_Toc99301423" </w:instrText>
      </w:r>
      <w:r>
        <w:rPr>
          <w:rStyle w:val="1127"/>
          <w:rFonts w:ascii="Times New Roman" w:hAnsi="Times New Roman"/>
          <w:color w:val="000000"/>
          <w:sz w:val="28"/>
          <w:szCs w:val="28"/>
          <w:highlight w:val="none"/>
        </w:rPr>
        <w:fldChar w:fldCharType="separate"/>
      </w:r>
      <w:r>
        <w:rPr>
          <w:rStyle w:val="1127"/>
          <w:rFonts w:ascii="Times New Roman" w:hAnsi="Times New Roman"/>
          <w:color w:val="000000"/>
          <w:sz w:val="28"/>
          <w:szCs w:val="28"/>
          <w:highlight w:val="none"/>
        </w:rPr>
        <w:t xml:space="preserve">第四章   评标程序、评标方法和评标标准</w:t>
      </w:r>
      <w:r>
        <w:rPr>
          <w:rStyle w:val="1127"/>
          <w:rFonts w:ascii="Times New Roman" w:hAnsi="Times New Roman"/>
          <w:color w:val="000000"/>
          <w:sz w:val="28"/>
          <w:szCs w:val="28"/>
          <w:highlight w:val="none"/>
        </w:rPr>
        <w:tab/>
      </w:r>
      <w:r>
        <w:rPr>
          <w:rStyle w:val="1127"/>
          <w:rFonts w:hint="eastAsia" w:ascii="Times New Roman" w:hAnsi="Times New Roman"/>
          <w:color w:val="000000"/>
          <w:sz w:val="28"/>
          <w:szCs w:val="28"/>
          <w:highlight w:val="none"/>
          <w:lang w:val="en-US" w:eastAsia="zh-CN"/>
        </w:rPr>
        <w:t xml:space="preserve">1</w:t>
      </w:r>
      <w:r>
        <w:rPr>
          <w:rStyle w:val="1127"/>
          <w:rFonts w:ascii="Times New Roman" w:hAnsi="Times New Roman"/>
          <w:color w:val="000000"/>
          <w:sz w:val="28"/>
          <w:szCs w:val="28"/>
          <w:highlight w:val="none"/>
        </w:rPr>
        <w:fldChar w:fldCharType="end"/>
      </w:r>
      <w:r>
        <w:rPr>
          <w:rStyle w:val="1127"/>
          <w:rFonts w:hint="eastAsia" w:ascii="Times New Roman" w:hAnsi="Times New Roman"/>
          <w:color w:val="000000"/>
          <w:sz w:val="28"/>
          <w:szCs w:val="28"/>
          <w:highlight w:val="none"/>
          <w:lang w:val="en-US" w:eastAsia="zh-CN"/>
        </w:rPr>
        <w:t xml:space="preserve">9</w:t>
      </w:r>
      <w:r>
        <w:rPr>
          <w:rStyle w:val="1127"/>
          <w:rFonts w:hint="eastAsia" w:ascii="Times New Roman" w:hAnsi="Times New Roman" w:eastAsia="宋体"/>
          <w:color w:val="000000"/>
          <w:sz w:val="28"/>
          <w:szCs w:val="28"/>
          <w:highlight w:val="none"/>
          <w:lang w:eastAsia="zh-CN"/>
        </w:rPr>
      </w:r>
      <w:r/>
    </w:p>
    <w:p>
      <w:pPr>
        <w:pStyle w:val="1103"/>
        <w:spacing w:line="480" w:lineRule="auto"/>
        <w:tabs>
          <w:tab w:val="left" w:pos="1050" w:leader="none"/>
          <w:tab w:val="right" w:pos="8937" w:leader="dot"/>
        </w:tabs>
        <w:rPr>
          <w:rStyle w:val="1127"/>
          <w:rFonts w:hint="eastAsia" w:ascii="Times New Roman" w:hAnsi="Times New Roman" w:eastAsia="宋体"/>
          <w:color w:val="000000"/>
          <w:sz w:val="28"/>
          <w:szCs w:val="28"/>
          <w:highlight w:val="none"/>
          <w:lang w:eastAsia="zh-CN"/>
        </w:rPr>
      </w:pPr>
      <w:r>
        <w:rPr>
          <w:rStyle w:val="1127"/>
          <w:rFonts w:ascii="Times New Roman" w:hAnsi="Times New Roman"/>
          <w:color w:val="000000"/>
          <w:sz w:val="28"/>
          <w:szCs w:val="28"/>
          <w:highlight w:val="none"/>
        </w:rPr>
        <w:fldChar w:fldCharType="begin"/>
      </w:r>
      <w:r>
        <w:rPr>
          <w:rStyle w:val="1127"/>
          <w:rFonts w:ascii="Times New Roman" w:hAnsi="Times New Roman"/>
          <w:color w:val="000000"/>
          <w:sz w:val="28"/>
          <w:szCs w:val="28"/>
          <w:highlight w:val="none"/>
        </w:rPr>
        <w:instrText xml:space="preserve"> HYPERLINK \l "_Toc99301424" </w:instrText>
      </w:r>
      <w:r>
        <w:rPr>
          <w:rStyle w:val="1127"/>
          <w:rFonts w:ascii="Times New Roman" w:hAnsi="Times New Roman"/>
          <w:color w:val="000000"/>
          <w:sz w:val="28"/>
          <w:szCs w:val="28"/>
          <w:highlight w:val="none"/>
        </w:rPr>
        <w:fldChar w:fldCharType="separate"/>
      </w:r>
      <w:r>
        <w:rPr>
          <w:rStyle w:val="1127"/>
          <w:rFonts w:ascii="Times New Roman" w:hAnsi="Times New Roman"/>
          <w:color w:val="000000"/>
          <w:sz w:val="28"/>
          <w:szCs w:val="28"/>
          <w:highlight w:val="none"/>
        </w:rPr>
        <w:t xml:space="preserve">第五章   采购</w:t>
      </w:r>
      <w:bookmarkStart w:id="2" w:name="_Hlt100754103"/>
      <w:r/>
      <w:bookmarkStart w:id="3" w:name="_Hlt100754102"/>
      <w:r>
        <w:rPr>
          <w:rStyle w:val="1127"/>
          <w:rFonts w:ascii="Times New Roman" w:hAnsi="Times New Roman"/>
          <w:color w:val="000000"/>
          <w:sz w:val="28"/>
          <w:szCs w:val="28"/>
          <w:highlight w:val="none"/>
        </w:rPr>
        <w:t xml:space="preserve">需</w:t>
      </w:r>
      <w:bookmarkEnd w:id="2"/>
      <w:r/>
      <w:bookmarkEnd w:id="3"/>
      <w:r>
        <w:rPr>
          <w:rStyle w:val="1127"/>
          <w:rFonts w:ascii="Times New Roman" w:hAnsi="Times New Roman"/>
          <w:color w:val="000000"/>
          <w:sz w:val="28"/>
          <w:szCs w:val="28"/>
          <w:highlight w:val="none"/>
        </w:rPr>
        <w:t xml:space="preserve">求</w:t>
      </w:r>
      <w:r>
        <w:rPr>
          <w:rStyle w:val="1127"/>
          <w:rFonts w:ascii="Times New Roman" w:hAnsi="Times New Roman"/>
          <w:color w:val="000000"/>
          <w:sz w:val="28"/>
          <w:szCs w:val="28"/>
          <w:highlight w:val="none"/>
        </w:rPr>
        <w:tab/>
      </w:r>
      <w:r>
        <w:rPr>
          <w:rStyle w:val="1127"/>
          <w:rFonts w:hint="eastAsia" w:ascii="Times New Roman" w:hAnsi="Times New Roman"/>
          <w:color w:val="000000"/>
          <w:sz w:val="28"/>
          <w:szCs w:val="28"/>
          <w:highlight w:val="none"/>
        </w:rPr>
        <w:t xml:space="preserve">2</w:t>
      </w:r>
      <w:r>
        <w:rPr>
          <w:rStyle w:val="1127"/>
          <w:rFonts w:ascii="Times New Roman" w:hAnsi="Times New Roman"/>
          <w:color w:val="000000"/>
          <w:sz w:val="28"/>
          <w:szCs w:val="28"/>
          <w:highlight w:val="none"/>
        </w:rPr>
        <w:fldChar w:fldCharType="end"/>
      </w:r>
      <w:r>
        <w:rPr>
          <w:rStyle w:val="1127"/>
          <w:rFonts w:hint="eastAsia" w:ascii="Times New Roman" w:hAnsi="Times New Roman"/>
          <w:color w:val="000000"/>
          <w:sz w:val="28"/>
          <w:szCs w:val="28"/>
          <w:highlight w:val="none"/>
          <w:lang w:val="en-US" w:eastAsia="zh-CN"/>
        </w:rPr>
        <w:t xml:space="preserve">7</w:t>
      </w:r>
      <w:r>
        <w:rPr>
          <w:rStyle w:val="1127"/>
          <w:rFonts w:hint="eastAsia" w:ascii="Times New Roman" w:hAnsi="Times New Roman" w:eastAsia="宋体"/>
          <w:color w:val="000000"/>
          <w:sz w:val="28"/>
          <w:szCs w:val="28"/>
          <w:highlight w:val="none"/>
          <w:lang w:eastAsia="zh-CN"/>
        </w:rPr>
      </w:r>
      <w:r/>
    </w:p>
    <w:p>
      <w:pPr>
        <w:pStyle w:val="1103"/>
        <w:spacing w:line="480" w:lineRule="auto"/>
        <w:tabs>
          <w:tab w:val="left" w:pos="1050" w:leader="none"/>
          <w:tab w:val="right" w:pos="8937" w:leader="dot"/>
        </w:tabs>
        <w:rPr>
          <w:rStyle w:val="1127"/>
          <w:rFonts w:hint="eastAsia" w:ascii="Times New Roman" w:hAnsi="Times New Roman" w:eastAsia="宋体"/>
          <w:color w:val="000000"/>
          <w:sz w:val="28"/>
          <w:szCs w:val="28"/>
          <w:highlight w:val="none"/>
          <w:lang w:eastAsia="zh-CN"/>
        </w:rPr>
      </w:pPr>
      <w:r>
        <w:rPr>
          <w:rStyle w:val="1127"/>
          <w:rFonts w:ascii="Times New Roman" w:hAnsi="Times New Roman"/>
          <w:color w:val="000000"/>
          <w:sz w:val="28"/>
          <w:szCs w:val="28"/>
          <w:highlight w:val="none"/>
        </w:rPr>
        <w:fldChar w:fldCharType="begin"/>
      </w:r>
      <w:r>
        <w:rPr>
          <w:rStyle w:val="1127"/>
          <w:rFonts w:ascii="Times New Roman" w:hAnsi="Times New Roman"/>
          <w:color w:val="000000"/>
          <w:sz w:val="28"/>
          <w:szCs w:val="28"/>
          <w:highlight w:val="none"/>
        </w:rPr>
        <w:instrText xml:space="preserve"> HYPERLINK \l "_Toc99301425" </w:instrText>
      </w:r>
      <w:r>
        <w:rPr>
          <w:rStyle w:val="1127"/>
          <w:rFonts w:ascii="Times New Roman" w:hAnsi="Times New Roman"/>
          <w:color w:val="000000"/>
          <w:sz w:val="28"/>
          <w:szCs w:val="28"/>
          <w:highlight w:val="none"/>
        </w:rPr>
        <w:fldChar w:fldCharType="separate"/>
      </w:r>
      <w:r>
        <w:rPr>
          <w:rStyle w:val="1127"/>
          <w:rFonts w:ascii="Times New Roman" w:hAnsi="Times New Roman"/>
          <w:color w:val="000000"/>
          <w:sz w:val="28"/>
          <w:szCs w:val="28"/>
          <w:highlight w:val="none"/>
        </w:rPr>
        <w:t xml:space="preserve">第六章   拟签订的合同文本</w:t>
      </w:r>
      <w:r>
        <w:rPr>
          <w:rStyle w:val="1127"/>
          <w:rFonts w:ascii="Times New Roman" w:hAnsi="Times New Roman"/>
          <w:color w:val="000000"/>
          <w:sz w:val="28"/>
          <w:szCs w:val="28"/>
          <w:highlight w:val="none"/>
        </w:rPr>
        <w:tab/>
      </w:r>
      <w:r>
        <w:rPr>
          <w:rStyle w:val="1127"/>
          <w:rFonts w:hint="eastAsia" w:ascii="Times New Roman" w:hAnsi="Times New Roman"/>
          <w:color w:val="000000"/>
          <w:sz w:val="28"/>
          <w:szCs w:val="28"/>
          <w:highlight w:val="none"/>
          <w:lang w:val="en-US" w:eastAsia="zh-CN"/>
        </w:rPr>
        <w:t xml:space="preserve">9</w:t>
      </w:r>
      <w:r>
        <w:rPr>
          <w:rStyle w:val="1127"/>
          <w:rFonts w:ascii="Times New Roman" w:hAnsi="Times New Roman"/>
          <w:color w:val="000000"/>
          <w:sz w:val="28"/>
          <w:szCs w:val="28"/>
          <w:highlight w:val="none"/>
        </w:rPr>
        <w:fldChar w:fldCharType="end"/>
      </w:r>
      <w:r>
        <w:rPr>
          <w:rStyle w:val="1127"/>
          <w:rFonts w:hint="eastAsia" w:ascii="Times New Roman" w:hAnsi="Times New Roman"/>
          <w:color w:val="000000"/>
          <w:sz w:val="28"/>
          <w:szCs w:val="28"/>
          <w:highlight w:val="none"/>
          <w:lang w:val="en-US" w:eastAsia="zh-CN"/>
        </w:rPr>
        <w:t xml:space="preserve">3</w:t>
      </w:r>
      <w:r>
        <w:rPr>
          <w:rStyle w:val="1127"/>
          <w:rFonts w:hint="eastAsia" w:ascii="Times New Roman" w:hAnsi="Times New Roman" w:eastAsia="宋体"/>
          <w:color w:val="000000"/>
          <w:sz w:val="28"/>
          <w:szCs w:val="28"/>
          <w:highlight w:val="none"/>
          <w:lang w:eastAsia="zh-CN"/>
        </w:rPr>
      </w:r>
      <w:r/>
    </w:p>
    <w:p>
      <w:pPr>
        <w:pStyle w:val="1103"/>
        <w:spacing w:line="480" w:lineRule="auto"/>
        <w:tabs>
          <w:tab w:val="left" w:pos="1050" w:leader="none"/>
          <w:tab w:val="right" w:pos="8937" w:leader="dot"/>
        </w:tabs>
        <w:rPr>
          <w:rFonts w:ascii="Times New Roman" w:hAnsi="Times New Roman" w:eastAsia="宋体"/>
          <w:b w:val="0"/>
          <w:color w:val="000000"/>
          <w:sz w:val="21"/>
          <w:szCs w:val="22"/>
          <w:highlight w:val="none"/>
          <w:lang w:val="en-US" w:eastAsia="zh-CN"/>
        </w:rPr>
      </w:pPr>
      <w:r>
        <w:rPr>
          <w:rStyle w:val="1127"/>
          <w:rFonts w:ascii="Times New Roman" w:hAnsi="Times New Roman"/>
          <w:color w:val="000000"/>
          <w:sz w:val="28"/>
          <w:szCs w:val="28"/>
          <w:highlight w:val="none"/>
        </w:rPr>
        <w:fldChar w:fldCharType="begin"/>
      </w:r>
      <w:r>
        <w:rPr>
          <w:rStyle w:val="1127"/>
          <w:rFonts w:ascii="Times New Roman" w:hAnsi="Times New Roman"/>
          <w:color w:val="000000"/>
          <w:sz w:val="28"/>
          <w:szCs w:val="28"/>
          <w:highlight w:val="none"/>
        </w:rPr>
        <w:instrText xml:space="preserve"> HYPERLINK \l "_Toc99301426" </w:instrText>
      </w:r>
      <w:r>
        <w:rPr>
          <w:rStyle w:val="1127"/>
          <w:rFonts w:ascii="Times New Roman" w:hAnsi="Times New Roman"/>
          <w:color w:val="000000"/>
          <w:sz w:val="28"/>
          <w:szCs w:val="28"/>
          <w:highlight w:val="none"/>
        </w:rPr>
        <w:fldChar w:fldCharType="separate"/>
      </w:r>
      <w:r>
        <w:rPr>
          <w:rStyle w:val="1127"/>
          <w:rFonts w:ascii="Times New Roman" w:hAnsi="Times New Roman"/>
          <w:color w:val="000000"/>
          <w:sz w:val="28"/>
          <w:szCs w:val="28"/>
          <w:highlight w:val="none"/>
        </w:rPr>
        <w:t xml:space="preserve">第七章   投标文件格式</w:t>
      </w:r>
      <w:r>
        <w:rPr>
          <w:rStyle w:val="1127"/>
          <w:rFonts w:ascii="Times New Roman" w:hAnsi="Times New Roman"/>
          <w:color w:val="000000"/>
          <w:sz w:val="28"/>
          <w:szCs w:val="28"/>
          <w:highlight w:val="none"/>
        </w:rPr>
        <w:tab/>
      </w:r>
      <w:r>
        <w:rPr>
          <w:rStyle w:val="1127"/>
          <w:rFonts w:ascii="Times New Roman" w:hAnsi="Times New Roman"/>
          <w:color w:val="000000"/>
          <w:sz w:val="28"/>
          <w:szCs w:val="28"/>
          <w:highlight w:val="none"/>
        </w:rPr>
        <w:fldChar w:fldCharType="end"/>
      </w:r>
      <w:r>
        <w:rPr>
          <w:rStyle w:val="1127"/>
          <w:rFonts w:hint="eastAsia" w:ascii="Times New Roman" w:hAnsi="Times New Roman"/>
          <w:color w:val="000000"/>
          <w:sz w:val="28"/>
          <w:szCs w:val="28"/>
          <w:highlight w:val="none"/>
          <w:lang w:val="en-US" w:eastAsia="zh-CN"/>
        </w:rPr>
        <w:t xml:space="preserve">111</w:t>
      </w:r>
      <w:r>
        <w:rPr>
          <w:rFonts w:ascii="Times New Roman" w:hAnsi="Times New Roman" w:eastAsia="宋体"/>
          <w:b w:val="0"/>
          <w:color w:val="000000"/>
          <w:sz w:val="21"/>
          <w:szCs w:val="22"/>
          <w:highlight w:val="none"/>
          <w:lang w:val="en-US" w:eastAsia="zh-CN"/>
        </w:rPr>
      </w:r>
      <w:r/>
    </w:p>
    <w:p>
      <w:pPr>
        <w:pStyle w:val="1103"/>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1048"/>
        <w:jc w:val="center"/>
        <w:spacing w:line="360" w:lineRule="auto"/>
        <w:rPr>
          <w:color w:val="000000"/>
          <w:sz w:val="32"/>
          <w:szCs w:val="32"/>
          <w:highlight w:val="none"/>
        </w:rPr>
        <w:outlineLvl w:val="0"/>
      </w:pPr>
      <w:r>
        <w:rPr>
          <w:color w:val="000000"/>
          <w:sz w:val="24"/>
          <w:highlight w:val="none"/>
        </w:rPr>
        <w:br w:type="page" w:clear="all"/>
      </w:r>
      <w:bookmarkStart w:id="4" w:name="_Toc99301419"/>
      <w:r>
        <w:rPr>
          <w:b/>
          <w:color w:val="000000"/>
          <w:sz w:val="32"/>
          <w:szCs w:val="32"/>
          <w:highlight w:val="none"/>
        </w:rPr>
        <w:t xml:space="preserve">第一章   投标邀请</w:t>
      </w:r>
      <w:bookmarkEnd w:id="4"/>
      <w:r>
        <w:rPr>
          <w:color w:val="000000"/>
          <w:sz w:val="32"/>
          <w:szCs w:val="32"/>
          <w:highlight w:val="none"/>
        </w:rPr>
      </w:r>
      <w:r/>
    </w:p>
    <w:p>
      <w:pPr>
        <w:pStyle w:val="1050"/>
        <w:jc w:val="left"/>
        <w:spacing w:before="0" w:line="360" w:lineRule="auto"/>
        <w:rPr>
          <w:rFonts w:hint="eastAsia" w:ascii="宋体" w:hAnsi="宋体" w:eastAsia="宋体" w:cs="宋体"/>
          <w:color w:val="000000"/>
          <w:sz w:val="21"/>
          <w:szCs w:val="21"/>
          <w:highlight w:val="none"/>
        </w:rPr>
      </w:pPr>
      <w:r/>
      <w:bookmarkStart w:id="5" w:name="_Toc28359079"/>
      <w:r/>
      <w:bookmarkStart w:id="6" w:name="_Toc35393790"/>
      <w:r/>
      <w:bookmarkStart w:id="7" w:name="_Toc35393621"/>
      <w:r/>
      <w:bookmarkStart w:id="8" w:name="_Toc28359002"/>
      <w:r/>
      <w:bookmarkStart w:id="9" w:name="_Hlk24379207"/>
      <w:r>
        <w:rPr>
          <w:rFonts w:hint="eastAsia" w:ascii="宋体" w:hAnsi="宋体" w:eastAsia="宋体" w:cs="宋体"/>
          <w:color w:val="000000"/>
          <w:sz w:val="21"/>
          <w:szCs w:val="21"/>
          <w:highlight w:val="none"/>
        </w:rPr>
        <w:t xml:space="preserve">一、项目基本情况</w:t>
      </w:r>
      <w:bookmarkEnd w:id="5"/>
      <w:r/>
      <w:bookmarkEnd w:id="6"/>
      <w:r/>
      <w:bookmarkEnd w:id="7"/>
      <w:r/>
      <w:bookmarkEnd w:id="8"/>
      <w:r>
        <w:rPr>
          <w:rFonts w:hint="eastAsia" w:ascii="宋体" w:hAnsi="宋体" w:eastAsia="宋体" w:cs="宋体"/>
          <w:color w:val="000000"/>
          <w:sz w:val="21"/>
          <w:szCs w:val="21"/>
          <w:highlight w:val="none"/>
        </w:rPr>
      </w:r>
      <w:r/>
    </w:p>
    <w:p>
      <w:pPr>
        <w:pStyle w:val="1048"/>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1.项目编号：</w:t>
      </w:r>
      <w:r>
        <w:rPr>
          <w:rFonts w:hint="eastAsia" w:ascii="宋体" w:hAnsi="宋体" w:cs="宋体"/>
          <w:b/>
          <w:bCs/>
          <w:color w:val="000000"/>
          <w:szCs w:val="21"/>
          <w:highlight w:val="none"/>
          <w:u w:val="single"/>
          <w:lang w:eastAsia="zh-CN"/>
        </w:rPr>
        <w:t xml:space="preserve">JSZC-320412056-CZYJ-G2026-0014</w:t>
      </w:r>
      <w:r>
        <w:rPr>
          <w:rFonts w:hint="eastAsia" w:ascii="宋体" w:hAnsi="宋体" w:eastAsia="宋体" w:cs="宋体"/>
          <w:color w:val="000000"/>
          <w:szCs w:val="21"/>
          <w:highlight w:val="none"/>
          <w:lang w:eastAsia="zh-CN"/>
        </w:rPr>
      </w:r>
      <w:r/>
    </w:p>
    <w:p>
      <w:pPr>
        <w:pStyle w:val="1048"/>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2.项目名称：</w:t>
      </w:r>
      <w:r>
        <w:rPr>
          <w:rFonts w:hint="eastAsia" w:ascii="宋体" w:hAnsi="宋体" w:cs="宋体"/>
          <w:b/>
          <w:bCs/>
          <w:color w:val="000000"/>
          <w:szCs w:val="21"/>
          <w:highlight w:val="none"/>
          <w:u w:val="single"/>
          <w:lang w:eastAsia="zh-CN"/>
        </w:rPr>
        <w:t xml:space="preserve">经开区电子警察更新项目</w:t>
      </w:r>
      <w:r>
        <w:rPr>
          <w:rFonts w:hint="eastAsia" w:ascii="宋体" w:hAnsi="宋体" w:eastAsia="宋体" w:cs="宋体"/>
          <w:color w:val="000000"/>
          <w:szCs w:val="21"/>
          <w:highlight w:val="none"/>
          <w:lang w:eastAsia="zh-CN"/>
        </w:rPr>
      </w:r>
      <w:r/>
    </w:p>
    <w:p>
      <w:pPr>
        <w:pStyle w:val="1048"/>
        <w:ind w:firstLine="420"/>
        <w:spacing w:line="360" w:lineRule="auto"/>
        <w:rPr>
          <w:rFonts w:ascii="宋体" w:hAnsi="宋体" w:cs="宋体"/>
          <w:color w:val="000000"/>
          <w:szCs w:val="21"/>
          <w:highlight w:val="none"/>
        </w:rPr>
      </w:pPr>
      <w:r/>
      <w:bookmarkEnd w:id="9"/>
      <w:r>
        <w:rPr>
          <w:rFonts w:hint="eastAsia" w:ascii="宋体" w:hAnsi="宋体" w:cs="宋体"/>
          <w:color w:val="000000"/>
          <w:szCs w:val="21"/>
          <w:highlight w:val="none"/>
        </w:rPr>
        <w:t xml:space="preserve">3.项目预算金额：</w:t>
      </w:r>
      <w:r>
        <w:rPr>
          <w:rFonts w:hint="eastAsia" w:ascii="宋体" w:hAnsi="宋体" w:cs="宋体"/>
          <w:b/>
          <w:bCs/>
          <w:color w:val="000000"/>
          <w:szCs w:val="21"/>
          <w:highlight w:val="none"/>
          <w:u w:val="single"/>
          <w:lang w:val="en-US" w:eastAsia="zh-CN"/>
        </w:rPr>
        <w:t xml:space="preserve">1440万元</w:t>
      </w:r>
      <w:r>
        <w:rPr>
          <w:rFonts w:hint="eastAsia" w:ascii="宋体" w:hAnsi="宋体" w:eastAsia="宋体" w:cs="宋体"/>
          <w:color w:val="000000"/>
          <w:sz w:val="21"/>
          <w:szCs w:val="21"/>
          <w:highlight w:val="none"/>
        </w:rPr>
        <w:t xml:space="preserve">、项目最高限价：</w:t>
      </w:r>
      <w:r>
        <w:rPr>
          <w:rFonts w:hint="eastAsia" w:ascii="宋体" w:hAnsi="宋体" w:eastAsia="宋体" w:cs="宋体"/>
          <w:b/>
          <w:bCs/>
          <w:color w:val="000000"/>
          <w:sz w:val="21"/>
          <w:szCs w:val="21"/>
          <w:highlight w:val="none"/>
          <w:u w:val="single"/>
          <w:lang w:val="en-US" w:eastAsia="zh-CN"/>
        </w:rPr>
        <w:t xml:space="preserve">1440万元</w:t>
      </w:r>
      <w:r>
        <w:rPr>
          <w:rFonts w:hint="eastAsia" w:ascii="宋体" w:hAnsi="宋体" w:eastAsia="宋体" w:cs="宋体"/>
          <w:color w:val="000000"/>
          <w:sz w:val="21"/>
          <w:szCs w:val="21"/>
          <w:highlight w:val="none"/>
          <w:lang w:val="en-US" w:eastAsia="zh-CN"/>
        </w:rPr>
        <w:t xml:space="preserve">。</w:t>
      </w:r>
      <w:r>
        <w:rPr>
          <w:rFonts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4.采购需求：本项目为</w:t>
      </w:r>
      <w:r>
        <w:rPr>
          <w:rFonts w:hint="eastAsia" w:ascii="宋体" w:hAnsi="宋体" w:cs="宋体"/>
          <w:color w:val="000000"/>
          <w:szCs w:val="21"/>
          <w:highlight w:val="none"/>
          <w:lang w:eastAsia="zh-CN"/>
        </w:rPr>
        <w:t xml:space="preserve">经开区电子警察更新项目</w:t>
      </w:r>
      <w:r>
        <w:rPr>
          <w:rFonts w:hint="eastAsia" w:ascii="宋体" w:hAnsi="宋体" w:cs="宋体"/>
          <w:color w:val="000000"/>
          <w:szCs w:val="21"/>
          <w:highlight w:val="none"/>
        </w:rPr>
        <w:t xml:space="preserve">，详见采购需求。</w:t>
      </w:r>
      <w:r>
        <w:rPr>
          <w:rFonts w:hint="eastAsia" w:ascii="宋体" w:hAnsi="宋体" w:cs="宋体"/>
          <w:color w:val="000000"/>
          <w:szCs w:val="21"/>
          <w:highlight w:val="none"/>
        </w:rPr>
      </w:r>
      <w:r/>
    </w:p>
    <w:tbl>
      <w:tblPr>
        <w:tblW w:w="501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72"/>
        <w:gridCol w:w="1717"/>
        <w:gridCol w:w="1007"/>
        <w:gridCol w:w="4316"/>
      </w:tblGrid>
      <w:tr>
        <w:trPr>
          <w:trHeight w:val="649"/>
        </w:trPr>
        <w:tc>
          <w:tcPr>
            <w:tcW w:w="379" w:type="dxa"/>
            <w:vAlign w:val="center"/>
            <w:textDirection w:val="lrTb"/>
            <w:noWrap w:val="false"/>
          </w:tcPr>
          <w:p>
            <w:pPr>
              <w:pStyle w:val="1048"/>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843" w:type="dxa"/>
            <w:vAlign w:val="center"/>
            <w:textDirection w:val="lrTb"/>
            <w:noWrap w:val="false"/>
          </w:tcPr>
          <w:p>
            <w:pPr>
              <w:pStyle w:val="1048"/>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标的名称</w:t>
            </w:r>
            <w:r>
              <w:rPr>
                <w:rFonts w:hint="eastAsia" w:ascii="宋体" w:hAnsi="宋体" w:cs="宋体"/>
                <w:bCs/>
                <w:color w:val="000000"/>
                <w:szCs w:val="21"/>
                <w:highlight w:val="none"/>
              </w:rPr>
            </w:r>
            <w:r/>
          </w:p>
        </w:tc>
        <w:tc>
          <w:tcPr>
            <w:tcW w:w="921" w:type="dxa"/>
            <w:vAlign w:val="center"/>
            <w:textDirection w:val="lrTb"/>
            <w:noWrap w:val="false"/>
          </w:tcPr>
          <w:p>
            <w:pPr>
              <w:pStyle w:val="1048"/>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采购包预算金额</w:t>
            </w:r>
            <w:r>
              <w:rPr>
                <w:rFonts w:hint="eastAsia" w:ascii="宋体" w:hAnsi="宋体" w:cs="宋体"/>
                <w:bCs/>
                <w:color w:val="000000"/>
                <w:szCs w:val="21"/>
                <w:highlight w:val="none"/>
              </w:rPr>
            </w:r>
            <w:r/>
          </w:p>
          <w:p>
            <w:pPr>
              <w:pStyle w:val="1048"/>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（万元）</w:t>
            </w:r>
            <w:r>
              <w:rPr>
                <w:rFonts w:hint="eastAsia" w:ascii="宋体" w:hAnsi="宋体" w:cs="宋体"/>
                <w:bCs/>
                <w:color w:val="000000"/>
                <w:szCs w:val="21"/>
                <w:highlight w:val="none"/>
              </w:rPr>
            </w:r>
            <w:r/>
          </w:p>
        </w:tc>
        <w:tc>
          <w:tcPr>
            <w:tcW w:w="540" w:type="dxa"/>
            <w:vAlign w:val="center"/>
            <w:textDirection w:val="lrTb"/>
            <w:noWrap w:val="false"/>
          </w:tcPr>
          <w:p>
            <w:pPr>
              <w:pStyle w:val="1048"/>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数量</w:t>
            </w:r>
            <w:r>
              <w:rPr>
                <w:rFonts w:hint="eastAsia" w:ascii="宋体" w:hAnsi="宋体" w:cs="宋体"/>
                <w:bCs/>
                <w:color w:val="000000"/>
                <w:szCs w:val="21"/>
                <w:highlight w:val="none"/>
              </w:rPr>
            </w:r>
            <w:r/>
          </w:p>
        </w:tc>
        <w:tc>
          <w:tcPr>
            <w:tcW w:w="231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简要技术需求或服务要求</w:t>
            </w:r>
            <w:r>
              <w:rPr>
                <w:rFonts w:hint="eastAsia" w:ascii="宋体" w:hAnsi="宋体" w:cs="宋体"/>
                <w:color w:val="000000"/>
                <w:szCs w:val="21"/>
                <w:highlight w:val="none"/>
              </w:rPr>
            </w:r>
            <w:r/>
          </w:p>
        </w:tc>
      </w:tr>
      <w:tr>
        <w:trPr>
          <w:trHeight w:val="970"/>
        </w:trPr>
        <w:tc>
          <w:tcPr>
            <w:tcW w:w="379" w:type="dxa"/>
            <w:vAlign w:val="center"/>
            <w:textDirection w:val="lrTb"/>
            <w:noWrap w:val="false"/>
          </w:tcPr>
          <w:p>
            <w:pPr>
              <w:pStyle w:val="1048"/>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01</w:t>
            </w:r>
            <w:r>
              <w:rPr>
                <w:rFonts w:hint="eastAsia" w:ascii="宋体" w:hAnsi="宋体" w:cs="宋体"/>
                <w:bCs/>
                <w:color w:val="000000"/>
                <w:szCs w:val="21"/>
                <w:highlight w:val="none"/>
              </w:rPr>
            </w:r>
            <w:r/>
          </w:p>
        </w:tc>
        <w:tc>
          <w:tcPr>
            <w:tcW w:w="1572" w:type="dxa"/>
            <w:vAlign w:val="center"/>
            <w:textDirection w:val="lrTb"/>
            <w:noWrap w:val="false"/>
          </w:tcPr>
          <w:p>
            <w:pPr>
              <w:pStyle w:val="1048"/>
              <w:jc w:val="center"/>
              <w:rPr>
                <w:rFonts w:hint="eastAsia" w:ascii="宋体" w:hAnsi="宋体" w:eastAsia="宋体" w:cs="宋体"/>
                <w:bCs/>
                <w:color w:val="000000"/>
                <w:szCs w:val="21"/>
                <w:highlight w:val="none"/>
                <w:lang w:eastAsia="zh-CN"/>
              </w:rPr>
            </w:pPr>
            <w:r>
              <w:rPr>
                <w:rFonts w:hint="eastAsia" w:ascii="宋体" w:hAnsi="宋体" w:eastAsia="宋体" w:cs="宋体"/>
                <w:bCs/>
                <w:color w:val="000000"/>
                <w:sz w:val="21"/>
                <w:szCs w:val="21"/>
                <w:highlight w:val="none"/>
                <w:lang w:eastAsia="zh-CN"/>
              </w:rPr>
              <w:t xml:space="preserve">经开区电子警察更新项目</w:t>
            </w:r>
            <w:r>
              <w:rPr>
                <w:rFonts w:hint="eastAsia" w:ascii="宋体" w:hAnsi="宋体" w:eastAsia="宋体" w:cs="宋体"/>
                <w:bCs/>
                <w:color w:val="000000"/>
                <w:szCs w:val="21"/>
                <w:highlight w:val="none"/>
                <w:lang w:eastAsia="zh-CN"/>
              </w:rPr>
            </w:r>
            <w:r/>
          </w:p>
        </w:tc>
        <w:tc>
          <w:tcPr>
            <w:tcW w:w="1717" w:type="dxa"/>
            <w:vAlign w:val="center"/>
            <w:textDirection w:val="lrTb"/>
            <w:noWrap w:val="false"/>
          </w:tcPr>
          <w:p>
            <w:pPr>
              <w:pStyle w:val="1048"/>
              <w:jc w:val="center"/>
              <w:rPr>
                <w:rFonts w:ascii="宋体" w:hAnsi="宋体" w:eastAsia="宋体" w:cs="宋体"/>
                <w:bCs/>
                <w:color w:val="000000"/>
                <w:szCs w:val="21"/>
                <w:highlight w:val="none"/>
                <w:lang w:val="en-US" w:eastAsia="zh-CN"/>
              </w:rPr>
            </w:pPr>
            <w:r>
              <w:rPr>
                <w:rFonts w:ascii="宋体" w:hAnsi="宋体" w:eastAsia="宋体" w:cs="宋体"/>
                <w:b/>
                <w:bCs w:val="0"/>
                <w:color w:val="000000"/>
                <w:szCs w:val="21"/>
                <w:highlight w:val="none"/>
                <w:lang w:val="en-US" w:eastAsia="zh-CN"/>
              </w:rPr>
              <w:t xml:space="preserve">1440</w:t>
            </w:r>
            <w:r>
              <w:rPr>
                <w:rFonts w:ascii="宋体" w:hAnsi="宋体" w:eastAsia="宋体" w:cs="宋体"/>
                <w:bCs/>
                <w:color w:val="000000"/>
                <w:szCs w:val="21"/>
                <w:highlight w:val="none"/>
                <w:lang w:val="en-US" w:eastAsia="zh-CN"/>
              </w:rPr>
            </w:r>
            <w:r/>
          </w:p>
        </w:tc>
        <w:tc>
          <w:tcPr>
            <w:tcW w:w="1007" w:type="dxa"/>
            <w:vAlign w:val="center"/>
            <w:textDirection w:val="lrTb"/>
            <w:noWrap w:val="false"/>
          </w:tcPr>
          <w:p>
            <w:pPr>
              <w:pStyle w:val="1048"/>
              <w:jc w:val="center"/>
              <w:rPr>
                <w:rFonts w:ascii="宋体" w:hAnsi="宋体" w:cs="宋体"/>
                <w:bCs/>
                <w:color w:val="000000"/>
                <w:szCs w:val="21"/>
                <w:highlight w:val="none"/>
                <w:lang w:val="en-US"/>
              </w:rPr>
            </w:pPr>
            <w:r>
              <w:rPr>
                <w:rFonts w:hint="eastAsia" w:ascii="宋体" w:hAnsi="宋体" w:eastAsia="宋体" w:cs="宋体"/>
                <w:bCs/>
                <w:color w:val="000000"/>
                <w:sz w:val="21"/>
                <w:szCs w:val="21"/>
                <w:highlight w:val="none"/>
                <w:lang w:val="en-US" w:eastAsia="zh-CN"/>
              </w:rPr>
              <w:t xml:space="preserve">1项</w:t>
            </w:r>
            <w:r>
              <w:rPr>
                <w:rFonts w:ascii="宋体" w:hAnsi="宋体" w:cs="宋体"/>
                <w:bCs/>
                <w:color w:val="000000"/>
                <w:szCs w:val="21"/>
                <w:highlight w:val="none"/>
                <w:lang w:val="en-US"/>
              </w:rPr>
            </w:r>
            <w:r/>
          </w:p>
        </w:tc>
        <w:tc>
          <w:tcPr>
            <w:tcW w:w="4315" w:type="dxa"/>
            <w:vAlign w:val="center"/>
            <w:textDirection w:val="lrTb"/>
            <w:noWrap w:val="false"/>
          </w:tcPr>
          <w:p>
            <w:pPr>
              <w:pStyle w:val="1048"/>
              <w:jc w:val="left"/>
              <w:keepLines w:val="0"/>
              <w:keepNext w:val="0"/>
              <w:pageBreakBefore w:val="0"/>
              <w:widowControl w:val="off"/>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本次项目主要包含更新前端电子警察108个路口、电子警察反向卡口4个路口、路口信号灯控制主机更换22个路口、后端信号灯控制平台升级、新建礼让行人10套、新建横林大道上林路电子警察、防控边界16个路口37个方向建设、朝阳路横林大道卡口迁移及更新1套、机房末端增加视频存储及图片存储各1台。具体详见采购需求。</w:t>
            </w:r>
            <w:r>
              <w:rPr>
                <w:rFonts w:hint="eastAsia" w:ascii="宋体" w:hAnsi="宋体" w:eastAsia="宋体" w:cs="宋体"/>
                <w:bCs/>
                <w:color w:val="000000"/>
                <w:szCs w:val="21"/>
                <w:highlight w:val="none"/>
                <w:lang w:eastAsia="zh-CN"/>
              </w:rPr>
            </w:r>
            <w:r/>
          </w:p>
        </w:tc>
      </w:tr>
    </w:tbl>
    <w:p>
      <w:pPr>
        <w:pStyle w:val="1048"/>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5.合同履行期限：</w:t>
      </w:r>
      <w:r>
        <w:rPr>
          <w:rFonts w:hint="eastAsia" w:ascii="宋体" w:hAnsi="宋体" w:eastAsia="宋体" w:cs="宋体"/>
          <w:color w:val="000000"/>
          <w:sz w:val="21"/>
          <w:szCs w:val="21"/>
          <w:highlight w:val="none"/>
          <w:lang w:eastAsia="zh-CN"/>
        </w:rPr>
        <w:t xml:space="preserve">自合同签订之日起18个月内完成合同范围内所有设备的供货并安装调试完成。</w:t>
      </w:r>
      <w:r>
        <w:rPr>
          <w:rFonts w:hint="eastAsia" w:ascii="宋体" w:hAnsi="宋体" w:eastAsia="宋体" w:cs="宋体"/>
          <w:color w:val="000000"/>
          <w:szCs w:val="21"/>
          <w:highlight w:val="none"/>
          <w:lang w:eastAsia="zh-CN"/>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6.本项目是否接受联合体投标：□是  ■否。</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7.本项目是否接受进口产品投标：</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是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p>
      <w:pPr>
        <w:pStyle w:val="1050"/>
        <w:jc w:val="left"/>
        <w:spacing w:before="0" w:line="360" w:lineRule="auto"/>
        <w:rPr>
          <w:rFonts w:hint="eastAsia" w:ascii="宋体" w:hAnsi="宋体" w:eastAsia="宋体" w:cs="宋体"/>
          <w:color w:val="000000"/>
          <w:sz w:val="21"/>
          <w:szCs w:val="21"/>
          <w:highlight w:val="none"/>
        </w:rPr>
      </w:pPr>
      <w:r/>
      <w:bookmarkStart w:id="10" w:name="_Toc35393622"/>
      <w:r/>
      <w:bookmarkStart w:id="11" w:name="_Toc28359003"/>
      <w:r/>
      <w:bookmarkStart w:id="12" w:name="_Toc35393791"/>
      <w:r/>
      <w:bookmarkStart w:id="13" w:name="_Toc28359080"/>
      <w:r>
        <w:rPr>
          <w:rFonts w:hint="eastAsia" w:ascii="宋体" w:hAnsi="宋体" w:eastAsia="宋体" w:cs="宋体"/>
          <w:color w:val="000000"/>
          <w:sz w:val="21"/>
          <w:szCs w:val="21"/>
          <w:highlight w:val="none"/>
        </w:rPr>
        <w:t xml:space="preserve">二、申请人的资格要求（须同时满足）</w:t>
      </w:r>
      <w:bookmarkEnd w:id="10"/>
      <w:r/>
      <w:bookmarkEnd w:id="11"/>
      <w:r/>
      <w:bookmarkEnd w:id="12"/>
      <w:r/>
      <w:bookmarkEnd w:id="13"/>
      <w:r>
        <w:rPr>
          <w:rFonts w:hint="eastAsia" w:ascii="宋体" w:hAnsi="宋体" w:eastAsia="宋体" w:cs="宋体"/>
          <w:color w:val="000000"/>
          <w:sz w:val="21"/>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1.满足《中华人民共和国政府采购法》第二十二条规定以及下列情形：</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1.1未被“信用中国”网站（WWW.creditchina.gov.cn）或“中国政府采购网</w:t>
      </w:r>
      <w:r>
        <w:rPr>
          <w:rFonts w:hint="eastAsia" w:ascii="宋体" w:hAnsi="宋体" w:cs="宋体"/>
          <w:color w:val="000000"/>
          <w:szCs w:val="21"/>
          <w:highlight w:val="none"/>
        </w:rPr>
        <w:t xml:space="preserve">”网站（www.ccgp.gov.cn）列入失信被执行人、重大税收违法案件当事人名单、政府采购严重失信行为记录名单；</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bookmarkStart w:id="14" w:name="_Toc28359081"/>
      <w:r/>
      <w:bookmarkStart w:id="15" w:name="_Toc28359004"/>
      <w:r>
        <w:rPr>
          <w:rFonts w:hint="eastAsia" w:ascii="宋体" w:hAnsi="宋体" w:cs="宋体"/>
          <w:color w:val="000000"/>
          <w:szCs w:val="21"/>
          <w:highlight w:val="none"/>
        </w:rPr>
        <w:t xml:space="preserve">2.落实政府采购政策需满足的资格要求：</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 中小企业政策</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本项目不专门面向中小企业预留采购份额。</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本项目专门面向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中小 </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小微企业  采购。即：提供的货物全部由符合政策要求的中小/小微企业制造、服务全部由符合政策要求的中小/小微企业承接。</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 其它落实政府采购政策的资格要求（如有）：</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8"/>
        <w:ind w:firstLine="420"/>
        <w:spacing w:line="360" w:lineRule="auto"/>
        <w:rPr>
          <w:rFonts w:hint="eastAsia" w:ascii="宋体" w:hAnsi="宋体" w:cs="宋体"/>
          <w:i/>
          <w:iCs/>
          <w:color w:val="000000"/>
          <w:szCs w:val="21"/>
          <w:highlight w:val="none"/>
          <w:u w:val="single"/>
        </w:rPr>
      </w:pPr>
      <w:r>
        <w:rPr>
          <w:rFonts w:hint="eastAsia" w:ascii="宋体" w:hAnsi="宋体" w:cs="宋体"/>
          <w:color w:val="000000"/>
          <w:szCs w:val="21"/>
          <w:highlight w:val="none"/>
        </w:rPr>
        <w:t xml:space="preserve">3.本项目的特定资格要求：</w:t>
      </w:r>
      <w:r>
        <w:rPr>
          <w:rFonts w:hint="eastAsia" w:ascii="宋体" w:hAnsi="宋体" w:cs="宋体"/>
          <w:i/>
          <w:iCs/>
          <w:color w:val="000000"/>
          <w:szCs w:val="21"/>
          <w:highlight w:val="none"/>
          <w:u w:val="single"/>
        </w:rPr>
      </w:r>
      <w:r/>
    </w:p>
    <w:p>
      <w:pPr>
        <w:pStyle w:val="1048"/>
        <w:ind w:firstLine="420"/>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3.1本项目是否接受分支机构参与投标：□是   ■否；</w:t>
      </w:r>
      <w:r>
        <w:rPr>
          <w:rFonts w:hint="eastAsia" w:ascii="宋体" w:hAnsi="宋体" w:cs="宋体"/>
          <w:color w:val="000000"/>
          <w:szCs w:val="21"/>
          <w:highlight w:val="none"/>
        </w:rPr>
      </w:r>
      <w:r/>
    </w:p>
    <w:p>
      <w:pPr>
        <w:pStyle w:val="1048"/>
        <w:ind w:firstLine="420"/>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3.2本项目是否属于政府购买服务：</w:t>
      </w:r>
      <w:r>
        <w:rPr>
          <w:rFonts w:hint="eastAsia" w:ascii="宋体" w:hAnsi="宋体" w:cs="宋体"/>
          <w:color w:val="000000"/>
          <w:szCs w:val="21"/>
          <w:highlight w:val="none"/>
        </w:rPr>
      </w:r>
      <w:r/>
    </w:p>
    <w:p>
      <w:pPr>
        <w:pStyle w:val="1048"/>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p>
      <w:pPr>
        <w:pStyle w:val="1048"/>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是，公益一类事业单位、使用事业编制且由财政拨款保障的群团组织，不得作为承接主体；</w:t>
      </w:r>
      <w:r>
        <w:rPr>
          <w:rFonts w:hint="eastAsia" w:ascii="宋体" w:hAnsi="宋体" w:cs="宋体"/>
          <w:color w:val="000000"/>
          <w:szCs w:val="21"/>
          <w:highlight w:val="none"/>
        </w:rPr>
      </w:r>
      <w:r/>
    </w:p>
    <w:p>
      <w:pPr>
        <w:pStyle w:val="1048"/>
        <w:ind w:firstLine="449"/>
        <w:jc w:val="left"/>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3.3其他特定资格要求：</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1050"/>
        <w:jc w:val="left"/>
        <w:spacing w:before="0" w:line="360" w:lineRule="auto"/>
        <w:widowControl/>
        <w:rPr>
          <w:rFonts w:hint="eastAsia" w:ascii="宋体" w:hAnsi="宋体" w:eastAsia="宋体" w:cs="宋体"/>
          <w:color w:val="000000"/>
          <w:sz w:val="21"/>
          <w:szCs w:val="21"/>
          <w:highlight w:val="none"/>
        </w:rPr>
      </w:pPr>
      <w:r/>
      <w:bookmarkEnd w:id="14"/>
      <w:r/>
      <w:bookmarkEnd w:id="15"/>
      <w:r/>
      <w:bookmarkStart w:id="16" w:name="_Toc35393792"/>
      <w:r/>
      <w:bookmarkStart w:id="17" w:name="_Toc35393623"/>
      <w:r>
        <w:rPr>
          <w:rFonts w:hint="eastAsia" w:ascii="宋体" w:hAnsi="宋体" w:eastAsia="宋体" w:cs="宋体"/>
          <w:color w:val="000000"/>
          <w:sz w:val="21"/>
          <w:szCs w:val="21"/>
          <w:highlight w:val="none"/>
        </w:rPr>
        <w:t xml:space="preserve">三、获取招标文件</w:t>
      </w:r>
      <w:bookmarkEnd w:id="16"/>
      <w:r/>
      <w:bookmarkEnd w:id="17"/>
      <w:r>
        <w:rPr>
          <w:rFonts w:hint="eastAsia" w:ascii="宋体" w:hAnsi="宋体" w:eastAsia="宋体" w:cs="宋体"/>
          <w:color w:val="000000"/>
          <w:sz w:val="21"/>
          <w:szCs w:val="21"/>
          <w:highlight w:val="none"/>
        </w:rPr>
      </w:r>
      <w:r/>
    </w:p>
    <w:p>
      <w:pPr>
        <w:pStyle w:val="1048"/>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1.时间：</w:t>
      </w:r>
      <w:r>
        <w:rPr>
          <w:rFonts w:hint="eastAsia" w:ascii="宋体" w:hAnsi="宋体" w:eastAsia="宋体" w:cs="宋体"/>
          <w:b/>
          <w:bCs/>
          <w:color w:val="000000"/>
          <w:sz w:val="21"/>
          <w:szCs w:val="21"/>
          <w:highlight w:val="none"/>
          <w:u w:val="single"/>
          <w:lang w:val="en-US" w:eastAsia="zh-CN" w:bidi="ar"/>
        </w:rPr>
        <w:t xml:space="preserve">2026</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10</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09</w:t>
      </w:r>
      <w:r>
        <w:rPr>
          <w:rFonts w:hint="eastAsia" w:ascii="宋体" w:hAnsi="宋体" w:eastAsia="宋体" w:cs="宋体"/>
          <w:b/>
          <w:bCs/>
          <w:color w:val="000000"/>
          <w:sz w:val="21"/>
          <w:szCs w:val="21"/>
          <w:highlight w:val="none"/>
          <w:lang w:bidi="ar"/>
        </w:rPr>
        <w:t xml:space="preserve">日</w:t>
      </w:r>
      <w:r>
        <w:rPr>
          <w:rFonts w:hint="eastAsia" w:ascii="宋体" w:hAnsi="宋体" w:cs="宋体"/>
          <w:b/>
          <w:bCs/>
          <w:color w:val="000000"/>
          <w:szCs w:val="21"/>
          <w:highlight w:val="none"/>
          <w:lang w:bidi="ar"/>
        </w:rPr>
        <w:t xml:space="preserve">至</w:t>
      </w:r>
      <w:r>
        <w:rPr>
          <w:rFonts w:hint="eastAsia" w:ascii="宋体" w:hAnsi="宋体" w:eastAsia="宋体" w:cs="宋体"/>
          <w:b/>
          <w:bCs/>
          <w:color w:val="000000"/>
          <w:sz w:val="21"/>
          <w:szCs w:val="21"/>
          <w:highlight w:val="none"/>
          <w:u w:val="single"/>
          <w:lang w:val="en-US" w:eastAsia="zh-CN" w:bidi="ar"/>
        </w:rPr>
        <w:t xml:space="preserve">2026</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10</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val="en-US" w:eastAsia="zh-CN" w:bidi="ar"/>
        </w:rPr>
        <w:t xml:space="preserve">15</w:t>
      </w:r>
      <w:r>
        <w:rPr>
          <w:rFonts w:hint="eastAsia" w:ascii="宋体" w:hAnsi="宋体" w:cs="宋体"/>
          <w:b/>
          <w:bCs/>
          <w:color w:val="000000"/>
          <w:szCs w:val="21"/>
          <w:highlight w:val="none"/>
          <w:lang w:bidi="ar"/>
        </w:rPr>
        <w:t xml:space="preserve">日</w:t>
      </w:r>
      <w:r>
        <w:rPr>
          <w:rFonts w:hint="eastAsia" w:ascii="宋体" w:hAnsi="宋体" w:cs="宋体"/>
          <w:color w:val="000000"/>
          <w:szCs w:val="21"/>
          <w:highlight w:val="none"/>
          <w:lang w:bidi="ar"/>
        </w:rPr>
        <w:t xml:space="preserve">（北京时间，法定节假日除外）。</w:t>
      </w:r>
      <w:r>
        <w:rPr>
          <w:rFonts w:hint="eastAsia" w:ascii="宋体" w:hAnsi="宋体" w:cs="宋体"/>
          <w:color w:val="000000"/>
          <w:szCs w:val="21"/>
          <w:highlight w:val="none"/>
          <w:lang w:bidi="ar"/>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2.地点：“苏采云”政府采购一体化平台</w:t>
      </w:r>
      <w:r>
        <w:rPr>
          <w:rFonts w:hint="eastAsia" w:ascii="宋体" w:hAnsi="宋体" w:cs="宋体"/>
          <w:color w:val="000000"/>
          <w:szCs w:val="21"/>
          <w:highlight w:val="none"/>
        </w:rPr>
      </w:r>
      <w:r/>
    </w:p>
    <w:p>
      <w:pPr>
        <w:pStyle w:val="1048"/>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3.方式：供应商持CA数字认证证书登录“苏采云”政府采购一体化平台（</w:t>
      </w:r>
      <w:r>
        <w:rPr>
          <w:rFonts w:hint="eastAsia" w:ascii="宋体" w:hAnsi="宋体" w:cs="宋体"/>
          <w:color w:val="000000"/>
          <w:szCs w:val="21"/>
          <w:highlight w:val="none"/>
          <w:lang w:eastAsia="zh-CN" w:bidi="ar"/>
        </w:rPr>
        <w:t xml:space="preserve">http://jszfcg.jsczt.cn/</w:t>
      </w:r>
      <w:r>
        <w:rPr>
          <w:rFonts w:hint="eastAsia" w:ascii="宋体" w:hAnsi="宋体" w:cs="宋体"/>
          <w:color w:val="000000"/>
          <w:szCs w:val="21"/>
          <w:highlight w:val="none"/>
          <w:lang w:bidi="ar"/>
        </w:rPr>
        <w:t xml:space="preserve">）获取电子版招标文件。</w:t>
      </w:r>
      <w:r>
        <w:rPr>
          <w:rFonts w:hint="eastAsia" w:ascii="宋体" w:hAnsi="宋体" w:cs="宋体"/>
          <w:color w:val="000000"/>
          <w:szCs w:val="21"/>
          <w:highlight w:val="none"/>
          <w:lang w:bidi="ar"/>
        </w:rPr>
      </w:r>
      <w:r/>
    </w:p>
    <w:p>
      <w:pPr>
        <w:pStyle w:val="1048"/>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4.售价：</w:t>
      </w:r>
      <w:r>
        <w:rPr>
          <w:rFonts w:hint="eastAsia" w:ascii="宋体" w:hAnsi="宋体" w:cs="宋体"/>
          <w:color w:val="000000"/>
          <w:szCs w:val="21"/>
          <w:highlight w:val="none"/>
          <w:u w:val="single"/>
          <w:lang w:bidi="ar"/>
        </w:rPr>
        <w:t xml:space="preserve"> 0 </w:t>
      </w:r>
      <w:r>
        <w:rPr>
          <w:rFonts w:hint="eastAsia" w:ascii="宋体" w:hAnsi="宋体" w:cs="宋体"/>
          <w:color w:val="000000"/>
          <w:szCs w:val="21"/>
          <w:highlight w:val="none"/>
          <w:lang w:bidi="ar"/>
        </w:rPr>
        <w:t xml:space="preserve">元。</w:t>
      </w:r>
      <w:r>
        <w:rPr>
          <w:rFonts w:hint="eastAsia" w:ascii="宋体" w:hAnsi="宋体" w:cs="宋体"/>
          <w:color w:val="000000"/>
          <w:szCs w:val="21"/>
          <w:highlight w:val="none"/>
        </w:rPr>
      </w:r>
      <w:r/>
    </w:p>
    <w:p>
      <w:pPr>
        <w:pStyle w:val="1050"/>
        <w:jc w:val="left"/>
        <w:spacing w:before="0" w:line="360" w:lineRule="auto"/>
        <w:widowControl/>
        <w:rPr>
          <w:rFonts w:hint="eastAsia" w:ascii="宋体" w:hAnsi="宋体" w:eastAsia="宋体" w:cs="宋体"/>
          <w:color w:val="000000"/>
          <w:sz w:val="21"/>
          <w:szCs w:val="21"/>
          <w:highlight w:val="none"/>
        </w:rPr>
      </w:pPr>
      <w:r/>
      <w:bookmarkStart w:id="18" w:name="_Toc28359082"/>
      <w:r/>
      <w:bookmarkStart w:id="19" w:name="_Toc28359005"/>
      <w:r/>
      <w:bookmarkStart w:id="20" w:name="_Toc35393624"/>
      <w:r/>
      <w:bookmarkStart w:id="21" w:name="_Toc35393793"/>
      <w:r>
        <w:rPr>
          <w:rFonts w:hint="eastAsia" w:ascii="宋体" w:hAnsi="宋体" w:eastAsia="宋体" w:cs="宋体"/>
          <w:color w:val="000000"/>
          <w:sz w:val="21"/>
          <w:szCs w:val="21"/>
          <w:highlight w:val="none"/>
        </w:rPr>
        <w:t xml:space="preserve">四、提交投标文件</w:t>
      </w:r>
      <w:bookmarkEnd w:id="18"/>
      <w:r/>
      <w:bookmarkEnd w:id="19"/>
      <w:r>
        <w:rPr>
          <w:rFonts w:hint="eastAsia" w:ascii="宋体" w:hAnsi="宋体" w:eastAsia="宋体" w:cs="宋体"/>
          <w:color w:val="000000"/>
          <w:sz w:val="21"/>
          <w:szCs w:val="21"/>
          <w:highlight w:val="none"/>
        </w:rPr>
        <w:t xml:space="preserve">截止时间、开标时间和地点</w:t>
      </w:r>
      <w:bookmarkEnd w:id="20"/>
      <w:r/>
      <w:bookmarkEnd w:id="21"/>
      <w:r>
        <w:rPr>
          <w:rFonts w:hint="eastAsia" w:ascii="宋体" w:hAnsi="宋体" w:eastAsia="宋体" w:cs="宋体"/>
          <w:color w:val="000000"/>
          <w:sz w:val="21"/>
          <w:szCs w:val="21"/>
          <w:highlight w:val="none"/>
        </w:rPr>
      </w:r>
      <w:r/>
    </w:p>
    <w:p>
      <w:pPr>
        <w:pStyle w:val="1048"/>
        <w:ind w:firstLine="420"/>
        <w:spacing w:line="360" w:lineRule="auto"/>
        <w:rPr>
          <w:rFonts w:hint="eastAsia" w:ascii="宋体" w:hAnsi="宋体" w:cs="宋体"/>
          <w:bCs/>
          <w:color w:val="000000"/>
          <w:szCs w:val="21"/>
          <w:highlight w:val="none"/>
          <w:u w:val="single"/>
        </w:rPr>
      </w:pPr>
      <w:r/>
      <w:bookmarkStart w:id="22" w:name="_Toc35393794"/>
      <w:r/>
      <w:bookmarkStart w:id="23" w:name="_Toc28359007"/>
      <w:r/>
      <w:bookmarkStart w:id="24" w:name="_Toc28359084"/>
      <w:r/>
      <w:bookmarkStart w:id="25" w:name="_Toc35393625"/>
      <w:r>
        <w:rPr>
          <w:rFonts w:hint="eastAsia" w:ascii="宋体" w:hAnsi="宋体" w:cs="宋体"/>
          <w:color w:val="000000"/>
          <w:szCs w:val="21"/>
          <w:highlight w:val="none"/>
          <w:lang w:bidi="ar"/>
        </w:rPr>
        <w:t xml:space="preserve">投标截止时间、开标时间：</w:t>
      </w:r>
      <w:r>
        <w:rPr>
          <w:rFonts w:hint="eastAsia" w:ascii="宋体" w:hAnsi="宋体" w:eastAsia="宋体" w:cs="宋体"/>
          <w:b/>
          <w:bCs/>
          <w:color w:val="000000"/>
          <w:sz w:val="21"/>
          <w:szCs w:val="21"/>
          <w:highlight w:val="none"/>
          <w:u w:val="single"/>
          <w:lang w:val="en-US" w:eastAsia="zh-CN" w:bidi="ar"/>
        </w:rPr>
        <w:t xml:space="preserve">2026</w:t>
      </w:r>
      <w:r>
        <w:rPr>
          <w:rFonts w:hint="eastAsia" w:ascii="宋体" w:hAnsi="宋体" w:eastAsia="宋体" w:cs="宋体"/>
          <w:b/>
          <w:bCs/>
          <w:color w:val="000000"/>
          <w:sz w:val="21"/>
          <w:szCs w:val="21"/>
          <w:highlight w:val="none"/>
          <w:lang w:bidi="ar"/>
        </w:rPr>
        <w:t xml:space="preserve">年</w:t>
      </w:r>
      <w:r>
        <w:rPr>
          <w:rFonts w:hint="eastAsia" w:ascii="宋体" w:hAnsi="宋体" w:eastAsia="宋体" w:cs="宋体"/>
          <w:b/>
          <w:bCs/>
          <w:color w:val="000000"/>
          <w:sz w:val="21"/>
          <w:szCs w:val="21"/>
          <w:highlight w:val="none"/>
          <w:u w:val="single"/>
          <w:lang w:val="en-US" w:eastAsia="zh-CN" w:bidi="ar"/>
        </w:rPr>
        <w:t xml:space="preserve">10</w:t>
      </w:r>
      <w:r>
        <w:rPr>
          <w:rFonts w:hint="eastAsia" w:ascii="宋体" w:hAnsi="宋体" w:eastAsia="宋体" w:cs="宋体"/>
          <w:b/>
          <w:bCs/>
          <w:color w:val="000000"/>
          <w:sz w:val="21"/>
          <w:szCs w:val="21"/>
          <w:highlight w:val="none"/>
          <w:lang w:bidi="ar"/>
        </w:rPr>
        <w:t xml:space="preserve">月</w:t>
      </w:r>
      <w:r>
        <w:rPr>
          <w:rFonts w:hint="eastAsia" w:ascii="宋体" w:hAnsi="宋体" w:eastAsia="宋体" w:cs="宋体"/>
          <w:b/>
          <w:bCs/>
          <w:color w:val="000000"/>
          <w:sz w:val="21"/>
          <w:szCs w:val="21"/>
          <w:highlight w:val="none"/>
          <w:u w:val="single"/>
          <w:lang w:bidi="ar"/>
        </w:rPr>
        <w:t xml:space="preserve">30</w:t>
      </w:r>
      <w:r>
        <w:rPr>
          <w:rFonts w:hint="eastAsia" w:ascii="宋体" w:hAnsi="宋体" w:eastAsia="宋体" w:cs="宋体"/>
          <w:b/>
          <w:bCs/>
          <w:color w:val="000000"/>
          <w:sz w:val="21"/>
          <w:szCs w:val="21"/>
          <w:highlight w:val="none"/>
          <w:lang w:bidi="ar"/>
        </w:rPr>
        <w:t xml:space="preserve">日</w:t>
      </w:r>
      <w:r>
        <w:rPr>
          <w:rFonts w:hint="eastAsia" w:ascii="宋体" w:hAnsi="宋体" w:cs="宋体"/>
          <w:b/>
          <w:bCs/>
          <w:color w:val="000000"/>
          <w:szCs w:val="21"/>
          <w:highlight w:val="none"/>
          <w:u w:val="single"/>
          <w:lang w:val="en-US" w:eastAsia="zh-CN" w:bidi="ar"/>
        </w:rPr>
        <w:t xml:space="preserve">14</w:t>
      </w:r>
      <w:r>
        <w:rPr>
          <w:rFonts w:hint="eastAsia" w:ascii="宋体" w:hAnsi="宋体" w:cs="宋体"/>
          <w:b/>
          <w:bCs/>
          <w:color w:val="000000"/>
          <w:szCs w:val="21"/>
          <w:highlight w:val="none"/>
          <w:lang w:bidi="ar"/>
        </w:rPr>
        <w:t xml:space="preserve">点</w:t>
      </w:r>
      <w:r>
        <w:rPr>
          <w:rFonts w:hint="eastAsia" w:ascii="宋体" w:hAnsi="宋体" w:cs="宋体"/>
          <w:b/>
          <w:bCs/>
          <w:color w:val="000000"/>
          <w:szCs w:val="21"/>
          <w:highlight w:val="none"/>
          <w:u w:val="single"/>
          <w:lang w:val="en-US" w:eastAsia="zh-CN" w:bidi="ar"/>
        </w:rPr>
        <w:t xml:space="preserve">00</w:t>
      </w:r>
      <w:r>
        <w:rPr>
          <w:rFonts w:hint="eastAsia" w:ascii="宋体" w:hAnsi="宋体" w:cs="宋体"/>
          <w:b/>
          <w:bCs/>
          <w:color w:val="000000"/>
          <w:szCs w:val="21"/>
          <w:highlight w:val="none"/>
          <w:lang w:bidi="ar"/>
        </w:rPr>
        <w:t xml:space="preserve">分</w:t>
      </w:r>
      <w:r>
        <w:rPr>
          <w:rFonts w:hint="eastAsia" w:ascii="宋体" w:hAnsi="宋体" w:cs="宋体"/>
          <w:bCs/>
          <w:color w:val="000000"/>
          <w:szCs w:val="21"/>
          <w:highlight w:val="none"/>
          <w:lang w:bidi="ar"/>
        </w:rPr>
        <w:t xml:space="preserve">（北京时间）</w:t>
      </w:r>
      <w:r>
        <w:rPr>
          <w:rFonts w:hint="eastAsia" w:ascii="宋体" w:hAnsi="宋体" w:cs="宋体"/>
          <w:iCs/>
          <w:color w:val="000000"/>
          <w:szCs w:val="21"/>
          <w:highlight w:val="none"/>
          <w:lang w:bidi="ar"/>
        </w:rPr>
        <w:t xml:space="preserve">。</w:t>
      </w:r>
      <w:r>
        <w:rPr>
          <w:rFonts w:hint="eastAsia" w:ascii="宋体" w:hAnsi="宋体" w:cs="宋体"/>
          <w:bCs/>
          <w:color w:val="000000"/>
          <w:szCs w:val="21"/>
          <w:highlight w:val="none"/>
          <w:u w:val="single"/>
        </w:rPr>
      </w:r>
      <w:r/>
    </w:p>
    <w:p>
      <w:pPr>
        <w:pStyle w:val="1050"/>
        <w:ind w:firstLine="422"/>
        <w:jc w:val="left"/>
        <w:spacing w:before="0"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lang w:bidi="ar"/>
        </w:rPr>
        <w:t xml:space="preserve">地点：</w:t>
      </w:r>
      <w:r>
        <w:rPr>
          <w:rFonts w:hint="eastAsia" w:ascii="宋体" w:hAnsi="宋体" w:eastAsia="宋体" w:cs="宋体"/>
          <w:color w:val="000000"/>
          <w:sz w:val="21"/>
          <w:szCs w:val="21"/>
          <w:highlight w:val="none"/>
          <w:u w:val="single"/>
        </w:rPr>
        <w:t xml:space="preserve">本项目采用不见面交易方式，无需到现场提交，投标人登录“苏采云”政府采购一体化平台供应商端，通过系统在线提交电子投标文件。</w:t>
      </w:r>
      <w:r>
        <w:rPr>
          <w:rFonts w:hint="eastAsia" w:ascii="宋体" w:hAnsi="宋体" w:eastAsia="宋体" w:cs="宋体"/>
          <w:color w:val="000000"/>
          <w:sz w:val="21"/>
          <w:szCs w:val="21"/>
          <w:highlight w:val="none"/>
          <w:u w:val="single"/>
        </w:rPr>
      </w:r>
      <w:r/>
    </w:p>
    <w:p>
      <w:pPr>
        <w:pStyle w:val="1050"/>
        <w:jc w:val="left"/>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五、公告期限</w:t>
      </w:r>
      <w:bookmarkEnd w:id="22"/>
      <w:r/>
      <w:bookmarkEnd w:id="23"/>
      <w:r/>
      <w:bookmarkEnd w:id="24"/>
      <w:r/>
      <w:bookmarkEnd w:id="25"/>
      <w:r>
        <w:rPr>
          <w:rFonts w:hint="eastAsia" w:ascii="宋体" w:hAnsi="宋体" w:eastAsia="宋体" w:cs="宋体"/>
          <w:color w:val="000000"/>
          <w:sz w:val="21"/>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rPr>
          <w:rFonts w:hint="eastAsia" w:ascii="宋体" w:hAnsi="宋体" w:cs="宋体"/>
          <w:color w:val="000000"/>
          <w:szCs w:val="21"/>
          <w:highlight w:val="none"/>
        </w:rPr>
      </w:r>
      <w:r/>
    </w:p>
    <w:p>
      <w:pPr>
        <w:pStyle w:val="1050"/>
        <w:jc w:val="left"/>
        <w:spacing w:before="0" w:line="360" w:lineRule="auto"/>
        <w:rPr>
          <w:rFonts w:hint="eastAsia" w:ascii="宋体" w:hAnsi="宋体" w:eastAsia="宋体" w:cs="宋体"/>
          <w:color w:val="000000"/>
          <w:sz w:val="21"/>
          <w:szCs w:val="21"/>
          <w:highlight w:val="none"/>
        </w:rPr>
      </w:pPr>
      <w:r/>
      <w:bookmarkStart w:id="26" w:name="_Toc35393626"/>
      <w:r/>
      <w:bookmarkStart w:id="27" w:name="_Toc35393795"/>
      <w:r>
        <w:rPr>
          <w:rFonts w:hint="eastAsia" w:ascii="宋体" w:hAnsi="宋体" w:eastAsia="宋体" w:cs="宋体"/>
          <w:color w:val="000000"/>
          <w:sz w:val="21"/>
          <w:szCs w:val="21"/>
          <w:highlight w:val="none"/>
        </w:rPr>
        <w:t xml:space="preserve">六、其他补充事宜</w:t>
      </w:r>
      <w:bookmarkEnd w:id="26"/>
      <w:r/>
      <w:bookmarkEnd w:id="27"/>
      <w:r>
        <w:rPr>
          <w:rFonts w:hint="eastAsia" w:ascii="宋体" w:hAnsi="宋体" w:eastAsia="宋体" w:cs="宋体"/>
          <w:color w:val="000000"/>
          <w:sz w:val="21"/>
          <w:szCs w:val="21"/>
          <w:highlight w:val="none"/>
        </w:rPr>
      </w:r>
      <w:r/>
    </w:p>
    <w:p>
      <w:pPr>
        <w:pStyle w:val="1048"/>
        <w:ind w:firstLine="422"/>
        <w:spacing w:line="360" w:lineRule="auto"/>
        <w:rPr>
          <w:rFonts w:hint="eastAsia" w:ascii="宋体" w:hAnsi="宋体" w:cs="宋体"/>
          <w:color w:val="000000"/>
          <w:szCs w:val="21"/>
        </w:rPr>
      </w:pPr>
      <w:r>
        <w:rPr>
          <w:rFonts w:hint="eastAsia" w:ascii="宋体" w:hAnsi="宋体" w:cs="宋体"/>
          <w:b/>
          <w:bCs/>
          <w:color w:val="000000"/>
          <w:szCs w:val="21"/>
        </w:rPr>
        <w:t xml:space="preserve">1.本项目需要落实的政府采购政策：</w:t>
      </w:r>
      <w:r>
        <w:rPr>
          <w:rFonts w:hint="eastAsia" w:ascii="宋体" w:hAnsi="宋体" w:cs="宋体"/>
          <w:color w:val="000000"/>
          <w:szCs w:val="21"/>
          <w:u w:val="single"/>
          <w:lang w:bidi="ar"/>
        </w:rPr>
        <w:t xml:space="preserve">/</w:t>
      </w:r>
      <w:r>
        <w:rPr>
          <w:rFonts w:hint="eastAsia" w:ascii="宋体" w:hAnsi="宋体" w:cs="宋体"/>
          <w:color w:val="000000"/>
          <w:szCs w:val="21"/>
          <w:lang w:bidi="ar"/>
        </w:rPr>
        <w:t xml:space="preserve">。</w:t>
      </w:r>
      <w:r>
        <w:rPr>
          <w:rFonts w:hint="eastAsia" w:ascii="宋体" w:hAnsi="宋体" w:cs="宋体"/>
          <w:color w:val="000000"/>
          <w:szCs w:val="21"/>
        </w:rPr>
        <w:t xml:space="preserve"> </w:t>
      </w:r>
      <w:r>
        <w:rPr>
          <w:rFonts w:hint="eastAsia" w:ascii="宋体" w:hAnsi="宋体" w:cs="宋体"/>
          <w:color w:val="000000"/>
          <w:szCs w:val="21"/>
        </w:rPr>
      </w:r>
      <w:r/>
    </w:p>
    <w:p>
      <w:pPr>
        <w:pStyle w:val="1048"/>
        <w:ind w:firstLine="422"/>
        <w:spacing w:line="360" w:lineRule="auto"/>
        <w:rPr>
          <w:rFonts w:ascii="宋体" w:hAnsi="宋体" w:cs="宋体"/>
          <w:color w:val="000000"/>
          <w:szCs w:val="21"/>
        </w:rPr>
      </w:pPr>
      <w:r>
        <w:rPr>
          <w:rFonts w:hint="eastAsia" w:ascii="宋体" w:hAnsi="宋体" w:cs="宋体"/>
          <w:b/>
          <w:bCs/>
          <w:color w:val="000000"/>
          <w:szCs w:val="21"/>
        </w:rPr>
        <w:t xml:space="preserve">2.投标保证金：</w:t>
      </w:r>
      <w:r>
        <w:rPr>
          <w:rFonts w:hint="eastAsia" w:ascii="宋体" w:hAnsi="宋体" w:cs="宋体"/>
          <w:color w:val="000000"/>
          <w:szCs w:val="21"/>
        </w:rPr>
        <w:t xml:space="preserve">本项目不收取投标保证金。</w:t>
      </w:r>
      <w:r>
        <w:rPr>
          <w:rFonts w:ascii="宋体" w:hAnsi="宋体" w:cs="宋体"/>
          <w:color w:val="000000"/>
          <w:szCs w:val="21"/>
        </w:rPr>
      </w:r>
      <w:r/>
    </w:p>
    <w:p>
      <w:pPr>
        <w:pStyle w:val="1048"/>
        <w:ind w:firstLine="420"/>
        <w:jc w:val="left"/>
        <w:spacing w:line="360" w:lineRule="auto"/>
        <w:widowControl/>
        <w:rPr>
          <w:rFonts w:hint="eastAsia" w:ascii="宋体" w:hAnsi="宋体" w:cs="宋体"/>
          <w:bCs/>
          <w:color w:val="000000"/>
          <w:szCs w:val="21"/>
          <w:highlight w:val="none"/>
          <w:lang w:bidi="ar"/>
        </w:rPr>
      </w:pPr>
      <w:r>
        <w:rPr>
          <w:rFonts w:hint="eastAsia" w:ascii="宋体" w:hAnsi="宋体" w:cs="宋体"/>
          <w:color w:val="000000"/>
          <w:szCs w:val="21"/>
          <w:lang w:bidi="ar"/>
        </w:rPr>
        <w:t xml:space="preserve">3.本项目采用不见面交易方式，请供应商认真学习常州市政府采购网发布的相关操作手册，办理CA认证证书、</w:t>
      </w:r>
      <w:r>
        <w:rPr>
          <w:rFonts w:hint="eastAsia" w:ascii="宋体" w:hAnsi="宋体" w:cs="宋体"/>
          <w:color w:val="000000"/>
          <w:szCs w:val="21"/>
          <w:highlight w:val="none"/>
          <w:lang w:bidi="ar"/>
        </w:rPr>
        <w:t xml:space="preserve">进行“苏采云”政府采购一体化平台注册绑定，并认真核实</w:t>
      </w:r>
      <w:r>
        <w:rPr>
          <w:rFonts w:hint="eastAsia" w:ascii="宋体" w:hAnsi="宋体" w:cs="宋体"/>
          <w:bCs/>
          <w:color w:val="000000"/>
          <w:szCs w:val="21"/>
          <w:highlight w:val="none"/>
          <w:lang w:bidi="ar"/>
        </w:rPr>
        <w:t xml:space="preserve">数字认证证书情况确认是否符合本项目电子化采购流程要求。</w:t>
      </w:r>
      <w:r>
        <w:rPr>
          <w:rFonts w:hint="eastAsia" w:ascii="宋体" w:hAnsi="宋体" w:cs="宋体"/>
          <w:bCs/>
          <w:color w:val="000000"/>
          <w:szCs w:val="21"/>
          <w:highlight w:val="none"/>
          <w:lang w:bidi="ar"/>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技术支持服务热线    0519-8558 8210、0519-8558 8163</w:t>
      </w:r>
      <w:r>
        <w:rPr>
          <w:rFonts w:hint="eastAsia" w:ascii="宋体" w:hAnsi="宋体" w:cs="宋体"/>
          <w:color w:val="000000"/>
          <w:szCs w:val="21"/>
          <w:highlight w:val="none"/>
        </w:rPr>
      </w:r>
      <w:r/>
    </w:p>
    <w:p>
      <w:pPr>
        <w:pStyle w:val="1048"/>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CA认证证书办理（现场办理）联系电话   0519-8558 8120</w:t>
      </w:r>
      <w:r>
        <w:rPr>
          <w:rFonts w:hint="eastAsia" w:ascii="宋体" w:hAnsi="宋体" w:cs="宋体"/>
          <w:color w:val="000000"/>
          <w:szCs w:val="21"/>
          <w:highlight w:val="none"/>
          <w:lang w:bidi="ar"/>
        </w:rPr>
      </w:r>
      <w:r/>
    </w:p>
    <w:p>
      <w:pPr>
        <w:pStyle w:val="1048"/>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3.1办理CA认证证书</w:t>
      </w:r>
      <w:r>
        <w:rPr>
          <w:rFonts w:hint="eastAsia" w:ascii="宋体" w:hAnsi="宋体" w:cs="宋体"/>
          <w:color w:val="000000"/>
          <w:szCs w:val="21"/>
          <w:highlight w:val="none"/>
          <w:lang w:bidi="ar"/>
        </w:rPr>
      </w:r>
      <w:r/>
    </w:p>
    <w:p>
      <w:pPr>
        <w:pStyle w:val="1048"/>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供应商登录常州市政府采购网“下载中心”下载并查阅 “</w:t>
      </w:r>
      <w:r>
        <w:rPr>
          <w:rFonts w:hint="eastAsia" w:ascii="宋体" w:hAnsi="宋体" w:cs="宋体"/>
          <w:color w:val="000000"/>
          <w:szCs w:val="21"/>
          <w:highlight w:val="none"/>
        </w:rPr>
        <w:t xml:space="preserve">“苏采云”政府采购一体化平台</w:t>
      </w:r>
      <w:r>
        <w:rPr>
          <w:rFonts w:hint="eastAsia" w:ascii="宋体" w:hAnsi="宋体" w:cs="宋体"/>
          <w:color w:val="000000"/>
          <w:szCs w:val="21"/>
          <w:highlight w:val="none"/>
          <w:lang w:bidi="ar"/>
        </w:rPr>
        <w:t xml:space="preserve">（供应商）江苏省政府采购数字证书CA及电子签章办理指南”，按照程序要求办理。</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3.2注册</w:t>
      </w:r>
      <w:r>
        <w:rPr>
          <w:rFonts w:hint="eastAsia" w:ascii="宋体" w:hAnsi="宋体" w:cs="宋体"/>
          <w:color w:val="000000"/>
          <w:szCs w:val="21"/>
          <w:highlight w:val="none"/>
          <w:lang w:bidi="ar"/>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供应商登录常州市政府采购网“下载中心”-“苏采云”系统供应商操作手册下载相关操作手册、操作视频等，查阅后进行自助注册。</w:t>
      </w:r>
      <w:r>
        <w:rPr>
          <w:rFonts w:hint="eastAsia" w:ascii="宋体" w:hAnsi="宋体" w:cs="宋体"/>
          <w:color w:val="000000"/>
          <w:szCs w:val="21"/>
          <w:highlight w:val="none"/>
        </w:rPr>
      </w:r>
      <w:r/>
    </w:p>
    <w:p>
      <w:pPr>
        <w:pStyle w:val="1048"/>
        <w:ind w:firstLine="420"/>
        <w:jc w:val="left"/>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3.3控件、客户端下载</w:t>
      </w:r>
      <w:r>
        <w:rPr>
          <w:rFonts w:hint="eastAsia" w:ascii="宋体" w:hAnsi="宋体" w:cs="宋体"/>
          <w:color w:val="000000"/>
          <w:szCs w:val="21"/>
          <w:lang w:bidi="ar"/>
        </w:rPr>
      </w:r>
      <w:r/>
    </w:p>
    <w:p>
      <w:pPr>
        <w:pStyle w:val="1048"/>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供应商登录常州市政府采购网“下载中心”-“政府采购管理交易系统（苏采云）CA及签章控件驱动”下载相关控件和客户端。</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3.4 获取电子招标文件</w:t>
      </w:r>
      <w:r>
        <w:rPr>
          <w:rFonts w:hint="eastAsia" w:ascii="宋体" w:hAnsi="宋体" w:cs="宋体"/>
          <w:color w:val="000000"/>
          <w:szCs w:val="21"/>
          <w:highlight w:val="none"/>
          <w:lang w:bidi="ar"/>
        </w:rPr>
      </w:r>
      <w:r/>
    </w:p>
    <w:p>
      <w:pPr>
        <w:pStyle w:val="1048"/>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供应商持CA数字认证证书登录“苏采云”政府采购一体化平台获取电子招标文件。未在规定期限内通过“苏采云”政府采购一体化平台获取招标文件的</w:t>
      </w:r>
      <w:r>
        <w:rPr>
          <w:rFonts w:hint="eastAsia" w:ascii="宋体" w:hAnsi="宋体" w:cs="宋体"/>
          <w:b/>
          <w:color w:val="000000"/>
          <w:szCs w:val="21"/>
          <w:highlight w:val="none"/>
          <w:lang w:bidi="ar"/>
        </w:rPr>
        <w:t xml:space="preserve">投标无效</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1048"/>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3.5编制电子投标文件</w:t>
      </w:r>
      <w:r>
        <w:rPr>
          <w:rFonts w:hint="eastAsia" w:ascii="宋体" w:hAnsi="宋体" w:cs="宋体"/>
          <w:color w:val="000000"/>
          <w:szCs w:val="21"/>
          <w:highlight w:val="none"/>
          <w:lang w:bidi="ar"/>
        </w:rPr>
      </w:r>
      <w:r/>
    </w:p>
    <w:p>
      <w:pPr>
        <w:pStyle w:val="1048"/>
        <w:ind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供应商应使用电子投标文件制作客户端编制电子投标文件并进行线上投标，供应商电子投标文件需要加密并加盖电子签章</w:t>
      </w:r>
      <w:r>
        <w:rPr>
          <w:rFonts w:hint="eastAsia" w:ascii="宋体" w:hAnsi="宋体" w:cs="宋体"/>
          <w:bCs/>
          <w:color w:val="000000"/>
          <w:szCs w:val="21"/>
          <w:highlight w:val="none"/>
          <w:lang w:bidi="ar"/>
        </w:rPr>
        <w:t xml:space="preserve">，如无法按照要求在电子投标文件中加盖电子签章和加密，请及时通过技术支持服务热线联系技术人员</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p>
      <w:pPr>
        <w:pStyle w:val="1048"/>
        <w:ind w:firstLine="420"/>
        <w:jc w:val="left"/>
        <w:spacing w:line="360" w:lineRule="auto"/>
        <w:widowControl/>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eastAsia="zh-TW" w:bidi="ar"/>
        </w:rPr>
        <w:t xml:space="preserve">3.6</w:t>
      </w:r>
      <w:r>
        <w:rPr>
          <w:rFonts w:hint="eastAsia" w:ascii="宋体" w:hAnsi="宋体" w:cs="宋体"/>
          <w:color w:val="000000"/>
          <w:szCs w:val="21"/>
          <w:highlight w:val="none"/>
          <w:lang w:val="zh-TW" w:bidi="ar"/>
        </w:rPr>
        <w:t xml:space="preserve">提交电子投标文件</w:t>
      </w:r>
      <w:r>
        <w:rPr>
          <w:rFonts w:hint="eastAsia" w:ascii="宋体" w:hAnsi="宋体" w:cs="宋体"/>
          <w:color w:val="000000"/>
          <w:szCs w:val="21"/>
          <w:highlight w:val="none"/>
          <w:lang w:val="zh-TW" w:bidi="ar"/>
        </w:rPr>
      </w:r>
      <w:r/>
    </w:p>
    <w:p>
      <w:pPr>
        <w:pStyle w:val="1048"/>
        <w:ind w:firstLine="420"/>
        <w:jc w:val="lef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供应商应于投标截止时间前在“苏采云”政府采购一体化平台提交电子投标文件，上传电子投标文件过程中请保持与互联网的连接畅通。</w:t>
      </w:r>
      <w:r>
        <w:rPr>
          <w:rFonts w:hint="eastAsia" w:ascii="宋体" w:hAnsi="宋体" w:cs="宋体"/>
          <w:color w:val="000000"/>
          <w:szCs w:val="21"/>
          <w:highlight w:val="none"/>
          <w:lang w:bidi="ar"/>
        </w:rPr>
      </w:r>
      <w:r/>
    </w:p>
    <w:p>
      <w:pPr>
        <w:pStyle w:val="1048"/>
        <w:ind w:firstLine="420"/>
        <w:jc w:val="left"/>
        <w:spacing w:line="360" w:lineRule="auto"/>
        <w:widowControl/>
        <w:rPr>
          <w:rFonts w:hint="eastAsia" w:ascii="宋体" w:hAnsi="宋体" w:cs="宋体"/>
          <w:color w:val="000000"/>
          <w:szCs w:val="21"/>
          <w:highlight w:val="none"/>
          <w:lang w:eastAsia="zh-TW" w:bidi="ar"/>
        </w:rPr>
      </w:pPr>
      <w:r>
        <w:rPr>
          <w:rFonts w:hint="eastAsia" w:ascii="宋体" w:hAnsi="宋体" w:cs="宋体"/>
          <w:color w:val="000000"/>
          <w:szCs w:val="21"/>
          <w:highlight w:val="none"/>
          <w:lang w:val="zh-TW" w:bidi="ar"/>
        </w:rPr>
        <w:t xml:space="preserve">3.</w:t>
      </w:r>
      <w:r>
        <w:rPr>
          <w:rFonts w:hint="eastAsia" w:ascii="宋体" w:hAnsi="宋体" w:cs="宋体"/>
          <w:color w:val="000000"/>
          <w:szCs w:val="21"/>
          <w:highlight w:val="none"/>
          <w:lang w:val="zh-TW" w:eastAsia="zh-TW" w:bidi="ar"/>
        </w:rPr>
        <w:t xml:space="preserve">7</w:t>
      </w:r>
      <w:r>
        <w:rPr>
          <w:rFonts w:hint="eastAsia" w:ascii="宋体" w:hAnsi="宋体" w:cs="宋体"/>
          <w:color w:val="000000"/>
          <w:szCs w:val="21"/>
          <w:highlight w:val="none"/>
          <w:lang w:val="zh-TW" w:bidi="ar"/>
        </w:rPr>
        <w:t xml:space="preserve">电子开标</w:t>
      </w:r>
      <w:r>
        <w:rPr>
          <w:rFonts w:hint="eastAsia" w:ascii="宋体" w:hAnsi="宋体" w:cs="宋体"/>
          <w:color w:val="000000"/>
          <w:szCs w:val="21"/>
          <w:highlight w:val="none"/>
          <w:lang w:eastAsia="zh-TW" w:bidi="ar"/>
        </w:rPr>
      </w:r>
      <w:r/>
    </w:p>
    <w:p>
      <w:pPr>
        <w:pStyle w:val="1048"/>
        <w:ind w:firstLine="420"/>
        <w:spacing w:line="360" w:lineRule="auto"/>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bidi="ar"/>
        </w:rPr>
        <w:t xml:space="preserve">供应商使用</w:t>
      </w:r>
      <w:r>
        <w:rPr>
          <w:rFonts w:hint="eastAsia" w:ascii="宋体" w:hAnsi="宋体" w:cs="宋体"/>
          <w:color w:val="000000"/>
          <w:szCs w:val="21"/>
          <w:highlight w:val="none"/>
          <w:lang w:bidi="ar"/>
        </w:rPr>
        <w:t xml:space="preserve">CA认证证书</w:t>
      </w:r>
      <w:r>
        <w:rPr>
          <w:rFonts w:hint="eastAsia" w:ascii="宋体" w:hAnsi="宋体" w:cs="宋体"/>
          <w:color w:val="000000"/>
          <w:szCs w:val="21"/>
          <w:highlight w:val="none"/>
          <w:lang w:val="zh-TW" w:bidi="ar"/>
        </w:rPr>
        <w:t xml:space="preserve">登录</w:t>
      </w:r>
      <w:r>
        <w:rPr>
          <w:rFonts w:hint="eastAsia" w:ascii="宋体" w:hAnsi="宋体" w:cs="宋体"/>
          <w:color w:val="000000"/>
          <w:szCs w:val="21"/>
          <w:highlight w:val="none"/>
          <w:lang w:bidi="ar"/>
        </w:rPr>
        <w:t xml:space="preserve">“苏采云”政府采购一体化平台进行电子化不见面开标</w:t>
      </w:r>
      <w:r>
        <w:rPr>
          <w:rFonts w:hint="eastAsia" w:ascii="宋体" w:hAnsi="宋体" w:cs="宋体"/>
          <w:color w:val="000000"/>
          <w:szCs w:val="21"/>
          <w:highlight w:val="none"/>
          <w:lang w:val="zh-TW" w:bidi="ar"/>
        </w:rPr>
        <w:t xml:space="preserve">。</w:t>
      </w:r>
      <w:r>
        <w:rPr>
          <w:rFonts w:hint="eastAsia" w:ascii="宋体" w:hAnsi="宋体" w:cs="宋体"/>
          <w:color w:val="000000"/>
          <w:szCs w:val="21"/>
          <w:highlight w:val="none"/>
          <w:lang w:val="zh-TW" w:bidi="ar"/>
        </w:rPr>
      </w:r>
      <w:r/>
    </w:p>
    <w:p>
      <w:pPr>
        <w:pStyle w:val="1048"/>
        <w:ind w:firstLine="420"/>
        <w:spacing w:line="360" w:lineRule="auto"/>
        <w:rPr>
          <w:rFonts w:hint="eastAsia" w:ascii="宋体" w:hAnsi="宋体" w:cs="宋体"/>
          <w:color w:val="000000"/>
          <w:szCs w:val="21"/>
          <w:highlight w:val="none"/>
          <w:lang w:val="zh-TW" w:bidi="ar"/>
        </w:rPr>
      </w:pPr>
      <w:r>
        <w:rPr>
          <w:rFonts w:hint="eastAsia" w:ascii="宋体" w:hAnsi="宋体" w:cs="宋体"/>
          <w:color w:val="000000"/>
          <w:szCs w:val="21"/>
          <w:highlight w:val="none"/>
          <w:lang w:val="zh-TW" w:bidi="ar"/>
        </w:rPr>
        <w:t xml:space="preserve">3.8注意事项</w:t>
      </w:r>
      <w:r>
        <w:rPr>
          <w:rFonts w:hint="eastAsia" w:ascii="宋体" w:hAnsi="宋体" w:cs="宋体"/>
          <w:color w:val="000000"/>
          <w:szCs w:val="21"/>
          <w:highlight w:val="none"/>
          <w:lang w:val="zh-TW" w:bidi="ar"/>
        </w:rPr>
      </w:r>
      <w:r/>
    </w:p>
    <w:p>
      <w:pPr>
        <w:pStyle w:val="1048"/>
        <w:ind w:firstLine="420"/>
        <w:spacing w:line="360" w:lineRule="auto"/>
        <w:rPr>
          <w:rFonts w:hint="eastAsia" w:ascii="宋体" w:hAnsi="宋体" w:cs="宋体"/>
          <w:color w:val="000000"/>
          <w:szCs w:val="21"/>
          <w:highlight w:val="none"/>
          <w:lang w:eastAsia="zh-TW"/>
        </w:rPr>
      </w:pPr>
      <w:r>
        <w:rPr>
          <w:rFonts w:hint="eastAsia" w:ascii="宋体" w:hAnsi="宋体" w:cs="宋体"/>
          <w:color w:val="000000"/>
          <w:szCs w:val="21"/>
          <w:highlight w:val="none"/>
          <w:lang w:val="zh-TW" w:bidi="ar"/>
        </w:rPr>
        <w:t xml:space="preserve">供应商在开标前应当</w:t>
      </w:r>
      <w:r>
        <w:rPr>
          <w:rFonts w:hint="eastAsia" w:ascii="宋体" w:hAnsi="宋体" w:cs="宋体"/>
          <w:color w:val="000000"/>
          <w:szCs w:val="21"/>
          <w:highlight w:val="none"/>
        </w:rPr>
        <w:t xml:space="preserve">使用“验证CA”功能验证本地计算机的控件环境是否正常，并且在开标、评审过程中不可随意更换计算机，必须使用验证成功的计算机进行操作，否则造成相应后果由投标人自行承担。</w:t>
      </w:r>
      <w:r>
        <w:rPr>
          <w:rFonts w:hint="eastAsia" w:ascii="宋体" w:hAnsi="宋体" w:cs="宋体"/>
          <w:color w:val="000000"/>
          <w:szCs w:val="21"/>
          <w:highlight w:val="none"/>
          <w:lang w:eastAsia="zh-TW"/>
        </w:rPr>
      </w:r>
      <w:r/>
    </w:p>
    <w:p>
      <w:pPr>
        <w:pStyle w:val="1048"/>
        <w:ind w:firstLine="422"/>
        <w:keepLines w:val="0"/>
        <w:keepNext w:val="0"/>
        <w:pageBreakBefore w:val="0"/>
        <w:spacing w:line="360" w:lineRule="auto"/>
        <w:rPr>
          <w:rFonts w:ascii="宋体" w:hAnsi="宋体" w:cs="宋体"/>
          <w:color w:val="000000"/>
          <w:szCs w:val="21"/>
        </w:rPr>
      </w:pPr>
      <w:r/>
      <w:bookmarkStart w:id="28" w:name="_Toc35393627"/>
      <w:r/>
      <w:bookmarkStart w:id="29" w:name="_Toc28359085"/>
      <w:r/>
      <w:bookmarkStart w:id="30" w:name="_Toc28359008"/>
      <w:r/>
      <w:bookmarkStart w:id="31" w:name="_Toc35393796"/>
      <w:r>
        <w:rPr>
          <w:rFonts w:hint="eastAsia" w:ascii="宋体" w:hAnsi="宋体" w:cs="宋体"/>
          <w:b/>
          <w:bCs/>
          <w:color w:val="000000"/>
          <w:szCs w:val="21"/>
          <w:lang w:bidi="ar"/>
        </w:rPr>
        <w:t xml:space="preserve">4</w:t>
      </w:r>
      <w:r>
        <w:rPr>
          <w:rFonts w:hint="eastAsia" w:ascii="宋体" w:hAnsi="宋体" w:cs="宋体"/>
          <w:b/>
          <w:bCs/>
          <w:color w:val="000000"/>
          <w:szCs w:val="21"/>
          <w:lang w:val="zh-TW" w:bidi="ar"/>
        </w:rPr>
        <w:t xml:space="preserve">.现场踏勘</w:t>
      </w:r>
      <w:r>
        <w:rPr>
          <w:rFonts w:hint="eastAsia" w:ascii="宋体" w:hAnsi="宋体" w:cs="宋体"/>
          <w:b/>
          <w:bCs/>
          <w:color w:val="000000"/>
          <w:szCs w:val="21"/>
          <w:lang w:val="zh-TW" w:eastAsia="zh-CN" w:bidi="ar"/>
        </w:rPr>
        <w:t xml:space="preserve">：</w:t>
      </w:r>
      <w:r>
        <w:rPr>
          <w:rFonts w:hint="eastAsia" w:ascii="宋体" w:hAnsi="宋体" w:cs="宋体"/>
          <w:color w:val="000000"/>
          <w:szCs w:val="21"/>
        </w:rPr>
        <w:t xml:space="preserve">投标人自行踏勘现场。</w:t>
      </w:r>
      <w:r>
        <w:rPr>
          <w:rFonts w:ascii="宋体" w:hAnsi="宋体" w:cs="宋体"/>
          <w:color w:val="000000"/>
          <w:szCs w:val="21"/>
        </w:rPr>
      </w:r>
      <w:r/>
    </w:p>
    <w:p>
      <w:pPr>
        <w:pStyle w:val="1048"/>
        <w:ind w:firstLine="422"/>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5.政府采购相关政策</w:t>
      </w:r>
      <w:r>
        <w:rPr>
          <w:rFonts w:hint="eastAsia" w:ascii="宋体" w:hAnsi="宋体" w:cs="宋体"/>
          <w:b/>
          <w:bCs/>
          <w:color w:val="000000"/>
          <w:szCs w:val="21"/>
        </w:rPr>
      </w:r>
      <w:r/>
    </w:p>
    <w:p>
      <w:pPr>
        <w:pStyle w:val="1048"/>
        <w:ind w:firstLine="420"/>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（1）关于常州市中小企业政府采购信用融资：</w:t>
      </w:r>
      <w:r>
        <w:rPr>
          <w:rFonts w:hint="eastAsia" w:ascii="宋体" w:hAnsi="宋体" w:eastAsia="宋体" w:cs="宋体"/>
          <w:color w:val="000000"/>
          <w:szCs w:val="21"/>
        </w:rPr>
      </w:r>
      <w:r/>
    </w:p>
    <w:p>
      <w:pPr>
        <w:pStyle w:val="1048"/>
        <w:ind w:firstLine="420"/>
        <w:keepLines w:val="0"/>
        <w:keepNext w:val="0"/>
        <w:pageBreakBefore w:val="0"/>
        <w:spacing w:line="360" w:lineRule="auto"/>
        <w:rPr>
          <w:rFonts w:ascii="宋体" w:hAnsi="宋体" w:eastAsia="宋体" w:cs="宋体"/>
          <w:color w:val="000000"/>
          <w:szCs w:val="21"/>
        </w:rPr>
      </w:pPr>
      <w:r>
        <w:rPr>
          <w:rFonts w:hint="eastAsia" w:ascii="宋体" w:hAnsi="宋体" w:eastAsia="宋体" w:cs="宋体"/>
          <w:color w:val="000000"/>
          <w:szCs w:val="21"/>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eastAsia="宋体" w:cs="宋体"/>
          <w:color w:val="000000"/>
          <w:szCs w:val="21"/>
        </w:rPr>
      </w:r>
      <w:r/>
    </w:p>
    <w:p>
      <w:pPr>
        <w:pStyle w:val="1048"/>
        <w:ind w:firstLine="420"/>
        <w:keepLines w:val="0"/>
        <w:keepNext w:val="0"/>
        <w:pageBreakBefore w:val="0"/>
        <w:spacing w:line="360" w:lineRule="auto"/>
        <w:rPr>
          <w:rFonts w:ascii="宋体" w:hAnsi="宋体" w:eastAsia="宋体" w:cs="宋体"/>
          <w:color w:val="000000"/>
          <w:szCs w:val="21"/>
        </w:rPr>
      </w:pPr>
      <w:r>
        <w:rPr>
          <w:rFonts w:hint="eastAsia" w:ascii="宋体" w:hAnsi="宋体" w:eastAsia="宋体" w:cs="宋体"/>
          <w:color w:val="000000"/>
          <w:szCs w:val="21"/>
        </w:rPr>
        <w:t xml:space="preserve">（2）关于深入开展常州市政府采购线上合同信用融资：</w:t>
      </w:r>
      <w:r>
        <w:rPr>
          <w:rFonts w:ascii="宋体" w:hAnsi="宋体" w:eastAsia="宋体" w:cs="宋体"/>
          <w:color w:val="000000"/>
          <w:szCs w:val="21"/>
        </w:rPr>
      </w:r>
      <w:r/>
    </w:p>
    <w:p>
      <w:pPr>
        <w:pStyle w:val="1048"/>
        <w:ind w:firstLine="420"/>
        <w:keepLines w:val="0"/>
        <w:keepNext w:val="0"/>
        <w:pageBreakBefore w:val="0"/>
        <w:spacing w:line="360" w:lineRule="auto"/>
        <w:rPr>
          <w:rFonts w:ascii="宋体" w:hAnsi="宋体" w:eastAsia="宋体" w:cs="宋体"/>
          <w:color w:val="000000"/>
          <w:szCs w:val="21"/>
          <w:highlight w:val="none"/>
        </w:rPr>
      </w:pPr>
      <w:r>
        <w:rPr>
          <w:rFonts w:hint="eastAsia" w:ascii="宋体" w:hAnsi="宋体" w:eastAsia="宋体" w:cs="宋体"/>
          <w:color w:val="000000"/>
          <w:szCs w:val="21"/>
        </w:rPr>
        <w:t xml:space="preserve">根据江苏省财政厅、人民银行南京分行《关于深入推进政府采购线上合同信用融资工作的通知》（苏财购〔2021〕82号）、《人民银行南京分行办公室关于依托中征应收账款融资服务平台开展线上政</w:t>
      </w:r>
      <w:r>
        <w:rPr>
          <w:rFonts w:hint="eastAsia" w:ascii="宋体" w:hAnsi="宋体" w:eastAsia="宋体" w:cs="宋体"/>
          <w:color w:val="000000"/>
          <w:szCs w:val="21"/>
          <w:highlight w:val="none"/>
        </w:rPr>
        <w:t xml:space="preserve">采贷业务的通知》（南银办〔2022〕123号）等文件精神， 深入开展我市政府采购线上合同信用融资工作，线上“政采贷”业务流程及要求详见该文件相关内容或者常州市政府采购网-http://zfcg.changzhou.gov.cn/html/ns/tzgg/439010462491795.html。</w:t>
      </w:r>
      <w:r>
        <w:rPr>
          <w:rFonts w:ascii="宋体" w:hAnsi="宋体" w:eastAsia="宋体" w:cs="宋体"/>
          <w:color w:val="000000"/>
          <w:szCs w:val="21"/>
          <w:highlight w:val="none"/>
        </w:rPr>
      </w:r>
      <w:r/>
    </w:p>
    <w:p>
      <w:pPr>
        <w:pStyle w:val="1048"/>
        <w:ind w:firstLine="420"/>
        <w:keepLines w:val="0"/>
        <w:keepNext w:val="0"/>
        <w:pageBreakBefore w:val="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（3）现行国家、地方政府关于实施政府采购的一切法律、法规及部门规章、政策性文件等。</w:t>
      </w:r>
      <w:r>
        <w:rPr>
          <w:rFonts w:ascii="宋体" w:hAnsi="宋体" w:eastAsia="宋体" w:cs="宋体"/>
          <w:color w:val="000000"/>
          <w:szCs w:val="21"/>
          <w:highlight w:val="none"/>
        </w:rPr>
      </w:r>
      <w:r/>
    </w:p>
    <w:p>
      <w:pPr>
        <w:pStyle w:val="1050"/>
        <w:jc w:val="left"/>
        <w:spacing w:before="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七、对本次招标提出询问，请按以下方式联系。</w:t>
      </w:r>
      <w:bookmarkEnd w:id="28"/>
      <w:r/>
      <w:bookmarkEnd w:id="29"/>
      <w:r/>
      <w:bookmarkEnd w:id="30"/>
      <w:r/>
      <w:bookmarkEnd w:id="31"/>
      <w:r>
        <w:rPr>
          <w:rFonts w:hint="eastAsia" w:ascii="宋体" w:hAnsi="宋体" w:eastAsia="宋体" w:cs="宋体"/>
          <w:color w:val="000000"/>
          <w:sz w:val="21"/>
          <w:szCs w:val="21"/>
          <w:highlight w:val="none"/>
        </w:rPr>
      </w:r>
      <w:r/>
    </w:p>
    <w:p>
      <w:pPr>
        <w:pStyle w:val="1048"/>
        <w:jc w:val="left"/>
        <w:spacing w:line="360" w:lineRule="auto"/>
        <w:widowControl/>
        <w:rPr>
          <w:rFonts w:hint="eastAsia" w:ascii="宋体" w:hAnsi="宋体" w:cs="宋体"/>
          <w:b/>
          <w:color w:val="000000"/>
          <w:szCs w:val="21"/>
          <w:highlight w:val="none"/>
        </w:rPr>
      </w:pPr>
      <w:r>
        <w:rPr>
          <w:rFonts w:hint="eastAsia" w:ascii="宋体" w:hAnsi="宋体" w:cs="宋体"/>
          <w:color w:val="000000"/>
          <w:szCs w:val="21"/>
          <w:highlight w:val="none"/>
        </w:rPr>
        <w:t xml:space="preserve">　　</w:t>
      </w:r>
      <w:r>
        <w:rPr>
          <w:rFonts w:hint="eastAsia" w:ascii="宋体" w:hAnsi="宋体" w:cs="宋体"/>
          <w:b/>
          <w:color w:val="000000"/>
          <w:szCs w:val="21"/>
          <w:highlight w:val="none"/>
        </w:rPr>
        <w:t xml:space="preserve">1.采购人信息</w:t>
      </w:r>
      <w:r>
        <w:rPr>
          <w:rFonts w:hint="eastAsia" w:ascii="宋体" w:hAnsi="宋体" w:cs="宋体"/>
          <w:b/>
          <w:color w:val="000000"/>
          <w:szCs w:val="21"/>
          <w:highlight w:val="none"/>
        </w:rPr>
      </w:r>
      <w:r/>
    </w:p>
    <w:p>
      <w:pPr>
        <w:pStyle w:val="1048"/>
        <w:ind w:firstLine="420"/>
        <w:jc w:val="left"/>
        <w:spacing w:line="360" w:lineRule="auto"/>
        <w:rPr>
          <w:rFonts w:hint="eastAsia" w:ascii="宋体" w:hAnsi="宋体" w:eastAsia="宋体" w:cs="宋体"/>
          <w:color w:val="000000"/>
          <w:szCs w:val="21"/>
          <w:highlight w:val="none"/>
          <w:u w:val="single"/>
          <w:lang w:eastAsia="zh-CN"/>
        </w:rPr>
      </w:pPr>
      <w:r/>
      <w:bookmarkStart w:id="32" w:name="_Toc28359086"/>
      <w:r/>
      <w:bookmarkStart w:id="33" w:name="_Toc28359009"/>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lang w:eastAsia="zh-CN"/>
        </w:rPr>
        <w:t xml:space="preserve">常州市公安局常州经济开发区分局</w:t>
      </w:r>
      <w:r>
        <w:rPr>
          <w:rFonts w:hint="eastAsia" w:ascii="宋体" w:hAnsi="宋体" w:eastAsia="宋体" w:cs="宋体"/>
          <w:color w:val="000000"/>
          <w:szCs w:val="21"/>
          <w:highlight w:val="none"/>
          <w:u w:val="single"/>
          <w:lang w:eastAsia="zh-CN"/>
        </w:rPr>
      </w:r>
      <w:r/>
    </w:p>
    <w:p>
      <w:pPr>
        <w:pStyle w:val="1048"/>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lang w:eastAsia="zh-CN"/>
        </w:rPr>
        <w:t xml:space="preserve">江苏省常州市东方东路97号</w:t>
      </w:r>
      <w:r>
        <w:rPr>
          <w:rFonts w:hint="eastAsia" w:ascii="宋体" w:hAnsi="宋体" w:eastAsia="宋体" w:cs="宋体"/>
          <w:color w:val="000000"/>
          <w:szCs w:val="21"/>
          <w:highlight w:val="none"/>
          <w:lang w:eastAsia="zh-CN"/>
        </w:rPr>
      </w:r>
      <w:r/>
    </w:p>
    <w:p>
      <w:pPr>
        <w:pStyle w:val="1048"/>
        <w:ind w:firstLine="420"/>
        <w:jc w:val="left"/>
        <w:spacing w:line="360" w:lineRule="auto"/>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lang w:eastAsia="zh-CN"/>
        </w:rPr>
        <w:t xml:space="preserve">周警官，182 6117 8755</w:t>
      </w:r>
      <w:r>
        <w:rPr>
          <w:rFonts w:hint="eastAsia" w:ascii="宋体" w:hAnsi="宋体" w:eastAsia="宋体" w:cs="宋体"/>
          <w:color w:val="000000"/>
          <w:szCs w:val="21"/>
          <w:highlight w:val="none"/>
          <w:u w:val="single"/>
          <w:lang w:eastAsia="zh-CN"/>
        </w:rPr>
      </w:r>
      <w:r/>
    </w:p>
    <w:p>
      <w:pPr>
        <w:pStyle w:val="1048"/>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2.采购代理机构信息</w:t>
      </w:r>
      <w:bookmarkEnd w:id="32"/>
      <w:r/>
      <w:bookmarkEnd w:id="33"/>
      <w:r>
        <w:rPr>
          <w:rFonts w:hint="eastAsia" w:ascii="宋体" w:hAnsi="宋体" w:cs="宋体"/>
          <w:b/>
          <w:color w:val="000000"/>
          <w:szCs w:val="21"/>
          <w:highlight w:val="none"/>
        </w:rPr>
      </w:r>
      <w:r/>
    </w:p>
    <w:p>
      <w:pPr>
        <w:pStyle w:val="1048"/>
        <w:ind w:firstLine="420"/>
        <w:jc w:val="left"/>
        <w:spacing w:line="360" w:lineRule="auto"/>
        <w:rPr>
          <w:rFonts w:hint="eastAsia" w:ascii="宋体" w:hAnsi="宋体" w:cs="宋体"/>
          <w:color w:val="000000"/>
          <w:szCs w:val="21"/>
          <w:highlight w:val="none"/>
        </w:rPr>
      </w:pPr>
      <w:r/>
      <w:bookmarkStart w:id="34" w:name="_Toc28359010"/>
      <w:r/>
      <w:bookmarkStart w:id="35" w:name="_Toc28359087"/>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常州市阳峻项目管理有限公司</w:t>
      </w:r>
      <w:r>
        <w:rPr>
          <w:rFonts w:hint="eastAsia" w:ascii="宋体" w:hAnsi="宋体" w:cs="宋体"/>
          <w:color w:val="000000"/>
          <w:szCs w:val="21"/>
          <w:highlight w:val="none"/>
        </w:rPr>
      </w:r>
      <w:r/>
    </w:p>
    <w:p>
      <w:pPr>
        <w:pStyle w:val="1048"/>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江苏省常州市钟楼区荆川东路22-1号荆川商务大厦北楼4楼</w:t>
      </w:r>
      <w:r>
        <w:rPr>
          <w:rFonts w:hint="eastAsia" w:ascii="宋体" w:hAnsi="宋体" w:cs="宋体"/>
          <w:color w:val="000000"/>
          <w:szCs w:val="21"/>
          <w:highlight w:val="none"/>
          <w:u w:val="single"/>
        </w:rPr>
      </w:r>
      <w:r/>
    </w:p>
    <w:p>
      <w:pPr>
        <w:pStyle w:val="1048"/>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u w:val="single"/>
        </w:rPr>
        <w:t xml:space="preserve">0519-8366 1615</w:t>
      </w:r>
      <w:r>
        <w:rPr>
          <w:rFonts w:hint="eastAsia" w:ascii="宋体" w:hAnsi="宋体" w:cs="宋体"/>
          <w:color w:val="000000"/>
          <w:szCs w:val="21"/>
          <w:highlight w:val="none"/>
          <w:u w:val="single"/>
        </w:rPr>
      </w:r>
      <w:r/>
    </w:p>
    <w:p>
      <w:pPr>
        <w:pStyle w:val="1048"/>
        <w:ind w:firstLine="422"/>
        <w:spacing w:line="360" w:lineRule="auto"/>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3.项目联系方式</w:t>
      </w:r>
      <w:bookmarkEnd w:id="34"/>
      <w:r/>
      <w:bookmarkEnd w:id="35"/>
      <w:r>
        <w:rPr>
          <w:rFonts w:hint="eastAsia" w:ascii="宋体" w:hAnsi="宋体" w:cs="宋体"/>
          <w:b/>
          <w:color w:val="000000"/>
          <w:szCs w:val="21"/>
          <w:highlight w:val="none"/>
          <w:u w:val="single"/>
        </w:rPr>
      </w:r>
      <w:r/>
    </w:p>
    <w:p>
      <w:pPr>
        <w:pStyle w:val="1090"/>
        <w:ind w:firstLine="420"/>
        <w:spacing w:line="360" w:lineRule="auto"/>
        <w:rPr>
          <w:rFonts w:hAnsi="宋体" w:cs="宋体"/>
          <w:color w:val="000000"/>
          <w:szCs w:val="21"/>
          <w:highlight w:val="none"/>
          <w:u w:val="single"/>
          <w:lang w:bidi="ar"/>
        </w:rPr>
      </w:pPr>
      <w:r>
        <w:rPr>
          <w:rFonts w:hAnsi="宋体" w:cs="宋体"/>
          <w:color w:val="000000"/>
          <w:szCs w:val="21"/>
          <w:highlight w:val="none"/>
        </w:rPr>
        <w:t xml:space="preserve">项目联系人：</w:t>
      </w:r>
      <w:r>
        <w:rPr>
          <w:rFonts w:hAnsi="宋体" w:cs="宋体"/>
          <w:color w:val="000000"/>
          <w:szCs w:val="21"/>
          <w:highlight w:val="none"/>
          <w:u w:val="single"/>
        </w:rPr>
        <w:t xml:space="preserve">叶工</w:t>
      </w:r>
      <w:r>
        <w:rPr>
          <w:rFonts w:hAnsi="宋体" w:cs="宋体"/>
          <w:color w:val="000000"/>
          <w:szCs w:val="21"/>
          <w:highlight w:val="none"/>
          <w:u w:val="single"/>
          <w:lang w:bidi="ar"/>
        </w:rPr>
      </w:r>
      <w:r/>
    </w:p>
    <w:p>
      <w:pPr>
        <w:pStyle w:val="1090"/>
        <w:ind w:firstLine="420"/>
        <w:spacing w:line="360" w:lineRule="auto"/>
        <w:rPr>
          <w:rFonts w:hAnsi="宋体" w:cs="宋体"/>
          <w:color w:val="000000"/>
          <w:szCs w:val="21"/>
          <w:highlight w:val="none"/>
          <w:u w:val="single"/>
        </w:rPr>
      </w:pPr>
      <w:r>
        <w:rPr>
          <w:rFonts w:hAnsi="宋体" w:cs="宋体"/>
          <w:color w:val="000000"/>
          <w:szCs w:val="21"/>
          <w:highlight w:val="none"/>
        </w:rPr>
        <w:t xml:space="preserve">电      话：</w:t>
      </w:r>
      <w:r>
        <w:rPr>
          <w:rFonts w:hAnsi="宋体" w:cs="宋体"/>
          <w:color w:val="000000"/>
          <w:szCs w:val="21"/>
          <w:highlight w:val="none"/>
          <w:u w:val="single"/>
        </w:rPr>
        <w:t xml:space="preserve">0519-8366 1615</w:t>
      </w:r>
      <w:r>
        <w:rPr>
          <w:rFonts w:hAnsi="宋体" w:cs="宋体"/>
          <w:color w:val="000000"/>
          <w:szCs w:val="21"/>
          <w:highlight w:val="none"/>
          <w:u w:val="single"/>
        </w:rPr>
      </w:r>
      <w:r/>
    </w:p>
    <w:p>
      <w:pPr>
        <w:pStyle w:val="1090"/>
        <w:ind w:firstLine="422"/>
        <w:spacing w:line="360" w:lineRule="auto"/>
        <w:rPr>
          <w:rFonts w:hAnsi="宋体" w:cs="宋体"/>
          <w:b/>
          <w:bCs/>
          <w:color w:val="000000"/>
          <w:szCs w:val="21"/>
          <w:highlight w:val="none"/>
          <w:u w:val="none"/>
        </w:rPr>
      </w:pPr>
      <w:r>
        <w:rPr>
          <w:rFonts w:hAnsi="宋体" w:cs="宋体"/>
          <w:b/>
          <w:bCs/>
          <w:color w:val="000000"/>
          <w:szCs w:val="21"/>
          <w:highlight w:val="none"/>
          <w:u w:val="none"/>
        </w:rPr>
      </w:r>
      <w:r/>
    </w:p>
    <w:p>
      <w:pPr>
        <w:pStyle w:val="1090"/>
        <w:ind w:firstLine="422"/>
        <w:spacing w:line="360" w:lineRule="auto"/>
        <w:rPr>
          <w:rFonts w:hAnsi="宋体" w:cs="宋体"/>
          <w:b/>
          <w:bCs/>
          <w:color w:val="000000"/>
          <w:szCs w:val="21"/>
          <w:highlight w:val="none"/>
          <w:u w:val="none"/>
        </w:rPr>
      </w:pPr>
      <w:r>
        <w:rPr>
          <w:rFonts w:hint="eastAsia" w:hAnsi="宋体" w:cs="宋体"/>
          <w:b/>
          <w:bCs/>
          <w:color w:val="000000"/>
          <w:szCs w:val="21"/>
          <w:highlight w:val="none"/>
          <w:u w:val="none"/>
        </w:rPr>
        <w:t xml:space="preserve">注：上述个人信息由于工作需要经机构/当事人同意对外公布。</w:t>
      </w:r>
      <w:r>
        <w:rPr>
          <w:rFonts w:hAnsi="宋体" w:cs="宋体"/>
          <w:b/>
          <w:bCs/>
          <w:color w:val="000000"/>
          <w:szCs w:val="21"/>
          <w:highlight w:val="none"/>
          <w:u w:val="none"/>
        </w:rPr>
      </w:r>
      <w:r/>
    </w:p>
    <w:p>
      <w:pPr>
        <w:pStyle w:val="1048"/>
        <w:ind w:firstLine="5880"/>
        <w:jc w:val="right"/>
        <w:spacing w:line="360" w:lineRule="auto"/>
        <w:rPr>
          <w:color w:val="000000"/>
          <w:sz w:val="24"/>
          <w:highlight w:val="none"/>
        </w:rPr>
      </w:pPr>
      <w:r>
        <w:rPr>
          <w:color w:val="000000"/>
          <w:sz w:val="24"/>
          <w:highlight w:val="none"/>
        </w:rPr>
      </w:r>
      <w:r/>
    </w:p>
    <w:p>
      <w:pPr>
        <w:pStyle w:val="1048"/>
        <w:jc w:val="center"/>
        <w:spacing w:line="360" w:lineRule="auto"/>
        <w:rPr>
          <w:b/>
          <w:color w:val="000000"/>
          <w:sz w:val="32"/>
          <w:szCs w:val="32"/>
        </w:rPr>
        <w:outlineLvl w:val="0"/>
      </w:pPr>
      <w:r>
        <w:rPr>
          <w:color w:val="000000"/>
          <w:sz w:val="24"/>
          <w:highlight w:val="none"/>
        </w:rPr>
        <w:br w:type="page" w:clear="all"/>
      </w:r>
      <w:bookmarkStart w:id="36" w:name="_Toc127161488"/>
      <w:r/>
      <w:bookmarkStart w:id="37" w:name="_Toc150774783"/>
      <w:r/>
      <w:bookmarkStart w:id="38" w:name="_Toc264969275"/>
      <w:r/>
      <w:bookmarkStart w:id="39" w:name="_Toc353873938"/>
      <w:r/>
      <w:bookmarkStart w:id="40" w:name="_Toc127151777"/>
      <w:r/>
      <w:bookmarkStart w:id="41" w:name="_Toc226965856"/>
      <w:r/>
      <w:bookmarkStart w:id="42" w:name="_Toc305158928"/>
      <w:r/>
      <w:bookmarkStart w:id="43" w:name="_Toc353825548"/>
      <w:r/>
      <w:bookmarkStart w:id="44" w:name="_Toc265228423"/>
      <w:r/>
      <w:bookmarkStart w:id="45" w:name="_Toc512937850"/>
      <w:r/>
      <w:bookmarkStart w:id="46" w:name="_Toc99301420"/>
      <w:r/>
      <w:bookmarkStart w:id="47" w:name="_Toc305158854"/>
      <w:r/>
      <w:bookmarkStart w:id="48" w:name="_Toc195842950"/>
      <w:r>
        <w:rPr>
          <w:b/>
          <w:color w:val="000000"/>
          <w:sz w:val="32"/>
          <w:szCs w:val="32"/>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color w:val="000000"/>
          <w:sz w:val="32"/>
          <w:szCs w:val="32"/>
        </w:rPr>
      </w:r>
      <w:r/>
    </w:p>
    <w:p>
      <w:pPr>
        <w:pStyle w:val="1050"/>
        <w:spacing w:before="0" w:line="360" w:lineRule="auto"/>
        <w:tabs>
          <w:tab w:val="center" w:pos="4592" w:leader="none"/>
          <w:tab w:val="left" w:pos="7860" w:leader="none"/>
        </w:tabs>
        <w:rPr>
          <w:rFonts w:hint="eastAsia" w:ascii="宋体" w:hAnsi="宋体" w:eastAsia="宋体" w:cs="宋体"/>
          <w:color w:val="000000"/>
          <w:sz w:val="21"/>
          <w:szCs w:val="21"/>
        </w:rPr>
      </w:pPr>
      <w:r/>
      <w:bookmarkStart w:id="49" w:name="_Toc151193907"/>
      <w:r/>
      <w:bookmarkStart w:id="50" w:name="_Toc151193617"/>
      <w:r/>
      <w:bookmarkStart w:id="51" w:name="_Toc520356144"/>
      <w:r/>
      <w:bookmarkStart w:id="52" w:name="_Toc127151519"/>
      <w:r/>
      <w:bookmarkStart w:id="53" w:name="_Toc164229360"/>
      <w:r/>
      <w:bookmarkStart w:id="54" w:name="_Toc226337215"/>
      <w:r/>
      <w:bookmarkStart w:id="55" w:name="_Toc226965792"/>
      <w:r/>
      <w:bookmarkStart w:id="56" w:name="_Toc127151720"/>
      <w:r/>
      <w:bookmarkStart w:id="57" w:name="_Toc151193833"/>
      <w:r/>
      <w:bookmarkStart w:id="58" w:name="_Toc151193761"/>
      <w:r/>
      <w:bookmarkStart w:id="59" w:name="_Toc150774619"/>
      <w:r/>
      <w:bookmarkStart w:id="60" w:name="_Toc150509270"/>
      <w:r/>
      <w:bookmarkStart w:id="61" w:name="_Toc164608788"/>
      <w:r/>
      <w:bookmarkStart w:id="62" w:name="_Toc164608633"/>
      <w:r/>
      <w:bookmarkStart w:id="63" w:name="_Toc164229214"/>
      <w:r/>
      <w:bookmarkStart w:id="64" w:name="_Toc127161433"/>
      <w:r/>
      <w:bookmarkStart w:id="65" w:name="_Toc150480757"/>
      <w:r/>
      <w:bookmarkStart w:id="66" w:name="_Toc151193689"/>
      <w:r/>
      <w:bookmarkStart w:id="67" w:name="_Toc226965709"/>
      <w:r/>
      <w:bookmarkStart w:id="68" w:name="_Toc149720812"/>
      <w:r/>
      <w:bookmarkStart w:id="69" w:name="_Toc151190146"/>
      <w:r/>
      <w:bookmarkStart w:id="70" w:name="_Toc142311021"/>
      <w:r/>
      <w:bookmarkStart w:id="71" w:name="_Toc195842884"/>
      <w:r/>
      <w:bookmarkStart w:id="72" w:name="_Toc164351613"/>
      <w:r/>
      <w:bookmarkStart w:id="73" w:name="_Toc226309763"/>
      <w:r/>
      <w:bookmarkStart w:id="74" w:name="_Toc150774724"/>
      <w:r>
        <w:rPr>
          <w:rFonts w:ascii="Times New Roman" w:hAnsi="Times New Roman" w:eastAsia="宋体"/>
          <w:color w:val="000000"/>
          <w:sz w:val="28"/>
        </w:rPr>
        <w:t xml:space="preserve">投标人须知资料表</w:t>
      </w:r>
      <w:r>
        <w:rPr>
          <w:rFonts w:hint="eastAsia" w:ascii="宋体" w:hAnsi="宋体" w:eastAsia="宋体" w:cs="宋体"/>
          <w:color w:val="000000"/>
          <w:sz w:val="21"/>
          <w:szCs w:val="21"/>
        </w:rPr>
      </w:r>
      <w:r/>
    </w:p>
    <w:p>
      <w:pPr>
        <w:pStyle w:val="1048"/>
        <w:ind w:firstLine="480"/>
        <w:spacing w:line="360" w:lineRule="auto"/>
        <w:rPr>
          <w:rFonts w:hint="eastAsia" w:ascii="宋体" w:hAnsi="宋体" w:cs="宋体"/>
          <w:color w:val="000000"/>
          <w:szCs w:val="21"/>
        </w:rPr>
      </w:pPr>
      <w:r>
        <w:rPr>
          <w:rFonts w:hint="eastAsia" w:ascii="宋体" w:hAnsi="宋体" w:cs="宋体"/>
          <w:color w:val="000000"/>
          <w:szCs w:val="21"/>
        </w:rPr>
        <w:t xml:space="preserve">本表是对投标人须知的具体补充和修改，如有矛盾，均以本资料表为准。</w:t>
      </w:r>
      <w:r>
        <w:rPr>
          <w:rFonts w:hint="eastAsia" w:ascii="宋体" w:hAnsi="宋体" w:cs="宋体"/>
          <w:color w:val="000000"/>
          <w:szCs w:val="21"/>
        </w:rPr>
      </w:r>
      <w:r/>
    </w:p>
    <w:p>
      <w:pPr>
        <w:pStyle w:val="1048"/>
        <w:ind w:firstLine="480"/>
        <w:spacing w:line="360" w:lineRule="auto"/>
        <w:rPr>
          <w:rFonts w:hint="eastAsia" w:ascii="宋体" w:hAnsi="宋体" w:cs="宋体"/>
          <w:color w:val="000000"/>
          <w:szCs w:val="21"/>
        </w:rPr>
      </w:pPr>
      <w:r>
        <w:rPr>
          <w:rFonts w:hint="eastAsia" w:ascii="宋体" w:hAnsi="宋体" w:cs="宋体"/>
          <w:color w:val="000000"/>
          <w:szCs w:val="21"/>
        </w:rPr>
        <w:t xml:space="preserve">标记“■”的选项意为适用于本项目，标记“□”的选项意为不适用于本项目。</w:t>
      </w:r>
      <w:r>
        <w:rPr>
          <w:rFonts w:hint="eastAsia" w:ascii="宋体" w:hAnsi="宋体" w:cs="宋体"/>
          <w:color w:val="000000"/>
          <w:szCs w:val="21"/>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b/>
                <w:bCs/>
                <w:color w:val="000000"/>
                <w:szCs w:val="21"/>
              </w:rPr>
            </w:pPr>
            <w:r>
              <w:rPr>
                <w:rFonts w:hint="eastAsia" w:ascii="宋体" w:hAnsi="宋体" w:cs="宋体"/>
                <w:b/>
                <w:color w:val="000000"/>
                <w:szCs w:val="21"/>
              </w:rPr>
              <w:t xml:space="preserve">条款号</w:t>
            </w:r>
            <w:r>
              <w:rPr>
                <w:rFonts w:hint="eastAsia" w:ascii="宋体" w:hAnsi="宋体" w:cs="宋体"/>
                <w:b/>
                <w:bCs/>
                <w:color w:val="000000"/>
                <w:szCs w:val="21"/>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b/>
                <w:bCs/>
                <w:color w:val="000000"/>
                <w:szCs w:val="21"/>
              </w:rPr>
            </w:pPr>
            <w:r>
              <w:rPr>
                <w:rFonts w:hint="eastAsia" w:ascii="宋体" w:hAnsi="宋体" w:cs="宋体"/>
                <w:b/>
                <w:bCs/>
                <w:color w:val="000000"/>
                <w:szCs w:val="21"/>
              </w:rPr>
              <w:t xml:space="preserve">条目</w:t>
            </w:r>
            <w:r>
              <w:rPr>
                <w:rFonts w:hint="eastAsia" w:ascii="宋体" w:hAnsi="宋体" w:cs="宋体"/>
                <w:b/>
                <w:bCs/>
                <w:color w:val="000000"/>
                <w:szCs w:val="21"/>
              </w:rPr>
            </w:r>
            <w:r/>
          </w:p>
        </w:tc>
        <w:tc>
          <w:tcPr>
            <w:tcW w:w="7540"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b/>
                <w:bCs/>
                <w:color w:val="000000"/>
                <w:szCs w:val="21"/>
              </w:rPr>
            </w:pPr>
            <w:r>
              <w:rPr>
                <w:rFonts w:hint="eastAsia" w:ascii="宋体" w:hAnsi="宋体" w:cs="宋体"/>
                <w:b/>
                <w:bCs/>
                <w:color w:val="000000"/>
                <w:szCs w:val="21"/>
              </w:rPr>
              <w:t xml:space="preserve">内容</w:t>
            </w:r>
            <w:r>
              <w:rPr>
                <w:rFonts w:hint="eastAsia" w:ascii="宋体" w:hAnsi="宋体" w:cs="宋体"/>
                <w:b/>
                <w:bCs/>
                <w:color w:val="000000"/>
                <w:szCs w:val="21"/>
              </w:rPr>
            </w:r>
            <w:r/>
          </w:p>
        </w:tc>
      </w:tr>
      <w:tr>
        <w:trPr>
          <w:trHeight w:val="1003"/>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2.2</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项目属性</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项目属性：</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服务</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货物</w:t>
            </w:r>
            <w:r>
              <w:rPr>
                <w:rFonts w:hint="eastAsia" w:ascii="宋体" w:hAnsi="宋体" w:cs="宋体"/>
                <w:color w:val="000000"/>
                <w:szCs w:val="21"/>
                <w:highlight w:val="none"/>
                <w:u w:val="single"/>
              </w:rPr>
            </w:r>
            <w:r/>
          </w:p>
        </w:tc>
      </w:tr>
      <w:tr>
        <w:trPr>
          <w:trHeight w:val="999"/>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2.3</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科研仪器设备</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是否属于科研仪器设备采购项目：</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□是</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r>
      <w:tr>
        <w:trPr>
          <w:trHeight w:val="1119"/>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2.4</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核心产品</w:t>
            </w:r>
            <w:r>
              <w:rPr>
                <w:rFonts w:hint="eastAsia" w:ascii="宋体" w:hAnsi="宋体" w:cs="宋体"/>
                <w:color w:val="000000"/>
                <w:szCs w:val="21"/>
                <w:highlight w:val="none"/>
              </w:rPr>
            </w:r>
            <w:r/>
          </w:p>
        </w:tc>
        <w:tc>
          <w:tcPr>
            <w:tcW w:w="7540" w:type="dxa"/>
            <w:vAlign w:val="center"/>
            <w:textDirection w:val="lrTb"/>
            <w:noWrap w:val="false"/>
          </w:tcPr>
          <w:p>
            <w:pPr>
              <w:pStyle w:val="1090"/>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w:t>
            </w:r>
            <w:r>
              <w:rPr>
                <w:rFonts w:hAnsi="宋体" w:cs="宋体"/>
                <w:color w:val="000000"/>
                <w:szCs w:val="21"/>
                <w:highlight w:val="none"/>
              </w:rPr>
              <w:t xml:space="preserve">关于核心产品本项目</w:t>
            </w:r>
            <w:r>
              <w:rPr>
                <w:rFonts w:hint="eastAsia" w:hAnsi="宋体" w:cs="宋体"/>
                <w:color w:val="000000"/>
                <w:szCs w:val="21"/>
                <w:highlight w:val="none"/>
                <w:u w:val="single"/>
                <w:lang w:val="en-US" w:eastAsia="zh-CN"/>
              </w:rPr>
              <w:t xml:space="preserve">  </w:t>
            </w:r>
            <w:r>
              <w:rPr>
                <w:rFonts w:hAnsi="宋体" w:cs="宋体"/>
                <w:color w:val="000000"/>
                <w:szCs w:val="21"/>
                <w:highlight w:val="none"/>
              </w:rPr>
              <w:t xml:space="preserve">包不适用。</w:t>
            </w:r>
            <w:r>
              <w:rPr>
                <w:rFonts w:hAnsi="宋体" w:cs="宋体"/>
                <w:color w:val="000000"/>
                <w:szCs w:val="21"/>
                <w:highlight w:val="none"/>
              </w:rPr>
            </w:r>
            <w:r/>
          </w:p>
          <w:p>
            <w:pPr>
              <w:pStyle w:val="1090"/>
              <w:keepLines w:val="0"/>
              <w:keepNext w:val="0"/>
              <w:pageBreakBefore w:val="0"/>
              <w:spacing w:line="240" w:lineRule="auto"/>
              <w:widowControl w:val="off"/>
              <w:rPr>
                <w:rFonts w:hAnsi="宋体" w:cs="宋体"/>
                <w:color w:val="000000"/>
                <w:szCs w:val="21"/>
                <w:highlight w:val="none"/>
              </w:rPr>
            </w:pPr>
            <w:r>
              <w:rPr>
                <w:rFonts w:hint="eastAsia" w:hAnsi="宋体" w:cs="宋体"/>
                <w:color w:val="000000"/>
                <w:szCs w:val="21"/>
                <w:highlight w:val="none"/>
                <w:lang w:eastAsia="zh-CN"/>
              </w:rPr>
              <w:t xml:space="preserve">□</w:t>
            </w:r>
            <w:r>
              <w:rPr>
                <w:rFonts w:hAnsi="宋体" w:cs="宋体"/>
                <w:color w:val="000000"/>
                <w:szCs w:val="21"/>
                <w:highlight w:val="none"/>
              </w:rPr>
              <w:t xml:space="preserve">本项目</w:t>
            </w:r>
            <w:r>
              <w:rPr>
                <w:rFonts w:hint="eastAsia" w:hAnsi="宋体" w:cs="宋体"/>
                <w:color w:val="000000"/>
                <w:szCs w:val="21"/>
                <w:highlight w:val="none"/>
                <w:u w:val="single"/>
                <w:lang w:val="en-US" w:eastAsia="zh-CN"/>
              </w:rPr>
              <w:t xml:space="preserve"> / </w:t>
            </w:r>
            <w:r>
              <w:rPr>
                <w:rFonts w:hAnsi="宋体" w:cs="宋体"/>
                <w:color w:val="000000"/>
                <w:szCs w:val="21"/>
                <w:highlight w:val="none"/>
              </w:rPr>
              <w:t xml:space="preserve">包为单一产品采购项目。</w:t>
            </w:r>
            <w:r>
              <w:rPr>
                <w:rFonts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Ansi="宋体" w:cs="宋体"/>
                <w:color w:val="000000"/>
                <w:szCs w:val="21"/>
                <w:highlight w:val="none"/>
              </w:rPr>
              <w:t xml:space="preserve">■</w:t>
            </w:r>
            <w:r>
              <w:rPr>
                <w:rFonts w:hint="eastAsia" w:ascii="宋体" w:hAnsi="宋体" w:cs="宋体"/>
                <w:color w:val="000000"/>
                <w:szCs w:val="21"/>
                <w:highlight w:val="none"/>
              </w:rPr>
              <w:t xml:space="preserve">本项目</w:t>
            </w:r>
            <w:r>
              <w:rPr>
                <w:rFonts w:hint="eastAsia" w:ascii="宋体" w:hAnsi="宋体" w:cs="宋体"/>
                <w:color w:val="000000"/>
                <w:szCs w:val="21"/>
                <w:highlight w:val="none"/>
                <w:u w:val="single"/>
                <w:lang w:val="en-US" w:eastAsia="zh-CN"/>
              </w:rPr>
              <w:t xml:space="preserve">01</w:t>
            </w:r>
            <w:r>
              <w:rPr>
                <w:rFonts w:hint="eastAsia" w:ascii="宋体" w:hAnsi="宋体" w:cs="宋体"/>
                <w:color w:val="000000"/>
                <w:szCs w:val="21"/>
                <w:highlight w:val="none"/>
              </w:rPr>
              <w:t xml:space="preserve">包为非单一产品采购项目，核心产品为：</w:t>
            </w:r>
            <w:r>
              <w:rPr>
                <w:rFonts w:hint="eastAsia" w:ascii="宋体" w:hAnsi="宋体" w:cs="宋体"/>
                <w:b/>
                <w:bCs/>
                <w:color w:val="000000"/>
                <w:szCs w:val="21"/>
                <w:highlight w:val="none"/>
                <w:u w:val="single"/>
              </w:rPr>
              <w:t xml:space="preserve">900万环保高清电子警察抓拍单元</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1071"/>
        </w:trPr>
        <w:tc>
          <w:tcPr>
            <w:tcW w:w="988" w:type="dxa"/>
            <w:vAlign w:val="center"/>
            <w:vMerge w:val="restart"/>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3.1</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现场考察</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■不组织</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bCs/>
                <w:color w:val="000000"/>
                <w:szCs w:val="21"/>
                <w:highlight w:val="none"/>
              </w:rPr>
            </w:pPr>
            <w:r>
              <w:rPr>
                <w:rFonts w:hint="eastAsia" w:ascii="宋体" w:hAnsi="宋体" w:cs="宋体"/>
                <w:color w:val="000000"/>
                <w:szCs w:val="21"/>
                <w:highlight w:val="none"/>
              </w:rPr>
              <w:t xml:space="preserve">□组织，考察时间：__年_月_日_</w:t>
            </w:r>
            <w:r>
              <w:rPr>
                <w:rFonts w:hint="eastAsia" w:ascii="宋体" w:hAnsi="宋体" w:cs="宋体"/>
                <w:bCs/>
                <w:color w:val="000000"/>
                <w:szCs w:val="21"/>
                <w:highlight w:val="none"/>
              </w:rPr>
              <w:t xml:space="preserve">点</w:t>
            </w:r>
            <w:r>
              <w:rPr>
                <w:rFonts w:hint="eastAsia" w:ascii="宋体" w:hAnsi="宋体" w:cs="宋体"/>
                <w:color w:val="000000"/>
                <w:szCs w:val="21"/>
                <w:highlight w:val="none"/>
              </w:rPr>
              <w:t xml:space="preserve">_</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rPr>
            </w:r>
            <w:r/>
          </w:p>
          <w:p>
            <w:pPr>
              <w:pStyle w:val="1090"/>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考察地点：____________。</w:t>
            </w:r>
            <w:r>
              <w:rPr>
                <w:rFonts w:hAnsi="宋体" w:cs="宋体"/>
                <w:color w:val="000000"/>
                <w:szCs w:val="21"/>
                <w:highlight w:val="none"/>
              </w:rPr>
            </w:r>
            <w:r/>
          </w:p>
        </w:tc>
      </w:tr>
      <w:tr>
        <w:trPr>
          <w:trHeight w:val="1011"/>
        </w:trPr>
        <w:tc>
          <w:tcPr>
            <w:tcW w:w="988" w:type="dxa"/>
            <w:vAlign w:val="center"/>
            <w:vMerge w:val="continue"/>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开标前答疑会</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■不召开</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□召开，召开时间：__年_月_日_</w:t>
            </w:r>
            <w:r>
              <w:rPr>
                <w:rFonts w:hint="eastAsia" w:ascii="宋体" w:hAnsi="宋体" w:cs="宋体"/>
                <w:bCs/>
                <w:color w:val="000000"/>
                <w:szCs w:val="21"/>
                <w:highlight w:val="none"/>
              </w:rPr>
              <w:t xml:space="preserve">点</w:t>
            </w:r>
            <w:r>
              <w:rPr>
                <w:rFonts w:hint="eastAsia" w:ascii="宋体" w:hAnsi="宋体" w:cs="宋体"/>
                <w:color w:val="000000"/>
                <w:szCs w:val="21"/>
                <w:highlight w:val="none"/>
              </w:rPr>
              <w:t xml:space="preserve">_</w:t>
            </w:r>
            <w:r>
              <w:rPr>
                <w:rFonts w:hint="eastAsia" w:ascii="宋体" w:hAnsi="宋体" w:cs="宋体"/>
                <w:bCs/>
                <w:color w:val="000000"/>
                <w:szCs w:val="21"/>
                <w:highlight w:val="none"/>
              </w:rPr>
              <w:t xml:space="preserve">分</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召开地点：____________。</w:t>
            </w:r>
            <w:r>
              <w:rPr>
                <w:rFonts w:hint="eastAsia" w:ascii="宋体" w:hAnsi="宋体" w:cs="宋体"/>
                <w:color w:val="000000"/>
                <w:szCs w:val="21"/>
                <w:highlight w:val="none"/>
              </w:rPr>
            </w:r>
            <w:r/>
          </w:p>
        </w:tc>
      </w:tr>
      <w:tr>
        <w:trPr>
          <w:trHeight w:val="3153"/>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4.1</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样品</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投标样品递交：</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■不需要</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□需要，具体要求如下：</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（1）样品制作的标准和要求：_________；</w:t>
            </w:r>
            <w:r>
              <w:rPr>
                <w:rFonts w:hint="eastAsia" w:ascii="宋体" w:hAnsi="宋体" w:cs="宋体"/>
                <w:color w:val="000000"/>
                <w:szCs w:val="21"/>
                <w:highlight w:val="none"/>
                <w:u w:val="singl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（2）是否需要随样品提交相关检测报告：</w:t>
            </w:r>
            <w:r>
              <w:rPr>
                <w:rFonts w:hint="eastAsia" w:ascii="宋体" w:hAnsi="宋体" w:cs="宋体"/>
                <w:color w:val="000000"/>
                <w:szCs w:val="21"/>
                <w:highlight w:val="none"/>
              </w:rPr>
            </w:r>
            <w:r/>
          </w:p>
          <w:p>
            <w:pPr>
              <w:pStyle w:val="1048"/>
              <w:ind w:firstLine="525"/>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□不需要</w:t>
            </w:r>
            <w:r>
              <w:rPr>
                <w:rFonts w:hint="eastAsia" w:ascii="宋体" w:hAnsi="宋体" w:cs="宋体"/>
                <w:color w:val="000000"/>
                <w:szCs w:val="21"/>
                <w:highlight w:val="none"/>
              </w:rPr>
            </w:r>
            <w:r/>
          </w:p>
          <w:p>
            <w:pPr>
              <w:pStyle w:val="1048"/>
              <w:ind w:firstLine="525"/>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□需要</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（3）样品递交要求：_________；</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（4）未中标人样品退还：_________；</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（5）中标人样品保管、封存及退还：_________；</w:t>
            </w:r>
            <w:r>
              <w:rPr>
                <w:rFonts w:hint="eastAsia" w:ascii="宋体" w:hAnsi="宋体" w:cs="宋体"/>
                <w:color w:val="000000"/>
                <w:szCs w:val="21"/>
                <w:highlight w:val="none"/>
                <w:u w:val="singl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（6）其他要求（如有）：_________。</w:t>
            </w:r>
            <w:r>
              <w:rPr>
                <w:rFonts w:hint="eastAsia" w:ascii="宋体" w:hAnsi="宋体" w:cs="宋体"/>
                <w:color w:val="000000"/>
                <w:szCs w:val="21"/>
                <w:highlight w:val="none"/>
              </w:rPr>
            </w:r>
            <w:r/>
          </w:p>
        </w:tc>
      </w:tr>
      <w:tr>
        <w:trPr>
          <w:trHeight w:val="839"/>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5.2.5</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标的所属行业</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本项目采购标的对应的中小企业划分标准所属行业：</w:t>
            </w:r>
            <w:r>
              <w:rPr>
                <w:rFonts w:hint="eastAsia" w:ascii="宋体" w:hAnsi="宋体" w:cs="宋体"/>
                <w:b/>
                <w:bCs/>
                <w:color w:val="000000"/>
                <w:szCs w:val="21"/>
                <w:highlight w:val="none"/>
                <w:u w:val="single"/>
              </w:rPr>
              <w:t xml:space="preserve">工业</w:t>
            </w:r>
            <w:r>
              <w:rPr>
                <w:rFonts w:hint="eastAsia" w:ascii="宋体" w:hAnsi="宋体" w:cs="宋体"/>
                <w:b/>
                <w:bCs/>
                <w:color w:val="000000"/>
                <w:szCs w:val="21"/>
                <w:highlight w:val="none"/>
              </w:rPr>
              <w:t xml:space="preserve">。</w:t>
            </w:r>
            <w:r>
              <w:rPr>
                <w:rFonts w:hint="eastAsia" w:ascii="宋体" w:hAnsi="宋体" w:eastAsia="宋体" w:cs="宋体"/>
                <w:color w:val="000000"/>
                <w:sz w:val="21"/>
                <w:szCs w:val="21"/>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）或报价不作相应扣除（</w:t>
            </w:r>
            <w:r>
              <w:rPr>
                <w:rFonts w:hint="eastAsia" w:ascii="宋体" w:hAnsi="宋体" w:eastAsia="宋体" w:cs="宋体"/>
                <w:color w:val="000000"/>
                <w:sz w:val="21"/>
                <w:szCs w:val="21"/>
                <w:highlight w:val="none"/>
                <w:lang w:val="en-US" w:eastAsia="zh-CN"/>
              </w:rPr>
              <w:t xml:space="preserve">不</w:t>
            </w:r>
            <w:r>
              <w:rPr>
                <w:rFonts w:hint="eastAsia" w:ascii="宋体" w:hAnsi="宋体" w:eastAsia="宋体" w:cs="宋体"/>
                <w:color w:val="000000"/>
                <w:sz w:val="21"/>
                <w:szCs w:val="21"/>
                <w:highlight w:val="none"/>
              </w:rPr>
              <w:t xml:space="preserve">专门面向中小企业采购</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Cs w:val="21"/>
                <w:highlight w:val="none"/>
              </w:rPr>
            </w:r>
            <w:r/>
          </w:p>
        </w:tc>
      </w:tr>
    </w:tbl>
    <w:p>
      <w:pPr>
        <w:pStyle w:val="1048"/>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951"/>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11.2</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投标报价的特殊规定：</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□有，具体情形：_____。</w:t>
            </w:r>
            <w:r>
              <w:rPr>
                <w:rFonts w:hint="eastAsia" w:ascii="宋体" w:hAnsi="宋体" w:cs="宋体"/>
                <w:color w:val="000000"/>
                <w:szCs w:val="21"/>
                <w:highlight w:val="none"/>
              </w:rPr>
            </w:r>
            <w:r/>
          </w:p>
        </w:tc>
      </w:tr>
      <w:tr>
        <w:trPr>
          <w:trHeight w:val="490"/>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12</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投标保证金</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免收</w:t>
            </w:r>
            <w:r>
              <w:rPr>
                <w:rFonts w:hint="eastAsia" w:ascii="宋体" w:hAnsi="宋体" w:cs="宋体"/>
                <w:color w:val="000000"/>
                <w:szCs w:val="21"/>
                <w:highlight w:val="none"/>
              </w:rPr>
            </w:r>
            <w:r/>
          </w:p>
        </w:tc>
      </w:tr>
      <w:tr>
        <w:trPr>
          <w:trHeight w:val="538"/>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13.1</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自提交投标文件的截止之日起算</w:t>
            </w:r>
            <w:r>
              <w:rPr>
                <w:rFonts w:hint="eastAsia" w:ascii="宋体" w:hAnsi="宋体" w:cs="宋体"/>
                <w:color w:val="000000"/>
                <w:szCs w:val="21"/>
                <w:highlight w:val="none"/>
                <w:u w:val="single"/>
              </w:rPr>
              <w:t xml:space="preserve">60</w:t>
            </w:r>
            <w:r>
              <w:rPr>
                <w:rFonts w:hint="eastAsia" w:ascii="宋体" w:hAnsi="宋体" w:cs="宋体"/>
                <w:color w:val="000000"/>
                <w:szCs w:val="21"/>
                <w:highlight w:val="none"/>
              </w:rPr>
              <w:t xml:space="preserve">日历天。</w:t>
            </w:r>
            <w:r>
              <w:rPr>
                <w:rFonts w:hint="eastAsia" w:ascii="宋体" w:hAnsi="宋体" w:cs="宋体"/>
                <w:color w:val="000000"/>
                <w:szCs w:val="21"/>
                <w:highlight w:val="none"/>
              </w:rPr>
            </w:r>
            <w:r/>
          </w:p>
        </w:tc>
      </w:tr>
      <w:tr>
        <w:trPr>
          <w:trHeight w:val="1760"/>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25.5</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分包</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本项目的非主体、非关键性工作是否允许分包： </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■不允许</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□允许，具体要求：</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（1）可以分包履行的具体内容：_____；</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（2）允许分包的金额或者比例：_____；</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（3）其他要求：_____。</w:t>
            </w:r>
            <w:r>
              <w:rPr>
                <w:rFonts w:hint="eastAsia" w:ascii="宋体" w:hAnsi="宋体" w:cs="宋体"/>
                <w:color w:val="000000"/>
                <w:szCs w:val="21"/>
                <w:highlight w:val="none"/>
                <w:u w:val="single"/>
              </w:rPr>
            </w:r>
            <w:r/>
          </w:p>
        </w:tc>
      </w:tr>
      <w:tr>
        <w:trPr>
          <w:trHeight w:val="1507"/>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26.1.1</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询问</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询问送达形式：</w:t>
            </w:r>
            <w:r>
              <w:rPr>
                <w:rFonts w:hint="eastAsia" w:ascii="宋体" w:hAnsi="宋体" w:cs="宋体"/>
                <w:b/>
                <w:bCs/>
                <w:color w:val="000000"/>
                <w:szCs w:val="21"/>
                <w:highlight w:val="none"/>
              </w:rPr>
              <w:t xml:space="preserve">请将疑问于</w:t>
            </w:r>
            <w:r>
              <w:rPr>
                <w:rFonts w:hint="eastAsia" w:ascii="宋体" w:hAnsi="宋体" w:cs="宋体"/>
                <w:b/>
                <w:bCs/>
                <w:color w:val="000000"/>
                <w:szCs w:val="21"/>
                <w:highlight w:val="none"/>
                <w:u w:val="single"/>
              </w:rPr>
              <w:t xml:space="preserve">202</w:t>
            </w:r>
            <w:r>
              <w:rPr>
                <w:rFonts w:hint="eastAsia" w:ascii="宋体" w:hAnsi="宋体" w:cs="宋体"/>
                <w:b/>
                <w:bCs/>
                <w:color w:val="000000"/>
                <w:szCs w:val="21"/>
                <w:highlight w:val="none"/>
                <w:u w:val="single"/>
                <w:lang w:val="en-US" w:eastAsia="zh-CN"/>
              </w:rPr>
              <w:t xml:space="preserve">6</w:t>
            </w:r>
            <w:r>
              <w:rPr>
                <w:rFonts w:hint="eastAsia" w:ascii="宋体" w:hAnsi="宋体" w:cs="宋体"/>
                <w:b/>
                <w:bCs/>
                <w:color w:val="000000"/>
                <w:szCs w:val="21"/>
                <w:highlight w:val="none"/>
              </w:rPr>
              <w:t xml:space="preserve">年</w:t>
            </w:r>
            <w:r>
              <w:rPr>
                <w:rFonts w:hint="eastAsia" w:ascii="宋体" w:hAnsi="宋体" w:cs="宋体"/>
                <w:b/>
                <w:bCs/>
                <w:color w:val="000000"/>
                <w:szCs w:val="21"/>
                <w:highlight w:val="none"/>
                <w:u w:val="single"/>
                <w:lang w:val="en-US" w:eastAsia="zh-CN"/>
              </w:rPr>
              <w:t xml:space="preserve">10</w:t>
            </w:r>
            <w:r>
              <w:rPr>
                <w:rFonts w:hint="eastAsia" w:ascii="宋体" w:hAnsi="宋体" w:cs="宋体"/>
                <w:b/>
                <w:bCs/>
                <w:color w:val="000000"/>
                <w:szCs w:val="21"/>
                <w:highlight w:val="none"/>
              </w:rPr>
              <w:t xml:space="preserve">月</w:t>
            </w:r>
            <w:r>
              <w:rPr>
                <w:rFonts w:hint="eastAsia" w:ascii="宋体" w:hAnsi="宋体" w:cs="宋体"/>
                <w:b/>
                <w:bCs/>
                <w:color w:val="000000"/>
                <w:szCs w:val="21"/>
                <w:highlight w:val="none"/>
                <w:u w:val="single"/>
                <w:lang w:val="en-US" w:eastAsia="zh-CN"/>
              </w:rPr>
              <w:t xml:space="preserve">16</w:t>
            </w:r>
            <w:r>
              <w:rPr>
                <w:rFonts w:hint="eastAsia" w:ascii="宋体" w:hAnsi="宋体" w:cs="宋体"/>
                <w:b/>
                <w:bCs/>
                <w:color w:val="000000"/>
                <w:szCs w:val="21"/>
                <w:highlight w:val="none"/>
              </w:rPr>
              <w:t xml:space="preserve">日中午12点前以邮件形式发送至邮箱czyjxmgl@163.com。（格式详见</w:t>
            </w:r>
            <w:r>
              <w:rPr>
                <w:rFonts w:hint="eastAsia" w:ascii="宋体" w:hAnsi="宋体" w:cs="宋体"/>
                <w:b/>
                <w:bCs/>
                <w:color w:val="000000"/>
                <w:szCs w:val="21"/>
                <w:highlight w:val="none"/>
                <w:lang w:val="en-US" w:eastAsia="zh-CN"/>
              </w:rPr>
              <w:t xml:space="preserve">招标</w:t>
            </w:r>
            <w:r>
              <w:rPr>
                <w:rFonts w:hint="eastAsia" w:ascii="宋体" w:hAnsi="宋体" w:cs="宋体"/>
                <w:b/>
                <w:bCs/>
                <w:color w:val="000000"/>
                <w:szCs w:val="21"/>
                <w:highlight w:val="none"/>
              </w:rPr>
              <w:t xml:space="preserve">文件中“关于</w:t>
            </w:r>
            <w:r>
              <w:rPr>
                <w:rFonts w:hint="eastAsia" w:ascii="宋体" w:hAnsi="宋体" w:cs="宋体"/>
                <w:b/>
                <w:bCs/>
                <w:color w:val="000000"/>
                <w:szCs w:val="21"/>
                <w:highlight w:val="none"/>
                <w:lang w:val="en-US" w:eastAsia="zh-CN"/>
              </w:rPr>
              <w:t xml:space="preserve">招标</w:t>
            </w:r>
            <w:r>
              <w:rPr>
                <w:rFonts w:hint="eastAsia" w:ascii="宋体" w:hAnsi="宋体" w:cs="宋体"/>
                <w:b/>
                <w:bCs/>
                <w:color w:val="000000"/>
                <w:szCs w:val="21"/>
                <w:highlight w:val="none"/>
              </w:rPr>
              <w:t xml:space="preserve">文件的询问内容”）发送至邮箱进行咨询，如口头可解释的问题亦可电话咨询采购人。未提出疑问将被视为完全认同</w:t>
            </w:r>
            <w:r>
              <w:rPr>
                <w:rFonts w:hint="eastAsia" w:ascii="宋体" w:hAnsi="宋体" w:cs="宋体"/>
                <w:b/>
                <w:bCs/>
                <w:color w:val="000000"/>
                <w:szCs w:val="21"/>
                <w:highlight w:val="none"/>
                <w:lang w:val="en-US" w:eastAsia="zh-CN"/>
              </w:rPr>
              <w:t xml:space="preserve">招标文件所有内容</w:t>
            </w:r>
            <w:r>
              <w:rPr>
                <w:rFonts w:hint="eastAsia" w:ascii="宋体" w:hAnsi="宋体" w:cs="宋体"/>
                <w:b/>
                <w:bCs/>
                <w:color w:val="000000"/>
                <w:szCs w:val="21"/>
                <w:highlight w:val="none"/>
              </w:rPr>
              <w:t xml:space="preserve">，逾期将不接受其对于</w:t>
            </w:r>
            <w:r>
              <w:rPr>
                <w:rFonts w:hint="eastAsia" w:ascii="宋体" w:hAnsi="宋体" w:cs="宋体"/>
                <w:b/>
                <w:bCs/>
                <w:color w:val="000000"/>
                <w:szCs w:val="21"/>
                <w:highlight w:val="none"/>
                <w:lang w:val="en-US" w:eastAsia="zh-CN"/>
              </w:rPr>
              <w:t xml:space="preserve">招标文件</w:t>
            </w:r>
            <w:r>
              <w:rPr>
                <w:rFonts w:hint="eastAsia" w:ascii="宋体" w:hAnsi="宋体" w:cs="宋体"/>
                <w:b/>
                <w:bCs/>
                <w:color w:val="000000"/>
                <w:szCs w:val="21"/>
                <w:highlight w:val="none"/>
              </w:rPr>
              <w:t xml:space="preserve">的相关异议。如有变更，更正公告将会在江苏省政府采购网、常州市政府采购网公布。</w:t>
            </w:r>
            <w:r>
              <w:rPr>
                <w:rFonts w:hint="eastAsia" w:ascii="宋体" w:hAnsi="宋体" w:cs="宋体"/>
                <w:color w:val="000000"/>
                <w:szCs w:val="21"/>
                <w:highlight w:val="none"/>
              </w:rPr>
            </w:r>
            <w:r/>
          </w:p>
        </w:tc>
      </w:tr>
      <w:tr>
        <w:trPr>
          <w:trHeight w:val="1295"/>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26.3</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接收询问和质疑的联系方式</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联系部门：</w:t>
            </w:r>
            <w:r>
              <w:rPr>
                <w:rFonts w:hint="eastAsia" w:ascii="宋体" w:hAnsi="宋体" w:cs="宋体"/>
                <w:b/>
                <w:bCs/>
                <w:color w:val="000000"/>
                <w:szCs w:val="21"/>
                <w:highlight w:val="none"/>
                <w:u w:val="single"/>
              </w:rPr>
              <w:t xml:space="preserve">常州市阳峻项目管理有限公司</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b/>
                <w:bCs/>
                <w:color w:val="000000"/>
                <w:szCs w:val="21"/>
                <w:highlight w:val="none"/>
                <w:u w:val="single"/>
              </w:rPr>
              <w:t xml:space="preserve">0519-8366 1615</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通讯地址：</w:t>
            </w:r>
            <w:r>
              <w:rPr>
                <w:rFonts w:hint="eastAsia" w:ascii="宋体" w:hAnsi="宋体" w:cs="宋体"/>
                <w:b/>
                <w:bCs/>
                <w:color w:val="000000"/>
                <w:szCs w:val="21"/>
                <w:highlight w:val="none"/>
                <w:u w:val="single"/>
              </w:rPr>
              <w:t xml:space="preserve">江苏省常州市钟楼区荆川东路22-1号荆川商务大厦北楼4楼</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20"/>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27</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代理费</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收费对象：</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□采购人</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■中标人</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收费标准：</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lang w:val="en-US" w:eastAsia="zh-CN"/>
              </w:rPr>
              <w:t xml:space="preserve">1</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rPr>
              <w:t xml:space="preserve">本次采购预算金额中包含代理服务费，由</w:t>
            </w:r>
            <w:r>
              <w:rPr>
                <w:rFonts w:hint="eastAsia" w:ascii="宋体" w:hAnsi="宋体" w:cs="宋体"/>
                <w:b/>
                <w:bCs/>
                <w:color w:val="000000"/>
                <w:szCs w:val="21"/>
                <w:highlight w:val="none"/>
                <w:u w:val="single"/>
                <w:lang w:val="en-US" w:eastAsia="zh-CN"/>
              </w:rPr>
              <w:t xml:space="preserve">中标人</w:t>
            </w:r>
            <w:r>
              <w:rPr>
                <w:rFonts w:hint="eastAsia" w:ascii="宋体" w:hAnsi="宋体" w:cs="宋体"/>
                <w:b/>
                <w:bCs/>
                <w:color w:val="000000"/>
                <w:szCs w:val="21"/>
                <w:highlight w:val="none"/>
                <w:u w:val="single"/>
              </w:rPr>
              <w:t xml:space="preserve">支付，</w:t>
            </w:r>
            <w:r>
              <w:rPr>
                <w:rFonts w:hint="eastAsia" w:ascii="宋体" w:hAnsi="宋体" w:cs="宋体"/>
                <w:b/>
                <w:bCs/>
                <w:color w:val="000000"/>
                <w:szCs w:val="21"/>
                <w:highlight w:val="none"/>
                <w:u w:val="single"/>
                <w:lang w:val="en-US" w:eastAsia="zh-CN"/>
              </w:rPr>
              <w:t xml:space="preserve">投标人投标</w:t>
            </w:r>
            <w:r>
              <w:rPr>
                <w:rFonts w:hint="eastAsia" w:ascii="宋体" w:hAnsi="宋体" w:cs="宋体"/>
                <w:b/>
                <w:bCs/>
                <w:color w:val="000000"/>
                <w:szCs w:val="21"/>
                <w:highlight w:val="none"/>
                <w:u w:val="single"/>
              </w:rPr>
              <w:t xml:space="preserve">报价应包含代理费。</w:t>
            </w:r>
            <w:r>
              <w:rPr>
                <w:rFonts w:hint="eastAsia" w:ascii="宋体" w:hAnsi="宋体" w:cs="宋体"/>
                <w:b/>
                <w:bCs/>
                <w:color w:val="000000"/>
                <w:szCs w:val="21"/>
                <w:highlight w:val="none"/>
                <w:u w:val="single"/>
                <w:lang w:eastAsia="zh-CN"/>
              </w:rPr>
              <w:t xml:space="preserve">（</w:t>
            </w:r>
            <w:r>
              <w:rPr>
                <w:rFonts w:hint="eastAsia" w:ascii="宋体" w:hAnsi="宋体" w:cs="宋体"/>
                <w:b/>
                <w:bCs/>
                <w:color w:val="000000"/>
                <w:szCs w:val="21"/>
                <w:highlight w:val="none"/>
                <w:u w:val="single"/>
                <w:lang w:val="en-US" w:eastAsia="zh-CN"/>
              </w:rPr>
              <w:t xml:space="preserve">2</w:t>
            </w:r>
            <w:r>
              <w:rPr>
                <w:rFonts w:hint="eastAsia" w:ascii="宋体" w:hAnsi="宋体" w:cs="宋体"/>
                <w:b/>
                <w:bCs/>
                <w:color w:val="000000"/>
                <w:szCs w:val="21"/>
                <w:highlight w:val="none"/>
                <w:u w:val="single"/>
                <w:lang w:eastAsia="zh-CN"/>
              </w:rPr>
              <w:t xml:space="preserve">）</w:t>
            </w:r>
            <w:r>
              <w:rPr>
                <w:rFonts w:hint="eastAsia" w:ascii="宋体" w:hAnsi="宋体" w:eastAsia="宋体" w:cs="宋体"/>
                <w:b/>
                <w:bCs/>
                <w:sz w:val="21"/>
                <w:szCs w:val="21"/>
                <w:highlight w:val="none"/>
                <w:u w:val="single"/>
                <w:lang w:val="en-US" w:eastAsia="zh-CN"/>
              </w:rPr>
              <w:t xml:space="preserve">以中标金额</w:t>
            </w:r>
            <w:r>
              <w:rPr>
                <w:rFonts w:hint="eastAsia" w:ascii="宋体" w:hAnsi="宋体" w:eastAsia="宋体" w:cs="宋体"/>
                <w:b/>
                <w:bCs/>
                <w:sz w:val="21"/>
                <w:szCs w:val="21"/>
                <w:highlight w:val="none"/>
                <w:u w:val="single"/>
              </w:rPr>
              <w:t xml:space="preserve">为基数</w:t>
            </w:r>
            <w:r>
              <w:rPr>
                <w:rFonts w:hint="eastAsia" w:ascii="宋体" w:hAnsi="宋体" w:eastAsia="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rPr>
              <w:t xml:space="preserve">收费比例按差额定率累进法计算</w:t>
            </w:r>
            <w:r>
              <w:rPr>
                <w:rFonts w:hint="eastAsia" w:ascii="宋体" w:hAnsi="宋体" w:eastAsia="宋体" w:cs="宋体"/>
                <w:b/>
                <w:bCs/>
                <w:sz w:val="21"/>
                <w:szCs w:val="21"/>
                <w:highlight w:val="none"/>
                <w:u w:val="single"/>
                <w:lang w:val="en-US" w:eastAsia="zh-CN"/>
              </w:rPr>
              <w:t xml:space="preserve">后收取</w:t>
            </w:r>
            <w:r>
              <w:rPr>
                <w:rFonts w:hint="eastAsia" w:ascii="宋体" w:hAnsi="宋体" w:eastAsia="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lang w:val="en-US" w:eastAsia="zh-CN"/>
              </w:rPr>
              <w:t xml:space="preserve">中标</w:t>
            </w:r>
            <w:r>
              <w:rPr>
                <w:rFonts w:hint="eastAsia" w:ascii="宋体" w:hAnsi="宋体" w:eastAsia="宋体" w:cs="宋体"/>
                <w:b/>
                <w:bCs/>
                <w:sz w:val="21"/>
                <w:szCs w:val="21"/>
                <w:highlight w:val="none"/>
                <w:u w:val="single"/>
              </w:rPr>
              <w:t xml:space="preserve">金额在100万元(含)以下的为</w:t>
            </w:r>
            <w:r>
              <w:rPr>
                <w:rFonts w:hint="eastAsia" w:ascii="宋体" w:hAnsi="宋体" w:eastAsia="宋体" w:cs="宋体"/>
                <w:b/>
                <w:bCs/>
                <w:sz w:val="21"/>
                <w:szCs w:val="21"/>
                <w:highlight w:val="none"/>
                <w:u w:val="single"/>
                <w:lang w:val="en-US" w:eastAsia="zh-CN"/>
              </w:rPr>
              <w:t xml:space="preserve">1.5</w:t>
            </w:r>
            <w:r>
              <w:rPr>
                <w:rFonts w:hint="eastAsia" w:ascii="宋体" w:hAnsi="宋体" w:eastAsia="宋体" w:cs="宋体"/>
                <w:b/>
                <w:bCs/>
                <w:sz w:val="21"/>
                <w:szCs w:val="21"/>
                <w:highlight w:val="none"/>
                <w:u w:val="single"/>
              </w:rPr>
              <w:t xml:space="preserve">%，</w:t>
            </w:r>
            <w:r>
              <w:rPr>
                <w:rFonts w:hint="eastAsia" w:ascii="宋体" w:hAnsi="宋体" w:eastAsia="宋体" w:cs="宋体"/>
                <w:b/>
                <w:bCs/>
                <w:sz w:val="21"/>
                <w:szCs w:val="21"/>
                <w:highlight w:val="none"/>
                <w:u w:val="single"/>
                <w:lang w:val="en-US" w:eastAsia="zh-CN"/>
              </w:rPr>
              <w:t xml:space="preserve">中标</w:t>
            </w:r>
            <w:r>
              <w:rPr>
                <w:rFonts w:hint="eastAsia" w:ascii="宋体" w:hAnsi="宋体" w:eastAsia="宋体" w:cs="宋体"/>
                <w:b/>
                <w:bCs/>
                <w:sz w:val="21"/>
                <w:szCs w:val="21"/>
                <w:highlight w:val="none"/>
                <w:u w:val="single"/>
              </w:rPr>
              <w:t xml:space="preserve">金额在100万元（不含）至500万元（含）的为1.1%，</w:t>
            </w:r>
            <w:r>
              <w:rPr>
                <w:rFonts w:hint="eastAsia" w:ascii="宋体" w:hAnsi="宋体" w:eastAsia="宋体" w:cs="宋体"/>
                <w:b/>
                <w:bCs/>
                <w:sz w:val="21"/>
                <w:szCs w:val="21"/>
                <w:highlight w:val="none"/>
                <w:u w:val="single"/>
                <w:lang w:val="en-US" w:eastAsia="zh-CN"/>
              </w:rPr>
              <w:t xml:space="preserve">中标</w:t>
            </w:r>
            <w:r>
              <w:rPr>
                <w:rFonts w:hint="eastAsia" w:ascii="宋体" w:hAnsi="宋体" w:eastAsia="宋体" w:cs="宋体"/>
                <w:b/>
                <w:bCs/>
                <w:sz w:val="21"/>
                <w:szCs w:val="21"/>
                <w:highlight w:val="none"/>
                <w:u w:val="single"/>
              </w:rPr>
              <w:t xml:space="preserve">金额在</w:t>
            </w:r>
            <w:r>
              <w:rPr>
                <w:rFonts w:hint="eastAsia" w:ascii="宋体" w:hAnsi="宋体" w:eastAsia="宋体" w:cs="宋体"/>
                <w:b/>
                <w:bCs/>
                <w:sz w:val="21"/>
                <w:szCs w:val="21"/>
                <w:highlight w:val="none"/>
                <w:u w:val="single"/>
                <w:lang w:val="en-US" w:eastAsia="zh-CN"/>
              </w:rPr>
              <w:t xml:space="preserve">500</w:t>
            </w:r>
            <w:r>
              <w:rPr>
                <w:rFonts w:hint="eastAsia" w:ascii="宋体" w:hAnsi="宋体" w:eastAsia="宋体" w:cs="宋体"/>
                <w:b/>
                <w:bCs/>
                <w:sz w:val="21"/>
                <w:szCs w:val="21"/>
                <w:highlight w:val="none"/>
                <w:u w:val="single"/>
              </w:rPr>
              <w:t xml:space="preserve">万元（不含）至</w:t>
            </w:r>
            <w:r>
              <w:rPr>
                <w:rFonts w:hint="eastAsia" w:ascii="宋体" w:hAnsi="宋体" w:eastAsia="宋体" w:cs="宋体"/>
                <w:b/>
                <w:bCs/>
                <w:sz w:val="21"/>
                <w:szCs w:val="21"/>
                <w:highlight w:val="none"/>
                <w:u w:val="single"/>
                <w:lang w:val="en-US" w:eastAsia="zh-CN"/>
              </w:rPr>
              <w:t xml:space="preserve">10</w:t>
            </w:r>
            <w:r>
              <w:rPr>
                <w:rFonts w:hint="eastAsia" w:ascii="宋体" w:hAnsi="宋体" w:eastAsia="宋体" w:cs="宋体"/>
                <w:b/>
                <w:bCs/>
                <w:sz w:val="21"/>
                <w:szCs w:val="21"/>
                <w:highlight w:val="none"/>
                <w:u w:val="single"/>
              </w:rPr>
              <w:t xml:space="preserve">00万元（含）的为</w:t>
            </w:r>
            <w:r>
              <w:rPr>
                <w:rFonts w:hint="eastAsia" w:ascii="宋体" w:hAnsi="宋体" w:eastAsia="宋体" w:cs="宋体"/>
                <w:b/>
                <w:bCs/>
                <w:sz w:val="21"/>
                <w:szCs w:val="21"/>
                <w:highlight w:val="none"/>
                <w:u w:val="single"/>
                <w:lang w:val="en-US" w:eastAsia="zh-CN"/>
              </w:rPr>
              <w:t xml:space="preserve">0.8</w:t>
            </w:r>
            <w:r>
              <w:rPr>
                <w:rFonts w:hint="eastAsia" w:ascii="宋体" w:hAnsi="宋体" w:eastAsia="宋体" w:cs="宋体"/>
                <w:b/>
                <w:bCs/>
                <w:sz w:val="21"/>
                <w:szCs w:val="21"/>
                <w:highlight w:val="none"/>
                <w:u w:val="single"/>
              </w:rPr>
              <w:t xml:space="preserve">%</w:t>
            </w:r>
            <w:r>
              <w:rPr>
                <w:rFonts w:hint="eastAsia" w:ascii="宋体" w:hAnsi="宋体" w:eastAsia="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lang w:val="en-US" w:eastAsia="zh-CN"/>
              </w:rPr>
              <w:t xml:space="preserve">中标</w:t>
            </w:r>
            <w:r>
              <w:rPr>
                <w:rFonts w:hint="eastAsia" w:ascii="宋体" w:hAnsi="宋体" w:eastAsia="宋体" w:cs="宋体"/>
                <w:b/>
                <w:bCs/>
                <w:sz w:val="21"/>
                <w:szCs w:val="21"/>
                <w:highlight w:val="none"/>
                <w:u w:val="single"/>
              </w:rPr>
              <w:t xml:space="preserve">金额在</w:t>
            </w:r>
            <w:r>
              <w:rPr>
                <w:rFonts w:hint="eastAsia" w:ascii="宋体" w:hAnsi="宋体" w:eastAsia="宋体" w:cs="宋体"/>
                <w:b/>
                <w:bCs/>
                <w:sz w:val="21"/>
                <w:szCs w:val="21"/>
                <w:highlight w:val="none"/>
                <w:u w:val="single"/>
                <w:lang w:val="en-US" w:eastAsia="zh-CN"/>
              </w:rPr>
              <w:t xml:space="preserve">1000</w:t>
            </w:r>
            <w:r>
              <w:rPr>
                <w:rFonts w:hint="eastAsia" w:ascii="宋体" w:hAnsi="宋体" w:eastAsia="宋体" w:cs="宋体"/>
                <w:b/>
                <w:bCs/>
                <w:sz w:val="21"/>
                <w:szCs w:val="21"/>
                <w:highlight w:val="none"/>
                <w:u w:val="single"/>
              </w:rPr>
              <w:t xml:space="preserve">万元（不含）至</w:t>
            </w:r>
            <w:r>
              <w:rPr>
                <w:rFonts w:hint="eastAsia" w:ascii="宋体" w:hAnsi="宋体" w:eastAsia="宋体" w:cs="宋体"/>
                <w:b/>
                <w:bCs/>
                <w:sz w:val="21"/>
                <w:szCs w:val="21"/>
                <w:highlight w:val="none"/>
                <w:u w:val="single"/>
                <w:lang w:val="en-US" w:eastAsia="zh-CN"/>
              </w:rPr>
              <w:t xml:space="preserve">50</w:t>
            </w:r>
            <w:r>
              <w:rPr>
                <w:rFonts w:hint="eastAsia" w:ascii="宋体" w:hAnsi="宋体" w:eastAsia="宋体" w:cs="宋体"/>
                <w:b/>
                <w:bCs/>
                <w:sz w:val="21"/>
                <w:szCs w:val="21"/>
                <w:highlight w:val="none"/>
                <w:u w:val="single"/>
              </w:rPr>
              <w:t xml:space="preserve">00万元（含）的为</w:t>
            </w:r>
            <w:r>
              <w:rPr>
                <w:rFonts w:hint="eastAsia" w:ascii="宋体" w:hAnsi="宋体" w:eastAsia="宋体" w:cs="宋体"/>
                <w:b/>
                <w:bCs/>
                <w:sz w:val="21"/>
                <w:szCs w:val="21"/>
                <w:highlight w:val="none"/>
                <w:u w:val="single"/>
                <w:lang w:val="en-US" w:eastAsia="zh-CN"/>
              </w:rPr>
              <w:t xml:space="preserve">0.5</w:t>
            </w:r>
            <w:r>
              <w:rPr>
                <w:rFonts w:hint="eastAsia" w:ascii="宋体" w:hAnsi="宋体" w:eastAsia="宋体" w:cs="宋体"/>
                <w:b/>
                <w:bCs/>
                <w:sz w:val="21"/>
                <w:szCs w:val="21"/>
                <w:highlight w:val="none"/>
                <w:u w:val="single"/>
              </w:rPr>
              <w:t xml:space="preserve">%</w:t>
            </w:r>
            <w:r>
              <w:rPr>
                <w:rFonts w:hint="eastAsia" w:ascii="宋体" w:hAnsi="宋体" w:eastAsia="宋体" w:cs="宋体"/>
                <w:b/>
                <w:bCs/>
                <w:sz w:val="21"/>
                <w:szCs w:val="21"/>
                <w:highlight w:val="none"/>
                <w:u w:val="single"/>
                <w:lang w:eastAsia="zh-CN"/>
              </w:rPr>
              <w:t xml:space="preserve">。（</w:t>
            </w:r>
            <w:r>
              <w:rPr>
                <w:rFonts w:hint="eastAsia" w:ascii="宋体" w:hAnsi="宋体" w:eastAsia="宋体" w:cs="宋体"/>
                <w:b/>
                <w:bCs/>
                <w:sz w:val="21"/>
                <w:szCs w:val="21"/>
                <w:highlight w:val="none"/>
                <w:u w:val="single"/>
                <w:lang w:val="en-US" w:eastAsia="zh-CN"/>
              </w:rPr>
              <w:t xml:space="preserve">3</w:t>
            </w:r>
            <w:r>
              <w:rPr>
                <w:rFonts w:hint="eastAsia" w:ascii="宋体" w:hAnsi="宋体" w:eastAsia="宋体" w:cs="宋体"/>
                <w:b/>
                <w:bCs/>
                <w:sz w:val="21"/>
                <w:szCs w:val="21"/>
                <w:highlight w:val="none"/>
                <w:u w:val="single"/>
                <w:lang w:eastAsia="zh-CN"/>
              </w:rPr>
              <w:t xml:space="preserve">）</w:t>
            </w:r>
            <w:r>
              <w:rPr>
                <w:rFonts w:hint="eastAsia" w:ascii="宋体" w:hAnsi="宋体" w:cs="宋体"/>
                <w:b/>
                <w:bCs/>
                <w:color w:val="000000"/>
                <w:szCs w:val="21"/>
                <w:highlight w:val="none"/>
                <w:u w:val="single"/>
              </w:rPr>
              <w:t xml:space="preserve">代理服务</w:t>
            </w:r>
            <w:r>
              <w:rPr>
                <w:rFonts w:hint="eastAsia" w:ascii="宋体" w:hAnsi="宋体" w:eastAsia="宋体" w:cs="宋体"/>
                <w:b/>
                <w:bCs/>
                <w:sz w:val="21"/>
                <w:szCs w:val="21"/>
                <w:highlight w:val="none"/>
                <w:u w:val="single"/>
              </w:rPr>
              <w:t xml:space="preserve">收费按上述计算方法不足人民币3000元的，按人民币3000元收取</w:t>
            </w:r>
            <w:r>
              <w:rPr>
                <w:rFonts w:hint="eastAsia" w:ascii="宋体" w:hAnsi="宋体" w:eastAsia="宋体" w:cs="宋体"/>
                <w:b/>
                <w:bCs/>
                <w:sz w:val="21"/>
                <w:szCs w:val="21"/>
                <w:highlight w:val="none"/>
                <w:u w:val="single"/>
                <w:lang w:eastAsia="zh-CN"/>
              </w:rPr>
              <w:t xml:space="preserve">。</w:t>
            </w:r>
            <w:r>
              <w:rPr>
                <w:rFonts w:hint="eastAsia" w:ascii="宋体" w:hAnsi="宋体" w:eastAsia="宋体" w:cs="宋体"/>
                <w:color w:val="000000"/>
                <w:szCs w:val="21"/>
                <w:highlight w:val="none"/>
                <w:lang w:eastAsia="zh-CN"/>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缴纳时间：</w:t>
            </w:r>
            <w:r>
              <w:rPr>
                <w:rFonts w:hint="eastAsia" w:ascii="宋体" w:hAnsi="宋体" w:cs="宋体"/>
                <w:b/>
                <w:bCs/>
                <w:color w:val="000000"/>
                <w:szCs w:val="21"/>
                <w:highlight w:val="none"/>
                <w:u w:val="single"/>
              </w:rPr>
              <w:t xml:space="preserve">中标</w:t>
            </w:r>
            <w:r>
              <w:rPr>
                <w:rFonts w:hint="eastAsia" w:ascii="宋体" w:hAnsi="宋体" w:cs="宋体"/>
                <w:b/>
                <w:bCs/>
                <w:color w:val="000000"/>
                <w:szCs w:val="21"/>
                <w:highlight w:val="none"/>
                <w:u w:val="single"/>
                <w:lang w:val="en-US" w:eastAsia="zh-CN"/>
              </w:rPr>
              <w:t xml:space="preserve">人</w:t>
            </w:r>
            <w:r>
              <w:rPr>
                <w:rFonts w:hint="eastAsia" w:ascii="宋体" w:hAnsi="宋体" w:cs="宋体"/>
                <w:b/>
                <w:bCs/>
                <w:color w:val="000000"/>
                <w:szCs w:val="21"/>
                <w:highlight w:val="none"/>
                <w:u w:val="single"/>
              </w:rPr>
              <w:t xml:space="preserve">应在中标结果公示结束后五个工作日内支付至代理机构</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8"/>
              <w:jc w:val="left"/>
              <w:keepLines w:val="0"/>
              <w:keepNext w:val="0"/>
              <w:pageBreakBefore w:val="0"/>
              <w:spacing w:line="240" w:lineRule="auto"/>
              <w:widowControl w:val="off"/>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收款单位：常州市阳峻项目管理有限公司</w:t>
            </w:r>
            <w:r>
              <w:rPr>
                <w:rFonts w:hint="eastAsia" w:ascii="宋体" w:hAnsi="宋体" w:cs="宋体"/>
                <w:b/>
                <w:bCs/>
                <w:color w:val="000000"/>
                <w:szCs w:val="21"/>
                <w:highlight w:val="none"/>
                <w:u w:val="single"/>
              </w:rPr>
            </w:r>
            <w:r/>
          </w:p>
          <w:p>
            <w:pPr>
              <w:pStyle w:val="1048"/>
              <w:jc w:val="left"/>
              <w:keepLines w:val="0"/>
              <w:keepNext w:val="0"/>
              <w:pageBreakBefore w:val="0"/>
              <w:spacing w:line="240" w:lineRule="auto"/>
              <w:widowControl w:val="off"/>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开户银行：中国农业银行股份有限公司常州天宁支行</w:t>
            </w:r>
            <w:r>
              <w:rPr>
                <w:rFonts w:hint="eastAsia" w:ascii="宋体" w:hAnsi="宋体" w:cs="宋体"/>
                <w:b/>
                <w:bCs/>
                <w:color w:val="000000"/>
                <w:szCs w:val="21"/>
                <w:highlight w:val="none"/>
                <w:u w:val="single"/>
              </w:rPr>
            </w:r>
            <w:r/>
          </w:p>
          <w:p>
            <w:pPr>
              <w:pStyle w:val="1048"/>
              <w:jc w:val="left"/>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b/>
                <w:bCs/>
                <w:color w:val="000000"/>
                <w:szCs w:val="21"/>
                <w:highlight w:val="none"/>
                <w:u w:val="single"/>
              </w:rPr>
              <w:t xml:space="preserve">银行账号：1061 3001 0402 31265 </w:t>
            </w:r>
            <w:r>
              <w:rPr>
                <w:rFonts w:hint="eastAsia" w:ascii="宋体" w:hAnsi="宋体" w:cs="宋体"/>
                <w:color w:val="000000"/>
                <w:szCs w:val="21"/>
                <w:highlight w:val="none"/>
              </w:rPr>
            </w:r>
            <w:r/>
          </w:p>
        </w:tc>
      </w:tr>
      <w:tr>
        <w:trPr>
          <w:trHeight w:val="1096"/>
        </w:trPr>
        <w:tc>
          <w:tcPr>
            <w:tcW w:w="988" w:type="dxa"/>
            <w:vAlign w:val="center"/>
            <w:textDirection w:val="lrTb"/>
            <w:noWrap w:val="false"/>
          </w:tcPr>
          <w:p>
            <w:pPr>
              <w:pStyle w:val="1090"/>
              <w:jc w:val="center"/>
              <w:keepLines w:val="0"/>
              <w:keepNext w:val="0"/>
              <w:pageBreakBefore w:val="0"/>
              <w:spacing w:line="240" w:lineRule="auto"/>
              <w:widowControl w:val="off"/>
              <w:rPr>
                <w:rFonts w:hAnsi="宋体" w:cs="宋体"/>
                <w:color w:val="000000"/>
                <w:szCs w:val="21"/>
                <w:highlight w:val="none"/>
              </w:rPr>
            </w:pPr>
            <w:r>
              <w:rPr>
                <w:rFonts w:hAnsi="宋体" w:cs="宋体"/>
                <w:color w:val="000000"/>
                <w:szCs w:val="21"/>
                <w:highlight w:val="none"/>
              </w:rPr>
              <w:t xml:space="preserve">28</w:t>
            </w:r>
            <w:r>
              <w:rPr>
                <w:rFonts w:hAnsi="宋体" w:cs="宋体"/>
                <w:color w:val="000000"/>
                <w:szCs w:val="21"/>
                <w:highlight w:val="none"/>
              </w:rPr>
            </w:r>
            <w:r/>
          </w:p>
        </w:tc>
        <w:tc>
          <w:tcPr>
            <w:tcW w:w="1701" w:type="dxa"/>
            <w:vAlign w:val="center"/>
            <w:textDirection w:val="lrTb"/>
            <w:noWrap w:val="false"/>
          </w:tcPr>
          <w:p>
            <w:pPr>
              <w:pStyle w:val="1048"/>
              <w:jc w:val="center"/>
              <w:keepLines w:val="0"/>
              <w:keepNext w:val="0"/>
              <w:pageBreakBefore w:val="0"/>
              <w:spacing w:line="24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纸质投标文件</w:t>
            </w:r>
            <w:r>
              <w:rPr>
                <w:rFonts w:hint="eastAsia" w:ascii="宋体" w:hAnsi="宋体" w:cs="宋体"/>
                <w:color w:val="000000"/>
                <w:szCs w:val="21"/>
                <w:highlight w:val="none"/>
              </w:rPr>
            </w:r>
            <w:r/>
          </w:p>
        </w:tc>
        <w:tc>
          <w:tcPr>
            <w:tcW w:w="7540" w:type="dxa"/>
            <w:vAlign w:val="center"/>
            <w:textDirection w:val="lrTb"/>
            <w:noWrap w:val="false"/>
          </w:tcPr>
          <w:p>
            <w:pPr>
              <w:pStyle w:val="1048"/>
              <w:jc w:val="left"/>
              <w:keepLines w:val="0"/>
              <w:keepNext w:val="0"/>
              <w:pageBreakBefore w:val="0"/>
              <w:spacing w:line="24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中标</w:t>
            </w:r>
            <w:r>
              <w:rPr>
                <w:rFonts w:hint="eastAsia" w:ascii="宋体" w:hAnsi="宋体" w:cs="宋体"/>
                <w:b/>
                <w:bCs/>
                <w:color w:val="000000"/>
                <w:szCs w:val="21"/>
                <w:highlight w:val="none"/>
              </w:rPr>
              <w:t xml:space="preserve">人</w:t>
            </w:r>
            <w:r>
              <w:rPr>
                <w:rFonts w:hint="eastAsia" w:ascii="宋体" w:hAnsi="宋体" w:cs="宋体"/>
                <w:b/>
                <w:bCs/>
                <w:color w:val="000000"/>
                <w:szCs w:val="21"/>
                <w:highlight w:val="none"/>
              </w:rPr>
              <w:t xml:space="preserve">在签订合同前需递交与电子投标文件内容一致的纸质投标文件</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正本1套、副本</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套</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在每一份纸质投标文件上要明确注明“正本” 或“副本”字样。</w:t>
            </w:r>
            <w:r>
              <w:rPr>
                <w:rFonts w:hint="eastAsia" w:ascii="宋体" w:hAnsi="宋体" w:cs="宋体"/>
                <w:b/>
                <w:bCs/>
                <w:color w:val="000000"/>
                <w:szCs w:val="21"/>
                <w:highlight w:val="none"/>
              </w:rPr>
            </w:r>
            <w:r/>
          </w:p>
          <w:p>
            <w:pPr>
              <w:pStyle w:val="1048"/>
              <w:jc w:val="left"/>
              <w:keepLines w:val="0"/>
              <w:keepNext w:val="0"/>
              <w:pageBreakBefore w:val="0"/>
              <w:spacing w:line="240" w:lineRule="auto"/>
              <w:widowControl w:val="off"/>
              <w:rPr>
                <w:rFonts w:hint="eastAsia" w:ascii="宋体" w:hAnsi="宋体" w:cs="宋体"/>
                <w:b/>
                <w:bCs/>
                <w:color w:val="000000"/>
                <w:szCs w:val="21"/>
                <w:highlight w:val="none"/>
              </w:rPr>
            </w:pP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内容</w:t>
            </w:r>
            <w:r>
              <w:rPr>
                <w:rFonts w:hint="eastAsia" w:ascii="宋体" w:hAnsi="宋体" w:cs="宋体"/>
                <w:b/>
                <w:bCs/>
                <w:color w:val="000000"/>
                <w:szCs w:val="21"/>
                <w:highlight w:val="none"/>
              </w:rPr>
              <w:t xml:space="preserve">需打印清晰，标注目录及页码</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，作为项目归档使用。</w:t>
            </w:r>
            <w:r>
              <w:rPr>
                <w:rFonts w:hint="eastAsia" w:ascii="宋体" w:hAnsi="宋体" w:cs="宋体"/>
                <w:b/>
                <w:bCs/>
                <w:color w:val="000000"/>
                <w:szCs w:val="21"/>
                <w:highlight w:val="none"/>
              </w:rPr>
            </w:r>
            <w:r/>
          </w:p>
        </w:tc>
      </w:tr>
    </w:tbl>
    <w:p>
      <w:pPr>
        <w:pStyle w:val="1048"/>
        <w:jc w:val="both"/>
        <w:spacing w:line="360" w:lineRule="auto"/>
        <w:tabs>
          <w:tab w:val="left" w:pos="5580" w:leader="none"/>
        </w:tabs>
        <w:rPr>
          <w:color w:val="000000"/>
          <w:sz w:val="24"/>
          <w:highlight w:val="none"/>
        </w:rPr>
        <w:sectPr>
          <w:headerReference w:type="default" r:id="rId9"/>
          <w:headerReference w:type="first" r:id="rId10"/>
          <w:footerReference w:type="default" r:id="rId15"/>
          <w:footerReference w:type="first" r:id="rId16"/>
          <w:footnotePr/>
          <w:endnotePr/>
          <w:type w:val="nextColumn"/>
          <w:pgSz w:w="11907" w:h="16840" w:orient="portrait"/>
          <w:pgMar w:top="1418" w:right="1134" w:bottom="1418" w:left="1701" w:header="851" w:footer="851" w:gutter="0"/>
          <w:cols w:num="1" w:sep="0" w:space="1701" w:equalWidth="1"/>
          <w:docGrid w:linePitch="360"/>
          <w:titlePg/>
        </w:sectPr>
      </w:pPr>
      <w:r>
        <w:rPr>
          <w:color w:val="000000"/>
          <w:sz w:val="24"/>
          <w:highlight w:val="none"/>
        </w:rPr>
      </w:r>
      <w:r/>
    </w:p>
    <w:p>
      <w:pPr>
        <w:pStyle w:val="1050"/>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5" w:name="_Toc305158785"/>
      <w:r/>
      <w:bookmarkStart w:id="76" w:name="_Toc353873932"/>
      <w:r/>
      <w:bookmarkStart w:id="77" w:name="_Toc226965790"/>
      <w:r/>
      <w:bookmarkStart w:id="78" w:name="_Toc195842882"/>
      <w:r/>
      <w:bookmarkStart w:id="79" w:name="_Toc142311019"/>
      <w:r/>
      <w:bookmarkStart w:id="80" w:name="_Toc150774722"/>
      <w:r/>
      <w:bookmarkStart w:id="81" w:name="_Toc264969207"/>
      <w:r/>
      <w:bookmarkStart w:id="82" w:name="_Toc127151517"/>
      <w:r/>
      <w:bookmarkStart w:id="83" w:name="_Toc150480755"/>
      <w:r/>
      <w:bookmarkStart w:id="84" w:name="_Toc305158859"/>
      <w:r/>
      <w:bookmarkStart w:id="85" w:name="_Toc353825542"/>
      <w:r/>
      <w:bookmarkStart w:id="86" w:name="_Toc265228355"/>
      <w:r/>
      <w:bookmarkStart w:id="87" w:name="_Toc353873662"/>
      <w:r/>
      <w:bookmarkStart w:id="88" w:name="_Toc226337213"/>
      <w:r>
        <w:rPr>
          <w:rFonts w:ascii="Times New Roman" w:hAnsi="Times New Roman" w:eastAsia="宋体"/>
          <w:color w:val="000000"/>
          <w:sz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ascii="Times New Roman" w:hAnsi="Times New Roman" w:eastAsia="宋体"/>
          <w:color w:val="000000"/>
          <w:sz w:val="28"/>
          <w:highlight w:val="none"/>
        </w:rPr>
      </w:r>
      <w:r/>
    </w:p>
    <w:p>
      <w:pPr>
        <w:pStyle w:val="1050"/>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89" w:name="_Toc127151518"/>
      <w:r/>
      <w:bookmarkStart w:id="90" w:name="_Toc520356143"/>
      <w:r>
        <w:rPr>
          <w:rFonts w:ascii="Times New Roman" w:hAnsi="Times New Roman" w:eastAsia="宋体"/>
          <w:color w:val="000000"/>
          <w:sz w:val="28"/>
          <w:highlight w:val="none"/>
        </w:rPr>
        <w:tab/>
      </w:r>
      <w:bookmarkStart w:id="91" w:name="_Toc151193760"/>
      <w:r/>
      <w:bookmarkStart w:id="92" w:name="_Toc150774618"/>
      <w:r/>
      <w:bookmarkStart w:id="93" w:name="_Toc226965791"/>
      <w:r/>
      <w:bookmarkStart w:id="94" w:name="_Toc226309762"/>
      <w:r/>
      <w:bookmarkStart w:id="95" w:name="_Toc151193832"/>
      <w:r/>
      <w:bookmarkStart w:id="96" w:name="_Toc151193616"/>
      <w:r/>
      <w:bookmarkStart w:id="97" w:name="_Toc226965708"/>
      <w:r/>
      <w:bookmarkStart w:id="98" w:name="_Toc264969208"/>
      <w:r/>
      <w:bookmarkStart w:id="99" w:name="_Toc195842883"/>
      <w:r/>
      <w:bookmarkStart w:id="100" w:name="_Toc150509269"/>
      <w:r/>
      <w:bookmarkStart w:id="101" w:name="_Toc151193906"/>
      <w:r/>
      <w:bookmarkStart w:id="102" w:name="_Toc142311020"/>
      <w:r/>
      <w:bookmarkStart w:id="103" w:name="_Toc305158860"/>
      <w:r/>
      <w:bookmarkStart w:id="104" w:name="_Toc151190145"/>
      <w:r/>
      <w:bookmarkStart w:id="105" w:name="_Toc151193688"/>
      <w:r/>
      <w:bookmarkStart w:id="106" w:name="_Toc150774723"/>
      <w:r/>
      <w:bookmarkStart w:id="107" w:name="_Toc305158786"/>
      <w:r/>
      <w:bookmarkStart w:id="108" w:name="_Toc150480756"/>
      <w:r/>
      <w:bookmarkStart w:id="109" w:name="_Toc265228356"/>
      <w:r/>
      <w:bookmarkStart w:id="110" w:name="_Toc226337214"/>
      <w:r>
        <w:rPr>
          <w:rFonts w:ascii="Times New Roman" w:hAnsi="Times New Roman" w:eastAsia="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1048"/>
        <w:spacing w:line="360" w:lineRule="auto"/>
        <w:tabs>
          <w:tab w:val="left" w:pos="360" w:leader="none"/>
        </w:tabs>
        <w:rPr>
          <w:rFonts w:hint="eastAsia" w:ascii="宋体" w:hAnsi="宋体" w:cs="宋体"/>
          <w:b/>
          <w:bCs/>
          <w:color w:val="000000"/>
          <w:szCs w:val="21"/>
          <w:highlight w:val="none"/>
        </w:rPr>
        <w:outlineLvl w:val="1"/>
      </w:pPr>
      <w:r/>
      <w:bookmarkStart w:id="111" w:name="_Toc264969209"/>
      <w:r/>
      <w:bookmarkStart w:id="112" w:name="_Toc305158861"/>
      <w:r/>
      <w:bookmarkStart w:id="113" w:name="_Toc305158787"/>
      <w:r/>
      <w:bookmarkStart w:id="114" w:name="_Toc265228357"/>
      <w:r>
        <w:rPr>
          <w:rFonts w:hint="eastAsia" w:ascii="宋体" w:hAnsi="宋体" w:cs="宋体"/>
          <w:b/>
          <w:bCs/>
          <w:color w:val="000000"/>
          <w:szCs w:val="21"/>
          <w:highlight w:val="none"/>
        </w:rPr>
        <w:t xml:space="preserve">1.采购人、采购代理机构、投标人</w:t>
      </w:r>
      <w:bookmarkEnd w:id="111"/>
      <w:r/>
      <w:bookmarkEnd w:id="112"/>
      <w:r/>
      <w:bookmarkEnd w:id="113"/>
      <w:r/>
      <w:bookmarkEnd w:id="114"/>
      <w:r>
        <w:rPr>
          <w:rFonts w:hint="eastAsia" w:ascii="宋体" w:hAnsi="宋体" w:cs="宋体"/>
          <w:b/>
          <w:bCs/>
          <w:color w:val="000000"/>
          <w:szCs w:val="21"/>
          <w:highlight w:val="none"/>
        </w:rPr>
        <w:t xml:space="preserve">、联合体</w:t>
      </w:r>
      <w:r>
        <w:rPr>
          <w:rFonts w:hint="eastAsia" w:ascii="宋体" w:hAnsi="宋体" w:cs="宋体"/>
          <w:b/>
          <w:bCs/>
          <w:color w:val="000000"/>
          <w:szCs w:val="21"/>
          <w:highlight w:val="none"/>
        </w:rPr>
      </w:r>
      <w:r/>
    </w:p>
    <w:p>
      <w:pPr>
        <w:pStyle w:val="1048"/>
        <w:ind w:firstLine="420"/>
        <w:spacing w:line="360" w:lineRule="auto"/>
        <w:tabs>
          <w:tab w:val="left" w:pos="1080" w:leader="none"/>
          <w:tab w:val="left" w:pos="2014"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1.1采购人、采购代理机构：指依法进行政府采购的国家机关、事业单位、团体组织，及其委托的采购代理机构。本项目采购人、采购代理机构见第一章《投标邀请》。</w:t>
      </w:r>
      <w:r>
        <w:rPr>
          <w:rFonts w:hint="eastAsia" w:ascii="宋体" w:hAnsi="宋体" w:cs="宋体"/>
          <w:color w:val="000000"/>
          <w:szCs w:val="21"/>
          <w:highlight w:val="none"/>
        </w:rPr>
      </w:r>
      <w:r/>
    </w:p>
    <w:p>
      <w:pPr>
        <w:pStyle w:val="1048"/>
        <w:ind w:firstLine="420"/>
        <w:spacing w:line="360" w:lineRule="auto"/>
        <w:tabs>
          <w:tab w:val="left" w:pos="1080" w:leader="none"/>
          <w:tab w:val="left" w:pos="2014"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1.2投标人（也称“供应商”、“申请人”）：指向采购人提供货物、工程或者服务的法人、其他组织或者自然人。</w:t>
      </w:r>
      <w:r>
        <w:rPr>
          <w:rFonts w:hint="eastAsia" w:ascii="宋体" w:hAnsi="宋体" w:cs="宋体"/>
          <w:color w:val="000000"/>
          <w:szCs w:val="21"/>
          <w:highlight w:val="none"/>
        </w:rPr>
      </w:r>
      <w:r/>
    </w:p>
    <w:p>
      <w:pPr>
        <w:pStyle w:val="1048"/>
        <w:ind w:firstLine="420"/>
        <w:spacing w:line="360" w:lineRule="auto"/>
        <w:tabs>
          <w:tab w:val="left" w:pos="1080" w:leader="none"/>
          <w:tab w:val="left" w:pos="2014" w:leader="none"/>
          <w:tab w:val="left" w:pos="552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1.3联合体：指两个以上的自然人、法人或者其他组织组成一个联合体，以一个供应商的身份共同参加政府采购。</w:t>
      </w:r>
      <w:r>
        <w:rPr>
          <w:rFonts w:hint="eastAsia" w:ascii="宋体" w:hAnsi="宋体" w:cs="宋体"/>
          <w:color w:val="000000"/>
          <w:szCs w:val="21"/>
          <w:highlight w:val="none"/>
        </w:rPr>
      </w:r>
      <w:r/>
    </w:p>
    <w:p>
      <w:pPr>
        <w:pStyle w:val="1048"/>
        <w:spacing w:line="360" w:lineRule="auto"/>
        <w:tabs>
          <w:tab w:val="left" w:pos="360" w:leader="none"/>
        </w:tabs>
        <w:rPr>
          <w:rFonts w:hint="eastAsia" w:ascii="宋体" w:hAnsi="宋体" w:cs="宋体"/>
          <w:b/>
          <w:bCs/>
          <w:color w:val="000000"/>
          <w:szCs w:val="21"/>
        </w:rPr>
        <w:outlineLvl w:val="1"/>
      </w:pPr>
      <w:r/>
      <w:bookmarkStart w:id="115" w:name="_Toc142311022"/>
      <w:r/>
      <w:bookmarkStart w:id="116" w:name="_Toc226337216"/>
      <w:r/>
      <w:bookmarkStart w:id="117" w:name="_Toc195842885"/>
      <w:r/>
      <w:bookmarkStart w:id="118" w:name="_Toc127151721"/>
      <w:r/>
      <w:bookmarkStart w:id="119" w:name="_Toc150774620"/>
      <w:r/>
      <w:bookmarkStart w:id="120" w:name="_Toc151190147"/>
      <w:r/>
      <w:bookmarkStart w:id="121" w:name="_Toc164351614"/>
      <w:r/>
      <w:bookmarkStart w:id="122" w:name="_Toc150774725"/>
      <w:r/>
      <w:bookmarkStart w:id="123" w:name="_Toc127151520"/>
      <w:r/>
      <w:bookmarkStart w:id="124" w:name="_Toc226965793"/>
      <w:r/>
      <w:bookmarkStart w:id="125" w:name="_Toc151193908"/>
      <w:r/>
      <w:bookmarkStart w:id="126" w:name="_Toc127161434"/>
      <w:r/>
      <w:bookmarkStart w:id="127" w:name="_Toc305158862"/>
      <w:r/>
      <w:bookmarkStart w:id="128" w:name="_Toc164229361"/>
      <w:r/>
      <w:bookmarkStart w:id="129" w:name="_Toc150509271"/>
      <w:r/>
      <w:bookmarkStart w:id="130" w:name="_Toc226309764"/>
      <w:r/>
      <w:bookmarkStart w:id="131" w:name="_Toc164608789"/>
      <w:r/>
      <w:bookmarkStart w:id="132" w:name="_Toc226965710"/>
      <w:r/>
      <w:bookmarkStart w:id="133" w:name="_Toc305158788"/>
      <w:r/>
      <w:bookmarkStart w:id="134" w:name="_Toc151193834"/>
      <w:r/>
      <w:bookmarkStart w:id="135" w:name="_Toc264969210"/>
      <w:r/>
      <w:bookmarkStart w:id="136" w:name="_Toc150480758"/>
      <w:r/>
      <w:bookmarkStart w:id="137" w:name="_Toc151193690"/>
      <w:r/>
      <w:bookmarkStart w:id="138" w:name="_Toc151193762"/>
      <w:r/>
      <w:bookmarkStart w:id="139" w:name="_Toc149720813"/>
      <w:r/>
      <w:bookmarkStart w:id="140" w:name="_Toc265228358"/>
      <w:r/>
      <w:bookmarkStart w:id="141" w:name="_Toc151193618"/>
      <w:r/>
      <w:bookmarkStart w:id="142" w:name="_Toc164608634"/>
      <w:r/>
      <w:bookmarkStart w:id="143" w:name="_Toc164229215"/>
      <w:r>
        <w:rPr>
          <w:rFonts w:hint="eastAsia" w:ascii="宋体" w:hAnsi="宋体" w:cs="宋体"/>
          <w:b/>
          <w:bCs/>
          <w:color w:val="000000"/>
          <w:szCs w:val="21"/>
          <w:highlight w:val="none"/>
        </w:rPr>
        <w:t xml:space="preserve">2.资金来源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bCs/>
          <w:color w:val="000000"/>
          <w:szCs w:val="21"/>
          <w:highlight w:val="none"/>
        </w:rPr>
        <w:t xml:space="preserve">、项目属性、科研仪器设备采购、核心产品</w:t>
      </w:r>
      <w:r>
        <w:rPr>
          <w:rFonts w:hint="eastAsia" w:ascii="宋体" w:hAnsi="宋体" w:cs="宋体"/>
          <w:b/>
          <w:bCs/>
          <w:color w:val="000000"/>
          <w:szCs w:val="21"/>
        </w:rPr>
      </w:r>
      <w:r/>
    </w:p>
    <w:p>
      <w:pPr>
        <w:pStyle w:val="1048"/>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2.1资金来源为财政性资金和/或本项目采购中无法与财政性资金分割的非财政性资金。</w:t>
      </w:r>
      <w:r>
        <w:rPr>
          <w:rFonts w:hint="eastAsia" w:ascii="宋体" w:hAnsi="宋体" w:cs="宋体"/>
          <w:color w:val="000000"/>
          <w:szCs w:val="21"/>
        </w:rPr>
      </w:r>
      <w:r/>
    </w:p>
    <w:p>
      <w:pPr>
        <w:pStyle w:val="1048"/>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2.2项目属性见《投标人须知资料表》。</w:t>
      </w:r>
      <w:r>
        <w:rPr>
          <w:rFonts w:hint="eastAsia" w:ascii="宋体" w:hAnsi="宋体" w:cs="宋体"/>
          <w:color w:val="000000"/>
          <w:szCs w:val="21"/>
        </w:rPr>
      </w:r>
      <w:r/>
    </w:p>
    <w:p>
      <w:pPr>
        <w:pStyle w:val="1048"/>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2.3是否属于科研仪器设备采购见《投标人须知资料表》。</w:t>
      </w:r>
      <w:r>
        <w:rPr>
          <w:rFonts w:hint="eastAsia" w:ascii="宋体" w:hAnsi="宋体" w:cs="宋体"/>
          <w:color w:val="000000"/>
          <w:szCs w:val="21"/>
        </w:rPr>
      </w:r>
      <w:r/>
    </w:p>
    <w:p>
      <w:pPr>
        <w:pStyle w:val="1048"/>
        <w:ind w:firstLine="420"/>
        <w:spacing w:line="360" w:lineRule="auto"/>
        <w:tabs>
          <w:tab w:val="left" w:pos="1080" w:leader="none"/>
          <w:tab w:val="left" w:pos="2014" w:leader="none"/>
          <w:tab w:val="left" w:pos="5521" w:leader="none"/>
        </w:tabs>
        <w:rPr>
          <w:rFonts w:hint="eastAsia" w:ascii="宋体" w:hAnsi="宋体" w:cs="宋体"/>
          <w:color w:val="000000"/>
          <w:szCs w:val="21"/>
        </w:rPr>
      </w:pPr>
      <w:r>
        <w:rPr>
          <w:rFonts w:hint="eastAsia" w:ascii="宋体" w:hAnsi="宋体" w:cs="宋体"/>
          <w:color w:val="000000"/>
          <w:szCs w:val="21"/>
        </w:rPr>
        <w:t xml:space="preserve">2.4核心产品见《投标人须知资料表》。</w:t>
      </w:r>
      <w:r>
        <w:rPr>
          <w:rFonts w:hint="eastAsia" w:ascii="宋体" w:hAnsi="宋体" w:cs="宋体"/>
          <w:color w:val="000000"/>
          <w:szCs w:val="21"/>
        </w:rPr>
      </w:r>
      <w:r/>
    </w:p>
    <w:p>
      <w:pPr>
        <w:pStyle w:val="1048"/>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3.现场考察、开标前答疑会</w:t>
      </w:r>
      <w:r>
        <w:rPr>
          <w:rFonts w:hint="eastAsia" w:ascii="宋体" w:hAnsi="宋体" w:cs="宋体"/>
          <w:b/>
          <w:bCs/>
          <w:color w:val="000000"/>
          <w:szCs w:val="21"/>
        </w:rPr>
      </w:r>
      <w:r/>
    </w:p>
    <w:p>
      <w:pPr>
        <w:pStyle w:val="1048"/>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3.1若《投标人须知资料表》中规定了组织现场考察、召开开标前答疑会，则投标人应按要求在规定的时间和地点参加。</w:t>
      </w:r>
      <w:bookmarkStart w:id="144" w:name="_Toc226309766"/>
      <w:r/>
      <w:bookmarkStart w:id="145" w:name="_Toc151193910"/>
      <w:r/>
      <w:bookmarkStart w:id="146" w:name="_Toc127151522"/>
      <w:r/>
      <w:bookmarkStart w:id="147" w:name="_Toc151193764"/>
      <w:r/>
      <w:bookmarkStart w:id="148" w:name="_Toc265228360"/>
      <w:r/>
      <w:bookmarkStart w:id="149" w:name="_Toc150774622"/>
      <w:r/>
      <w:bookmarkStart w:id="150" w:name="_Toc150509273"/>
      <w:r/>
      <w:bookmarkStart w:id="151" w:name="_Toc226965712"/>
      <w:r/>
      <w:bookmarkStart w:id="152" w:name="_Toc150774727"/>
      <w:r/>
      <w:bookmarkStart w:id="153" w:name="_Toc226965795"/>
      <w:r/>
      <w:bookmarkStart w:id="154" w:name="_Toc195842887"/>
      <w:r/>
      <w:bookmarkStart w:id="155" w:name="_Toc151193836"/>
      <w:r/>
      <w:bookmarkStart w:id="156" w:name="_Toc151193692"/>
      <w:r/>
      <w:bookmarkStart w:id="157" w:name="_Toc264969212"/>
      <w:r/>
      <w:bookmarkStart w:id="158" w:name="_Toc305158864"/>
      <w:r/>
      <w:bookmarkStart w:id="159" w:name="_Toc151190149"/>
      <w:r/>
      <w:bookmarkStart w:id="160" w:name="_Toc142311024"/>
      <w:r/>
      <w:bookmarkStart w:id="161" w:name="_Toc151193620"/>
      <w:r/>
      <w:bookmarkStart w:id="162" w:name="_Toc226337218"/>
      <w:r/>
      <w:bookmarkStart w:id="163" w:name="_Toc520356146"/>
      <w:r/>
      <w:bookmarkStart w:id="164" w:name="_Toc150480760"/>
      <w:r/>
      <w:bookmarkStart w:id="165" w:name="_Toc305158790"/>
      <w:r>
        <w:rPr>
          <w:rFonts w:hint="eastAsia" w:ascii="宋体" w:hAnsi="宋体" w:cs="宋体"/>
          <w:color w:val="000000"/>
          <w:szCs w:val="21"/>
        </w:rPr>
      </w:r>
      <w:r/>
    </w:p>
    <w:p>
      <w:pPr>
        <w:pStyle w:val="1048"/>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3.2由于未参加现场考察或开标前答疑会而导致对项目实际情况不了解，影响投标文件编制、投标报价准确性、综合因素响应不全面等问题的，由投标人自行承担不利评审后果。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Cs w:val="21"/>
        </w:rPr>
      </w:r>
      <w:r/>
    </w:p>
    <w:p>
      <w:pPr>
        <w:pStyle w:val="1048"/>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4.样品</w:t>
      </w:r>
      <w:r>
        <w:rPr>
          <w:rFonts w:hint="eastAsia" w:ascii="宋体" w:hAnsi="宋体" w:cs="宋体"/>
          <w:b/>
          <w:bCs/>
          <w:color w:val="000000"/>
          <w:szCs w:val="21"/>
        </w:rPr>
      </w:r>
      <w:r/>
    </w:p>
    <w:p>
      <w:pPr>
        <w:pStyle w:val="1048"/>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4.1本项目是否要求投标人提供样品，以及样品制作的标准和要求、是否需要随样品提交相关检测报告、样品的递交与退还等要求见《投标人须知资料表》。</w:t>
      </w:r>
      <w:r>
        <w:rPr>
          <w:rFonts w:hint="eastAsia" w:ascii="宋体" w:hAnsi="宋体" w:cs="宋体"/>
          <w:color w:val="000000"/>
          <w:szCs w:val="21"/>
        </w:rPr>
      </w:r>
      <w:r/>
    </w:p>
    <w:p>
      <w:pPr>
        <w:pStyle w:val="1048"/>
        <w:ind w:firstLine="420"/>
        <w:spacing w:line="360" w:lineRule="auto"/>
        <w:tabs>
          <w:tab w:val="left" w:pos="1080" w:leader="none"/>
          <w:tab w:val="left" w:pos="2014" w:leader="none"/>
        </w:tabs>
        <w:rPr>
          <w:rFonts w:hint="eastAsia" w:ascii="宋体" w:hAnsi="宋体" w:cs="宋体"/>
          <w:color w:val="000000"/>
          <w:szCs w:val="21"/>
        </w:rPr>
      </w:pPr>
      <w:r>
        <w:rPr>
          <w:rFonts w:hint="eastAsia" w:ascii="宋体" w:hAnsi="宋体" w:cs="宋体"/>
          <w:color w:val="000000"/>
          <w:szCs w:val="21"/>
        </w:rPr>
        <w:t xml:space="preserve">4.2样品的评审方法以及评审标准等内容见第四章《评标方法和评标标准》。</w:t>
      </w:r>
      <w:r>
        <w:rPr>
          <w:rFonts w:hint="eastAsia" w:ascii="宋体" w:hAnsi="宋体" w:cs="宋体"/>
          <w:color w:val="000000"/>
          <w:szCs w:val="21"/>
        </w:rPr>
      </w:r>
      <w:r/>
    </w:p>
    <w:p>
      <w:pPr>
        <w:pStyle w:val="1048"/>
        <w:spacing w:line="360" w:lineRule="auto"/>
        <w:tabs>
          <w:tab w:val="left" w:pos="360" w:leader="none"/>
        </w:tabs>
        <w:rPr>
          <w:rFonts w:hint="eastAsia"/>
          <w:color w:val="000000"/>
        </w:rPr>
        <w:outlineLvl w:val="1"/>
      </w:pPr>
      <w:r>
        <w:rPr>
          <w:rFonts w:hint="eastAsia" w:ascii="宋体" w:hAnsi="宋体" w:cs="宋体"/>
          <w:b/>
          <w:bCs/>
          <w:color w:val="000000"/>
          <w:szCs w:val="21"/>
        </w:rPr>
        <w:t xml:space="preserve">5.政府采购政策（包括但不限于下列具体政策要求）</w:t>
      </w:r>
      <w:r>
        <w:rPr>
          <w:rFonts w:hint="eastAsia"/>
          <w:color w:val="000000"/>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5.1进口产品</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5.2中小企业、监狱企业及残疾人福利性单位</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5.2.1中小企业定义：</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5.2.1.1中小企业</w:t>
      </w:r>
      <w:r>
        <w:rPr>
          <w:rFonts w:hint="eastAsia" w:ascii="宋体" w:hAnsi="宋体" w:cs="宋体"/>
          <w:color w:val="000000"/>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5.2.1.2供应商提供的货物、工程或者服务符合下列情形的，享受中小企业扶持政策：</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5.2.1.3在货物采购项目中，供应商提供的货物既有中小企业制造货物，也有大型企业制造货物的，不享受中小企业扶持政策。</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5.2.1.4以联合体形式参加政府采购活动，联合体各方均为中小企业的，联合体视同中小企业。其中，联合体各方均为小微企业的，联合体视同小微企业。</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5.2.3残疾人福利单位定义：享受政府采购支持政策的残疾人福利性单位应当同时满足以下条件：</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5.2.3.1安置的残疾人占本单位在职职工人数的比例不低于25%（含25%），并且安置的残疾人人数不少于10人（含10人）；</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5.2.3.2依法与安置的每位残疾人签订了一年以上（含一年）的劳动合同或服务协议；</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5.2.3.3为安置的每位残疾人按月足额缴纳了基本养老保险、基本医疗保险、失业保险、工伤保险和生育保险等社会保险费；</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5.2.3.4通过银行等金融机构向安置的每位残疾人，按月支付了不低于单位所在区县适用的经省级人民政府批准的月最低工资标准的工资；</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5.2.4本项目是否专门面向中小企业预留采购份额见第一章《投标邀请》。</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5.2.5采购标的对应的中小企业划分标准所属行业见《投标人须知资料表》。</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5.2.6小微企业价格评审优惠的政策调整：见第四章《评标方法和评标标准》。</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5.3政府采购节能产品、环境标志产品</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5.3.3如本项目采购产品属于实施政府强制采购品目清单范围的节能产品，则投标人所报产品必须获得国家确定的认证机构出具的、处于有效期之内的节能产品认证证书，否则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bCs/>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5.3.4非政府强制采购的节能产品或环境标志产品，依据品目清单和认证证书实施政府优先采购。优先采购的具体规定见第四章《评标方法和评标标准》（如涉及）。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rPr>
        <w:t xml:space="preserve">5.3.5依据《关于印发〈商品包装政府采购需求标准（试行）〉、〈快递包装政府采购需求标准（</w:t>
      </w:r>
      <w:r>
        <w:rPr>
          <w:rFonts w:hint="eastAsia" w:ascii="宋体" w:hAnsi="宋体" w:cs="宋体"/>
          <w:color w:val="000000"/>
          <w:szCs w:val="21"/>
          <w:highlight w:val="none"/>
        </w:rPr>
        <w:t xml:space="preserve">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5.4支持乡村产业振兴管理</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5.4.1为落实《关于运用政府采购政策支持乡村产业振兴的通知》（财库〔2021〕19号）有关要求，做好支持脱贫攻坚工作，本项目采购活动中对于支持乡村振兴管理的相关要求见第五章《采购需求》（如涉及）。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5.5正版软件</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cs="宋体"/>
          <w:b/>
          <w:bCs/>
          <w:color w:val="000000"/>
          <w:szCs w:val="21"/>
          <w:highlight w:val="none"/>
        </w:rPr>
        <w:t xml:space="preserve">投标无效</w:t>
      </w:r>
      <w:r>
        <w:rPr>
          <w:rFonts w:hint="eastAsia" w:ascii="宋体" w:hAnsi="宋体" w:cs="宋体"/>
          <w:color w:val="000000"/>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hint="eastAsia" w:ascii="宋体" w:hAnsi="宋体" w:cs="宋体"/>
          <w:color w:val="000000"/>
          <w:szCs w:val="21"/>
          <w:highlight w:val="none"/>
        </w:rPr>
      </w:r>
      <w:r/>
    </w:p>
    <w:p>
      <w:pPr>
        <w:pStyle w:val="104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5.6政府采购创新产品政策</w:t>
      </w:r>
      <w:r>
        <w:rPr>
          <w:rFonts w:hint="eastAsia" w:ascii="宋体" w:hAnsi="宋体" w:eastAsia="宋体" w:cs="宋体"/>
          <w:color w:val="000000"/>
          <w:szCs w:val="21"/>
          <w:highlight w:val="none"/>
        </w:rPr>
      </w:r>
      <w:r/>
    </w:p>
    <w:p>
      <w:pPr>
        <w:pStyle w:val="1048"/>
        <w:ind w:firstLine="420"/>
        <w:spacing w:line="360" w:lineRule="auto"/>
        <w:rPr>
          <w:rFonts w:hint="eastAsia"/>
          <w:color w:val="000000"/>
          <w:sz w:val="24"/>
          <w:highlight w:val="none"/>
        </w:rPr>
      </w:pPr>
      <w:r>
        <w:rPr>
          <w:rFonts w:hint="eastAsia" w:ascii="宋体" w:hAnsi="宋体" w:eastAsia="宋体" w:cs="宋体"/>
          <w:color w:val="000000"/>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104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5.7绿色采购政策</w:t>
      </w:r>
      <w:r>
        <w:rPr>
          <w:rFonts w:hint="eastAsia" w:ascii="宋体" w:hAnsi="宋体" w:eastAsia="宋体" w:cs="宋体"/>
          <w:color w:val="000000"/>
          <w:szCs w:val="21"/>
          <w:highlight w:val="none"/>
        </w:rPr>
      </w:r>
      <w:r/>
    </w:p>
    <w:p>
      <w:pPr>
        <w:pStyle w:val="104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5.7.1绿色数据中心政策 </w:t>
      </w:r>
      <w:r>
        <w:rPr>
          <w:rFonts w:hint="eastAsia" w:ascii="宋体" w:hAnsi="宋体" w:eastAsia="宋体" w:cs="宋体"/>
          <w:color w:val="000000"/>
          <w:szCs w:val="21"/>
          <w:highlight w:val="none"/>
        </w:rPr>
      </w:r>
      <w:r/>
    </w:p>
    <w:p>
      <w:pPr>
        <w:pStyle w:val="104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依据《绿色数据中心政府采购需求标准（试行）》（财办库〔2023〕7 号）文件精神，采购</w:t>
      </w:r>
      <w:r>
        <w:rPr>
          <w:rFonts w:hint="eastAsia" w:ascii="宋体" w:hAnsi="宋体" w:eastAsia="宋体" w:cs="宋体"/>
          <w:color w:val="000000"/>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Cs w:val="21"/>
          <w:highlight w:val="none"/>
        </w:rPr>
      </w:r>
      <w:r/>
    </w:p>
    <w:p>
      <w:pPr>
        <w:pStyle w:val="104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5.7.2推广应用绿色建材</w:t>
      </w:r>
      <w:r>
        <w:rPr>
          <w:rFonts w:hint="eastAsia" w:ascii="宋体" w:hAnsi="宋体" w:eastAsia="宋体" w:cs="宋体"/>
          <w:color w:val="000000"/>
          <w:szCs w:val="21"/>
          <w:highlight w:val="none"/>
        </w:rPr>
      </w:r>
      <w:r/>
    </w:p>
    <w:p>
      <w:pPr>
        <w:pStyle w:val="104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ascii="宋体" w:hAnsi="宋体" w:eastAsia="宋体" w:cs="宋体"/>
          <w:color w:val="000000"/>
          <w:szCs w:val="21"/>
          <w:highlight w:val="none"/>
        </w:rPr>
        <w:t xml:space="preserve">依据相关需求标准确定采购需求，在采购文件和采购合同中载明具体需求、履约验收条款和违约责任。</w:t>
      </w:r>
      <w:r>
        <w:rPr>
          <w:rFonts w:hint="eastAsia" w:ascii="宋体" w:hAnsi="宋体" w:eastAsia="宋体" w:cs="宋体"/>
          <w:color w:val="000000"/>
          <w:szCs w:val="21"/>
          <w:highlight w:val="none"/>
        </w:rPr>
      </w:r>
      <w:r/>
    </w:p>
    <w:p>
      <w:pPr>
        <w:pStyle w:val="104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5.7.3优先使用低挥发性有机化合物产品</w:t>
      </w:r>
      <w:r>
        <w:rPr>
          <w:rFonts w:hint="eastAsia" w:ascii="宋体" w:hAnsi="宋体" w:eastAsia="宋体" w:cs="宋体"/>
          <w:color w:val="000000"/>
          <w:szCs w:val="21"/>
          <w:highlight w:val="none"/>
        </w:rPr>
      </w:r>
      <w:r/>
    </w:p>
    <w:p>
      <w:pPr>
        <w:pStyle w:val="104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Cs w:val="21"/>
          <w:highlight w:val="none"/>
        </w:rPr>
      </w:r>
      <w:r/>
    </w:p>
    <w:p>
      <w:pPr>
        <w:pStyle w:val="1048"/>
        <w:ind w:firstLine="422"/>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5.8政府采购中实施本国产品标准及相关政策</w:t>
      </w:r>
      <w:r>
        <w:rPr>
          <w:rFonts w:hint="eastAsia" w:ascii="宋体" w:hAnsi="宋体" w:eastAsia="宋体" w:cs="宋体"/>
          <w:b/>
          <w:bCs/>
          <w:color w:val="000000"/>
          <w:szCs w:val="21"/>
          <w:highlight w:val="none"/>
          <w:lang w:val="en-US" w:eastAsia="zh-CN"/>
        </w:rPr>
      </w:r>
      <w:r/>
    </w:p>
    <w:p>
      <w:pPr>
        <w:pStyle w:val="1048"/>
        <w:ind w:firstLine="422"/>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hint="eastAsia" w:ascii="宋体" w:hAnsi="宋体" w:eastAsia="宋体" w:cs="宋体"/>
          <w:color w:val="000000"/>
          <w:szCs w:val="21"/>
          <w:highlight w:val="none"/>
        </w:rPr>
      </w:r>
      <w:r/>
    </w:p>
    <w:p>
      <w:pPr>
        <w:pStyle w:val="1048"/>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6.投标费用</w:t>
      </w:r>
      <w:r>
        <w:rPr>
          <w:rFonts w:hint="eastAsia" w:ascii="宋体" w:hAnsi="宋体" w:cs="宋体"/>
          <w:b/>
          <w:bCs/>
          <w:color w:val="000000"/>
          <w:szCs w:val="21"/>
          <w:highlight w:val="none"/>
        </w:rPr>
      </w:r>
      <w:r/>
    </w:p>
    <w:p>
      <w:pPr>
        <w:pStyle w:val="1048"/>
        <w:ind w:firstLine="420"/>
        <w:spacing w:line="360" w:lineRule="auto"/>
        <w:tabs>
          <w:tab w:val="left" w:pos="1080" w:leader="none"/>
          <w:tab w:val="left" w:pos="2014" w:leader="none"/>
        </w:tabs>
        <w:rPr>
          <w:color w:val="000000"/>
          <w:sz w:val="28"/>
          <w:highlight w:val="none"/>
        </w:rPr>
      </w:pPr>
      <w:r>
        <w:rPr>
          <w:rFonts w:hint="eastAsia" w:ascii="宋体" w:hAnsi="宋体" w:cs="宋体"/>
          <w:color w:val="000000"/>
          <w:szCs w:val="21"/>
          <w:highlight w:val="none"/>
        </w:rPr>
        <w:t xml:space="preserve">6.1投标人应自行承担所有与准备和参加投标有关的费用，无论投标的结果如何，采购人或采购代理机构在任何情况下均无承担这些费用的义务和责任。</w:t>
      </w:r>
      <w:bookmarkStart w:id="166" w:name="_1.8_计量单位"/>
      <w:r/>
      <w:bookmarkEnd w:id="166"/>
      <w:r>
        <w:rPr>
          <w:color w:val="000000"/>
          <w:sz w:val="28"/>
          <w:highlight w:val="none"/>
        </w:rPr>
      </w:r>
      <w:r/>
    </w:p>
    <w:p>
      <w:pPr>
        <w:pStyle w:val="105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color w:val="000000"/>
          <w:sz w:val="28"/>
          <w:highlight w:val="none"/>
        </w:rPr>
      </w:r>
      <w:r/>
    </w:p>
    <w:p>
      <w:pPr>
        <w:pStyle w:val="1048"/>
        <w:spacing w:line="360" w:lineRule="auto"/>
        <w:tabs>
          <w:tab w:val="left" w:pos="360" w:leader="none"/>
        </w:tabs>
        <w:rPr>
          <w:rFonts w:hint="eastAsia" w:ascii="宋体" w:hAnsi="宋体" w:cs="宋体"/>
          <w:b/>
          <w:bCs/>
          <w:color w:val="000000"/>
          <w:szCs w:val="21"/>
          <w:highlight w:val="none"/>
        </w:rPr>
        <w:outlineLvl w:val="1"/>
      </w:pPr>
      <w:r/>
      <w:bookmarkStart w:id="167" w:name="_Toc151193911"/>
      <w:r/>
      <w:bookmarkStart w:id="168" w:name="_Toc151190150"/>
      <w:r/>
      <w:bookmarkStart w:id="169" w:name="_Toc127151724"/>
      <w:r/>
      <w:bookmarkStart w:id="170" w:name="_Toc164351617"/>
      <w:r/>
      <w:bookmarkStart w:id="171" w:name="_Toc265228361"/>
      <w:r/>
      <w:bookmarkStart w:id="172" w:name="_Toc226965713"/>
      <w:r/>
      <w:bookmarkStart w:id="173" w:name="_Toc127161437"/>
      <w:r/>
      <w:bookmarkStart w:id="174" w:name="_Toc226309767"/>
      <w:r/>
      <w:bookmarkStart w:id="175" w:name="_Toc151193693"/>
      <w:r/>
      <w:bookmarkStart w:id="176" w:name="_Toc164229218"/>
      <w:r/>
      <w:bookmarkStart w:id="177" w:name="_Toc305158791"/>
      <w:r/>
      <w:bookmarkStart w:id="178" w:name="_Toc149720816"/>
      <w:r/>
      <w:bookmarkStart w:id="179" w:name="_Toc264969213"/>
      <w:r/>
      <w:bookmarkStart w:id="180" w:name="_Toc151193837"/>
      <w:r/>
      <w:bookmarkStart w:id="181" w:name="_Toc305158865"/>
      <w:r/>
      <w:bookmarkStart w:id="182" w:name="_Toc226337219"/>
      <w:r/>
      <w:bookmarkStart w:id="183" w:name="_Toc150774623"/>
      <w:r/>
      <w:bookmarkStart w:id="184" w:name="_Toc150509274"/>
      <w:r/>
      <w:bookmarkStart w:id="185" w:name="_Toc164608792"/>
      <w:r/>
      <w:bookmarkStart w:id="186" w:name="_Toc520356147"/>
      <w:r/>
      <w:bookmarkStart w:id="187" w:name="_Toc195842888"/>
      <w:r/>
      <w:bookmarkStart w:id="188" w:name="_Toc150480761"/>
      <w:r/>
      <w:bookmarkStart w:id="189" w:name="_Toc164229364"/>
      <w:r/>
      <w:bookmarkStart w:id="190" w:name="_Toc150774728"/>
      <w:r/>
      <w:bookmarkStart w:id="191" w:name="_Toc151193621"/>
      <w:r/>
      <w:bookmarkStart w:id="192" w:name="_Toc142311025"/>
      <w:r/>
      <w:bookmarkStart w:id="193" w:name="_Toc226965796"/>
      <w:r/>
      <w:bookmarkStart w:id="194" w:name="_Toc127151523"/>
      <w:r/>
      <w:bookmarkStart w:id="195" w:name="_Toc164608637"/>
      <w:r/>
      <w:bookmarkStart w:id="196" w:name="_Toc151193765"/>
      <w:r>
        <w:rPr>
          <w:rFonts w:hint="eastAsia" w:ascii="宋体" w:hAnsi="宋体" w:cs="宋体"/>
          <w:b/>
          <w:bCs/>
          <w:color w:val="000000"/>
          <w:szCs w:val="21"/>
          <w:highlight w:val="none"/>
        </w:rPr>
        <w:t xml:space="preserve">7.招标文件构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bCs/>
          <w:color w:val="000000"/>
          <w:szCs w:val="21"/>
          <w:highlight w:val="none"/>
        </w:rPr>
        <w:t xml:space="preserve">成</w:t>
      </w:r>
      <w:r>
        <w:rPr>
          <w:rFonts w:hint="eastAsia" w:ascii="宋体" w:hAnsi="宋体" w:cs="宋体"/>
          <w:b/>
          <w:bCs/>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7.1招标文件包括以下部分：</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第一章 投标邀请</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第二章 投标人须知</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第三章 资格审查</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第四章 评标程序、评标方法和评标标准</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第五章 采购需求</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第六章 拟签订的合同文本</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第七章 投标文件格式</w:t>
      </w:r>
      <w:r>
        <w:rPr>
          <w:rFonts w:hint="eastAsia" w:ascii="宋体" w:hAnsi="宋体" w:cs="宋体"/>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7.2投标人应认真阅读招标文件的全部内容。投标人应按照招标文件要求提交投标文件并保证所提供的全部资料的真实性，并对招标文件做出实质性响应，否则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8"/>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8.对招标文件的澄清或修改</w:t>
      </w:r>
      <w:r>
        <w:rPr>
          <w:rFonts w:hint="eastAsia" w:ascii="宋体" w:hAnsi="宋体" w:cs="宋体"/>
          <w:b/>
          <w:bCs/>
          <w:color w:val="000000"/>
          <w:szCs w:val="21"/>
          <w:highlight w:val="none"/>
        </w:rPr>
      </w:r>
      <w:r/>
    </w:p>
    <w:p>
      <w:pPr>
        <w:pStyle w:val="1048"/>
        <w:ind w:firstLine="420"/>
        <w:spacing w:line="360" w:lineRule="auto"/>
        <w:tabs>
          <w:tab w:val="left" w:pos="1080" w:leader="none"/>
          <w:tab w:val="left" w:pos="1561"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8.1采购人或采购代理机构对已发出的招标文件进行必要澄清或者修改的，将在原公告发布媒体上以发布更正公告的形式通知所有获取招标文件的潜在投标人。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Cs w:val="21"/>
          <w:highlight w:val="none"/>
        </w:rPr>
      </w:r>
      <w:r/>
    </w:p>
    <w:p>
      <w:pPr>
        <w:pStyle w:val="1048"/>
        <w:ind w:firstLine="420"/>
        <w:spacing w:line="360" w:lineRule="auto"/>
        <w:tabs>
          <w:tab w:val="left" w:pos="1080" w:leader="none"/>
          <w:tab w:val="left" w:pos="1561" w:leader="none"/>
          <w:tab w:val="left" w:pos="2014" w:leader="none"/>
        </w:tabs>
        <w:rPr>
          <w:color w:val="000000"/>
          <w:sz w:val="28"/>
          <w:highlight w:val="none"/>
        </w:rPr>
      </w:pPr>
      <w:r>
        <w:rPr>
          <w:rFonts w:hint="eastAsia" w:ascii="宋体" w:hAnsi="宋体" w:cs="宋体"/>
          <w:color w:val="000000"/>
          <w:szCs w:val="21"/>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bookmarkStart w:id="197" w:name="_Toc305158794"/>
      <w:r/>
      <w:bookmarkStart w:id="198" w:name="_Toc151193624"/>
      <w:r/>
      <w:bookmarkStart w:id="199" w:name="_Toc150774731"/>
      <w:r/>
      <w:bookmarkStart w:id="200" w:name="_Toc127151526"/>
      <w:r/>
      <w:bookmarkStart w:id="201" w:name="_Toc150480764"/>
      <w:r/>
      <w:bookmarkStart w:id="202" w:name="_Toc264969216"/>
      <w:r/>
      <w:bookmarkStart w:id="203" w:name="_Toc265228364"/>
      <w:r/>
      <w:bookmarkStart w:id="204" w:name="_Toc516367020"/>
      <w:r/>
      <w:bookmarkStart w:id="205" w:name="_Toc151193696"/>
      <w:r/>
      <w:bookmarkStart w:id="206" w:name="_Toc226337222"/>
      <w:r/>
      <w:bookmarkStart w:id="207" w:name="_Toc520356150"/>
      <w:r/>
      <w:bookmarkStart w:id="208" w:name="_Toc226965716"/>
      <w:r/>
      <w:bookmarkStart w:id="209" w:name="_Toc151190153"/>
      <w:r/>
      <w:bookmarkStart w:id="210" w:name="_Toc226309770"/>
      <w:r/>
      <w:bookmarkStart w:id="211" w:name="_Toc151193840"/>
      <w:r/>
      <w:bookmarkStart w:id="212" w:name="_Toc226965799"/>
      <w:r/>
      <w:bookmarkStart w:id="213" w:name="_Toc150774626"/>
      <w:r/>
      <w:bookmarkStart w:id="214" w:name="_Toc142311028"/>
      <w:r/>
      <w:bookmarkStart w:id="215" w:name="_Toc305158868"/>
      <w:r/>
      <w:bookmarkStart w:id="216" w:name="_Toc195842891"/>
      <w:r/>
      <w:bookmarkStart w:id="217" w:name="_Toc151193768"/>
      <w:r/>
      <w:bookmarkStart w:id="218" w:name="_Toc150509277"/>
      <w:r/>
      <w:bookmarkStart w:id="219" w:name="_Toc151193914"/>
      <w:r>
        <w:rPr>
          <w:color w:val="000000"/>
          <w:sz w:val="28"/>
          <w:highlight w:val="none"/>
        </w:rPr>
      </w:r>
      <w:r/>
    </w:p>
    <w:p>
      <w:pPr>
        <w:pStyle w:val="105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投标文件</w:t>
      </w:r>
      <w:bookmarkEnd w:id="204"/>
      <w:r>
        <w:rPr>
          <w:rFonts w:ascii="Times New Roman" w:hAnsi="Times New Roman" w:eastAsia="宋体"/>
          <w:color w:val="000000"/>
          <w:sz w:val="28"/>
          <w:highlight w:val="none"/>
        </w:rPr>
        <w:t xml:space="preserve">的编制</w:t>
      </w:r>
      <w:bookmarkEnd w:id="197"/>
      <w:r/>
      <w:bookmarkEnd w:id="198"/>
      <w:r/>
      <w:bookmarkEnd w:id="199"/>
      <w:r/>
      <w:bookmarkEnd w:id="200"/>
      <w:r/>
      <w:bookmarkEnd w:id="201"/>
      <w:r/>
      <w:bookmarkEnd w:id="202"/>
      <w:r/>
      <w:bookmarkEnd w:id="203"/>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Pr>
          <w:rFonts w:ascii="Times New Roman" w:hAnsi="Times New Roman" w:eastAsia="宋体"/>
          <w:color w:val="000000"/>
          <w:sz w:val="28"/>
          <w:highlight w:val="none"/>
        </w:rPr>
      </w:r>
      <w:r/>
    </w:p>
    <w:p>
      <w:pPr>
        <w:pStyle w:val="1048"/>
        <w:spacing w:line="360" w:lineRule="auto"/>
        <w:tabs>
          <w:tab w:val="left" w:pos="360" w:leader="none"/>
        </w:tabs>
        <w:rPr>
          <w:rFonts w:hint="eastAsia" w:ascii="宋体" w:hAnsi="宋体" w:cs="宋体"/>
          <w:b/>
          <w:bCs/>
          <w:color w:val="000000"/>
          <w:szCs w:val="21"/>
          <w:highlight w:val="none"/>
        </w:rPr>
        <w:outlineLvl w:val="1"/>
      </w:pPr>
      <w:r/>
      <w:bookmarkStart w:id="220" w:name="_Toc151193915"/>
      <w:r/>
      <w:bookmarkStart w:id="221" w:name="_Toc265228365"/>
      <w:r/>
      <w:bookmarkStart w:id="222" w:name="_Toc151193697"/>
      <w:r/>
      <w:bookmarkStart w:id="223" w:name="_Toc151193769"/>
      <w:r/>
      <w:bookmarkStart w:id="224" w:name="_Toc150774627"/>
      <w:r/>
      <w:bookmarkStart w:id="225" w:name="_Toc127161441"/>
      <w:r/>
      <w:bookmarkStart w:id="226" w:name="_Toc142311029"/>
      <w:r/>
      <w:bookmarkStart w:id="227" w:name="_Toc150774732"/>
      <w:r/>
      <w:bookmarkStart w:id="228" w:name="_Toc164229222"/>
      <w:r/>
      <w:bookmarkStart w:id="229" w:name="_Toc127151728"/>
      <w:r/>
      <w:bookmarkStart w:id="230" w:name="_Toc151190154"/>
      <w:r/>
      <w:bookmarkStart w:id="231" w:name="_Toc226965800"/>
      <w:r/>
      <w:bookmarkStart w:id="232" w:name="_Toc520356151"/>
      <w:r/>
      <w:bookmarkStart w:id="233" w:name="_Toc164229368"/>
      <w:r/>
      <w:bookmarkStart w:id="234" w:name="_Toc164608796"/>
      <w:r/>
      <w:bookmarkStart w:id="235" w:name="_Toc264969217"/>
      <w:r/>
      <w:bookmarkStart w:id="236" w:name="_Toc151193625"/>
      <w:r/>
      <w:bookmarkStart w:id="237" w:name="_Toc150509278"/>
      <w:r/>
      <w:bookmarkStart w:id="238" w:name="_Toc151193841"/>
      <w:r/>
      <w:bookmarkStart w:id="239" w:name="_Toc516367021"/>
      <w:r/>
      <w:bookmarkStart w:id="240" w:name="_Toc226309771"/>
      <w:r/>
      <w:bookmarkStart w:id="241" w:name="_Toc164351621"/>
      <w:r/>
      <w:bookmarkStart w:id="242" w:name="_Toc305158795"/>
      <w:r/>
      <w:bookmarkStart w:id="243" w:name="_Toc305158869"/>
      <w:r/>
      <w:bookmarkStart w:id="244" w:name="_Toc164608641"/>
      <w:r/>
      <w:bookmarkStart w:id="245" w:name="_Toc149720820"/>
      <w:r/>
      <w:bookmarkStart w:id="246" w:name="_Toc127151527"/>
      <w:r/>
      <w:bookmarkStart w:id="247" w:name="_Toc226965717"/>
      <w:r/>
      <w:bookmarkStart w:id="248" w:name="_Toc150480765"/>
      <w:r/>
      <w:bookmarkStart w:id="249" w:name="_Toc226337223"/>
      <w:r/>
      <w:bookmarkStart w:id="250" w:name="_Toc195842892"/>
      <w:r>
        <w:rPr>
          <w:rFonts w:hint="eastAsia" w:ascii="宋体" w:hAnsi="宋体" w:cs="宋体"/>
          <w:b/>
          <w:bCs/>
          <w:color w:val="000000"/>
          <w:szCs w:val="21"/>
          <w:highlight w:val="none"/>
        </w:rPr>
        <w:t xml:space="preserve">9.投标范围、投标文件中计量单位的使用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bCs/>
          <w:color w:val="000000"/>
          <w:szCs w:val="21"/>
          <w:highlight w:val="none"/>
        </w:rPr>
        <w:t xml:space="preserve">及投标语言</w:t>
      </w:r>
      <w:r>
        <w:rPr>
          <w:rFonts w:hint="eastAsia" w:ascii="宋体" w:hAnsi="宋体" w:cs="宋体"/>
          <w:b/>
          <w:bCs/>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Cs w:val="21"/>
          <w:highlight w:val="none"/>
        </w:rPr>
        <w:t xml:space="preserve">无效投标</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9.2除招标文件有特殊要求外，本项目投标所使用的计量单位，应采用中华人民共和国法定计量单位。</w:t>
      </w:r>
      <w:r>
        <w:rPr>
          <w:rFonts w:hint="eastAsia" w:ascii="宋体" w:hAnsi="宋体" w:cs="宋体"/>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Cs w:val="21"/>
          <w:highlight w:val="none"/>
        </w:rPr>
      </w:r>
      <w:r/>
    </w:p>
    <w:p>
      <w:pPr>
        <w:pStyle w:val="1048"/>
        <w:spacing w:line="360" w:lineRule="auto"/>
        <w:tabs>
          <w:tab w:val="left" w:pos="360" w:leader="none"/>
        </w:tabs>
        <w:rPr>
          <w:rFonts w:hint="eastAsia" w:ascii="宋体" w:hAnsi="宋体" w:cs="宋体"/>
          <w:b/>
          <w:bCs/>
          <w:color w:val="000000"/>
          <w:szCs w:val="21"/>
          <w:highlight w:val="none"/>
        </w:rPr>
        <w:outlineLvl w:val="1"/>
      </w:pPr>
      <w:r/>
      <w:bookmarkStart w:id="251" w:name="_Toc149720821"/>
      <w:r/>
      <w:bookmarkStart w:id="252" w:name="_Toc151193916"/>
      <w:r/>
      <w:bookmarkStart w:id="253" w:name="_Toc127151528"/>
      <w:r/>
      <w:bookmarkStart w:id="254" w:name="_Toc305158870"/>
      <w:r/>
      <w:bookmarkStart w:id="255" w:name="_Toc127151729"/>
      <w:r/>
      <w:bookmarkStart w:id="256" w:name="_Toc164608797"/>
      <w:r/>
      <w:bookmarkStart w:id="257" w:name="_Toc164229369"/>
      <w:r/>
      <w:bookmarkStart w:id="258" w:name="_Toc305158796"/>
      <w:r/>
      <w:bookmarkStart w:id="259" w:name="_Toc150774733"/>
      <w:r/>
      <w:bookmarkStart w:id="260" w:name="_Toc151193698"/>
      <w:r/>
      <w:bookmarkStart w:id="261" w:name="_Toc151190155"/>
      <w:r/>
      <w:bookmarkStart w:id="262" w:name="_Toc150509279"/>
      <w:r/>
      <w:bookmarkStart w:id="263" w:name="_Toc264969218"/>
      <w:r/>
      <w:bookmarkStart w:id="264" w:name="_Ref467306195"/>
      <w:r/>
      <w:bookmarkStart w:id="265" w:name="_Toc516367022"/>
      <w:r/>
      <w:bookmarkStart w:id="266" w:name="_Toc151193842"/>
      <w:r/>
      <w:bookmarkStart w:id="267" w:name="_Ref467306676"/>
      <w:r/>
      <w:bookmarkStart w:id="268" w:name="_Toc164229223"/>
      <w:r/>
      <w:bookmarkStart w:id="269" w:name="_Toc226965801"/>
      <w:r/>
      <w:bookmarkStart w:id="270" w:name="_Toc150774628"/>
      <w:r/>
      <w:bookmarkStart w:id="271" w:name="_Toc151193770"/>
      <w:r/>
      <w:bookmarkStart w:id="272" w:name="_Toc226965718"/>
      <w:r/>
      <w:bookmarkStart w:id="273" w:name="_Toc151193626"/>
      <w:r/>
      <w:bookmarkStart w:id="274" w:name="_Toc142311030"/>
      <w:r/>
      <w:bookmarkStart w:id="275" w:name="_Toc150480766"/>
      <w:r/>
      <w:bookmarkStart w:id="276" w:name="_Toc164608642"/>
      <w:r/>
      <w:bookmarkStart w:id="277" w:name="_Toc226309772"/>
      <w:r/>
      <w:bookmarkStart w:id="278" w:name="_Toc265228366"/>
      <w:r/>
      <w:bookmarkStart w:id="279" w:name="_Toc195842893"/>
      <w:r/>
      <w:bookmarkStart w:id="280" w:name="_Toc520356152"/>
      <w:r/>
      <w:bookmarkStart w:id="281" w:name="_Toc164351622"/>
      <w:r/>
      <w:bookmarkStart w:id="282" w:name="_Toc127161442"/>
      <w:r/>
      <w:bookmarkStart w:id="283" w:name="_Toc226337224"/>
      <w:r>
        <w:rPr>
          <w:rFonts w:hint="eastAsia" w:ascii="宋体" w:hAnsi="宋体" w:cs="宋体"/>
          <w:b/>
          <w:bCs/>
          <w:color w:val="000000"/>
          <w:szCs w:val="21"/>
          <w:highlight w:val="none"/>
        </w:rPr>
        <w:t xml:space="preserve">10.投标文件</w:t>
      </w:r>
      <w:bookmarkEnd w:id="264"/>
      <w:r/>
      <w:bookmarkEnd w:id="265"/>
      <w:r/>
      <w:bookmarkEnd w:id="267"/>
      <w:r>
        <w:rPr>
          <w:rFonts w:hint="eastAsia" w:ascii="宋体" w:hAnsi="宋体" w:cs="宋体"/>
          <w:b/>
          <w:bCs/>
          <w:color w:val="000000"/>
          <w:szCs w:val="21"/>
          <w:highlight w:val="none"/>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6"/>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bCs/>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bookmarkStart w:id="284" w:name="_Ref467052588"/>
      <w:r>
        <w:rPr>
          <w:rFonts w:hint="eastAsia" w:ascii="宋体" w:hAnsi="宋体" w:cs="宋体"/>
          <w:color w:val="000000"/>
          <w:szCs w:val="21"/>
          <w:highlight w:val="none"/>
        </w:rPr>
        <w:t xml:space="preserve">10.1投标人应当按照招标文件的要求编制投标文件。投标文件应由《资格证明文件》、《商务技术文件》两部分构成。投标文件的部分格式要求，见第七章《投标文件格式》。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10.2对于招标文件中标记了“实质性格式”文件的，</w:t>
      </w:r>
      <w:r>
        <w:rPr>
          <w:rFonts w:hint="eastAsia" w:ascii="宋体" w:hAnsi="宋体" w:cs="宋体"/>
          <w:color w:val="000000"/>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Cs w:val="21"/>
          <w:highlight w:val="none"/>
        </w:rPr>
        <w:t xml:space="preserve">否则</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。未标记“实质性格式”的文件和招标文件未提供格式的内容，可由投标人自行编写。</w:t>
      </w:r>
      <w:r>
        <w:rPr>
          <w:rFonts w:hint="eastAsia" w:ascii="宋体" w:hAnsi="宋体" w:cs="宋体"/>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10.3第四章《评标程序、评标方法和评标标准》中涉及的证明文件。</w:t>
      </w:r>
      <w:r>
        <w:rPr>
          <w:rFonts w:hint="eastAsia" w:ascii="宋体" w:hAnsi="宋体" w:cs="宋体"/>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10.5投标人认为应附的其他材料。</w:t>
      </w:r>
      <w:bookmarkEnd w:id="284"/>
      <w:r>
        <w:rPr>
          <w:rFonts w:hint="eastAsia" w:ascii="宋体" w:hAnsi="宋体" w:cs="宋体"/>
          <w:color w:val="000000"/>
          <w:szCs w:val="21"/>
          <w:highlight w:val="none"/>
        </w:rPr>
      </w:r>
      <w:r/>
    </w:p>
    <w:p>
      <w:pPr>
        <w:pStyle w:val="1048"/>
        <w:spacing w:line="360" w:lineRule="auto"/>
        <w:tabs>
          <w:tab w:val="left" w:pos="360" w:leader="none"/>
        </w:tabs>
        <w:rPr>
          <w:rFonts w:hint="eastAsia" w:ascii="宋体" w:hAnsi="宋体" w:cs="宋体"/>
          <w:b/>
          <w:bCs/>
          <w:color w:val="000000"/>
          <w:szCs w:val="21"/>
          <w:highlight w:val="none"/>
        </w:rPr>
        <w:outlineLvl w:val="1"/>
      </w:pPr>
      <w:r/>
      <w:bookmarkStart w:id="285" w:name="_Toc151193772"/>
      <w:r/>
      <w:bookmarkStart w:id="286" w:name="_Toc164608644"/>
      <w:r/>
      <w:bookmarkStart w:id="287" w:name="_Toc151190157"/>
      <w:r/>
      <w:bookmarkStart w:id="288" w:name="_Toc150774630"/>
      <w:r/>
      <w:bookmarkStart w:id="289" w:name="_Toc150774735"/>
      <w:r/>
      <w:bookmarkStart w:id="290" w:name="_Toc195842895"/>
      <w:r/>
      <w:bookmarkStart w:id="291" w:name="_Toc150480768"/>
      <w:r/>
      <w:bookmarkStart w:id="292" w:name="_Toc151193918"/>
      <w:r/>
      <w:bookmarkStart w:id="293" w:name="_Toc127151530"/>
      <w:r/>
      <w:bookmarkStart w:id="294" w:name="_Toc151193844"/>
      <w:r/>
      <w:bookmarkStart w:id="295" w:name="_Toc127161444"/>
      <w:r/>
      <w:bookmarkStart w:id="296" w:name="_Toc151193700"/>
      <w:r/>
      <w:bookmarkStart w:id="297" w:name="_Toc164229371"/>
      <w:r/>
      <w:bookmarkStart w:id="298" w:name="_Toc150509281"/>
      <w:r/>
      <w:bookmarkStart w:id="299" w:name="_Toc142311032"/>
      <w:r/>
      <w:bookmarkStart w:id="300" w:name="_Toc149720823"/>
      <w:r/>
      <w:bookmarkStart w:id="301" w:name="_Toc520356155"/>
      <w:r/>
      <w:bookmarkStart w:id="302" w:name="_Toc127151731"/>
      <w:r/>
      <w:bookmarkStart w:id="303" w:name="_Toc151193628"/>
      <w:r/>
      <w:bookmarkStart w:id="304" w:name="_Toc164608799"/>
      <w:r/>
      <w:bookmarkStart w:id="305" w:name="_Toc164229225"/>
      <w:r/>
      <w:bookmarkStart w:id="306" w:name="_Toc164351624"/>
      <w:r>
        <w:rPr>
          <w:rFonts w:hint="eastAsia" w:ascii="宋体" w:hAnsi="宋体" w:cs="宋体"/>
          <w:b/>
          <w:bCs/>
          <w:color w:val="000000"/>
          <w:szCs w:val="21"/>
          <w:highlight w:val="none"/>
        </w:rPr>
        <w:t xml:space="preserve">11.投标报价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bCs/>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11.1所有投标均以人民币报价。</w:t>
      </w:r>
      <w:r>
        <w:rPr>
          <w:rFonts w:hint="eastAsia" w:ascii="宋体" w:hAnsi="宋体" w:cs="宋体"/>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11.2投标人的报价应包括为完成本项目所发生的一切费用和税费，</w:t>
      </w:r>
      <w:r>
        <w:rPr>
          <w:rFonts w:hint="eastAsia" w:ascii="宋体" w:hAnsi="宋体" w:cs="宋体"/>
          <w:color w:val="000000"/>
          <w:szCs w:val="21"/>
          <w:highlight w:val="none"/>
          <w:lang w:val="en-US" w:eastAsia="zh-CN"/>
        </w:rPr>
        <w:t xml:space="preserve">采购人</w:t>
      </w:r>
      <w:r>
        <w:rPr>
          <w:rFonts w:hint="eastAsia" w:ascii="宋体" w:hAnsi="宋体" w:cs="宋体"/>
          <w:color w:val="000000"/>
          <w:szCs w:val="21"/>
          <w:highlight w:val="none"/>
        </w:rPr>
        <w:t xml:space="preserve">将不再支付报价以外的任何费用。投标人的报价应包括但不限于下列内容，《投标人须知资料表》中有特殊规定的，从其规定。</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Cs w:val="21"/>
          <w:highlight w:val="none"/>
        </w:rPr>
      </w:r>
      <w:r/>
    </w:p>
    <w:p>
      <w:pPr>
        <w:pStyle w:val="1048"/>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11.2.2按照招标文件要求完成本项目的全部相关服务费用。 </w:t>
      </w:r>
      <w:r>
        <w:rPr>
          <w:rFonts w:hint="eastAsia" w:ascii="宋体" w:hAnsi="宋体" w:eastAsia="宋体" w:cs="宋体"/>
          <w:color w:val="000000"/>
          <w:szCs w:val="21"/>
          <w:highlight w:val="none"/>
        </w:rPr>
      </w:r>
      <w:r/>
    </w:p>
    <w:p>
      <w:pPr>
        <w:pStyle w:val="1048"/>
        <w:numPr>
          <w:ilvl w:val="0"/>
          <w:numId w:val="0"/>
        </w:numPr>
        <w:ind w:firstLine="422"/>
        <w:spacing w:line="360" w:lineRule="auto"/>
        <w:rPr>
          <w:rFonts w:hint="eastAsia" w:ascii="宋体" w:hAnsi="宋体" w:eastAsia="宋体" w:cs="宋体"/>
          <w:color w:val="000000"/>
          <w:szCs w:val="21"/>
          <w:highlight w:val="none"/>
        </w:rPr>
      </w:pPr>
      <w:r>
        <w:rPr>
          <w:rFonts w:hint="eastAsia" w:ascii="宋体" w:hAnsi="宋体" w:eastAsia="宋体" w:cs="宋体"/>
          <w:b/>
          <w:bCs/>
          <w:sz w:val="21"/>
          <w:szCs w:val="21"/>
          <w:highlight w:val="none"/>
          <w:lang w:val="en-US" w:eastAsia="zh-CN"/>
        </w:rPr>
        <w:t xml:space="preserve">11.2.3参加投标的供应商应自行承担所有与参加投标有关的费用（包含代理服务费用）。无论最终中标结果如何，采购代理机构在任何情况下均无义务和责任承担这些费用。</w:t>
      </w:r>
      <w:r>
        <w:rPr>
          <w:rFonts w:hint="eastAsia" w:ascii="宋体" w:hAnsi="宋体" w:eastAsia="宋体" w:cs="宋体"/>
          <w:color w:val="000000"/>
          <w:szCs w:val="21"/>
          <w:highlight w:val="none"/>
        </w:rPr>
      </w:r>
      <w:r/>
    </w:p>
    <w:p>
      <w:pPr>
        <w:pStyle w:val="1048"/>
        <w:ind w:firstLine="422"/>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11.2.</w:t>
      </w: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t xml:space="preserve">本项</w:t>
      </w:r>
      <w:r>
        <w:rPr>
          <w:rFonts w:hint="eastAsia" w:ascii="宋体" w:hAnsi="宋体" w:eastAsia="宋体" w:cs="宋体"/>
          <w:color w:val="000000"/>
          <w:sz w:val="21"/>
          <w:szCs w:val="21"/>
          <w:highlight w:val="none"/>
          <w:lang w:val="en-US" w:eastAsia="zh-CN"/>
        </w:rPr>
        <w:t xml:space="preserve">目采用</w:t>
      </w:r>
      <w:r>
        <w:rPr>
          <w:rFonts w:hint="eastAsia" w:ascii="宋体" w:hAnsi="宋体" w:cs="宋体"/>
          <w:b/>
          <w:bCs/>
          <w:color w:val="000000"/>
          <w:szCs w:val="21"/>
          <w:highlight w:val="none"/>
          <w:u w:val="single"/>
        </w:rPr>
        <w:t xml:space="preserve">固定</w:t>
      </w:r>
      <w:r>
        <w:rPr>
          <w:rFonts w:hint="eastAsia" w:ascii="宋体" w:hAnsi="宋体" w:cs="宋体"/>
          <w:b/>
          <w:bCs/>
          <w:color w:val="000000"/>
          <w:szCs w:val="21"/>
          <w:highlight w:val="none"/>
          <w:u w:val="single"/>
          <w:lang w:val="en-US" w:eastAsia="zh-CN"/>
        </w:rPr>
        <w:t xml:space="preserve">总价</w:t>
      </w:r>
      <w:r>
        <w:rPr>
          <w:rFonts w:hint="eastAsia" w:ascii="宋体" w:hAnsi="宋体" w:eastAsia="宋体" w:cs="宋体"/>
          <w:color w:val="000000"/>
          <w:sz w:val="21"/>
          <w:szCs w:val="21"/>
          <w:highlight w:val="none"/>
          <w:lang w:val="en-US" w:eastAsia="zh-CN"/>
        </w:rPr>
        <w:t xml:space="preserve">报价。</w:t>
      </w:r>
      <w:r>
        <w:rPr>
          <w:rFonts w:hint="eastAsia" w:ascii="宋体" w:hAnsi="宋体" w:eastAsia="宋体" w:cs="宋体"/>
          <w:color w:val="000000"/>
          <w:sz w:val="21"/>
          <w:szCs w:val="21"/>
          <w:highlight w:val="none"/>
        </w:rPr>
        <w:t xml:space="preserve">项目最高限价：</w:t>
      </w:r>
      <w:r>
        <w:rPr>
          <w:rFonts w:hint="eastAsia" w:ascii="宋体" w:hAnsi="宋体" w:eastAsia="宋体" w:cs="宋体"/>
          <w:b/>
          <w:bCs/>
          <w:color w:val="000000"/>
          <w:sz w:val="21"/>
          <w:szCs w:val="21"/>
          <w:highlight w:val="none"/>
          <w:u w:val="single"/>
          <w:lang w:val="en-US" w:eastAsia="zh-CN"/>
        </w:rPr>
        <w:t xml:space="preserve">1440万元，投标人的投标总价不得高于最高限价，否则作为无效投标处理。</w:t>
      </w:r>
      <w:r>
        <w:rPr>
          <w:rFonts w:hint="eastAsia" w:ascii="宋体" w:hAnsi="宋体" w:eastAsia="宋体" w:cs="宋体"/>
          <w:b/>
          <w:bCs/>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11.3采购人不得向供应商索要或者接受其给予的赠品、回扣或者与采购无关的其他商品、服务。</w:t>
      </w:r>
      <w:r>
        <w:rPr>
          <w:rFonts w:hint="eastAsia" w:ascii="宋体" w:hAnsi="宋体" w:cs="宋体"/>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11.4投标人不能提供任何有选择性或可调整的报价，否则其</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8"/>
        <w:spacing w:line="360" w:lineRule="auto"/>
        <w:tabs>
          <w:tab w:val="left" w:pos="360" w:leader="none"/>
        </w:tabs>
        <w:rPr>
          <w:rFonts w:hint="eastAsia" w:ascii="宋体" w:hAnsi="宋体" w:cs="宋体"/>
          <w:b/>
          <w:bCs/>
          <w:color w:val="000000"/>
          <w:szCs w:val="21"/>
          <w:highlight w:val="none"/>
        </w:rPr>
        <w:outlineLvl w:val="1"/>
      </w:pPr>
      <w:r/>
      <w:bookmarkStart w:id="307" w:name="_Toc265228369"/>
      <w:r/>
      <w:bookmarkStart w:id="308" w:name="_Toc151193845"/>
      <w:r/>
      <w:bookmarkStart w:id="309" w:name="_Toc226309775"/>
      <w:r/>
      <w:bookmarkStart w:id="310" w:name="_Toc164229372"/>
      <w:r/>
      <w:bookmarkStart w:id="311" w:name="_Toc151190158"/>
      <w:r/>
      <w:bookmarkStart w:id="312" w:name="_Toc164229226"/>
      <w:r/>
      <w:bookmarkStart w:id="313" w:name="_Toc164608645"/>
      <w:r/>
      <w:bookmarkStart w:id="314" w:name="_Toc149720824"/>
      <w:r/>
      <w:bookmarkStart w:id="315" w:name="_Toc195842896"/>
      <w:r/>
      <w:bookmarkStart w:id="316" w:name="_Toc150509282"/>
      <w:r/>
      <w:bookmarkStart w:id="317" w:name="_Toc151193629"/>
      <w:r/>
      <w:bookmarkStart w:id="318" w:name="_Toc127161445"/>
      <w:r/>
      <w:bookmarkStart w:id="319" w:name="_Ref467306513"/>
      <w:r/>
      <w:bookmarkStart w:id="320" w:name="_Toc151193919"/>
      <w:r/>
      <w:bookmarkStart w:id="321" w:name="_Toc150480769"/>
      <w:r/>
      <w:bookmarkStart w:id="322" w:name="_Toc305158799"/>
      <w:r/>
      <w:bookmarkStart w:id="323" w:name="_Toc226965804"/>
      <w:r/>
      <w:bookmarkStart w:id="324" w:name="_Toc520356156"/>
      <w:r/>
      <w:bookmarkStart w:id="325" w:name="_Toc150774631"/>
      <w:r/>
      <w:bookmarkStart w:id="326" w:name="_Toc305158873"/>
      <w:r/>
      <w:bookmarkStart w:id="327" w:name="_Toc127151531"/>
      <w:r/>
      <w:bookmarkStart w:id="328" w:name="_Toc226965721"/>
      <w:r/>
      <w:bookmarkStart w:id="329" w:name="_Toc142311033"/>
      <w:r/>
      <w:bookmarkStart w:id="330" w:name="_Toc164608800"/>
      <w:r/>
      <w:bookmarkStart w:id="331" w:name="_Toc151193701"/>
      <w:r/>
      <w:bookmarkStart w:id="332" w:name="_Toc164351625"/>
      <w:r/>
      <w:bookmarkStart w:id="333" w:name="_Toc151193773"/>
      <w:r/>
      <w:bookmarkStart w:id="334" w:name="_Toc226337227"/>
      <w:r/>
      <w:bookmarkStart w:id="335" w:name="_Toc150774736"/>
      <w:r/>
      <w:bookmarkStart w:id="336" w:name="_Toc127151732"/>
      <w:r/>
      <w:bookmarkStart w:id="337" w:name="_Toc264969221"/>
      <w:r>
        <w:rPr>
          <w:rFonts w:hint="eastAsia" w:ascii="宋体" w:hAnsi="宋体" w:cs="宋体"/>
          <w:b/>
          <w:bCs/>
          <w:color w:val="000000"/>
          <w:szCs w:val="21"/>
          <w:highlight w:val="none"/>
        </w:rPr>
        <w:t xml:space="preserve">12.投标保证金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bCs/>
          <w:color w:val="000000"/>
          <w:szCs w:val="21"/>
          <w:highlight w:val="none"/>
        </w:rPr>
        <w:t xml:space="preserve">及履约保证金</w:t>
      </w:r>
      <w:r>
        <w:rPr>
          <w:rFonts w:hint="eastAsia" w:ascii="宋体" w:hAnsi="宋体" w:cs="宋体"/>
          <w:b/>
          <w:bCs/>
          <w:color w:val="000000"/>
          <w:szCs w:val="21"/>
          <w:highlight w:val="none"/>
        </w:rPr>
      </w:r>
      <w:r/>
    </w:p>
    <w:p>
      <w:pPr>
        <w:pStyle w:val="1048"/>
        <w:ind w:left="357"/>
        <w:spacing w:line="360" w:lineRule="auto"/>
        <w:tabs>
          <w:tab w:val="left" w:pos="360" w:leader="none"/>
        </w:tabs>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12.1根据江苏省和常州市的相关文件规定，免收投标保证金。</w:t>
      </w:r>
      <w:r>
        <w:rPr>
          <w:rFonts w:hint="eastAsia" w:ascii="宋体" w:hAnsi="宋体" w:cs="宋体"/>
          <w:color w:val="000000"/>
          <w:szCs w:val="21"/>
          <w:highlight w:val="none"/>
        </w:rPr>
      </w:r>
      <w:r/>
    </w:p>
    <w:p>
      <w:pPr>
        <w:pStyle w:val="1048"/>
        <w:ind w:left="357"/>
        <w:spacing w:line="360" w:lineRule="auto"/>
        <w:tabs>
          <w:tab w:val="left" w:pos="360" w:leader="none"/>
        </w:tabs>
        <w:rPr>
          <w:rFonts w:hint="eastAsia" w:ascii="宋体" w:hAnsi="宋体" w:cs="宋体"/>
          <w:color w:val="000000"/>
          <w:highlight w:val="none"/>
        </w:rPr>
        <w:outlineLvl w:val="1"/>
      </w:pPr>
      <w:r>
        <w:rPr>
          <w:rFonts w:hint="eastAsia" w:ascii="宋体" w:hAnsi="宋体" w:cs="宋体"/>
          <w:color w:val="000000"/>
          <w:szCs w:val="21"/>
          <w:highlight w:val="none"/>
        </w:rPr>
        <w:t xml:space="preserve">12.2</w:t>
      </w:r>
      <w:r>
        <w:rPr>
          <w:rFonts w:hint="eastAsia" w:ascii="宋体" w:hAnsi="宋体" w:cs="宋体"/>
          <w:color w:val="000000"/>
          <w:highlight w:val="none"/>
        </w:rPr>
        <w:t xml:space="preserve">中标人须在合同签订之日起5日内向采购人提供金额为</w:t>
      </w:r>
      <w:r>
        <w:rPr>
          <w:rFonts w:hint="eastAsia" w:ascii="宋体" w:hAnsi="宋体" w:cs="宋体"/>
          <w:color w:val="000000"/>
          <w:highlight w:val="none"/>
          <w:u w:val="single"/>
        </w:rPr>
        <w:t xml:space="preserve">  </w:t>
      </w:r>
      <w:r>
        <w:rPr>
          <w:rFonts w:hint="eastAsia" w:ascii="宋体" w:hAnsi="宋体" w:cs="宋体"/>
          <w:b/>
          <w:bCs/>
          <w:color w:val="000000"/>
          <w:highlight w:val="none"/>
          <w:u w:val="single"/>
        </w:rPr>
        <w:t xml:space="preserve">/ </w:t>
      </w:r>
      <w:r>
        <w:rPr>
          <w:rFonts w:hint="eastAsia" w:ascii="宋体" w:hAnsi="宋体" w:cs="宋体"/>
          <w:color w:val="000000"/>
          <w:highlight w:val="none"/>
        </w:rPr>
        <w:t xml:space="preserve">的履约保证金或保函。</w:t>
      </w:r>
      <w:r>
        <w:rPr>
          <w:rFonts w:hint="eastAsia" w:ascii="宋体" w:hAnsi="宋体" w:cs="宋体"/>
          <w:color w:val="000000"/>
          <w:highlight w:val="none"/>
        </w:rPr>
      </w:r>
      <w:r/>
    </w:p>
    <w:p>
      <w:pPr>
        <w:pStyle w:val="1048"/>
        <w:ind w:left="357"/>
        <w:spacing w:line="360" w:lineRule="auto"/>
        <w:tabs>
          <w:tab w:val="left" w:pos="360" w:leader="none"/>
        </w:tabs>
        <w:rPr>
          <w:rFonts w:hint="eastAsia"/>
          <w:color w:val="000000"/>
          <w:highlight w:val="none"/>
        </w:rPr>
        <w:outlineLvl w:val="1"/>
      </w:pPr>
      <w:r>
        <w:rPr>
          <w:rFonts w:hint="eastAsia" w:ascii="宋体" w:hAnsi="宋体" w:cs="宋体"/>
          <w:color w:val="000000"/>
          <w:highlight w:val="none"/>
        </w:rPr>
        <w:t xml:space="preserve">12.3履约保证金将项目结束后30日内无息退返中标人。</w:t>
      </w:r>
      <w:r>
        <w:rPr>
          <w:rFonts w:hint="eastAsia"/>
          <w:color w:val="000000"/>
          <w:highlight w:val="none"/>
        </w:rPr>
      </w:r>
      <w:r/>
    </w:p>
    <w:p>
      <w:pPr>
        <w:pStyle w:val="1048"/>
        <w:spacing w:line="360" w:lineRule="auto"/>
        <w:tabs>
          <w:tab w:val="left" w:pos="360" w:leader="none"/>
        </w:tabs>
        <w:rPr>
          <w:rFonts w:hint="eastAsia" w:ascii="宋体" w:hAnsi="宋体" w:cs="宋体"/>
          <w:b/>
          <w:bCs/>
          <w:color w:val="000000"/>
          <w:szCs w:val="21"/>
          <w:highlight w:val="none"/>
        </w:rPr>
        <w:outlineLvl w:val="1"/>
      </w:pPr>
      <w:r/>
      <w:bookmarkStart w:id="338" w:name="_Toc149720825"/>
      <w:r/>
      <w:bookmarkStart w:id="339" w:name="_Toc226337228"/>
      <w:r/>
      <w:bookmarkStart w:id="340" w:name="_Toc226965722"/>
      <w:r/>
      <w:bookmarkStart w:id="341" w:name="_Toc305158874"/>
      <w:r/>
      <w:bookmarkStart w:id="342" w:name="_Toc150774737"/>
      <w:r/>
      <w:bookmarkStart w:id="343" w:name="_Toc164351626"/>
      <w:r/>
      <w:bookmarkStart w:id="344" w:name="_Toc264969222"/>
      <w:r/>
      <w:bookmarkStart w:id="345" w:name="_Toc150480770"/>
      <w:r/>
      <w:bookmarkStart w:id="346" w:name="_Toc151193702"/>
      <w:r/>
      <w:bookmarkStart w:id="347" w:name="_Toc127161446"/>
      <w:r/>
      <w:bookmarkStart w:id="348" w:name="_Toc195842897"/>
      <w:r/>
      <w:bookmarkStart w:id="349" w:name="_Toc151193774"/>
      <w:r/>
      <w:bookmarkStart w:id="350" w:name="_Toc127151733"/>
      <w:r/>
      <w:bookmarkStart w:id="351" w:name="_Toc164229373"/>
      <w:r/>
      <w:bookmarkStart w:id="352" w:name="_Toc151193630"/>
      <w:r/>
      <w:bookmarkStart w:id="353" w:name="_Toc151193920"/>
      <w:r/>
      <w:bookmarkStart w:id="354" w:name="_Toc164229227"/>
      <w:r/>
      <w:bookmarkStart w:id="355" w:name="_Toc226309776"/>
      <w:r/>
      <w:bookmarkStart w:id="356" w:name="_Toc151193846"/>
      <w:r/>
      <w:bookmarkStart w:id="357" w:name="_Toc305158800"/>
      <w:r/>
      <w:bookmarkStart w:id="358" w:name="_Toc142311034"/>
      <w:r/>
      <w:bookmarkStart w:id="359" w:name="_Toc265228370"/>
      <w:r/>
      <w:bookmarkStart w:id="360" w:name="_Toc151190159"/>
      <w:r/>
      <w:bookmarkStart w:id="361" w:name="_Toc150509283"/>
      <w:r/>
      <w:bookmarkStart w:id="362" w:name="_Toc164608646"/>
      <w:r/>
      <w:bookmarkStart w:id="363" w:name="_Toc520356157"/>
      <w:r/>
      <w:bookmarkStart w:id="364" w:name="_Toc164608801"/>
      <w:r/>
      <w:bookmarkStart w:id="365" w:name="_Toc127151532"/>
      <w:r/>
      <w:bookmarkStart w:id="366" w:name="_Toc150774632"/>
      <w:r/>
      <w:bookmarkStart w:id="367" w:name="_Toc226965805"/>
      <w:r>
        <w:rPr>
          <w:rFonts w:hint="eastAsia" w:ascii="宋体" w:hAnsi="宋体" w:cs="宋体"/>
          <w:b/>
          <w:bCs/>
          <w:color w:val="000000"/>
          <w:szCs w:val="21"/>
          <w:highlight w:val="none"/>
        </w:rPr>
        <w:t xml:space="preserve">13.投标有效期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bCs/>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13.1投标文件应在本招标文件《投标人须知资料表》中规定的投标有效期内保持有效，投标有效期少于招标文件规定期限的，其</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8"/>
        <w:spacing w:line="360" w:lineRule="auto"/>
        <w:tabs>
          <w:tab w:val="left" w:pos="360" w:leader="none"/>
        </w:tabs>
        <w:rPr>
          <w:rFonts w:hint="eastAsia" w:ascii="宋体" w:hAnsi="宋体" w:cs="宋体"/>
          <w:b/>
          <w:bCs/>
          <w:color w:val="000000"/>
          <w:szCs w:val="21"/>
          <w:highlight w:val="none"/>
        </w:rPr>
        <w:outlineLvl w:val="1"/>
      </w:pPr>
      <w:r/>
      <w:bookmarkStart w:id="368" w:name="_Toc150774633"/>
      <w:r/>
      <w:bookmarkStart w:id="369" w:name="_Toc305158801"/>
      <w:r/>
      <w:bookmarkStart w:id="370" w:name="_Toc151193631"/>
      <w:r/>
      <w:bookmarkStart w:id="371" w:name="_Toc149720826"/>
      <w:r/>
      <w:bookmarkStart w:id="372" w:name="_Toc151193703"/>
      <w:r/>
      <w:bookmarkStart w:id="373" w:name="_Toc164351627"/>
      <w:r/>
      <w:bookmarkStart w:id="374" w:name="_Toc164608802"/>
      <w:r/>
      <w:bookmarkStart w:id="375" w:name="_Toc164229228"/>
      <w:r/>
      <w:bookmarkStart w:id="376" w:name="_Toc265228371"/>
      <w:r/>
      <w:bookmarkStart w:id="377" w:name="_Toc127161447"/>
      <w:r/>
      <w:bookmarkStart w:id="378" w:name="_Toc226337229"/>
      <w:r/>
      <w:bookmarkStart w:id="379" w:name="_Toc142311035"/>
      <w:r/>
      <w:bookmarkStart w:id="380" w:name="_Toc226309777"/>
      <w:r/>
      <w:bookmarkStart w:id="381" w:name="_Toc151190160"/>
      <w:r/>
      <w:bookmarkStart w:id="382" w:name="_Toc151193775"/>
      <w:r/>
      <w:bookmarkStart w:id="383" w:name="_Toc226965723"/>
      <w:r/>
      <w:bookmarkStart w:id="384" w:name="_Toc264969223"/>
      <w:r/>
      <w:bookmarkStart w:id="385" w:name="_Toc226965806"/>
      <w:r/>
      <w:bookmarkStart w:id="386" w:name="_Toc305158875"/>
      <w:r/>
      <w:bookmarkStart w:id="387" w:name="_Toc150774738"/>
      <w:r/>
      <w:bookmarkStart w:id="388" w:name="_Toc164229374"/>
      <w:r/>
      <w:bookmarkStart w:id="389" w:name="_Toc127151533"/>
      <w:r/>
      <w:bookmarkStart w:id="390" w:name="_Toc164608647"/>
      <w:r/>
      <w:bookmarkStart w:id="391" w:name="_Toc195842898"/>
      <w:r/>
      <w:bookmarkStart w:id="392" w:name="_Toc151193921"/>
      <w:r/>
      <w:bookmarkStart w:id="393" w:name="_Toc150480771"/>
      <w:r/>
      <w:bookmarkStart w:id="394" w:name="_Toc520356158"/>
      <w:r/>
      <w:bookmarkStart w:id="395" w:name="_Toc127151734"/>
      <w:r/>
      <w:bookmarkStart w:id="396" w:name="_Toc150509284"/>
      <w:r/>
      <w:bookmarkStart w:id="397" w:name="_Toc151193847"/>
      <w:r>
        <w:rPr>
          <w:rFonts w:hint="eastAsia" w:ascii="宋体" w:hAnsi="宋体" w:cs="宋体"/>
          <w:b/>
          <w:bCs/>
          <w:color w:val="000000"/>
          <w:szCs w:val="21"/>
          <w:highlight w:val="none"/>
        </w:rPr>
        <w:t xml:space="preserve">14.投标文件的签署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bCs/>
          <w:color w:val="000000"/>
          <w:szCs w:val="21"/>
          <w:highlight w:val="none"/>
        </w:rPr>
        <w:t xml:space="preserve">、加盖公章</w:t>
      </w:r>
      <w:r>
        <w:rPr>
          <w:rFonts w:hint="eastAsia" w:ascii="宋体" w:hAnsi="宋体" w:cs="宋体"/>
          <w:b/>
          <w:bCs/>
          <w:color w:val="000000"/>
          <w:szCs w:val="21"/>
          <w:highlight w:val="none"/>
        </w:rPr>
      </w:r>
      <w:r/>
    </w:p>
    <w:p>
      <w:pPr>
        <w:pStyle w:val="1048"/>
        <w:ind w:firstLine="420"/>
        <w:spacing w:line="360" w:lineRule="auto"/>
        <w:rPr>
          <w:rFonts w:hint="eastAsia" w:ascii="宋体" w:hAnsi="宋体" w:cs="宋体"/>
          <w:color w:val="000000"/>
          <w:szCs w:val="21"/>
          <w:highlight w:val="none"/>
        </w:rPr>
      </w:pPr>
      <w:r/>
      <w:bookmarkStart w:id="398" w:name="_Toc226309778"/>
      <w:r/>
      <w:bookmarkStart w:id="399" w:name="_Toc305158876"/>
      <w:r/>
      <w:bookmarkStart w:id="400" w:name="_Toc151193704"/>
      <w:r/>
      <w:bookmarkStart w:id="401" w:name="_Toc226337230"/>
      <w:r/>
      <w:bookmarkStart w:id="402" w:name="_Toc305158802"/>
      <w:r/>
      <w:bookmarkStart w:id="403" w:name="_Toc195842899"/>
      <w:r/>
      <w:bookmarkStart w:id="404" w:name="_Toc151193632"/>
      <w:r/>
      <w:bookmarkStart w:id="405" w:name="_Toc142311036"/>
      <w:r/>
      <w:bookmarkStart w:id="406" w:name="_Toc265228372"/>
      <w:r/>
      <w:bookmarkStart w:id="407" w:name="_Toc150774739"/>
      <w:r/>
      <w:bookmarkStart w:id="408" w:name="_Toc151190161"/>
      <w:r/>
      <w:bookmarkStart w:id="409" w:name="_Toc151193776"/>
      <w:r/>
      <w:bookmarkStart w:id="410" w:name="_Toc264969224"/>
      <w:r/>
      <w:bookmarkStart w:id="411" w:name="_Toc150480772"/>
      <w:r/>
      <w:bookmarkStart w:id="412" w:name="_Toc150774634"/>
      <w:r/>
      <w:bookmarkStart w:id="413" w:name="_Toc226965807"/>
      <w:r/>
      <w:bookmarkStart w:id="414" w:name="_Toc127151534"/>
      <w:r/>
      <w:bookmarkStart w:id="415" w:name="_Toc150509285"/>
      <w:r/>
      <w:bookmarkStart w:id="416" w:name="_Toc520356159"/>
      <w:r/>
      <w:bookmarkStart w:id="417" w:name="_Toc226965724"/>
      <w:r/>
      <w:bookmarkStart w:id="418" w:name="_Toc151193922"/>
      <w:r/>
      <w:bookmarkStart w:id="419" w:name="_Toc151193848"/>
      <w:r>
        <w:rPr>
          <w:rFonts w:hint="eastAsia" w:ascii="宋体" w:hAnsi="宋体" w:cs="宋体"/>
          <w:color w:val="000000"/>
          <w:szCs w:val="21"/>
          <w:highlight w:val="none"/>
        </w:rPr>
        <w:t xml:space="preserve">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Cs w:val="21"/>
          <w:highlight w:val="none"/>
        </w:rPr>
      </w:r>
      <w:r/>
    </w:p>
    <w:p>
      <w:pPr>
        <w:pStyle w:val="1048"/>
        <w:ind w:firstLine="422"/>
        <w:spacing w:line="360" w:lineRule="auto"/>
        <w:rPr>
          <w:color w:val="000000"/>
          <w:highlight w:val="none"/>
        </w:rPr>
      </w:pPr>
      <w:r>
        <w:rPr>
          <w:rFonts w:hint="eastAsia" w:ascii="宋体" w:hAnsi="宋体" w:cs="宋体"/>
          <w:b/>
          <w:bCs/>
          <w:color w:val="000000"/>
          <w:szCs w:val="21"/>
          <w:highlight w:val="none"/>
        </w:rPr>
        <w:t xml:space="preserve">14.2招标文件要求加盖公章的内容，一般通过投标文件编制工具加盖电子签章。</w:t>
      </w:r>
      <w:r>
        <w:rPr>
          <w:color w:val="000000"/>
          <w:highlight w:val="none"/>
        </w:rPr>
      </w:r>
      <w:r/>
    </w:p>
    <w:p>
      <w:pPr>
        <w:pStyle w:val="1050"/>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ascii="Times New Roman" w:hAnsi="Times New Roman" w:eastAsia="宋体"/>
          <w:color w:val="000000"/>
          <w:sz w:val="28"/>
          <w:highlight w:val="none"/>
        </w:rPr>
      </w:r>
      <w:r/>
    </w:p>
    <w:p>
      <w:pPr>
        <w:pStyle w:val="1048"/>
        <w:spacing w:line="360" w:lineRule="auto"/>
        <w:tabs>
          <w:tab w:val="left" w:pos="360" w:leader="none"/>
        </w:tabs>
        <w:rPr>
          <w:rFonts w:hint="eastAsia" w:ascii="宋体" w:hAnsi="宋体" w:cs="宋体"/>
          <w:b/>
          <w:bCs/>
          <w:color w:val="000000"/>
          <w:szCs w:val="21"/>
          <w:highlight w:val="none"/>
        </w:rPr>
        <w:outlineLvl w:val="1"/>
      </w:pPr>
      <w:r/>
      <w:bookmarkStart w:id="420" w:name="_Toc226309779"/>
      <w:r/>
      <w:bookmarkStart w:id="421" w:name="_Toc226965725"/>
      <w:r/>
      <w:bookmarkStart w:id="422" w:name="_Toc150774635"/>
      <w:r/>
      <w:bookmarkStart w:id="423" w:name="_Toc150509286"/>
      <w:r/>
      <w:bookmarkStart w:id="424" w:name="_Toc150774740"/>
      <w:r/>
      <w:bookmarkStart w:id="425" w:name="_Toc151193849"/>
      <w:r/>
      <w:bookmarkStart w:id="426" w:name="_Toc226965808"/>
      <w:r/>
      <w:bookmarkStart w:id="427" w:name="_Toc305158877"/>
      <w:r/>
      <w:bookmarkStart w:id="428" w:name="_Toc195842900"/>
      <w:r/>
      <w:bookmarkStart w:id="429" w:name="_Toc127151736"/>
      <w:r/>
      <w:bookmarkStart w:id="430" w:name="_Toc142311037"/>
      <w:r/>
      <w:bookmarkStart w:id="431" w:name="_Toc265228373"/>
      <w:r/>
      <w:bookmarkStart w:id="432" w:name="_Toc520356160"/>
      <w:r/>
      <w:bookmarkStart w:id="433" w:name="_Toc164608804"/>
      <w:r/>
      <w:bookmarkStart w:id="434" w:name="_Toc151193777"/>
      <w:r/>
      <w:bookmarkStart w:id="435" w:name="_Toc164608649"/>
      <w:r/>
      <w:bookmarkStart w:id="436" w:name="_Toc150480773"/>
      <w:r/>
      <w:bookmarkStart w:id="437" w:name="_Toc151193923"/>
      <w:r/>
      <w:bookmarkStart w:id="438" w:name="_Toc151193633"/>
      <w:r/>
      <w:bookmarkStart w:id="439" w:name="_Toc127151535"/>
      <w:r/>
      <w:bookmarkStart w:id="440" w:name="_Toc264969225"/>
      <w:r/>
      <w:bookmarkStart w:id="441" w:name="_Toc164229376"/>
      <w:r/>
      <w:bookmarkStart w:id="442" w:name="_Toc149720828"/>
      <w:r/>
      <w:bookmarkStart w:id="443" w:name="_Toc164229230"/>
      <w:r/>
      <w:bookmarkStart w:id="444" w:name="_Toc305158803"/>
      <w:r/>
      <w:bookmarkStart w:id="445" w:name="_Toc164351629"/>
      <w:r/>
      <w:bookmarkStart w:id="446" w:name="_Toc151190162"/>
      <w:r/>
      <w:bookmarkStart w:id="447" w:name="_Toc226337231"/>
      <w:r/>
      <w:bookmarkStart w:id="448" w:name="_Toc151193705"/>
      <w:r/>
      <w:bookmarkStart w:id="449" w:name="_Toc127161449"/>
      <w:r>
        <w:rPr>
          <w:rFonts w:hint="eastAsia" w:ascii="宋体" w:hAnsi="宋体" w:cs="宋体"/>
          <w:b/>
          <w:bCs/>
          <w:color w:val="000000"/>
          <w:szCs w:val="21"/>
          <w:highlight w:val="none"/>
        </w:rPr>
        <w:t xml:space="preserve">15.投标文件的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bCs/>
          <w:color w:val="000000"/>
          <w:szCs w:val="21"/>
          <w:highlight w:val="none"/>
        </w:rPr>
        <w:t xml:space="preserve">提交</w:t>
      </w:r>
      <w:r>
        <w:rPr>
          <w:rFonts w:hint="eastAsia" w:ascii="宋体" w:hAnsi="宋体" w:cs="宋体"/>
          <w:b/>
          <w:bCs/>
          <w:color w:val="000000"/>
          <w:szCs w:val="21"/>
          <w:highlight w:val="none"/>
        </w:rPr>
      </w:r>
      <w:r/>
    </w:p>
    <w:p>
      <w:pPr>
        <w:pStyle w:val="1048"/>
        <w:ind w:firstLine="420"/>
        <w:spacing w:line="360" w:lineRule="auto"/>
        <w:tabs>
          <w:tab w:val="left" w:pos="360" w:leader="none"/>
        </w:tabs>
        <w:rPr>
          <w:rFonts w:hint="eastAsia" w:ascii="宋体" w:hAnsi="宋体" w:cs="宋体"/>
          <w:color w:val="000000"/>
          <w:szCs w:val="21"/>
          <w:highlight w:val="none"/>
        </w:rPr>
        <w:outlineLvl w:val="1"/>
      </w:pPr>
      <w:r>
        <w:rPr>
          <w:rFonts w:hint="eastAsia" w:ascii="宋体" w:hAnsi="宋体" w:cs="宋体"/>
          <w:color w:val="000000"/>
          <w:szCs w:val="21"/>
          <w:highlight w:val="none"/>
        </w:rPr>
        <w:t xml:space="preserve">15.1本项目使用“苏采云”政府采购一体化平台。投标人根据招标文件及“苏采云”政府采购一体化平台供应商操作手册要求编制、生成并提交电子投标文件。 </w:t>
      </w:r>
      <w:r>
        <w:rPr>
          <w:rFonts w:hint="eastAsia" w:ascii="宋体" w:hAnsi="宋体" w:cs="宋体"/>
          <w:color w:val="000000"/>
          <w:szCs w:val="21"/>
          <w:highlight w:val="none"/>
        </w:rPr>
      </w:r>
      <w:r/>
    </w:p>
    <w:p>
      <w:pPr>
        <w:pStyle w:val="1048"/>
        <w:ind w:firstLine="420"/>
        <w:spacing w:line="360" w:lineRule="auto"/>
        <w:tabs>
          <w:tab w:val="left" w:pos="1080" w:leader="none"/>
          <w:tab w:val="left" w:pos="201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15.2采购人及采购代理机构拒绝接受通过“苏采云”政府采购一体化平台以外任何形式提交的投标文件。</w:t>
      </w:r>
      <w:r>
        <w:rPr>
          <w:rFonts w:hint="eastAsia" w:ascii="宋体" w:hAnsi="宋体" w:cs="宋体"/>
          <w:color w:val="000000"/>
          <w:szCs w:val="21"/>
          <w:highlight w:val="none"/>
        </w:rPr>
      </w:r>
      <w:r/>
    </w:p>
    <w:p>
      <w:pPr>
        <w:pStyle w:val="1048"/>
        <w:spacing w:line="360" w:lineRule="auto"/>
        <w:tabs>
          <w:tab w:val="left" w:pos="360" w:leader="none"/>
        </w:tabs>
        <w:rPr>
          <w:b/>
          <w:bCs/>
          <w:color w:val="000000"/>
          <w:szCs w:val="21"/>
          <w:highlight w:val="none"/>
        </w:rPr>
        <w:outlineLvl w:val="1"/>
      </w:pPr>
      <w:r/>
      <w:bookmarkStart w:id="450" w:name="_Toc520356161"/>
      <w:r/>
      <w:bookmarkStart w:id="451" w:name="_Toc305158804"/>
      <w:r/>
      <w:bookmarkStart w:id="452" w:name="_Toc164608805"/>
      <w:r/>
      <w:bookmarkStart w:id="453" w:name="_Toc151193634"/>
      <w:r/>
      <w:bookmarkStart w:id="454" w:name="_Toc151193924"/>
      <w:r/>
      <w:bookmarkStart w:id="455" w:name="_Toc305158878"/>
      <w:r/>
      <w:bookmarkStart w:id="456" w:name="_Toc127151737"/>
      <w:r/>
      <w:bookmarkStart w:id="457" w:name="_Toc265228374"/>
      <w:r/>
      <w:bookmarkStart w:id="458" w:name="_Toc226965726"/>
      <w:r/>
      <w:bookmarkStart w:id="459" w:name="_Toc226965809"/>
      <w:r/>
      <w:bookmarkStart w:id="460" w:name="_Toc150480774"/>
      <w:r/>
      <w:bookmarkStart w:id="461" w:name="_Toc164229377"/>
      <w:r/>
      <w:bookmarkStart w:id="462" w:name="_Toc164351630"/>
      <w:r/>
      <w:bookmarkStart w:id="463" w:name="_Toc164229231"/>
      <w:r/>
      <w:bookmarkStart w:id="464" w:name="_Toc164608650"/>
      <w:r/>
      <w:bookmarkStart w:id="465" w:name="_Toc149720829"/>
      <w:r/>
      <w:bookmarkStart w:id="466" w:name="_Toc127151536"/>
      <w:r/>
      <w:bookmarkStart w:id="467" w:name="_Toc226337232"/>
      <w:r/>
      <w:bookmarkStart w:id="468" w:name="_Toc151193850"/>
      <w:r/>
      <w:bookmarkStart w:id="469" w:name="_Toc264969226"/>
      <w:r/>
      <w:bookmarkStart w:id="470" w:name="_Toc195842901"/>
      <w:r/>
      <w:bookmarkStart w:id="471" w:name="_Toc150509287"/>
      <w:r/>
      <w:bookmarkStart w:id="472" w:name="_Toc150774741"/>
      <w:r/>
      <w:bookmarkStart w:id="473" w:name="_Toc127161450"/>
      <w:r/>
      <w:bookmarkStart w:id="474" w:name="_Toc151190163"/>
      <w:r/>
      <w:bookmarkStart w:id="475" w:name="_Toc150774636"/>
      <w:r/>
      <w:bookmarkStart w:id="476" w:name="_Toc151193778"/>
      <w:r/>
      <w:bookmarkStart w:id="477" w:name="_Toc142311038"/>
      <w:r/>
      <w:bookmarkStart w:id="478" w:name="_Toc226309780"/>
      <w:r/>
      <w:bookmarkStart w:id="479" w:name="_Toc151193706"/>
      <w:r>
        <w:rPr>
          <w:rFonts w:hint="eastAsia"/>
          <w:b/>
          <w:bCs/>
          <w:color w:val="000000"/>
          <w:szCs w:val="21"/>
          <w:highlight w:val="none"/>
        </w:rPr>
        <w:t xml:space="preserve">16.</w:t>
      </w:r>
      <w:r>
        <w:rPr>
          <w:b/>
          <w:bCs/>
          <w:color w:val="000000"/>
          <w:szCs w:val="21"/>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b/>
          <w:bCs/>
          <w:color w:val="000000"/>
          <w:szCs w:val="21"/>
          <w:highlight w:val="none"/>
        </w:rPr>
        <w:t xml:space="preserve">时间</w:t>
      </w:r>
      <w:r>
        <w:rPr>
          <w:b/>
          <w:bCs/>
          <w:color w:val="000000"/>
          <w:szCs w:val="21"/>
          <w:highlight w:val="none"/>
        </w:rPr>
      </w:r>
      <w:r/>
    </w:p>
    <w:p>
      <w:pPr>
        <w:pStyle w:val="1048"/>
        <w:ind w:firstLine="420"/>
        <w:spacing w:line="360" w:lineRule="auto"/>
        <w:tabs>
          <w:tab w:val="left" w:pos="360" w:leader="none"/>
        </w:tabs>
        <w:rPr>
          <w:rFonts w:hint="eastAsia" w:ascii="宋体" w:hAnsi="宋体" w:cs="宋体"/>
          <w:color w:val="000000"/>
          <w:szCs w:val="21"/>
          <w:highlight w:val="none"/>
        </w:rPr>
        <w:outlineLvl w:val="1"/>
      </w:pPr>
      <w:r/>
      <w:bookmarkStart w:id="480" w:name="_Toc151193779"/>
      <w:r/>
      <w:bookmarkStart w:id="481" w:name="_Toc151193925"/>
      <w:r/>
      <w:bookmarkStart w:id="482" w:name="_Toc150480775"/>
      <w:r/>
      <w:bookmarkStart w:id="483" w:name="_Toc149720830"/>
      <w:r/>
      <w:bookmarkStart w:id="484" w:name="_Toc164351631"/>
      <w:r/>
      <w:bookmarkStart w:id="485" w:name="_Toc150774742"/>
      <w:r/>
      <w:bookmarkStart w:id="486" w:name="_Toc127151738"/>
      <w:r/>
      <w:bookmarkStart w:id="487" w:name="_Toc127151537"/>
      <w:r/>
      <w:bookmarkStart w:id="488" w:name="_Toc226337233"/>
      <w:r/>
      <w:bookmarkStart w:id="489" w:name="_Toc264969227"/>
      <w:r/>
      <w:bookmarkStart w:id="490" w:name="_Toc226965810"/>
      <w:r/>
      <w:bookmarkStart w:id="491" w:name="_Toc226965727"/>
      <w:r/>
      <w:bookmarkStart w:id="492" w:name="_Toc265228375"/>
      <w:r/>
      <w:bookmarkStart w:id="493" w:name="_Toc150509288"/>
      <w:r/>
      <w:bookmarkStart w:id="494" w:name="_Toc164608806"/>
      <w:r/>
      <w:bookmarkStart w:id="495" w:name="_Toc151193635"/>
      <w:r/>
      <w:bookmarkStart w:id="496" w:name="_Toc151193707"/>
      <w:r/>
      <w:bookmarkStart w:id="497" w:name="_Toc151193851"/>
      <w:r/>
      <w:bookmarkStart w:id="498" w:name="_Toc150774637"/>
      <w:r/>
      <w:bookmarkStart w:id="499" w:name="_Toc142311039"/>
      <w:r/>
      <w:bookmarkStart w:id="500" w:name="_Toc164229232"/>
      <w:r/>
      <w:bookmarkStart w:id="501" w:name="_Toc164229378"/>
      <w:r/>
      <w:bookmarkStart w:id="502" w:name="_Toc226309781"/>
      <w:r/>
      <w:bookmarkStart w:id="503" w:name="_Toc164608651"/>
      <w:r/>
      <w:bookmarkStart w:id="504" w:name="_Toc305158879"/>
      <w:r/>
      <w:bookmarkStart w:id="505" w:name="_Toc127161451"/>
      <w:r/>
      <w:bookmarkStart w:id="506" w:name="_Toc151190164"/>
      <w:r/>
      <w:bookmarkStart w:id="507" w:name="_Toc520356162"/>
      <w:r/>
      <w:bookmarkStart w:id="508" w:name="_Toc195842902"/>
      <w:r/>
      <w:bookmarkStart w:id="509" w:name="_Toc305158805"/>
      <w:r>
        <w:rPr>
          <w:rFonts w:hint="eastAsia" w:ascii="宋体" w:hAnsi="宋体" w:cs="宋体"/>
          <w:color w:val="000000"/>
          <w:szCs w:val="21"/>
          <w:highlight w:val="none"/>
        </w:rPr>
        <w:t xml:space="preserve">16.1投标人应在招标文件要求提交投标文件截止时间前，将电子投标文件提交至“苏采云”政府采购一体化平台。</w:t>
      </w:r>
      <w:r>
        <w:rPr>
          <w:rFonts w:hint="eastAsia" w:ascii="宋体" w:hAnsi="宋体" w:cs="宋体"/>
          <w:color w:val="000000"/>
          <w:szCs w:val="21"/>
          <w:highlight w:val="none"/>
        </w:rPr>
      </w:r>
      <w:r/>
    </w:p>
    <w:p>
      <w:pPr>
        <w:pStyle w:val="1048"/>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17.投标文件的修改与撤回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bCs/>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17.1投标截止时间前，投标人可以通过“苏采云”政府采购一体化平台对所提交的投标文件进行补充、修改或者撤回。</w:t>
      </w:r>
      <w:r>
        <w:rPr>
          <w:rFonts w:hint="eastAsia" w:ascii="宋体" w:hAnsi="宋体" w:cs="宋体"/>
          <w:color w:val="000000"/>
          <w:szCs w:val="21"/>
          <w:highlight w:val="none"/>
        </w:rPr>
      </w:r>
      <w:r/>
    </w:p>
    <w:p>
      <w:pPr>
        <w:pStyle w:val="104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17.2投标人对投标文件的补充、修改的内容应当按照招标文件要求签署、加盖公章，作为投标文件的组成部分。</w:t>
      </w:r>
      <w:r>
        <w:rPr>
          <w:rFonts w:ascii="宋体" w:hAnsi="宋体" w:cs="宋体"/>
          <w:color w:val="000000"/>
          <w:szCs w:val="21"/>
          <w:highlight w:val="none"/>
        </w:rPr>
      </w:r>
      <w:r/>
    </w:p>
    <w:p>
      <w:pPr>
        <w:pStyle w:val="1050"/>
        <w:spacing w:before="0" w:line="360" w:lineRule="auto"/>
        <w:rPr>
          <w:rFonts w:ascii="Times New Roman" w:hAnsi="Times New Roman" w:eastAsia="宋体"/>
          <w:color w:val="000000"/>
          <w:sz w:val="28"/>
        </w:rPr>
      </w:pPr>
      <w:r/>
      <w:bookmarkStart w:id="510" w:name="_Toc226337234"/>
      <w:r/>
      <w:bookmarkStart w:id="511" w:name="_Toc226965811"/>
      <w:r/>
      <w:bookmarkStart w:id="512" w:name="_Toc150774743"/>
      <w:r/>
      <w:bookmarkStart w:id="513" w:name="_Toc264969228"/>
      <w:r/>
      <w:bookmarkStart w:id="514" w:name="_Toc150480776"/>
      <w:r/>
      <w:bookmarkStart w:id="515" w:name="_Toc151193780"/>
      <w:r/>
      <w:bookmarkStart w:id="516" w:name="_Toc226309782"/>
      <w:r/>
      <w:bookmarkStart w:id="517" w:name="_Toc305158806"/>
      <w:r/>
      <w:bookmarkStart w:id="518" w:name="_Toc142311040"/>
      <w:r/>
      <w:bookmarkStart w:id="519" w:name="_Toc305158880"/>
      <w:r/>
      <w:bookmarkStart w:id="520" w:name="_Toc151193708"/>
      <w:r/>
      <w:bookmarkStart w:id="521" w:name="_Toc265228376"/>
      <w:r/>
      <w:bookmarkStart w:id="522" w:name="_Toc151193636"/>
      <w:r/>
      <w:bookmarkStart w:id="523" w:name="_Toc520356163"/>
      <w:r/>
      <w:bookmarkStart w:id="524" w:name="_Toc150774638"/>
      <w:r/>
      <w:bookmarkStart w:id="525" w:name="_Toc226965728"/>
      <w:r/>
      <w:bookmarkStart w:id="526" w:name="_Toc151193852"/>
      <w:r/>
      <w:bookmarkStart w:id="527" w:name="_Toc195842903"/>
      <w:r/>
      <w:bookmarkStart w:id="528" w:name="_Toc151193926"/>
      <w:r/>
      <w:bookmarkStart w:id="529" w:name="_Toc127151538"/>
      <w:r/>
      <w:bookmarkStart w:id="530" w:name="_Toc151190165"/>
      <w:r/>
      <w:bookmarkStart w:id="531" w:name="_Toc150509289"/>
      <w:r>
        <w:rPr>
          <w:rFonts w:ascii="Times New Roman" w:hAnsi="Times New Roman" w:eastAsia="宋体"/>
          <w:color w:val="000000"/>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ascii="Times New Roman" w:hAnsi="Times New Roman" w:eastAsia="宋体"/>
          <w:color w:val="000000"/>
          <w:sz w:val="28"/>
        </w:rPr>
      </w:r>
      <w:r/>
    </w:p>
    <w:p>
      <w:pPr>
        <w:pStyle w:val="1048"/>
        <w:spacing w:line="360" w:lineRule="auto"/>
        <w:rPr>
          <w:rFonts w:hint="eastAsia" w:ascii="宋体" w:hAnsi="宋体" w:cs="宋体"/>
          <w:b/>
          <w:bCs/>
          <w:color w:val="000000"/>
          <w:szCs w:val="21"/>
        </w:rPr>
      </w:pPr>
      <w:r/>
      <w:bookmarkStart w:id="532" w:name="_Toc520356169"/>
      <w:r>
        <w:rPr>
          <w:rFonts w:hint="eastAsia" w:ascii="宋体" w:hAnsi="宋体" w:cs="宋体"/>
          <w:b/>
          <w:bCs/>
          <w:color w:val="000000"/>
          <w:szCs w:val="21"/>
        </w:rPr>
        <w:t xml:space="preserve">18.开标</w:t>
      </w:r>
      <w:r>
        <w:rPr>
          <w:rFonts w:hint="eastAsia" w:ascii="宋体" w:hAnsi="宋体" w:cs="宋体"/>
          <w:b/>
          <w:bCs/>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18.1采购人或采购代理机构将按招标文件的规定，在投标截止时间的同一时间和招标文件预先确定的地点组织开标。</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rPr>
        <w:t xml:space="preserve">18.2本项目开标采用不见面招</w:t>
      </w:r>
      <w:r>
        <w:rPr>
          <w:rFonts w:hint="eastAsia" w:ascii="宋体" w:hAnsi="宋体" w:cs="宋体"/>
          <w:color w:val="000000"/>
          <w:szCs w:val="21"/>
          <w:highlight w:val="none"/>
        </w:rPr>
        <w:t xml:space="preserve">投标模式，使用“苏采云”政府采购一体化平台在线进行开标。投标人应在规定的时间内对投标文件进行解密，因非系统原因导致的解密失败，视为</w:t>
      </w:r>
      <w:r>
        <w:rPr>
          <w:rFonts w:hint="eastAsia" w:ascii="宋体" w:hAnsi="宋体" w:cs="宋体"/>
          <w:b/>
          <w:bCs/>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highlight w:val="none"/>
        </w:rPr>
        <w:t xml:space="preserve">18.4投标人代表对开标过程和开标记录有疑义，以及认为</w:t>
      </w:r>
      <w:r>
        <w:rPr>
          <w:rFonts w:hint="eastAsia" w:ascii="宋体" w:hAnsi="宋体" w:cs="宋体"/>
          <w:color w:val="000000"/>
          <w:szCs w:val="21"/>
        </w:rPr>
        <w:t xml:space="preserve">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18.5投标人不足3家的，不予开标。</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Cs w:val="21"/>
        </w:rPr>
      </w:r>
      <w:r/>
    </w:p>
    <w:p>
      <w:pPr>
        <w:pStyle w:val="1048"/>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rPr>
        <w:t xml:space="preserve">18.8如果在采购活动过程中出现</w:t>
      </w:r>
      <w:r>
        <w:rPr>
          <w:rFonts w:hint="eastAsia" w:ascii="宋体" w:hAnsi="宋体" w:cs="宋体"/>
          <w:color w:val="000000"/>
          <w:szCs w:val="21"/>
          <w:highlight w:val="none"/>
        </w:rPr>
        <w:t xml:space="preserve">以下情形，导致““苏采云”政府采购一体化平台”系统无法正常运行，或者无法保证本项目采购活动的公平、公正和安全时，代理机构可以延缓或者暂停采购活动，情况严重的可以终止采购活动：</w:t>
      </w:r>
      <w:r>
        <w:rPr>
          <w:rFonts w:hint="eastAsia" w:ascii="宋体" w:hAnsi="宋体" w:eastAsia="宋体" w:cs="宋体"/>
          <w:color w:val="000000"/>
          <w:szCs w:val="21"/>
          <w:highlight w:val="none"/>
          <w:lang w:eastAsia="zh-CN"/>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1)平台系统发生故障而无法登录访问的；</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2)平台系统应用或数据库出现错误，不能进行正常操作的；</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3)平台系统发现严重安全漏洞，有潜在泄密危险的；</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4)病毒发作导致平台系统不能进行正常操作的；</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5)其他无法保证本次采购活动的公平、公正和安全的情况。</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Cs w:val="21"/>
        </w:rPr>
      </w:r>
      <w:r/>
    </w:p>
    <w:p>
      <w:pPr>
        <w:pStyle w:val="1048"/>
        <w:spacing w:line="360" w:lineRule="auto"/>
        <w:rPr>
          <w:rFonts w:hint="eastAsia" w:ascii="宋体" w:hAnsi="宋体" w:cs="宋体"/>
          <w:b/>
          <w:bCs/>
          <w:color w:val="000000"/>
          <w:szCs w:val="21"/>
        </w:rPr>
      </w:pPr>
      <w:r>
        <w:rPr>
          <w:rFonts w:hint="eastAsia" w:ascii="宋体" w:hAnsi="宋体" w:cs="宋体"/>
          <w:b/>
          <w:bCs/>
          <w:color w:val="000000"/>
          <w:szCs w:val="21"/>
        </w:rPr>
        <w:t xml:space="preserve">19.资格审查</w:t>
      </w:r>
      <w:r>
        <w:rPr>
          <w:rFonts w:hint="eastAsia" w:ascii="宋体" w:hAnsi="宋体" w:cs="宋体"/>
          <w:b/>
          <w:bCs/>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19.1见第三章《资格审查》。</w:t>
      </w:r>
      <w:r>
        <w:rPr>
          <w:rFonts w:hint="eastAsia" w:ascii="宋体" w:hAnsi="宋体" w:cs="宋体"/>
          <w:color w:val="000000"/>
          <w:szCs w:val="21"/>
        </w:rPr>
      </w:r>
      <w:r/>
    </w:p>
    <w:p>
      <w:pPr>
        <w:pStyle w:val="1048"/>
        <w:spacing w:line="360" w:lineRule="auto"/>
        <w:rPr>
          <w:rFonts w:hint="eastAsia" w:ascii="宋体" w:hAnsi="宋体" w:cs="宋体"/>
          <w:b/>
          <w:bCs/>
          <w:color w:val="000000"/>
          <w:szCs w:val="21"/>
        </w:rPr>
      </w:pPr>
      <w:r>
        <w:rPr>
          <w:rFonts w:hint="eastAsia" w:ascii="宋体" w:hAnsi="宋体" w:cs="宋体"/>
          <w:b/>
          <w:bCs/>
          <w:color w:val="000000"/>
          <w:szCs w:val="21"/>
        </w:rPr>
        <w:t xml:space="preserve">20.评标委员会</w:t>
      </w:r>
      <w:r>
        <w:rPr>
          <w:rFonts w:hint="eastAsia" w:ascii="宋体" w:hAnsi="宋体" w:cs="宋体"/>
          <w:b/>
          <w:bCs/>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20.1评标委员会根据政府采购有关规定和本次招标采购项目的特点进行组建，并负责具体评标事务，独立履行职责。</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20.2评审专家须符合相关规定。依法自行选定评审专家的，采购人和采购代理机构将查询有关信用记录，对具有行贿、受贿、欺诈等不良信用记录的人员，拒绝其参与政府采购活动。</w:t>
      </w:r>
      <w:r>
        <w:rPr>
          <w:rFonts w:hint="eastAsia" w:ascii="宋体" w:hAnsi="宋体" w:cs="宋体"/>
          <w:color w:val="000000"/>
          <w:szCs w:val="21"/>
        </w:rPr>
      </w:r>
      <w:r/>
    </w:p>
    <w:p>
      <w:pPr>
        <w:pStyle w:val="1048"/>
        <w:spacing w:line="360" w:lineRule="auto"/>
        <w:rPr>
          <w:rFonts w:hint="eastAsia" w:ascii="宋体" w:hAnsi="宋体" w:cs="宋体"/>
          <w:b/>
          <w:bCs/>
          <w:color w:val="000000"/>
          <w:szCs w:val="21"/>
        </w:rPr>
      </w:pPr>
      <w:r>
        <w:rPr>
          <w:rFonts w:hint="eastAsia" w:ascii="宋体" w:hAnsi="宋体" w:cs="宋体"/>
          <w:b/>
          <w:bCs/>
          <w:color w:val="000000"/>
          <w:szCs w:val="21"/>
        </w:rPr>
        <w:t xml:space="preserve">21.评标程序、评标方法和评标标准</w:t>
      </w:r>
      <w:r>
        <w:rPr>
          <w:rFonts w:hint="eastAsia" w:ascii="宋体" w:hAnsi="宋体" w:cs="宋体"/>
          <w:b/>
          <w:bCs/>
          <w:color w:val="000000"/>
          <w:szCs w:val="21"/>
        </w:rPr>
      </w:r>
      <w:r/>
    </w:p>
    <w:p>
      <w:pPr>
        <w:pStyle w:val="1048"/>
        <w:ind w:firstLine="420"/>
        <w:spacing w:line="360" w:lineRule="auto"/>
        <w:rPr>
          <w:color w:val="000000"/>
          <w:sz w:val="24"/>
        </w:rPr>
      </w:pPr>
      <w:r>
        <w:rPr>
          <w:rFonts w:hint="eastAsia" w:ascii="宋体" w:hAnsi="宋体" w:cs="宋体"/>
          <w:color w:val="000000"/>
          <w:szCs w:val="21"/>
        </w:rPr>
        <w:t xml:space="preserve">21.1见第四章《评标程序、评标方法和评标标准》。</w:t>
      </w:r>
      <w:r>
        <w:rPr>
          <w:color w:val="000000"/>
          <w:sz w:val="24"/>
        </w:rPr>
      </w:r>
      <w:r/>
    </w:p>
    <w:p>
      <w:pPr>
        <w:pStyle w:val="1050"/>
        <w:spacing w:before="0" w:line="360" w:lineRule="auto"/>
        <w:rPr>
          <w:rFonts w:ascii="Times New Roman" w:hAnsi="Times New Roman" w:eastAsia="宋体"/>
          <w:color w:val="000000"/>
          <w:sz w:val="28"/>
        </w:rPr>
      </w:pPr>
      <w:r/>
      <w:bookmarkStart w:id="533" w:name="_Toc265228383"/>
      <w:r/>
      <w:bookmarkStart w:id="534" w:name="_Toc150509296"/>
      <w:r/>
      <w:bookmarkStart w:id="535" w:name="_Toc195842910"/>
      <w:r/>
      <w:bookmarkStart w:id="536" w:name="_Toc151193933"/>
      <w:r/>
      <w:bookmarkStart w:id="537" w:name="_Toc150774645"/>
      <w:r/>
      <w:bookmarkStart w:id="538" w:name="_Toc305158887"/>
      <w:r/>
      <w:bookmarkStart w:id="539" w:name="_Toc151193643"/>
      <w:r/>
      <w:bookmarkStart w:id="540" w:name="_Toc305158813"/>
      <w:r/>
      <w:bookmarkStart w:id="541" w:name="_Toc151193715"/>
      <w:r/>
      <w:bookmarkStart w:id="542" w:name="_Toc226965818"/>
      <w:r/>
      <w:bookmarkStart w:id="543" w:name="_Toc127151545"/>
      <w:r/>
      <w:bookmarkStart w:id="544" w:name="_Toc226309789"/>
      <w:r/>
      <w:bookmarkStart w:id="545" w:name="_Toc226337241"/>
      <w:r/>
      <w:bookmarkStart w:id="546" w:name="_Toc150774750"/>
      <w:r/>
      <w:bookmarkStart w:id="547" w:name="_Toc151190172"/>
      <w:r/>
      <w:bookmarkStart w:id="548" w:name="_Toc226965735"/>
      <w:r/>
      <w:bookmarkStart w:id="549" w:name="_Toc151193859"/>
      <w:r/>
      <w:bookmarkStart w:id="550" w:name="_Toc151193787"/>
      <w:r/>
      <w:bookmarkStart w:id="551" w:name="_Toc142311047"/>
      <w:r/>
      <w:bookmarkStart w:id="552" w:name="_Toc150480783"/>
      <w:r/>
      <w:bookmarkStart w:id="553" w:name="_Toc264969235"/>
      <w:r>
        <w:rPr>
          <w:rFonts w:ascii="Times New Roman" w:hAnsi="Times New Roman" w:eastAsia="宋体"/>
          <w:color w:val="000000"/>
          <w:sz w:val="28"/>
        </w:rPr>
        <w:t xml:space="preserve">六   </w:t>
      </w:r>
      <w:bookmarkEnd w:id="532"/>
      <w:r>
        <w:rPr>
          <w:rFonts w:ascii="Times New Roman" w:hAnsi="Times New Roman" w:eastAsia="宋体"/>
          <w:color w:val="000000"/>
          <w:sz w:val="28"/>
        </w:rPr>
        <w:t xml:space="preserve">确定中标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Start w:id="554" w:name="_Toc226965737"/>
      <w:r/>
      <w:bookmarkStart w:id="555" w:name="_Toc151193789"/>
      <w:r/>
      <w:bookmarkStart w:id="556" w:name="_Toc226309791"/>
      <w:r/>
      <w:bookmarkStart w:id="557" w:name="_Toc127151748"/>
      <w:r/>
      <w:bookmarkStart w:id="558" w:name="_Toc305158889"/>
      <w:r/>
      <w:bookmarkStart w:id="559" w:name="_Toc195842912"/>
      <w:r/>
      <w:bookmarkStart w:id="560" w:name="_Toc150480785"/>
      <w:r/>
      <w:bookmarkStart w:id="561" w:name="_Toc164608661"/>
      <w:r/>
      <w:bookmarkStart w:id="562" w:name="_Toc151193717"/>
      <w:r/>
      <w:bookmarkStart w:id="563" w:name="_Toc151193935"/>
      <w:r/>
      <w:bookmarkStart w:id="564" w:name="_Toc142311049"/>
      <w:r/>
      <w:bookmarkStart w:id="565" w:name="_Toc151190174"/>
      <w:r/>
      <w:bookmarkStart w:id="566" w:name="_Toc226337243"/>
      <w:r/>
      <w:bookmarkStart w:id="567" w:name="_Toc150509298"/>
      <w:r/>
      <w:bookmarkStart w:id="568" w:name="_Toc164229388"/>
      <w:r/>
      <w:bookmarkStart w:id="569" w:name="_Toc149720840"/>
      <w:r/>
      <w:bookmarkStart w:id="570" w:name="_Toc150774647"/>
      <w:r/>
      <w:bookmarkStart w:id="571" w:name="_Toc164351641"/>
      <w:r/>
      <w:bookmarkStart w:id="572" w:name="_Toc226965820"/>
      <w:r/>
      <w:bookmarkStart w:id="573" w:name="_Toc151193645"/>
      <w:r/>
      <w:bookmarkStart w:id="574" w:name="_Toc151193861"/>
      <w:r/>
      <w:bookmarkStart w:id="575" w:name="_Toc264969237"/>
      <w:r/>
      <w:bookmarkStart w:id="576" w:name="_Toc164229242"/>
      <w:r/>
      <w:bookmarkStart w:id="577" w:name="_Toc127161461"/>
      <w:r/>
      <w:bookmarkStart w:id="578" w:name="_Toc127151547"/>
      <w:r/>
      <w:bookmarkStart w:id="579" w:name="_Toc164608816"/>
      <w:r/>
      <w:bookmarkStart w:id="580" w:name="_Toc305158815"/>
      <w:r/>
      <w:bookmarkStart w:id="581" w:name="_Toc265228385"/>
      <w:r/>
      <w:bookmarkStart w:id="582" w:name="_Toc150774752"/>
      <w:r>
        <w:rPr>
          <w:rFonts w:ascii="Times New Roman" w:hAnsi="Times New Roman" w:eastAsia="宋体"/>
          <w:color w:val="000000"/>
          <w:sz w:val="28"/>
        </w:rPr>
      </w:r>
      <w:r/>
    </w:p>
    <w:p>
      <w:pPr>
        <w:pStyle w:val="1048"/>
        <w:spacing w:line="360" w:lineRule="auto"/>
        <w:rPr>
          <w:rFonts w:hint="eastAsia" w:ascii="宋体" w:hAnsi="宋体" w:cs="宋体"/>
          <w:b/>
          <w:bCs/>
          <w:color w:val="000000"/>
          <w:szCs w:val="21"/>
        </w:rPr>
      </w:pPr>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rFonts w:hint="eastAsia" w:ascii="宋体" w:hAnsi="宋体" w:cs="宋体"/>
          <w:b/>
          <w:bCs/>
          <w:color w:val="000000"/>
          <w:szCs w:val="21"/>
        </w:rPr>
        <w:t xml:space="preserve">22.确定中标人</w:t>
      </w:r>
      <w:r>
        <w:rPr>
          <w:rFonts w:hint="eastAsia" w:ascii="宋体" w:hAnsi="宋体" w:cs="宋体"/>
          <w:b/>
          <w:bCs/>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22.1采购人将在评标报告确定的中标候选人名单中按顺序确定中标人，中标候选人并列的，由采购人依法确定。</w:t>
      </w:r>
      <w:r>
        <w:rPr>
          <w:rFonts w:hint="eastAsia" w:ascii="宋体" w:hAnsi="宋体" w:cs="宋体"/>
          <w:color w:val="000000"/>
          <w:szCs w:val="21"/>
        </w:rPr>
      </w:r>
      <w:r/>
    </w:p>
    <w:p>
      <w:pPr>
        <w:pStyle w:val="1048"/>
        <w:spacing w:line="360" w:lineRule="auto"/>
        <w:rPr>
          <w:rFonts w:hint="eastAsia" w:ascii="宋体" w:hAnsi="宋体" w:cs="宋体"/>
          <w:b/>
          <w:bCs/>
          <w:color w:val="000000"/>
          <w:szCs w:val="21"/>
        </w:rPr>
      </w:pPr>
      <w:r>
        <w:rPr>
          <w:rFonts w:hint="eastAsia" w:ascii="宋体" w:hAnsi="宋体" w:cs="宋体"/>
          <w:b/>
          <w:bCs/>
          <w:color w:val="000000"/>
          <w:szCs w:val="21"/>
        </w:rPr>
        <w:t xml:space="preserve">23.中标公告与中标通知书</w:t>
      </w:r>
      <w:r>
        <w:rPr>
          <w:rFonts w:hint="eastAsia" w:ascii="宋体" w:hAnsi="宋体" w:cs="宋体"/>
          <w:b/>
          <w:bCs/>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23.1采购人或采购代理机构自中标人确定之日起2个工作日内，在</w:t>
      </w:r>
      <w:r>
        <w:rPr>
          <w:rFonts w:hint="eastAsia" w:ascii="宋体" w:hAnsi="宋体" w:cs="宋体"/>
          <w:b/>
          <w:bCs/>
          <w:color w:val="000000"/>
          <w:szCs w:val="21"/>
        </w:rPr>
        <w:t xml:space="preserve">常州市政府采购网、常州市阳峻项目管理有限公司网站</w:t>
      </w:r>
      <w:r>
        <w:rPr>
          <w:rFonts w:hint="eastAsia" w:ascii="宋体" w:hAnsi="宋体" w:cs="宋体"/>
          <w:color w:val="000000"/>
          <w:szCs w:val="21"/>
        </w:rPr>
        <w:t xml:space="preserve">公告中标结果，同时向中标人发出中标通知书，中标公告期限为1个工作日。</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23.2中标通知书对采购人和中标人均具有法律效力。中标通知书发出后，采购人改变中标结果的，或者中标人放弃中标项目的，应当依法承担法律责任。</w:t>
      </w:r>
      <w:r>
        <w:rPr>
          <w:rFonts w:hint="eastAsia" w:ascii="宋体" w:hAnsi="宋体" w:cs="宋体"/>
          <w:color w:val="000000"/>
          <w:szCs w:val="21"/>
        </w:rPr>
      </w:r>
      <w:r/>
    </w:p>
    <w:p>
      <w:pPr>
        <w:pStyle w:val="1048"/>
        <w:spacing w:line="360" w:lineRule="auto"/>
        <w:rPr>
          <w:rFonts w:hint="eastAsia" w:ascii="宋体" w:hAnsi="宋体" w:cs="宋体"/>
          <w:b/>
          <w:bCs/>
          <w:color w:val="000000"/>
          <w:szCs w:val="21"/>
        </w:rPr>
      </w:pPr>
      <w:r>
        <w:rPr>
          <w:rFonts w:hint="eastAsia" w:ascii="宋体" w:hAnsi="宋体" w:cs="宋体"/>
          <w:b/>
          <w:bCs/>
          <w:color w:val="000000"/>
          <w:szCs w:val="21"/>
        </w:rPr>
        <w:t xml:space="preserve">24.废标</w:t>
      </w:r>
      <w:r>
        <w:rPr>
          <w:rFonts w:hint="eastAsia" w:ascii="宋体" w:hAnsi="宋体" w:cs="宋体"/>
          <w:b/>
          <w:bCs/>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24.1在招标采购中，出现下列情形之一的，应予废标：</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24.1.1符合专业条件的供应商或者对招标文件作实质响应的供应商不足三家的；</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24.1.2出现影响采购公正的违法、违规行为的；</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24.1.3投标人的报价均超过了采购预算，采购人不能支付的；</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24.1.4因重大变故，采购任务取消的。</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24.1.5平台系统出现序号18.8的所述情形，情况严重且影响采购活动公平、公正性的。</w:t>
      </w:r>
      <w:r>
        <w:rPr>
          <w:rFonts w:hint="eastAsia" w:ascii="宋体" w:hAnsi="宋体" w:cs="宋体"/>
          <w:color w:val="000000"/>
          <w:szCs w:val="21"/>
        </w:rPr>
      </w:r>
      <w:r/>
    </w:p>
    <w:p>
      <w:pPr>
        <w:pStyle w:val="1134"/>
        <w:ind w:firstLine="420"/>
        <w:rPr>
          <w:rFonts w:hint="eastAsia" w:ascii="宋体" w:hAnsi="宋体" w:cs="宋体"/>
          <w:color w:val="000000"/>
          <w:szCs w:val="21"/>
          <w:lang w:val="en-US"/>
        </w:rPr>
      </w:pPr>
      <w:r>
        <w:rPr>
          <w:rFonts w:hint="eastAsia" w:ascii="宋体" w:hAnsi="宋体" w:cs="宋体"/>
          <w:color w:val="000000"/>
          <w:szCs w:val="21"/>
          <w:lang w:val="en-US"/>
        </w:rPr>
        <w:t xml:space="preserve">24.2废标后，采购人将废标理由通知所有投标人。</w:t>
      </w:r>
      <w:r>
        <w:rPr>
          <w:rFonts w:hint="eastAsia" w:ascii="宋体" w:hAnsi="宋体" w:cs="宋体"/>
          <w:color w:val="000000"/>
          <w:szCs w:val="21"/>
          <w:lang w:val="en-US"/>
        </w:rPr>
      </w:r>
      <w:r/>
    </w:p>
    <w:p>
      <w:pPr>
        <w:pStyle w:val="1048"/>
        <w:spacing w:line="360" w:lineRule="auto"/>
        <w:rPr>
          <w:rFonts w:hint="eastAsia" w:ascii="宋体" w:hAnsi="宋体" w:cs="宋体"/>
          <w:b/>
          <w:bCs/>
          <w:color w:val="000000"/>
          <w:szCs w:val="21"/>
        </w:rPr>
      </w:pPr>
      <w:r>
        <w:rPr>
          <w:rFonts w:hint="eastAsia" w:ascii="宋体" w:hAnsi="宋体" w:cs="宋体"/>
          <w:b/>
          <w:bCs/>
          <w:color w:val="000000"/>
          <w:szCs w:val="21"/>
        </w:rPr>
        <w:t xml:space="preserve">25.签订合同</w:t>
      </w:r>
      <w:r>
        <w:rPr>
          <w:rFonts w:hint="eastAsia" w:ascii="宋体" w:hAnsi="宋体" w:cs="宋体"/>
          <w:b/>
          <w:bCs/>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25.1中标人、采购人应当自中标通知书发出之日起30日内，按照招标文件和中标人投标文件的规定签订书面合同（</w:t>
      </w:r>
      <w:r>
        <w:rPr>
          <w:rFonts w:hint="eastAsia" w:ascii="宋体" w:hAnsi="宋体" w:cs="宋体"/>
          <w:b/>
          <w:bCs/>
          <w:color w:val="000000"/>
          <w:szCs w:val="21"/>
        </w:rPr>
        <w:t xml:space="preserve">同时在“苏采云”政府采购一体化平台中签订线上合同</w:t>
      </w:r>
      <w:r>
        <w:rPr>
          <w:rFonts w:hint="eastAsia" w:ascii="宋体" w:hAnsi="宋体" w:cs="宋体"/>
          <w:color w:val="000000"/>
          <w:szCs w:val="21"/>
        </w:rPr>
        <w:t xml:space="preserve">）。所签订的合同不得对招标文件确定的事项和中标人投标文件作实质性修改。</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25.2中标人拒绝与采购人签订合同的，采购人可以按照评标报告推荐的中标候选人名单排序，确定下一候选人为中标人，也可以重新开展政府采购活动。</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25.3联合体中标的，联合体各方应当共同与采购人签订合同，就中标项目向采购人承担连带责任。</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25.4政府采购合同不能转包。</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cs="宋体"/>
          <w:b/>
          <w:bCs/>
          <w:color w:val="000000"/>
          <w:szCs w:val="21"/>
        </w:rPr>
        <w:t xml:space="preserve">投标无效</w:t>
      </w:r>
      <w:r>
        <w:rPr>
          <w:rFonts w:hint="eastAsia" w:ascii="宋体" w:hAnsi="宋体" w:cs="宋体"/>
          <w:color w:val="000000"/>
          <w:szCs w:val="21"/>
        </w:rPr>
        <w:t xml:space="preserve">。中标人就采购项目和分包项目向采购人负责，分包供应商就分包项目承担责任。</w:t>
      </w:r>
      <w:r>
        <w:rPr>
          <w:rFonts w:hint="eastAsia" w:ascii="宋体" w:hAnsi="宋体" w:cs="宋体"/>
          <w:color w:val="000000"/>
          <w:szCs w:val="21"/>
        </w:rPr>
      </w:r>
      <w:r/>
    </w:p>
    <w:p>
      <w:pPr>
        <w:pStyle w:val="1048"/>
        <w:spacing w:line="360" w:lineRule="auto"/>
        <w:rPr>
          <w:rFonts w:hint="eastAsia" w:ascii="宋体" w:hAnsi="宋体" w:cs="宋体"/>
          <w:b/>
          <w:bCs/>
          <w:color w:val="000000"/>
          <w:szCs w:val="21"/>
        </w:rPr>
      </w:pPr>
      <w:r>
        <w:rPr>
          <w:rFonts w:hint="eastAsia" w:ascii="宋体" w:hAnsi="宋体" w:cs="宋体"/>
          <w:b/>
          <w:bCs/>
          <w:color w:val="000000"/>
          <w:szCs w:val="21"/>
        </w:rPr>
        <w:t xml:space="preserve">26.询问与质疑</w:t>
      </w:r>
      <w:r>
        <w:rPr>
          <w:rFonts w:hint="eastAsia" w:ascii="宋体" w:hAnsi="宋体" w:cs="宋体"/>
          <w:b/>
          <w:bCs/>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26.1询问</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26.1.1投标人对政府采购活动事项有疑问的，可依法提出询问，并按《投标人须知资料表》载明的形式送达采购人或采购代理机构。</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26.1.2采购人或采购代理机构对投标人依法提出的询问，在3个工作日内作出答复，但答复的内容不得涉及商业秘密。</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26.2质疑</w:t>
      </w:r>
      <w:r>
        <w:rPr>
          <w:rFonts w:hint="eastAsia" w:ascii="宋体" w:hAnsi="宋体" w:cs="宋体"/>
          <w:color w:val="000000"/>
          <w:szCs w:val="21"/>
        </w:rPr>
      </w:r>
      <w:r/>
    </w:p>
    <w:p>
      <w:pPr>
        <w:pStyle w:val="1048"/>
        <w:ind w:firstLine="420"/>
        <w:spacing w:line="360" w:lineRule="auto"/>
        <w:rPr>
          <w:rFonts w:hint="eastAsia" w:ascii="宋体" w:hAnsi="宋体" w:cs="宋体"/>
          <w:szCs w:val="21"/>
        </w:rPr>
      </w:pPr>
      <w:r>
        <w:rPr>
          <w:rFonts w:hint="eastAsia" w:ascii="宋体" w:hAnsi="宋体" w:cs="宋体"/>
          <w:szCs w:val="21"/>
        </w:rPr>
        <w:t xml:space="preserve">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Cs w:val="21"/>
          <w:highlight w:val="none"/>
          <w:lang w:eastAsia="zh-CN"/>
        </w:rPr>
        <w:t xml:space="preserve">【</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在“苏采云”系统进行登记、参与及下载电子</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文件，选择“我要参与”点提交的日期视同为依法获取</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文件日期。报名成功后须打印、保留“投标供应商确认函”，质疑时“投标供应商确认函”与质疑函一并提交；未依照</w:t>
      </w:r>
      <w:r>
        <w:rPr>
          <w:rFonts w:hint="eastAsia" w:ascii="宋体" w:hAnsi="宋体" w:cs="宋体"/>
          <w:b/>
          <w:bCs/>
          <w:szCs w:val="21"/>
          <w:highlight w:val="none"/>
          <w:lang w:val="en-US" w:eastAsia="zh-CN"/>
        </w:rPr>
        <w:t xml:space="preserve">招标</w:t>
      </w:r>
      <w:r>
        <w:rPr>
          <w:rFonts w:hint="eastAsia" w:ascii="宋体" w:hAnsi="宋体" w:cs="宋体"/>
          <w:b/>
          <w:bCs/>
          <w:szCs w:val="21"/>
          <w:highlight w:val="none"/>
          <w:lang w:eastAsia="zh-CN"/>
        </w:rPr>
        <w:t xml:space="preserve">公告要求实行网上报名的</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，视为未参与该项政府采购活动，不具备对该政府采购项目提出质疑的法定权利，但因</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资格条件或报名时间设定不符合有关法律法规规定等原因使</w:t>
      </w:r>
      <w:r>
        <w:rPr>
          <w:rFonts w:hint="eastAsia" w:ascii="宋体" w:hAnsi="宋体" w:cs="宋体"/>
          <w:b/>
          <w:bCs/>
          <w:szCs w:val="21"/>
          <w:highlight w:val="none"/>
          <w:lang w:val="en-US" w:eastAsia="zh-CN"/>
        </w:rPr>
        <w:t xml:space="preserve">投标人</w:t>
      </w:r>
      <w:r>
        <w:rPr>
          <w:rFonts w:hint="eastAsia" w:ascii="宋体" w:hAnsi="宋体" w:cs="宋体"/>
          <w:b/>
          <w:bCs/>
          <w:szCs w:val="21"/>
          <w:highlight w:val="none"/>
          <w:lang w:eastAsia="zh-CN"/>
        </w:rPr>
        <w:t xml:space="preserve">权益受损的除外。</w:t>
      </w:r>
      <w:r>
        <w:rPr>
          <w:rFonts w:hint="eastAsia" w:ascii="宋体" w:hAnsi="宋体" w:cs="宋体"/>
          <w:szCs w:val="21"/>
          <w:highlight w:val="none"/>
          <w:lang w:eastAsia="zh-CN"/>
        </w:rPr>
        <w:t xml:space="preserve">】</w:t>
      </w:r>
      <w:r>
        <w:rPr>
          <w:rFonts w:hint="eastAsia" w:ascii="宋体" w:hAnsi="宋体" w:cs="宋体"/>
          <w:szCs w:val="21"/>
        </w:rPr>
      </w:r>
      <w:r/>
    </w:p>
    <w:p>
      <w:pPr>
        <w:pStyle w:val="1048"/>
        <w:ind w:firstLine="422"/>
        <w:spacing w:line="360" w:lineRule="auto"/>
        <w:rPr>
          <w:rFonts w:hint="eastAsia" w:ascii="宋体" w:hAnsi="宋体" w:cs="宋体"/>
          <w:b/>
          <w:bCs/>
          <w:szCs w:val="21"/>
        </w:rPr>
      </w:pPr>
      <w:r>
        <w:rPr>
          <w:rFonts w:hint="eastAsia" w:ascii="宋体" w:hAnsi="宋体" w:cs="宋体"/>
          <w:b/>
          <w:bCs/>
          <w:szCs w:val="21"/>
        </w:rPr>
        <w:t xml:space="preserve">26.2.2招标文件中采购需求以及相关部分（第四章、第五章以及投标人资格要求）由采购人负责制定和管理，对该部分内容有询问或者质疑的，投标人应当向采购人书面提出，由采购人负责接收和回复。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b/>
          <w:bCs/>
          <w:szCs w:val="21"/>
        </w:rPr>
      </w:r>
      <w:r/>
    </w:p>
    <w:p>
      <w:pPr>
        <w:pStyle w:val="1048"/>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26.2.3质疑函须使用财政部制定的范本文件。（下载网址：http://gks.mof.gov.cn/ztztz/zhengfucaigouguanli/201802/t20180201_2804589.htm）</w:t>
      </w:r>
      <w:r>
        <w:rPr>
          <w:rFonts w:hint="eastAsia" w:ascii="宋体" w:hAnsi="宋体" w:cs="宋体"/>
          <w:szCs w:val="21"/>
        </w:rPr>
      </w:r>
      <w:r/>
    </w:p>
    <w:p>
      <w:pPr>
        <w:pStyle w:val="1048"/>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26.2.4投标人为自然人的，应当由本人签字；投标人为法人或者其他组织的，应当由法定代表人、主要负责人，或者其授权代表签字或者加盖公章，并加盖公章。</w:t>
      </w:r>
      <w:r>
        <w:rPr>
          <w:rFonts w:hint="eastAsia" w:ascii="宋体" w:hAnsi="宋体" w:cs="宋体"/>
          <w:szCs w:val="21"/>
        </w:rPr>
      </w:r>
      <w:r/>
    </w:p>
    <w:p>
      <w:pPr>
        <w:pStyle w:val="1048"/>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26.2.5投标人应在法定质疑期内一次性提出针对同一采购程序环节的质疑，法定质疑期内针对同一采购程序环节再次提出的质疑，采购人、采购代理机构有权不予答复。</w:t>
      </w:r>
      <w:r>
        <w:rPr>
          <w:rFonts w:hint="eastAsia" w:ascii="宋体" w:hAnsi="宋体" w:cs="宋体"/>
          <w:szCs w:val="21"/>
        </w:rPr>
      </w:r>
      <w:r/>
    </w:p>
    <w:p>
      <w:pPr>
        <w:pStyle w:val="1048"/>
        <w:ind w:firstLine="420"/>
        <w:keepLines w:val="0"/>
        <w:keepNext w:val="0"/>
        <w:pageBreakBefore w:val="0"/>
        <w:spacing w:line="360" w:lineRule="auto"/>
        <w:widowControl w:val="off"/>
        <w:rPr>
          <w:rFonts w:hint="eastAsia" w:ascii="宋体" w:hAnsi="宋体" w:cs="宋体"/>
          <w:szCs w:val="21"/>
        </w:rPr>
      </w:pPr>
      <w:r>
        <w:rPr>
          <w:rFonts w:hint="eastAsia" w:ascii="宋体" w:hAnsi="宋体" w:cs="宋体"/>
          <w:szCs w:val="21"/>
        </w:rPr>
        <w:t xml:space="preserve">26.3接收询问和质疑的联系部门、联系电话和通讯地址见《投标人须知资料表》。</w:t>
      </w:r>
      <w:r>
        <w:rPr>
          <w:rFonts w:hint="eastAsia" w:ascii="宋体" w:hAnsi="宋体" w:cs="宋体"/>
          <w:szCs w:val="21"/>
        </w:rPr>
      </w:r>
      <w:r/>
    </w:p>
    <w:p>
      <w:pPr>
        <w:pStyle w:val="1048"/>
        <w:spacing w:line="360" w:lineRule="auto"/>
        <w:rPr>
          <w:rFonts w:hint="eastAsia" w:ascii="宋体" w:hAnsi="宋体" w:cs="宋体"/>
          <w:b/>
          <w:bCs/>
          <w:color w:val="000000"/>
          <w:szCs w:val="21"/>
          <w:highlight w:val="none"/>
        </w:rPr>
      </w:pPr>
      <w:r>
        <w:rPr>
          <w:rFonts w:hint="eastAsia" w:ascii="宋体" w:hAnsi="宋体" w:cs="宋体"/>
          <w:b/>
          <w:bCs/>
          <w:color w:val="000000"/>
          <w:szCs w:val="21"/>
        </w:rPr>
        <w:t xml:space="preserve">27.代理费</w:t>
      </w:r>
      <w:r>
        <w:rPr>
          <w:rFonts w:hint="eastAsia" w:ascii="宋体" w:hAnsi="宋体" w:cs="宋体"/>
          <w:b/>
          <w:bCs/>
          <w:color w:val="000000"/>
          <w:szCs w:val="21"/>
          <w:highlight w:val="none"/>
        </w:rPr>
      </w:r>
      <w:r/>
    </w:p>
    <w:p>
      <w:pPr>
        <w:pStyle w:val="1048"/>
        <w:ind w:firstLine="420"/>
        <w:spacing w:line="360" w:lineRule="auto"/>
        <w:tabs>
          <w:tab w:val="left" w:pos="360" w:leader="none"/>
          <w:tab w:val="left" w:pos="1080" w:leader="none"/>
        </w:tabs>
        <w:rPr>
          <w:color w:val="000000"/>
          <w:sz w:val="24"/>
          <w:highlight w:val="none"/>
        </w:rPr>
      </w:pPr>
      <w:r>
        <w:rPr>
          <w:rFonts w:hint="eastAsia" w:ascii="宋体" w:hAnsi="宋体" w:cs="宋体"/>
          <w:color w:val="000000"/>
          <w:szCs w:val="21"/>
          <w:highlight w:val="none"/>
        </w:rPr>
        <w:t xml:space="preserve">27.1收费对象、收费标准及缴纳时间见《投标人须知资料表》。由中标人支付的，中标人须一次性向采购代理机构缴纳代理费，投标报价应包含代理费用。</w:t>
      </w:r>
      <w:r>
        <w:rPr>
          <w:color w:val="000000"/>
          <w:sz w:val="24"/>
          <w:highlight w:val="none"/>
        </w:rPr>
      </w:r>
      <w:r/>
    </w:p>
    <w:p>
      <w:pPr>
        <w:pStyle w:val="1048"/>
        <w:spacing w:line="360" w:lineRule="auto"/>
        <w:rPr>
          <w:rFonts w:hint="eastAsia" w:ascii="宋体" w:hAnsi="宋体" w:cs="宋体"/>
          <w:b/>
          <w:bCs/>
          <w:color w:val="000000"/>
          <w:szCs w:val="21"/>
          <w:highlight w:val="none"/>
        </w:rPr>
      </w:pPr>
      <w:r/>
      <w:bookmarkStart w:id="583" w:name="_Toc226337250"/>
      <w:r/>
      <w:bookmarkStart w:id="584" w:name="_Toc265228392"/>
      <w:r/>
      <w:bookmarkStart w:id="585" w:name="_Toc353873934"/>
      <w:r/>
      <w:bookmarkStart w:id="586" w:name="_Toc353825544"/>
      <w:r/>
      <w:bookmarkStart w:id="587" w:name="_Toc226965827"/>
      <w:r/>
      <w:bookmarkStart w:id="588" w:name="_Toc305158822"/>
      <w:r/>
      <w:bookmarkStart w:id="589" w:name="_Toc150774759"/>
      <w:r/>
      <w:bookmarkStart w:id="590" w:name="_Toc264969244"/>
      <w:r/>
      <w:bookmarkStart w:id="591" w:name="_Toc127151554"/>
      <w:r/>
      <w:bookmarkStart w:id="592" w:name="_Toc353873664"/>
      <w:r/>
      <w:bookmarkStart w:id="593" w:name="_Toc150480792"/>
      <w:r/>
      <w:bookmarkStart w:id="594" w:name="_Toc142311056"/>
      <w:r/>
      <w:bookmarkStart w:id="595" w:name="_Toc305158896"/>
      <w:r>
        <w:rPr>
          <w:rFonts w:hint="eastAsia" w:ascii="宋体" w:hAnsi="宋体" w:cs="宋体"/>
          <w:b/>
          <w:bCs/>
          <w:color w:val="000000"/>
          <w:szCs w:val="21"/>
          <w:highlight w:val="none"/>
        </w:rPr>
        <w:t xml:space="preserve">28.纸质投标文件 </w:t>
      </w:r>
      <w:r>
        <w:rPr>
          <w:rFonts w:hint="eastAsia" w:ascii="宋体" w:hAnsi="宋体" w:cs="宋体"/>
          <w:b/>
          <w:bCs/>
          <w:color w:val="000000"/>
          <w:szCs w:val="21"/>
          <w:highlight w:val="none"/>
        </w:rPr>
      </w:r>
      <w:r/>
    </w:p>
    <w:p>
      <w:pPr>
        <w:pStyle w:val="1048"/>
        <w:ind w:firstLine="422"/>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b/>
          <w:bCs/>
          <w:color w:val="000000"/>
          <w:szCs w:val="21"/>
          <w:highlight w:val="none"/>
        </w:rPr>
        <w:t xml:space="preserve">28.1 中标人在签订合同前需递交与电子投标文件内容一致的纸质投标文件：正本1套、副本2套，在每一份纸质投标文件上要明确注明“正本” 或“副本”字样。【内容需打印清晰，标注目录及页码】，作为项目归档使用。</w:t>
      </w:r>
      <w:r>
        <w:rPr>
          <w:rFonts w:hint="eastAsia" w:ascii="宋体" w:hAnsi="宋体" w:cs="宋体"/>
          <w:color w:val="000000"/>
          <w:szCs w:val="21"/>
          <w:highlight w:val="none"/>
        </w:rPr>
      </w:r>
      <w:r/>
    </w:p>
    <w:p>
      <w:pPr>
        <w:pStyle w:val="1048"/>
        <w:ind w:firstLine="422"/>
        <w:spacing w:line="360" w:lineRule="auto"/>
        <w:tabs>
          <w:tab w:val="left" w:pos="360" w:leader="none"/>
          <w:tab w:val="left" w:pos="108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28.2 纸质投标文件需与“苏采云”政府采购一体化平台的投标文件一致，中标人应按照要求签字、盖章，副本可通过正本复印。</w:t>
      </w:r>
      <w:r>
        <w:rPr>
          <w:rFonts w:hint="eastAsia" w:ascii="宋体" w:hAnsi="宋体" w:cs="宋体"/>
          <w:b/>
          <w:bCs/>
          <w:color w:val="000000"/>
          <w:szCs w:val="21"/>
          <w:highlight w:val="none"/>
        </w:rPr>
      </w:r>
      <w:r/>
    </w:p>
    <w:p>
      <w:pPr>
        <w:pStyle w:val="1048"/>
        <w:ind w:firstLine="420"/>
        <w:spacing w:line="360" w:lineRule="auto"/>
        <w:tabs>
          <w:tab w:val="left" w:pos="360" w:leader="none"/>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28.3 招标文件所表述（指定）的公章是指法定名称章，不包括合同专用章、业务专用章等印章；盖章是指加盖鲜章。</w:t>
      </w:r>
      <w:r>
        <w:rPr>
          <w:rFonts w:hint="eastAsia" w:ascii="宋体" w:hAnsi="宋体" w:cs="宋体"/>
          <w:color w:val="000000"/>
          <w:szCs w:val="21"/>
          <w:highlight w:val="none"/>
        </w:rPr>
      </w:r>
      <w:r/>
    </w:p>
    <w:p>
      <w:pPr>
        <w:pStyle w:val="1048"/>
        <w:ind w:firstLine="480"/>
        <w:jc w:val="center"/>
        <w:spacing w:line="360" w:lineRule="auto"/>
        <w:tabs>
          <w:tab w:val="left" w:pos="360" w:leader="none"/>
          <w:tab w:val="left" w:pos="1080" w:leader="none"/>
        </w:tabs>
        <w:rPr>
          <w:b/>
          <w:color w:val="000000"/>
          <w:sz w:val="36"/>
          <w:szCs w:val="36"/>
        </w:rPr>
      </w:pPr>
      <w:r>
        <w:rPr>
          <w:color w:val="000000"/>
          <w:sz w:val="24"/>
          <w:highlight w:val="none"/>
        </w:rPr>
        <w:br w:type="page" w:clear="all"/>
      </w:r>
      <w:bookmarkStart w:id="596" w:name="_Toc99301421"/>
      <w:r>
        <w:rPr>
          <w:rFonts w:hint="eastAsia"/>
          <w:b/>
          <w:color w:val="000000"/>
          <w:sz w:val="32"/>
          <w:szCs w:val="32"/>
        </w:rPr>
        <w:t xml:space="preserve">第三章   </w:t>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Pr>
          <w:rFonts w:hint="eastAsia"/>
          <w:b/>
          <w:color w:val="000000"/>
          <w:sz w:val="32"/>
          <w:szCs w:val="32"/>
        </w:rPr>
        <w:t xml:space="preserve">资格审查</w:t>
      </w:r>
      <w:bookmarkEnd w:id="596"/>
      <w:r/>
      <w:bookmarkStart w:id="597" w:name="_Toc487900382"/>
      <w:r>
        <w:rPr>
          <w:b/>
          <w:color w:val="000000"/>
          <w:sz w:val="36"/>
          <w:szCs w:val="36"/>
        </w:rPr>
      </w:r>
      <w:r/>
    </w:p>
    <w:p>
      <w:pPr>
        <w:pStyle w:val="1048"/>
        <w:jc w:val="center"/>
        <w:spacing w:line="360" w:lineRule="auto"/>
        <w:tabs>
          <w:tab w:val="left" w:pos="360" w:leader="none"/>
          <w:tab w:val="left" w:pos="900" w:leader="none"/>
        </w:tabs>
        <w:rPr>
          <w:rFonts w:hint="eastAsia" w:ascii="宋体" w:hAnsi="宋体" w:cs="宋体"/>
          <w:b/>
          <w:color w:val="000000"/>
          <w:szCs w:val="21"/>
        </w:rPr>
        <w:outlineLvl w:val="1"/>
      </w:pPr>
      <w:r/>
      <w:bookmarkStart w:id="598" w:name="_Toc99301422"/>
      <w:r>
        <w:rPr>
          <w:rFonts w:hint="eastAsia" w:ascii="宋体" w:hAnsi="宋体" w:cs="宋体"/>
          <w:b/>
          <w:color w:val="000000"/>
          <w:szCs w:val="21"/>
        </w:rPr>
        <w:t xml:space="preserve">一、资格审查程序</w:t>
      </w:r>
      <w:bookmarkEnd w:id="598"/>
      <w:r>
        <w:rPr>
          <w:rFonts w:hint="eastAsia" w:ascii="宋体" w:hAnsi="宋体" w:cs="宋体"/>
          <w:b/>
          <w:color w:val="000000"/>
          <w:szCs w:val="21"/>
        </w:rPr>
      </w:r>
      <w:r/>
    </w:p>
    <w:p>
      <w:pPr>
        <w:pStyle w:val="1048"/>
        <w:spacing w:line="360" w:lineRule="auto"/>
        <w:tabs>
          <w:tab w:val="left" w:pos="426" w:leader="none"/>
          <w:tab w:val="left" w:pos="851" w:leader="none"/>
        </w:tabs>
        <w:rPr>
          <w:rFonts w:hint="eastAsia" w:ascii="宋体" w:hAnsi="宋体" w:cs="宋体"/>
          <w:color w:val="000000"/>
          <w:szCs w:val="21"/>
        </w:rPr>
        <w:outlineLvl w:val="1"/>
      </w:pPr>
      <w:r>
        <w:rPr>
          <w:rFonts w:hint="eastAsia" w:ascii="宋体" w:hAnsi="宋体" w:cs="宋体"/>
          <w:color w:val="000000"/>
          <w:szCs w:val="21"/>
        </w:rPr>
        <w:t xml:space="preserve">1.开标结束后，采购人将根据《资格审查要求》中的规定，对投标人进行资格审查，并形成资格审查结果。</w:t>
      </w:r>
      <w:r>
        <w:rPr>
          <w:rFonts w:hint="eastAsia" w:ascii="宋体" w:hAnsi="宋体" w:cs="宋体"/>
          <w:color w:val="000000"/>
          <w:szCs w:val="21"/>
        </w:rPr>
      </w:r>
      <w:r/>
    </w:p>
    <w:p>
      <w:pPr>
        <w:pStyle w:val="1048"/>
        <w:spacing w:line="360" w:lineRule="auto"/>
        <w:tabs>
          <w:tab w:val="left" w:pos="426" w:leader="none"/>
          <w:tab w:val="left" w:pos="851" w:leader="none"/>
        </w:tabs>
        <w:rPr>
          <w:rFonts w:hint="eastAsia" w:ascii="宋体" w:hAnsi="宋体" w:cs="宋体"/>
          <w:color w:val="000000"/>
          <w:szCs w:val="21"/>
        </w:rPr>
        <w:outlineLvl w:val="1"/>
      </w:pPr>
      <w:r>
        <w:rPr>
          <w:rFonts w:hint="eastAsia" w:ascii="宋体" w:hAnsi="宋体" w:cs="宋体"/>
          <w:color w:val="000000"/>
          <w:szCs w:val="21"/>
        </w:rPr>
        <w:t xml:space="preserve">2.《资格审查要求》中对格式有要求的，除招标文件另有规定外，均为“实质性格式”文件。</w:t>
      </w:r>
      <w:r>
        <w:rPr>
          <w:rFonts w:hint="eastAsia" w:ascii="宋体" w:hAnsi="宋体" w:cs="宋体"/>
          <w:color w:val="000000"/>
          <w:szCs w:val="21"/>
        </w:rPr>
      </w:r>
      <w:r/>
    </w:p>
    <w:p>
      <w:pPr>
        <w:pStyle w:val="1048"/>
        <w:spacing w:line="360" w:lineRule="auto"/>
        <w:tabs>
          <w:tab w:val="left" w:pos="426" w:leader="none"/>
          <w:tab w:val="left" w:pos="851" w:leader="none"/>
        </w:tabs>
        <w:rPr>
          <w:rFonts w:hint="eastAsia" w:ascii="宋体" w:hAnsi="宋体" w:cs="宋体"/>
          <w:color w:val="000000"/>
          <w:szCs w:val="21"/>
        </w:rPr>
        <w:outlineLvl w:val="1"/>
      </w:pPr>
      <w:r>
        <w:rPr>
          <w:rFonts w:hint="eastAsia" w:ascii="宋体" w:hAnsi="宋体" w:cs="宋体"/>
          <w:color w:val="000000"/>
          <w:szCs w:val="21"/>
        </w:rPr>
        <w:t xml:space="preserve">3.投标人《资格证明文件》有任何一项不符合《资格审查要求》的，资格审查不合格，其</w:t>
      </w:r>
      <w:r>
        <w:rPr>
          <w:rFonts w:hint="eastAsia" w:ascii="宋体" w:hAnsi="宋体" w:cs="宋体"/>
          <w:b/>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1048"/>
        <w:spacing w:line="360" w:lineRule="auto"/>
        <w:tabs>
          <w:tab w:val="left" w:pos="426" w:leader="none"/>
          <w:tab w:val="left" w:pos="851" w:leader="none"/>
        </w:tabs>
        <w:rPr>
          <w:color w:val="000000"/>
          <w:sz w:val="24"/>
        </w:rPr>
        <w:outlineLvl w:val="1"/>
      </w:pPr>
      <w:r>
        <w:rPr>
          <w:rFonts w:hint="eastAsia" w:ascii="宋体" w:hAnsi="宋体" w:cs="宋体"/>
          <w:color w:val="000000"/>
          <w:szCs w:val="21"/>
        </w:rPr>
        <w:t xml:space="preserve">4.资格审查合格的投标人不足3家的，不进行评标。</w:t>
      </w:r>
      <w:r>
        <w:rPr>
          <w:color w:val="000000"/>
          <w:sz w:val="24"/>
        </w:rPr>
      </w:r>
      <w:r/>
    </w:p>
    <w:p>
      <w:pPr>
        <w:pStyle w:val="1048"/>
        <w:jc w:val="center"/>
        <w:spacing w:line="360" w:lineRule="auto"/>
        <w:tabs>
          <w:tab w:val="left" w:pos="360" w:leader="none"/>
          <w:tab w:val="left" w:pos="900" w:leader="none"/>
        </w:tabs>
        <w:rPr>
          <w:rFonts w:hint="eastAsia" w:ascii="宋体" w:hAnsi="宋体" w:cs="宋体"/>
          <w:b/>
          <w:color w:val="000000"/>
          <w:szCs w:val="21"/>
        </w:rPr>
        <w:outlineLvl w:val="1"/>
      </w:pPr>
      <w:r>
        <w:rPr>
          <w:rFonts w:hint="eastAsia" w:ascii="宋体" w:hAnsi="宋体" w:cs="宋体"/>
          <w:b/>
          <w:color w:val="000000"/>
          <w:szCs w:val="21"/>
        </w:rPr>
        <w:t xml:space="preserve">二、资格审查要求</w:t>
      </w:r>
      <w:r>
        <w:rPr>
          <w:rFonts w:hint="eastAsia" w:ascii="宋体" w:hAnsi="宋体" w:cs="宋体"/>
          <w:b/>
          <w:color w:val="000000"/>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4" w:type="dxa"/>
            <w:vAlign w:val="center"/>
            <w:textDirection w:val="lrTb"/>
            <w:noWrap w:val="false"/>
          </w:tcPr>
          <w:p>
            <w:pPr>
              <w:pStyle w:val="1048"/>
              <w:jc w:val="center"/>
              <w:tabs>
                <w:tab w:val="left" w:pos="1080" w:leader="none"/>
              </w:tabs>
              <w:rPr>
                <w:rFonts w:hint="eastAsia" w:ascii="宋体" w:hAnsi="宋体" w:cs="宋体"/>
                <w:b/>
                <w:color w:val="000000"/>
                <w:szCs w:val="21"/>
              </w:rPr>
            </w:pPr>
            <w:r/>
            <w:bookmarkStart w:id="599" w:name="_Hlt487972895"/>
            <w:r/>
            <w:bookmarkEnd w:id="599"/>
            <w:r>
              <w:rPr>
                <w:rFonts w:hint="eastAsia" w:ascii="宋体" w:hAnsi="宋体" w:cs="宋体"/>
                <w:b/>
                <w:color w:val="000000"/>
                <w:szCs w:val="21"/>
              </w:rPr>
              <w:t xml:space="preserve">序号</w:t>
            </w:r>
            <w:r>
              <w:rPr>
                <w:rFonts w:hint="eastAsia" w:ascii="宋体" w:hAnsi="宋体" w:cs="宋体"/>
                <w:b/>
                <w:color w:val="000000"/>
                <w:szCs w:val="21"/>
              </w:rPr>
            </w:r>
            <w:r/>
          </w:p>
        </w:tc>
        <w:tc>
          <w:tcPr>
            <w:tcW w:w="1066" w:type="dxa"/>
            <w:vAlign w:val="center"/>
            <w:textDirection w:val="lrTb"/>
            <w:noWrap w:val="false"/>
          </w:tcPr>
          <w:p>
            <w:pPr>
              <w:pStyle w:val="1048"/>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2596" w:type="dxa"/>
            <w:vAlign w:val="center"/>
            <w:textDirection w:val="lrTb"/>
            <w:noWrap w:val="false"/>
          </w:tcPr>
          <w:p>
            <w:pPr>
              <w:pStyle w:val="1048"/>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c>
          <w:tcPr>
            <w:tcW w:w="881" w:type="dxa"/>
            <w:vAlign w:val="center"/>
            <w:textDirection w:val="lrTb"/>
            <w:noWrap w:val="false"/>
          </w:tcPr>
          <w:p>
            <w:pPr>
              <w:pStyle w:val="1048"/>
              <w:jc w:val="center"/>
              <w:tabs>
                <w:tab w:val="left" w:pos="1080" w:leader="none"/>
              </w:tabs>
              <w:rPr>
                <w:rFonts w:hint="eastAsia" w:ascii="宋体" w:hAnsi="宋体" w:cs="宋体"/>
                <w:b/>
                <w:color w:val="000000"/>
                <w:szCs w:val="21"/>
              </w:rPr>
            </w:pPr>
            <w:r>
              <w:rPr>
                <w:rFonts w:hint="eastAsia" w:ascii="宋体" w:hAnsi="宋体" w:cs="宋体"/>
                <w:b/>
                <w:color w:val="000000"/>
                <w:szCs w:val="21"/>
              </w:rPr>
              <w:t xml:space="preserve">格式要求</w:t>
            </w:r>
            <w:r>
              <w:rPr>
                <w:rFonts w:hint="eastAsia" w:ascii="宋体" w:hAnsi="宋体" w:cs="宋体"/>
                <w:b/>
                <w:color w:val="000000"/>
                <w:szCs w:val="21"/>
              </w:rPr>
            </w:r>
            <w:r/>
          </w:p>
        </w:tc>
      </w:tr>
      <w:tr>
        <w:trPr>
          <w:cantSplit/>
          <w:trHeight w:val="468"/>
        </w:trPr>
        <w:tc>
          <w:tcPr>
            <w:tcW w:w="454" w:type="dxa"/>
            <w:vAlign w:val="center"/>
            <w:textDirection w:val="lrTb"/>
            <w:noWrap w:val="false"/>
          </w:tcPr>
          <w:p>
            <w:pPr>
              <w:pStyle w:val="1048"/>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066"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t xml:space="preserve">满足《中华人民共和国政府采购法》第二十二条规定及法律法规的其他规定</w:t>
            </w:r>
            <w:r>
              <w:rPr>
                <w:rFonts w:hint="eastAsia" w:ascii="宋体" w:hAnsi="宋体" w:cs="宋体"/>
                <w:color w:val="000000"/>
                <w:szCs w:val="21"/>
              </w:rPr>
            </w:r>
            <w:r/>
          </w:p>
        </w:tc>
        <w:tc>
          <w:tcPr>
            <w:tcW w:w="2596"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t xml:space="preserve">具体规定见第一章《投标邀请》</w:t>
            </w:r>
            <w:r>
              <w:rPr>
                <w:rFonts w:hint="eastAsia" w:ascii="宋体" w:hAnsi="宋体" w:cs="宋体"/>
                <w:color w:val="000000"/>
                <w:szCs w:val="21"/>
              </w:rPr>
            </w:r>
            <w:r/>
          </w:p>
        </w:tc>
        <w:tc>
          <w:tcPr>
            <w:tcW w:w="881"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1048"/>
              <w:jc w:val="center"/>
              <w:tabs>
                <w:tab w:val="left" w:pos="1080" w:leader="none"/>
              </w:tabs>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W w:w="1066"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投标人营业执照</w:t>
            </w:r>
            <w:r>
              <w:rPr>
                <w:rFonts w:hint="eastAsia" w:ascii="宋体" w:hAnsi="宋体" w:cs="宋体"/>
                <w:color w:val="000000"/>
                <w:szCs w:val="21"/>
              </w:rPr>
            </w:r>
            <w:r/>
          </w:p>
        </w:tc>
        <w:tc>
          <w:tcPr>
            <w:tcW w:w="2596"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t xml:space="preserve">有效的法人或者其他组织的营业执照等证明文件</w:t>
            </w:r>
            <w:r>
              <w:rPr>
                <w:rFonts w:hint="eastAsia" w:ascii="宋体" w:hAnsi="宋体" w:cs="宋体"/>
                <w:color w:val="000000"/>
                <w:szCs w:val="21"/>
              </w:rPr>
            </w:r>
            <w:r/>
          </w:p>
        </w:tc>
        <w:tc>
          <w:tcPr>
            <w:tcW w:w="881"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t xml:space="preserve">提供证明文件的电子件或电子证照</w:t>
            </w:r>
            <w:r>
              <w:rPr>
                <w:rFonts w:hint="eastAsia" w:ascii="宋体" w:hAnsi="宋体" w:cs="宋体"/>
                <w:color w:val="000000"/>
                <w:szCs w:val="21"/>
              </w:rPr>
            </w:r>
            <w:r/>
          </w:p>
        </w:tc>
      </w:tr>
      <w:tr>
        <w:trPr>
          <w:cantSplit/>
          <w:trHeight w:val="558"/>
        </w:trPr>
        <w:tc>
          <w:tcPr>
            <w:tcW w:w="454" w:type="dxa"/>
            <w:vAlign w:val="center"/>
            <w:textDirection w:val="lrTb"/>
            <w:noWrap w:val="false"/>
          </w:tcPr>
          <w:p>
            <w:pPr>
              <w:pStyle w:val="1048"/>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1066"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投标人资格声明函</w:t>
            </w:r>
            <w:r>
              <w:rPr>
                <w:rFonts w:hint="eastAsia" w:ascii="宋体" w:hAnsi="宋体" w:cs="宋体"/>
                <w:color w:val="000000"/>
                <w:szCs w:val="21"/>
              </w:rPr>
            </w:r>
            <w:r/>
          </w:p>
        </w:tc>
        <w:tc>
          <w:tcPr>
            <w:tcW w:w="2596"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t xml:space="preserve">提供了符合招标文件要求的《投标人资格声明函》。</w:t>
            </w:r>
            <w:r>
              <w:rPr>
                <w:rFonts w:hint="eastAsia" w:ascii="宋体" w:hAnsi="宋体" w:cs="宋体"/>
                <w:color w:val="000000"/>
                <w:szCs w:val="21"/>
              </w:rPr>
            </w:r>
            <w:r/>
          </w:p>
        </w:tc>
        <w:tc>
          <w:tcPr>
            <w:tcW w:w="881"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t xml:space="preserve">格式见《投标文件格式》</w:t>
            </w: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1048"/>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1066"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t xml:space="preserve">投标人信用记录</w:t>
            </w:r>
            <w:r>
              <w:rPr>
                <w:rFonts w:hint="eastAsia" w:ascii="宋体" w:hAnsi="宋体" w:cs="宋体"/>
                <w:color w:val="000000"/>
                <w:szCs w:val="21"/>
              </w:rPr>
            </w:r>
            <w:r/>
          </w:p>
        </w:tc>
        <w:tc>
          <w:tcPr>
            <w:tcW w:w="2596" w:type="dxa"/>
            <w:vAlign w:val="center"/>
            <w:textDirection w:val="lrTb"/>
            <w:noWrap w:val="false"/>
          </w:tcPr>
          <w:p>
            <w:pPr>
              <w:pStyle w:val="1048"/>
              <w:keepLines w:val="0"/>
              <w:keepNext w:val="0"/>
              <w:pageBreakBefore w:val="0"/>
              <w:widowControl w:val="off"/>
              <w:tabs>
                <w:tab w:val="left" w:pos="1080" w:leader="none"/>
              </w:tabs>
              <w:rPr>
                <w:rFonts w:hint="eastAsia" w:ascii="宋体" w:hAnsi="宋体" w:cs="宋体"/>
                <w:color w:val="000000"/>
                <w:szCs w:val="21"/>
              </w:rPr>
            </w:pPr>
            <w:r>
              <w:rPr>
                <w:rFonts w:hint="eastAsia" w:ascii="宋体" w:hAnsi="宋体" w:cs="宋体"/>
                <w:color w:val="000000"/>
                <w:szCs w:val="21"/>
              </w:rPr>
              <w:t xml:space="preserve">查询渠道：信用中国网站和中国政府采购网（www.creditchina.gov.cn、www.ccgp.gov.cn）；</w:t>
            </w:r>
            <w:r>
              <w:rPr>
                <w:rFonts w:hint="eastAsia" w:ascii="宋体" w:hAnsi="宋体" w:cs="宋体"/>
                <w:color w:val="000000"/>
                <w:szCs w:val="21"/>
              </w:rPr>
            </w:r>
            <w:r/>
          </w:p>
          <w:p>
            <w:pPr>
              <w:pStyle w:val="1048"/>
              <w:keepLines w:val="0"/>
              <w:keepNext w:val="0"/>
              <w:pageBreakBefore w:val="0"/>
              <w:widowControl w:val="off"/>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截止时点：投标截止时间以后、资格审查阶段采购人或采购代理机构的实际查询时间；</w:t>
            </w:r>
            <w:r>
              <w:rPr>
                <w:rFonts w:hint="eastAsia" w:ascii="宋体" w:hAnsi="宋体" w:cs="宋体"/>
                <w:color w:val="000000"/>
                <w:szCs w:val="21"/>
              </w:rPr>
            </w:r>
            <w:r/>
          </w:p>
          <w:p>
            <w:pPr>
              <w:pStyle w:val="1048"/>
              <w:keepLines w:val="0"/>
              <w:keepNext w:val="0"/>
              <w:pageBreakBefore w:val="0"/>
              <w:widowControl w:val="off"/>
              <w:tabs>
                <w:tab w:val="left" w:pos="900" w:leader="none"/>
                <w:tab w:val="left" w:pos="1980" w:leader="none"/>
              </w:tabs>
              <w:rPr>
                <w:rFonts w:hint="eastAsia" w:ascii="宋体" w:hAnsi="宋体" w:cs="宋体"/>
                <w:color w:val="000000"/>
                <w:szCs w:val="21"/>
              </w:rPr>
            </w:pPr>
            <w:r>
              <w:rPr>
                <w:rFonts w:hint="eastAsia" w:ascii="宋体" w:hAnsi="宋体" w:cs="宋体"/>
                <w:color w:val="000000"/>
                <w:szCs w:val="21"/>
              </w:rPr>
              <w:t xml:space="preserve">信用信息查询记录和证据留存具体方式：查询结果网页打印页作为查询记录和证据，与其他采购文件一并保存；</w:t>
            </w:r>
            <w:r>
              <w:rPr>
                <w:rFonts w:hint="eastAsia" w:ascii="宋体" w:hAnsi="宋体" w:cs="宋体"/>
                <w:color w:val="000000"/>
                <w:szCs w:val="21"/>
              </w:rPr>
            </w:r>
            <w:r/>
          </w:p>
          <w:p>
            <w:pPr>
              <w:pStyle w:val="1048"/>
              <w:keepLines w:val="0"/>
              <w:keepNext w:val="0"/>
              <w:pageBreakBefore w:val="0"/>
              <w:widowControl w:val="off"/>
              <w:tabs>
                <w:tab w:val="left" w:pos="1080" w:leader="none"/>
              </w:tabs>
              <w:rPr>
                <w:rFonts w:hint="eastAsia" w:ascii="宋体" w:hAnsi="宋体" w:cs="宋体"/>
                <w:color w:val="000000"/>
                <w:szCs w:val="21"/>
              </w:rPr>
            </w:pPr>
            <w:r>
              <w:rPr>
                <w:rFonts w:hint="eastAsia" w:ascii="宋体" w:hAnsi="宋体" w:cs="宋体"/>
                <w:color w:val="000000"/>
                <w:szCs w:val="21"/>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Cs w:val="21"/>
              </w:rPr>
              <w:t xml:space="preserve">投标无效</w:t>
            </w:r>
            <w:r>
              <w:rPr>
                <w:rFonts w:hint="eastAsia" w:ascii="宋体" w:hAnsi="宋体" w:cs="宋体"/>
                <w:color w:val="000000"/>
                <w:szCs w:val="21"/>
              </w:rPr>
              <w:t xml:space="preserve">。联合体形式投标的，联合体成员存在不良信用记录，视同联合体存在不良信用记录。</w:t>
            </w:r>
            <w:r>
              <w:rPr>
                <w:rFonts w:hint="eastAsia" w:ascii="宋体" w:hAnsi="宋体" w:cs="宋体"/>
                <w:color w:val="000000"/>
                <w:szCs w:val="21"/>
              </w:rPr>
            </w:r>
            <w:r/>
          </w:p>
        </w:tc>
        <w:tc>
          <w:tcPr>
            <w:tcW w:w="881"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t xml:space="preserve">无须投标人提供，由采购人查询。</w:t>
            </w:r>
            <w:r>
              <w:rPr>
                <w:rFonts w:hint="eastAsia" w:ascii="宋体" w:hAnsi="宋体" w:cs="宋体"/>
                <w:color w:val="000000"/>
                <w:szCs w:val="21"/>
              </w:rPr>
            </w:r>
            <w:r/>
          </w:p>
        </w:tc>
      </w:tr>
      <w:tr>
        <w:trPr>
          <w:cantSplit/>
          <w:trHeight w:val="468"/>
        </w:trPr>
        <w:tc>
          <w:tcPr>
            <w:tcW w:w="844" w:type="dxa"/>
            <w:vAlign w:val="center"/>
            <w:textDirection w:val="lrTb"/>
            <w:noWrap w:val="false"/>
          </w:tcPr>
          <w:p>
            <w:pPr>
              <w:pStyle w:val="1048"/>
              <w:jc w:val="center"/>
              <w:tabs>
                <w:tab w:val="left" w:pos="1080" w:leader="none"/>
              </w:tabs>
              <w:rPr>
                <w:rFonts w:hint="eastAsia" w:ascii="宋体" w:hAnsi="宋体" w:cs="宋体"/>
                <w:color w:val="000000"/>
                <w:szCs w:val="21"/>
              </w:rPr>
            </w:pPr>
            <w:r>
              <w:rPr>
                <w:rFonts w:hint="eastAsia" w:ascii="宋体" w:hAnsi="宋体" w:eastAsia="宋体" w:cs="宋体"/>
                <w:sz w:val="21"/>
                <w:szCs w:val="21"/>
              </w:rPr>
              <w:t xml:space="preserve">2</w:t>
            </w:r>
            <w:r>
              <w:rPr>
                <w:rFonts w:hint="eastAsia" w:ascii="宋体" w:hAnsi="宋体" w:cs="宋体"/>
                <w:color w:val="000000"/>
                <w:szCs w:val="21"/>
              </w:rPr>
            </w:r>
            <w:r/>
          </w:p>
        </w:tc>
        <w:tc>
          <w:tcPr>
            <w:tcW w:w="1982"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eastAsia="宋体" w:cs="宋体"/>
                <w:sz w:val="21"/>
                <w:szCs w:val="21"/>
              </w:rPr>
              <w:t xml:space="preserve">落实政府采购政策需满足的资格要求</w:t>
            </w:r>
            <w:r>
              <w:rPr>
                <w:rFonts w:hint="eastAsia" w:ascii="宋体" w:hAnsi="宋体" w:cs="宋体"/>
                <w:color w:val="000000"/>
                <w:szCs w:val="21"/>
              </w:rPr>
            </w:r>
            <w:r/>
          </w:p>
        </w:tc>
        <w:tc>
          <w:tcPr>
            <w:tcW w:w="4824"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eastAsia="宋体" w:cs="宋体"/>
                <w:sz w:val="21"/>
                <w:szCs w:val="21"/>
              </w:rPr>
              <w:t xml:space="preserve">具体要求见第一章《投标邀请》</w:t>
            </w:r>
            <w:r>
              <w:rPr>
                <w:rFonts w:hint="eastAsia" w:ascii="宋体" w:hAnsi="宋体" w:cs="宋体"/>
                <w:color w:val="000000"/>
                <w:szCs w:val="21"/>
              </w:rPr>
            </w:r>
            <w:r/>
          </w:p>
        </w:tc>
        <w:tc>
          <w:tcPr>
            <w:tcW w:w="1638"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8"/>
        </w:trPr>
        <w:tc>
          <w:tcPr>
            <w:tcW w:w="844" w:type="dxa"/>
            <w:vAlign w:val="center"/>
            <w:textDirection w:val="lrTb"/>
            <w:noWrap w:val="false"/>
          </w:tcPr>
          <w:p>
            <w:pPr>
              <w:pStyle w:val="1048"/>
              <w:jc w:val="center"/>
              <w:tabs>
                <w:tab w:val="left" w:pos="1080" w:leader="none"/>
              </w:tabs>
              <w:rPr>
                <w:rFonts w:hint="eastAsia" w:ascii="宋体" w:hAnsi="宋体" w:cs="宋体"/>
                <w:color w:val="000000"/>
                <w:szCs w:val="21"/>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1</w:t>
            </w:r>
            <w:r>
              <w:rPr>
                <w:rFonts w:hint="eastAsia" w:ascii="宋体" w:hAnsi="宋体" w:cs="宋体"/>
                <w:color w:val="000000"/>
                <w:szCs w:val="21"/>
              </w:rPr>
            </w:r>
            <w:r/>
          </w:p>
        </w:tc>
        <w:tc>
          <w:tcPr>
            <w:tcW w:w="1982" w:type="dxa"/>
            <w:vAlign w:val="center"/>
            <w:textDirection w:val="lrTb"/>
            <w:noWrap w:val="false"/>
          </w:tcPr>
          <w:p>
            <w:pPr>
              <w:pStyle w:val="1048"/>
              <w:jc w:val="left"/>
              <w:tabs>
                <w:tab w:val="left" w:pos="1080" w:leader="none"/>
              </w:tabs>
              <w:rPr>
                <w:rFonts w:hint="eastAsia" w:ascii="宋体" w:hAnsi="宋体" w:cs="宋体"/>
                <w:color w:val="000000"/>
                <w:szCs w:val="21"/>
              </w:rPr>
            </w:pPr>
            <w:r>
              <w:rPr>
                <w:rFonts w:hint="eastAsia" w:ascii="宋体" w:hAnsi="宋体" w:eastAsia="宋体" w:cs="宋体"/>
                <w:sz w:val="21"/>
                <w:szCs w:val="21"/>
                <w:highlight w:val="none"/>
              </w:rPr>
              <w:t xml:space="preserve">其它落实政府采购政策的资格要求</w:t>
            </w:r>
            <w:r>
              <w:rPr>
                <w:rFonts w:hint="eastAsia" w:ascii="宋体" w:hAnsi="宋体" w:cs="宋体"/>
                <w:color w:val="000000"/>
                <w:szCs w:val="21"/>
              </w:rPr>
            </w:r>
            <w:r/>
          </w:p>
        </w:tc>
        <w:tc>
          <w:tcPr>
            <w:tcW w:w="4824" w:type="dxa"/>
            <w:vAlign w:val="center"/>
            <w:textDirection w:val="lrTb"/>
            <w:noWrap w:val="false"/>
          </w:tcPr>
          <w:p>
            <w:pPr>
              <w:pStyle w:val="1048"/>
              <w:jc w:val="left"/>
              <w:tabs>
                <w:tab w:val="left" w:pos="1080" w:leader="none"/>
              </w:tabs>
              <w:rPr>
                <w:rFonts w:hint="eastAsia" w:ascii="宋体" w:hAnsi="宋体" w:cs="宋体"/>
                <w:color w:val="000000"/>
                <w:szCs w:val="21"/>
              </w:rPr>
            </w:pPr>
            <w:r>
              <w:rPr>
                <w:rFonts w:hint="eastAsia" w:ascii="宋体" w:hAnsi="宋体" w:eastAsia="宋体" w:cs="宋体"/>
                <w:sz w:val="21"/>
                <w:szCs w:val="21"/>
                <w:highlight w:val="none"/>
                <w:lang w:eastAsia="zh-CN"/>
              </w:rPr>
              <w:t xml:space="preserve">如有，见第一章《投标邀请》</w:t>
            </w:r>
            <w:r>
              <w:rPr>
                <w:rFonts w:hint="eastAsia" w:ascii="宋体" w:hAnsi="宋体" w:cs="宋体"/>
                <w:color w:val="000000"/>
                <w:szCs w:val="21"/>
              </w:rPr>
            </w:r>
            <w:r/>
          </w:p>
        </w:tc>
        <w:tc>
          <w:tcPr>
            <w:tcW w:w="1638" w:type="dxa"/>
            <w:vAlign w:val="center"/>
            <w:textDirection w:val="lrTb"/>
            <w:noWrap w:val="false"/>
          </w:tcPr>
          <w:p>
            <w:pPr>
              <w:pStyle w:val="1048"/>
              <w:jc w:val="left"/>
              <w:tabs>
                <w:tab w:val="left" w:pos="1080" w:leader="none"/>
              </w:tabs>
              <w:rPr>
                <w:rFonts w:hint="eastAsia" w:ascii="宋体" w:hAnsi="宋体" w:cs="宋体"/>
                <w:color w:val="000000"/>
                <w:szCs w:val="21"/>
              </w:rPr>
            </w:pPr>
            <w:r>
              <w:rPr>
                <w:rFonts w:ascii="宋体" w:hAnsi="宋体" w:eastAsia="宋体" w:cs="宋体"/>
                <w:sz w:val="21"/>
                <w:szCs w:val="21"/>
                <w:highlight w:val="none"/>
                <w:lang w:val="en-US" w:eastAsia="zh-CN"/>
              </w:rPr>
              <w:t xml:space="preserve">提供证明文件的电子件或电子证照</w:t>
            </w:r>
            <w:r>
              <w:rPr>
                <w:rFonts w:hint="eastAsia" w:ascii="宋体" w:hAnsi="宋体" w:cs="宋体"/>
                <w:color w:val="000000"/>
                <w:szCs w:val="21"/>
              </w:rPr>
            </w:r>
            <w:r/>
          </w:p>
        </w:tc>
      </w:tr>
      <w:tr>
        <w:trPr>
          <w:cantSplit/>
          <w:trHeight w:val="468"/>
        </w:trPr>
        <w:tc>
          <w:tcPr>
            <w:tcW w:w="454" w:type="dxa"/>
            <w:vAlign w:val="center"/>
            <w:textDirection w:val="lrTb"/>
            <w:noWrap w:val="false"/>
          </w:tcPr>
          <w:p>
            <w:pPr>
              <w:pStyle w:val="1048"/>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066"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t xml:space="preserve">本项目的特定资格要求</w:t>
            </w:r>
            <w:r>
              <w:rPr>
                <w:rFonts w:hint="eastAsia" w:ascii="宋体" w:hAnsi="宋体" w:cs="宋体"/>
                <w:color w:val="000000"/>
                <w:szCs w:val="21"/>
              </w:rPr>
            </w:r>
            <w:r/>
          </w:p>
        </w:tc>
        <w:tc>
          <w:tcPr>
            <w:tcW w:w="2596"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eastAsia="宋体" w:cs="宋体"/>
                <w:sz w:val="21"/>
                <w:szCs w:val="21"/>
                <w:highlight w:val="none"/>
                <w:lang w:eastAsia="zh-CN"/>
              </w:rPr>
              <w:t xml:space="preserve">见第一章《投标邀请》</w:t>
            </w:r>
            <w:r>
              <w:rPr>
                <w:rFonts w:hint="eastAsia" w:ascii="宋体" w:hAnsi="宋体" w:cs="宋体"/>
                <w:color w:val="000000"/>
                <w:szCs w:val="21"/>
              </w:rPr>
            </w:r>
            <w:r/>
          </w:p>
        </w:tc>
        <w:tc>
          <w:tcPr>
            <w:tcW w:w="881"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724"/>
        </w:trPr>
        <w:tc>
          <w:tcPr>
            <w:tcW w:w="454" w:type="dxa"/>
            <w:vAlign w:val="center"/>
            <w:textDirection w:val="lrTb"/>
            <w:noWrap w:val="false"/>
          </w:tcPr>
          <w:p>
            <w:pPr>
              <w:pStyle w:val="1048"/>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3-1</w:t>
            </w:r>
            <w:r>
              <w:rPr>
                <w:rFonts w:hint="eastAsia" w:ascii="宋体" w:hAnsi="宋体" w:cs="宋体"/>
                <w:color w:val="000000"/>
                <w:szCs w:val="21"/>
              </w:rPr>
            </w:r>
            <w:r/>
          </w:p>
        </w:tc>
        <w:tc>
          <w:tcPr>
            <w:tcW w:w="1066"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t xml:space="preserve">是否接受联合体投标</w:t>
            </w:r>
            <w:r>
              <w:rPr>
                <w:rFonts w:hint="eastAsia" w:ascii="宋体" w:hAnsi="宋体" w:cs="宋体"/>
                <w:color w:val="000000"/>
                <w:szCs w:val="21"/>
              </w:rPr>
            </w:r>
            <w:r/>
          </w:p>
        </w:tc>
        <w:tc>
          <w:tcPr>
            <w:tcW w:w="2596" w:type="dxa"/>
            <w:vAlign w:val="center"/>
            <w:textDirection w:val="lrTb"/>
            <w:noWrap w:val="false"/>
          </w:tcPr>
          <w:p>
            <w:pPr>
              <w:pStyle w:val="1048"/>
              <w:jc w:val="center"/>
              <w:tabs>
                <w:tab w:val="left" w:pos="1080" w:leader="none"/>
              </w:tabs>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W w:w="881" w:type="dxa"/>
            <w:vAlign w:val="center"/>
            <w:textDirection w:val="lrTb"/>
            <w:noWrap w:val="false"/>
          </w:tcPr>
          <w:p>
            <w:pPr>
              <w:pStyle w:val="1048"/>
              <w:tabs>
                <w:tab w:val="left" w:pos="1080" w:leader="none"/>
              </w:tabs>
              <w:rPr>
                <w:rFonts w:hint="eastAsia" w:ascii="宋体" w:hAnsi="宋体" w:cs="宋体"/>
                <w:color w:val="000000"/>
                <w:szCs w:val="21"/>
              </w:rPr>
            </w:pPr>
            <w:r>
              <w:rPr>
                <w:rFonts w:hint="eastAsia" w:ascii="宋体" w:hAnsi="宋体" w:cs="宋体"/>
                <w:color w:val="000000"/>
                <w:szCs w:val="21"/>
              </w:rPr>
            </w:r>
            <w:r/>
          </w:p>
        </w:tc>
      </w:tr>
      <w:tr>
        <w:trPr>
          <w:cantSplit/>
          <w:trHeight w:val="460"/>
        </w:trPr>
        <w:tc>
          <w:tcPr>
            <w:tcW w:w="454" w:type="dxa"/>
            <w:vAlign w:val="center"/>
            <w:textDirection w:val="lrTb"/>
            <w:noWrap w:val="false"/>
          </w:tcPr>
          <w:p>
            <w:pPr>
              <w:pStyle w:val="1048"/>
              <w:jc w:val="center"/>
              <w:tabs>
                <w:tab w:val="left" w:pos="108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r>
            <w:r/>
          </w:p>
        </w:tc>
        <w:tc>
          <w:tcPr>
            <w:tcW w:w="1066" w:type="dxa"/>
            <w:vAlign w:val="center"/>
            <w:textDirection w:val="lrTb"/>
            <w:noWrap w:val="false"/>
          </w:tcPr>
          <w:p>
            <w:pPr>
              <w:pStyle w:val="1048"/>
              <w:tabs>
                <w:tab w:val="left" w:pos="10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其他特定资格要求</w:t>
            </w:r>
            <w:r>
              <w:rPr>
                <w:rFonts w:hint="eastAsia" w:ascii="宋体" w:hAnsi="宋体" w:cs="宋体"/>
                <w:color w:val="000000"/>
                <w:szCs w:val="21"/>
                <w:highlight w:val="none"/>
              </w:rPr>
            </w:r>
            <w:r/>
          </w:p>
        </w:tc>
        <w:tc>
          <w:tcPr>
            <w:tcW w:w="2596" w:type="dxa"/>
            <w:vAlign w:val="center"/>
            <w:textDirection w:val="lrTb"/>
            <w:noWrap w:val="false"/>
          </w:tcPr>
          <w:p>
            <w:pPr>
              <w:pStyle w:val="1048"/>
              <w:jc w:val="left"/>
              <w:tabs>
                <w:tab w:val="left" w:pos="1080" w:leader="none"/>
              </w:tabs>
              <w:rPr>
                <w:rFonts w:hint="eastAsia" w:ascii="宋体" w:hAnsi="宋体" w:cs="宋体"/>
                <w:color w:val="000000"/>
                <w:szCs w:val="21"/>
                <w:highlight w:val="none"/>
              </w:rPr>
            </w:pPr>
            <w:r>
              <w:rPr>
                <w:rFonts w:hint="eastAsia" w:ascii="宋体" w:hAnsi="宋体" w:eastAsia="宋体" w:cs="宋体"/>
                <w:sz w:val="21"/>
                <w:szCs w:val="21"/>
                <w:highlight w:val="none"/>
                <w:lang w:eastAsia="zh-CN"/>
              </w:rPr>
              <w:t xml:space="preserve">如有，见第一章《投标邀请》</w:t>
            </w:r>
            <w:r>
              <w:rPr>
                <w:rFonts w:hint="eastAsia" w:ascii="宋体" w:hAnsi="宋体" w:cs="宋体"/>
                <w:color w:val="000000"/>
                <w:szCs w:val="21"/>
                <w:highlight w:val="none"/>
              </w:rPr>
            </w:r>
            <w:r/>
          </w:p>
        </w:tc>
        <w:tc>
          <w:tcPr>
            <w:tcW w:w="881" w:type="dxa"/>
            <w:vAlign w:val="center"/>
            <w:textDirection w:val="lrTb"/>
            <w:noWrap w:val="false"/>
          </w:tcPr>
          <w:p>
            <w:pPr>
              <w:pStyle w:val="1048"/>
              <w:tabs>
                <w:tab w:val="left" w:pos="1080" w:leader="none"/>
              </w:tabs>
              <w:rPr>
                <w:rFonts w:hint="eastAsia" w:ascii="宋体" w:hAnsi="宋体" w:cs="宋体"/>
                <w:color w:val="000000"/>
                <w:szCs w:val="21"/>
                <w:highlight w:val="none"/>
              </w:rPr>
            </w:pPr>
            <w:r>
              <w:rPr>
                <w:rFonts w:hint="eastAsia" w:ascii="宋体" w:hAnsi="宋体" w:eastAsia="宋体" w:cs="宋体"/>
                <w:sz w:val="21"/>
                <w:szCs w:val="21"/>
                <w:highlight w:val="none"/>
                <w:lang w:val="en-US" w:eastAsia="zh-CN"/>
              </w:rPr>
              <w:t xml:space="preserve">提供证明文件的电子件或电子证照</w:t>
            </w:r>
            <w:r>
              <w:rPr>
                <w:rFonts w:hint="eastAsia" w:ascii="宋体" w:hAnsi="宋体" w:cs="宋体"/>
                <w:color w:val="000000"/>
                <w:szCs w:val="21"/>
                <w:highlight w:val="none"/>
              </w:rPr>
            </w:r>
            <w:r/>
          </w:p>
        </w:tc>
      </w:tr>
    </w:tbl>
    <w:p>
      <w:pPr>
        <w:pStyle w:val="1048"/>
        <w:jc w:val="left"/>
        <w:widowControl/>
        <w:rPr>
          <w:color w:val="000000"/>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7"/>
      <w:r/>
      <w:bookmarkStart w:id="600" w:name="_Toc127151779"/>
      <w:r/>
      <w:bookmarkStart w:id="601" w:name="_Toc127161490"/>
      <w:r/>
      <w:bookmarkStart w:id="602" w:name="_Toc353873940"/>
      <w:r/>
      <w:bookmarkStart w:id="603" w:name="_Toc353825550"/>
      <w:r/>
      <w:bookmarkStart w:id="604" w:name="_Toc226965858"/>
      <w:r>
        <w:rPr>
          <w:color w:val="000000"/>
          <w:sz w:val="24"/>
        </w:rPr>
        <w:br w:type="page" w:clear="all"/>
      </w:r>
      <w:r>
        <w:rPr>
          <w:color w:val="000000"/>
          <w:sz w:val="24"/>
        </w:rPr>
      </w:r>
      <w:r/>
    </w:p>
    <w:p>
      <w:pPr>
        <w:pStyle w:val="1048"/>
        <w:jc w:val="center"/>
        <w:spacing w:line="360" w:lineRule="auto"/>
        <w:rPr>
          <w:rFonts w:hint="eastAsia"/>
          <w:b/>
          <w:color w:val="000000"/>
          <w:sz w:val="32"/>
          <w:szCs w:val="32"/>
        </w:rPr>
        <w:outlineLvl w:val="0"/>
      </w:pPr>
      <w:r/>
      <w:bookmarkStart w:id="605" w:name="_Toc99301423"/>
      <w:r>
        <w:rPr>
          <w:rFonts w:hint="eastAsia"/>
          <w:b/>
          <w:color w:val="000000"/>
          <w:sz w:val="32"/>
          <w:szCs w:val="32"/>
        </w:rPr>
        <w:t xml:space="preserve">第四章   </w:t>
      </w:r>
      <w:bookmarkEnd w:id="600"/>
      <w:r/>
      <w:bookmarkEnd w:id="601"/>
      <w:r/>
      <w:bookmarkEnd w:id="602"/>
      <w:r/>
      <w:bookmarkEnd w:id="603"/>
      <w:r/>
      <w:bookmarkEnd w:id="604"/>
      <w:r/>
      <w:bookmarkStart w:id="606" w:name="_Hlt164229061"/>
      <w:r/>
      <w:bookmarkEnd w:id="606"/>
      <w:r>
        <w:rPr>
          <w:rFonts w:hint="eastAsia"/>
          <w:b/>
          <w:color w:val="000000"/>
          <w:sz w:val="32"/>
          <w:szCs w:val="32"/>
        </w:rPr>
        <w:t xml:space="preserve">评标程序、评标方法和评标标准</w:t>
      </w:r>
      <w:bookmarkEnd w:id="605"/>
      <w:r>
        <w:rPr>
          <w:rFonts w:hint="eastAsia"/>
          <w:b/>
          <w:color w:val="000000"/>
          <w:sz w:val="32"/>
          <w:szCs w:val="32"/>
        </w:rPr>
      </w:r>
      <w:r/>
    </w:p>
    <w:p>
      <w:pPr>
        <w:pStyle w:val="1048"/>
        <w:jc w:val="center"/>
        <w:spacing w:line="360" w:lineRule="auto"/>
        <w:tabs>
          <w:tab w:val="left" w:pos="360" w:leader="none"/>
          <w:tab w:val="left" w:pos="900" w:leader="none"/>
        </w:tabs>
        <w:rPr>
          <w:rFonts w:hint="eastAsia" w:ascii="宋体" w:hAnsi="宋体" w:cs="宋体"/>
          <w:b/>
          <w:color w:val="000000"/>
          <w:szCs w:val="21"/>
        </w:rPr>
        <w:outlineLvl w:val="1"/>
      </w:pPr>
      <w:r>
        <w:rPr>
          <w:rFonts w:hint="eastAsia" w:ascii="宋体" w:hAnsi="宋体" w:cs="宋体"/>
          <w:b/>
          <w:color w:val="000000"/>
          <w:szCs w:val="21"/>
        </w:rPr>
        <w:t xml:space="preserve">一、评标程序</w:t>
      </w:r>
      <w:r>
        <w:rPr>
          <w:rFonts w:hint="eastAsia" w:ascii="宋体" w:hAnsi="宋体" w:cs="宋体"/>
          <w:b/>
          <w:color w:val="000000"/>
          <w:szCs w:val="21"/>
        </w:rPr>
      </w:r>
      <w:r/>
    </w:p>
    <w:p>
      <w:pPr>
        <w:pStyle w:val="1048"/>
        <w:spacing w:line="360" w:lineRule="auto"/>
        <w:tabs>
          <w:tab w:val="left" w:pos="360" w:leader="none"/>
        </w:tabs>
        <w:rPr>
          <w:rFonts w:hint="eastAsia" w:ascii="宋体" w:hAnsi="宋体" w:cs="宋体"/>
          <w:color w:val="000000"/>
          <w:szCs w:val="21"/>
        </w:rPr>
        <w:outlineLvl w:val="1"/>
      </w:pPr>
      <w:r/>
      <w:bookmarkStart w:id="607" w:name="_Toc164229382"/>
      <w:r/>
      <w:bookmarkStart w:id="608" w:name="_Toc150774746"/>
      <w:r/>
      <w:bookmarkStart w:id="609" w:name="_Toc195842906"/>
      <w:r/>
      <w:bookmarkStart w:id="610" w:name="_Toc149720834"/>
      <w:r/>
      <w:bookmarkStart w:id="611" w:name="_Toc150480779"/>
      <w:r/>
      <w:bookmarkStart w:id="612" w:name="_Toc305158809"/>
      <w:r/>
      <w:bookmarkStart w:id="613" w:name="_Toc151193855"/>
      <w:r/>
      <w:bookmarkStart w:id="614" w:name="_Toc150774641"/>
      <w:r/>
      <w:bookmarkStart w:id="615" w:name="_Toc226965731"/>
      <w:r/>
      <w:bookmarkStart w:id="616" w:name="_Toc226337237"/>
      <w:r/>
      <w:bookmarkStart w:id="617" w:name="_Toc127151742"/>
      <w:r/>
      <w:bookmarkStart w:id="618" w:name="_Toc164351635"/>
      <w:r/>
      <w:bookmarkStart w:id="619" w:name="_Toc151193929"/>
      <w:r/>
      <w:bookmarkStart w:id="620" w:name="_Toc265228379"/>
      <w:r/>
      <w:bookmarkStart w:id="621" w:name="_Toc127161455"/>
      <w:r/>
      <w:bookmarkStart w:id="622" w:name="_Toc151190168"/>
      <w:r/>
      <w:bookmarkStart w:id="623" w:name="_Toc127151541"/>
      <w:r/>
      <w:bookmarkStart w:id="624" w:name="_Toc164229236"/>
      <w:r/>
      <w:bookmarkStart w:id="625" w:name="_Toc305158883"/>
      <w:r/>
      <w:bookmarkStart w:id="626" w:name="_Toc226309785"/>
      <w:r/>
      <w:bookmarkStart w:id="627" w:name="_Toc151193639"/>
      <w:r/>
      <w:bookmarkStart w:id="628" w:name="_Toc142311043"/>
      <w:r/>
      <w:bookmarkStart w:id="629" w:name="_Toc264969231"/>
      <w:r/>
      <w:bookmarkStart w:id="630" w:name="_Toc151193711"/>
      <w:r/>
      <w:bookmarkStart w:id="631" w:name="_Toc150509292"/>
      <w:r/>
      <w:bookmarkStart w:id="632" w:name="_Toc164608655"/>
      <w:r/>
      <w:bookmarkStart w:id="633" w:name="_Toc151193783"/>
      <w:r/>
      <w:bookmarkStart w:id="634" w:name="_Toc164608810"/>
      <w:r/>
      <w:bookmarkStart w:id="635" w:name="_Toc226965814"/>
      <w:r/>
      <w:bookmarkStart w:id="636" w:name="_Toc353825551"/>
      <w:r/>
      <w:bookmarkStart w:id="637" w:name="_Toc353873941"/>
      <w:r/>
      <w:bookmarkStart w:id="638" w:name="_Toc127151555"/>
      <w:r/>
      <w:bookmarkStart w:id="639" w:name="_Toc226965828"/>
      <w:r/>
      <w:bookmarkStart w:id="640" w:name="_Toc353873665"/>
      <w:r/>
      <w:bookmarkStart w:id="641" w:name="_Toc305158823"/>
      <w:r/>
      <w:bookmarkStart w:id="642" w:name="_Toc265228393"/>
      <w:r/>
      <w:bookmarkStart w:id="643" w:name="_Toc305158897"/>
      <w:r/>
      <w:bookmarkStart w:id="644" w:name="_Toc150480793"/>
      <w:r/>
      <w:bookmarkStart w:id="645" w:name="_Toc150774760"/>
      <w:r/>
      <w:bookmarkStart w:id="646" w:name="_Toc142311057"/>
      <w:r/>
      <w:bookmarkStart w:id="647" w:name="_Toc264969245"/>
      <w:r/>
      <w:bookmarkStart w:id="648" w:name="_Toc353873935"/>
      <w:r/>
      <w:bookmarkStart w:id="649" w:name="_Toc353825545"/>
      <w:r/>
      <w:bookmarkStart w:id="650" w:name="_Toc195842920"/>
      <w:r/>
      <w:bookmarkStart w:id="651" w:name="_Toc226337251"/>
      <w:r>
        <w:rPr>
          <w:rFonts w:hint="eastAsia" w:ascii="宋体" w:hAnsi="宋体" w:cs="宋体"/>
          <w:b/>
          <w:bCs/>
          <w:color w:val="000000"/>
          <w:szCs w:val="21"/>
        </w:rPr>
        <w:t xml:space="preserve">1.投标文件的符合性审查</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Pr>
          <w:rFonts w:hint="eastAsia" w:ascii="宋体" w:hAnsi="宋体" w:cs="宋体"/>
          <w:color w:val="000000"/>
          <w:szCs w:val="21"/>
        </w:rPr>
      </w:r>
      <w:r/>
    </w:p>
    <w:p>
      <w:pPr>
        <w:pStyle w:val="1048"/>
        <w:ind w:firstLine="420"/>
        <w:spacing w:line="360" w:lineRule="auto"/>
        <w:tabs>
          <w:tab w:val="left" w:pos="1080" w:leader="none"/>
        </w:tabs>
        <w:rPr>
          <w:rFonts w:hint="eastAsia" w:ascii="宋体" w:hAnsi="宋体" w:cs="宋体"/>
          <w:color w:val="000000"/>
          <w:szCs w:val="21"/>
        </w:rPr>
      </w:pPr>
      <w:r>
        <w:rPr>
          <w:rFonts w:hint="eastAsia" w:ascii="宋体" w:hAnsi="宋体" w:cs="宋体"/>
          <w:color w:val="000000"/>
          <w:szCs w:val="21"/>
        </w:rPr>
        <w:t xml:space="preserve">1.1评标委员会对资格审查合格的投标人的投标文件进行符合性审查，以确定其是否满足招标文件的实质性要求。</w:t>
      </w:r>
      <w:bookmarkStart w:id="652" w:name="_Toc520356167"/>
      <w:r>
        <w:rPr>
          <w:rFonts w:hint="eastAsia" w:ascii="宋体" w:hAnsi="宋体" w:cs="宋体"/>
          <w:color w:val="000000"/>
          <w:szCs w:val="21"/>
        </w:rPr>
      </w:r>
      <w:r/>
    </w:p>
    <w:p>
      <w:pPr>
        <w:pStyle w:val="1048"/>
        <w:ind w:firstLine="420"/>
        <w:spacing w:line="360" w:lineRule="auto"/>
        <w:tabs>
          <w:tab w:val="left" w:pos="1080" w:leader="none"/>
        </w:tabs>
        <w:rPr>
          <w:rFonts w:hint="eastAsia" w:ascii="宋体" w:hAnsi="宋体" w:cs="宋体"/>
          <w:color w:val="000000"/>
          <w:szCs w:val="21"/>
        </w:rPr>
      </w:pPr>
      <w:r>
        <w:rPr>
          <w:rFonts w:hint="eastAsia" w:ascii="宋体" w:hAnsi="宋体" w:cs="宋体"/>
          <w:color w:val="000000"/>
          <w:szCs w:val="21"/>
        </w:rPr>
        <w:t xml:space="preserve">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52"/>
      <w:r>
        <w:rPr>
          <w:rFonts w:hint="eastAsia" w:ascii="宋体" w:hAnsi="宋体" w:cs="宋体"/>
          <w:color w:val="000000"/>
          <w:szCs w:val="21"/>
        </w:rPr>
        <w:t xml:space="preserve">要求的，</w:t>
      </w:r>
      <w:r>
        <w:rPr>
          <w:rFonts w:hint="eastAsia" w:ascii="宋体" w:hAnsi="宋体" w:cs="宋体"/>
          <w:b/>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1048"/>
        <w:ind w:left="-45" w:hanging="312"/>
        <w:jc w:val="center"/>
        <w:spacing w:line="360" w:lineRule="auto"/>
        <w:tabs>
          <w:tab w:val="left" w:pos="900" w:leader="none"/>
          <w:tab w:val="left" w:pos="1080" w:leader="none"/>
          <w:tab w:val="left" w:pos="1589" w:leader="none"/>
        </w:tabs>
        <w:rPr>
          <w:rFonts w:hint="eastAsia" w:ascii="宋体" w:hAnsi="宋体" w:cs="宋体"/>
          <w:b/>
          <w:color w:val="000000"/>
          <w:szCs w:val="21"/>
        </w:rPr>
      </w:pPr>
      <w:r>
        <w:rPr>
          <w:rFonts w:hint="eastAsia" w:ascii="宋体" w:hAnsi="宋体" w:cs="宋体"/>
          <w:b/>
          <w:color w:val="000000"/>
          <w:szCs w:val="21"/>
        </w:rPr>
        <w:t xml:space="preserve">符合性审查要求</w:t>
      </w:r>
      <w:r>
        <w:rPr>
          <w:rFonts w:hint="eastAsia" w:ascii="宋体" w:hAnsi="宋体" w:cs="宋体"/>
          <w:b/>
          <w:color w:val="000000"/>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1812"/>
        <w:gridCol w:w="6727"/>
      </w:tblGrid>
      <w:tr>
        <w:trPr>
          <w:trHeight w:val="300"/>
        </w:trPr>
        <w:tc>
          <w:tcPr>
            <w:tcW w:w="403" w:type="dxa"/>
            <w:vAlign w:val="center"/>
            <w:textDirection w:val="lrTb"/>
            <w:noWrap w:val="false"/>
          </w:tcPr>
          <w:p>
            <w:pPr>
              <w:pStyle w:val="1048"/>
              <w:jc w:val="center"/>
              <w:widowControl/>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975" w:type="dxa"/>
            <w:vAlign w:val="center"/>
            <w:textDirection w:val="lrTb"/>
            <w:noWrap w:val="false"/>
          </w:tcPr>
          <w:p>
            <w:pPr>
              <w:pStyle w:val="1048"/>
              <w:jc w:val="center"/>
              <w:widowControl/>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3620" w:type="dxa"/>
            <w:vAlign w:val="center"/>
            <w:textDirection w:val="lrTb"/>
            <w:noWrap w:val="false"/>
          </w:tcPr>
          <w:p>
            <w:pPr>
              <w:pStyle w:val="1048"/>
              <w:jc w:val="center"/>
              <w:widowControl/>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r>
      <w:tr>
        <w:trPr>
          <w:trHeight w:val="685"/>
        </w:trPr>
        <w:tc>
          <w:tcPr>
            <w:tcW w:w="403"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投标函、</w:t>
            </w:r>
            <w:r>
              <w:rPr>
                <w:rFonts w:hint="eastAsia" w:ascii="宋体" w:hAnsi="宋体" w:cs="宋体"/>
                <w:color w:val="000000"/>
                <w:szCs w:val="21"/>
                <w:highlight w:val="none"/>
              </w:rPr>
              <w:t xml:space="preserve">法定代表人资格证明书和政府采购供应商信用承诺书</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按招标文件要求提供</w:t>
            </w:r>
            <w:r>
              <w:rPr>
                <w:rFonts w:hint="eastAsia" w:ascii="宋体" w:hAnsi="宋体" w:cs="宋体"/>
                <w:b/>
                <w:bCs/>
                <w:color w:val="000000"/>
                <w:szCs w:val="21"/>
                <w:highlight w:val="none"/>
              </w:rPr>
              <w:t xml:space="preserve">投标函、</w:t>
            </w:r>
            <w:r>
              <w:rPr>
                <w:rFonts w:hint="eastAsia" w:ascii="宋体" w:hAnsi="宋体" w:cs="宋体"/>
                <w:b/>
                <w:bCs/>
                <w:color w:val="000000"/>
                <w:szCs w:val="21"/>
                <w:highlight w:val="none"/>
              </w:rPr>
              <w:t xml:space="preserve">法定代表人资格证明书和政府采购供应商信用承诺书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投标完整性</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未将一个采购包中的内容拆开投标；</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投标报价未</w:t>
            </w:r>
            <w:r>
              <w:rPr>
                <w:rFonts w:hint="eastAsia" w:ascii="宋体" w:hAnsi="宋体" w:cs="宋体"/>
                <w:color w:val="000000"/>
                <w:szCs w:val="21"/>
                <w:highlight w:val="none"/>
              </w:rPr>
              <w:t xml:space="preserve">超过招标文件中规定的项目/采购包预算金额或者项目/采购包最高限价</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报价唯一性</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w:t>
            </w:r>
            <w:r>
              <w:rPr>
                <w:rFonts w:hint="eastAsia" w:ascii="宋体" w:hAnsi="宋体" w:cs="宋体"/>
                <w:color w:val="000000"/>
                <w:szCs w:val="21"/>
                <w:highlight w:val="none"/>
              </w:rPr>
              <w:t xml:space="preserve">出现可选择性或可调整的报价（招标文件另有规定的除外）</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投标文件中承诺的投标有效期满足招标文件中载明的投标有效期的；</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签署、加盖公章</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按照招标文件要求签署、加盖公章的；</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标记为“实质性格式”的文件均按招标文件要求提供；</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★号条款响应</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投标文件满足招标文件</w:t>
            </w:r>
            <w:r>
              <w:rPr>
                <w:rFonts w:hint="eastAsia" w:ascii="宋体" w:hAnsi="宋体" w:cs="宋体"/>
                <w:color w:val="000000"/>
                <w:szCs w:val="21"/>
                <w:highlight w:val="none"/>
              </w:rPr>
              <w:t xml:space="preserve">第五章《采购需求》</w:t>
            </w:r>
            <w:r>
              <w:rPr>
                <w:rFonts w:hint="eastAsia" w:ascii="宋体" w:hAnsi="宋体" w:cs="宋体"/>
                <w:color w:val="000000"/>
                <w:szCs w:val="21"/>
                <w:highlight w:val="none"/>
              </w:rPr>
              <w:t xml:space="preserve">中★号条款要求的；</w:t>
            </w:r>
            <w:r>
              <w:rPr>
                <w:rFonts w:hint="eastAsia" w:ascii="宋体" w:hAnsi="宋体" w:cs="宋体"/>
                <w:b/>
                <w:bCs/>
                <w:color w:val="000000"/>
                <w:szCs w:val="21"/>
                <w:highlight w:val="none"/>
              </w:rPr>
              <w:t xml:space="preserve">（如《采购需求》中有★号条款要求的，按照序号逐项提供相关证明材料；如《采购需求》中没有★号条款要求的，则无需投标</w:t>
            </w:r>
            <w:r>
              <w:rPr>
                <w:rFonts w:hint="eastAsia" w:ascii="宋体" w:hAnsi="宋体" w:cs="宋体"/>
                <w:b/>
                <w:bCs/>
                <w:color w:val="000000"/>
                <w:szCs w:val="21"/>
                <w:highlight w:val="none"/>
                <w:lang w:eastAsia="zh-CN"/>
              </w:rPr>
              <w:t xml:space="preserve">人</w:t>
            </w:r>
            <w:r>
              <w:rPr>
                <w:rFonts w:hint="eastAsia" w:ascii="宋体" w:hAnsi="宋体" w:cs="宋体"/>
                <w:b/>
                <w:bCs/>
                <w:color w:val="000000"/>
                <w:szCs w:val="21"/>
                <w:highlight w:val="none"/>
              </w:rPr>
              <w:t xml:space="preserve">提供）</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9</w:t>
            </w:r>
            <w:r>
              <w:rPr>
                <w:rFonts w:hint="eastAsia" w:ascii="宋体" w:hAnsi="宋体" w:eastAsia="宋体" w:cs="宋体"/>
                <w:color w:val="000000"/>
                <w:szCs w:val="21"/>
                <w:lang w:eastAsia="zh-CN"/>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报价的修正（如有）</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不涉及报价修正，或投标文件报价出现前后不一致时，投标人对修正后的报价予以确认；（如有）</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报价合理性</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详见下文2.6条，异常低价审查程序；</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11</w:t>
            </w:r>
            <w:r>
              <w:rPr>
                <w:rFonts w:ascii="宋体" w:hAnsi="宋体" w:eastAsia="宋体" w:cs="宋体"/>
                <w:color w:val="000000"/>
                <w:szCs w:val="21"/>
                <w:lang w:val="en-US" w:eastAsia="zh-CN"/>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进口产品</w:t>
            </w:r>
            <w:r>
              <w:rPr>
                <w:rFonts w:hint="eastAsia" w:ascii="宋体" w:hAnsi="宋体" w:cs="宋体"/>
                <w:color w:val="000000"/>
                <w:szCs w:val="21"/>
                <w:highlight w:val="none"/>
              </w:rPr>
            </w:r>
            <w:r/>
          </w:p>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（如有）</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招标文件不接受进口产品投标的内容时，投标人所投产品非进口产品的；</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12</w:t>
            </w:r>
            <w:r>
              <w:rPr>
                <w:rFonts w:ascii="宋体" w:hAnsi="宋体" w:eastAsia="宋体" w:cs="宋体"/>
                <w:color w:val="000000"/>
                <w:szCs w:val="21"/>
                <w:highlight w:val="none"/>
                <w:lang w:val="en-US" w:eastAsia="zh-CN"/>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Cs w:val="21"/>
                <w:highlight w:val="none"/>
              </w:rPr>
            </w:r>
            <w:r/>
          </w:p>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Cs w:val="21"/>
                <w:highlight w:val="none"/>
              </w:rPr>
            </w:r>
            <w:r/>
          </w:p>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Cs w:val="21"/>
                <w:highlight w:val="none"/>
              </w:rPr>
            </w:r>
            <w:r/>
          </w:p>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highlight w:val="none"/>
              </w:rPr>
            </w:r>
            <w:r/>
          </w:p>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13</w:t>
            </w:r>
            <w:r>
              <w:rPr>
                <w:rFonts w:ascii="宋体" w:hAnsi="宋体" w:eastAsia="宋体" w:cs="宋体"/>
                <w:color w:val="000000"/>
                <w:szCs w:val="21"/>
                <w:lang w:val="en-US" w:eastAsia="zh-CN"/>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公平竞争</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14</w:t>
            </w:r>
            <w:r>
              <w:rPr>
                <w:rFonts w:ascii="宋体" w:hAnsi="宋体" w:eastAsia="宋体" w:cs="宋体"/>
                <w:color w:val="000000"/>
                <w:szCs w:val="21"/>
                <w:lang w:val="en-US" w:eastAsia="zh-CN"/>
              </w:rPr>
            </w:r>
            <w:r/>
          </w:p>
        </w:tc>
        <w:tc>
          <w:tcPr>
            <w:tcW w:w="975" w:type="dxa"/>
            <w:vAlign w:val="center"/>
            <w:textDirection w:val="lrTb"/>
            <w:noWrap w:val="false"/>
          </w:tcPr>
          <w:p>
            <w:pPr>
              <w:pStyle w:val="1048"/>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串通投标</w:t>
            </w:r>
            <w:r>
              <w:rPr>
                <w:rFonts w:hint="eastAsia" w:ascii="宋体" w:hAnsi="宋体" w:cs="宋体"/>
                <w:color w:val="000000"/>
                <w:szCs w:val="21"/>
                <w:highlight w:val="none"/>
              </w:rPr>
            </w:r>
            <w:r/>
          </w:p>
        </w:tc>
        <w:tc>
          <w:tcPr>
            <w:tcW w:w="3620" w:type="dxa"/>
            <w:vAlign w:val="center"/>
            <w:textDirection w:val="lrTb"/>
            <w:noWrap w:val="false"/>
          </w:tcPr>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highlight w:val="none"/>
              </w:rPr>
            </w:r>
            <w:r/>
          </w:p>
        </w:tc>
      </w:tr>
      <w:tr>
        <w:trPr>
          <w:trHeight w:val="685"/>
        </w:trPr>
        <w:tc>
          <w:tcPr>
            <w:tcW w:w="403" w:type="dxa"/>
            <w:vAlign w:val="center"/>
            <w:textDirection w:val="lrTb"/>
            <w:noWrap w:val="false"/>
          </w:tcPr>
          <w:p>
            <w:pPr>
              <w:pStyle w:val="1048"/>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15</w:t>
            </w:r>
            <w:r>
              <w:rPr>
                <w:rFonts w:ascii="宋体" w:hAnsi="宋体" w:eastAsia="宋体" w:cs="宋体"/>
                <w:color w:val="000000"/>
                <w:szCs w:val="21"/>
                <w:lang w:val="en-US" w:eastAsia="zh-CN"/>
              </w:rPr>
            </w:r>
            <w:r/>
          </w:p>
        </w:tc>
        <w:tc>
          <w:tcPr>
            <w:tcW w:w="975" w:type="dxa"/>
            <w:vAlign w:val="center"/>
            <w:textDirection w:val="lrTb"/>
            <w:noWrap w:val="false"/>
          </w:tcPr>
          <w:p>
            <w:pPr>
              <w:pStyle w:val="1048"/>
              <w:jc w:val="center"/>
              <w:widowControl/>
              <w:rPr>
                <w:rFonts w:hint="eastAsia" w:ascii="宋体" w:hAnsi="宋体" w:cs="宋体"/>
                <w:color w:val="000000"/>
                <w:szCs w:val="21"/>
              </w:rPr>
            </w:pPr>
            <w:r>
              <w:rPr>
                <w:rFonts w:hint="eastAsia" w:ascii="宋体" w:hAnsi="宋体" w:cs="宋体"/>
                <w:color w:val="000000"/>
                <w:szCs w:val="21"/>
              </w:rPr>
              <w:t xml:space="preserve">附加条件</w:t>
            </w:r>
            <w:r>
              <w:rPr>
                <w:rFonts w:hint="eastAsia" w:ascii="宋体" w:hAnsi="宋体" w:cs="宋体"/>
                <w:color w:val="000000"/>
                <w:szCs w:val="21"/>
              </w:rPr>
            </w:r>
            <w:r/>
          </w:p>
        </w:tc>
        <w:tc>
          <w:tcPr>
            <w:tcW w:w="3620" w:type="dxa"/>
            <w:vAlign w:val="center"/>
            <w:textDirection w:val="lrTb"/>
            <w:noWrap w:val="false"/>
          </w:tcPr>
          <w:p>
            <w:pPr>
              <w:pStyle w:val="1048"/>
              <w:jc w:val="left"/>
              <w:widowControl/>
              <w:rPr>
                <w:rFonts w:hint="eastAsia" w:ascii="宋体" w:hAnsi="宋体" w:cs="宋体"/>
                <w:color w:val="000000"/>
                <w:szCs w:val="21"/>
              </w:rPr>
            </w:pPr>
            <w:r>
              <w:rPr>
                <w:rFonts w:hint="eastAsia" w:ascii="宋体" w:hAnsi="宋体" w:cs="宋体"/>
                <w:color w:val="000000"/>
                <w:szCs w:val="21"/>
              </w:rPr>
              <w:t xml:space="preserve">投标文件未含有采购人不能接受的附加条件的；</w:t>
            </w:r>
            <w:r>
              <w:rPr>
                <w:rFonts w:hint="eastAsia" w:ascii="宋体" w:hAnsi="宋体" w:cs="宋体"/>
                <w:color w:val="000000"/>
                <w:szCs w:val="21"/>
              </w:rPr>
            </w:r>
            <w:r/>
          </w:p>
        </w:tc>
      </w:tr>
      <w:tr>
        <w:trPr>
          <w:trHeight w:val="685"/>
        </w:trPr>
        <w:tc>
          <w:tcPr>
            <w:tcW w:w="403" w:type="dxa"/>
            <w:vAlign w:val="center"/>
            <w:textDirection w:val="lrTb"/>
            <w:noWrap w:val="false"/>
          </w:tcPr>
          <w:p>
            <w:pPr>
              <w:pStyle w:val="1048"/>
              <w:jc w:val="center"/>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16</w:t>
            </w:r>
            <w:r>
              <w:rPr>
                <w:rFonts w:ascii="宋体" w:hAnsi="宋体" w:eastAsia="宋体" w:cs="宋体"/>
                <w:color w:val="000000"/>
                <w:szCs w:val="21"/>
                <w:lang w:val="en-US" w:eastAsia="zh-CN"/>
              </w:rPr>
            </w:r>
            <w:r/>
          </w:p>
        </w:tc>
        <w:tc>
          <w:tcPr>
            <w:tcW w:w="975" w:type="dxa"/>
            <w:vAlign w:val="center"/>
            <w:textDirection w:val="lrTb"/>
            <w:noWrap w:val="false"/>
          </w:tcPr>
          <w:p>
            <w:pPr>
              <w:pStyle w:val="1048"/>
              <w:jc w:val="center"/>
              <w:widowControl/>
              <w:rPr>
                <w:rFonts w:hint="eastAsia" w:ascii="宋体" w:hAnsi="宋体" w:cs="宋体"/>
                <w:color w:val="000000"/>
                <w:szCs w:val="21"/>
              </w:rPr>
            </w:pPr>
            <w:r>
              <w:rPr>
                <w:rFonts w:hint="eastAsia" w:ascii="宋体" w:hAnsi="宋体" w:cs="宋体"/>
                <w:color w:val="000000"/>
                <w:szCs w:val="21"/>
              </w:rPr>
              <w:t xml:space="preserve">其他无效情形</w:t>
            </w:r>
            <w:r>
              <w:rPr>
                <w:rFonts w:hint="eastAsia" w:ascii="宋体" w:hAnsi="宋体" w:cs="宋体"/>
                <w:color w:val="000000"/>
                <w:szCs w:val="21"/>
              </w:rPr>
            </w:r>
            <w:r/>
          </w:p>
        </w:tc>
        <w:tc>
          <w:tcPr>
            <w:tcW w:w="3620" w:type="dxa"/>
            <w:vAlign w:val="center"/>
            <w:textDirection w:val="lrTb"/>
            <w:noWrap w:val="false"/>
          </w:tcPr>
          <w:p>
            <w:pPr>
              <w:pStyle w:val="1048"/>
              <w:jc w:val="left"/>
              <w:widowControl/>
              <w:rPr>
                <w:rFonts w:hint="eastAsia" w:ascii="宋体" w:hAnsi="宋体" w:cs="宋体"/>
                <w:color w:val="000000"/>
                <w:szCs w:val="21"/>
              </w:rPr>
            </w:pPr>
            <w:r>
              <w:rPr>
                <w:rFonts w:hint="eastAsia" w:ascii="宋体" w:hAnsi="宋体" w:cs="宋体"/>
                <w:color w:val="000000"/>
                <w:szCs w:val="21"/>
              </w:rPr>
              <w:t xml:space="preserve">投标人、投标文件不存在不符合法律、法规和招标文件规定的其他无效情形。</w:t>
            </w:r>
            <w:r>
              <w:rPr>
                <w:rFonts w:hint="eastAsia" w:ascii="宋体" w:hAnsi="宋体" w:cs="宋体"/>
                <w:color w:val="000000"/>
                <w:szCs w:val="21"/>
              </w:rPr>
            </w:r>
            <w:r/>
          </w:p>
        </w:tc>
      </w:tr>
    </w:tbl>
    <w:p>
      <w:pPr>
        <w:pStyle w:val="1048"/>
        <w:numPr>
          <w:ilvl w:val="0"/>
          <w:numId w:val="8"/>
        </w:numPr>
        <w:spacing w:line="360" w:lineRule="auto"/>
        <w:tabs>
          <w:tab w:val="left" w:pos="900" w:leader="none"/>
          <w:tab w:val="left" w:pos="1080" w:leader="none"/>
          <w:tab w:val="left" w:pos="1589" w:leader="none"/>
        </w:tabs>
        <w:rPr>
          <w:rFonts w:hint="eastAsia" w:ascii="宋体" w:hAnsi="宋体" w:cs="宋体"/>
          <w:color w:val="000000"/>
          <w:szCs w:val="21"/>
        </w:rPr>
        <w:sectPr>
          <w:headerReference w:type="even" r:id="rId11"/>
          <w:headerReference w:type="first" r:id="rId12"/>
          <w:footerReference w:type="even" r:id="rId17"/>
          <w:footerReference w:type="first" r:id="rId18"/>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Cs w:val="21"/>
        </w:rPr>
      </w:r>
      <w:r/>
    </w:p>
    <w:p>
      <w:pPr>
        <w:pStyle w:val="1048"/>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2.投标文件有关事项的澄清或者说明</w:t>
      </w:r>
      <w:r>
        <w:rPr>
          <w:rFonts w:hint="eastAsia" w:ascii="宋体" w:hAnsi="宋体" w:cs="宋体"/>
          <w:b/>
          <w:bCs/>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bCs/>
          <w:color w:val="000000"/>
          <w:szCs w:val="21"/>
        </w:rPr>
        <w:t xml:space="preserve">无效投标处理</w:t>
      </w:r>
      <w:r>
        <w:rPr>
          <w:rFonts w:hint="eastAsia" w:ascii="宋体" w:hAnsi="宋体" w:cs="宋体"/>
          <w:color w:val="000000"/>
          <w:szCs w:val="21"/>
        </w:rPr>
        <w:t xml:space="preserve">。</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bCs/>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2.4投标文件报价出现前后不一致的，按照下列规定修正：</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2.4.1招标文件对于报价修正是否另有规定：</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□有，具体规定为：______________</w:t>
      </w:r>
      <w:r>
        <w:rPr>
          <w:rFonts w:hint="eastAsia" w:ascii="宋体" w:hAnsi="宋体" w:cs="宋体"/>
          <w:color w:val="000000"/>
          <w:szCs w:val="21"/>
        </w:rPr>
      </w:r>
      <w:r/>
    </w:p>
    <w:p>
      <w:pPr>
        <w:pStyle w:val="1048"/>
        <w:ind w:firstLine="422"/>
        <w:spacing w:line="360" w:lineRule="auto"/>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无，按下述2.4.2-2.4.7项规定修正。</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2.4.2单独递交的开标一览表（报价表）与投标文件中开标一览表（报价表）内容不一致的，以单独递交的开标一览表（报价表）为准；</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2.4.3投标文件中开标一览表（报价表）内容与投标文件中相应内容不一致的，以开标一览表（报价表）为准；</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2.4.4大写金额和小写金额不一致的，以大写金额为准；</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2.4.5单价金额小数点或者百分比有明显错位的，以开标一览表的总价为准，并修改单价；</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2.4.6总价金额与按单价汇总金额不一致的，以单价金额计算结果为准。</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2.4.7同时出现两种以上不一致的，按照前款规定的顺序修正。修正后的报价经投标人书面确认后产生约束力，投标人不确认的，其</w:t>
      </w:r>
      <w:r>
        <w:rPr>
          <w:rFonts w:hint="eastAsia" w:ascii="宋体" w:hAnsi="宋体" w:cs="宋体"/>
          <w:b/>
          <w:bCs/>
          <w:color w:val="000000"/>
          <w:szCs w:val="21"/>
        </w:rPr>
        <w:t xml:space="preserve">投标无效</w:t>
      </w:r>
      <w:r>
        <w:rPr>
          <w:rFonts w:hint="eastAsia" w:ascii="宋体" w:hAnsi="宋体" w:cs="宋体"/>
          <w:color w:val="000000"/>
          <w:szCs w:val="21"/>
        </w:rPr>
        <w:t xml:space="preserve">。</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2.5.1对于未预留份额专门面向中小企业采购的采购项目，以及预留份额项目中的非预留部分采购包，对</w:t>
      </w:r>
      <w:r>
        <w:rPr>
          <w:rFonts w:hint="eastAsia" w:ascii="宋体" w:hAnsi="宋体" w:cs="宋体"/>
          <w:b/>
          <w:bCs/>
          <w:color w:val="000000"/>
          <w:szCs w:val="21"/>
        </w:rPr>
        <w:t xml:space="preserve">小微企业</w:t>
      </w:r>
      <w:r>
        <w:rPr>
          <w:rFonts w:hint="eastAsia" w:ascii="宋体" w:hAnsi="宋体" w:cs="宋体"/>
          <w:color w:val="000000"/>
          <w:szCs w:val="21"/>
        </w:rPr>
        <w:t xml:space="preserve">报价给予</w:t>
      </w:r>
      <w:r>
        <w:rPr>
          <w:rFonts w:hint="eastAsia" w:ascii="宋体" w:hAnsi="宋体" w:cs="宋体"/>
          <w:b/>
          <w:bCs/>
          <w:color w:val="000000"/>
          <w:szCs w:val="21"/>
        </w:rPr>
        <w:t xml:space="preserve">20%</w:t>
      </w:r>
      <w:r>
        <w:rPr>
          <w:rFonts w:hint="eastAsia" w:ascii="宋体" w:hAnsi="宋体" w:cs="宋体"/>
          <w:color w:val="000000"/>
          <w:szCs w:val="21"/>
        </w:rPr>
        <w:t xml:space="preserve">的扣除，用扣除后的价格参加评审。</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2.5.2对于未预留份额专门面向中小企业采购的采购项目，以及预留份额项目中的非预留部分采购包，且接受大中型企业与</w:t>
      </w:r>
      <w:r>
        <w:rPr>
          <w:rFonts w:hint="eastAsia" w:ascii="宋体" w:hAnsi="宋体" w:cs="宋体"/>
          <w:b/>
          <w:bCs/>
          <w:color w:val="000000"/>
          <w:szCs w:val="21"/>
        </w:rPr>
        <w:t xml:space="preserve">小微企业</w:t>
      </w:r>
      <w:r>
        <w:rPr>
          <w:rFonts w:hint="eastAsia" w:ascii="宋体" w:hAnsi="宋体" w:cs="宋体"/>
          <w:color w:val="000000"/>
          <w:szCs w:val="21"/>
        </w:rPr>
        <w:t xml:space="preserve">组成联合体或者允许大中型企业向一家或者多家</w:t>
      </w:r>
      <w:r>
        <w:rPr>
          <w:rFonts w:hint="eastAsia" w:ascii="宋体" w:hAnsi="宋体" w:cs="宋体"/>
          <w:b/>
          <w:bCs/>
          <w:color w:val="000000"/>
          <w:szCs w:val="21"/>
        </w:rPr>
        <w:t xml:space="preserve">小微企业</w:t>
      </w:r>
      <w:r>
        <w:rPr>
          <w:rFonts w:hint="eastAsia" w:ascii="宋体" w:hAnsi="宋体" w:cs="宋体"/>
          <w:color w:val="000000"/>
          <w:szCs w:val="21"/>
        </w:rPr>
        <w:t xml:space="preserve">分包的采购项目，对于联合协议或者分包意向协议约定</w:t>
      </w:r>
      <w:r>
        <w:rPr>
          <w:rFonts w:hint="eastAsia" w:ascii="宋体" w:hAnsi="宋体" w:cs="宋体"/>
          <w:b/>
          <w:bCs/>
          <w:color w:val="000000"/>
          <w:szCs w:val="21"/>
        </w:rPr>
        <w:t xml:space="preserve">小微企业</w:t>
      </w:r>
      <w:r>
        <w:rPr>
          <w:rFonts w:hint="eastAsia" w:ascii="宋体" w:hAnsi="宋体" w:cs="宋体"/>
          <w:color w:val="000000"/>
          <w:szCs w:val="21"/>
        </w:rPr>
        <w:t xml:space="preserve">的合同份额占到合同总金额30%以上的联合体或者大中型企业的报价给予3%的扣除，用扣除后的价格参加评审。</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2.5.3组成联合体或者接受分包的小微企业与联合体内其他企业、分包企业之间存在直接控股、管理关系的，不享受价格扣除优惠政策。</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2.5.4价格扣除比例对小型企业和微型企业同等对待，不作区分。</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2.5.5中小企业参加政府采购活动，应当按照招标文件给定的格式出具《中小企业声明函》，否则不得享受相关中小企业扶持政策。</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2.5.6监狱企业提供了由省级以上监狱管理局（常州市含教育矫治局）、戒毒管理局（含新疆生产建设兵团）出具的属于监狱企业的证明文件的，视同小微企业。</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rPr>
        <w:t xml:space="preserve">2.5.7残疾人福利性单位按招标文件要求提供了《残疾人福利性单位声明函》（见附件）的，视</w:t>
      </w:r>
      <w:r>
        <w:rPr>
          <w:rFonts w:hint="eastAsia" w:ascii="宋体" w:hAnsi="宋体" w:cs="宋体"/>
          <w:color w:val="000000"/>
          <w:szCs w:val="21"/>
          <w:highlight w:val="none"/>
        </w:rPr>
        <w:t xml:space="preserve">同小微企业。</w:t>
      </w:r>
      <w:r>
        <w:rPr>
          <w:rFonts w:hint="eastAsia" w:ascii="宋体" w:hAnsi="宋体" w:cs="宋体"/>
          <w:color w:val="000000"/>
          <w:szCs w:val="21"/>
          <w:highlight w:val="none"/>
        </w:rPr>
      </w:r>
      <w:r/>
    </w:p>
    <w:p>
      <w:pPr>
        <w:pStyle w:val="1048"/>
        <w:ind w:firstLine="42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2.5.8若投标人同时属于小型或微型企业、监狱企业、残疾人福利性单位中的两种及以上，将</w:t>
      </w:r>
      <w:r>
        <w:rPr>
          <w:rFonts w:hint="eastAsia" w:ascii="宋体" w:hAnsi="宋体" w:eastAsia="宋体" w:cs="宋体"/>
          <w:color w:val="000000"/>
          <w:szCs w:val="21"/>
          <w:highlight w:val="none"/>
        </w:rPr>
        <w:t xml:space="preserve">不重复享受小微企业价格扣减的优惠政策。</w:t>
      </w:r>
      <w:r>
        <w:rPr>
          <w:rFonts w:hint="eastAsia" w:ascii="宋体" w:hAnsi="宋体" w:eastAsia="宋体" w:cs="宋体"/>
          <w:color w:val="000000"/>
          <w:szCs w:val="21"/>
          <w:highlight w:val="none"/>
        </w:rPr>
      </w:r>
      <w:r/>
    </w:p>
    <w:p>
      <w:pPr>
        <w:pStyle w:val="1048"/>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2.6异常低价审查</w:t>
      </w:r>
      <w:r>
        <w:rPr>
          <w:rFonts w:hint="eastAsia" w:ascii="宋体" w:hAnsi="宋体" w:eastAsia="宋体" w:cs="宋体"/>
          <w:b/>
          <w:bCs/>
          <w:color w:val="000000"/>
          <w:szCs w:val="21"/>
          <w:highlight w:val="none"/>
          <w:lang w:val="en-US" w:eastAsia="zh-CN"/>
        </w:rPr>
      </w:r>
      <w:r/>
    </w:p>
    <w:p>
      <w:pPr>
        <w:pStyle w:val="1048"/>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（一）政府采购评审中出现下列情形之一的，评审委员会应当启动异常低价投标审查程序：</w:t>
      </w:r>
      <w:r>
        <w:rPr>
          <w:rFonts w:hint="eastAsia" w:ascii="宋体" w:hAnsi="宋体" w:eastAsia="宋体" w:cs="宋体"/>
          <w:b/>
          <w:bCs/>
          <w:color w:val="000000"/>
          <w:szCs w:val="21"/>
          <w:highlight w:val="none"/>
          <w:lang w:val="en-US" w:eastAsia="zh-CN"/>
        </w:rPr>
      </w:r>
      <w:r/>
    </w:p>
    <w:p>
      <w:pPr>
        <w:pStyle w:val="1048"/>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2.6.1投标报价低于全部通过符合性审查供应商投标报价平均值50%的，即投标报价&lt;全部通过符合性审查供应商投标报价平均值×50%；</w:t>
      </w:r>
      <w:r>
        <w:rPr>
          <w:rFonts w:hint="eastAsia" w:ascii="宋体" w:hAnsi="宋体" w:eastAsia="宋体" w:cs="宋体"/>
          <w:b/>
          <w:bCs/>
          <w:color w:val="000000"/>
          <w:sz w:val="21"/>
          <w:szCs w:val="21"/>
          <w:highlight w:val="none"/>
          <w:lang w:val="en-US" w:eastAsia="zh-CN"/>
        </w:rPr>
      </w:r>
      <w:r/>
    </w:p>
    <w:p>
      <w:pPr>
        <w:pStyle w:val="1048"/>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2.6.2投标报价低于通过符合性审查的次低报价供应商投标报价50%的，即投标报价&lt;通过符合性审查的次低报价供应商投标报价×50%；</w:t>
      </w:r>
      <w:r>
        <w:rPr>
          <w:rFonts w:hint="eastAsia" w:ascii="宋体" w:hAnsi="宋体" w:eastAsia="宋体" w:cs="宋体"/>
          <w:b/>
          <w:bCs/>
          <w:color w:val="000000"/>
          <w:sz w:val="21"/>
          <w:szCs w:val="21"/>
          <w:highlight w:val="none"/>
          <w:lang w:val="en-US" w:eastAsia="zh-CN"/>
        </w:rPr>
      </w:r>
      <w:r/>
    </w:p>
    <w:p>
      <w:pPr>
        <w:pStyle w:val="1048"/>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2.6.3投标报价低于采购项目最高限价45%的，即投标报价&lt;采购项目最高限价×45%；</w:t>
      </w:r>
      <w:r>
        <w:rPr>
          <w:rFonts w:hint="eastAsia" w:ascii="宋体" w:hAnsi="宋体" w:eastAsia="宋体" w:cs="宋体"/>
          <w:b/>
          <w:bCs/>
          <w:color w:val="000000"/>
          <w:sz w:val="21"/>
          <w:szCs w:val="21"/>
          <w:highlight w:val="none"/>
          <w:lang w:val="en-US" w:eastAsia="zh-CN"/>
        </w:rPr>
      </w:r>
      <w:r/>
    </w:p>
    <w:p>
      <w:pPr>
        <w:pStyle w:val="1048"/>
        <w:numPr>
          <w:ilvl w:val="0"/>
          <w:numId w:val="0"/>
        </w:numPr>
        <w:ind w:firstLine="422"/>
        <w:spacing w:line="360" w:lineRule="auto"/>
        <w:tabs>
          <w:tab w:val="left" w:pos="1080"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2.6.4评审委员会基于专业判断，认为供应商报价过低，有可能影响产品质量或者不能诚信履约的其他情形。</w:t>
      </w:r>
      <w:r>
        <w:rPr>
          <w:rFonts w:hint="eastAsia" w:ascii="宋体" w:hAnsi="宋体" w:eastAsia="宋体" w:cs="宋体"/>
          <w:b/>
          <w:bCs/>
          <w:color w:val="000000"/>
          <w:sz w:val="21"/>
          <w:szCs w:val="21"/>
          <w:highlight w:val="none"/>
          <w:lang w:val="en-US" w:eastAsia="zh-CN"/>
        </w:rPr>
      </w:r>
      <w:r/>
    </w:p>
    <w:p>
      <w:pPr>
        <w:pStyle w:val="1048"/>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二）评审委员会启动异常低价投标审查后，属于前述2.6.1项至2.6.4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2.6.3情形，供应商已随投标文件一并提交相关书面说明及必要的证明材料的，在评审现场可不再重复提交。</w:t>
      </w:r>
      <w:r>
        <w:rPr>
          <w:rFonts w:ascii="宋体" w:hAnsi="宋体" w:eastAsia="宋体" w:cs="宋体"/>
          <w:b/>
          <w:bCs/>
          <w:color w:val="000000"/>
          <w:sz w:val="21"/>
          <w:szCs w:val="21"/>
          <w:highlight w:val="none"/>
          <w:lang w:val="en-US" w:eastAsia="zh-CN"/>
        </w:rPr>
      </w:r>
      <w:r/>
    </w:p>
    <w:p>
      <w:pPr>
        <w:pStyle w:val="1048"/>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宋体" w:hAnsi="宋体" w:eastAsia="宋体" w:cs="宋体"/>
          <w:b/>
          <w:bCs/>
          <w:color w:val="000000"/>
          <w:sz w:val="21"/>
          <w:szCs w:val="21"/>
          <w:highlight w:val="none"/>
          <w:lang w:val="en-US" w:eastAsia="zh-CN"/>
        </w:rPr>
      </w:r>
      <w:r/>
    </w:p>
    <w:p>
      <w:pPr>
        <w:pStyle w:val="1048"/>
        <w:numPr>
          <w:ilvl w:val="0"/>
          <w:numId w:val="0"/>
        </w:numPr>
        <w:ind w:firstLine="422"/>
        <w:spacing w:line="360" w:lineRule="auto"/>
        <w:tabs>
          <w:tab w:val="left" w:pos="1080" w:leader="none"/>
        </w:tabs>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（四）异常低价投标审查的启动原因、审查意见和审查结果应当在评审报告中记录，并随供应商提供的相关书面说明及证明材料，以及评审委员会有关互联网浏览、查询历史一并归档。</w:t>
      </w:r>
      <w:r>
        <w:rPr>
          <w:rFonts w:ascii="宋体" w:hAnsi="宋体" w:eastAsia="宋体" w:cs="宋体"/>
          <w:b/>
          <w:bCs/>
          <w:color w:val="000000"/>
          <w:sz w:val="21"/>
          <w:szCs w:val="21"/>
          <w:highlight w:val="none"/>
          <w:lang w:val="en-US" w:eastAsia="zh-CN"/>
        </w:rPr>
      </w:r>
      <w:r/>
    </w:p>
    <w:p>
      <w:pPr>
        <w:pStyle w:val="1048"/>
        <w:numPr>
          <w:ilvl w:val="0"/>
          <w:numId w:val="0"/>
        </w:numPr>
        <w:ind w:firstLine="422"/>
        <w:spacing w:line="360" w:lineRule="auto"/>
        <w:tabs>
          <w:tab w:val="left" w:pos="108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2.7政府采购中实施本国产品标准及相关政策</w:t>
      </w:r>
      <w:r>
        <w:rPr>
          <w:rFonts w:hint="eastAsia" w:ascii="宋体" w:hAnsi="宋体" w:eastAsia="宋体" w:cs="宋体"/>
          <w:b/>
          <w:bCs/>
          <w:color w:val="000000"/>
          <w:szCs w:val="21"/>
          <w:highlight w:val="none"/>
          <w:lang w:val="en-US" w:eastAsia="zh-CN"/>
        </w:rPr>
      </w:r>
      <w:r/>
    </w:p>
    <w:p>
      <w:pPr>
        <w:pStyle w:val="1113"/>
        <w:ind w:firstLine="420"/>
        <w:spacing w:before="0" w:beforeAutospacing="0" w:after="0" w:afterAutospacing="0" w:line="360" w:lineRule="auto"/>
        <w:shd w:val="clear" w:color="auto" w:fill="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2.7.1当采购项目中既有本国产品又有非本国产品参与竞争的，供应商为该采购项目提供的符合本国产品标准的产品成本之和占该供应商提供的全部产品成本之和的比例达到80%以上时</w:t>
      </w:r>
      <w:r>
        <w:rPr>
          <w:rFonts w:hint="eastAsia" w:ascii="宋体" w:hAnsi="宋体" w:eastAsia="宋体" w:cs="宋体"/>
          <w:b/>
          <w:bCs/>
          <w:color w:val="ff0000"/>
          <w:sz w:val="21"/>
          <w:szCs w:val="21"/>
          <w:highlight w:val="none"/>
          <w:lang w:val="en-US" w:eastAsia="zh-CN" w:bidi="ar-SA"/>
        </w:rPr>
        <w:t xml:space="preserve">（财政部会同有关行业主管部门，分产品确定在中国境内生产的组件成本占比应当达到的规定比例。在分产品的中国境内生产的组件</w:t>
      </w:r>
      <w:r>
        <w:rPr>
          <w:rFonts w:hint="eastAsia" w:ascii="宋体" w:hAnsi="宋体" w:eastAsia="宋体" w:cs="宋体"/>
          <w:b/>
          <w:bCs/>
          <w:color w:val="ff0000"/>
          <w:sz w:val="21"/>
          <w:szCs w:val="21"/>
          <w:highlight w:val="none"/>
          <w:lang w:val="en-US" w:eastAsia="zh-CN" w:bidi="ar-SA"/>
        </w:rPr>
        <w:t xml:space="preserve">成本占比相关要求实施前，符合产品在中国境内生产，即在中华人民共和国关境内实现从原材料、组件到产品的属性改变的产品在政府采购活动中视同本国产品。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w:t>
      </w:r>
      <w:r>
        <w:rPr>
          <w:rFonts w:hint="eastAsia" w:ascii="宋体" w:hAnsi="宋体" w:eastAsia="宋体" w:cs="宋体"/>
          <w:b/>
          <w:bCs/>
          <w:color w:val="000000"/>
          <w:sz w:val="21"/>
          <w:szCs w:val="21"/>
          <w:highlight w:val="none"/>
          <w:lang w:val="en-US" w:eastAsia="zh-CN" w:bidi="ar-SA"/>
        </w:rPr>
        <w:t xml:space="preserve">，依法对该供应商提供的全部产品的总报价给予20%的价格扣除，用扣除后的价格参与评审。供应商未填写比例数值，或比例数值未达到80%的，将不享受本国产品价格评审优惠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bCs/>
          <w:color w:val="ff0000"/>
          <w:sz w:val="21"/>
          <w:szCs w:val="21"/>
          <w:highlight w:val="none"/>
          <w:lang w:val="en-US" w:eastAsia="zh-CN" w:bidi="ar-SA"/>
        </w:rPr>
        <w:t xml:space="preserve">（供应商需在“投标分项报价表”中填写比例数值）。</w:t>
      </w:r>
      <w:r>
        <w:rPr>
          <w:rFonts w:hint="eastAsia" w:ascii="宋体" w:hAnsi="宋体" w:eastAsia="宋体" w:cs="宋体"/>
          <w:b/>
          <w:bCs/>
          <w:color w:val="000000"/>
          <w:sz w:val="21"/>
          <w:szCs w:val="21"/>
          <w:highlight w:val="none"/>
          <w:lang w:val="en-US" w:eastAsia="zh-CN" w:bidi="ar-SA"/>
        </w:rPr>
      </w:r>
      <w:r/>
    </w:p>
    <w:p>
      <w:pPr>
        <w:pStyle w:val="1048"/>
        <w:ind w:firstLine="480"/>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2.7.2供应商需按照招标文件的要求提供《关于符合本国产品标准的声明函》（以下简称《声明函》），如不提供将不享受本国产品价格评审优惠。</w:t>
      </w:r>
      <w:r>
        <w:rPr>
          <w:rFonts w:hint="eastAsia" w:ascii="宋体" w:hAnsi="宋体" w:eastAsia="宋体" w:cs="宋体"/>
          <w:b/>
          <w:bCs/>
          <w:color w:val="000000"/>
          <w:sz w:val="21"/>
          <w:szCs w:val="21"/>
          <w:highlight w:val="none"/>
          <w:lang w:val="en-US" w:eastAsia="zh-CN" w:bidi="ar-SA"/>
        </w:rPr>
      </w:r>
      <w:r/>
    </w:p>
    <w:p>
      <w:pPr>
        <w:pStyle w:val="1048"/>
        <w:ind w:firstLine="480"/>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2.7.3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bCs/>
          <w:color w:val="000000"/>
          <w:sz w:val="21"/>
          <w:szCs w:val="21"/>
          <w:highlight w:val="none"/>
          <w:lang w:val="en-US" w:eastAsia="zh-CN" w:bidi="ar-SA"/>
        </w:rPr>
      </w:r>
      <w:r/>
    </w:p>
    <w:p>
      <w:pPr>
        <w:pStyle w:val="1048"/>
        <w:numPr>
          <w:ilvl w:val="0"/>
          <w:numId w:val="0"/>
        </w:numPr>
        <w:ind w:firstLine="422"/>
        <w:spacing w:line="360" w:lineRule="auto"/>
        <w:tabs>
          <w:tab w:val="left" w:pos="1080" w:leader="none"/>
          <w:tab w:val="left" w:pos="1589" w:leader="none"/>
          <w:tab w:val="left" w:pos="2014" w:leader="none"/>
        </w:tabs>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2.7.4评标过程中，如发现供应商在《声明函》内容含义不明确、同类事项与投标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eastAsia="宋体" w:cs="宋体"/>
          <w:b/>
          <w:bCs/>
          <w:color w:val="000000"/>
          <w:sz w:val="21"/>
          <w:szCs w:val="21"/>
          <w:highlight w:val="none"/>
          <w:lang w:val="en-US" w:eastAsia="zh-CN"/>
        </w:rPr>
      </w:r>
      <w:r/>
    </w:p>
    <w:p>
      <w:pPr>
        <w:pStyle w:val="1048"/>
        <w:spacing w:line="360" w:lineRule="auto"/>
        <w:tabs>
          <w:tab w:val="left" w:pos="360" w:leader="none"/>
        </w:tabs>
        <w:rPr>
          <w:rFonts w:hint="eastAsia" w:ascii="宋体" w:hAnsi="宋体" w:cs="宋体"/>
          <w:b/>
          <w:bCs/>
          <w:color w:val="000000"/>
          <w:szCs w:val="21"/>
          <w:highlight w:val="none"/>
        </w:rPr>
        <w:outlineLvl w:val="1"/>
      </w:pPr>
      <w:r>
        <w:rPr>
          <w:rFonts w:hint="eastAsia" w:ascii="宋体" w:hAnsi="宋体" w:cs="宋体"/>
          <w:b/>
          <w:bCs/>
          <w:color w:val="000000"/>
          <w:szCs w:val="21"/>
          <w:highlight w:val="none"/>
        </w:rPr>
        <w:t xml:space="preserve">3.投标文件的比较和评价</w:t>
      </w:r>
      <w:bookmarkEnd w:id="636"/>
      <w:r/>
      <w:bookmarkEnd w:id="637"/>
      <w:r>
        <w:rPr>
          <w:rFonts w:hint="eastAsia" w:ascii="宋体" w:hAnsi="宋体" w:cs="宋体"/>
          <w:b/>
          <w:bCs/>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3.2评标方法和评标标准</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3.2.1本项目采用的评标方法为：</w:t>
      </w:r>
      <w:r>
        <w:rPr>
          <w:rFonts w:hint="eastAsia" w:ascii="宋体" w:hAnsi="宋体" w:cs="宋体"/>
          <w:color w:val="000000"/>
          <w:szCs w:val="21"/>
          <w:highlight w:val="none"/>
        </w:rPr>
      </w:r>
      <w:r/>
    </w:p>
    <w:p>
      <w:pPr>
        <w:pStyle w:val="1048"/>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ascii="Wingdings 2" w:hAnsi="Wingdings 2" w:eastAsia="Wingdings 2" w:cs="Wingdings 2"/>
          <w:color w:val="000000"/>
          <w:szCs w:val="21"/>
          <w:highlight w:val="none"/>
        </w:rPr>
        <w:t xml:space="preserve">£</w:t>
      </w:r>
      <w:r>
        <w:rPr>
          <w:rFonts w:hint="eastAsia" w:ascii="宋体" w:hAnsi="宋体" w:cs="宋体"/>
          <w:color w:val="000000"/>
          <w:szCs w:val="21"/>
          <w:highlight w:val="none"/>
        </w:rPr>
        <w:t xml:space="preserve">最低评标价法，指投标文件满足招标文件全部实质性要求，且投标报价最低的投标人为中标候选人的评标方法。</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bCs/>
          <w:color w:val="000000"/>
          <w:szCs w:val="21"/>
          <w:highlight w:val="none"/>
        </w:rPr>
        <w:t xml:space="preserve">投标无效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□随机抽取</w:t>
      </w:r>
      <w:r>
        <w:rPr>
          <w:rFonts w:hint="eastAsia" w:ascii="宋体" w:hAnsi="宋体" w:cs="宋体"/>
          <w:color w:val="000000"/>
          <w:szCs w:val="21"/>
          <w:highlight w:val="none"/>
        </w:rPr>
      </w:r>
      <w:r/>
    </w:p>
    <w:p>
      <w:pPr>
        <w:pStyle w:val="104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□其他方式，具体要求：</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3.2.3非政府强制采购的节能产品或环境标志产品，依据品目清单和认证证书实施政府优先采购。优先采购的具体规定（如涉及）</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3.2.4关于无线局域网认证产品政府采购清单中的产品，优先采购的具体规定（如涉及）</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rPr>
          <w:rFonts w:hint="eastAsia" w:ascii="宋体" w:hAnsi="宋体" w:cs="宋体"/>
          <w:color w:val="000000"/>
          <w:szCs w:val="21"/>
        </w:rPr>
      </w:r>
      <w:r/>
    </w:p>
    <w:p>
      <w:pPr>
        <w:pStyle w:val="1048"/>
        <w:spacing w:line="360" w:lineRule="auto"/>
        <w:tabs>
          <w:tab w:val="left" w:pos="360" w:leader="none"/>
        </w:tabs>
        <w:rPr>
          <w:rFonts w:hint="eastAsia" w:ascii="宋体" w:hAnsi="宋体" w:cs="宋体"/>
          <w:b/>
          <w:bCs/>
          <w:color w:val="000000"/>
          <w:szCs w:val="21"/>
        </w:rPr>
        <w:outlineLvl w:val="1"/>
      </w:pPr>
      <w:r>
        <w:rPr>
          <w:rFonts w:hint="eastAsia" w:ascii="宋体" w:hAnsi="宋体" w:cs="宋体"/>
          <w:b/>
          <w:bCs/>
          <w:color w:val="000000"/>
          <w:szCs w:val="21"/>
        </w:rPr>
        <w:t xml:space="preserve">4.确定</w:t>
      </w:r>
      <w:bookmarkStart w:id="653" w:name="_Toc149720839"/>
      <w:r/>
      <w:bookmarkStart w:id="654" w:name="_Toc127161460"/>
      <w:r/>
      <w:bookmarkStart w:id="655" w:name="_Toc150480784"/>
      <w:r/>
      <w:bookmarkStart w:id="656" w:name="_Toc151193860"/>
      <w:r/>
      <w:bookmarkStart w:id="657" w:name="_Toc151193934"/>
      <w:r/>
      <w:bookmarkStart w:id="658" w:name="_Toc305158888"/>
      <w:r/>
      <w:bookmarkStart w:id="659" w:name="_Toc151193716"/>
      <w:r/>
      <w:bookmarkStart w:id="660" w:name="_Toc164229241"/>
      <w:r/>
      <w:bookmarkStart w:id="661" w:name="_Toc226965819"/>
      <w:r/>
      <w:bookmarkStart w:id="662" w:name="_Toc150774646"/>
      <w:r/>
      <w:bookmarkStart w:id="663" w:name="_Toc150509297"/>
      <w:r/>
      <w:bookmarkStart w:id="664" w:name="_Toc226309790"/>
      <w:r/>
      <w:bookmarkStart w:id="665" w:name="_Toc164608815"/>
      <w:r/>
      <w:bookmarkStart w:id="666" w:name="_Toc164229387"/>
      <w:r/>
      <w:bookmarkStart w:id="667" w:name="_Toc151193788"/>
      <w:r/>
      <w:bookmarkStart w:id="668" w:name="_Toc520356170"/>
      <w:r/>
      <w:bookmarkStart w:id="669" w:name="_Toc264969236"/>
      <w:r/>
      <w:bookmarkStart w:id="670" w:name="_Toc127151747"/>
      <w:r/>
      <w:bookmarkStart w:id="671" w:name="_Ref467307010"/>
      <w:r/>
      <w:bookmarkStart w:id="672" w:name="_Toc265228384"/>
      <w:r/>
      <w:bookmarkStart w:id="673" w:name="_Toc195842911"/>
      <w:r/>
      <w:bookmarkStart w:id="674" w:name="_Toc226965736"/>
      <w:r/>
      <w:bookmarkStart w:id="675" w:name="_Toc226337242"/>
      <w:r/>
      <w:bookmarkStart w:id="676" w:name="_Toc150774751"/>
      <w:r/>
      <w:bookmarkStart w:id="677" w:name="_Toc164608660"/>
      <w:r/>
      <w:bookmarkStart w:id="678" w:name="_Toc151190173"/>
      <w:r/>
      <w:bookmarkStart w:id="679" w:name="_Toc127151546"/>
      <w:r/>
      <w:bookmarkStart w:id="680" w:name="_Toc142311048"/>
      <w:r/>
      <w:bookmarkStart w:id="681" w:name="_Toc164351640"/>
      <w:r/>
      <w:bookmarkStart w:id="682" w:name="_Toc305158814"/>
      <w:r/>
      <w:bookmarkStart w:id="683" w:name="_Toc151193644"/>
      <w:r>
        <w:rPr>
          <w:rFonts w:hint="eastAsia" w:ascii="宋体" w:hAnsi="宋体" w:cs="宋体"/>
          <w:b/>
          <w:bCs/>
          <w:color w:val="000000"/>
          <w:szCs w:val="21"/>
        </w:rPr>
        <w:t xml:space="preserve">中标候选人名单</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rPr>
          <w:rFonts w:hint="eastAsia" w:ascii="宋体" w:hAnsi="宋体" w:cs="宋体"/>
          <w:b/>
          <w:bCs/>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Cs w:val="21"/>
        </w:rPr>
      </w:r>
      <w:r/>
    </w:p>
    <w:p>
      <w:pPr>
        <w:pStyle w:val="1048"/>
        <w:ind w:firstLine="422"/>
        <w:spacing w:line="360" w:lineRule="auto"/>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color w:val="000000"/>
          <w:szCs w:val="21"/>
        </w:rPr>
        <w:t xml:space="preserve">随机抽取</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□其他方式，具体要求：</w:t>
      </w:r>
      <w:r>
        <w:rPr>
          <w:rFonts w:hint="eastAsia" w:ascii="宋体" w:hAnsi="宋体" w:cs="宋体"/>
          <w:color w:val="000000"/>
          <w:szCs w:val="21"/>
          <w:u w:val="single"/>
        </w:rPr>
        <w:t xml:space="preserve">   /  </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4.3采用最低评标价法时，评标结果按本章2.4、2.5调整后的投标报价由低到高顺序排列。投标报价相同的并列。投标文件满足招标文件全部实质性要求且投标报价最低的投标人为排名第一的中标候选人。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4.4评标委员会要对评分汇总情况进行复核，特别是对排名第一的、报价最低的、投标或响应文件被认定为无效的情形进行重点复核。</w:t>
      </w:r>
      <w:r>
        <w:rPr>
          <w:rFonts w:hint="eastAsia" w:ascii="宋体" w:hAnsi="宋体" w:cs="宋体"/>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4.5评标委员会将根据各投标人的评标排序，依次推荐本项目（各采购包）的中标候选人，起草并签署评标报告。本项目（各采购包）评标委员会共（各）推荐不少于3名中标候选人。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Cs w:val="21"/>
        </w:rPr>
      </w:r>
      <w:r/>
    </w:p>
    <w:p>
      <w:pPr>
        <w:pStyle w:val="1048"/>
        <w:spacing w:line="360" w:lineRule="auto"/>
        <w:rPr>
          <w:rFonts w:hint="eastAsia" w:ascii="宋体" w:hAnsi="宋体" w:cs="宋体"/>
          <w:b/>
          <w:bCs/>
          <w:color w:val="000000"/>
          <w:szCs w:val="21"/>
        </w:rPr>
      </w:pPr>
      <w:r>
        <w:rPr>
          <w:rFonts w:hint="eastAsia" w:ascii="宋体" w:hAnsi="宋体" w:cs="宋体"/>
          <w:b/>
          <w:bCs/>
          <w:color w:val="000000"/>
          <w:szCs w:val="21"/>
        </w:rPr>
        <w:t xml:space="preserve">5.报告违法行为</w:t>
      </w:r>
      <w:r>
        <w:rPr>
          <w:rFonts w:hint="eastAsia" w:ascii="宋体" w:hAnsi="宋体" w:cs="宋体"/>
          <w:b/>
          <w:bCs/>
          <w:color w:val="000000"/>
          <w:szCs w:val="21"/>
        </w:rPr>
      </w:r>
      <w:r/>
    </w:p>
    <w:p>
      <w:pPr>
        <w:pStyle w:val="1048"/>
        <w:ind w:firstLine="420"/>
        <w:spacing w:line="360" w:lineRule="auto"/>
        <w:rPr>
          <w:rFonts w:hint="eastAsia" w:ascii="宋体" w:hAnsi="宋体" w:cs="宋体"/>
          <w:color w:val="000000"/>
          <w:szCs w:val="21"/>
        </w:rPr>
      </w:pPr>
      <w:r>
        <w:rPr>
          <w:rFonts w:hint="eastAsia" w:ascii="宋体" w:hAnsi="宋体" w:cs="宋体"/>
          <w:color w:val="000000"/>
          <w:szCs w:val="21"/>
        </w:rPr>
        <w:t xml:space="preserve">5.1评标委员会在评标过程中发现投标人有行贿、提供虚假材料或者串通等违法行为时，有向采购人、采购代理机构或者有关部门报告的职责。</w:t>
      </w:r>
      <w:r>
        <w:rPr>
          <w:rFonts w:hint="eastAsia" w:ascii="宋体" w:hAnsi="宋体" w:cs="宋体"/>
          <w:color w:val="000000"/>
          <w:szCs w:val="21"/>
        </w:rPr>
      </w:r>
      <w:r/>
    </w:p>
    <w:p>
      <w:pPr>
        <w:pStyle w:val="1048"/>
        <w:jc w:val="center"/>
        <w:widowControl/>
        <w:rPr>
          <w:rFonts w:ascii="Times New Roman" w:hAnsi="Times New Roman" w:eastAsia="宋体"/>
          <w:color w:val="000000"/>
          <w:sz w:val="28"/>
          <w:szCs w:val="28"/>
        </w:rPr>
      </w:pPr>
      <w:r>
        <w:rPr>
          <w:b/>
          <w:color w:val="000000"/>
          <w:sz w:val="24"/>
        </w:rPr>
        <w:br w:type="page" w:clear="all"/>
      </w:r>
      <w:r>
        <w:rPr>
          <w:rFonts w:hint="eastAsia" w:ascii="Times New Roman" w:hAnsi="Times New Roman" w:eastAsia="宋体"/>
          <w:b/>
          <w:color w:val="000000"/>
          <w:sz w:val="28"/>
          <w:szCs w:val="28"/>
          <w:lang w:val="en-US" w:eastAsia="zh-CN" w:bidi="ar-SA"/>
        </w:rPr>
        <w:t xml:space="preserve">二、</w:t>
      </w:r>
      <w:r>
        <w:rPr>
          <w:rFonts w:ascii="Times New Roman" w:hAnsi="Times New Roman" w:eastAsia="宋体"/>
          <w:color w:val="000000"/>
          <w:sz w:val="28"/>
          <w:szCs w:val="28"/>
        </w:rPr>
        <w:t xml:space="preserve">评标标准</w:t>
      </w:r>
      <w:r>
        <w:rPr>
          <w:rFonts w:ascii="Times New Roman" w:hAnsi="Times New Roman" w:eastAsia="宋体"/>
          <w:color w:val="000000"/>
          <w:sz w:val="28"/>
          <w:szCs w:val="28"/>
        </w:rPr>
      </w:r>
      <w:r/>
    </w:p>
    <w:tbl>
      <w:tblPr>
        <w:tblW w:w="95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316"/>
        <w:gridCol w:w="777"/>
        <w:gridCol w:w="4368"/>
        <w:gridCol w:w="2433"/>
      </w:tblGrid>
      <w:tr>
        <w:trPr>
          <w:trHeight w:val="90"/>
        </w:trPr>
        <w:tc>
          <w:tcPr>
            <w:tcW w:w="704" w:type="dxa"/>
            <w:vAlign w:val="center"/>
            <w:textDirection w:val="lrTb"/>
            <w:noWrap w:val="false"/>
          </w:tcPr>
          <w:p>
            <w:pPr>
              <w:pStyle w:val="1048"/>
              <w:ind w:firstLine="28"/>
              <w:jc w:val="center"/>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1316" w:type="dxa"/>
            <w:vAlign w:val="center"/>
            <w:textDirection w:val="lrTb"/>
            <w:noWrap w:val="false"/>
          </w:tcPr>
          <w:p>
            <w:pPr>
              <w:pStyle w:val="1048"/>
              <w:ind w:firstLine="28"/>
              <w:jc w:val="center"/>
              <w:rPr>
                <w:rFonts w:hint="eastAsia" w:ascii="宋体" w:hAnsi="宋体" w:cs="宋体"/>
                <w:b/>
                <w:color w:val="000000"/>
                <w:szCs w:val="21"/>
              </w:rPr>
            </w:pPr>
            <w:r>
              <w:rPr>
                <w:rFonts w:hint="eastAsia" w:ascii="宋体" w:hAnsi="宋体" w:cs="宋体"/>
                <w:b/>
                <w:color w:val="000000"/>
                <w:szCs w:val="21"/>
              </w:rPr>
              <w:t xml:space="preserve">评分因素</w:t>
            </w:r>
            <w:r>
              <w:rPr>
                <w:rFonts w:hint="eastAsia" w:ascii="宋体" w:hAnsi="宋体" w:cs="宋体"/>
                <w:b/>
                <w:color w:val="000000"/>
                <w:szCs w:val="21"/>
              </w:rPr>
            </w:r>
            <w:r/>
          </w:p>
        </w:tc>
        <w:tc>
          <w:tcPr>
            <w:tcW w:w="777" w:type="dxa"/>
            <w:vAlign w:val="center"/>
            <w:textDirection w:val="lrTb"/>
            <w:noWrap w:val="false"/>
          </w:tcPr>
          <w:p>
            <w:pPr>
              <w:pStyle w:val="1048"/>
              <w:ind w:firstLine="28"/>
              <w:jc w:val="center"/>
              <w:rPr>
                <w:rFonts w:hint="eastAsia" w:ascii="宋体" w:hAnsi="宋体" w:cs="宋体"/>
                <w:b/>
                <w:color w:val="000000"/>
                <w:szCs w:val="21"/>
              </w:rPr>
            </w:pPr>
            <w:r>
              <w:rPr>
                <w:rFonts w:hint="eastAsia" w:ascii="宋体" w:hAnsi="宋体" w:cs="宋体"/>
                <w:b/>
                <w:color w:val="000000"/>
                <w:szCs w:val="21"/>
              </w:rPr>
              <w:t xml:space="preserve">分值</w:t>
            </w:r>
            <w:r>
              <w:rPr>
                <w:rFonts w:hint="eastAsia" w:ascii="宋体" w:hAnsi="宋体" w:cs="宋体"/>
                <w:b/>
                <w:color w:val="000000"/>
                <w:szCs w:val="21"/>
              </w:rPr>
            </w:r>
            <w:r/>
          </w:p>
        </w:tc>
        <w:tc>
          <w:tcPr>
            <w:tcW w:w="4368" w:type="dxa"/>
            <w:vAlign w:val="center"/>
            <w:textDirection w:val="lrTb"/>
            <w:noWrap w:val="false"/>
          </w:tcPr>
          <w:p>
            <w:pPr>
              <w:pStyle w:val="1048"/>
              <w:ind w:firstLine="28"/>
              <w:jc w:val="center"/>
              <w:rPr>
                <w:rFonts w:hint="eastAsia" w:ascii="宋体" w:hAnsi="宋体" w:cs="宋体"/>
                <w:b/>
                <w:color w:val="000000"/>
                <w:szCs w:val="21"/>
              </w:rPr>
            </w:pPr>
            <w:r>
              <w:rPr>
                <w:rFonts w:hint="eastAsia" w:ascii="宋体" w:hAnsi="宋体" w:cs="宋体"/>
                <w:b/>
                <w:color w:val="000000"/>
                <w:szCs w:val="21"/>
              </w:rPr>
              <w:t xml:space="preserve">评分标准</w:t>
            </w:r>
            <w:r>
              <w:rPr>
                <w:rFonts w:hint="eastAsia" w:ascii="宋体" w:hAnsi="宋体" w:cs="宋体"/>
                <w:b/>
                <w:color w:val="000000"/>
                <w:szCs w:val="21"/>
              </w:rPr>
            </w:r>
            <w:r/>
          </w:p>
        </w:tc>
        <w:tc>
          <w:tcPr>
            <w:tcW w:w="2433" w:type="dxa"/>
            <w:vAlign w:val="center"/>
            <w:textDirection w:val="lrTb"/>
            <w:noWrap w:val="false"/>
          </w:tcPr>
          <w:p>
            <w:pPr>
              <w:pStyle w:val="1299"/>
              <w:spacing w:before="0"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w:t>
            </w:r>
            <w:r>
              <w:rPr>
                <w:rFonts w:hint="eastAsia" w:ascii="宋体" w:hAnsi="宋体" w:eastAsia="宋体" w:cs="宋体"/>
                <w:color w:val="000000"/>
                <w:sz w:val="21"/>
                <w:szCs w:val="21"/>
              </w:rPr>
            </w:r>
            <w:r/>
          </w:p>
        </w:tc>
      </w:tr>
      <w:tr>
        <w:trPr>
          <w:trHeight w:val="90"/>
        </w:trPr>
        <w:tc>
          <w:tcPr>
            <w:tcW w:w="704" w:type="dxa"/>
            <w:vAlign w:val="center"/>
            <w:textDirection w:val="lrTb"/>
            <w:noWrap w:val="false"/>
          </w:tcPr>
          <w:p>
            <w:pPr>
              <w:pStyle w:val="1048"/>
              <w:ind w:firstLine="28"/>
              <w:jc w:val="center"/>
              <w:keepLines w:val="0"/>
              <w:keepNext w:val="0"/>
              <w:pageBreakBefore w:val="0"/>
              <w:spacing w:line="300" w:lineRule="exact"/>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1</w:t>
            </w:r>
            <w:r>
              <w:rPr>
                <w:rFonts w:hint="eastAsia" w:ascii="宋体" w:hAnsi="宋体" w:cs="宋体"/>
                <w:b/>
                <w:color w:val="000000"/>
                <w:szCs w:val="21"/>
                <w:highlight w:val="none"/>
              </w:rPr>
            </w:r>
            <w:r/>
          </w:p>
        </w:tc>
        <w:tc>
          <w:tcPr>
            <w:tcW w:w="1316" w:type="dxa"/>
            <w:vAlign w:val="center"/>
            <w:textDirection w:val="lrTb"/>
            <w:noWrap w:val="false"/>
          </w:tcPr>
          <w:p>
            <w:pPr>
              <w:pStyle w:val="1048"/>
              <w:ind w:firstLine="28"/>
              <w:jc w:val="center"/>
              <w:keepLines w:val="0"/>
              <w:keepNext w:val="0"/>
              <w:pageBreakBefore w:val="0"/>
              <w:spacing w:line="300" w:lineRule="exact"/>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价格分</w:t>
            </w:r>
            <w:r>
              <w:rPr>
                <w:rFonts w:hint="eastAsia" w:ascii="宋体" w:hAnsi="宋体" w:cs="宋体"/>
                <w:b/>
                <w:color w:val="000000"/>
                <w:szCs w:val="21"/>
                <w:highlight w:val="none"/>
              </w:rPr>
            </w:r>
            <w:r/>
          </w:p>
        </w:tc>
        <w:tc>
          <w:tcPr>
            <w:tcW w:w="777" w:type="dxa"/>
            <w:vAlign w:val="center"/>
            <w:textDirection w:val="lrTb"/>
            <w:noWrap w:val="false"/>
          </w:tcPr>
          <w:p>
            <w:pPr>
              <w:pStyle w:val="1048"/>
              <w:ind w:firstLine="28"/>
              <w:jc w:val="center"/>
              <w:keepLines w:val="0"/>
              <w:keepNext w:val="0"/>
              <w:pageBreakBefore w:val="0"/>
              <w:spacing w:line="300" w:lineRule="exact"/>
              <w:widowControl w:val="off"/>
              <w:rPr>
                <w:rFonts w:ascii="宋体" w:hAnsi="宋体" w:eastAsia="宋体" w:cs="宋体"/>
                <w:color w:val="000000"/>
                <w:szCs w:val="21"/>
                <w:highlight w:val="none"/>
                <w:lang w:val="en-US" w:eastAsia="zh-CN"/>
              </w:rPr>
            </w:pPr>
            <w:r>
              <w:rPr>
                <w:rFonts w:hint="eastAsia" w:ascii="宋体" w:hAnsi="宋体" w:cs="宋体"/>
                <w:b/>
                <w:bCs/>
                <w:color w:val="000000"/>
                <w:szCs w:val="21"/>
                <w:highlight w:val="none"/>
                <w:lang w:val="en-US" w:eastAsia="zh-CN"/>
              </w:rPr>
              <w:t xml:space="preserve">50</w:t>
            </w:r>
            <w:r>
              <w:rPr>
                <w:rFonts w:ascii="宋体" w:hAnsi="宋体" w:eastAsia="宋体" w:cs="宋体"/>
                <w:color w:val="000000"/>
                <w:szCs w:val="21"/>
                <w:highlight w:val="none"/>
                <w:lang w:val="en-US" w:eastAsia="zh-CN"/>
              </w:rPr>
            </w:r>
            <w:r/>
          </w:p>
        </w:tc>
        <w:tc>
          <w:tcPr>
            <w:tcW w:w="4368" w:type="dxa"/>
            <w:vAlign w:val="center"/>
            <w:textDirection w:val="lrTb"/>
            <w:noWrap w:val="false"/>
          </w:tcPr>
          <w:p>
            <w:pPr>
              <w:pStyle w:val="1048"/>
              <w:jc w:val="left"/>
              <w:keepLines w:val="0"/>
              <w:keepNext w:val="0"/>
              <w:pageBreakBefore w:val="0"/>
              <w:spacing w:line="3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满足招标文件要求且投标价格最低的投标报价为评标基准价，其价格分为满分。其他投标人的价格分统一按照下列公式计算：</w:t>
            </w:r>
            <w:r>
              <w:rPr>
                <w:rFonts w:hint="eastAsia" w:ascii="宋体" w:hAnsi="宋体" w:cs="宋体"/>
                <w:color w:val="000000"/>
                <w:szCs w:val="21"/>
                <w:highlight w:val="none"/>
              </w:rPr>
            </w:r>
            <w:r/>
          </w:p>
          <w:p>
            <w:pPr>
              <w:pStyle w:val="1048"/>
              <w:jc w:val="left"/>
              <w:keepLines w:val="0"/>
              <w:keepNext w:val="0"/>
              <w:pageBreakBefore w:val="0"/>
              <w:spacing w:line="3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投标报价得分＝（评标基准价/投标报价）×分值。</w:t>
            </w:r>
            <w:r>
              <w:rPr>
                <w:rFonts w:hint="eastAsia" w:ascii="宋体" w:hAnsi="宋体" w:cs="宋体"/>
                <w:color w:val="000000"/>
                <w:szCs w:val="21"/>
                <w:highlight w:val="none"/>
              </w:rPr>
            </w:r>
            <w:r/>
          </w:p>
        </w:tc>
        <w:tc>
          <w:tcPr>
            <w:tcW w:w="2433" w:type="dxa"/>
            <w:vAlign w:val="center"/>
            <w:textDirection w:val="lrTb"/>
            <w:noWrap w:val="false"/>
          </w:tcPr>
          <w:p>
            <w:pPr>
              <w:pStyle w:val="1048"/>
              <w:ind w:left="-38"/>
              <w:keepLines w:val="0"/>
              <w:keepNext w:val="0"/>
              <w:pageBreakBefore w:val="0"/>
              <w:spacing w:line="300" w:lineRule="exact"/>
              <w:widowControl w:val="off"/>
              <w:rPr>
                <w:rFonts w:hint="eastAsia" w:ascii="宋体" w:hAnsi="宋体" w:cs="宋体"/>
                <w:color w:val="000000"/>
                <w:szCs w:val="21"/>
                <w:highlight w:val="none"/>
              </w:rPr>
            </w:pPr>
            <w:r>
              <w:rPr>
                <w:rFonts w:hint="eastAsia" w:ascii="宋体" w:hAnsi="宋体" w:cs="宋体"/>
                <w:b/>
                <w:bCs/>
                <w:color w:val="000000"/>
                <w:szCs w:val="21"/>
                <w:highlight w:val="none"/>
              </w:rPr>
              <w:t xml:space="preserve">此处投标报价指经过报价修正，及因落实政府采购政策进行价格调整后的报价，详见第四章《评标方法和评标标准》2.4及2.5。</w:t>
            </w:r>
            <w:r>
              <w:rPr>
                <w:rFonts w:hint="eastAsia" w:ascii="宋体" w:hAnsi="宋体" w:cs="宋体"/>
                <w:color w:val="000000"/>
                <w:szCs w:val="21"/>
                <w:highlight w:val="none"/>
              </w:rPr>
            </w:r>
            <w:r/>
          </w:p>
        </w:tc>
      </w:tr>
      <w:tr>
        <w:trPr>
          <w:trHeight w:val="90"/>
        </w:trPr>
        <w:tc>
          <w:tcPr>
            <w:tcW w:w="704" w:type="dxa"/>
            <w:vAlign w:val="center"/>
            <w:textDirection w:val="lrTb"/>
            <w:noWrap w:val="false"/>
          </w:tcPr>
          <w:p>
            <w:pPr>
              <w:pStyle w:val="1048"/>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rPr>
            </w:r>
            <w:r/>
          </w:p>
        </w:tc>
        <w:tc>
          <w:tcPr>
            <w:tcW w:w="1316" w:type="dxa"/>
            <w:vAlign w:val="center"/>
            <w:textDirection w:val="lrTb"/>
            <w:noWrap w:val="false"/>
          </w:tcPr>
          <w:p>
            <w:pPr>
              <w:pStyle w:val="1048"/>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主观分</w:t>
            </w:r>
            <w:r>
              <w:rPr>
                <w:rFonts w:hint="eastAsia" w:ascii="宋体" w:hAnsi="宋体" w:cs="宋体"/>
                <w:b/>
                <w:bCs/>
                <w:color w:val="000000"/>
                <w:szCs w:val="21"/>
                <w:highlight w:val="none"/>
              </w:rPr>
            </w:r>
            <w:r/>
          </w:p>
        </w:tc>
        <w:tc>
          <w:tcPr>
            <w:tcW w:w="777" w:type="dxa"/>
            <w:vAlign w:val="center"/>
            <w:textDirection w:val="lrTb"/>
            <w:noWrap w:val="false"/>
          </w:tcPr>
          <w:p>
            <w:pPr>
              <w:pStyle w:val="1048"/>
              <w:ind w:firstLine="28"/>
              <w:jc w:val="center"/>
              <w:rPr>
                <w:rFonts w:ascii="宋体" w:hAnsi="宋体" w:eastAsia="宋体" w:cs="宋体"/>
                <w:color w:val="000000"/>
                <w:szCs w:val="21"/>
                <w:highlight w:val="none"/>
                <w:lang w:val="en-US" w:eastAsia="zh-CN"/>
              </w:rPr>
            </w:pPr>
            <w:r>
              <w:rPr>
                <w:rFonts w:hint="eastAsia" w:ascii="宋体" w:hAnsi="宋体" w:cs="宋体"/>
                <w:b/>
                <w:bCs/>
                <w:color w:val="000000"/>
                <w:szCs w:val="21"/>
                <w:highlight w:val="none"/>
                <w:lang w:val="en-US" w:eastAsia="zh-CN"/>
              </w:rPr>
              <w:t xml:space="preserve">27</w:t>
            </w:r>
            <w:r>
              <w:rPr>
                <w:rFonts w:ascii="宋体" w:hAnsi="宋体" w:eastAsia="宋体" w:cs="宋体"/>
                <w:color w:val="000000"/>
                <w:szCs w:val="21"/>
                <w:highlight w:val="none"/>
                <w:lang w:val="en-US" w:eastAsia="zh-CN"/>
              </w:rPr>
            </w:r>
            <w:r/>
          </w:p>
        </w:tc>
        <w:tc>
          <w:tcPr>
            <w:tcW w:w="4368" w:type="dxa"/>
            <w:vAlign w:val="center"/>
            <w:textDirection w:val="lrTb"/>
            <w:noWrap w:val="false"/>
          </w:tcPr>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tc>
        <w:tc>
          <w:tcPr>
            <w:tcW w:w="2433" w:type="dxa"/>
            <w:vAlign w:val="center"/>
            <w:textDirection w:val="lrTb"/>
            <w:noWrap w:val="false"/>
          </w:tcPr>
          <w:p>
            <w:pPr>
              <w:pStyle w:val="1048"/>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0"/>
        </w:trPr>
        <w:tc>
          <w:tcPr>
            <w:tcW w:w="704" w:type="dxa"/>
            <w:vAlign w:val="center"/>
            <w:textDirection w:val="lrTb"/>
            <w:noWrap w:val="false"/>
          </w:tcPr>
          <w:p>
            <w:pPr>
              <w:pStyle w:val="1048"/>
              <w:jc w:val="center"/>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2.1</w:t>
            </w:r>
            <w:r>
              <w:rPr>
                <w:rFonts w:hint="eastAsia" w:ascii="宋体" w:hAnsi="宋体" w:eastAsia="宋体" w:cs="宋体"/>
                <w:color w:val="000000"/>
                <w:sz w:val="21"/>
                <w:szCs w:val="21"/>
                <w:highlight w:val="none"/>
                <w:lang w:val="en-US" w:eastAsia="zh-CN" w:bidi="ar-SA"/>
              </w:rPr>
            </w:r>
            <w:r/>
          </w:p>
        </w:tc>
        <w:tc>
          <w:tcPr>
            <w:tcW w:w="1316" w:type="dxa"/>
            <w:vAlign w:val="center"/>
            <w:textDirection w:val="lrTb"/>
            <w:noWrap w:val="false"/>
          </w:tcPr>
          <w:p>
            <w:pPr>
              <w:pStyle w:val="1048"/>
              <w:jc w:val="center"/>
              <w:keepLines w:val="0"/>
              <w:keepNext w:val="0"/>
              <w:pageBreakBefore w:val="0"/>
              <w:spacing w:line="300" w:lineRule="exact"/>
              <w:widowControl w:val="off"/>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总体实施方案</w:t>
            </w:r>
            <w:r>
              <w:rPr>
                <w:rFonts w:hint="eastAsia" w:ascii="宋体" w:hAnsi="宋体" w:eastAsia="宋体" w:cs="宋体"/>
                <w:color w:val="000000"/>
                <w:szCs w:val="21"/>
                <w:highlight w:val="none"/>
                <w:lang w:val="zh-CN" w:eastAsia="zh-CN"/>
              </w:rPr>
            </w:r>
            <w:r/>
          </w:p>
        </w:tc>
        <w:tc>
          <w:tcPr>
            <w:tcW w:w="777" w:type="dxa"/>
            <w:vAlign w:val="center"/>
            <w:textDirection w:val="lrTb"/>
            <w:noWrap w:val="false"/>
          </w:tcPr>
          <w:p>
            <w:pPr>
              <w:pStyle w:val="1048"/>
              <w:jc w:val="center"/>
              <w:keepLines w:val="0"/>
              <w:keepNext w:val="0"/>
              <w:pageBreakBefore w:val="0"/>
              <w:spacing w:line="30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ascii="宋体" w:hAnsi="宋体" w:eastAsia="宋体" w:cs="宋体"/>
                <w:color w:val="000000"/>
                <w:szCs w:val="21"/>
                <w:highlight w:val="none"/>
                <w:lang w:val="en-US" w:eastAsia="zh-CN"/>
              </w:rPr>
            </w:r>
            <w:r/>
          </w:p>
        </w:tc>
        <w:tc>
          <w:tcPr>
            <w:tcW w:w="4368" w:type="dxa"/>
            <w:vAlign w:val="center"/>
            <w:textDirection w:val="lrTb"/>
            <w:noWrap w:val="false"/>
          </w:tcPr>
          <w:p>
            <w:pPr>
              <w:pStyle w:val="1048"/>
              <w:numPr>
                <w:ilvl w:val="0"/>
                <w:numId w:val="0"/>
              </w:numPr>
              <w:jc w:val="left"/>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eastAsia="zh-CN"/>
              </w:rPr>
              <w:t xml:space="preserve">评标委员会根据投标人针对现场实际情况以及招标文件要求提供的</w:t>
            </w:r>
            <w:r>
              <w:rPr>
                <w:rFonts w:hint="eastAsia" w:ascii="宋体" w:hAnsi="宋体" w:eastAsia="宋体" w:cs="宋体"/>
                <w:color w:val="000000"/>
                <w:szCs w:val="21"/>
                <w:highlight w:val="none"/>
                <w:lang w:val="en-US" w:eastAsia="zh-CN"/>
              </w:rPr>
              <w:t xml:space="preserve">总体实施方案（包括但不限于方案需求、技术方案设计、施工安装、验收、实施计划及进度安排等）进行综合评审。</w:t>
            </w:r>
            <w:r>
              <w:rPr>
                <w:rFonts w:hint="eastAsia" w:ascii="宋体" w:hAnsi="宋体" w:eastAsia="宋体" w:cs="宋体"/>
                <w:color w:val="000000"/>
                <w:sz w:val="21"/>
                <w:szCs w:val="21"/>
                <w:highlight w:val="none"/>
                <w:lang w:val="en-US" w:eastAsia="zh-CN" w:bidi="ar-SA"/>
              </w:rPr>
            </w:r>
            <w:r/>
          </w:p>
          <w:p>
            <w:pPr>
              <w:pStyle w:val="1048"/>
              <w:numPr>
                <w:ilvl w:val="0"/>
                <w:numId w:val="0"/>
              </w:numPr>
              <w:jc w:val="left"/>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（1）总体实施方案内容完整、进度计划安排合理的，得9分；</w:t>
            </w:r>
            <w:r>
              <w:rPr>
                <w:rFonts w:hint="eastAsia" w:ascii="宋体" w:hAnsi="宋体" w:eastAsia="宋体" w:cs="宋体"/>
                <w:color w:val="000000"/>
                <w:sz w:val="21"/>
                <w:szCs w:val="21"/>
                <w:highlight w:val="none"/>
                <w:lang w:val="en-US" w:eastAsia="zh-CN" w:bidi="ar-SA"/>
              </w:rPr>
            </w:r>
            <w:r/>
          </w:p>
          <w:p>
            <w:pPr>
              <w:pStyle w:val="1048"/>
              <w:numPr>
                <w:ilvl w:val="0"/>
                <w:numId w:val="0"/>
              </w:numPr>
              <w:jc w:val="left"/>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（2）总体实施方案内容较完整、进度计划安排较合理的，得6分；</w:t>
            </w:r>
            <w:r>
              <w:rPr>
                <w:rFonts w:hint="eastAsia" w:ascii="宋体" w:hAnsi="宋体" w:eastAsia="宋体" w:cs="宋体"/>
                <w:color w:val="000000"/>
                <w:sz w:val="21"/>
                <w:szCs w:val="21"/>
                <w:highlight w:val="none"/>
                <w:lang w:val="en-US" w:eastAsia="zh-CN" w:bidi="ar-SA"/>
              </w:rPr>
            </w:r>
            <w:r/>
          </w:p>
          <w:p>
            <w:pPr>
              <w:pStyle w:val="1048"/>
              <w:numPr>
                <w:ilvl w:val="0"/>
                <w:numId w:val="0"/>
              </w:numPr>
              <w:jc w:val="left"/>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（3）总体实施方案内容一般、进度计划安排一般的，得4分；</w:t>
            </w:r>
            <w:r>
              <w:rPr>
                <w:rFonts w:hint="eastAsia" w:ascii="宋体" w:hAnsi="宋体" w:eastAsia="宋体" w:cs="宋体"/>
                <w:color w:val="000000"/>
                <w:sz w:val="21"/>
                <w:szCs w:val="21"/>
                <w:highlight w:val="none"/>
                <w:lang w:val="en-US" w:eastAsia="zh-CN" w:bidi="ar-SA"/>
              </w:rPr>
            </w:r>
            <w:r/>
          </w:p>
          <w:p>
            <w:pPr>
              <w:pStyle w:val="1048"/>
              <w:numPr>
                <w:ilvl w:val="0"/>
                <w:numId w:val="0"/>
              </w:numPr>
              <w:jc w:val="left"/>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（4）总体实施方案内容、进度计划安排较差的，得1分；</w:t>
            </w:r>
            <w:r>
              <w:rPr>
                <w:rFonts w:hint="eastAsia" w:ascii="宋体" w:hAnsi="宋体" w:eastAsia="宋体" w:cs="宋体"/>
                <w:color w:val="000000"/>
                <w:sz w:val="21"/>
                <w:szCs w:val="21"/>
                <w:highlight w:val="none"/>
                <w:lang w:val="en-US" w:eastAsia="zh-CN" w:bidi="ar-SA"/>
              </w:rPr>
            </w:r>
            <w:r/>
          </w:p>
          <w:p>
            <w:pPr>
              <w:pStyle w:val="1048"/>
              <w:numPr>
                <w:ilvl w:val="0"/>
                <w:numId w:val="0"/>
              </w:numPr>
              <w:jc w:val="left"/>
              <w:keepLines w:val="0"/>
              <w:keepNext w:val="0"/>
              <w:pageBreakBefore w:val="0"/>
              <w:spacing w:line="30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 w:val="21"/>
                <w:szCs w:val="21"/>
                <w:highlight w:val="none"/>
                <w:lang w:val="en-US" w:eastAsia="zh-CN" w:bidi="ar-SA"/>
              </w:rPr>
              <w:t xml:space="preserve">（5）未提供不得分。</w:t>
            </w:r>
            <w:r>
              <w:rPr>
                <w:rFonts w:hint="eastAsia" w:ascii="宋体" w:hAnsi="宋体" w:eastAsia="宋体" w:cs="宋体"/>
                <w:color w:val="000000"/>
                <w:szCs w:val="21"/>
                <w:highlight w:val="none"/>
                <w:lang w:eastAsia="zh-CN"/>
              </w:rPr>
            </w:r>
            <w:r/>
          </w:p>
        </w:tc>
        <w:tc>
          <w:tcPr>
            <w:tcW w:w="2433" w:type="dxa"/>
            <w:vAlign w:val="center"/>
            <w:textDirection w:val="lrTb"/>
            <w:noWrap w:val="false"/>
          </w:tcPr>
          <w:p>
            <w:pPr>
              <w:pStyle w:val="1048"/>
              <w:ind w:left="-38"/>
              <w:jc w:val="center"/>
              <w:keepLines w:val="0"/>
              <w:keepNext w:val="0"/>
              <w:pageBreakBefore w:val="0"/>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2074"/>
        </w:trPr>
        <w:tc>
          <w:tcPr>
            <w:tcW w:w="704" w:type="dxa"/>
            <w:vAlign w:val="center"/>
            <w:textDirection w:val="lrTb"/>
            <w:noWrap w:val="false"/>
          </w:tcPr>
          <w:p>
            <w:pPr>
              <w:pStyle w:val="1048"/>
              <w:ind w:firstLine="28"/>
              <w:jc w:val="center"/>
              <w:keepLines w:val="0"/>
              <w:keepNext w:val="0"/>
              <w:pageBreakBefore w:val="0"/>
              <w:spacing w:line="300" w:lineRule="exact"/>
              <w:widowControl w:val="off"/>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2.2</w:t>
            </w:r>
            <w:r>
              <w:rPr>
                <w:rFonts w:ascii="宋体" w:hAnsi="宋体" w:eastAsia="宋体" w:cs="宋体"/>
                <w:color w:val="000000"/>
                <w:szCs w:val="21"/>
                <w:highlight w:val="none"/>
                <w:lang w:val="en-US" w:eastAsia="zh-CN"/>
              </w:rPr>
            </w:r>
            <w:r/>
          </w:p>
        </w:tc>
        <w:tc>
          <w:tcPr>
            <w:tcW w:w="1316" w:type="dxa"/>
            <w:vAlign w:val="center"/>
            <w:textDirection w:val="lrTb"/>
            <w:noWrap w:val="false"/>
          </w:tcPr>
          <w:p>
            <w:pPr>
              <w:pStyle w:val="1048"/>
              <w:jc w:val="center"/>
              <w:keepLines w:val="0"/>
              <w:keepNext w:val="0"/>
              <w:pageBreakBefore w:val="0"/>
              <w:spacing w:line="30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突发事件应急处理预案</w:t>
            </w:r>
            <w:r>
              <w:rPr>
                <w:rFonts w:hint="eastAsia" w:ascii="宋体" w:hAnsi="宋体" w:eastAsia="宋体" w:cs="宋体"/>
                <w:color w:val="000000"/>
                <w:szCs w:val="21"/>
                <w:highlight w:val="none"/>
                <w:lang w:val="en-US" w:eastAsia="zh-CN"/>
              </w:rPr>
            </w:r>
            <w:r/>
          </w:p>
        </w:tc>
        <w:tc>
          <w:tcPr>
            <w:tcW w:w="777" w:type="dxa"/>
            <w:vAlign w:val="center"/>
            <w:textDirection w:val="lrTb"/>
            <w:noWrap w:val="false"/>
          </w:tcPr>
          <w:p>
            <w:pPr>
              <w:pStyle w:val="1048"/>
              <w:jc w:val="center"/>
              <w:keepLines w:val="0"/>
              <w:keepNext w:val="0"/>
              <w:pageBreakBefore w:val="0"/>
              <w:spacing w:line="30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c>
          <w:tcPr>
            <w:tcW w:w="4368" w:type="dxa"/>
            <w:vAlign w:val="center"/>
            <w:textDirection w:val="lrTb"/>
            <w:noWrap w:val="false"/>
          </w:tcPr>
          <w:p>
            <w:pPr>
              <w:pStyle w:val="1048"/>
              <w:jc w:val="left"/>
              <w:keepLines w:val="0"/>
              <w:keepNext w:val="0"/>
              <w:pageBreakBefore w:val="0"/>
              <w:spacing w:line="3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评标委员会根据投标人提供的应急预案（包括但不限于突发事件的响应速度、资源调度、处置措施、风险防范等）</w:t>
            </w:r>
            <w:r>
              <w:rPr>
                <w:rFonts w:hint="eastAsia" w:ascii="宋体" w:hAnsi="宋体" w:eastAsia="宋体" w:cs="宋体"/>
                <w:color w:val="000000"/>
                <w:szCs w:val="21"/>
                <w:highlight w:val="none"/>
              </w:rPr>
              <w:t xml:space="preserve">进行综合评审。</w:t>
            </w:r>
            <w:r>
              <w:rPr>
                <w:rFonts w:hint="eastAsia" w:ascii="宋体" w:hAnsi="宋体" w:eastAsia="宋体" w:cs="宋体"/>
                <w:color w:val="000000"/>
                <w:szCs w:val="21"/>
                <w:highlight w:val="none"/>
              </w:rPr>
            </w:r>
            <w:r/>
          </w:p>
          <w:p>
            <w:pPr>
              <w:pStyle w:val="1048"/>
              <w:jc w:val="left"/>
              <w:keepLines w:val="0"/>
              <w:keepNext w:val="0"/>
              <w:pageBreakBefore w:val="0"/>
              <w:spacing w:line="30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（1）突发事件应急处理预案全面、准确、可操作性强的，得8分；</w:t>
            </w:r>
            <w:r>
              <w:rPr>
                <w:rFonts w:hint="eastAsia" w:ascii="宋体" w:hAnsi="宋体" w:eastAsia="宋体" w:cs="宋体"/>
                <w:color w:val="000000"/>
                <w:szCs w:val="21"/>
                <w:highlight w:val="none"/>
                <w:lang w:val="en-US" w:eastAsia="zh-CN"/>
              </w:rPr>
            </w:r>
            <w:r/>
          </w:p>
          <w:p>
            <w:pPr>
              <w:pStyle w:val="1048"/>
              <w:jc w:val="left"/>
              <w:keepLines w:val="0"/>
              <w:keepNext w:val="0"/>
              <w:pageBreakBefore w:val="0"/>
              <w:spacing w:line="30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（2）突发事件应急处理预案较全面、较准确、可操作性较强的，得5分；</w:t>
            </w:r>
            <w:r>
              <w:rPr>
                <w:rFonts w:hint="eastAsia" w:ascii="宋体" w:hAnsi="宋体" w:eastAsia="宋体" w:cs="宋体"/>
                <w:color w:val="000000"/>
                <w:szCs w:val="21"/>
                <w:highlight w:val="none"/>
                <w:lang w:val="en-US" w:eastAsia="zh-CN"/>
              </w:rPr>
            </w:r>
            <w:r/>
          </w:p>
          <w:p>
            <w:pPr>
              <w:pStyle w:val="1048"/>
              <w:jc w:val="left"/>
              <w:keepLines w:val="0"/>
              <w:keepNext w:val="0"/>
              <w:pageBreakBefore w:val="0"/>
              <w:spacing w:line="30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（3）突发事件应急处理预案基本准确，可操作性一般的，得3分；</w:t>
            </w:r>
            <w:r>
              <w:rPr>
                <w:rFonts w:hint="eastAsia" w:ascii="宋体" w:hAnsi="宋体" w:eastAsia="宋体" w:cs="宋体"/>
                <w:color w:val="000000"/>
                <w:szCs w:val="21"/>
                <w:highlight w:val="none"/>
                <w:lang w:val="en-US" w:eastAsia="zh-CN"/>
              </w:rPr>
            </w:r>
            <w:r/>
          </w:p>
          <w:p>
            <w:pPr>
              <w:pStyle w:val="1048"/>
              <w:jc w:val="left"/>
              <w:keepLines w:val="0"/>
              <w:keepNext w:val="0"/>
              <w:pageBreakBefore w:val="0"/>
              <w:spacing w:line="30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（4）突发事件应急处理预案全面性和准确性有欠缺，可操作性差的，得1分；</w:t>
            </w:r>
            <w:r>
              <w:rPr>
                <w:rFonts w:hint="eastAsia" w:ascii="宋体" w:hAnsi="宋体" w:eastAsia="宋体" w:cs="宋体"/>
                <w:color w:val="000000"/>
                <w:szCs w:val="21"/>
                <w:highlight w:val="none"/>
                <w:lang w:val="en-US" w:eastAsia="zh-CN"/>
              </w:rPr>
            </w:r>
            <w:r/>
          </w:p>
          <w:p>
            <w:pPr>
              <w:pStyle w:val="1048"/>
              <w:jc w:val="left"/>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（5）未提供不得分。</w:t>
            </w:r>
            <w:r>
              <w:rPr>
                <w:rFonts w:hint="eastAsia" w:ascii="宋体" w:hAnsi="宋体" w:eastAsia="宋体" w:cs="宋体"/>
                <w:color w:val="000000"/>
                <w:sz w:val="21"/>
                <w:szCs w:val="21"/>
                <w:highlight w:val="none"/>
                <w:lang w:val="en-US" w:eastAsia="zh-CN" w:bidi="ar-SA"/>
              </w:rPr>
            </w:r>
            <w:r/>
          </w:p>
        </w:tc>
        <w:tc>
          <w:tcPr>
            <w:tcW w:w="2433" w:type="dxa"/>
            <w:vAlign w:val="center"/>
            <w:textDirection w:val="lrTb"/>
            <w:noWrap w:val="false"/>
          </w:tcPr>
          <w:p>
            <w:pPr>
              <w:pStyle w:val="1048"/>
              <w:ind w:left="-38"/>
              <w:jc w:val="center"/>
              <w:keepLines w:val="0"/>
              <w:keepNext w:val="0"/>
              <w:pageBreakBefore w:val="0"/>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90"/>
        </w:trPr>
        <w:tc>
          <w:tcPr>
            <w:tcW w:w="704" w:type="dxa"/>
            <w:vAlign w:val="center"/>
            <w:textDirection w:val="lrTb"/>
            <w:noWrap w:val="false"/>
          </w:tcPr>
          <w:p>
            <w:pPr>
              <w:pStyle w:val="1048"/>
              <w:ind w:firstLine="28"/>
              <w:jc w:val="center"/>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1316" w:type="dxa"/>
            <w:vAlign w:val="center"/>
            <w:textDirection w:val="lrTb"/>
            <w:noWrap w:val="false"/>
          </w:tcPr>
          <w:p>
            <w:pPr>
              <w:pStyle w:val="1048"/>
              <w:jc w:val="center"/>
              <w:keepLines w:val="0"/>
              <w:keepNext w:val="0"/>
              <w:pageBreakBefore w:val="0"/>
              <w:spacing w:line="30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售后服务方案</w:t>
            </w:r>
            <w:r>
              <w:rPr>
                <w:rFonts w:hint="eastAsia" w:ascii="宋体" w:hAnsi="宋体" w:eastAsia="宋体" w:cs="宋体"/>
                <w:color w:val="000000"/>
                <w:szCs w:val="21"/>
                <w:highlight w:val="none"/>
                <w:lang w:eastAsia="zh-CN"/>
              </w:rPr>
            </w:r>
            <w:r/>
          </w:p>
        </w:tc>
        <w:tc>
          <w:tcPr>
            <w:tcW w:w="777" w:type="dxa"/>
            <w:vAlign w:val="center"/>
            <w:textDirection w:val="lrTb"/>
            <w:noWrap w:val="false"/>
          </w:tcPr>
          <w:p>
            <w:pPr>
              <w:pStyle w:val="1048"/>
              <w:jc w:val="center"/>
              <w:keepLines w:val="0"/>
              <w:keepNext w:val="0"/>
              <w:pageBreakBefore w:val="0"/>
              <w:spacing w:line="300" w:lineRule="exact"/>
              <w:widowControl w:val="off"/>
              <w:rPr>
                <w:rFonts w:ascii="宋体" w:hAnsi="宋体" w:eastAsia="宋体" w:cs="宋体"/>
                <w:color w:val="000000"/>
                <w:szCs w:val="21"/>
                <w:highlight w:val="none"/>
                <w:lang w:val="en-US"/>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Cs w:val="21"/>
                <w:highlight w:val="none"/>
                <w:lang w:val="en-US"/>
              </w:rPr>
            </w:r>
            <w:r/>
          </w:p>
        </w:tc>
        <w:tc>
          <w:tcPr>
            <w:tcW w:w="4368" w:type="dxa"/>
            <w:vAlign w:val="center"/>
            <w:textDirection w:val="lrTb"/>
            <w:noWrap w:val="false"/>
          </w:tcPr>
          <w:p>
            <w:pPr>
              <w:pStyle w:val="1048"/>
              <w:jc w:val="left"/>
              <w:keepLines w:val="0"/>
              <w:keepNext w:val="0"/>
              <w:pageBreakBefore w:val="0"/>
              <w:spacing w:line="3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评标委员会根据投标人提供的售后服务方案（包括</w:t>
            </w:r>
            <w:r>
              <w:rPr>
                <w:rFonts w:hint="eastAsia" w:ascii="宋体" w:hAnsi="宋体" w:eastAsia="宋体" w:cs="宋体"/>
                <w:color w:val="000000"/>
                <w:szCs w:val="21"/>
                <w:highlight w:val="none"/>
                <w:lang w:val="en-US" w:eastAsia="zh-CN"/>
              </w:rPr>
              <w:t xml:space="preserve">但不限于</w:t>
            </w:r>
            <w:r>
              <w:rPr>
                <w:rFonts w:hint="eastAsia" w:ascii="宋体" w:hAnsi="宋体" w:eastAsia="宋体" w:cs="宋体"/>
                <w:color w:val="000000"/>
                <w:szCs w:val="21"/>
                <w:highlight w:val="none"/>
              </w:rPr>
              <w:t xml:space="preserve">技术支持与设备维护服务内容、服务响应方式</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故障分级、响应及时性、驻场人员分工、备品备件方案等）进行综合评审。</w:t>
            </w:r>
            <w:r>
              <w:rPr>
                <w:rFonts w:hint="eastAsia" w:ascii="宋体" w:hAnsi="宋体" w:eastAsia="宋体" w:cs="宋体"/>
                <w:color w:val="000000"/>
                <w:szCs w:val="21"/>
                <w:highlight w:val="none"/>
              </w:rPr>
            </w:r>
            <w:r/>
          </w:p>
          <w:p>
            <w:pPr>
              <w:pStyle w:val="1048"/>
              <w:keepLines w:val="0"/>
              <w:keepNext w:val="0"/>
              <w:pageBreakBefore w:val="0"/>
              <w:spacing w:line="3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售后服务方案完整</w:t>
            </w:r>
            <w:r>
              <w:rPr>
                <w:rFonts w:hint="eastAsia" w:ascii="宋体" w:hAnsi="宋体" w:eastAsia="宋体" w:cs="宋体"/>
                <w:color w:val="000000"/>
                <w:szCs w:val="21"/>
                <w:highlight w:val="none"/>
                <w:lang w:val="en-US" w:eastAsia="zh-CN"/>
              </w:rPr>
              <w:t xml:space="preserve">且</w:t>
            </w:r>
            <w:r>
              <w:rPr>
                <w:rFonts w:hint="eastAsia" w:ascii="宋体" w:hAnsi="宋体" w:eastAsia="宋体" w:cs="宋体"/>
                <w:color w:val="000000"/>
                <w:szCs w:val="21"/>
                <w:highlight w:val="none"/>
              </w:rPr>
              <w:t xml:space="preserve">合理，可行性高的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48"/>
              <w:keepLines w:val="0"/>
              <w:keepNext w:val="0"/>
              <w:pageBreakBefore w:val="0"/>
              <w:spacing w:line="3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售后服务方案较为完整合理，可行性较高的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得</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p>
            <w:pPr>
              <w:pStyle w:val="1048"/>
              <w:keepLines w:val="0"/>
              <w:keepNext w:val="0"/>
              <w:pageBreakBefore w:val="0"/>
              <w:spacing w:line="30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售后服务方案</w:t>
            </w:r>
            <w:r>
              <w:rPr>
                <w:rFonts w:hint="eastAsia" w:ascii="宋体" w:hAnsi="宋体" w:eastAsia="宋体" w:cs="宋体"/>
                <w:color w:val="000000"/>
                <w:szCs w:val="21"/>
                <w:highlight w:val="none"/>
                <w:lang w:val="en-US" w:eastAsia="zh-CN"/>
              </w:rPr>
              <w:t xml:space="preserve">基本满足采购人售后要求的，得4分；</w:t>
            </w:r>
            <w:r>
              <w:rPr>
                <w:rFonts w:ascii="宋体" w:hAnsi="宋体" w:eastAsia="宋体" w:cs="宋体"/>
                <w:color w:val="000000"/>
                <w:szCs w:val="21"/>
                <w:highlight w:val="none"/>
                <w:lang w:val="en-US" w:eastAsia="zh-CN"/>
              </w:rPr>
            </w:r>
            <w:r/>
          </w:p>
          <w:p>
            <w:pPr>
              <w:pStyle w:val="1048"/>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售后服务方案</w:t>
            </w:r>
            <w:r>
              <w:rPr>
                <w:rFonts w:hint="eastAsia" w:ascii="宋体" w:hAnsi="宋体" w:eastAsia="宋体" w:cs="宋体"/>
                <w:color w:val="000000"/>
                <w:szCs w:val="21"/>
                <w:highlight w:val="none"/>
                <w:lang w:val="en-US" w:eastAsia="zh-CN"/>
              </w:rPr>
              <w:t xml:space="preserve">较差</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不能满足采购人售后要求的，</w:t>
            </w:r>
            <w:r>
              <w:rPr>
                <w:rFonts w:hint="eastAsia" w:ascii="宋体" w:hAnsi="宋体" w:eastAsia="宋体" w:cs="宋体"/>
                <w:color w:val="000000"/>
                <w:szCs w:val="21"/>
                <w:highlight w:val="none"/>
              </w:rPr>
              <w:t xml:space="preserve">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 w:val="21"/>
                <w:szCs w:val="21"/>
                <w:highlight w:val="none"/>
                <w:lang w:val="en-US" w:eastAsia="zh-CN" w:bidi="ar-SA"/>
              </w:rPr>
            </w:r>
            <w:r/>
          </w:p>
          <w:p>
            <w:pPr>
              <w:pStyle w:val="1048"/>
              <w:numPr>
                <w:ilvl w:val="0"/>
                <w:numId w:val="0"/>
              </w:numPr>
              <w:jc w:val="left"/>
              <w:keepLines w:val="0"/>
              <w:keepNext w:val="0"/>
              <w:pageBreakBefore w:val="0"/>
              <w:spacing w:line="30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Cs w:val="21"/>
                <w:highlight w:val="none"/>
              </w:rPr>
              <w:t xml:space="preserve">未提供不得分。</w:t>
            </w:r>
            <w:r>
              <w:rPr>
                <w:rFonts w:hint="eastAsia" w:ascii="宋体" w:hAnsi="宋体" w:eastAsia="宋体" w:cs="宋体"/>
                <w:color w:val="000000"/>
                <w:szCs w:val="21"/>
                <w:highlight w:val="none"/>
              </w:rPr>
            </w:r>
            <w:r/>
          </w:p>
        </w:tc>
        <w:tc>
          <w:tcPr>
            <w:tcW w:w="2433" w:type="dxa"/>
            <w:vAlign w:val="center"/>
            <w:textDirection w:val="lrTb"/>
            <w:noWrap w:val="false"/>
          </w:tcPr>
          <w:p>
            <w:pPr>
              <w:pStyle w:val="1048"/>
              <w:ind w:left="-38"/>
              <w:jc w:val="center"/>
              <w:keepLines w:val="0"/>
              <w:keepNext w:val="0"/>
              <w:pageBreakBefore w:val="0"/>
              <w:spacing w:line="3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r>
            <w:r/>
          </w:p>
        </w:tc>
      </w:tr>
      <w:tr>
        <w:trPr>
          <w:trHeight w:val="90"/>
        </w:trPr>
        <w:tc>
          <w:tcPr>
            <w:tcW w:w="704" w:type="dxa"/>
            <w:vAlign w:val="center"/>
            <w:textDirection w:val="lrTb"/>
            <w:noWrap w:val="false"/>
          </w:tcPr>
          <w:p>
            <w:pPr>
              <w:pStyle w:val="1048"/>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3</w:t>
            </w:r>
            <w:r>
              <w:rPr>
                <w:rFonts w:hint="eastAsia" w:ascii="宋体" w:hAnsi="宋体" w:cs="宋体"/>
                <w:b/>
                <w:bCs/>
                <w:color w:val="000000"/>
                <w:szCs w:val="21"/>
                <w:highlight w:val="none"/>
              </w:rPr>
            </w:r>
            <w:r/>
          </w:p>
        </w:tc>
        <w:tc>
          <w:tcPr>
            <w:tcW w:w="1316" w:type="dxa"/>
            <w:vAlign w:val="center"/>
            <w:textDirection w:val="lrTb"/>
            <w:noWrap w:val="false"/>
          </w:tcPr>
          <w:p>
            <w:pPr>
              <w:pStyle w:val="1048"/>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客观分</w:t>
            </w:r>
            <w:r>
              <w:rPr>
                <w:rFonts w:hint="eastAsia" w:ascii="宋体" w:hAnsi="宋体" w:cs="宋体"/>
                <w:b/>
                <w:bCs/>
                <w:color w:val="000000"/>
                <w:szCs w:val="21"/>
                <w:highlight w:val="none"/>
              </w:rPr>
            </w:r>
            <w:r/>
          </w:p>
        </w:tc>
        <w:tc>
          <w:tcPr>
            <w:tcW w:w="777" w:type="dxa"/>
            <w:vAlign w:val="center"/>
            <w:textDirection w:val="lrTb"/>
            <w:noWrap w:val="false"/>
          </w:tcPr>
          <w:p>
            <w:pPr>
              <w:pStyle w:val="1048"/>
              <w:ind w:firstLine="28"/>
              <w:jc w:val="center"/>
              <w:rPr>
                <w:rFonts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23</w:t>
            </w:r>
            <w:r>
              <w:rPr>
                <w:rFonts w:ascii="宋体" w:hAnsi="宋体" w:eastAsia="宋体" w:cs="宋体"/>
                <w:color w:val="000000"/>
                <w:szCs w:val="21"/>
                <w:highlight w:val="none"/>
                <w:lang w:val="en-US" w:eastAsia="zh-CN"/>
              </w:rPr>
            </w:r>
            <w:r/>
          </w:p>
        </w:tc>
        <w:tc>
          <w:tcPr>
            <w:tcW w:w="4368" w:type="dxa"/>
            <w:vAlign w:val="center"/>
            <w:textDirection w:val="lrTb"/>
            <w:noWrap w:val="false"/>
          </w:tcPr>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tc>
        <w:tc>
          <w:tcPr>
            <w:tcW w:w="2433" w:type="dxa"/>
            <w:vAlign w:val="center"/>
            <w:textDirection w:val="lrTb"/>
            <w:noWrap w:val="false"/>
          </w:tcPr>
          <w:p>
            <w:pPr>
              <w:pStyle w:val="1048"/>
              <w:ind w:left="-38"/>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706"/>
        </w:trPr>
        <w:tc>
          <w:tcPr>
            <w:tcW w:w="704" w:type="dxa"/>
            <w:vAlign w:val="center"/>
            <w:textDirection w:val="lrTb"/>
            <w:noWrap w:val="false"/>
          </w:tcPr>
          <w:p>
            <w:pPr>
              <w:pStyle w:val="1048"/>
              <w:ind w:firstLine="28"/>
              <w:jc w:val="center"/>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val="en-US" w:eastAsia="zh-CN"/>
              </w:rPr>
            </w:r>
            <w:r/>
          </w:p>
        </w:tc>
        <w:tc>
          <w:tcPr>
            <w:tcW w:w="1316" w:type="dxa"/>
            <w:vAlign w:val="center"/>
            <w:textDirection w:val="lrTb"/>
            <w:noWrap w:val="false"/>
          </w:tcPr>
          <w:p>
            <w:pPr>
              <w:pStyle w:val="1048"/>
              <w:ind w:firstLine="28"/>
              <w:jc w:val="center"/>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技术参数及性能</w:t>
            </w:r>
            <w:r>
              <w:rPr>
                <w:rFonts w:hint="eastAsia" w:ascii="宋体" w:hAnsi="宋体" w:eastAsia="宋体" w:cs="宋体"/>
                <w:color w:val="000000"/>
                <w:sz w:val="21"/>
                <w:szCs w:val="21"/>
                <w:highlight w:val="none"/>
                <w:lang w:val="en-US" w:eastAsia="zh-CN"/>
              </w:rPr>
            </w:r>
            <w:r/>
          </w:p>
        </w:tc>
        <w:tc>
          <w:tcPr>
            <w:tcW w:w="777" w:type="dxa"/>
            <w:vAlign w:val="center"/>
            <w:textDirection w:val="lrTb"/>
            <w:noWrap w:val="false"/>
          </w:tcPr>
          <w:p>
            <w:pPr>
              <w:pStyle w:val="1048"/>
              <w:ind w:firstLine="28"/>
              <w:jc w:val="center"/>
              <w:keepLines w:val="0"/>
              <w:keepNext w:val="0"/>
              <w:pageBreakBefore w:val="0"/>
              <w:spacing w:line="30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w:t>
            </w:r>
            <w:r>
              <w:rPr>
                <w:rFonts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048"/>
              <w:ind w:firstLine="0"/>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技术要求的符合性，即对提供货物的技术参数、配置、性能是否符合或优于招标文件要求进行评价。全部符合技术要求的得</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48"/>
              <w:ind w:firstLine="0"/>
              <w:keepLines w:val="0"/>
              <w:keepNext w:val="0"/>
              <w:pageBreakBefore w:val="0"/>
              <w:spacing w:line="3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采购清单中</w:t>
            </w:r>
            <w:r>
              <w:rPr>
                <w:rFonts w:hint="eastAsia" w:ascii="宋体" w:hAnsi="宋体" w:eastAsia="宋体" w:cs="宋体"/>
                <w:color w:val="000000"/>
                <w:sz w:val="21"/>
                <w:szCs w:val="21"/>
                <w:highlight w:val="none"/>
                <w:lang w:val="en-US" w:eastAsia="zh-CN"/>
              </w:rPr>
              <w:t xml:space="preserve">标注</w:t>
            </w:r>
            <w:r>
              <w:rPr>
                <w:rFonts w:hint="eastAsia" w:ascii="宋体" w:hAnsi="宋体" w:eastAsia="宋体" w:cs="宋体"/>
                <w:color w:val="000000"/>
                <w:sz w:val="21"/>
                <w:szCs w:val="21"/>
                <w:highlight w:val="none"/>
              </w:rPr>
              <w:t xml:space="preserve">“▲”参数为重要参数，每有一项负偏离的，扣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扣完为止。</w:t>
            </w:r>
            <w:r>
              <w:rPr>
                <w:rFonts w:hint="eastAsia" w:ascii="宋体" w:hAnsi="宋体" w:eastAsia="宋体" w:cs="宋体"/>
                <w:color w:val="000000"/>
                <w:sz w:val="21"/>
                <w:szCs w:val="21"/>
                <w:highlight w:val="none"/>
              </w:rPr>
            </w:r>
            <w:r/>
          </w:p>
          <w:p>
            <w:pPr>
              <w:pStyle w:val="1048"/>
              <w:numPr>
                <w:ilvl w:val="0"/>
                <w:numId w:val="0"/>
              </w:numPr>
              <w:jc w:val="both"/>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color w:val="000000"/>
                <w:sz w:val="21"/>
                <w:szCs w:val="21"/>
                <w:highlight w:val="none"/>
                <w:lang w:eastAsia="zh-CN"/>
              </w:rPr>
              <w:t xml:space="preserve">注：</w:t>
            </w:r>
            <w:r>
              <w:rPr>
                <w:rFonts w:hint="eastAsia" w:ascii="宋体" w:hAnsi="宋体" w:eastAsia="宋体" w:cs="宋体"/>
                <w:b/>
                <w:color w:val="000000"/>
                <w:sz w:val="21"/>
                <w:szCs w:val="21"/>
                <w:highlight w:val="none"/>
              </w:rPr>
              <w:t xml:space="preserve">其余参数以</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采购需求偏离表</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为准，</w:t>
            </w:r>
            <w:r>
              <w:rPr>
                <w:rFonts w:hint="eastAsia" w:ascii="宋体" w:hAnsi="宋体" w:eastAsia="宋体" w:cs="宋体"/>
                <w:b/>
                <w:color w:val="000000"/>
                <w:sz w:val="21"/>
                <w:szCs w:val="21"/>
                <w:highlight w:val="none"/>
              </w:rPr>
              <w:t xml:space="preserve">签订合同前</w:t>
            </w:r>
            <w:r>
              <w:rPr>
                <w:rFonts w:hint="eastAsia" w:ascii="宋体" w:hAnsi="宋体" w:eastAsia="宋体" w:cs="宋体"/>
                <w:b/>
                <w:color w:val="000000"/>
                <w:sz w:val="21"/>
                <w:szCs w:val="21"/>
                <w:highlight w:val="none"/>
                <w:lang w:val="en-US" w:eastAsia="zh-CN"/>
              </w:rPr>
              <w:t xml:space="preserve">采购人</w:t>
            </w:r>
            <w:r>
              <w:rPr>
                <w:rFonts w:hint="eastAsia" w:ascii="宋体" w:hAnsi="宋体" w:eastAsia="宋体" w:cs="宋体"/>
                <w:b/>
                <w:color w:val="000000"/>
                <w:sz w:val="21"/>
                <w:szCs w:val="21"/>
                <w:highlight w:val="none"/>
              </w:rPr>
              <w:t xml:space="preserve">有权</w:t>
            </w:r>
            <w:r>
              <w:rPr>
                <w:rFonts w:hint="eastAsia" w:ascii="宋体" w:hAnsi="宋体" w:eastAsia="宋体" w:cs="宋体"/>
                <w:b/>
                <w:color w:val="000000"/>
                <w:sz w:val="21"/>
                <w:szCs w:val="21"/>
                <w:highlight w:val="none"/>
                <w:lang w:val="en-US" w:eastAsia="zh-CN"/>
              </w:rPr>
              <w:t xml:space="preserve">对</w:t>
            </w:r>
            <w:r>
              <w:rPr>
                <w:rFonts w:hint="eastAsia" w:ascii="宋体" w:hAnsi="宋体" w:eastAsia="宋体" w:cs="宋体"/>
                <w:b/>
                <w:color w:val="000000"/>
                <w:sz w:val="21"/>
                <w:szCs w:val="21"/>
                <w:highlight w:val="none"/>
                <w:lang w:val="en-US" w:eastAsia="zh-CN"/>
              </w:rPr>
              <w:t xml:space="preserve">中标人</w:t>
            </w:r>
            <w:r>
              <w:rPr>
                <w:rFonts w:hint="eastAsia" w:ascii="宋体" w:hAnsi="宋体" w:eastAsia="宋体" w:cs="宋体"/>
                <w:b/>
                <w:color w:val="000000"/>
                <w:sz w:val="21"/>
                <w:szCs w:val="21"/>
                <w:highlight w:val="none"/>
              </w:rPr>
              <w:t xml:space="preserve">进行技术参数响应核实，如不满足</w:t>
            </w:r>
            <w:r>
              <w:rPr>
                <w:rFonts w:hint="eastAsia" w:ascii="宋体" w:hAnsi="宋体" w:eastAsia="宋体" w:cs="宋体"/>
                <w:b/>
                <w:color w:val="000000"/>
                <w:sz w:val="21"/>
                <w:szCs w:val="21"/>
                <w:highlight w:val="none"/>
                <w:lang w:val="en-US" w:eastAsia="zh-CN"/>
              </w:rPr>
              <w:t xml:space="preserve">采购人</w:t>
            </w:r>
            <w:r>
              <w:rPr>
                <w:rFonts w:hint="eastAsia" w:ascii="宋体" w:hAnsi="宋体" w:eastAsia="宋体" w:cs="宋体"/>
                <w:b/>
                <w:color w:val="000000"/>
                <w:sz w:val="21"/>
                <w:szCs w:val="21"/>
                <w:highlight w:val="none"/>
              </w:rPr>
              <w:t xml:space="preserve">需求作虚假应标处理。</w:t>
            </w:r>
            <w:r>
              <w:rPr>
                <w:rFonts w:hint="eastAsia" w:ascii="宋体" w:hAnsi="宋体" w:eastAsia="宋体" w:cs="宋体"/>
                <w:color w:val="000000"/>
                <w:sz w:val="21"/>
                <w:szCs w:val="21"/>
                <w:highlight w:val="none"/>
                <w:lang w:val="en-US" w:eastAsia="zh-CN"/>
              </w:rPr>
            </w:r>
            <w:r/>
          </w:p>
        </w:tc>
        <w:tc>
          <w:tcPr>
            <w:tcW w:w="2433" w:type="dxa"/>
            <w:vAlign w:val="center"/>
            <w:textDirection w:val="lrTb"/>
            <w:noWrap w:val="false"/>
          </w:tcPr>
          <w:p>
            <w:pPr>
              <w:pStyle w:val="1048"/>
              <w:ind w:left="-38"/>
              <w:keepLines w:val="0"/>
              <w:keepNext w:val="0"/>
              <w:pageBreakBefore w:val="0"/>
              <w:spacing w:line="3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标注“▲”参数应按照要求提供相关证明材料原件扫描件并加盖投标人公章。</w:t>
            </w:r>
            <w:r>
              <w:rPr>
                <w:rFonts w:hint="eastAsia" w:ascii="宋体" w:hAnsi="宋体" w:eastAsia="宋体" w:cs="宋体"/>
                <w:b/>
                <w:bCs/>
                <w:color w:val="000000"/>
                <w:sz w:val="21"/>
                <w:szCs w:val="21"/>
                <w:highlight w:val="none"/>
                <w:lang w:val="en-US" w:eastAsia="zh-CN"/>
              </w:rPr>
              <w:t xml:space="preserve">未提供的或资料不全的或无效的，则视为“负偏离”。</w:t>
            </w:r>
            <w:r>
              <w:rPr>
                <w:rFonts w:hint="eastAsia" w:ascii="宋体" w:hAnsi="宋体" w:eastAsia="宋体" w:cs="宋体"/>
                <w:b/>
                <w:bCs/>
                <w:color w:val="000000"/>
                <w:sz w:val="21"/>
                <w:szCs w:val="21"/>
                <w:highlight w:val="none"/>
                <w:lang w:val="en-US" w:eastAsia="zh-CN"/>
              </w:rPr>
              <w:t xml:space="preserve">如有提供虚假技术参数的，一经发现按无效投标处理。</w:t>
            </w:r>
            <w:r>
              <w:rPr>
                <w:rFonts w:hint="eastAsia" w:ascii="宋体" w:hAnsi="宋体" w:eastAsia="宋体" w:cs="宋体"/>
                <w:b/>
                <w:bCs/>
                <w:color w:val="000000"/>
                <w:sz w:val="21"/>
                <w:szCs w:val="21"/>
                <w:highlight w:val="none"/>
                <w:lang w:val="en-US" w:eastAsia="zh-CN"/>
              </w:rPr>
            </w:r>
            <w:r/>
          </w:p>
          <w:p>
            <w:pPr>
              <w:pStyle w:val="1048"/>
              <w:ind w:left="-38"/>
              <w:keepLines w:val="0"/>
              <w:keepNext w:val="0"/>
              <w:pageBreakBefore w:val="0"/>
              <w:spacing w:line="3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tc>
      </w:tr>
      <w:tr>
        <w:trPr>
          <w:trHeight w:val="1706"/>
        </w:trPr>
        <w:tc>
          <w:tcPr>
            <w:tcW w:w="704" w:type="dxa"/>
            <w:vAlign w:val="center"/>
            <w:textDirection w:val="lrTb"/>
            <w:noWrap w:val="false"/>
          </w:tcPr>
          <w:p>
            <w:pPr>
              <w:pStyle w:val="1048"/>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lang w:val="en-US" w:eastAsia="zh-CN"/>
              </w:rPr>
            </w:r>
            <w:r/>
          </w:p>
        </w:tc>
        <w:tc>
          <w:tcPr>
            <w:tcW w:w="1316" w:type="dxa"/>
            <w:vAlign w:val="center"/>
            <w:textDirection w:val="lrTb"/>
            <w:noWrap w:val="false"/>
          </w:tcPr>
          <w:p>
            <w:pPr>
              <w:pStyle w:val="1048"/>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企业</w:t>
            </w:r>
            <w:r>
              <w:rPr>
                <w:rFonts w:hint="eastAsia" w:ascii="宋体" w:hAnsi="宋体" w:eastAsia="宋体" w:cs="宋体"/>
                <w:color w:val="000000"/>
                <w:sz w:val="21"/>
                <w:szCs w:val="21"/>
                <w:highlight w:val="none"/>
              </w:rPr>
              <w:t xml:space="preserve">综合实力</w:t>
            </w:r>
            <w:r>
              <w:rPr>
                <w:rFonts w:hint="eastAsia" w:ascii="宋体" w:hAnsi="宋体" w:eastAsia="宋体" w:cs="宋体"/>
                <w:color w:val="000000"/>
                <w:sz w:val="21"/>
                <w:szCs w:val="21"/>
                <w:highlight w:val="none"/>
                <w:lang w:val="en-US" w:eastAsia="zh-CN"/>
              </w:rPr>
            </w:r>
            <w:r/>
          </w:p>
        </w:tc>
        <w:tc>
          <w:tcPr>
            <w:tcW w:w="777" w:type="dxa"/>
            <w:vAlign w:val="center"/>
            <w:textDirection w:val="lrTb"/>
            <w:noWrap w:val="false"/>
          </w:tcPr>
          <w:p>
            <w:pPr>
              <w:pStyle w:val="1048"/>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131"/>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（1）投标人具有有效的信息安全服务资质认证（CCRC）安全集成服务一级证书的，得1分；二级及以下的，得0.5分；</w:t>
            </w:r>
            <w:r>
              <w:rPr>
                <w:rFonts w:hint="eastAsia" w:ascii="宋体" w:hAnsi="宋体" w:eastAsia="宋体" w:cs="宋体"/>
                <w:color w:val="000000"/>
                <w:sz w:val="21"/>
                <w:szCs w:val="21"/>
                <w:highlight w:val="none"/>
                <w:lang w:val="en-US" w:eastAsia="zh-CN" w:bidi="ar-SA"/>
              </w:rPr>
            </w:r>
            <w:r/>
          </w:p>
          <w:p>
            <w:pPr>
              <w:pStyle w:val="1131"/>
              <w:keepLines w:val="0"/>
              <w:keepNext w:val="0"/>
              <w:pageBreakBefore w:val="0"/>
              <w:spacing w:line="3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（2）投标人具有有效的</w:t>
            </w:r>
            <w:r>
              <w:rPr>
                <w:rFonts w:hint="eastAsia" w:ascii="宋体" w:hAnsi="宋体" w:eastAsia="宋体" w:cs="宋体"/>
                <w:color w:val="000000"/>
                <w:sz w:val="21"/>
                <w:szCs w:val="21"/>
                <w:highlight w:val="none"/>
                <w:lang w:val="en-US" w:eastAsia="zh-CN"/>
              </w:rPr>
              <w:t xml:space="preserve">信息系统建设和服务能力评估（CS5）的，得1分；CS4及以下的，得0.5分。</w:t>
            </w:r>
            <w:r>
              <w:rPr>
                <w:rFonts w:hint="eastAsia" w:ascii="宋体" w:hAnsi="宋体" w:eastAsia="宋体" w:cs="宋体"/>
                <w:color w:val="000000"/>
                <w:sz w:val="21"/>
                <w:szCs w:val="21"/>
                <w:highlight w:val="none"/>
                <w:lang w:val="en-US" w:eastAsia="zh-CN" w:bidi="ar-SA"/>
              </w:rPr>
            </w:r>
            <w:r/>
          </w:p>
        </w:tc>
        <w:tc>
          <w:tcPr>
            <w:tcW w:w="2433" w:type="dxa"/>
            <w:vAlign w:val="center"/>
            <w:textDirection w:val="lrTb"/>
            <w:noWrap w:val="false"/>
          </w:tcPr>
          <w:p>
            <w:pPr>
              <w:pStyle w:val="1048"/>
              <w:ind w:left="-38"/>
              <w:keepLines w:val="0"/>
              <w:keepNext w:val="0"/>
              <w:pageBreakBefore w:val="0"/>
              <w:spacing w:line="3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w:t>
            </w:r>
            <w:r>
              <w:rPr>
                <w:rFonts w:hint="eastAsia" w:ascii="宋体" w:hAnsi="宋体" w:eastAsia="宋体" w:cs="宋体"/>
                <w:b/>
                <w:bCs/>
                <w:color w:val="000000"/>
                <w:sz w:val="21"/>
                <w:szCs w:val="21"/>
                <w:highlight w:val="none"/>
                <w:lang w:val="en-US" w:eastAsia="zh-CN"/>
              </w:rPr>
              <w:t xml:space="preserve">中提供相应证书原件扫描件并加盖投标人公章，未提供的或资料不全的或无效的不得分。</w:t>
            </w:r>
            <w:r>
              <w:rPr>
                <w:rFonts w:hint="eastAsia" w:ascii="宋体" w:hAnsi="宋体" w:eastAsia="宋体" w:cs="宋体"/>
                <w:b/>
                <w:bCs/>
                <w:color w:val="000000"/>
                <w:sz w:val="21"/>
                <w:szCs w:val="21"/>
                <w:highlight w:val="none"/>
                <w:lang w:val="en-US" w:eastAsia="zh-CN"/>
              </w:rPr>
            </w:r>
            <w:r/>
          </w:p>
        </w:tc>
      </w:tr>
      <w:tr>
        <w:trPr>
          <w:trHeight w:val="622"/>
        </w:trPr>
        <w:tc>
          <w:tcPr>
            <w:tcW w:w="704" w:type="dxa"/>
            <w:vAlign w:val="center"/>
            <w:textDirection w:val="lrTb"/>
            <w:noWrap w:val="false"/>
          </w:tcPr>
          <w:p>
            <w:pPr>
              <w:pStyle w:val="1048"/>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lang w:val="en-US" w:eastAsia="zh-CN"/>
              </w:rPr>
            </w:r>
            <w:r/>
          </w:p>
        </w:tc>
        <w:tc>
          <w:tcPr>
            <w:tcW w:w="1316" w:type="dxa"/>
            <w:vAlign w:val="center"/>
            <w:textDirection w:val="lrTb"/>
            <w:noWrap w:val="false"/>
          </w:tcPr>
          <w:p>
            <w:pPr>
              <w:pStyle w:val="1048"/>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项目组团队</w:t>
            </w:r>
            <w:r>
              <w:rPr>
                <w:rFonts w:hint="eastAsia" w:ascii="宋体" w:hAnsi="宋体" w:eastAsia="宋体" w:cs="宋体"/>
                <w:color w:val="000000"/>
                <w:sz w:val="21"/>
                <w:szCs w:val="21"/>
                <w:highlight w:val="none"/>
                <w:lang w:val="en-US" w:eastAsia="zh-CN"/>
              </w:rPr>
            </w:r>
            <w:r/>
          </w:p>
        </w:tc>
        <w:tc>
          <w:tcPr>
            <w:tcW w:w="777" w:type="dxa"/>
            <w:vAlign w:val="center"/>
            <w:textDirection w:val="lrTb"/>
            <w:noWrap w:val="false"/>
          </w:tcPr>
          <w:p>
            <w:pPr>
              <w:pStyle w:val="1048"/>
              <w:ind w:firstLine="28"/>
              <w:jc w:val="center"/>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4368" w:type="dxa"/>
            <w:vAlign w:val="center"/>
            <w:textDirection w:val="lrTb"/>
            <w:noWrap w:val="false"/>
          </w:tcPr>
          <w:p>
            <w:pPr>
              <w:pStyle w:val="1048"/>
              <w:ind w:firstLine="28"/>
              <w:jc w:val="left"/>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（1）拟派项目负责人:</w:t>
            </w:r>
            <w:r>
              <w:rPr>
                <w:rFonts w:hint="eastAsia" w:ascii="宋体" w:hAnsi="宋体" w:eastAsia="宋体" w:cs="宋体"/>
                <w:b w:val="0"/>
                <w:bCs w:val="0"/>
                <w:color w:val="000000"/>
                <w:sz w:val="21"/>
                <w:szCs w:val="21"/>
                <w:highlight w:val="none"/>
                <w:lang w:val="en-US" w:eastAsia="zh-CN"/>
              </w:rPr>
              <w:t xml:space="preserve">具有有效的信息系统项目管理师（高级）、通信工程高级工程师证书的，有一项得1分，本项最高得2分；</w:t>
            </w:r>
            <w:r>
              <w:rPr>
                <w:rFonts w:hint="eastAsia" w:ascii="宋体" w:hAnsi="宋体" w:eastAsia="宋体" w:cs="宋体"/>
                <w:color w:val="000000"/>
                <w:sz w:val="21"/>
                <w:szCs w:val="21"/>
                <w:highlight w:val="none"/>
                <w:lang w:val="en-US" w:eastAsia="zh-CN"/>
              </w:rPr>
            </w:r>
            <w:r/>
          </w:p>
          <w:p>
            <w:pPr>
              <w:pStyle w:val="1130"/>
              <w:ind w:left="0" w:firstLine="0"/>
              <w:keepLines w:val="0"/>
              <w:keepNext w:val="0"/>
              <w:pageBreakBefore w:val="0"/>
              <w:spacing w:line="30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（2）拟派技术负责人：</w:t>
            </w:r>
            <w:r>
              <w:rPr>
                <w:rFonts w:hint="eastAsia" w:ascii="宋体" w:hAnsi="宋体" w:eastAsia="宋体" w:cs="宋体"/>
                <w:b w:val="0"/>
                <w:bCs w:val="0"/>
                <w:color w:val="000000"/>
                <w:sz w:val="21"/>
                <w:szCs w:val="21"/>
                <w:highlight w:val="none"/>
                <w:lang w:val="en-US" w:eastAsia="zh-CN" w:bidi="ar-SA"/>
              </w:rPr>
              <w:t xml:space="preserve">具有有效的高级网络工程师证书、高级安防系统工程师证书的，有一项得0.5分，本项最高得1分。</w:t>
            </w:r>
            <w:r>
              <w:rPr>
                <w:rFonts w:hint="eastAsia" w:ascii="宋体" w:hAnsi="宋体" w:eastAsia="宋体" w:cs="宋体"/>
                <w:b/>
                <w:bCs/>
                <w:color w:val="000000"/>
                <w:sz w:val="21"/>
                <w:szCs w:val="21"/>
                <w:highlight w:val="none"/>
                <w:lang w:val="en-US" w:eastAsia="zh-CN"/>
              </w:rPr>
            </w:r>
            <w:r/>
          </w:p>
          <w:p>
            <w:pPr>
              <w:pStyle w:val="1131"/>
              <w:keepLines w:val="0"/>
              <w:keepNext w:val="0"/>
              <w:pageBreakBefore w:val="0"/>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注:拟派项目负责人、技术负责人同一人不重复得分。</w:t>
            </w:r>
            <w:r>
              <w:rPr>
                <w:rFonts w:hint="eastAsia" w:ascii="宋体" w:hAnsi="宋体" w:eastAsia="宋体" w:cs="宋体"/>
                <w:color w:val="000000"/>
                <w:sz w:val="21"/>
                <w:szCs w:val="21"/>
                <w:highlight w:val="none"/>
                <w:lang w:val="en-US" w:eastAsia="zh-CN"/>
              </w:rPr>
            </w:r>
            <w:r/>
          </w:p>
        </w:tc>
        <w:tc>
          <w:tcPr>
            <w:tcW w:w="2433" w:type="dxa"/>
            <w:vAlign w:val="center"/>
            <w:textDirection w:val="lrTb"/>
            <w:noWrap w:val="false"/>
          </w:tcPr>
          <w:p>
            <w:pPr>
              <w:pStyle w:val="1048"/>
              <w:ind w:left="-38"/>
              <w:keepLines w:val="0"/>
              <w:keepNext w:val="0"/>
              <w:pageBreakBefore w:val="0"/>
              <w:spacing w:line="3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投标文件中提供相应人员证书原件扫描件及近三个月（自投标截止之日起往前推算）中任意一个月投标人为相关人员缴纳的社保证明材料并加盖投标人公章，未提供的或资料不全的或无效的不得分。</w:t>
            </w:r>
            <w:r>
              <w:rPr>
                <w:rFonts w:hint="eastAsia" w:ascii="宋体" w:hAnsi="宋体" w:eastAsia="宋体" w:cs="宋体"/>
                <w:b/>
                <w:bCs/>
                <w:color w:val="000000"/>
                <w:sz w:val="21"/>
                <w:szCs w:val="21"/>
                <w:highlight w:val="none"/>
                <w:lang w:val="en-US" w:eastAsia="zh-CN"/>
              </w:rPr>
            </w:r>
            <w:r/>
          </w:p>
        </w:tc>
      </w:tr>
      <w:tr>
        <w:trPr>
          <w:trHeight w:val="90"/>
        </w:trPr>
        <w:tc>
          <w:tcPr>
            <w:gridSpan w:val="2"/>
            <w:tcW w:w="2020" w:type="dxa"/>
            <w:vAlign w:val="center"/>
            <w:textDirection w:val="lrTb"/>
            <w:noWrap w:val="false"/>
          </w:tcPr>
          <w:p>
            <w:pPr>
              <w:pStyle w:val="1048"/>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合计</w:t>
            </w:r>
            <w:r>
              <w:rPr>
                <w:rFonts w:hint="eastAsia" w:ascii="宋体" w:hAnsi="宋体" w:cs="宋体"/>
                <w:b/>
                <w:bCs/>
                <w:color w:val="000000"/>
                <w:szCs w:val="21"/>
                <w:highlight w:val="none"/>
              </w:rPr>
            </w:r>
            <w:r/>
          </w:p>
        </w:tc>
        <w:tc>
          <w:tcPr>
            <w:tcW w:w="777" w:type="dxa"/>
            <w:vAlign w:val="center"/>
            <w:textDirection w:val="lrTb"/>
            <w:noWrap w:val="false"/>
          </w:tcPr>
          <w:p>
            <w:pPr>
              <w:pStyle w:val="1048"/>
              <w:ind w:firstLine="2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100</w:t>
            </w:r>
            <w:r>
              <w:rPr>
                <w:rFonts w:hint="eastAsia" w:ascii="宋体" w:hAnsi="宋体" w:cs="宋体"/>
                <w:b/>
                <w:bCs/>
                <w:color w:val="000000"/>
                <w:szCs w:val="21"/>
                <w:highlight w:val="none"/>
              </w:rPr>
            </w:r>
            <w:r/>
          </w:p>
        </w:tc>
        <w:tc>
          <w:tcPr>
            <w:gridSpan w:val="2"/>
            <w:tcW w:w="6801" w:type="dxa"/>
            <w:vAlign w:val="center"/>
            <w:textDirection w:val="lrTb"/>
            <w:noWrap w:val="false"/>
          </w:tcPr>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48"/>
        <w:ind w:firstLine="422"/>
        <w:spacing w:line="400" w:lineRule="exact"/>
        <w:rPr>
          <w:rFonts w:hint="eastAsia" w:ascii="宋体" w:hAnsi="宋体" w:eastAsia="宋体" w:cs="宋体"/>
          <w:b/>
          <w:bCs w:val="0"/>
          <w:color w:val="000000"/>
          <w:szCs w:val="21"/>
          <w:highlight w:val="none"/>
          <w:lang w:eastAsia="zh-CN"/>
        </w:rPr>
      </w:pPr>
      <w:r/>
      <w:bookmarkStart w:id="684" w:name="_Toc140147451"/>
      <w:r/>
      <w:bookmarkStart w:id="685" w:name="_Toc140154483"/>
      <w:r/>
      <w:bookmarkStart w:id="686" w:name="_Toc99301424"/>
      <w:r/>
      <w:bookmarkStart w:id="687" w:name="_Toc140154567"/>
      <w:r>
        <w:rPr>
          <w:rFonts w:hint="eastAsia" w:ascii="宋体" w:hAnsi="宋体" w:eastAsia="宋体" w:cs="宋体"/>
          <w:b/>
          <w:bCs w:val="0"/>
          <w:color w:val="000000"/>
          <w:szCs w:val="21"/>
          <w:highlight w:val="none"/>
          <w:lang w:eastAsia="zh-CN"/>
        </w:rPr>
        <w:t xml:space="preserve">注意事项：</w:t>
      </w:r>
      <w:bookmarkEnd w:id="684"/>
      <w:r/>
      <w:bookmarkEnd w:id="685"/>
      <w:r/>
      <w:bookmarkEnd w:id="687"/>
      <w:r>
        <w:rPr>
          <w:rFonts w:hint="eastAsia" w:ascii="宋体" w:hAnsi="宋体" w:eastAsia="宋体" w:cs="宋体"/>
          <w:b/>
          <w:bCs w:val="0"/>
          <w:color w:val="000000"/>
          <w:szCs w:val="21"/>
          <w:highlight w:val="none"/>
          <w:lang w:eastAsia="zh-CN"/>
        </w:rPr>
        <w:t xml:space="preserve">评审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ascii="宋体" w:hAnsi="宋体" w:eastAsia="宋体" w:cs="宋体"/>
          <w:b/>
          <w:bCs w:val="0"/>
          <w:color w:val="000000"/>
          <w:szCs w:val="21"/>
          <w:highlight w:val="none"/>
          <w:lang w:eastAsia="zh-CN"/>
        </w:rPr>
      </w:r>
      <w:r/>
    </w:p>
    <w:p>
      <w:pPr>
        <w:pStyle w:val="1048"/>
        <w:jc w:val="center"/>
        <w:keepLines w:val="0"/>
        <w:keepNext w:val="0"/>
        <w:pageBreakBefore w:val="0"/>
        <w:spacing w:line="400" w:lineRule="exact"/>
        <w:widowControl w:val="off"/>
        <w:rPr>
          <w:color w:val="000000"/>
          <w:sz w:val="24"/>
          <w:highlight w:val="none"/>
        </w:rPr>
        <w:outlineLvl w:val="0"/>
      </w:pPr>
      <w:r>
        <w:rPr>
          <w:b/>
          <w:color w:val="000000"/>
          <w:sz w:val="32"/>
          <w:szCs w:val="32"/>
          <w:highlight w:val="none"/>
        </w:rPr>
        <w:br w:type="page" w:clear="all"/>
      </w:r>
      <w:r>
        <w:rPr>
          <w:b/>
          <w:color w:val="000000"/>
          <w:sz w:val="32"/>
          <w:szCs w:val="32"/>
          <w:highlight w:val="none"/>
        </w:rPr>
        <w:t xml:space="preserve">第五章   采购需求</w:t>
      </w:r>
      <w:bookmarkEnd w:id="686"/>
      <w:r>
        <w:rPr>
          <w:color w:val="000000"/>
          <w:sz w:val="24"/>
          <w:highlight w:val="none"/>
        </w:rPr>
      </w:r>
      <w:r/>
    </w:p>
    <w:p>
      <w:pPr>
        <w:pStyle w:val="1150"/>
        <w:numPr>
          <w:ilvl w:val="0"/>
          <w:numId w:val="0"/>
        </w:numPr>
        <w:contextualSpacing/>
        <w:ind w:left="500" w:hanging="500"/>
        <w:keepLines w:val="0"/>
        <w:keepNext w:val="0"/>
        <w:pageBreakBefore w:val="0"/>
        <w:spacing w:line="400" w:lineRule="exact"/>
        <w:widowControl w:val="off"/>
        <w:rPr>
          <w:rFonts w:hint="eastAsia" w:ascii="宋体" w:hAnsi="宋体" w:eastAsia="宋体" w:cs="宋体"/>
          <w:b/>
          <w:color w:val="000000"/>
          <w:sz w:val="21"/>
          <w:szCs w:val="21"/>
          <w:highlight w:val="none"/>
        </w:rPr>
      </w:pPr>
      <w:r/>
      <w:bookmarkStart w:id="688" w:name="_Toc2242"/>
      <w:r/>
      <w:bookmarkStart w:id="689" w:name="_Toc3599"/>
      <w:r>
        <w:rPr>
          <w:rFonts w:hint="eastAsia" w:ascii="宋体" w:hAnsi="宋体" w:eastAsia="宋体" w:cs="宋体"/>
          <w:b/>
          <w:color w:val="000000"/>
          <w:sz w:val="21"/>
          <w:szCs w:val="21"/>
          <w:highlight w:val="none"/>
          <w:lang w:val="en-US" w:eastAsia="zh-CN" w:bidi="ar-SA"/>
        </w:rPr>
        <w:t xml:space="preserve">一、采购标的</w:t>
      </w:r>
      <w:r>
        <w:rPr>
          <w:rFonts w:hint="eastAsia" w:ascii="宋体" w:hAnsi="宋体" w:eastAsia="宋体" w:cs="宋体"/>
          <w:b/>
          <w:color w:val="000000"/>
          <w:sz w:val="21"/>
          <w:szCs w:val="21"/>
          <w:highlight w:val="none"/>
        </w:rPr>
      </w:r>
      <w:r/>
    </w:p>
    <w:p>
      <w:pPr>
        <w:pStyle w:val="1048"/>
        <w:ind w:firstLine="420"/>
        <w:keepLines w:val="0"/>
        <w:keepNext w:val="0"/>
        <w:pageBreakBefore w:val="0"/>
        <w:spacing w:line="400" w:lineRule="exact"/>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1.项目名称：</w:t>
      </w:r>
      <w:r>
        <w:rPr>
          <w:rFonts w:hint="eastAsia" w:ascii="宋体" w:hAnsi="宋体" w:eastAsia="宋体" w:cs="宋体"/>
          <w:color w:val="000000"/>
          <w:sz w:val="21"/>
          <w:szCs w:val="21"/>
          <w:highlight w:val="none"/>
          <w:lang w:eastAsia="zh-CN"/>
        </w:rPr>
        <w:t xml:space="preserve">经开区电子警察更新项目</w:t>
      </w:r>
      <w:r>
        <w:rPr>
          <w:rFonts w:hint="eastAsia" w:ascii="宋体" w:hAnsi="宋体" w:eastAsia="宋体" w:cs="宋体"/>
          <w:bCs/>
          <w:color w:val="000000"/>
          <w:sz w:val="21"/>
          <w:szCs w:val="21"/>
          <w:highlight w:val="none"/>
          <w:lang w:eastAsia="zh-CN"/>
        </w:rPr>
      </w:r>
      <w:r/>
    </w:p>
    <w:p>
      <w:pPr>
        <w:pStyle w:val="1048"/>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2.采购预算：</w:t>
      </w:r>
      <w:r>
        <w:rPr>
          <w:rFonts w:hint="eastAsia" w:ascii="宋体" w:hAnsi="宋体" w:eastAsia="宋体" w:cs="宋体"/>
          <w:bCs/>
          <w:color w:val="000000"/>
          <w:sz w:val="21"/>
          <w:szCs w:val="21"/>
          <w:highlight w:val="none"/>
          <w:lang w:val="en-US" w:eastAsia="zh-CN"/>
        </w:rPr>
        <w:t xml:space="preserve">1440万元</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048"/>
        <w:ind w:firstLine="420"/>
        <w:keepLines w:val="0"/>
        <w:keepNext w:val="0"/>
        <w:pageBreakBefore w:val="0"/>
        <w:spacing w:line="400" w:lineRule="exact"/>
        <w:widowControl w:val="off"/>
        <w:rPr>
          <w:rFonts w:hint="eastAsia"/>
          <w:color w:val="000000"/>
          <w:highlight w:val="none"/>
        </w:rPr>
      </w:pPr>
      <w:r>
        <w:rPr>
          <w:rFonts w:hint="eastAsia" w:ascii="宋体" w:hAnsi="宋体" w:eastAsia="宋体" w:cs="宋体"/>
          <w:bCs/>
          <w:color w:val="000000"/>
          <w:sz w:val="21"/>
          <w:szCs w:val="21"/>
          <w:highlight w:val="none"/>
          <w:lang w:val="en-US" w:eastAsia="zh-CN"/>
        </w:rPr>
        <w:t xml:space="preserve">3.采购清单</w:t>
      </w:r>
      <w:r>
        <w:rPr>
          <w:rFonts w:hint="eastAsia"/>
          <w:color w:val="000000"/>
          <w:highlight w:val="none"/>
        </w:rPr>
      </w:r>
      <w:r/>
    </w:p>
    <w:tbl>
      <w:tblPr>
        <w:tblW w:w="482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292"/>
        <w:gridCol w:w="1695"/>
        <w:gridCol w:w="826"/>
        <w:gridCol w:w="4411"/>
      </w:tblGrid>
      <w:tr>
        <w:trPr>
          <w:trHeight w:val="736"/>
        </w:trPr>
        <w:tc>
          <w:tcPr>
            <w:tcW w:w="408" w:type="dxa"/>
            <w:vAlign w:val="center"/>
            <w:textDirection w:val="lrTb"/>
            <w:noWrap w:val="false"/>
          </w:tcPr>
          <w:p>
            <w:pPr>
              <w:pStyle w:val="1048"/>
              <w:jc w:val="center"/>
              <w:keepLines w:val="0"/>
              <w:keepNext w:val="0"/>
              <w:pageBreakBefore w:val="0"/>
              <w:spacing w:line="400" w:lineRule="exact"/>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721" w:type="dxa"/>
            <w:vAlign w:val="center"/>
            <w:textDirection w:val="lrTb"/>
            <w:noWrap w:val="false"/>
          </w:tcPr>
          <w:p>
            <w:pPr>
              <w:pStyle w:val="1048"/>
              <w:jc w:val="center"/>
              <w:keepLines w:val="0"/>
              <w:keepNext w:val="0"/>
              <w:pageBreakBefore w:val="0"/>
              <w:spacing w:line="400" w:lineRule="exact"/>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标的名称</w:t>
            </w:r>
            <w:r>
              <w:rPr>
                <w:rFonts w:hint="eastAsia" w:ascii="宋体" w:hAnsi="宋体" w:cs="宋体"/>
                <w:bCs/>
                <w:color w:val="000000"/>
                <w:szCs w:val="21"/>
                <w:highlight w:val="none"/>
              </w:rPr>
            </w:r>
            <w:r/>
          </w:p>
        </w:tc>
        <w:tc>
          <w:tcPr>
            <w:tcW w:w="946" w:type="dxa"/>
            <w:vAlign w:val="center"/>
            <w:textDirection w:val="lrTb"/>
            <w:noWrap w:val="false"/>
          </w:tcPr>
          <w:p>
            <w:pPr>
              <w:pStyle w:val="1048"/>
              <w:jc w:val="center"/>
              <w:keepLines w:val="0"/>
              <w:keepNext w:val="0"/>
              <w:pageBreakBefore w:val="0"/>
              <w:spacing w:line="400" w:lineRule="exact"/>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采购包预算金额</w:t>
            </w:r>
            <w:r>
              <w:rPr>
                <w:rFonts w:hint="eastAsia" w:ascii="宋体" w:hAnsi="宋体" w:cs="宋体"/>
                <w:bCs/>
                <w:color w:val="000000"/>
                <w:szCs w:val="21"/>
                <w:highlight w:val="none"/>
              </w:rPr>
            </w:r>
            <w:r/>
          </w:p>
          <w:p>
            <w:pPr>
              <w:pStyle w:val="1048"/>
              <w:jc w:val="center"/>
              <w:keepLines w:val="0"/>
              <w:keepNext w:val="0"/>
              <w:pageBreakBefore w:val="0"/>
              <w:spacing w:line="400" w:lineRule="exact"/>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（万元）</w:t>
            </w:r>
            <w:r>
              <w:rPr>
                <w:rFonts w:hint="eastAsia" w:ascii="宋体" w:hAnsi="宋体" w:cs="宋体"/>
                <w:bCs/>
                <w:color w:val="000000"/>
                <w:szCs w:val="21"/>
                <w:highlight w:val="none"/>
              </w:rPr>
            </w:r>
            <w:r/>
          </w:p>
        </w:tc>
        <w:tc>
          <w:tcPr>
            <w:tcW w:w="461" w:type="dxa"/>
            <w:vAlign w:val="center"/>
            <w:textDirection w:val="lrTb"/>
            <w:noWrap w:val="false"/>
          </w:tcPr>
          <w:p>
            <w:pPr>
              <w:pStyle w:val="1048"/>
              <w:jc w:val="center"/>
              <w:keepLines w:val="0"/>
              <w:keepNext w:val="0"/>
              <w:pageBreakBefore w:val="0"/>
              <w:spacing w:line="400" w:lineRule="exact"/>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数量</w:t>
            </w:r>
            <w:r>
              <w:rPr>
                <w:rFonts w:hint="eastAsia" w:ascii="宋体" w:hAnsi="宋体" w:cs="宋体"/>
                <w:bCs/>
                <w:color w:val="000000"/>
                <w:szCs w:val="21"/>
                <w:highlight w:val="none"/>
              </w:rPr>
            </w:r>
            <w:r/>
          </w:p>
        </w:tc>
        <w:tc>
          <w:tcPr>
            <w:tcW w:w="2462" w:type="dxa"/>
            <w:vAlign w:val="center"/>
            <w:textDirection w:val="lrTb"/>
            <w:noWrap w:val="false"/>
          </w:tcPr>
          <w:p>
            <w:pPr>
              <w:pStyle w:val="1048"/>
              <w:jc w:val="center"/>
              <w:keepLines w:val="0"/>
              <w:keepNext w:val="0"/>
              <w:pageBreakBefore w:val="0"/>
              <w:spacing w:line="40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简要技术需求或服务要求</w:t>
            </w:r>
            <w:r>
              <w:rPr>
                <w:rFonts w:hint="eastAsia" w:ascii="宋体" w:hAnsi="宋体" w:cs="宋体"/>
                <w:color w:val="000000"/>
                <w:szCs w:val="21"/>
                <w:highlight w:val="none"/>
              </w:rPr>
            </w:r>
            <w:r/>
          </w:p>
        </w:tc>
      </w:tr>
      <w:tr>
        <w:trPr>
          <w:trHeight w:val="1411"/>
        </w:trPr>
        <w:tc>
          <w:tcPr>
            <w:tcW w:w="408" w:type="dxa"/>
            <w:vAlign w:val="center"/>
            <w:textDirection w:val="lrTb"/>
            <w:noWrap w:val="false"/>
          </w:tcPr>
          <w:p>
            <w:pPr>
              <w:pStyle w:val="1048"/>
              <w:jc w:val="center"/>
              <w:keepLines w:val="0"/>
              <w:keepNext w:val="0"/>
              <w:pageBreakBefore w:val="0"/>
              <w:spacing w:line="400" w:lineRule="exact"/>
              <w:widowControl w:val="off"/>
              <w:rPr>
                <w:rFonts w:hint="eastAsia" w:ascii="宋体" w:hAnsi="宋体" w:cs="宋体"/>
                <w:bCs/>
                <w:color w:val="000000"/>
                <w:szCs w:val="21"/>
                <w:highlight w:val="none"/>
              </w:rPr>
            </w:pPr>
            <w:r>
              <w:rPr>
                <w:rFonts w:hint="eastAsia" w:ascii="宋体" w:hAnsi="宋体" w:cs="宋体"/>
                <w:bCs/>
                <w:color w:val="000000"/>
                <w:szCs w:val="21"/>
                <w:highlight w:val="none"/>
              </w:rPr>
              <w:t xml:space="preserve">01</w:t>
            </w:r>
            <w:r>
              <w:rPr>
                <w:rFonts w:hint="eastAsia" w:ascii="宋体" w:hAnsi="宋体" w:cs="宋体"/>
                <w:bCs/>
                <w:color w:val="000000"/>
                <w:szCs w:val="21"/>
                <w:highlight w:val="none"/>
              </w:rPr>
            </w:r>
            <w:r/>
          </w:p>
        </w:tc>
        <w:tc>
          <w:tcPr>
            <w:tcW w:w="721" w:type="dxa"/>
            <w:vAlign w:val="center"/>
            <w:textDirection w:val="lrTb"/>
            <w:noWrap w:val="false"/>
          </w:tcPr>
          <w:p>
            <w:pPr>
              <w:pStyle w:val="1048"/>
              <w:jc w:val="center"/>
              <w:keepLines w:val="0"/>
              <w:keepNext w:val="0"/>
              <w:pageBreakBefore w:val="0"/>
              <w:spacing w:line="400" w:lineRule="exact"/>
              <w:widowControl w:val="off"/>
              <w:rPr>
                <w:rFonts w:hint="eastAsia" w:ascii="宋体" w:hAnsi="宋体" w:eastAsia="宋体" w:cs="宋体"/>
                <w:bCs/>
                <w:color w:val="000000"/>
                <w:szCs w:val="21"/>
                <w:highlight w:val="none"/>
                <w:lang w:eastAsia="zh-CN"/>
              </w:rPr>
            </w:pPr>
            <w:r>
              <w:rPr>
                <w:rFonts w:hint="eastAsia" w:ascii="宋体" w:hAnsi="宋体" w:eastAsia="宋体" w:cs="宋体"/>
                <w:bCs/>
                <w:color w:val="000000"/>
                <w:sz w:val="21"/>
                <w:szCs w:val="21"/>
                <w:highlight w:val="none"/>
                <w:lang w:eastAsia="zh-CN"/>
              </w:rPr>
              <w:t xml:space="preserve">经开区电子警察更新项目</w:t>
            </w:r>
            <w:r>
              <w:rPr>
                <w:rFonts w:hint="eastAsia" w:ascii="宋体" w:hAnsi="宋体" w:eastAsia="宋体" w:cs="宋体"/>
                <w:bCs/>
                <w:color w:val="000000"/>
                <w:szCs w:val="21"/>
                <w:highlight w:val="none"/>
                <w:lang w:eastAsia="zh-CN"/>
              </w:rPr>
            </w:r>
            <w:r/>
          </w:p>
        </w:tc>
        <w:tc>
          <w:tcPr>
            <w:tcW w:w="946" w:type="dxa"/>
            <w:vAlign w:val="center"/>
            <w:textDirection w:val="lrTb"/>
            <w:noWrap w:val="false"/>
          </w:tcPr>
          <w:p>
            <w:pPr>
              <w:pStyle w:val="1048"/>
              <w:jc w:val="center"/>
              <w:keepLines w:val="0"/>
              <w:keepNext w:val="0"/>
              <w:pageBreakBefore w:val="0"/>
              <w:spacing w:line="400" w:lineRule="exact"/>
              <w:widowControl w:val="off"/>
              <w:rPr>
                <w:rFonts w:ascii="宋体" w:hAnsi="宋体" w:eastAsia="宋体" w:cs="宋体"/>
                <w:b/>
                <w:bCs w:val="0"/>
                <w:color w:val="000000"/>
                <w:szCs w:val="21"/>
                <w:highlight w:val="none"/>
                <w:lang w:val="en-US" w:eastAsia="zh-CN"/>
              </w:rPr>
            </w:pPr>
            <w:r>
              <w:rPr>
                <w:rFonts w:ascii="宋体" w:hAnsi="宋体" w:eastAsia="宋体" w:cs="宋体"/>
                <w:b/>
                <w:bCs w:val="0"/>
                <w:color w:val="000000"/>
                <w:szCs w:val="21"/>
                <w:highlight w:val="none"/>
                <w:lang w:val="en-US" w:eastAsia="zh-CN"/>
              </w:rPr>
              <w:t xml:space="preserve">1440</w:t>
            </w:r>
            <w:r>
              <w:rPr>
                <w:rFonts w:ascii="宋体" w:hAnsi="宋体" w:eastAsia="宋体" w:cs="宋体"/>
                <w:b/>
                <w:bCs w:val="0"/>
                <w:color w:val="000000"/>
                <w:szCs w:val="21"/>
                <w:highlight w:val="none"/>
                <w:lang w:val="en-US" w:eastAsia="zh-CN"/>
              </w:rPr>
            </w:r>
            <w:r/>
          </w:p>
        </w:tc>
        <w:tc>
          <w:tcPr>
            <w:tcW w:w="461" w:type="dxa"/>
            <w:vAlign w:val="center"/>
            <w:textDirection w:val="lrTb"/>
            <w:noWrap w:val="false"/>
          </w:tcPr>
          <w:p>
            <w:pPr>
              <w:pStyle w:val="1048"/>
              <w:jc w:val="center"/>
              <w:keepLines w:val="0"/>
              <w:keepNext w:val="0"/>
              <w:pageBreakBefore w:val="0"/>
              <w:spacing w:line="400" w:lineRule="exact"/>
              <w:widowControl w:val="off"/>
              <w:rPr>
                <w:rFonts w:ascii="宋体" w:hAnsi="宋体" w:cs="宋体"/>
                <w:b/>
                <w:bCs w:val="0"/>
                <w:color w:val="000000"/>
                <w:szCs w:val="21"/>
                <w:highlight w:val="none"/>
                <w:lang w:val="en-US"/>
              </w:rPr>
            </w:pPr>
            <w:r>
              <w:rPr>
                <w:rFonts w:hint="eastAsia" w:ascii="宋体" w:hAnsi="宋体" w:eastAsia="宋体" w:cs="宋体"/>
                <w:b w:val="0"/>
                <w:bCs/>
                <w:color w:val="000000"/>
                <w:sz w:val="21"/>
                <w:szCs w:val="21"/>
                <w:highlight w:val="none"/>
                <w:lang w:val="en-US" w:eastAsia="zh-CN"/>
              </w:rPr>
              <w:t xml:space="preserve">1项</w:t>
            </w:r>
            <w:r>
              <w:rPr>
                <w:rFonts w:ascii="宋体" w:hAnsi="宋体" w:cs="宋体"/>
                <w:b/>
                <w:bCs w:val="0"/>
                <w:color w:val="000000"/>
                <w:szCs w:val="21"/>
                <w:highlight w:val="none"/>
                <w:lang w:val="en-US"/>
              </w:rPr>
            </w:r>
            <w:r/>
          </w:p>
        </w:tc>
        <w:tc>
          <w:tcPr>
            <w:tcW w:w="2462" w:type="dxa"/>
            <w:vAlign w:val="center"/>
            <w:textDirection w:val="lrTb"/>
            <w:noWrap w:val="false"/>
          </w:tcPr>
          <w:p>
            <w:pPr>
              <w:pStyle w:val="1048"/>
              <w:jc w:val="left"/>
              <w:keepLines w:val="0"/>
              <w:keepNext w:val="0"/>
              <w:pageBreakBefore w:val="0"/>
              <w:spacing w:line="400" w:lineRule="exact"/>
              <w:widowControl w:val="off"/>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eastAsia="zh-CN"/>
              </w:rPr>
              <w:t xml:space="preserve">本次项目主要包含更新前端电子警察108个路口、电子警察反向卡口4个路口、路口信号灯控制主机更换22个路口、后端信号灯控制平台升级、新建礼让行人10套、新建横林大道上林路电子警察、防控边界16个路口37个方向建设、朝阳路横林大道卡口迁移及更新1套、机房末端增加视频存储及图片存储各1台。</w:t>
            </w:r>
            <w:r>
              <w:rPr>
                <w:rFonts w:hint="eastAsia" w:ascii="宋体" w:hAnsi="宋体" w:eastAsia="宋体" w:cs="宋体"/>
                <w:bCs/>
                <w:color w:val="000000"/>
                <w:szCs w:val="21"/>
                <w:highlight w:val="none"/>
                <w:lang w:eastAsia="zh-CN"/>
              </w:rPr>
            </w:r>
            <w:r/>
          </w:p>
        </w:tc>
      </w:tr>
    </w:tbl>
    <w:p>
      <w:pPr>
        <w:pStyle w:val="1150"/>
        <w:numPr>
          <w:ilvl w:val="0"/>
          <w:numId w:val="0"/>
        </w:numPr>
        <w:contextualSpacing/>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二、</w:t>
      </w:r>
      <w:r>
        <w:rPr>
          <w:rFonts w:hint="eastAsia" w:ascii="宋体" w:hAnsi="宋体" w:eastAsia="宋体" w:cs="宋体"/>
          <w:b/>
          <w:color w:val="000000"/>
          <w:sz w:val="21"/>
          <w:szCs w:val="21"/>
          <w:highlight w:val="none"/>
        </w:rPr>
        <w:t xml:space="preserve">商务要求</w:t>
      </w:r>
      <w:r>
        <w:rPr>
          <w:rFonts w:hint="eastAsia" w:ascii="宋体" w:hAnsi="宋体" w:eastAsia="宋体" w:cs="宋体"/>
          <w:b/>
          <w:color w:val="000000"/>
          <w:sz w:val="21"/>
          <w:szCs w:val="21"/>
          <w:highlight w:val="none"/>
        </w:rPr>
      </w:r>
      <w:r/>
    </w:p>
    <w:p>
      <w:pPr>
        <w:pStyle w:val="1048"/>
        <w:numPr>
          <w:ilvl w:val="0"/>
          <w:numId w:val="0"/>
        </w:numPr>
        <w:ind w:firstLine="420"/>
        <w:keepLines w:val="0"/>
        <w:keepNext w:val="0"/>
        <w:pageBreakBefore w:val="0"/>
        <w:spacing w:line="400" w:lineRule="exact"/>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1.交货日期及交货地点</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left="420" w:firstLine="0"/>
        <w:keepLines w:val="0"/>
        <w:keepNext w:val="0"/>
        <w:pageBreakBefore w:val="0"/>
        <w:spacing w:line="400" w:lineRule="exact"/>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（1）交货日期：</w:t>
      </w:r>
      <w:r>
        <w:rPr>
          <w:rFonts w:hint="eastAsia" w:ascii="宋体" w:hAnsi="宋体" w:eastAsia="宋体" w:cs="宋体"/>
          <w:b/>
          <w:bCs w:val="0"/>
          <w:color w:val="000000"/>
          <w:sz w:val="21"/>
          <w:szCs w:val="21"/>
          <w:highlight w:val="none"/>
          <w:u w:val="single"/>
          <w:lang w:val="en-US" w:eastAsia="zh-CN" w:bidi="ar-SA"/>
        </w:rPr>
        <w:t xml:space="preserve">自合同签订之日起18个月</w:t>
      </w:r>
      <w:r>
        <w:rPr>
          <w:rFonts w:hint="eastAsia" w:ascii="宋体" w:hAnsi="宋体" w:eastAsia="宋体" w:cs="宋体"/>
          <w:b/>
          <w:bCs w:val="0"/>
          <w:color w:val="000000"/>
          <w:sz w:val="21"/>
          <w:szCs w:val="21"/>
          <w:highlight w:val="none"/>
          <w:u w:val="single"/>
          <w:lang w:eastAsia="zh-CN"/>
        </w:rPr>
        <w:t xml:space="preserve">内完成合同范围内所有设备的供货并安装调试完成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bidi="ar-SA"/>
        </w:rPr>
        <w:t xml:space="preserve">（2）交货地点：</w:t>
      </w:r>
      <w:r>
        <w:rPr>
          <w:rFonts w:hint="eastAsia" w:ascii="宋体" w:hAnsi="宋体" w:eastAsia="宋体" w:cs="宋体"/>
          <w:b/>
          <w:bCs w:val="0"/>
          <w:color w:val="000000"/>
          <w:sz w:val="21"/>
          <w:szCs w:val="21"/>
          <w:highlight w:val="none"/>
          <w:u w:val="single"/>
          <w:lang w:val="en-US" w:eastAsia="zh-CN" w:bidi="ar-SA"/>
        </w:rPr>
        <w:t xml:space="preserve">中标人负责将货物运到采购人指定地点并承担相关费用</w:t>
      </w:r>
      <w:r>
        <w:rPr>
          <w:rFonts w:hint="eastAsia" w:ascii="宋体" w:hAnsi="宋体" w:eastAsia="宋体" w:cs="宋体"/>
          <w:b w:val="0"/>
          <w:bCs/>
          <w:color w:val="000000"/>
          <w:sz w:val="21"/>
          <w:szCs w:val="21"/>
          <w:highlight w:val="none"/>
          <w:lang w:val="en-US" w:eastAsia="zh-CN" w:bidi="ar-SA"/>
        </w:rPr>
        <w:t xml:space="preserve">。</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2.结算原则及付款条件</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2"/>
        <w:keepLines w:val="0"/>
        <w:keepNext w:val="0"/>
        <w:pageBreakBefore w:val="0"/>
        <w:spacing w:line="400" w:lineRule="exact"/>
        <w:widowControl w:val="off"/>
        <w:rPr>
          <w:rFonts w:ascii="宋体" w:hAnsi="宋体" w:eastAsia="宋体" w:cs="宋体"/>
          <w:b/>
          <w:bCs w:val="0"/>
          <w:color w:val="000000"/>
          <w:sz w:val="21"/>
          <w:szCs w:val="21"/>
          <w:highlight w:val="none"/>
          <w:u w:val="single"/>
          <w:lang w:val="en-US" w:eastAsia="zh-CN" w:bidi="ar-SA"/>
        </w:rPr>
      </w:pPr>
      <w:r>
        <w:rPr>
          <w:rFonts w:hint="eastAsia" w:ascii="宋体" w:hAnsi="宋体" w:eastAsia="宋体" w:cs="宋体"/>
          <w:b/>
          <w:bCs w:val="0"/>
          <w:color w:val="000000"/>
          <w:sz w:val="21"/>
          <w:szCs w:val="21"/>
          <w:highlight w:val="none"/>
          <w:u w:val="none"/>
          <w:lang w:val="en-US" w:eastAsia="zh-CN" w:bidi="ar-SA"/>
        </w:rPr>
        <w:t xml:space="preserve">2.1结算原则：</w:t>
      </w:r>
      <w:r>
        <w:rPr>
          <w:rFonts w:hint="eastAsia" w:ascii="宋体" w:hAnsi="宋体" w:eastAsia="宋体" w:cs="宋体"/>
          <w:b/>
          <w:bCs w:val="0"/>
          <w:color w:val="000000"/>
          <w:sz w:val="21"/>
          <w:szCs w:val="21"/>
          <w:highlight w:val="none"/>
          <w:u w:val="single"/>
          <w:lang w:val="en-US" w:eastAsia="zh-CN" w:bidi="ar-SA"/>
        </w:rPr>
        <w:t xml:space="preserve">全费用固定综合单价，按实结算</w:t>
      </w:r>
      <w:r>
        <w:rPr>
          <w:rFonts w:hint="eastAsia" w:ascii="宋体" w:hAnsi="宋体" w:eastAsia="宋体" w:cs="宋体"/>
          <w:b/>
          <w:bCs w:val="0"/>
          <w:color w:val="000000"/>
          <w:sz w:val="21"/>
          <w:szCs w:val="21"/>
          <w:highlight w:val="none"/>
          <w:u w:val="none"/>
          <w:lang w:val="en-US" w:eastAsia="zh-CN" w:bidi="ar-SA"/>
        </w:rPr>
        <w:t xml:space="preserve">。</w:t>
      </w:r>
      <w:r>
        <w:rPr>
          <w:rFonts w:ascii="宋体" w:hAnsi="宋体" w:eastAsia="宋体" w:cs="宋体"/>
          <w:b/>
          <w:bCs w:val="0"/>
          <w:color w:val="000000"/>
          <w:sz w:val="21"/>
          <w:szCs w:val="21"/>
          <w:highlight w:val="none"/>
          <w:u w:val="single"/>
          <w:lang w:val="en-US" w:eastAsia="zh-CN" w:bidi="ar-SA"/>
        </w:rPr>
      </w:r>
      <w:r/>
    </w:p>
    <w:p>
      <w:pPr>
        <w:pStyle w:val="1048"/>
        <w:numPr>
          <w:ilvl w:val="0"/>
          <w:numId w:val="0"/>
        </w:numPr>
        <w:ind w:firstLine="422"/>
        <w:keepLines w:val="0"/>
        <w:keepNext w:val="0"/>
        <w:pageBreakBefore w:val="0"/>
        <w:spacing w:line="400" w:lineRule="exact"/>
        <w:widowControl w:val="off"/>
        <w:rPr>
          <w:rFonts w:hint="eastAsia" w:ascii="宋体" w:hAnsi="宋体" w:eastAsia="宋体" w:cs="宋体"/>
          <w:b/>
          <w:bCs w:val="0"/>
          <w:color w:val="000000"/>
          <w:sz w:val="21"/>
          <w:szCs w:val="21"/>
          <w:highlight w:val="none"/>
          <w:u w:val="single"/>
          <w:lang w:val="en-US" w:eastAsia="zh-CN" w:bidi="ar-SA"/>
        </w:rPr>
      </w:pPr>
      <w:r>
        <w:rPr>
          <w:rFonts w:hint="eastAsia" w:ascii="宋体" w:hAnsi="宋体" w:eastAsia="宋体" w:cs="宋体"/>
          <w:b/>
          <w:bCs w:val="0"/>
          <w:color w:val="000000"/>
          <w:sz w:val="21"/>
          <w:szCs w:val="21"/>
          <w:highlight w:val="none"/>
          <w:u w:val="none"/>
          <w:lang w:val="en-US" w:eastAsia="zh-CN" w:bidi="ar-SA"/>
        </w:rPr>
        <w:t xml:space="preserve">2.2付款条件：</w:t>
      </w:r>
      <w:r>
        <w:rPr>
          <w:rFonts w:hint="eastAsia" w:ascii="宋体" w:hAnsi="宋体" w:eastAsia="宋体" w:cs="宋体"/>
          <w:b/>
          <w:bCs w:val="0"/>
          <w:color w:val="000000"/>
          <w:sz w:val="21"/>
          <w:szCs w:val="21"/>
          <w:highlight w:val="none"/>
          <w:u w:val="single"/>
          <w:lang w:val="en-US" w:eastAsia="zh-CN" w:bidi="ar-SA"/>
        </w:rPr>
        <w:t xml:space="preserve">（1）合同签订后支付合同总金额的30%作为预付款；（2）乙方规定时间内交付货物，甲方在10个工作日内进行初步验收确认数量、规格等，支付至合同总金额的60%，如初步验收发现货物存在数量短缺，规格不符等问题，乙方需及时补换货，初验时间顺延；（3）货物交付且安装完成后(如需审计)则审计后，满足合同约定条件的，甲方在安装调试验收合格之日起60日付款至合同总金额（审定金额）的100%。</w:t>
      </w:r>
      <w:r>
        <w:rPr>
          <w:rFonts w:hint="eastAsia" w:ascii="宋体" w:hAnsi="宋体" w:eastAsia="宋体" w:cs="宋体"/>
          <w:b/>
          <w:bCs w:val="0"/>
          <w:color w:val="000000"/>
          <w:sz w:val="21"/>
          <w:szCs w:val="21"/>
          <w:highlight w:val="none"/>
          <w:u w:val="single"/>
          <w:lang w:val="en-US" w:eastAsia="zh-CN" w:bidi="ar-SA"/>
        </w:rPr>
      </w:r>
      <w:r/>
    </w:p>
    <w:p>
      <w:pPr>
        <w:pStyle w:val="1048"/>
        <w:numPr>
          <w:ilvl w:val="0"/>
          <w:numId w:val="0"/>
        </w:numPr>
        <w:ind w:firstLine="422"/>
        <w:keepLines w:val="0"/>
        <w:keepNext w:val="0"/>
        <w:pageBreakBefore w:val="0"/>
        <w:spacing w:line="400" w:lineRule="exact"/>
        <w:widowControl w:val="off"/>
        <w:rPr>
          <w:rFonts w:hint="eastAsia" w:ascii="宋体" w:hAnsi="宋体" w:eastAsia="宋体" w:cs="宋体"/>
          <w:b/>
          <w:bCs w:val="0"/>
          <w:color w:val="000000"/>
          <w:sz w:val="21"/>
          <w:szCs w:val="21"/>
          <w:highlight w:val="none"/>
          <w:u w:val="single"/>
          <w:lang w:val="en-US" w:eastAsia="zh-CN" w:bidi="ar-SA"/>
        </w:rPr>
      </w:pPr>
      <w:r>
        <w:rPr>
          <w:rFonts w:hint="eastAsia" w:ascii="宋体" w:hAnsi="宋体" w:eastAsia="宋体" w:cs="宋体"/>
          <w:b/>
          <w:bCs w:val="0"/>
          <w:color w:val="000000"/>
          <w:sz w:val="21"/>
          <w:szCs w:val="21"/>
          <w:highlight w:val="none"/>
          <w:u w:val="none"/>
          <w:lang w:val="en-US" w:eastAsia="zh-CN" w:bidi="ar-SA"/>
        </w:rPr>
        <w:t xml:space="preserve">2.3特别说明：</w:t>
      </w:r>
      <w:r>
        <w:rPr>
          <w:rFonts w:hint="eastAsia" w:ascii="宋体" w:hAnsi="宋体" w:eastAsia="宋体" w:cs="宋体"/>
          <w:b/>
          <w:bCs w:val="0"/>
          <w:color w:val="000000"/>
          <w:sz w:val="21"/>
          <w:szCs w:val="21"/>
          <w:highlight w:val="none"/>
          <w:u w:val="single"/>
          <w:lang w:val="en-US" w:eastAsia="zh-CN" w:bidi="ar-SA"/>
        </w:rPr>
        <w:t xml:space="preserve">（1）结算审计核减率5%以下的审计费用由采购人承担；核减率5%（含）以上的审计费用一律由中标人承担，并直接在审定价中扣除。中标人应无条件接受采购人内部审计部门的延伸审计。（2）付款前，中标人应提供符合采购人要求的合同全额的合法有效发票。否则，采购人有权顺延付款时间，且不承担任何违约或赔偿责任。</w:t>
      </w:r>
      <w:r>
        <w:rPr>
          <w:rFonts w:hint="eastAsia" w:ascii="宋体" w:hAnsi="宋体" w:eastAsia="宋体" w:cs="宋体"/>
          <w:b/>
          <w:bCs w:val="0"/>
          <w:color w:val="000000"/>
          <w:sz w:val="21"/>
          <w:szCs w:val="21"/>
          <w:highlight w:val="none"/>
          <w:u w:val="single"/>
          <w:lang w:val="en-US" w:eastAsia="zh-CN" w:bidi="ar-SA"/>
        </w:rPr>
      </w:r>
      <w:r/>
    </w:p>
    <w:p>
      <w:pPr>
        <w:pStyle w:val="1048"/>
        <w:ind w:firstLine="420"/>
        <w:keepLines w:val="0"/>
        <w:keepNext w:val="0"/>
        <w:pageBreakBefore w:val="0"/>
        <w:spacing w:line="400" w:lineRule="exact"/>
        <w:widowControl w:val="off"/>
        <w:rPr>
          <w:rFonts w:hint="eastAsia" w:ascii="宋体" w:hAnsi="宋体" w:eastAsia="宋体" w:cs="宋体"/>
          <w:b/>
          <w:bCs w:val="0"/>
          <w:color w:val="000000"/>
          <w:sz w:val="21"/>
          <w:szCs w:val="21"/>
          <w:highlight w:val="none"/>
          <w:u w:val="single"/>
          <w:lang w:val="en-US" w:eastAsia="zh-CN" w:bidi="ar-SA"/>
        </w:rPr>
      </w:pPr>
      <w:r>
        <w:rPr>
          <w:rFonts w:hint="eastAsia" w:ascii="宋体" w:hAnsi="宋体" w:eastAsia="宋体" w:cs="宋体"/>
          <w:bCs/>
          <w:color w:val="000000"/>
          <w:sz w:val="21"/>
          <w:szCs w:val="21"/>
          <w:highlight w:val="none"/>
          <w:lang w:val="en-US" w:eastAsia="zh-CN"/>
        </w:rPr>
        <w:t xml:space="preserve">3.</w:t>
      </w:r>
      <w:r>
        <w:rPr>
          <w:rFonts w:ascii="宋体" w:hAnsi="宋体" w:eastAsia="宋体" w:cs="宋体"/>
          <w:bCs/>
          <w:color w:val="000000"/>
          <w:sz w:val="21"/>
          <w:szCs w:val="21"/>
          <w:highlight w:val="none"/>
          <w:lang w:eastAsia="zh-CN"/>
        </w:rPr>
        <w:t xml:space="preserve">质保期</w:t>
      </w:r>
      <w:r>
        <w:rPr>
          <w:rFonts w:ascii="宋体" w:hAnsi="宋体" w:eastAsia="宋体" w:cs="宋体"/>
          <w:bCs/>
          <w:color w:val="000000"/>
          <w:sz w:val="21"/>
          <w:szCs w:val="21"/>
          <w:highlight w:val="none"/>
        </w:rPr>
        <w:t xml:space="preserve">：</w:t>
      </w:r>
      <w:r>
        <w:rPr>
          <w:rFonts w:ascii="宋体" w:hAnsi="宋体" w:eastAsia="宋体" w:cs="宋体"/>
          <w:b/>
          <w:bCs w:val="0"/>
          <w:color w:val="000000"/>
          <w:sz w:val="21"/>
          <w:szCs w:val="21"/>
          <w:highlight w:val="none"/>
          <w:u w:val="single"/>
        </w:rPr>
        <w:t xml:space="preserve">自</w:t>
      </w:r>
      <w:r>
        <w:rPr>
          <w:rFonts w:hint="eastAsia" w:ascii="宋体" w:hAnsi="宋体" w:eastAsia="宋体" w:cs="宋体"/>
          <w:b/>
          <w:bCs w:val="0"/>
          <w:color w:val="000000"/>
          <w:sz w:val="21"/>
          <w:szCs w:val="21"/>
          <w:highlight w:val="none"/>
          <w:u w:val="single"/>
          <w:lang w:val="en-US" w:eastAsia="zh-CN"/>
        </w:rPr>
        <w:t xml:space="preserve">采购</w:t>
      </w:r>
      <w:r>
        <w:rPr>
          <w:rFonts w:ascii="宋体" w:hAnsi="宋体" w:eastAsia="宋体" w:cs="宋体"/>
          <w:b/>
          <w:bCs w:val="0"/>
          <w:color w:val="000000"/>
          <w:sz w:val="21"/>
          <w:szCs w:val="21"/>
          <w:highlight w:val="none"/>
          <w:u w:val="single"/>
        </w:rPr>
        <w:t xml:space="preserve">人验收合格之日起5年</w:t>
      </w:r>
      <w:r>
        <w:rPr>
          <w:rFonts w:hint="eastAsia" w:ascii="宋体" w:hAnsi="宋体" w:eastAsia="宋体" w:cs="宋体"/>
          <w:b/>
          <w:bCs w:val="0"/>
          <w:color w:val="000000"/>
          <w:sz w:val="21"/>
          <w:szCs w:val="21"/>
          <w:highlight w:val="none"/>
          <w:u w:val="single"/>
          <w:lang w:eastAsia="zh-CN"/>
        </w:rPr>
        <w:t xml:space="preserve">，</w:t>
      </w:r>
      <w:r>
        <w:rPr>
          <w:rFonts w:ascii="宋体" w:hAnsi="宋体" w:eastAsia="宋体" w:cs="宋体"/>
          <w:b/>
          <w:bCs w:val="0"/>
          <w:color w:val="000000"/>
          <w:sz w:val="21"/>
          <w:szCs w:val="21"/>
          <w:highlight w:val="none"/>
          <w:u w:val="single"/>
        </w:rPr>
        <w:t xml:space="preserve">质保期内免费升级、维护</w:t>
      </w:r>
      <w:r>
        <w:rPr>
          <w:rFonts w:ascii="宋体" w:hAnsi="宋体" w:eastAsia="宋体" w:cs="宋体"/>
          <w:bCs/>
          <w:color w:val="000000"/>
          <w:sz w:val="21"/>
          <w:szCs w:val="21"/>
          <w:highlight w:val="none"/>
        </w:rPr>
        <w:t xml:space="preserve">。</w:t>
      </w:r>
      <w:r>
        <w:rPr>
          <w:rFonts w:hint="eastAsia" w:ascii="宋体" w:hAnsi="宋体" w:eastAsia="宋体" w:cs="宋体"/>
          <w:b/>
          <w:bCs w:val="0"/>
          <w:color w:val="000000"/>
          <w:sz w:val="21"/>
          <w:szCs w:val="21"/>
          <w:highlight w:val="none"/>
          <w:u w:val="single"/>
          <w:lang w:val="en-US" w:eastAsia="zh-CN" w:bidi="ar-SA"/>
        </w:rPr>
      </w:r>
      <w:r/>
    </w:p>
    <w:p>
      <w:pPr>
        <w:pStyle w:val="1048"/>
        <w:numPr>
          <w:ilvl w:val="0"/>
          <w:numId w:val="0"/>
        </w:numPr>
        <w:ind w:firstLine="422"/>
        <w:keepLines w:val="0"/>
        <w:keepNext w:val="0"/>
        <w:pageBreakBefore w:val="0"/>
        <w:spacing w:line="400" w:lineRule="exact"/>
        <w:widowControl w:val="off"/>
        <w:rPr>
          <w:rFonts w:hint="eastAsia" w:ascii="宋体" w:hAnsi="宋体" w:eastAsia="宋体" w:cs="宋体"/>
          <w:b/>
          <w:bCs w:val="0"/>
          <w:color w:val="000000"/>
          <w:sz w:val="21"/>
          <w:szCs w:val="21"/>
          <w:highlight w:val="none"/>
          <w:lang w:val="en-US" w:eastAsia="zh-CN" w:bidi="ar-SA"/>
        </w:rPr>
        <w:sectPr>
          <w:footerReference w:type="default" r:id="rId19"/>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000000"/>
          <w:sz w:val="21"/>
          <w:szCs w:val="21"/>
          <w:highlight w:val="none"/>
          <w:lang w:val="en-US" w:eastAsia="zh-CN" w:bidi="ar-SA"/>
        </w:rPr>
        <w:t xml:space="preserve">三、采购清单及技术要求</w:t>
      </w:r>
      <w:r>
        <w:rPr>
          <w:rFonts w:hint="eastAsia" w:ascii="宋体" w:hAnsi="宋体" w:eastAsia="宋体" w:cs="宋体"/>
          <w:b/>
          <w:bCs w:val="0"/>
          <w:color w:val="000000"/>
          <w:sz w:val="21"/>
          <w:szCs w:val="21"/>
          <w:highlight w:val="none"/>
          <w:lang w:val="en-US" w:eastAsia="zh-CN" w:bidi="ar-SA"/>
        </w:rPr>
      </w:r>
      <w:r/>
    </w:p>
    <w:p>
      <w:pPr>
        <w:pStyle w:val="1048"/>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（一）采购清单</w:t>
      </w:r>
      <w:r>
        <w:rPr>
          <w:rFonts w:hint="eastAsia" w:ascii="宋体" w:hAnsi="宋体" w:eastAsia="宋体" w:cs="宋体"/>
          <w:b/>
          <w:bCs w:val="0"/>
          <w:color w:val="000000"/>
          <w:sz w:val="21"/>
          <w:szCs w:val="21"/>
          <w:highlight w:val="none"/>
          <w:lang w:val="en-US" w:eastAsia="zh-CN" w:bidi="ar-SA"/>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1"/>
        <w:gridCol w:w="1286"/>
        <w:gridCol w:w="8494"/>
        <w:gridCol w:w="722"/>
        <w:gridCol w:w="742"/>
        <w:gridCol w:w="1214"/>
      </w:tblGrid>
      <w:tr>
        <w:trPr>
          <w:trHeight w:val="295"/>
        </w:trPr>
        <w:tc>
          <w:tcPr>
            <w:tcW w:w="521" w:type="dxa"/>
            <w:vAlign w:val="center"/>
            <w:textDirection w:val="lrTb"/>
            <w:noWrap w:val="false"/>
          </w:tcPr>
          <w:p>
            <w:pPr>
              <w:pStyle w:val="1048"/>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rFonts w:hint="eastAsia" w:ascii="宋体" w:hAnsi="宋体" w:eastAsia="宋体" w:cs="宋体"/>
                <w:b/>
                <w:bCs/>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项目名称</w:t>
            </w:r>
            <w:r>
              <w:rPr>
                <w:rFonts w:hint="eastAsia" w:ascii="宋体" w:hAnsi="宋体" w:eastAsia="宋体" w:cs="宋体"/>
                <w:b/>
                <w:bCs/>
                <w:i w:val="0"/>
                <w:iCs w:val="0"/>
                <w:color w:val="000000"/>
                <w:sz w:val="18"/>
                <w:szCs w:val="18"/>
                <w:highlight w:val="none"/>
                <w:u w:val="none"/>
              </w:rPr>
            </w:r>
            <w:r/>
          </w:p>
        </w:tc>
        <w:tc>
          <w:tcPr>
            <w:tcW w:w="8494" w:type="dxa"/>
            <w:vAlign w:val="center"/>
            <w:textDirection w:val="lrTb"/>
            <w:noWrap w:val="false"/>
          </w:tcPr>
          <w:p>
            <w:pPr>
              <w:pStyle w:val="1048"/>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t xml:space="preserve">项目特征描述及技术参数</w:t>
            </w:r>
            <w:r>
              <w:rPr>
                <w:rFonts w:hint="eastAsia" w:ascii="宋体" w:hAnsi="宋体" w:eastAsia="宋体" w:cs="宋体"/>
                <w:b/>
                <w:bCs/>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rPr>
                <w:rFonts w:hint="eastAsia" w:ascii="宋体" w:hAnsi="宋体" w:eastAsia="宋体" w:cs="宋体"/>
                <w:b/>
                <w:bCs/>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rPr>
                <w:rFonts w:hint="eastAsia" w:ascii="宋体" w:hAnsi="宋体" w:eastAsia="宋体" w:cs="宋体"/>
                <w:b/>
                <w:bCs/>
                <w:i w:val="0"/>
                <w:iCs w:val="0"/>
                <w:color w:val="000000"/>
                <w:sz w:val="18"/>
                <w:szCs w:val="18"/>
                <w:highlight w:val="none"/>
                <w:u w:val="none"/>
              </w:rPr>
            </w:r>
            <w:r/>
          </w:p>
        </w:tc>
        <w:tc>
          <w:tcPr>
            <w:tcW w:w="1214" w:type="dxa"/>
            <w:vAlign w:val="center"/>
            <w:textDirection w:val="lrTb"/>
            <w:noWrap w:val="false"/>
          </w:tcPr>
          <w:p>
            <w:pPr>
              <w:pStyle w:val="1048"/>
              <w:ind w:firstLine="0"/>
              <w:jc w:val="center"/>
              <w:keepLines w:val="0"/>
              <w:keepNext w:val="0"/>
              <w:pageBreakBefore w:val="0"/>
              <w:spacing w:line="240" w:lineRule="auto"/>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备注</w:t>
            </w:r>
            <w:r>
              <w:rPr>
                <w:rFonts w:hint="eastAsia" w:ascii="宋体" w:hAnsi="宋体" w:eastAsia="宋体" w:cs="宋体"/>
                <w:b/>
                <w:bCs/>
                <w:i w:val="0"/>
                <w:iCs w:val="0"/>
                <w:color w:val="000000"/>
                <w:sz w:val="18"/>
                <w:szCs w:val="18"/>
                <w:highlight w:val="none"/>
                <w:u w:val="none"/>
              </w:rPr>
            </w:r>
            <w:r/>
          </w:p>
        </w:tc>
      </w:tr>
      <w:tr>
        <w:trPr>
          <w:trHeight w:val="295"/>
        </w:trPr>
        <w:tc>
          <w:tcPr>
            <w:tcW w:w="521"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一</w:t>
            </w:r>
            <w:r>
              <w:rPr>
                <w:rFonts w:hint="eastAsia" w:ascii="宋体" w:hAnsi="宋体" w:eastAsia="宋体" w:cs="宋体"/>
                <w:b/>
                <w:bCs/>
                <w:i w:val="0"/>
                <w:iCs w:val="0"/>
                <w:color w:val="000000"/>
                <w:sz w:val="18"/>
                <w:szCs w:val="18"/>
                <w:highlight w:val="none"/>
                <w:u w:val="none"/>
              </w:rPr>
            </w:r>
            <w:r/>
          </w:p>
        </w:tc>
        <w:tc>
          <w:tcPr>
            <w:gridSpan w:val="5"/>
            <w:tcW w:w="12458"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设备更新</w:t>
            </w:r>
            <w:r>
              <w:rPr>
                <w:rFonts w:hint="eastAsia" w:ascii="宋体" w:hAnsi="宋体" w:eastAsia="宋体" w:cs="宋体"/>
                <w:b/>
                <w:bCs/>
                <w:i w:val="0"/>
                <w:iCs w:val="0"/>
                <w:color w:val="000000"/>
                <w:sz w:val="18"/>
                <w:szCs w:val="18"/>
                <w:highlight w:val="none"/>
                <w:u w:val="none"/>
                <w:lang w:val="en-US" w:eastAsia="zh-CN" w:bidi="ar"/>
              </w:rPr>
            </w:r>
            <w:r/>
          </w:p>
        </w:tc>
      </w:tr>
      <w:tr>
        <w:trPr>
          <w:trHeight w:val="2137"/>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900万环保高清电子警察抓拍单元</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lang w:val="en-US" w:eastAsia="zh-CN" w:bidi="ar"/>
              </w:rPr>
              <w:t xml:space="preserve">（核心产品）</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900万环保高清电子警察抓拍单元；包含高清一体化嵌入式摄像机、高清镜头、室外防护罩、电源适配器、内置补光灯、安装万向节等。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支持对摩托车闯红灯、不按导向行驶、闯禁令、不戴头盔、逆行、载人等违法行为进行抓拍。支持大型货车闯红灯抓拍功能，包括拖车、挂车、罐车、平板货车、集装箱牵引车、渣土车、吸污车等货车类型。支持AI车牌增强功能，包括：蓝牌、黄牌、白牌、黑牌、绿牌、渐变绿、黄绿双拼牌，开启后可防止车牌过曝。支持牛眼灯下的车牌识别功能，抓拍图片车牌，抓拍图片车牌清晰可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快门方式：支持单快门、全息双快门、三快门；电子快门：支持1/50s~1/100000s（可手动或自动调节）；曝光模式：支持全自动/自定义区间/自定义。光圈控制：支持手动光圈、固定光圈、P-IRIS自动光圈。视频压缩标准：H.265;H.264B;H.264M;H.264H;MJPEG；图片编码格式：JPE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3、支持车辆子品牌识别功能，在目标清晰可辨的条件下进行测试，白天车辆子品牌识别准确率≥99%；晚上车辆子品牌识别准确率≥99%。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4、车辆捕获率：白天车辆捕获率≥98%、夜间车辆捕获率≥98%。号牌识别准确率：白天车辆号牌识别准确率≥98%，夜间车辆号牌识别准确率≥98%。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车辆子品牌识别并可在OSD上叠加显示相应的子品牌及年款，通过车头可识别≥7600种车辆子品牌，车尾≥3900种车辆子品牌支持识别并显示不低于51种车辆类型。支持识别车标类型≥460种。在天气晴朗无雾，车辆无遮挡，白天环境光照度不低于200lx，夜晚辅助光照度不高于30lx的情况下进行测试：白天车标识别准确率≥99%；夜晚车标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6、接入标准支持ONVIF；CGI；GB/T28181；GA/T1400；GB35114-A。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设备支持设置图片3D降噪功能，包括图片空域3D降噪及图片时域3D降噪，降噪等级0~100可分别设置，可通过菜单启用或关闭。支持大型货车闯红灯抓拍功能，包括拖车、挂车、罐车、平板货车、集装箱牵引卡车等货车类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支持禁货、禁拖拉机、禁农用车、禁大客车、禁拖/挂车通行等违章抓拍。支持压线、违法变道、不按导向行驶、机占非、通行在尾号限行区域、不按规定车道行驶、占用公交车道、逆行、非占机、违章掉头、黄网格违停、占用应急车道、外地车通行在限行区域、斑马线不礼让行人等违法行车行为检测抓拍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网络接口支持≥2个独立MAC、物理隔离的RJ-45以太网口，支持10/100/1000M网络数据传输；存储接口≥1个，最大支持256GTF卡本地存储；I/O接口≥4个，用于I/O触发抓拍信号输入。光圈控制接口≥1个，P-IRIS自动光圈；变焦控制接口≥1个，可接电动变焦镜头；频率源同步接口≥1个，支持相机与市电同步；外置灯接口≥7个，光耦开关量信号输出；RS-485接口≥2个；RS-232接口≥4个。</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10、供电方式：AC100V~AC240V（50HZ/60HZ）；功耗：≤21W。工作温度：-40℃~+65℃；防护等级≥IP66；具有网络防雷和防浪涌功能。</w:t>
            </w:r>
            <w:r>
              <w:rPr>
                <w:rFonts w:hint="eastAsia" w:ascii="宋体" w:hAnsi="宋体" w:eastAsia="宋体" w:cs="宋体"/>
                <w:i w:val="0"/>
                <w:iCs w:val="0"/>
                <w:color w:val="000000"/>
                <w:sz w:val="18"/>
                <w:szCs w:val="18"/>
                <w:highlight w:val="none"/>
                <w:u w:val="none"/>
                <w:lang w:val="en-US" w:eastAsia="zh-CN" w:bidi="ar"/>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157</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ascii="宋体" w:hAnsi="宋体" w:eastAsia="宋体" w:cs="宋体"/>
                <w:i w:val="0"/>
                <w:iCs w:val="0"/>
                <w:color w:val="000000"/>
                <w:sz w:val="18"/>
                <w:szCs w:val="18"/>
                <w:highlight w:val="none"/>
                <w:u w:val="none"/>
                <w:lang w:val="en-US" w:eastAsia="zh-CN"/>
              </w:rPr>
            </w:pPr>
            <w:r>
              <w:rPr>
                <w:rFonts w:ascii="宋体" w:hAnsi="宋体" w:eastAsia="宋体" w:cs="宋体"/>
                <w:i w:val="0"/>
                <w:iCs w:val="0"/>
                <w:color w:val="000000"/>
                <w:sz w:val="18"/>
                <w:szCs w:val="18"/>
                <w:highlight w:val="none"/>
                <w:u w:val="none"/>
                <w:lang w:val="en-US" w:eastAsia="zh-CN"/>
              </w:rPr>
            </w:r>
            <w:r/>
          </w:p>
        </w:tc>
      </w:tr>
      <w:tr>
        <w:trPr>
          <w:trHeight w:val="229"/>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900万高清环保人脸卡口抓拍单元</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900万高清环保人脸卡口抓拍单元；包含高清一体化嵌入式摄像机、高清镜头、室外防护罩、电源适配器、安装万向节等。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val="0"/>
                <w:bCs w:val="0"/>
                <w:i w:val="0"/>
                <w:iCs w:val="0"/>
                <w:color w:val="000000"/>
                <w:sz w:val="18"/>
                <w:szCs w:val="18"/>
                <w:highlight w:val="none"/>
                <w:u w:val="none"/>
                <w:lang w:val="en-US" w:eastAsia="zh-CN" w:bidi="ar"/>
              </w:rPr>
              <w:t xml:space="preserve">1、采用不低于1.1英寸GS-CMOS传感器；图像分辨率未叠加字符分辨率≥4096×2160，叠加字符信息抓图</w:t>
            </w:r>
            <w:r>
              <w:rPr>
                <w:rFonts w:hint="eastAsia" w:ascii="宋体" w:hAnsi="宋体" w:cs="宋体"/>
                <w:b w:val="0"/>
                <w:bCs w:val="0"/>
                <w:i w:val="0"/>
                <w:iCs w:val="0"/>
                <w:color w:val="000000"/>
                <w:sz w:val="18"/>
                <w:szCs w:val="18"/>
                <w:highlight w:val="none"/>
                <w:u w:val="none"/>
                <w:lang w:val="en-US" w:eastAsia="zh-CN" w:bidi="ar"/>
              </w:rPr>
              <w:t xml:space="preserve">分辨率</w:t>
            </w:r>
            <w:r>
              <w:rPr>
                <w:rFonts w:hint="eastAsia" w:ascii="宋体" w:hAnsi="宋体" w:eastAsia="宋体" w:cs="宋体"/>
                <w:b w:val="0"/>
                <w:bCs w:val="0"/>
                <w:i w:val="0"/>
                <w:iCs w:val="0"/>
                <w:color w:val="000000"/>
                <w:sz w:val="18"/>
                <w:szCs w:val="18"/>
                <w:highlight w:val="none"/>
                <w:u w:val="none"/>
                <w:lang w:val="en-US" w:eastAsia="zh-CN" w:bidi="ar"/>
              </w:rPr>
              <w:t xml:space="preserve">≥4096×4328。支持通过相机控制台进入图像调节工具，并对图像和视频设置逆光亮度补偿及顺光亮度补偿。支持场景划线示意，可以通过图像及文字形式辅助相机场景规则线的配置。支持礼让行人及行人闯红灯模式下的自动划线。</w:t>
            </w:r>
            <w:r>
              <w:rPr>
                <w:rFonts w:hint="eastAsia" w:ascii="宋体" w:hAnsi="宋体" w:eastAsia="宋体" w:cs="宋体"/>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2、快门</w:t>
            </w:r>
            <w:r>
              <w:rPr>
                <w:rFonts w:hint="eastAsia" w:ascii="宋体" w:hAnsi="宋体" w:eastAsia="宋体" w:cs="宋体"/>
                <w:i w:val="0"/>
                <w:iCs w:val="0"/>
                <w:color w:val="000000"/>
                <w:sz w:val="18"/>
                <w:szCs w:val="18"/>
                <w:highlight w:val="none"/>
                <w:u w:val="none"/>
                <w:lang w:val="en-US" w:eastAsia="zh-CN" w:bidi="ar"/>
              </w:rPr>
              <w:t xml:space="preserve">方式：支持单快门、全息双快门、三快门；电子快门：支持1/50s~1/100000s（可手动或自动调节）；曝光模式：支持全自动/自定义区间/自定义。光圈控制：支持手动光圈、固定光圈、P-IRIS自动光圈。</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3、视频压缩标准：H.265;H.264B;H.264M;H.264H;MJPEG；图片编码格式：JPEG。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4、支持车辆子品牌识别功能，在目标清晰可辨的条件下进行测试，白天车辆子品牌识别准确率≥99%；晚上车辆子品牌识别准确率≥99%。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5、车辆捕获率：白天车辆捕获率≥98%、夜间车辆捕获率≥98%。号牌识别准确率：白天车辆号牌识别准确率≥98%，夜间车辆号牌识别准确率≥98%。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val="0"/>
                <w:bCs w:val="0"/>
                <w:i w:val="0"/>
                <w:iCs w:val="0"/>
                <w:color w:val="000000"/>
                <w:sz w:val="18"/>
                <w:szCs w:val="18"/>
                <w:highlight w:val="none"/>
                <w:u w:val="none"/>
                <w:lang w:val="en-US" w:eastAsia="zh-CN" w:bidi="ar"/>
              </w:rPr>
              <w:t xml:space="preserve">6、支持识别危化品车辆及其危险性识别号，可通过OSD将识别结果叠加在抓拍图片上，并可将数据上传至平台。支持占用公交车道违章抓拍，可设置抓拍车辆类型(包括无牌机动车、摩托车等)，且支持过滤出租车。支持按通过置信度及车型配置过滤主/副驾驶不系安全带行为抓拍，其中车型包括大货车、中货车、客车、中客车和公交车，置信度1~100可设置。支持主副驾人脸抠图，且副驾驶抠图支持多人，车窗小图可叠加在抓拍原图上。</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left="0"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支持在抓拍的基础上，抓拍输出车牌局部照片、车窗局部照片、非机动车局部照片、主副驾驶人脸照片，场景全景照片；配合补光灯，可穿透被车窗遮光条遮挡的驾驶员头部画面，并同时对驾驶员人脸进行抠图。可分别对齐刘海遮挡眉毛、头发遮挡眼睛、斜刘海遮住一侧眼睛、戴普通眼镜、戴墨镜、戴彩色眼镜、戴帽子、戴头戴式耳机、戴口罩、侧向、半边脸的人脸进行检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8、接入标准支持ONVIF；CGI；GB/T28181；GA/T1400；GB35114-A。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支持车辆子品牌识别并可在OSD上叠加显示相应的子品牌及年款，通过车头可识别≥7600种车辆子品牌，车尾≥3900种车辆子品牌支持识别并显示不低于51种车辆类型。设备支持设置图片3D降噪功能，包括图片空域3D降噪及图片时域3D降噪，降噪等级0~100可分别设置，可通过菜单启用或关闭。支持非机动车越停止线停车、非机动车进入机动车车道、非机动车不带头盔、三轮车载人、逆行、超速等违法行为识别，同时联动音柱进行即时喊话提醒。</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支持分别对9种以上车型(含大货车、中货车、小货车、客车、小轿车、中客车、危险品运输车、校车、其他车型等)进行不同超速比设置，可设置≥16个超速比区间。在相同道路上，设备支持根据不同的超速比设置对不同车型进行超速抓拍，并输出不同的超速抓拍结果及违法代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网络接口支持≥2个独立MAC、物理隔离的RJ-45以太网口，支持10/100/1000M网络数据传输；存储接口≥1个，最大支持256GTF卡本地存储；I/O接口≥4个，用于I/O触发抓拍信号输入。光圈控制接口≥1个，P-IRIS自动光圈；变焦控制接口≥1个，可接电动变焦镜头；频率源同步接口≥1个，支持相机与市电同步；外置灯接口≥7个，光耦开关量信号输出；RS-485接口≥2个；RS-232接口≥4个。</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12、供电方式：AC100V~AC240V（50HZ/60HZ）；功耗：≤15W。工作温度：-40℃~+65℃；防护等级≥IP66；具有网络防雷和防浪涌功能。</w:t>
            </w:r>
            <w:r>
              <w:rPr>
                <w:rFonts w:hint="eastAsia" w:ascii="宋体" w:hAnsi="宋体" w:eastAsia="宋体" w:cs="宋体"/>
                <w:i w:val="0"/>
                <w:iCs w:val="0"/>
                <w:color w:val="000000"/>
                <w:sz w:val="18"/>
                <w:szCs w:val="18"/>
                <w:highlight w:val="none"/>
                <w:u w:val="none"/>
                <w:lang w:val="en-US" w:eastAsia="zh-CN" w:bidi="ar"/>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一体式环保补光灯</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1、集成高亮度LED光源、氙气灯管光源于一体，可实现LED频闪、LED爆闪、白光氙气爆闪及红外氙气爆闪功能。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2、支持红外/白光闪光，可自动切换红外和白光模式；支持LED频闪同步相机视频补光；支持LED爆闪或氙气爆闪同步相机抓拍补光；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3、可见光波长范围：350nm～780nm；氙气色温支持≥5800K±200K，LED色温支持≥3500K；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4、中心光照度：LED支持≤5lx（20m平均光照度）、≤20lx（20m有效光照度）、≤80lx（20m频爆光照度）；氙气≤4000lx；</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5、光斑覆盖范围支持1车道；补光距离范围：16m~26m；回电时间＜70ms；闪光持续时间范围：180μs～500μs；支持统计爆闪次数和触发次数；闪光灯寿命≥1000万次；频率：100Hz。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6、支持滤光片未启用情况下，遮挡面积占爆闪灯总面积≤5%。眩光阈值增量(TI)值TI≤2%。氙气灯爆闪持续时间不高于250μs，LED爆闪持续时间不高于1ms。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7、支持在摄像机WEB上远程显示补光灯故障、正常状态；支持抓拍同步补光功能；支持视频同步补光功能。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8、供电方式AC220V±10％；功耗：＜65J/次；防护等级≥IP66。</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22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1400万环保高清抓拍单元</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1400万环保高清抓拍单元；包含高清一体化嵌入式摄像机、高清镜头、室外防护罩、电源适配器、内置补光灯、安装万向节等。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▲1、采用不低于1.17英寸传感器；支持视频分辨率≥4480×3072，抓图</w:t>
            </w:r>
            <w:r>
              <w:rPr>
                <w:rFonts w:hint="eastAsia" w:ascii="宋体" w:hAnsi="宋体" w:cs="宋体"/>
                <w:b/>
                <w:bCs/>
                <w:i w:val="0"/>
                <w:iCs w:val="0"/>
                <w:color w:val="000000"/>
                <w:sz w:val="18"/>
                <w:szCs w:val="18"/>
                <w:highlight w:val="none"/>
                <w:u w:val="none"/>
                <w:lang w:val="en-US" w:eastAsia="zh-CN" w:bidi="ar"/>
              </w:rPr>
              <w:t xml:space="preserve">分辨率</w:t>
            </w:r>
            <w:r>
              <w:rPr>
                <w:rFonts w:hint="eastAsia" w:ascii="宋体" w:hAnsi="宋体" w:eastAsia="宋体" w:cs="宋体"/>
                <w:b/>
                <w:bCs/>
                <w:i w:val="0"/>
                <w:iCs w:val="0"/>
                <w:color w:val="000000"/>
                <w:sz w:val="18"/>
                <w:szCs w:val="18"/>
                <w:highlight w:val="none"/>
                <w:u w:val="none"/>
                <w:lang w:val="en-US" w:eastAsia="zh-CN" w:bidi="ar"/>
              </w:rPr>
              <w:t xml:space="preserve">≥4480×3072。【投标文件中提供国家认可的认证机构出具的带有CMA标志检测报告复印件并加盖投标人公章】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支持通过相机控制台进入图像调节工具，并对图像和视频设置逆光亮度补偿及顺光亮度补偿。支持场景划线示意，可以通过图像及文字形式辅助相机场景规则线的配置。支持礼让行人及行人闯红灯模式下的自动划线。【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t xml:space="preserve">快门方式：支持单快门、全息双快门、三快门；电子快门：支持1/50s~1/100000s（可手动或自动调节）；曝光模式：支持全自动/自定义区间/自定义。光圈控制：支持手动光圈、固定光圈、P-IRIS自动光圈。视频压缩标准：H.265;H.264B;H.264M;H.264H;MJPEG；图片编码格式：JPE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t xml:space="preserve">、支持对摩托车闯红灯、不按导向行驶、闯禁令、不戴头盔、逆行、载人等违法行为进行抓拍。支持大型货车闯红灯抓拍功能，包括拖车、挂车、罐车、平板货车、集装箱牵引车、渣土车、吸污车等货车类型。支持AI车牌增强功能，包括：蓝牌、黄牌、白牌、黑牌、绿牌、渐变绿、黄绿双拼牌，开启后可防止车牌过曝。</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
              </w:rPr>
              <w:t xml:space="preserve">、支持车辆子品牌识别功能，在目标清晰可辨的条件下进行测试，白天车辆子品牌识别准确率≥99%；晚上车辆子品牌识别准确率≥99%。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lang w:val="en-US" w:eastAsia="zh-CN" w:bidi="ar"/>
              </w:rPr>
              <w:t xml:space="preserve">、车辆捕获率：白天车辆捕获率≥98%、夜间车辆捕获率≥98%。号牌识别准确率：白天车辆号牌识别准确率≥98%，夜间车辆号牌识别准确率≥98%。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7、支持场景划线示意，可以通过图像及文字形式辅助相机场景规则线的配置。支持礼让行人及行人闯红灯模式下的自动划线。相机违章合成图支持插入自定义静态图，包括逆行、超速、禁行、禁摩、占道类违法等图片。【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8、支持信号灯增强，包括单个信号灯增强以及信号灯区域增强。支持识别危化品车辆及其危险性识别号，可通过OSD将识别结果叠加在抓拍图片上，并可将数据上传至平台。支持占用公交车道违章抓拍，可设置抓拍车辆类型(包括无牌机动车、摩托车等)，且支持过滤出租车。【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lang w:val="en-US" w:eastAsia="zh-CN" w:bidi="ar"/>
              </w:rPr>
              <w:t xml:space="preserve">、支持识别车标类型≥460种。在天气晴朗无雾，车辆无遮挡，白天环境光照度不低于200lx，夜晚辅助光照度不高于30lx的情况下进行测试：白天车标识别准确率≥99%；夜晚车标识别准确率≥99%。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
              </w:rPr>
              <w:t xml:space="preserve">、接入标准支持ONVIF；CGI；GB/T28181；GA/T1400；GB35114-A。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lang w:val="en-US" w:eastAsia="zh-CN" w:bidi="ar"/>
              </w:rPr>
              <w:t xml:space="preserve">、设备支持设置图片3D降噪功能，包括图片空域3D降噪及图片时域3D降噪，降噪等级0~100可分别设置，可通过菜单启用或关闭。支持大型货车闯红灯抓拍功能，包括拖车、挂车、罐车、平板货车、集装箱牵引卡车等货车类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t xml:space="preserve">、支持禁货、禁拖拉机、禁农用车、禁大客车、禁拖/挂车通行等违章抓拍。支持压线、违法变道、不按导向行驶、机占非、通行在尾号限行区域、不按规定车道行驶、占用公交车道、逆行、非占机、违章掉头、黄网格违停、占用应急车道、外地车通行在限行区域、斑马线不礼让行人等违法行车行为检测抓拍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t xml:space="preserve">、网络接口支持≥2个独立MAC、物理隔离的RJ-45以太网口，支持10/100/1000M网络数据传输；存储接口≥1个，最大支持256GTF卡本地存储；I/O接口≥4个，用于I/O触发抓拍信号输入。光圈控制接口≥1个，P-IRIS自动光圈；变焦控制接口≥1个，可接电动变焦镜头；频率源同步接口≥1个，支持相机与市电同步；外置灯接口≥7个，光耦开关量信号输出；RS-485接口≥2个；RS-232接口≥4个。</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t xml:space="preserve">、供电方式：AC100V~AC240V（50HZ）；功耗：≤32W。工作温度：-40℃~+65℃；防护等级≥IP66；具有网络防雷和防浪涌功能。</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0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1600万环保高清电子警察抓拍单元</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1600万环保高清电子警察抓拍单元；包含高清一体化嵌入式摄像机、高清镜头、室外防护罩、电源适配器、内置补光灯、安装万向节等。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▲1、传感器类型：不低于1.1英寸背照式工艺传感器；抓图分辨率不低于5328×3040(不含OSD)；视频分辨率可设置为53</w:t>
            </w:r>
            <w:r>
              <w:rPr>
                <w:rFonts w:hint="eastAsia" w:ascii="宋体" w:hAnsi="宋体" w:eastAsia="宋体" w:cs="宋体"/>
                <w:b/>
                <w:bCs/>
                <w:i w:val="0"/>
                <w:iCs w:val="0"/>
                <w:color w:val="000000"/>
                <w:sz w:val="18"/>
                <w:szCs w:val="18"/>
                <w:highlight w:val="none"/>
                <w:u w:val="none"/>
                <w:lang w:val="en-US" w:eastAsia="zh-CN" w:bidi="ar"/>
              </w:rPr>
              <w:t xml:space="preserve">28×3040、4096×2160、UXGA(1600×1200)、1080P(1920×1080)、720P(1280×720)。支持≥5个车道机动车违法监测抓拍。支持35块感兴趣区域(ROI)增强编码设置功能，ROI区域压缩比0~100可设置。支持大场景五车道闯红灯抓拍，闯红灯抓拍第一/二张图车牌清晰可见，其中第一张图车辆在停止线前，第二张图车辆越过停止线，第三张图车辆较第二张有明显位移，第二张图车牌像素可达≥100。【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车长≤16米的大货车违法行为抓拍，支持不礼让横向行人、右转弯压线、右转不停再起步违法抓拍。具有倾斜护罩去除鬼影效果。支持暗光引擎功能，开启后可增加视频画面感光度。支持分别对≥12种车型(大货车、中货车、小货车、客车、小轿车、中客车、危险品运输车、校车、面包车、环卫车、工程车、其他车型)进行不同超速比设置，可设置≥12个超速比区间。在相同道路上，设备支持根据不同的超速比设置对不同车型进行超速抓拍，并输出不同的超速抓拍结果及违法代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3、快门方式：支持单快门、双快门、三快门；电子快门：支持1/25s～1/100000s（可手动或自动调节）；曝光模式：支持全自动/自定义区间/自定义。光圈控制：支持手动光圈、固定光圈、P-IRIS自动光圈。</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视频和图片具备水印和校验功能；车辆捕获率：白天车辆捕获率≥95%、夜间车辆捕获率≥95%。号牌识别准确率：白天车辆号牌识别准确率≥95%，夜间车辆号牌识别准确率≥95%。支持识别车标类型≥460种。在天气晴朗无雾，车辆无遮挡，白天环境光照度不低于200lx，夜晚辅助光照度不高于30lx的情况下进行测试：白天车标识别准确率≥99%；夜晚车标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5、视频压缩标准：H.265;H.264B;H.264M;H.264H;MJPEG；图片编码格式：JPEG。宽动态≥64 dB；支持ICR自动切换，白天使用带有偏振镜片的红外截止滤光片，夜晚自动切换为常规滤光片。支持强光抑制；图片合成：支持1、2、3、4张图片合成；触发方式：视频触发/雷达触发/线圈触发。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压线、违法变道、不按导向行驶、机占非、通行在尾号限行区域、不按规定车道行驶、占用公交车道、逆行、非占机、违章掉头、黄网格违停、占用应急车道、外地车通行在限行区域、斑马线不礼让行人等违法行车行为检测抓拍功能。白天违法行车行为捕获率≥98%，准确率≥98%；夜间违法行车行为准确率≥98%，准确率≥98%。</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7、支持AI车牌增强功能，包括：蓝牌、黄牌、白牌、黑牌、绿牌、渐变绿、黄绿双拼牌，开启后可防止车牌过曝。设备支持搭配电警相机、杆下补盲鱼眼相机实现小车、大货车管控的闯红灯、违法变道等违法行为取证；支持输出卡口和电警的抓拍合成图，可配置输出八合一合成鱼眼图，同时鱼眼可辅助变道判断；合成图中车头车尾关联准确率≥99%。【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highlight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8、支持对信号灯不亮进行检测，检测到该异常后可进行报警。支持对信号灯整个灯组都亮度不足进行检测，检测到该异常后可进行报警。支持升级程序的版本号信息，支持在降版本升级时弹出降版本提示。支持特殊车牌固定字符匹配等级设置，包括模糊匹配、中等匹配、精准匹配和不启用。支持通过485接口连接补光灯，并在相机界面反馈补光灯型号信息、端口信息、版本信息。【投标文件中提供国家认可的认证机构出具的带有CMA标志检测报告复印件并加盖投标人公章】</w:t>
            </w:r>
            <w:r>
              <w:rPr>
                <w:rFonts w:hint="eastAsia"/>
                <w:highlight w:val="none"/>
                <w:lang w:val="en-US" w:eastAsia="zh-CN"/>
              </w:rPr>
            </w:r>
            <w:r/>
          </w:p>
          <w:p>
            <w:pPr>
              <w:pStyle w:val="1048"/>
              <w:numPr>
                <w:ilvl w:val="0"/>
                <w:numId w:val="0"/>
              </w:numPr>
              <w:ind w:left="0"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lang w:val="en-US" w:eastAsia="zh-CN" w:bidi="ar"/>
              </w:rPr>
              <w:t xml:space="preserve">、接入标准支持ONVIF；CGI；GB/T 28181；GA/T 1400；GB 35114-A。网络接口支持≥2个RJ-45以太网口，支持10/100/1000M网络数据传输；存储接口≥1个，最大支持256G TF卡本地存储；I/O接口≥4个，用于I/O触发抓拍信号输入。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
              </w:rPr>
              <w:t xml:space="preserve">、供电方式：AC100V~AC240V（50HZ/60HZ）；功耗：≤32W。</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42"/>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交通灯信号检测器</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1、支持接入≥20路红/绿灯信号，进行输入通断检测，并通过100M网口将信号状态实时传输给网络摄像机。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2、支持通过配置工具设置20路相机参数和检测参数，每个检测通道最多支持关联5个相机IP；支持通过配置工具设置红灯检测模式/绿灯检测模式。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3、支持通过配置工具查询设备的操作日志、校时日志、ping成功/失败日志、红/绿灯输入信号异常及异常恢复等日志，用于查询设备的操作记录及异常情况。</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4、支持通过配置工具设置NTP校时/同步PC时间；支持通过配置工具设置红绿灯信号输入异常判断时长，设置范围[1,300]秒。</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5、信号输入≥20路，AC220V红/绿灯信号；网络接口≥1个RJ-45以太网口。</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6、供电方式DC12V；功耗&lt;3W；工作温度-40℃～+65℃。</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52"/>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主控制器</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1、支持视频接入和卡口合成两种工作模式切换，视频接入模式支持≥16路高清视频及图片输入，无图片合成功能，卡口合成模式支持≥12路高清视频及图片输入，同时支持图片合成。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1/2/3/4/5/6张图片普通合成和关联合成，支持两通道、三通道、多通道关联匹配并将图片合成或编组，支持ID匹配、车牌匹配、先ID后车牌匹配方式，支持以车型、车道、车牌颜色、车身颜色进行模糊匹配，支持多匹配方案独立设置，合成形状、顺序和特写图片序号可自定义设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3、支持路口管理统计，可对路口的设备状态、卡口、流量、违法、事件进行分类管理和统计，并通过折线图或柱状图展示，支持日报表和周报表。支持按时间、通道查询车流量功能，支持CSV格式导出查询结果。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val="0"/>
                <w:bCs w:val="0"/>
                <w:i w:val="0"/>
                <w:iCs w:val="0"/>
                <w:color w:val="000000"/>
                <w:sz w:val="18"/>
                <w:szCs w:val="18"/>
                <w:highlight w:val="none"/>
                <w:u w:val="none"/>
                <w:lang w:val="en-US" w:eastAsia="zh-CN" w:bidi="ar"/>
              </w:rPr>
              <w:t xml:space="preserve">4、故障检测查询功能支持信号灯黄闪、信号灯遮挡、信号灯亮度不足、信号灯同亮、信号灯单色灯常亮、信号灯不亮六类故障检测图片存储。支持录</w:t>
            </w:r>
            <w:r>
              <w:rPr>
                <w:rFonts w:hint="eastAsia" w:ascii="宋体" w:hAnsi="宋体" w:eastAsia="宋体" w:cs="宋体"/>
                <w:b w:val="0"/>
                <w:bCs w:val="0"/>
                <w:i w:val="0"/>
                <w:iCs w:val="0"/>
                <w:color w:val="000000"/>
                <w:sz w:val="18"/>
                <w:szCs w:val="18"/>
                <w:highlight w:val="none"/>
                <w:u w:val="none"/>
                <w:lang w:val="en-US" w:eastAsia="zh-CN" w:bidi="ar"/>
              </w:rPr>
              <w:t xml:space="preserve">像回放时叠加智能帧及检测框信息。支持以不同的方式接入球机，并在不同方式下可预览图片和视频。支持按时间、通道、违法类型、车牌、车速、车道、对象类型、车牌颜色、车身颜色、主/副驾驶安全带状态、主/副驾驶遮阳板状态查询图片功能，支持csv或excel格式导出查询结果。支持手动上传图片至平台和FTP服务器，可自定义设置通道、时间、图片类型。支持≥3个FTP同时传输，原始图片、合成图片、车身图片、车牌图片、关联录像、主驾驶图片、副驾驶图片、行人人脸图片、非机动车人脸图片上传类型可选，FTP连接模式长连接或短连接可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关联合成不同形状的合成图，合成图时间与特写图序号可分别配置。支持关联合成高级配置，支持大车关联合成、小车关联合成的合成方式，支持无牌大货车关联合成。关联合成功能支持非机动车闯红灯、非机动车逆行、非机动车占道、非机动车未带安全头盔等关联合成，特写图可替换成其他抠图。</w:t>
            </w:r>
            <w:r>
              <w:rPr>
                <w:rFonts w:hint="eastAsia" w:ascii="宋体" w:hAnsi="宋体" w:eastAsia="宋体" w:cs="宋体"/>
                <w:b/>
                <w:bCs/>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支持按时间或文件下载图片及关联录像，关联录像时长可自定义设置1-100秒，支持将图片附带的特写图、车牌图片、主驾驶图片、副驾驶图片、非机动车人脸、行人人脸抠图分离并下载，图片及关联录像下载命名格式，可分卡口和违法自定义设置。支持硬盘图片和录像配额比例设置，支持盘满循环覆盖；支持断网续传、自动注册、黑白名单导入导出、数据防删改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7、支持内置≥1块2T硬盘，最大支持4个SATA接口3.5"硬盘。具有≥16个10M/100M/1000M以太网接口、≥3个RS-232接口、≥4个RS-485接口、≥4个USB接口、报警输入≥4路和报警输出≥4路（光耦输出）。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8、供电方式：DC12V；功耗：＜40W；工作温度：–30℃～+65℃。</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63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4电1光全千兆工业级网管型交换机</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1、支持≥4个 10/100/1000Base-X 电口，≥1个 1000Base-X SFP光口，含1对千兆光模块传输距离不低于20km。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2、交换容量 52G，全线速转发，MAC 地址 8K。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▲3、考虑监控视频的特性，巨帧传输长度不小于 12000bytes,平均丢包率为 0 。接触放电±8kV,空气放电±15kV，符合GB/T 17626.2-2018《电磁兼容试验与测量技术静电放电抗扰度试验》并通过国家安全防范报警系统产品质量检测。【投标文件中提供国家认可的认证机构出具的带有CMA标志检测报告复印件并加盖投标人公章】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left="0"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4、支持环网冗余技术，自愈时间≤50ms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▲5、支持AC24V±30%供电，工作温度-40-85℃，1270nm≤中心波长≤1355nm，1530nm≤中心波长≤1565nm。【投标文件中提供国家认可的认证机构出具的带有CMA标志检测报告复印件并加盖投标人公章】</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6、卡轨式波纹型材机壳，IP40 防护等级，双电源冗余输入，5.08mm 工业端子电源接口。</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296</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91"/>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8电4光全千兆工业级网管型交换机</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1、支持≥8个100Base-X电口，≥4个100Base-X SFP光口，含4对千兆光模块传输距离不低于20km。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▲2、支持设备准入，支持未认证新设备接入告警与阻断，支持电源告警，端口回环告警，IP/MAC冲突告警。符合GB/T 30094-2013工业以太网交换机技术规范并通过国家安全防范报警系统产品质量检测要求。【投标文件中提供国家认可的认证机构出具的带有CMA标志检测报告复印件并加盖投标人公章】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▲3、交换机主芯片采用国产化方案，符合YD/T1141-2022《以太网交换机测试方法》 【投标文件中提供国家认可的认证机构出具的带有CMA标志检测报告复印件并加盖投标人公章】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4、支持-40~85℃温度范围满负载工作，支持双电源冗余输入，支持电源过载防反接保护</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1.2mm；可调节层板；有效防水防尘；产品尺寸≥630mm(宽)×510mm(深)×955mm(高)；内部配置≥1个双路220V电源防雷器，电源空开模块（≥1个2P40A、≥8个单P10A），≥1个3芯插座，≥2个风扇（带温控）；防护等级≥IP54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老落地机柜换新</w:t>
            </w: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设备喷特殊绿色</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根据道路色号（RAL 6003)改色</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机箱电源线及敷设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RVV3×1.5mm；含穿引线、扫管、穿线、编号、塑料标签、接线、包头施工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室外防水六类；含穿引线、扫管、穿线、编号、塑料标签、接线、包头施工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二</w:t>
            </w:r>
            <w:r>
              <w:rPr>
                <w:rFonts w:hint="eastAsia" w:ascii="宋体" w:hAnsi="宋体" w:eastAsia="宋体" w:cs="宋体"/>
                <w:b/>
                <w:bCs/>
                <w:i w:val="0"/>
                <w:iCs w:val="0"/>
                <w:color w:val="000000"/>
                <w:sz w:val="18"/>
                <w:szCs w:val="18"/>
                <w:highlight w:val="none"/>
                <w:u w:val="none"/>
              </w:rPr>
            </w:r>
            <w:r/>
          </w:p>
        </w:tc>
        <w:tc>
          <w:tcPr>
            <w:gridSpan w:val="5"/>
            <w:tcW w:w="12458"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信号灯升级及更新</w:t>
            </w:r>
            <w:r>
              <w:rPr>
                <w:rFonts w:hint="eastAsia" w:ascii="宋体" w:hAnsi="宋体" w:eastAsia="宋体" w:cs="宋体"/>
                <w:b/>
                <w:bCs/>
                <w:i w:val="0"/>
                <w:iCs w:val="0"/>
                <w:color w:val="000000"/>
                <w:sz w:val="18"/>
                <w:szCs w:val="18"/>
                <w:highlight w:val="none"/>
                <w:u w:val="none"/>
                <w:lang w:val="en-US" w:eastAsia="zh-CN" w:bidi="ar"/>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信号灯控制主机</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1、标配可接入至少48路独立信号灯，最大可扩展至120路；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2、信号机可检测信号灯的电流及电压，在检测到发生故障时，可进行报警提示；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3、可同时接入视频检测器、地磁检测器、RFID检测器、雷达检测器等多种车辆检测器的配套硬件；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4、支持绿信号冲突监控功能；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5、支持红绿冲突监控功能；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6、支持红灯故障监控功能；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7、最大时基调度表数量：≥40；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8、最大时段表数量：≥16；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9、时段表包含最大时段数：≥48；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10、最大相位表数：≥16；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11、每张相位表中最大相位数：≥16；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12、供电电源：支持220VAC±30%电源电压输入；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13、设备消耗功率：＜100W；</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14、最大允许总负荷（灯负载）：3.3KW；</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15、防雷、防浪涌设计；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16、每路灯输出驱动：≥1000W；</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17、工作环境温度：－30～70℃；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18、相对工作湿度：20-95%。</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信号灯远程控制平台升级</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numPr>
                <w:ilvl w:val="0"/>
                <w:numId w:val="9"/>
              </w:numPr>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产品架构兼容开放：系统通信协议全面采用国内信号控制相关行业标准，通信协议的标准化使得产品更加开放；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2、信号监控“身临其境”：信号监控功能，能让交管在指挥中心查看并控制信号机的运行。可以查看信号机状态，放行相位，以及是否有故障等；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3、参数配置“深入浅出”：根据实际使用情况调整参数配置流程，突出在日常工作中的常用功能。并更多采用图形化方式，让用户“所见即所得”，让信号参数配置成为简单的工作；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4、快速通道“平战结合”：使用“快速警卫路线”。在地图上轻松配置，并且采用信号步进的方式，将快速放行与当前信号放行方案结合在一起。最大程度减少对日常通勤的干扰；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5、绿波配置“轻松快捷”：系统汇集绿波配置的理论与实践，将原本复杂难懂的绿波配置变得简单直观。在极短的时间内即可配置出专业的绿波道路，使工作效率大大提高。</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6"/>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三</w:t>
            </w:r>
            <w:r>
              <w:rPr>
                <w:rFonts w:hint="eastAsia" w:ascii="宋体" w:hAnsi="宋体" w:eastAsia="宋体" w:cs="宋体"/>
                <w:i w:val="0"/>
                <w:iCs w:val="0"/>
                <w:color w:val="000000"/>
                <w:sz w:val="18"/>
                <w:szCs w:val="18"/>
                <w:highlight w:val="none"/>
                <w:u w:val="none"/>
                <w:lang w:val="en-US" w:eastAsia="zh-CN" w:bidi="ar"/>
              </w:rPr>
            </w:r>
            <w:r/>
          </w:p>
        </w:tc>
        <w:tc>
          <w:tcPr>
            <w:gridSpan w:val="5"/>
            <w:tcW w:w="12458"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lang w:val="en-US" w:eastAsia="zh-CN" w:bidi="ar"/>
              </w:rPr>
              <w:t xml:space="preserve">礼让行人</w:t>
            </w:r>
            <w:r>
              <w:rPr>
                <w:rFonts w:hint="eastAsia" w:ascii="宋体" w:hAnsi="宋体" w:eastAsia="宋体" w:cs="宋体"/>
                <w:b/>
                <w:bCs/>
                <w:i w:val="0"/>
                <w:iCs w:val="0"/>
                <w:color w:val="000000"/>
                <w:sz w:val="18"/>
                <w:szCs w:val="18"/>
                <w:highlight w:val="none"/>
                <w:u w:val="none"/>
              </w:rPr>
            </w:r>
            <w:r/>
          </w:p>
        </w:tc>
      </w:tr>
      <w:tr>
        <w:trPr>
          <w:trHeight w:val="472"/>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高清抓拍单元</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1、900万环保高清电子警察抓拍单元由摄像机、高清镜头、室外防护罩、风扇、补光灯、电源适配器、安装万向节等组成。</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2、内置摄像机采用1英寸高帧率全局曝光CMOS传感器，分辨率≥4096 × 2160。</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3、机动车违法检测抓拍功能检查 ：支持按车道和时间段配置机动车违法检测抓拍规则，包括压线、违法变道、不按导向行驶、占用非机动车道、倒车、闯红灯、不按规定车道行驶、占用公交车道、逆行、违反禁止左/右转、违法掉头、违反禁货车通行。 </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闯红灯捕获率试验：在天气晴朗无雾，号牌无遮挡，无污损的条件进行测试，白天测试时的环境光照度不低于200lx，晚上测试时辅助照明光照度不高于30lx。</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白天闯红灯捕获率≥99%;</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晚上闯红灯捕获率≥99%;</w:t>
            </w:r>
            <w:r>
              <w:rPr>
                <w:rFonts w:hint="eastAsia" w:ascii="宋体" w:hAnsi="宋体" w:eastAsia="宋体" w:cs="宋体"/>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▲4、车身颜色识别功能检查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支持识别车身副颜色。【投标文件中提供国家认可的认证机构出具的带有CMA标志检测报告复印件并加盖投标人公章】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▲5、车牌识别功能检查 ：支持对25×10 像素～1100×3000 像素的机动车车牌进行抓拍并识别号码； 支持抓拍并识别垂直倾斜角度≤45°、水平倾斜角度≤35°、俯仰角度≤40°的机动车车牌号码。【投标文件中提供国家认可的认证机构出具的带有CMA标志检测报告复印件并加盖投标人公章】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6、闯禁行功能检查：支持闯禁行记录功能，可对5种普通车型(包括大货车、中货车、小货车、皮卡车、大客车)及9种特种车型(包括危化品车辆、普通罐车、渣土车、混凝土搅拌车、工程车、粉粒物料运输车、吸污车、环卫车、冷链车)进行检测、抓拍记录、识别及图片存储。【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7、车辆子品牌识别功能检查：支持车辆子品牌识别，对车头图片进行分析抓拍，可分析输出OSD叠加7200种车辆子品牌并显示相应的年款，对车尾图片进行分析抓拍，可分析输出 OSD 叠加3900 种车辆子品牌并显示相应的年款。</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8、信号灯状态检测功能检查：支持通过视频检测信号灯状态，支持接收信号机广播的信号灯状态，通过对比判断信号灯的整体运行状况，可在视频预览画面上叠加信号机异常的结果指标。</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9、支持逆行和变道违章触发抓拍，逆行识别类型包括:高速公路逆行、单行道逆向行驶;变道违章检测类型包括:实线变道(含双黄线)、导流区变道、连续变道(&gt;3条车道)。</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10、支持图片编码质量配置，车牌小图的图片质量(大/中/小)可配。</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11、支持车牌遮挡检查功能，在检测到车牌被遮挡的情况下可给出提示。</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12、支持对两轮/三轮车分类识别;可识别外卖箱(外卖品牌)的标识。</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80"/>
        </w:trPr>
        <w:tc>
          <w:tcPr>
            <w:tcW w:w="521" w:type="dxa"/>
            <w:vAlign w:val="center"/>
            <w:vMerge w:val="restart"/>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86"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补光灯</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LED频闪灯</w:t>
            </w:r>
            <w:r>
              <w:rPr>
                <w:rFonts w:hint="eastAsia" w:ascii="宋体" w:hAnsi="宋体" w:eastAsia="宋体" w:cs="宋体"/>
                <w:i w:val="0"/>
                <w:iCs w:val="0"/>
                <w:color w:val="000000"/>
                <w:sz w:val="18"/>
                <w:szCs w:val="18"/>
                <w:highlight w:val="none"/>
                <w:u w:val="none"/>
              </w:rPr>
            </w:r>
            <w:r/>
          </w:p>
        </w:tc>
        <w:tc>
          <w:tcPr>
            <w:tcW w:w="722"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214" w:type="dxa"/>
            <w:vAlign w:val="center"/>
            <w:vMerge w:val="restart"/>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光源类型：16颗原装大功率LED</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发光角度12°</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补光距离16米～25米</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响应时间小于20us</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触发方式： 高电平有效（可选配开关量触发）</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触发信号：频率1~250HZ，占空比1%~39%</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外壳材质金属铝</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IP66</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工作温度：-40℃~70℃</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工作湿度：湿度5%~95%@40℃，无凝结</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电源：220V±10%</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功耗：35W MAX</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防护等级：IP66</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5"/>
                <w:szCs w:val="15"/>
                <w:highlight w:val="none"/>
                <w:u w:val="none"/>
              </w:rPr>
            </w:pPr>
            <w:r>
              <w:rPr>
                <w:rFonts w:hint="eastAsia" w:ascii="宋体" w:hAnsi="宋体" w:eastAsia="宋体" w:cs="宋体"/>
                <w:i w:val="0"/>
                <w:iCs w:val="0"/>
                <w:color w:val="000000"/>
                <w:sz w:val="15"/>
                <w:szCs w:val="15"/>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16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室外高清一体化双目球机</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传感器类型：【全景】1/1.8＂ 逐行扫描 CMOS,【细节】1/2.8" 逐行扫描 CMOS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最低照度：【全景】彩色：0.0005 Lux @（F1.0，AGC ON），0 Lux with Light；</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【细节】彩色：0.005Lux @ (F1.6，AGC ON)；黑白：0.001Lux @(F1.6，AGC ON) ；0 Lux with IR</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光学变倍：32倍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焦距：【全景】4mm；【细节】5.5-176mm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视场角：【全景】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水平视场角：88.7°</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垂直视场角：44.7°</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对角视场角：107.5°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【细节】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水平视场角：60.72°~2.2°（广角~望远）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垂直视场角：35.92°~1.3°（广角~望远）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对角视场角：68.42°~2.6° （广角~望远）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补光灯类型：【全景】：白光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【细节】：红外，白光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补光灯距离：【全景】：白光30m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【细节】：红外100m，白光60m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红外波长范围：850 nm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水平范围：【细节】360°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垂直范围：-10°-90°(自动翻转)</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水平速度：水平键控速度：0.1°-240°/s,速度可设;水平预置点速度：240°/s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垂直速度：垂直键控速度：0.1°-200°/s,速度可设;垂直预置点速度：200°/s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主码流帧率分辨率：【全景】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50 Hz：25 fps（2560×1440，1920 × 1080，1280 × 960，1280 × 720）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60 Hz：30 fps（2560×1440，1920 × 1080，1280 × 960，1280 × 720）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【细节】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50 Hz：25 fps（2560×1440，1920 × 1080，1280 × 960，1280 × 720）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60 Hz：30 fps（2560×1440，1920 × 1080，1280 × 960，1280 × 720）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视频压缩标准：主码流：H.264/H.265+/H.265/H.264+ 子码流：H.264/H.265/MJPEG 第三码流：H.264/H.265/MJPEG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宽动态：支持真宽动态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网络接口：RJ45网口,自适应10M/100M网络数据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SD卡扩展：内置Micro SD卡插槽，支持Micro SD/Micro SDHC/Micro SDXC卡（最大支持512GB）</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内置麦克风：支持双mic</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内置扬声器：支持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音频：1路音频输入，音频峰值：2-2.4 V[p-p]，输入阻抗：1 kΩ±10%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1路音频输出，线性电平，阻抗：600 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报警：2路报警输入，1路报警输出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电源输出：DC36V</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电流及功耗：最大功耗：24W（其中除雾加热1.6W，补光灯7W）</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尺寸：241.8 ×216.4 × 333.6 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重量：4 KG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工作温湿度：-30℃-65℃；湿度小于90% ,(无凝结)</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除雾：加热玻璃除雾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防护：防暴雨级，符合GB/T 17626.5 认证标准</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球机安装支架及连接件</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依据杆件定制，球机吊装、壁装支架、连接件及其他安装附件</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676"/>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主控制器</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1、内置≥1块4T硬盘，具有18个10M/100M/10</w:t>
            </w:r>
            <w:r>
              <w:rPr>
                <w:rFonts w:hint="eastAsia" w:ascii="宋体" w:hAnsi="宋体" w:eastAsia="宋体" w:cs="宋体"/>
                <w:i w:val="0"/>
                <w:iCs w:val="0"/>
                <w:color w:val="000000"/>
                <w:sz w:val="18"/>
                <w:szCs w:val="18"/>
                <w:highlight w:val="none"/>
                <w:u w:val="none"/>
                <w:lang w:val="en-US" w:eastAsia="zh-CN" w:bidi="ar"/>
              </w:rPr>
              <w:t xml:space="preserve">00M自适应RJ45接口，其中P1～P16与G1处于同一网段、G2处于另一网段；2个1000M SFP光端接口，分别与G1、G2处于同一网段。具有2个RS-232接口、2个RS-485接口、1个USB 3.0接口、2路报警输入接口、2路报警输出接口、1个音频输入接口、1个音频输出接口、4个SATA接口、4个状态指示灯、1个接地端子。支持IP地址过滤、SSH开关自定义、视频水印等安全防护功能，具有ARP防攻击设置选项、具备强密码管理功能；支持WEB回话Session ID、数据传输加密、固件完整性等安全检验。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设备均应具备权限管理、数据加密、运行日志功能，设备应设置操作口令，宜有图像加密，放篡改、防非法复制等措施，以保证原始数据的完整性。重要的图像应加以保护，不被删除和覆盖。设备应有防偶发死机的措施（如硬件看门狗或软件、硬件看门狗或定时自动启动等），死机后的自动恢复时间应满足GB20815中的8.12的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val="0"/>
                <w:bCs w:val="0"/>
                <w:i w:val="0"/>
                <w:iCs w:val="0"/>
                <w:color w:val="000000"/>
                <w:sz w:val="18"/>
                <w:szCs w:val="18"/>
                <w:highlight w:val="none"/>
                <w:u w:val="none"/>
                <w:lang w:val="en-US" w:eastAsia="zh-CN" w:bidi="ar"/>
              </w:rPr>
              <w:t xml:space="preserve">3、支持接入具有ABF聚焦功能的摄像机，可对视频图像进行ABF聚焦；支持接入鱼眼摄像机、双目摄像机、三目摄像机、四目摄像机、八目枪球联动一体机及全局摄像机，并可将视频图像以多画面分割方式显示，可自定义画面布局。摄像机与客户端分别连接样机的不同网段时，客户端可以通过端口映射，跨网段直接访问摄像机，对摄像机进行操作，包括进行参数配置、录像实时预览等。支持将1张、2张、3张、4张、5张、6张图片合成，支持选择图片形状，修改顺序，支持原始图片去黑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4、支持4块3.5或2.5英寸硬盘接入，每块盘位最大兼容12TB硬盘，支持硬盘自动切换，当一块硬盘损坏后，能自动切换至其它硬盘进行存储。支持SSD,机械硬盘和SSD可以混合使用。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外接机柜门时，通过连接开关量信号及相应的设置，当机柜门打开后，联动声音报警。支持配置路段名称、路段编号、路段距离，能够对驶入驶出该路段的车辆抓拍数据匹配并计算车辆的区间速度值；支持设置过滤阈值，对异常测速结果进行过滤；支持超速检测和欠速检测，可分别设定高限速和低限速值；支持相同车牌号去重功能，多相机抓拍同一车牌号仅上传一条该车牌条记录到平台。可对IP通道进行图像虚焦、亮度异常、图像偏色、雪花干扰、条纹干扰等类型视频质量进行诊断，可生成诊断信息并导出查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抱杆机柜</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采用优质冷轧钢材质，厚度≥1.0mm；可调节层板；产品尺寸≥400mm(宽)×300mm(深)×500mm(高)；内部配置≥1个双路电源防雷器，≥1个双路10A电源空开模块，≥1个3芯插座。防护等级≥IP54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1.2mm；可调节层板；有效防水防尘；产品尺寸≥630mm(宽)×510mm(深)×955mm(高)；内部配置≥1个双路220V电源防雷器，电源空开模块（≥1个2P40A、≥8个单P10A），≥1个3芯插座，≥2个风扇（带温控）；防护等级≥IP54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多孔插座</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落地机柜内用多孔插座，线长1.8米；10A/250V/2500W；2孔*4+5孔*4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落地机柜基础浇筑</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落地箱基础尺寸不小于800*800*600；含挖填土、土方清运、围挡、风镐及其他辅助工序；C25商砼浇筑；含2根PE75管连接杆件；2根PE75管连接线缆窖井；含基础养护、保护</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50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8电4光全千兆工业级网管型交换机</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1、支持≥8个100Base-X电口，≥4个100Base-X SFP光口，含4对千兆光模块传输距离不低于20km。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▲2、支持设备准入，支持未认证新设备接入告警与阻断，支持电源告警，端口回环告警，IP/MAC冲突告警。符合GB/T 30094-2013工业以太网交换机技术规范并通过国家安全防范报警系统产品质量检测要求。【投标文件中提供国家认可的认证机构出具的带有CMA标志检测报告复印件并加盖投标人公章】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▲3、交换机主芯片采用国产化方案，符合YD/T1141-2022《以太网交换机测试方法》 【投标文件中提供国家认可的认证机构出具的带有CMA标志检测报告复印件并加盖投标人公章】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4、支持-40~85℃温度范围满负载工作，支持双电源冗余输入，支持电源过载防反接保护</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12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4电1光全千兆工业级网管型交换机</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1、支持≥4个 10/100/1000Base-X 电口，≥1个 1000Base-X SFP光口，含1对千兆光模块传输距离不低于20km。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2、交换容量 52G，全线速转发，MAC 地址 8K。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▲3、考虑监控视频的特性，巨帧传输长度不小于 12000bytes,平均丢包率为 0 。接触放电±8kV,空气放电±15kV，符合GB/T 17626.2-2018《电磁兼容试验与测量技术静电放电抗扰度试验》并通过国家安全防范报警系统产品质量检测。【投标文件中提供国家认可的认证机构出具的带有CMA标志检测报告复印件并加盖投标人公章】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4、支持环网冗余技术，自愈时间≤50ms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▲5、支持AC24V±30%供电，工作温度-40-85℃，1270nm≤中心波长≤1355nm，1530nm≤中心波长≤1565nm。【投标文件中提供国家认可的认证机构出具的带有CMA标志检测报告复印件并加盖投标人公章】</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6、卡轨式波纹型材机壳，IP40 防护等级，双电源冗余输入，5.08mm 工业端子电源接口。</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辅助材料</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抱箍、标签色带、套管、信号线、接地线、接头、五金件等</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车道</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L杆8M</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臂：8M；立柱口径对角：300-250mm，壁厚≥8mm；横臂口径对角250-110mm，壁_≥4_mm。底盘法兰￠550×20mm。整体热浸锌，喷塑。8M（套），杆件安装后法兰平面较地平面下沉200mm，横臂底面距底面净高6.5米。含杆件、杆件紧固件、顶盖、U型槽及杆件吊装安装费、杆件运至施工现场、杆件保护、施工期间安全防护等费用。</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基础预埋件8-M27×1500</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L4、L6、L8、T6+6、T8+4杆件使用。8-M27×1500mm（个）。含预埋件、预埋件紧固件、垫片、螺帽及预埋件安装费、预埋件运至施工现场费用。</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立杆接地和基础包封系统</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不小于2.5M接地角铁L40×4；镀锌扁铁－40×4与杆件连接，杆件上接地电阻小于4欧姆。含接地系统预埋、定位、安装、接地桩焊接、现场电阻测试；含杆件螺栓黄油保护、基础混凝土包封和养护工作。</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735"/>
        </w:trPr>
        <w:tc>
          <w:tcPr>
            <w:tcW w:w="521" w:type="dxa"/>
            <w:vAlign w:val="center"/>
            <w:vMerge w:val="restart"/>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286"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杆件基础开挖及浇筑</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土方开挖尺寸为：（8-M27×150</w:t>
            </w:r>
            <w:r>
              <w:rPr>
                <w:rFonts w:hint="eastAsia" w:ascii="宋体" w:hAnsi="宋体" w:eastAsia="宋体" w:cs="宋体"/>
                <w:i w:val="0"/>
                <w:iCs w:val="0"/>
                <w:color w:val="000000"/>
                <w:sz w:val="18"/>
                <w:szCs w:val="18"/>
                <w:highlight w:val="none"/>
                <w:u w:val="none"/>
                <w:lang w:val="en-US" w:eastAsia="zh-CN" w:bidi="ar"/>
              </w:rPr>
              <w:t xml:space="preserve">0mm—1.5米×1.5米×1.9米），（8-M27×1800mm—1.8米×1.8米×2.2米）×3，（8-M30×1800及8-M30×2000mm—1.8米×1.8米×2.4米），（落地柜—0.8米×0.8米×0.6米）；混凝土尺寸为（8-M27×1500mm—1.5米×1.5米×1.7米），（8-M27×1800mm—1.8米×1.8米×2.0米），（8-M30×1800及8-M30×2000mm—1.8米×1.8米×2.2米），（落地柜——0.8米×0.8米×0.6米）；本项按混凝土浇筑尺寸计量。</w:t>
            </w:r>
            <w:r>
              <w:rPr>
                <w:rFonts w:hint="eastAsia" w:ascii="宋体" w:hAnsi="宋体" w:eastAsia="宋体" w:cs="宋体"/>
                <w:i w:val="0"/>
                <w:iCs w:val="0"/>
                <w:color w:val="000000"/>
                <w:sz w:val="18"/>
                <w:szCs w:val="18"/>
                <w:highlight w:val="none"/>
                <w:u w:val="none"/>
              </w:rPr>
            </w:r>
            <w:r/>
          </w:p>
        </w:tc>
        <w:tc>
          <w:tcPr>
            <w:tcW w:w="722"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85.5</w:t>
            </w:r>
            <w:r>
              <w:rPr>
                <w:rFonts w:hint="eastAsia" w:ascii="宋体" w:hAnsi="宋体" w:eastAsia="宋体" w:cs="宋体"/>
                <w:i w:val="0"/>
                <w:iCs w:val="0"/>
                <w:color w:val="000000"/>
                <w:sz w:val="18"/>
                <w:szCs w:val="18"/>
                <w:highlight w:val="none"/>
                <w:u w:val="none"/>
              </w:rPr>
            </w:r>
            <w:r/>
          </w:p>
        </w:tc>
        <w:tc>
          <w:tcPr>
            <w:tcW w:w="1214" w:type="dxa"/>
            <w:vAlign w:val="center"/>
            <w:vMerge w:val="restart"/>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375"/>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土方开挖（不区分开挖方式及土质）、土方清运、围挡、风镐、上沿制模（30CM木模）、抹平及其他辅助工序；基坑底层较混凝土浇筑尺寸下沉20CM用于顶部绿化恢复；C25商砼浇筑；含2根PE75管连接杆件；含基础养护、保护。</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设备喷特殊绿色</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根据道路色号改色</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摄像机电源线及敷设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RVV3×1mm；含穿引线、扫管、穿线、编号、塑料标签、接线、包头施工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机箱电源线及敷设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RVV3×1.5mm；含穿引线、扫管、穿线、编号、塑料标签、接线、包头施工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补光灯控制线及敷设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RVV2×0.5mm；含穿引线、扫管、穿线、编号、塑料标签、接线、包头施工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室外防水六类；含穿引线、扫管、穿线、编号、塑料标签、接线、包头施工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6"/>
                <w:szCs w:val="16"/>
                <w:highlight w:val="none"/>
                <w:u w:val="none"/>
              </w:rPr>
            </w:pPr>
            <w:r>
              <w:rPr>
                <w:rFonts w:hint="eastAsia" w:ascii="宋体" w:hAnsi="宋体" w:eastAsia="宋体" w:cs="宋体"/>
                <w:b/>
                <w:bCs/>
                <w:i w:val="0"/>
                <w:iCs w:val="0"/>
                <w:color w:val="000000"/>
                <w:sz w:val="16"/>
                <w:szCs w:val="16"/>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室外单模铠装光缆，4芯；含管内穿引线、扫管、穿线、编号、塑料标签、包头施工、光缆光纤头熔接、尾纤头及光缆测试交付</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光缆终端盒</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FC8口</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光纤跳线</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FC-FC1.5米单模</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金属波纹管,直径25mm，沿杆件、墙壁敷设，含卡箍</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绿化内管沟开挖及管道敷设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管顶至地面不得低于60CM；2*PE75mm管敷设施工要求；含开挖、PE管敷设、土方回填夯实、弃土清运、绿化恢复。含2*PE75管材（壁厚不小于7MM）</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道板内管沟开挖及管道线敷设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管顶至地面不得低于60CM；2*PE75mm管敷设施工要求；含开挖、PE管敷设、土方回填夯实、弃土清运、道板恢复。含2*PE75mm管材（壁厚不小于7MM）</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顶管</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含2*PE75mm；含材料费、钻孔、扩孔、回托布管、施工作业面开挖恢复、泥浆和弃土清运等所有费用。双PE75mm管材（壁厚不小于7mm）</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借用旧管道查找清理</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借用旧管道查找清理疏通</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窨井及井盖</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500mm*500mm盖板（钢筋骨架、金属包边、表面“经开公安”字样、砼预制井盖）及井圈（钢筋骨架、砼预置井圈）；含窖井内土石方开挖（不区分开挖方式及土质）、红砖及水泥砌筑；井内圈净尺寸不小于500mm*500mm*50mm0；含土方清运、围挡、风镐及其他辅助工序；含井圈井盖安装。</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供电接入</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供电接入配套设备，包括电表、电路保护装置、插座等</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电能消耗</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每个用电设备5年*365天*24小时持续工作、供电不间断</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四</w:t>
            </w:r>
            <w:r>
              <w:rPr>
                <w:rFonts w:hint="eastAsia" w:ascii="宋体" w:hAnsi="宋体" w:eastAsia="宋体" w:cs="宋体"/>
                <w:b/>
                <w:bCs/>
                <w:i w:val="0"/>
                <w:iCs w:val="0"/>
                <w:color w:val="000000"/>
                <w:sz w:val="18"/>
                <w:szCs w:val="18"/>
                <w:highlight w:val="none"/>
                <w:u w:val="none"/>
              </w:rPr>
            </w:r>
            <w:r/>
          </w:p>
        </w:tc>
        <w:tc>
          <w:tcPr>
            <w:gridSpan w:val="5"/>
            <w:tcW w:w="12458"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横林大道上林路电子警察</w:t>
            </w:r>
            <w:r>
              <w:rPr>
                <w:rFonts w:hint="eastAsia" w:ascii="宋体" w:hAnsi="宋体" w:eastAsia="宋体" w:cs="宋体"/>
                <w:b/>
                <w:bCs/>
                <w:i w:val="0"/>
                <w:iCs w:val="0"/>
                <w:color w:val="000000"/>
                <w:sz w:val="18"/>
                <w:szCs w:val="18"/>
                <w:highlight w:val="none"/>
                <w:u w:val="none"/>
                <w:lang w:val="en-US" w:eastAsia="zh-CN" w:bidi="ar"/>
              </w:rPr>
            </w:r>
            <w:r/>
          </w:p>
        </w:tc>
      </w:tr>
      <w:tr>
        <w:trPr>
          <w:trHeight w:val="1198"/>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900万环保高清电子警察抓拍单元</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900万环保高清电子警察抓拍单元；包含高清一体化嵌入式摄像机、高清镜头、室外防护罩、电源适配器、内置补光灯、安装万向节等。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支持对摩托车闯红灯、不按导向行驶、闯禁令、不戴头盔、逆行、载人等违法行为进行抓拍。支持大型货车闯红灯抓拍功能，包括拖车、挂车、罐车、平板货车、集装箱牵引车、渣土车、吸污车等货车类型。支持AI车牌增强功能，包括：蓝牌、黄牌、白牌、黑牌、绿牌、渐变绿、黄绿双拼牌，开启后可防止车牌过曝。支持牛眼灯下的车牌识别功能，抓拍图片车牌，抓拍图片车牌清晰可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快门方式：支持单快门、全息双快门、三快门；电子快门：支持1/50s~1/100000s（可手动或自动调节）；曝光模式：支持全自动/自定义区间/自定义。光圈控制：支持手动光圈、固定光圈、P-IRIS自动光圈。视频压缩标准：H.265;H.264B;H.264M;H.264H;MJPEG；图片编码格式：JPE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3、支持车辆子品牌识别功能，在目标清晰可辨的条件下进行测试，白天车辆子品牌识别准确率≥99%；晚上车辆子品牌识别准确率≥99%。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4、车辆捕获率：白天车辆捕获率≥98%、夜间车辆捕获率≥98%。号牌识别准确率：白天车辆号牌识别准确率≥98%，夜间车辆号牌识别准确率≥98%。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车辆子品牌识别并可在OSD上叠加显示相应的子品牌及年款，通过车头可识别≥7600种车辆子品牌，车尾≥3900种车辆子品牌支持识别并显示不低于51种车辆类型。支持识别车标类型≥460种。在天气晴朗无雾，车辆无遮挡，白天环境光照度不低于200lx，夜晚辅助光照度不高于30lx的情况下进行测试：白天车标识别准确率≥99%；夜晚车标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6、接入标准支持ONVIF；CGI；GB/T28181；GA/T1400；GB35114-A。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设备支持设置图片3D降噪功能，包括图片空域3D降噪及图片时域3D降噪，降噪等级0~100可分别设置，可通过菜单启用或关闭。支持大型货车闯红灯抓拍功能，包括拖车、挂车、罐车、平板货车、集装箱牵引卡车等货车类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支持禁货、禁拖拉机、禁农用车、禁大客车、禁拖/挂车通行等违章抓拍。支持压线、违法变道、不按导向行驶、机占非、通行在尾号限行区域、不按规定车道行驶、占用公交车道、逆行、非占机、违章掉头、黄网格违停、占用应急车道、外地车通行在限行区域、斑马线不礼让行人等违法行车行为检测抓拍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网络接口支持≥2个独立MAC、物理隔离的RJ-45以太网口，支持10/100/1000M网络数据传输；存储接口≥1个，最大支持256GTF卡本地存储；I/O接口≥4个，用于I/O触发抓拍信号输入。光圈控制接口≥1个，P-IRIS自动光圈；变焦控制接口≥1个，可接电动变焦镜头；频率源同步接口≥1个，支持相机与市电同步；外置灯接口≥7个，光耦开关量信号输出；RS-485接口≥2个；RS-232接口≥4个。</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10、供电方式：AC100V~AC240V（50HZ/60HZ）；功耗：≤21W。工作温度：-40℃~+65℃；防护等级≥IP66；具有网络防雷和防浪涌功能。</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vMerge w:val="restart"/>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86"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车道补光灯</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1、采用16颗Cree高亮LED灯珠；光源：可见光范围（波长350-780nm）；色温：6500K±200K；</w:t>
            </w:r>
            <w:r>
              <w:rPr>
                <w:rFonts w:hint="eastAsia" w:ascii="宋体" w:hAnsi="宋体" w:eastAsia="宋体" w:cs="宋体"/>
                <w:i w:val="0"/>
                <w:iCs w:val="0"/>
                <w:color w:val="000000"/>
                <w:sz w:val="18"/>
                <w:szCs w:val="18"/>
                <w:highlight w:val="none"/>
                <w:u w:val="none"/>
              </w:rPr>
            </w:r>
            <w:r/>
          </w:p>
        </w:tc>
        <w:tc>
          <w:tcPr>
            <w:tcW w:w="722"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214" w:type="dxa"/>
            <w:vAlign w:val="center"/>
            <w:vMerge w:val="restart"/>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2、中心光照度：&lt;40lx（20m光照度）；补光距离：16m-26m。</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3、光通量≥1800lm；日夜切换：支持，1~6级灵敏度可设置。</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4、支持远程显示补光灯故障、正常状态；支持低照度下6级光敏检测自动开启补光。</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5、功耗：&lt;40W；供电方式：AC100V-AC240V。</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61"/>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交通灯信号检测器</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1、支持接入≥20路红/绿灯信号，进行输入通断检测，并通过100M网口将信号状态实时传输给网络摄像机。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2、支持通过配置工具设置20路相机参数和检测参数，每个检测通道最多支持关联5个相机IP；支持通过配置工具设置红灯检测模式/绿灯检测模式。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3、支持通过配置工具查询设备的操作日志、校时日志、ping成功/失败日志、红/绿灯输入信号异常及异常恢复等日志，用于查询设备的操作记录及异常情况。</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4、支持通过配置工具设置NTP校时/同步PC时间；支持通过配置工具设置红绿灯信号输入异常判断时长，设置范围[1,300]秒。</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5、信号输入≥20路，AC220V红/绿灯信号；网络接口≥1个RJ-45以太网口。</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6、供电方式DC12V；功耗&lt;3W；工作温度-40℃～+65℃。</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主控制器</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1、支持视频接入和卡口合成两种工作模式切换，视频接入模式支持≥16路高清视频及图片输入，无图片合成功能，卡口合成模式支持≥12路高清视频及图片输入，同时支持图片合成。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1/2/3/4/5/6张图片普通合成和关联合成，支持两通道、三通道、多通道关联匹配并将图片合成或编组，支持ID匹配、车牌匹配、先ID后车牌匹配方式，支持以车型、车道、车牌颜色、车身颜色进行模糊匹配，支持多匹配方案独立设置，合成形状、顺序和特写图片序号可自定义设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3、支持路口管理统计，可对路口的设备状态、卡口、流量、违法、事件进行分类管理和统计，并通过折线图或柱状图展示，支持日报表和周报表。支持按时间、通道查询车流量功能，支持CSV格式导出查询结果。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故障检测查询功能支持信号灯黄闪、信号灯遮挡、信号灯亮度不足、信号灯同亮、信号灯单色灯常亮、信号灯不亮六类故障检测图片存储。支持录像回放时叠加智能帧及检测框信息。支持以不同的方式接入球机，并在不同方式下可预览图片和视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按时间、通道、违法类型、车牌、车速、车道、对象类型、车牌颜色、车身颜色、主/副驾驶安全带状态、主/副驾驶遮阳板状态查询图片功能，支持csv或excel格式导出查询结果。支持手动上传图片至平台和FTP服务器，可自定义设置通道、时间、图片类型。支持≥3个FTP同时传输，原始图片、合成图片、车身图片、车牌图片、关联录像、主驾驶图片、副驾驶图片、行人人脸图片、非机动车人脸图片上传类型可选，FTP连接模式长连接或短连接可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关联合成不同形状的合成图，合成图时间与特写图序号可分别配置。支持关联合成高级配置，支持大车关联合成、小车关联合成的合成方式，支持无牌大货车关联合成。关联合成功能支持非机动车闯红灯、非机动车逆行、非机动车占道、非机动车未带安全头盔等关联合成，特写图可替换成其他抠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按时间或文件下载图片及关联录像，关联录像时长可自定义设置1-100秒，支持将图片附带的特写图、车牌图片、主驾驶图片、副驾驶图片、非机动车人脸、行人人脸抠图分离并下载，图片及关联录像下载命名格式，可分卡口和违法自定义设置。支持硬盘图片和录像配额比例设置，支持盘满循环覆盖；支持断网续传、自动注册、黑白名单导入导出、数据防删改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8、支持内置≥1块2T硬盘，最大支持4个SATA接口3.5"硬盘。具有≥16个10M/100M/1000M以太网接口、≥3个RS-232接口、≥4个RS-485接口、≥4个USB接口、报警输入≥4路和报警输出≥4路（光耦输出）。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9、供电方式：DC12V；功耗：＜40W；工作温度：–30℃～+65℃。</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抱杆机柜</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采用优质冷轧钢材质，厚度≥1.0mm；可调节层板；产品尺寸≥400mm(宽)×300mm(深)×500mm(高)；内部配置≥1个双路电源防雷器，≥1个双路10A电源空开模块，≥1个3芯插座。防护等级≥IP54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1.2mm；可调节层板；有效防水防尘；产品尺寸≥630mm(宽)×510mm(深)×955mm(高)；内部配置≥1个双路220V电源防雷器，电源空开模块（≥1个2P40A、≥8个单P10A），≥1个3芯插座，≥2个风扇（带温控）；防护等级≥IP54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多孔插座</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落地机柜内用多孔插座，线长1.8米；10A/250V/2500W；2孔*4+5孔*4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落地机柜基础浇筑</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落地箱基础尺寸不小于800*800*600；含挖填土、土方清运、围挡、风镐及其他辅助工序；C25商砼浇筑；含2根PE75管连接杆件；2根PE75管连接线缆窖井；含基础养护、保护</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4电1光全千兆工业级网管型交换机</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1.支持≥4个 10/100/1000Base-X 电口，≥1个 1000Base-X SFP光口，含1对千兆光模块传输距离不低于20km。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2.交换容量 52G，全线速转发，MAC 地址 8K。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3.考虑监控视频的特性，巨帧传输长度不小于 12000bytes,平均丢包率为 0 。接触放电±8kV,空气放电±15kV，符合GB/T 17626.2-2018《电磁兼容试验与测量技术静电放电抗扰度试验》并通过国家安全防范报警系统产品质量检测。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4.支持环网冗余技术，自愈时间≤50ms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5.支持AC24V±30%供电，工作温度-40-85℃，1270nm≤中心波长≤1355nm，1530nm≤中心波长≤1565nm。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6.卡轨式波纹型材机壳，IP40 防护等级，双电源冗余输入，5.08mm 工业端子电源接口。</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8电4光全千兆工业级网管型交换机</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1、支持≥8个100Base-X电口，≥4个100Base-X SFP光口，含4对千兆光模块传输距离不低于20km。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2、支持设备准入，支持未认证新设备接入告警与阻断，支持电源告警，端口回环告警，IP/MAC冲突告警。符合GB/T 30094-2013工业以太网交换机技术规范并通过国家安全防范报警系统产品质量检测要求。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3、交换机主芯片采用国产化方案，符合YD/T1141-2022《以太网交换机测试方法》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4、支持-40~85℃温度范围满负载工作，支持双电源冗余输入，支持电源过载防反接保护</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辅助材料</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抱箍、标签色带、套管、信号线、接地线、接头、五金件等</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车道</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L杆8M</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臂：8M；立柱口径对角：300-250mm，壁厚≥8mm；横臂口径对角250-110mm，壁_≥4_mm。底盘法兰￠550×20mm。整体热浸锌，喷塑。8M（套），杆件安装后法兰平面较地平面下沉200mm，横臂底面距底面净高6.5米。含杆件、杆件紧固件、顶盖、U型槽及杆件吊装安装费、杆件运至施工现场、杆件保护、施工期间安全防护等费用。</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L杆4M</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臂：4M；立柱口径对角：300-250mm，壁厚_≥8_mm；横臂口径对角250-110mm，壁厚≥4mm。底盘法兰￠550×20mm。整体热浸锌，喷塑。4M（套），杆件安装后法兰平面较地平面下沉200mm，横臂底面距底面净高6.5米。含杆件、杆件紧固件、顶盖、U型槽及杆件吊装安装费、杆件运至施工现场、杆件保护、施工期间安全防护等费用。</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基础预埋件8-M27×1500</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L4、L6、L8、T6+6、T8+4杆件使用。8-M27×1500mm（个）。含预埋件、预埋件紧固件、垫片、螺帽及预埋件安装费、预埋件运至施工现场费用。</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立杆接地和基础包封系统</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不小于2.5M接地角铁L40×4；镀锌扁铁－40×4与杆件连接，杆件上接地电阻小于4欧姆。含接地系统预埋、定位、安装、接地桩焊接、现场电阻测试；含杆件螺栓黄油保护、基础混凝土包封和养护工作。</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19"/>
        </w:trPr>
        <w:tc>
          <w:tcPr>
            <w:tcW w:w="521" w:type="dxa"/>
            <w:vAlign w:val="center"/>
            <w:vMerge w:val="restart"/>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286"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杆件基础开挖及浇筑</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土方开挖尺寸为：（8-M27×150</w:t>
            </w:r>
            <w:r>
              <w:rPr>
                <w:rFonts w:hint="eastAsia" w:ascii="宋体" w:hAnsi="宋体" w:eastAsia="宋体" w:cs="宋体"/>
                <w:i w:val="0"/>
                <w:iCs w:val="0"/>
                <w:color w:val="000000"/>
                <w:sz w:val="18"/>
                <w:szCs w:val="18"/>
                <w:highlight w:val="none"/>
                <w:u w:val="none"/>
                <w:lang w:val="en-US" w:eastAsia="zh-CN" w:bidi="ar"/>
              </w:rPr>
              <w:t xml:space="preserve">0mm—1.5米×1.5米×1.9米），（8-M27×1800mm—1.8米×1.8米×2.2米）×3，（8-M30×1800及8-M30×2000mm—1.8米×1.8米×2.4米），（落地柜—0.8米×0.8米×0.6米）；混凝土尺寸为（8-M27×1500mm—1.5米×1.5米×1.7米），（8-M27×1800mm—1.8米×1.8米×2.0米），（8-M30×1800及8-M30×2000mm—1.8米×1.8米×2.2米），（落地柜——0.8米×0.8米×0.6米）；本项按混凝土浇筑尺寸计量。</w:t>
            </w:r>
            <w:r>
              <w:rPr>
                <w:rFonts w:hint="eastAsia" w:ascii="宋体" w:hAnsi="宋体" w:eastAsia="宋体" w:cs="宋体"/>
                <w:i w:val="0"/>
                <w:iCs w:val="0"/>
                <w:color w:val="000000"/>
                <w:sz w:val="18"/>
                <w:szCs w:val="18"/>
                <w:highlight w:val="none"/>
                <w:u w:val="none"/>
              </w:rPr>
            </w:r>
            <w:r/>
          </w:p>
        </w:tc>
        <w:tc>
          <w:tcPr>
            <w:tcW w:w="722"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w:t>
            </w:r>
            <w:r>
              <w:rPr>
                <w:rFonts w:hint="eastAsia" w:ascii="宋体" w:hAnsi="宋体" w:eastAsia="宋体" w:cs="宋体"/>
                <w:i w:val="0"/>
                <w:iCs w:val="0"/>
                <w:color w:val="000000"/>
                <w:sz w:val="18"/>
                <w:szCs w:val="18"/>
                <w:highlight w:val="none"/>
                <w:u w:val="none"/>
              </w:rPr>
            </w:r>
            <w:r/>
          </w:p>
        </w:tc>
        <w:tc>
          <w:tcPr>
            <w:tcW w:w="1214" w:type="dxa"/>
            <w:vAlign w:val="center"/>
            <w:vMerge w:val="restart"/>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土方开挖（不区分开挖方式及土质）、土方清运、围挡、风镐、上沿制模（30CM木模）、抹平及其他辅助工序；基坑底层较混凝土浇筑尺寸下沉20CM用于顶部绿化恢复；C25商砼浇筑；含2根PE75管连接杆件；含基础养护、保护。</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设备喷特殊绿色</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根据道路色号（RAL 6003)改色</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杆件喷特殊绿色</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根据道路色号（RAL 6003)改色</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机箱电源线及敷设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RVV3×1.5mm；含穿引线、扫管、穿线、编号、塑料标签、接线、包头施工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RVV4×1mm；含穿引线、扫管、穿线、编号、塑料标签、接线、包头施工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室外防水六类；含穿引线、扫管、穿线、编号、塑料标签、接线、包头施工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室外单模铠装光缆，4芯；含管内穿引线、扫管、穿线、编号、塑料标签、包头施工、光缆光纤头熔接、尾纤头及光缆测试交付</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光缆终端盒</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FC8口</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光纤跳线</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FC-FC1.5米单模</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金属波纹管,直径25mm，沿杆件、墙壁敷设，含卡箍</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绿化内管沟开挖及管道敷设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管顶至地面不得低于60CM；2*PE75mm管敷设施工要求；含开挖、PE管敷设、土方回填夯实、弃土清运、绿化恢复。含2*PE75管材（壁厚不小于7MM）</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窨井及井盖</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500mm*500mm盖板（钢筋骨架、金属包边、表面“经开公安”字样、砼预制井盖）及井圈（钢筋骨架、砼预置井圈）；含窖井内土石方开挖（不区分开挖方式及土质）、红砖及水泥砌筑；井内圈净尺寸不小于500mm*500mm*50mm0；含土方清运、围挡、风镐及其他辅助工序；含井圈井盖安装。</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五</w:t>
            </w:r>
            <w:r>
              <w:rPr>
                <w:rFonts w:hint="eastAsia" w:ascii="宋体" w:hAnsi="宋体" w:eastAsia="宋体" w:cs="宋体"/>
                <w:b/>
                <w:bCs/>
                <w:i w:val="0"/>
                <w:iCs w:val="0"/>
                <w:color w:val="000000"/>
                <w:sz w:val="18"/>
                <w:szCs w:val="18"/>
                <w:highlight w:val="none"/>
                <w:u w:val="none"/>
              </w:rPr>
            </w:r>
            <w:r/>
          </w:p>
        </w:tc>
        <w:tc>
          <w:tcPr>
            <w:gridSpan w:val="5"/>
            <w:tcW w:w="12458"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防控边界建设</w:t>
            </w:r>
            <w:r>
              <w:rPr>
                <w:rFonts w:hint="eastAsia" w:ascii="宋体" w:hAnsi="宋体" w:eastAsia="宋体" w:cs="宋体"/>
                <w:b/>
                <w:bCs/>
                <w:i w:val="0"/>
                <w:iCs w:val="0"/>
                <w:color w:val="000000"/>
                <w:sz w:val="18"/>
                <w:szCs w:val="18"/>
                <w:highlight w:val="none"/>
                <w:u w:val="none"/>
                <w:lang w:val="en-US" w:eastAsia="zh-CN" w:bidi="ar"/>
              </w:rPr>
            </w:r>
            <w:r/>
          </w:p>
        </w:tc>
      </w:tr>
      <w:tr>
        <w:trPr>
          <w:trHeight w:val="888"/>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900万高清环保人脸卡口抓拍单元</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1、900万高清环保人脸卡口抓拍单元；包含高清一体化嵌入式摄像机、高清镜头、室外防护罩、电源适配器、安装万向节等。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2、内置摄像机采用1英寸高帧率全局曝光CMOS传感器，分辨率≥4096 × 2160。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3、无人驾驶车辆车牌识别功能检查：支持对无人驾驶的车辆进行车牌识别。</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4、多边形车道配置检查：车道线支持配置成多边形</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自动画线功能检测：支持自动画线功能，可自动识别并画出车道线和抓拍检测线；支持辅助生成车道线和车道线类型，可人工确认并修改；支持辅助生产电警场景配置线和信号灯检测框，可人工确认并修改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5、右转弯压实线检测功能检查：支持车辆右转弯压实线检测并抓拍。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6、外接鱼眼相机联动功能检查：支持两台设备（一个卡口、一个电警）和外接鱼眼相机，实现车辆的管控取证和违章变道的取证（支持配合终端服务器输出卡口和电警的抓拍合成图，可配置输出合成鱼眼图）。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支持识别车身副颜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8、车牌识别功能检查 ：支持对25×10 像素～1100×3000 像素的机动车车牌进行抓拍并识别号码；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支持抓拍并识别垂直倾斜角度≤45°、水平倾斜角度≤35°、俯仰角度≤40°的机动车车牌号码。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9、目标跟踪功能检查 ：支持检测并跟踪指定区域内不少于 245 个目标，目标包括机动车、非机动车以及行人。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10、车辆子品牌识别功能检查：支持车辆子品牌识别，对车头图片进行分析抓拍，可分析输出OSD叠加7200种车辆子品牌并显示相应的年款，对车尾图片进行分析抓拍，可分析输出 OSD 叠加3900 种车辆子品牌并显示相应的年款。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11、司乘人员抓拍性能试验：支持前排人脸检测，并识别主驾驶员的性别、是否戴眼镜结构化属性信息，可在抓拍图上叠加主/副驾驶人脸小图和主驾驶员的结构化属性信息。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12、支持配置开启码流智能编码模式,通过算法识别画面中的关键目标,对高价值目标保留高清细节,重复背景信息进行超高压缩,降低码率功能,目标时间占有率低于50%时,码率可降低不少于50%,降低视频码流存储压力。</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41"/>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一体式环保补光灯</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1、集成高亮度LED光源、氙气灯管光源于一体，可实现LED频闪、LED爆闪、白光氙气爆闪及红外氙气爆闪功能。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2、支持红外/白光闪光，可自动切换红外和白光模式；支持LED频闪同步相机视频补光；支持LED爆闪或氙气爆闪同步相机抓拍补光；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3、可见光波长范围：350nm～780nm；氙气色温支持≥5800K±200K，LED色温支持≥3500K；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4、中心光照度：LED支持≤5lx（20m平均光照度）、≤20lx（20m有效光照度）、≤80lx（20m频爆光照度）；氙气≤4000lx；</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5、光斑覆盖范围支持1车道；补光距离范围：16m~26m；回电时间＜70ms；闪光持续时间范围：180μs～500μs；支持统计爆闪次数和触发次数；闪光灯寿命≥1000万次；频率：100Hz。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6、支持滤光片未启用情况下，遮挡面积占爆闪灯总面积≤5%。眩光阈值增量(TI)值TI≤2%。氙气灯爆闪持续时间不高于250μs，LED爆闪持续时间不高于1ms。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7、支持在摄像机WEB上远程显示补光灯故障、正常状态；支持抓拍同步补光功能；支持视频同步补光功能。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8、供电方式AC220V±10％；功耗：＜65J/次；防护等级≥IP66。</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主控制器</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1、内置≥1块4T硬盘，具有18个10M/100M/10</w:t>
            </w:r>
            <w:r>
              <w:rPr>
                <w:rFonts w:hint="eastAsia" w:ascii="宋体" w:hAnsi="宋体" w:eastAsia="宋体" w:cs="宋体"/>
                <w:i w:val="0"/>
                <w:iCs w:val="0"/>
                <w:color w:val="000000"/>
                <w:sz w:val="18"/>
                <w:szCs w:val="18"/>
                <w:highlight w:val="none"/>
                <w:u w:val="none"/>
                <w:lang w:val="en-US" w:eastAsia="zh-CN" w:bidi="ar"/>
              </w:rPr>
              <w:t xml:space="preserve">00M自适应RJ45接口，其中P1～P16与G1处于同一网段、G2处于另一网段；2个1000M SFP光端接口，分别与G1、G2处于同一网段。具有2个RS-232接口、2个RS-485接口、1个USB 3.0接口、2路报警输入接口、2路报警输出接口、1个音频输入接口、1个音频输出接口、4个SATA接口、4个状态指示灯、1个接地端子。支持IP地址过滤、SSH开关自定义、视频水印等安全防护功能，具有ARP防攻击设置选项、具备强密码管理功能；支持WEB回话Session ID、数据传输加密、固件完整性等安全检验。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设备均应具备权限管理、数据加密、运行日志功能，设备应设置操作口令，宜有图像加密，放篡改、防非法复制等措施，以保证原始数据的完整性。重要的图像应加以保护，不被删除和覆盖。设备应有防偶发死机的措施（如硬件看门狗或软件、硬件看门狗或定时自动启动等），死机后的自动恢复时间应满足GB20815中的8.12的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接入具有ABF聚焦功能的摄像机，可对视频图像进行ABF聚焦；支持接入鱼眼摄像机、双目摄像机、三目摄像机、四目摄像机、八目枪球联动一体机及全局摄像机，并可将视频图像以多画面分割方式显示，可自定义画面布局。摄像机与客户端分别连接样机的不同网段时，客户端可以通过端口映射，跨网段直接访问摄像机，对摄像机进行操作，包括进行参数配置、录像实时预览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支持将1张、2张、3张、4张、5张、6张图片合成，支持选择图片形状，修改顺序，支持原始图片去黑边。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4、支持4块3.5或2.5英寸硬盘接入，每块盘位最大兼容12TB硬盘，支持硬盘自动切换，当一块硬盘损坏后，能自动切换至其它硬盘进行存储。支持SSD,机械硬盘和SSD可以混合使用。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外接机柜门时，通过连接开关量信号及相应的设置，当机柜门打开后，联动声音报警。支持配置路段名称、路段编号、路段距离，能够对驶入驶出该路段的车辆抓拍数据匹配并计算车辆的区间速度值；支持设置过滤阈值，对异常测速结果进行过滤；支持超速检测和欠速检测，可分别设定高限速和低限速值；支持相同车牌号去重功能，多相机抓拍同一车牌号仅上传一条该车牌条记录到平台。可对IP通道进行图像虚焦、亮度异常、图像偏色、雪花干扰、条纹干扰等类型视频质量进行诊断，可生成诊断信息并导出查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抱杆机柜</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采用优质冷轧钢材质，厚度≥1.0mm；可调节层板；产品尺寸≥400mm(宽)×300mm(深)×500mm(高)；内部配置≥1个双路电源防雷器，≥1个双路10A电源空开模块，≥1个3芯插座。防护等级≥IP54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1.2mm；可调节层板；有效防水防尘；产品尺寸≥630mm(宽)×510mm(深)×955mm(高)；内部配置≥1个双路220V电源防雷器，电源空开模块（≥1个2P40A、≥8个单P10A），≥1个3芯插座，≥2个风扇（带温控）；防护等级≥IP54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多孔插座</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落地机柜内用多孔插座，线长1.8米；10A/250V/2500W；2孔*4+5孔*4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落地机柜基础浇筑</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落地箱基础尺寸不小于800*800*600；含挖填土、土方清运、围挡、风镐及其他辅助工序；C25商砼浇筑；含2根PE75管连接杆件；2根PE75管连接线缆窖井；含基础养护、保护</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8</w:t>
            </w:r>
            <w:r>
              <w:rPr>
                <w:rFonts w:hint="eastAsia" w:ascii="宋体" w:hAnsi="宋体" w:eastAsia="宋体" w:cs="宋体"/>
                <w:i w:val="0"/>
                <w:iCs w:val="0"/>
                <w:color w:val="000000"/>
                <w:sz w:val="18"/>
                <w:szCs w:val="18"/>
                <w:highlight w:val="none"/>
                <w:u w:val="none"/>
                <w:lang w:val="en-US" w:eastAsia="zh-CN"/>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4电1光全千兆工业级网管型交换机</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1、支持≥4个 10/100/1000Base-X 电口，≥1个 1000Base-X SFP光口，含1对千兆光模块传输距离不低于20km。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2、交换容量 52G，全线速转发，MAC 地址 8K。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3、考虑监控视频的特性，巨帧传输长度不小于 12000bytes,平均丢包率为 0 。接触放电±8kV,空气放电±15kV，符合GB/T 17626.2-2018《电磁兼容试验与测量技术静电放电抗扰度试验》并通过国家安全防范报警系统产品质量检测。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4、支持环网冗余技术，自愈时间≤50ms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5、支持AC24V±30%供电，工作温度-40-85℃，1270nm≤中心波长≤1355nm，1530nm≤中心波长≤1565nm。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6、卡轨式波纹型材机壳，IP40 防护等级，双电源冗余输入，5.08mm 工业端子电源接口。</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36"/>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8电4光全千兆工业级网管型交换机</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1、支持≥8个100Base-X电口，≥4个100Base-X SFP光口，含4对千兆光模块传输距离不低于20km。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2、支持设备准入，支持未认证新设备接入告警与阻断，支持电源告警，端口回环告警，IP/MAC冲突告警。符合GB/T 30094-2013工业以太网交换机技术规范并通过国家安全防范报警系统产品质量检测要求。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3、交换机主芯片采用国产化方案，符合YD/T1141-2022《以太网交换机测试方法》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4、支持-40~85℃温度范围满负载工作，支持双电源冗余输入，支持电源过载防反接保护</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辅助材料</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抱箍、标签色带、套管、信号线、接地线、接头、五金件等</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车道</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L杆13M</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臂：13M；立柱口径对角：300-380mm，壁厚≥10mmmm；横臂口径对角300-110mm，壁厚≥6mm。底盘法兰￠650×25mm。整体热浸锌，喷塑。13M（套），杆件安装后法兰平面较地平面下沉200mm，横臂底面距底面净高6.5米。含杆件、杆件紧固件、顶盖、U型槽及杆件吊装安装费、杆件运至施工现场、杆件保护、施工期间安全防护等费用。</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L杆8M</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臂：8M；立柱口径对角：300-250mm，壁厚≥8mm；横臂口径对角250-110mm，壁_≥4_mm。底盘法兰￠550×20mm。整体热浸锌，喷塑。8M（套），杆件安装后法兰平面较地平面下沉200mm，横臂底面距底面净高6.5米。含杆件、杆件紧固件、顶盖、U型槽及杆件吊装安装费、杆件运至施工现场、杆件保护、施工期间安全防护等费用。</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7"/>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L杆4M</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臂：4M；立柱口径对角：300-250mm，壁厚_≥8_mm；横臂口径对角250-110mm，壁厚≥4mm。底盘法兰￠550×20mm。整体热浸锌，喷塑。4M（套），杆件安装后法兰平面较地平面下沉200mm，横臂底面距底面净高6.5米。含杆件、杆件紧固件、顶盖、U型槽及杆件吊装安装费、杆件运至施工现场、杆件保护、施工期间安全防护等费用。</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基础预埋件8-M27×1500</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L4、L6、L8、T6+6、T8+4杆件使用。8-M27×1500mm（个）。含预埋件、预埋件紧固件、垫片、螺帽及预埋件安装费、预埋件运至施工现场费用。</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基础预埋件8-M30×2000</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L13、L15、L17、T13+6、T15+6、T15+15杆件使用。，8-M30×2000mm（个）。含预埋件、预埋件紧固件、垫片、螺帽及预埋件安装费、预埋件运至施工现场费用。</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立杆接地和基础包封系统</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不小于2.5M接地角铁L40×4；镀锌扁铁－40×4与杆件连接，杆件上接地电阻小于4欧姆。含接地系统预埋、定位、安装、接地桩焊接、现场电阻测试；含杆件螺栓黄油保护、基础混凝土包封和养护工作。</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35"/>
        </w:trPr>
        <w:tc>
          <w:tcPr>
            <w:tcW w:w="521" w:type="dxa"/>
            <w:vAlign w:val="center"/>
            <w:vMerge w:val="restart"/>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17</w:t>
            </w:r>
            <w:r>
              <w:rPr>
                <w:rFonts w:hint="eastAsia" w:ascii="宋体" w:hAnsi="宋体" w:eastAsia="宋体" w:cs="宋体"/>
                <w:i w:val="0"/>
                <w:iCs w:val="0"/>
                <w:color w:val="000000"/>
                <w:sz w:val="18"/>
                <w:szCs w:val="18"/>
                <w:highlight w:val="none"/>
                <w:u w:val="none"/>
                <w:lang w:val="en-US" w:eastAsia="zh-CN"/>
              </w:rPr>
            </w:r>
            <w:r/>
          </w:p>
        </w:tc>
        <w:tc>
          <w:tcPr>
            <w:tcW w:w="1286"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杆件基础开挖及浇筑</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土方开挖尺寸为：（8-M27×150</w:t>
            </w:r>
            <w:r>
              <w:rPr>
                <w:rFonts w:hint="eastAsia" w:ascii="宋体" w:hAnsi="宋体" w:eastAsia="宋体" w:cs="宋体"/>
                <w:i w:val="0"/>
                <w:iCs w:val="0"/>
                <w:color w:val="000000"/>
                <w:sz w:val="18"/>
                <w:szCs w:val="18"/>
                <w:highlight w:val="none"/>
                <w:u w:val="none"/>
                <w:lang w:val="en-US" w:eastAsia="zh-CN" w:bidi="ar"/>
              </w:rPr>
              <w:t xml:space="preserve">0mm—1.5米×1.5米×1.9米），（8-M27×1800mm—1.8米×1.8米×2.2米）×3，（8-M30×1800及8-M30×2000mm—1.8米×1.8米×2.4米），（落地柜—0.8米×0.8米×0.6米）；混凝土尺寸为（8-M27×1500mm—1.5米×1.5米×1.7米），（8-M27×1800mm—1.8米×1.8米×2.0米），（8-M30×1800及8-M30×2000mm—1.8米×1.8米×2.2米），（落地柜——0.8米×0.8米×0.6米）；本项按混凝土浇筑尺寸计量。</w:t>
            </w:r>
            <w:r>
              <w:rPr>
                <w:rFonts w:hint="eastAsia" w:ascii="宋体" w:hAnsi="宋体" w:eastAsia="宋体" w:cs="宋体"/>
                <w:i w:val="0"/>
                <w:iCs w:val="0"/>
                <w:color w:val="000000"/>
                <w:sz w:val="18"/>
                <w:szCs w:val="18"/>
                <w:highlight w:val="none"/>
                <w:u w:val="none"/>
              </w:rPr>
            </w:r>
            <w:r/>
          </w:p>
        </w:tc>
        <w:tc>
          <w:tcPr>
            <w:tcW w:w="722"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41.3</w:t>
            </w:r>
            <w:r>
              <w:rPr>
                <w:rFonts w:hint="eastAsia" w:ascii="宋体" w:hAnsi="宋体" w:eastAsia="宋体" w:cs="宋体"/>
                <w:i w:val="0"/>
                <w:iCs w:val="0"/>
                <w:color w:val="000000"/>
                <w:sz w:val="18"/>
                <w:szCs w:val="18"/>
                <w:highlight w:val="none"/>
                <w:u w:val="none"/>
              </w:rPr>
            </w:r>
            <w:r/>
          </w:p>
        </w:tc>
        <w:tc>
          <w:tcPr>
            <w:tcW w:w="1214" w:type="dxa"/>
            <w:vAlign w:val="center"/>
            <w:vMerge w:val="restart"/>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土方开挖（不区分开挖方式及土质）、土方清运、围挡、风镐、上沿制模（30CM木模）、抹平及其他辅助工序；基坑底层较混凝土浇筑尺寸下沉20CM用于顶部绿化恢复；C25商砼浇筑；含2根PE75管连接杆件；含基础养护、保护。</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设备喷特殊绿色</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根据道路色号改色</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杆件喷特殊绿色</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根据道路色号改色</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机箱电源线及敷设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RVV3×1.5mm；含穿引线、扫管、穿线、编号、塑料标签、接线、包头施工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室外防水六类；含穿引线、扫管、穿线、编号、塑料标签、接线、包头施工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室外单模铠装光缆，4芯；含管内穿引线、扫管、穿线、编号、塑料标签、包头施工、光缆光纤头熔接、尾纤头及光缆测试交付</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光缆终端盒</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FC8口</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光纤跳线</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FC-FC1.5米单模</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金属波纹管,直径25mm，沿杆件、墙壁敷设，含卡箍</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lang w:val="en-US" w:eastAsia="zh-CN" w:bidi="ar-SA"/>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绿化内管沟开挖及管道敷设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管顶至地面不得低于60CM；2*PE75mm管敷设施工要求；含开挖、PE管敷设、土方回填夯实、弃土清运、绿化恢复。含2*PE75管材（壁厚不小于7MM）</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27</w:t>
            </w:r>
            <w:r>
              <w:rPr>
                <w:rFonts w:hint="eastAsia" w:ascii="宋体" w:hAnsi="宋体" w:eastAsia="宋体" w:cs="宋体"/>
                <w:i w:val="0"/>
                <w:iCs w:val="0"/>
                <w:color w:val="000000"/>
                <w:sz w:val="18"/>
                <w:szCs w:val="18"/>
                <w:highlight w:val="none"/>
                <w:u w:val="none"/>
                <w:lang w:val="en-US" w:eastAsia="zh-CN"/>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窨井及井盖</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500mm*500mm盖板（钢筋骨架、金属包边、表面“经开公安”字样、砼预制井盖）及井圈（钢筋骨架、砼预置井圈）；含窖井内土石方开挖（不区分开挖方式及土质）、红砖及水泥砌筑；井内圈净尺寸不小于500mm*500mm*50mm0；含土方清运、围挡、风镐及其他辅助工序；含井圈井盖安装。</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六</w:t>
            </w:r>
            <w:r>
              <w:rPr>
                <w:rFonts w:hint="eastAsia" w:ascii="宋体" w:hAnsi="宋体" w:eastAsia="宋体" w:cs="宋体"/>
                <w:b/>
                <w:bCs/>
                <w:i w:val="0"/>
                <w:iCs w:val="0"/>
                <w:color w:val="000000"/>
                <w:sz w:val="18"/>
                <w:szCs w:val="18"/>
                <w:highlight w:val="none"/>
                <w:u w:val="none"/>
              </w:rPr>
            </w:r>
            <w:r/>
          </w:p>
        </w:tc>
        <w:tc>
          <w:tcPr>
            <w:gridSpan w:val="5"/>
            <w:tcW w:w="12458"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朝阳路横林大道卡口迁移及更新</w:t>
            </w:r>
            <w:r>
              <w:rPr>
                <w:rFonts w:hint="eastAsia" w:ascii="宋体" w:hAnsi="宋体" w:eastAsia="宋体" w:cs="宋体"/>
                <w:b/>
                <w:bCs/>
                <w:i w:val="0"/>
                <w:iCs w:val="0"/>
                <w:color w:val="000000"/>
                <w:sz w:val="18"/>
                <w:szCs w:val="18"/>
                <w:highlight w:val="none"/>
                <w:u w:val="none"/>
                <w:lang w:val="en-US" w:eastAsia="zh-CN" w:bidi="ar"/>
              </w:rPr>
            </w:r>
            <w:r/>
          </w:p>
        </w:tc>
      </w:tr>
      <w:tr>
        <w:trPr>
          <w:trHeight w:val="2032"/>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900万高清环保人脸卡口抓拍单元</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1、900万高清环保人脸卡口抓拍单元；包含高清一体化嵌入式摄像机、高清镜头、室外防护罩、电源适配器、安装万向节等。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2、内置摄像机采用1英寸高帧率全局曝光CMOS传感器，分辨率≥4096 × 2160。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3、无人驾驶车辆车牌识别功能检查：支持对无人驾驶的车辆进行车牌识别。</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4、多边形车道配置检查：车道线支持配置成多边形</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自动画线功能检测：支持自动画线功能，可自动识别并画出车道线和抓拍检测线；支持辅助生成车道线和车道线类型，可人工确认并修改；支持辅助生产电警场景配置线和信号灯检测框，可人工确认并修改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5、右转弯压实线检测功能检查：支持车辆右转弯压实线检测并抓拍。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6、外接鱼眼相机联动功能检查：支持两台设备（一个卡口、一个电警）和外接鱼眼相机，实现车辆的管控取证和违章变道的取证（支持配合终端服务器输出卡口和电警的抓拍合成图，可配置输出合成鱼眼图）。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支持识别车身副颜色。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8、车牌识别功能检查 ：支持对25×10 像素～1100×3000 像素的机动车车牌进行抓拍并识别号码；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支持抓拍并识别垂直倾斜角度≤45°、水平倾斜角度≤35°、俯仰角度≤40°的机动车车牌号码。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9、目标跟踪功能检查 ：支持检测并跟踪指定区域内不少于 245 个目标，目标包括机动车、非机动车以及行人。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10、车辆子品牌识别功能检查：支持车辆子品牌识别，对车头图片进行分析抓拍，可分析输出OSD叠加7200种车辆子品牌并显示相应的年款，对车尾图片进行分析抓拍，可分析输出 OSD 叠加3900 种车辆子品牌并显示相应的年款。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11、司乘人员抓拍性能试验：支持前排人脸检测，并识别主驾驶员的性别、是否戴眼镜结构化属性信息，可在抓拍图上叠加主/副驾驶人脸小图和主驾驶员的结构化属性信息。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12、支持配置开启码流智能编码模式,通过算法识别画面中的关键目标,对高价值目标保留高清细节,重复背景信息进行超高压缩,降低码率功能,目标时间占有率低于50%时,码率可降低不少于50%,降低视频码流存储压力。</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34"/>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主控制器</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1、内置≥1块4T硬盘，具有18个10M/100M/1000M自适应RJ45接口，其中P1～P16与G1处于同一网段、G2处于另一网段；2个1000M SFP光端接口，分别与G1、G2处于同一网段。</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具有2个RS-232接口、2个RS-485接口、1个USB 3.0接口、2路报警输入接口、2路报警输出接口、1个音频输入接口、1个音频输出接口、4个SATA接口、4个状态指示灯、1个接地端子。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支持IP地址过滤、SSH开关自定义、视频水印等安全防护功能，具有ARP防攻击设置选项、具备强密码管理功能；支持WEB回话Session ID、数据传输加密、固件完整性等安全检验。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2、设备均应具备权限管理、数据加密、运行日志功能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设备应设置操作口令，宜有图像加密，放篡改、防非法复制等措施，以保证原始数据的完整性。重要的图像应加以保护，不被删除和覆盖。设备应有防偶发死机的措施（如硬件看门狗或软件、硬件看门狗或定时自动启动等），死机后的自动恢复时间应满足GB20815中的8.12的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接入具有ABF聚焦功能的摄像机，可对视频图像进行ABF聚焦；支持接入鱼眼摄像机、双目摄像机、三目摄像机、四目摄像机、八目枪球联动一体机及全局摄像机，并可将视频图像以多画面分割方式显示，可自定义画面布局。</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摄像机与客户端分别连接样机的不同网段时，客户端可以通过端口映射，跨网段直接访问摄像机，对摄像机进行操作，包括进行参数配置、录像实时预览等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支持将1张、2张、3张、4张、5张、6张图片合成，支持选择图片形状，修改顺序，支持原始图片去黑边。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4、支持4块3.5或2.5英寸硬盘接入，每块盘位最大兼容12TB硬盘，支持硬盘自动切换，当一块硬盘损坏后，能自动切换至其它硬盘进行存储。支持SSD,机械硬盘和SSD可以混合使用。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5、外接机柜门时，通过连接开关量信号及相应的设置，当机柜门打开后，联动声音报警。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配置路段名称、路段编号、路段距离，能够对驶入驶出该路段的车辆抓拍数据匹配并计算车辆的区间速度值；支持设置过滤阈值，对异常测速结果进行过滤；支持超速检测和欠速检测，可分别设定高限速和低限速值；</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支持相同车牌号去重功能，多相机抓拍同一车牌号仅上传一条该车牌条记录到平台。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可对IP通道进行图像虚焦、亮度异常、图像偏色、雪花干扰、条纹干扰等类型视频质量进行诊断，可生成诊断信息并导出查看。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抱杆机柜</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采用优质冷轧钢材质，厚度≥1.0mm；可调节层板；产品尺寸≥400mm(宽)×300mm(深)×500mm(高)；内部配置≥1个双路电源防雷器，≥1个双路10A电源空开模块，≥1个3芯插座。防护等级≥IP54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3"/>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1.2mm；可调节层板；有效防水防尘；产品尺寸≥630mm(宽)×510mm(深)×955mm(高)；内部配置≥1个双路220V电源防雷器，电源空开模块（≥1个2P40A、≥8个单P10A），≥1个3芯插座，≥2个风扇（带温控）；防护等级≥IP54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多孔插座</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落地机柜内用多孔插座，线长1.8米；10A/250V/2500W；2孔*4+5孔*4</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落地机柜基础浇筑</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落地箱基础尺寸不小于800*800*600；含挖填土、土方清运、围挡、风镐及其他辅助工序；C25商砼浇筑；含2根PE75管连接杆件；2根PE75管连接线缆窖井；含基础养护、保护</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71"/>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4电1光全千兆工业级网管型交换机</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1.支持≥4个 10/100/1000Base-X 电口，≥1个 1000Base-X SFP光口，含1对千兆光模块传输距离不低于20km。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2.交换容量 52G，全线速转发，MAC 地址 8K。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3.考虑监控视频的特性，巨帧传输长度不小于 12000bytes,平均丢包率为 0 。接触放电±8kV,空气放电±15kV，符合GB/T 17626.2-2018《电磁兼容试验与测量技术静电放电抗扰度试验》并通过国家安全防范报警系统产品质量检测。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4.支持环网冗余技术，自愈时间≤50ms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5.支持AC24V±30%供电，工作温度-40-85℃，1270nm≤中心波长≤1355nm，1530nm≤中心波长≤1565nm。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6.卡轨式波纹型材机壳，IP40 防护等级，双电源冗余输入，5.08mm 工业端子电源接口。</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8电4光全千兆工业级网管型交换机</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1、支持≥8个100Base-X电口，≥4个100Base-X SFP光口，含4对千兆光模块传输距离不低于20km。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2、支持设备准入，支持未认证新设备接入告警与阻断，支持电源告警，端口回环告警，IP/MAC冲突告警。符合GB/T 30094-2013工业以太网交换机技术规范并通过国家安全防范报警系统产品质量检测要求。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3、交换机主芯片采用国产化方案，符合YD/T1141-2022《以太网交换机测试方法》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4、支持-40~85℃温度范围满负载工作，支持双电源冗余输入，支持电源过载防反接保护</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辅助材料</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抱箍、标签色带、套管、信号线、接地线、接头、五金件等</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车道</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基础预埋件8-M27×1500</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L4、L6、L8、T6+6、T8+4杆件使用。8-M27×1500mm（个）。含预埋件、预埋件紧固件、垫片、螺帽及预埋件安装费、预埋件运至施工现场费用。</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立杆接地和基础包封系统</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不小于2.5M接地角铁L40×4；镀锌扁铁－40×4与杆件连接，杆件上接地电阻小于4欧姆。含接地系统预埋、定位、安装、接地桩焊接、现场电阻测试；含杆件螺栓黄油保护、基础混凝土包封和养护工作。</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35"/>
        </w:trPr>
        <w:tc>
          <w:tcPr>
            <w:tcW w:w="521" w:type="dxa"/>
            <w:vAlign w:val="center"/>
            <w:vMerge w:val="restart"/>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286"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杆件基础开挖及浇筑</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土方开挖尺寸为：（8-M27×150</w:t>
            </w:r>
            <w:r>
              <w:rPr>
                <w:rFonts w:hint="eastAsia" w:ascii="宋体" w:hAnsi="宋体" w:eastAsia="宋体" w:cs="宋体"/>
                <w:i w:val="0"/>
                <w:iCs w:val="0"/>
                <w:color w:val="000000"/>
                <w:sz w:val="18"/>
                <w:szCs w:val="18"/>
                <w:highlight w:val="none"/>
                <w:u w:val="none"/>
                <w:lang w:val="en-US" w:eastAsia="zh-CN" w:bidi="ar"/>
              </w:rPr>
              <w:t xml:space="preserve">0mm—1.5米×1.5米×1.9米），（8-M27×1800mm—1.8米×1.8米×2.2米）×3，（8-M30×1800及8-M30×2000mm—1.8米×1.8米×2.4米），（落地柜—0.8米×0.8米×0.6米）；混凝土尺寸为（8-M27×1500mm—1.5米×1.5米×1.7米），（8-M27×1800mm—1.8米×1.8米×2.0米），（8-M30×1800及8-M30×2000mm—1.8米×1.8米×2.2米），（落地柜——0.8米×0.8米×0.6米）；本项按混凝土浇筑尺寸计量。</w:t>
            </w:r>
            <w:r>
              <w:rPr>
                <w:rFonts w:hint="eastAsia" w:ascii="宋体" w:hAnsi="宋体" w:eastAsia="宋体" w:cs="宋体"/>
                <w:i w:val="0"/>
                <w:iCs w:val="0"/>
                <w:color w:val="000000"/>
                <w:sz w:val="18"/>
                <w:szCs w:val="18"/>
                <w:highlight w:val="none"/>
                <w:u w:val="none"/>
              </w:rPr>
            </w:r>
            <w:r/>
          </w:p>
        </w:tc>
        <w:tc>
          <w:tcPr>
            <w:tcW w:w="722"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742" w:type="dxa"/>
            <w:vAlign w:val="center"/>
            <w:vMerge w:val="restart"/>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w:t>
            </w:r>
            <w:r>
              <w:rPr>
                <w:rFonts w:hint="eastAsia" w:ascii="宋体" w:hAnsi="宋体" w:eastAsia="宋体" w:cs="宋体"/>
                <w:i w:val="0"/>
                <w:iCs w:val="0"/>
                <w:color w:val="000000"/>
                <w:sz w:val="18"/>
                <w:szCs w:val="18"/>
                <w:highlight w:val="none"/>
                <w:u w:val="none"/>
              </w:rPr>
            </w:r>
            <w:r/>
          </w:p>
        </w:tc>
        <w:tc>
          <w:tcPr>
            <w:tcW w:w="1214" w:type="dxa"/>
            <w:vAlign w:val="center"/>
            <w:vMerge w:val="restart"/>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vMerge w:val="continue"/>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86"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土方开挖（不区分开挖方式及土质）、土方清运、围挡、风镐、上沿制模（30CM木模）、抹平及其他辅助工序；基坑底层较混凝土浇筑尺寸下沉20CM用于顶部绿化恢复；C25商砼浇筑；含2根PE75管连接杆件；含基础养护、保护。</w:t>
            </w:r>
            <w:r>
              <w:rPr>
                <w:rFonts w:hint="eastAsia" w:ascii="宋体" w:hAnsi="宋体" w:eastAsia="宋体" w:cs="宋体"/>
                <w:i w:val="0"/>
                <w:iCs w:val="0"/>
                <w:color w:val="000000"/>
                <w:sz w:val="18"/>
                <w:szCs w:val="18"/>
                <w:highlight w:val="none"/>
                <w:u w:val="none"/>
              </w:rPr>
            </w:r>
            <w:r/>
          </w:p>
        </w:tc>
        <w:tc>
          <w:tcPr>
            <w:tcW w:w="72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42" w:type="dxa"/>
            <w:vAlign w:val="center"/>
            <w:vMerge w:val="continue"/>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14" w:type="dxa"/>
            <w:vAlign w:val="center"/>
            <w:vMerge w:val="continue"/>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设备喷特殊绿色</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根据道路色号改色</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机箱电源线及敷设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RVV3×1.5mm；含穿引线、扫管、穿线、编号、塑料标签、接线、包头施工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网线及敷设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室外防水六类；含穿引线、扫管、穿线、编号、塑料标签、接线、包头施工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室外单模铠装光缆，4芯；含管内穿引线、扫管、穿线、编号、塑料标签、包头施工、光缆光纤头熔接、尾纤头及光缆测试交付</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光缆终端盒</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FC8口</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光纤跳线</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FC-FC1.5米单模</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金属波纹管及敷设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金属波纹管,直径25mm，沿杆件、墙壁敷设，含卡箍</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绿化内管沟开挖及管道敷设</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管顶至地面不得低于60CM；2*PE75mm管敷设施工要求；含开挖、PE管敷设、土方回填夯实、弃土清运、绿化恢复。含2*PE75管材（壁厚不小于7MM）</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窨井及井盖</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500mm*500mm盖板（钢筋骨架、金属包边、表面“经开公安”字样、砼预制井盖）及井圈（钢筋骨架、砼预置井圈）；含窖井内土石方开挖（不区分开挖方式及土质）、红砖及水泥砌筑；井内圈净尺寸不小于500mm*500mm*50mm0；含土方清运、围挡、风镐及其他辅助工序；含井圈井盖安装。</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顶管</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含2*PE75mm；含材料费、钻孔、扩孔、回托布管、施工作业面开挖恢复、泥浆和弃土清运等所有费用。双PE75mm管材（壁厚不小于7mm）</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原有杆件拆除、安装</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包含原有杆件上设备拆除、落地机柜拆除等</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七</w:t>
            </w:r>
            <w:r>
              <w:rPr>
                <w:rFonts w:hint="eastAsia" w:ascii="宋体" w:hAnsi="宋体" w:eastAsia="宋体" w:cs="宋体"/>
                <w:b/>
                <w:bCs/>
                <w:i w:val="0"/>
                <w:iCs w:val="0"/>
                <w:color w:val="000000"/>
                <w:sz w:val="18"/>
                <w:szCs w:val="18"/>
                <w:highlight w:val="none"/>
                <w:u w:val="none"/>
              </w:rPr>
            </w:r>
            <w:r/>
          </w:p>
        </w:tc>
        <w:tc>
          <w:tcPr>
            <w:gridSpan w:val="5"/>
            <w:tcW w:w="12458"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分局存储</w:t>
            </w:r>
            <w:r>
              <w:rPr>
                <w:rFonts w:hint="eastAsia" w:ascii="宋体" w:hAnsi="宋体" w:eastAsia="宋体" w:cs="宋体"/>
                <w:b/>
                <w:bCs/>
                <w:i w:val="0"/>
                <w:iCs w:val="0"/>
                <w:color w:val="000000"/>
                <w:sz w:val="18"/>
                <w:szCs w:val="18"/>
                <w:highlight w:val="none"/>
                <w:u w:val="none"/>
                <w:lang w:val="en-US" w:eastAsia="zh-CN" w:bidi="ar"/>
              </w:rPr>
            </w:r>
            <w:r/>
          </w:p>
        </w:tc>
      </w:tr>
      <w:tr>
        <w:trPr>
          <w:trHeight w:val="752"/>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视频存储</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系统架构：</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全对称架构，业务负载均衡，节点故障业务自迁移；</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内置流媒体服务，支持视频流直存，无需额外流媒体存储转发服务器；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支持容器云平台，视图管理软件容器化，存储、转发服务按需部署。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硬件配置：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处理器：配置≥2颗CPU处理器，每颗CPU核心数≥16核，每颗CPU主频≥2.4GHz；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内存：配置≥48G 内存；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硬盘：配置≥2块960GB SAS SSD 系统盘，≥36 块 16TB SATA 硬盘；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网络接口：配置≥4*GE，≥2*10GE；</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配置≥2个热插拔 2000W 交流电源模块,支持 1+1 冗余。</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功能要求：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支持实况、录像回放、电视墙显示管理等；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 H.264、H.265、MJPEG 等格式；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 TCP，UDP，IPv4，HTTP，HTTPS，RTP，RTSP，RTCP，SIP，ARP，SSL，NTP，</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SMTP 等网络协议；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支持实时/历史视频、图片等备份模式。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性能要求：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最大支持 1200 路@2Mbps 视图接入；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最大支持 1200 路@2Mbps 实况转发。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开放框架：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南向对接：接入插件化集成，支持 Onvif2.4 以及 Onvif Profile S、GB/T28181、1400、主</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流摄像机厂家 SDK；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北向对接：SDK、Restful；</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质保：原厂5年质保（含硬盘不返还服务）。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对接要求：支持与分局视频存储平台无缝接入。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455"/>
        </w:trPr>
        <w:tc>
          <w:tcPr>
            <w:tcW w:w="521"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8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图片存储</w:t>
            </w:r>
            <w:r>
              <w:rPr>
                <w:rFonts w:hint="eastAsia" w:ascii="宋体" w:hAnsi="宋体" w:eastAsia="宋体" w:cs="宋体"/>
                <w:i w:val="0"/>
                <w:iCs w:val="0"/>
                <w:color w:val="000000"/>
                <w:sz w:val="18"/>
                <w:szCs w:val="18"/>
                <w:highlight w:val="none"/>
                <w:u w:val="none"/>
              </w:rPr>
            </w:r>
            <w:r/>
          </w:p>
        </w:tc>
        <w:tc>
          <w:tcPr>
            <w:tcW w:w="849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全对称分布式架构部署，单集群内不需要独立的元数据服务器，随着存储节点数的增加，分布式存储性能和容量随着线性增长；支持创建单一文件系统和跨存储节点的单一全局命名空间功能。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硬件配置：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处理器：配置≥2颗CPU处理器，每颗CPU核心数≥48核，每颗CPU主频≥2.6GHz；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内存：配置≥256G 内存；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硬盘：配置≥36块 20TB SATA 硬盘，≥1块3.2TB SSD NVMe 缓存加速盘，≥2块480GB SSD系统盘；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内部网络：配置≥1块双口10G多模 SFP+光纤网卡（满配光模块）；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外部网络：配置≥1块双口10G多模 SFP+光纤网卡（满配光模块）；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配置≥2个2000W热插拔交流电源模块，支持 1+1 冗余电源。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功能要求：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支持对用户、用户组、目录设置配额；配额限制资源类型支持空间配额、文件数配额。空间配额用于管理和监控存储空间的使用情况；文件数配额用于管理和监控文件数量的使用情况；</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支持在线扩容，扩容过程中业务不中断；</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支持异常掉电数据不丢失功能；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 EC 纠删码数据保护方式，不依赖于硬件 RAID 保护；</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一套存储支持 NFS/SMB/S3 多种访问协议，无需配置独立的网关节点；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支持多种网络类型，包括 10GbE、25GbE 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支持业务负载均衡，支持业务在节点、硬盘、网口间的负载均衡；节点内磁盘间容量误差率不超 2%，节点间容量误差不超 0.2%；</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支持以节点池为单位设定数据保护策略，可以设置不同的N+M配比，支持22+2的大比例配比，当节点故障时，支持自动调整配比；</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支持将小文件（＜1M）自适应聚合成不同大小的文件写入磁盘；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支持元数据检索功能；可针对文件名、文件大小、创建时间、所属用户、扩展属性等元</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数据项查询，且不区分不同服务写入的文件，可通过管理界面或REST接口查询，无需独立的服务节点；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支持回收站功能，回收站内文件的保留时长和扫描周期可配置；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支持硬盘故障检测，提前感知硬盘故障风险；</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性能要求：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1TB 数据修复时间小于 30 分钟</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单节点可支持文件数不小于40亿。</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监控管理：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支持集群资源管理、基本信息监控、性能监控、告警管理、用户管理、硬件管理、网络拓扑管理；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支持查看 CPU 利用率、内存利用率、带宽、IOPS 信息统计；支持监控集群、存储池、</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节点、网口、客户端、硬盘、复制链路、数据流动、NFS 客户端、CIFS 客户端、并行客户端的性能指标，支持对监控对象的性能指标进行 TOPN 排序；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实时告警，支持 SNMP、邮件、syslog 等告警方式；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质保：原厂 5 年质保（含硬盘不返还服务）；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对接要求：支持与分局图片存储系统无缝接入。</w:t>
            </w:r>
            <w:r>
              <w:rPr>
                <w:rFonts w:hint="eastAsia" w:ascii="宋体" w:hAnsi="宋体" w:eastAsia="宋体" w:cs="宋体"/>
                <w:i w:val="0"/>
                <w:iCs w:val="0"/>
                <w:color w:val="000000"/>
                <w:sz w:val="18"/>
                <w:szCs w:val="18"/>
                <w:highlight w:val="none"/>
                <w:u w:val="none"/>
              </w:rPr>
            </w:r>
            <w:r/>
          </w:p>
        </w:tc>
        <w:tc>
          <w:tcPr>
            <w:tcW w:w="72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4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4" w:type="dxa"/>
            <w:vAlign w:val="center"/>
            <w:textDirection w:val="lrTb"/>
            <w:noWrap/>
          </w:tcPr>
          <w:p>
            <w:pPr>
              <w:pStyle w:val="1048"/>
              <w:ind w:firstLine="0"/>
              <w:jc w:val="both"/>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bl>
    <w:p>
      <w:pPr>
        <w:pStyle w:val="1048"/>
        <w:numPr>
          <w:ilvl w:val="0"/>
          <w:numId w:val="0"/>
        </w:numPr>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sectPr>
          <w:footnotePr/>
          <w:endnotePr/>
          <w:type w:val="nextPage"/>
          <w:pgSz w:w="16840" w:h="11907" w:orient="landscape"/>
          <w:pgMar w:top="1701" w:right="1418" w:bottom="1134" w:left="1418" w:header="851" w:footer="850" w:gutter="0"/>
          <w:cols w:num="1" w:sep="0" w:space="1701" w:equalWidth="1"/>
          <w:docGrid w:linePitch="360"/>
        </w:sectPr>
      </w:pPr>
      <w:r>
        <w:rPr>
          <w:rFonts w:hint="eastAsia" w:ascii="宋体" w:hAnsi="宋体" w:eastAsia="宋体" w:cs="宋体"/>
          <w:b/>
          <w:bCs w:val="0"/>
          <w:color w:val="000000"/>
          <w:sz w:val="21"/>
          <w:szCs w:val="21"/>
          <w:highlight w:val="none"/>
          <w:lang w:val="en-US" w:eastAsia="zh-CN" w:bidi="ar-SA"/>
        </w:rPr>
      </w:r>
      <w:r/>
    </w:p>
    <w:p>
      <w:pPr>
        <w:pStyle w:val="1048"/>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bookmarkStart w:id="690" w:name="_Toc74264852"/>
      <w:r/>
      <w:bookmarkEnd w:id="690"/>
      <w:r/>
      <w:bookmarkStart w:id="691" w:name="_Toc3165"/>
      <w:r/>
      <w:bookmarkStart w:id="692" w:name="_Toc21483"/>
      <w:r/>
      <w:bookmarkStart w:id="693" w:name="_Toc76565704"/>
      <w:r/>
      <w:bookmarkStart w:id="694" w:name="_Toc73267385"/>
      <w:r/>
      <w:bookmarkEnd w:id="694"/>
      <w:r/>
      <w:bookmarkStart w:id="695" w:name="_Toc73298368"/>
      <w:r/>
      <w:bookmarkEnd w:id="695"/>
      <w:r/>
      <w:bookmarkStart w:id="696" w:name="_Toc73296968"/>
      <w:r/>
      <w:bookmarkEnd w:id="696"/>
      <w:r/>
      <w:bookmarkStart w:id="697" w:name="_Toc76409037"/>
      <w:r/>
      <w:bookmarkEnd w:id="697"/>
      <w:r/>
      <w:bookmarkStart w:id="698" w:name="_Toc74265148"/>
      <w:r/>
      <w:bookmarkEnd w:id="698"/>
      <w:r/>
      <w:bookmarkStart w:id="699" w:name="_Toc76565697"/>
      <w:r/>
      <w:bookmarkEnd w:id="699"/>
      <w:r/>
      <w:bookmarkStart w:id="700" w:name="_Toc73267643"/>
      <w:r/>
      <w:bookmarkEnd w:id="700"/>
      <w:r/>
      <w:bookmarkStart w:id="701" w:name="_Toc73267127"/>
      <w:r/>
      <w:bookmarkEnd w:id="701"/>
      <w:r/>
      <w:bookmarkStart w:id="702" w:name="_Toc74298837"/>
      <w:r/>
      <w:bookmarkEnd w:id="702"/>
      <w:r/>
      <w:bookmarkStart w:id="703" w:name="_Toc75993375"/>
      <w:r/>
      <w:bookmarkEnd w:id="703"/>
      <w:r/>
      <w:bookmarkStart w:id="704" w:name="_Toc75992786"/>
      <w:r/>
      <w:bookmarkEnd w:id="704"/>
      <w:r/>
      <w:bookmarkStart w:id="705" w:name="_Toc75332983"/>
      <w:r/>
      <w:bookmarkEnd w:id="705"/>
      <w:r/>
      <w:bookmarkStart w:id="706" w:name="_Toc75994271"/>
      <w:r/>
      <w:bookmarkEnd w:id="706"/>
      <w:r/>
      <w:bookmarkStart w:id="707" w:name="_Toc75333285"/>
      <w:r/>
      <w:bookmarkEnd w:id="707"/>
      <w:r/>
      <w:bookmarkStart w:id="708" w:name="_Toc76020626"/>
      <w:r/>
      <w:bookmarkEnd w:id="708"/>
      <w:r/>
      <w:bookmarkStart w:id="709" w:name="_Toc75639853"/>
      <w:r/>
      <w:bookmarkEnd w:id="709"/>
      <w:r>
        <w:rPr>
          <w:rFonts w:hint="eastAsia" w:ascii="宋体" w:hAnsi="宋体" w:eastAsia="宋体" w:cs="宋体"/>
          <w:b/>
          <w:bCs w:val="0"/>
          <w:color w:val="000000"/>
          <w:sz w:val="21"/>
          <w:szCs w:val="21"/>
          <w:highlight w:val="none"/>
          <w:lang w:val="en-US" w:eastAsia="zh-CN" w:bidi="ar-SA"/>
        </w:rPr>
        <w:t xml:space="preserve">（二）前端改造</w:t>
      </w:r>
      <w:bookmarkEnd w:id="691"/>
      <w:r>
        <w:rPr>
          <w:rFonts w:hint="eastAsia" w:ascii="宋体" w:hAnsi="宋体" w:eastAsia="宋体" w:cs="宋体"/>
          <w:b/>
          <w:bCs w:val="0"/>
          <w:color w:val="000000"/>
          <w:sz w:val="21"/>
          <w:szCs w:val="21"/>
          <w:highlight w:val="none"/>
          <w:lang w:val="en-US" w:eastAsia="zh-CN" w:bidi="ar-SA"/>
        </w:rPr>
        <w:t xml:space="preserve">点位</w:t>
      </w:r>
      <w:r>
        <w:rPr>
          <w:rFonts w:hint="eastAsia" w:ascii="宋体" w:hAnsi="宋体" w:eastAsia="宋体" w:cs="宋体"/>
          <w:b/>
          <w:bCs w:val="0"/>
          <w:color w:val="000000"/>
          <w:sz w:val="21"/>
          <w:szCs w:val="21"/>
          <w:highlight w:val="none"/>
          <w:lang w:val="en-US" w:eastAsia="zh-CN" w:bidi="ar-SA"/>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86"/>
        <w:gridCol w:w="1303"/>
        <w:gridCol w:w="1024"/>
        <w:gridCol w:w="767"/>
        <w:gridCol w:w="769"/>
        <w:gridCol w:w="1103"/>
        <w:gridCol w:w="2853"/>
        <w:gridCol w:w="977"/>
      </w:tblGrid>
      <w:tr>
        <w:trPr>
          <w:trHeight w:val="600"/>
        </w:trPr>
        <w:tc>
          <w:tcPr>
            <w:tcW w:w="223"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707"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路口名称</w:t>
            </w:r>
            <w:r>
              <w:rPr>
                <w:rFonts w:hint="eastAsia" w:ascii="宋体" w:hAnsi="宋体" w:eastAsia="宋体" w:cs="宋体"/>
                <w:b/>
                <w:bCs/>
                <w:i w:val="0"/>
                <w:iCs w:val="0"/>
                <w:color w:val="000000"/>
                <w:sz w:val="21"/>
                <w:szCs w:val="21"/>
                <w:highlight w:val="none"/>
                <w:u w:val="none"/>
              </w:rPr>
            </w:r>
            <w:r/>
          </w:p>
        </w:tc>
        <w:tc>
          <w:tcPr>
            <w:tcW w:w="557"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隶属</w:t>
            </w:r>
            <w:r>
              <w:rPr>
                <w:rFonts w:hint="eastAsia" w:ascii="宋体" w:hAnsi="宋体" w:eastAsia="宋体" w:cs="宋体"/>
                <w:b/>
                <w:bCs/>
                <w:i w:val="0"/>
                <w:iCs w:val="0"/>
                <w:color w:val="000000"/>
                <w:sz w:val="21"/>
                <w:szCs w:val="21"/>
                <w:highlight w:val="none"/>
                <w:u w:val="none"/>
                <w:lang w:val="en-US" w:eastAsia="zh-CN" w:bidi="ar"/>
              </w:rPr>
            </w:r>
            <w:r/>
          </w:p>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区域</w:t>
            </w:r>
            <w:r>
              <w:rPr>
                <w:rFonts w:hint="eastAsia" w:ascii="宋体" w:hAnsi="宋体" w:eastAsia="宋体" w:cs="宋体"/>
                <w:b/>
                <w:bCs/>
                <w:i w:val="0"/>
                <w:iCs w:val="0"/>
                <w:color w:val="000000"/>
                <w:sz w:val="21"/>
                <w:szCs w:val="21"/>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方向</w:t>
            </w:r>
            <w:r>
              <w:rPr>
                <w:rFonts w:hint="eastAsia" w:ascii="宋体" w:hAnsi="宋体" w:eastAsia="宋体" w:cs="宋体"/>
                <w:b/>
                <w:bCs/>
                <w:i w:val="0"/>
                <w:iCs w:val="0"/>
                <w:color w:val="000000"/>
                <w:sz w:val="21"/>
                <w:szCs w:val="21"/>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车道</w:t>
            </w:r>
            <w:r>
              <w:rPr>
                <w:rFonts w:hint="eastAsia" w:ascii="宋体" w:hAnsi="宋体" w:eastAsia="宋体" w:cs="宋体"/>
                <w:b/>
                <w:bCs/>
                <w:i w:val="0"/>
                <w:iCs w:val="0"/>
                <w:color w:val="000000"/>
                <w:sz w:val="21"/>
                <w:szCs w:val="21"/>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型号</w:t>
            </w:r>
            <w:r>
              <w:rPr>
                <w:rFonts w:hint="eastAsia" w:ascii="宋体" w:hAnsi="宋体" w:eastAsia="宋体" w:cs="宋体"/>
                <w:b/>
                <w:bCs/>
                <w:i w:val="0"/>
                <w:iCs w:val="0"/>
                <w:color w:val="000000"/>
                <w:sz w:val="21"/>
                <w:szCs w:val="21"/>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设备名称</w:t>
            </w:r>
            <w:r>
              <w:rPr>
                <w:rFonts w:hint="eastAsia" w:ascii="宋体" w:hAnsi="宋体" w:eastAsia="宋体" w:cs="宋体"/>
                <w:b/>
                <w:bCs/>
                <w:i w:val="0"/>
                <w:iCs w:val="0"/>
                <w:color w:val="000000"/>
                <w:sz w:val="21"/>
                <w:szCs w:val="21"/>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rPr>
                <w:rFonts w:hint="eastAsia" w:ascii="宋体" w:hAnsi="宋体" w:eastAsia="宋体" w:cs="宋体"/>
                <w:b/>
                <w:bCs/>
                <w:i w:val="0"/>
                <w:iCs w:val="0"/>
                <w:color w:val="000000"/>
                <w:sz w:val="21"/>
                <w:szCs w:val="21"/>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龙锦路东城路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龙锦路东城路西向东1-3车道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龙锦路东城路西向东4-5车道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龙锦路东城路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龙锦路五一路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龙锦路五一路西向东1-3车道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龙锦路五一路西向东4-5车道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龙锦路五一路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龙锦路兴东路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龙锦路兴东路南向北1-3车道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龙锦路兴东路南向北4车道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龙锦路兴东路西向东1-3车道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龙锦路兴东路西向东4-5车道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龙锦路兴东路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龙锦路兴东路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龙锦路华丰路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龙锦路华丰路东向西1-3车道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龙锦路华丰路东向西4-5车道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龙锦路华丰路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龙锦路常青路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龙锦路常青路西向东1-3车道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龙锦路常青路西向东4-5车道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龙锦路常青路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富民路华丰路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富民路华丰路东向西1-3车道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富民路华丰路南向北1-3车道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富民路华丰路西向东1-3车道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富民路华丰路西向东4车道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富民路华丰路北向南1-3车道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富民路华丰路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富民路华丰路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富民路华丰路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富民路华丰路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富民路大明路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富民路大明路东向西1-3车道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富民路大明路东向西4车道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富民路大明路南向北1-3车道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富民路大明路南向北4-5车道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富民路大明路北向南1-3车道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富民路大明路北向南4-5车道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富民路大明路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富民路大明路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富民路大明路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兴东路富民路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兴东路富民路南向北1-3车道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兴东路富民路南向北4车道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兴东路富民路北向南1-3车道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兴东路富民路北向南4车道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兴东路富民路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兴东路富民路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延陵东路五一路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延陵东路五一路东向西1-2车道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延陵东路五一路南向北1-3车道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延陵东路五一路南向北4-5车道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延陵东路五一路南向北6-8车道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延陵东路五一路北向南1-3车道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延陵东路五一路北向南4车道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延陵东路五一路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延陵东路五一路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延陵东路五一路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潞横北路华丰路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潞横北路华丰路东向西1-3车道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潞横北路华丰路南向北1-3车道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潞横北路华丰路北向南1-3车道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潞横北路华丰路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潞横北路华丰路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潞横北路华丰路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潞横北路东城路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17-18车道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潞横北路东城路东向西1-2车道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潞横北路东城路南向北1-2车道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潞横北路东城路西向东1-3车道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潞横北路东城路北向南1-2车道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潞横北路东城路北向南3车道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潞横北路东城路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潞横北路东城路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潞横北路东城路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潞横北路东城路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中吴大道横林小学</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横林</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中吴大道横林小学东向西1-3车道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中吴大道横林小学西向东1-3车道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丁剑路戚墅堰实验中学</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丁剑路戚墅堰实验中学东向西1-3车道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丁剑路戚墅堰实验中学西向东1-3车道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潞横路大明路东向西4-5车道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潞横路大明路南向北5-6车道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潞横路大明路西向东4-6车道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潞横路大明路北向南4-5车道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潞横路大明路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潞横路华丰路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潞横路华丰路东向西1-3车道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潞横路华丰路东向西4-5车道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潞横路华丰路西向东1-3车道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潞横路华丰路西向东4-5车道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潞横路华丰路北向南1-3车道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潞横路华丰路北向南4车道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潞横路华丰路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潞横路华丰路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潞横路华丰路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潞横路东城路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潞横路东城路西向东1-3车道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潞横路东城路西向东4-5车道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潞横路东城路北向南1-3车道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潞横路东城路北向南4-5车道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潞横路东城路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潞横路东城路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潞横路五一路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潞横路五一路西向东1-3车道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潞横路五一路西向东4-5车道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潞横路五一路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潞横路兴东路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潞横路兴东路东向西1-3车道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潞横路兴东路东向西4-5车道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潞横路兴东路西向东1-3车道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潞横路兴东路西向东4-5车道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潞横路兴东路北向南1-3车道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潞横路兴东路北向南4-6车道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潞横路兴东路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潞横路兴东路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潞横路兴东路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漕上路五一路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漕上路五一路东向西1-3车道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漕上路五一路东向西4-6车道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漕上路五一路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漕上路剑横路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漕上路剑横路东向西1-4车道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漕上路剑横路西向东1-4车道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漕上路剑横路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漕上路剑横路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漕上路大明路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漕上路大明路东向西1-3车道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漕上路大明路东向西4-5车道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漕上路大明路西向东1-3车道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旧违停</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旧违停</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漕上路大明路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旧违停</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旧违停</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漕上路大明路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漕上路华丰路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漕上路华丰路东向西1-3车道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漕上路华丰路东向西4车道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漕上路华丰路东向西5-6车道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漕上路华丰路西向东1-3车道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漕上路华丰路西向东4车道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漕上路华丰路西向东5-6车道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漕上路华丰路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漕上路华丰路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漕上路东城路东向西4车道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漕上路东城路东向西5-6车道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漕上路东城路南向北3-4车道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漕上路东城路西向东5-6车道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漕上路东城路北向南3-4车道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漕上路东城路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漕上路枫尚路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漕上路枫尚路东向西1-3车道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漕上路枫尚路东向西4车道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漕上路枫尚路东向西5-6车道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漕上路枫尚路西向东1-3车道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漕上路枫尚路西向东4-5车道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漕上路枫尚路西向东6车道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漕上路枫尚路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漕上路枫尚路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劳动东路河苑路(今创路)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劳动东路今创路南向北1-2车道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劳动东路今创路西向东1-3车道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劳动东路今创路北向南1-3车道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劳动东路今创路东向西1车道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劳动东路今创路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劳动东路今创路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劳动东路今创路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东方二路大明路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东方二路大明路东向西1-2车道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东方二路大明路东向西3-4车道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东方二路大明路北向南1-2车道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东方二路大明路北向南3-4车道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东方二路大明路北向南5车道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东方二路大明路南向北1-2车道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东方二路大明路南向北3-4车道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东方二路大明路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东方二路华丰路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东方二路华丰路东向西1-3车道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东方二路华丰路东向西4-5车道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东方二路华丰路西向东1-3车道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东方二路华丰路西向东4车道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东方二路华丰路北向南1-3车道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东方二路华丰路北向南4车道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东方二路华丰路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东方二路华丰路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东方二路华丰路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东方二路东城路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东方二路东城路东向西1-3车道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东方二路东城路东向西4-5车道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东方二路东城路南向北1-3车道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东方二路东城路南向北4-5车道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东方二路东城路西向东1-3车道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东方二路东城路西向东4-5车道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东方二路东城路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东方二路东城路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东方二路东城路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东方二路五一路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东方二路五一路东向西1-3车道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东方二路五一路东向西4-5车道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东方二路五一路南向北1-2车道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东方二路五一路南向北3-4车道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东方二路五一路西向东1-2车道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东方二路五一路西向东3-4车道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东方二路五一路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东方二路五一路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东方二路五一路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五一路段前路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五一路段前路南向北1-3车道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五一路段前路南向北4车道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五一路段前路北向南1-3车道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五一路段前路北向南4车道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五一路段前路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五一路段前路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五一路环卫路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五一路环卫路北向南1-3车道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五一路环卫路北向南4-5车道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五一路环卫路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五一路丁剑路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五一路丁剑路南向北1-3车道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五一路丁剑路南向北4车道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五一路丁剑路北向南1-2车道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五一路丁剑路北向南3-4车道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五一路丁剑路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五一路丁剑路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圩墩路戚南路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圩墩路戚南路西向东1-3车道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圩墩路戚南路西向东4车道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圩墩路戚南路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延陵路徐窑路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延陵路徐窑路东向西1-2车道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延陵路徐窑路西向东1-3车道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延陵路徐窑路北向南1-3车道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延陵路徐窑路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延陵路徐窑路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延陵路徐窑路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义乌路丁塘河西路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义乌路丁塘河西路南向北1-3车道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义乌路丁塘河西路西向东1-3车道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义乌路丁塘河西路北向南1-3车道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义乌路丁塘河西路西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义乌路丁塘河西路北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义乌路智博路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义乌路智博路东向西1-3车道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义乌路智博路南向北1-3车道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义乌路智博路西向东1-3车道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义乌路智博路北向南1-3车道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义乌路智博路东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义乌路智博路西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义乌路湾城北路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城区</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义乌路湾城北路东向西1-3车道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义乌路湾城北路南向北1-3车道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义乌路湾城北路南向北4车道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义乌路湾城北路北向南1-3车道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义乌路湾城北路北向南4车道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义乌路湾城北路东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义乌路湾城北路南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义乌路湾城北路北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华昌路临津路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遥观</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华昌路临津路东向西1-3车道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华昌路临津路东向西4车道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华昌路临津路南向北1-3车道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华昌路临津路北向南1-3车道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华昌路临津路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华昌路临津路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华昌路临津路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华昌路人民路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遥观</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华昌路人民路东向西1-3车道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华昌路人民路南向北1-3车道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华昌路人民路西向东1-3车道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华昌路人民路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华昌路人民路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华昌路人民路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人民路常遥路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遥观</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人民路常遥路东向西1-4车道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人民路常遥路南向北1车道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人民路常遥路西向东1-3车道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人民路常遥路西向东4车道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人民路常遥路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人民路常遥路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人民路常遥路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朝阳路吴家头路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横林</w:t>
            </w: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朝阳路吴家头路南向北1-3车道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朝阳路吴家头路北向南1-3车道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朝阳路吴家头路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朝阳路吴家头路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42</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横林大道杨北线</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横林大道杨北线东向西1-3车道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横林大道杨北线南向北1车道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横林大道杨北线西向东1-3车道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横林大道杨北线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横林大道杨北线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横林大道杨北线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朝阳路老横芙路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朝阳路老横芙路南向北1-3车道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朝阳路老横芙路北向南1-3车道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朝阳路老横芙路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朝阳路老横芙路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44</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戚月线常芙东路(芙蓉街北路)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戚月线芙蓉街北路东向西1-2车道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戚月线芙蓉街北路南向北1-2车道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戚月线芙蓉街北路西向东1-2车道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戚月线芙蓉街北路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戚月线芙蓉街北路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戚月线芙蓉街北路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戚横线前杨工业园区路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戚横线前杨工业园东向西1-2车道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戚横线前杨工业园南向北1车道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戚横线前杨工业园西向东1-2车道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戚横线前杨工业园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戚横线前杨工业园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戚横线前杨工业园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戚横线前杨村委</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戚横线前杨村委东向西1-2车道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戚横线前杨村委西向东1-2车道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戚横线前杨村委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戚横线前杨村委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47</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朝阳路戚横公路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朝阳路戚横公路南向北1-3车道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朝阳路戚横公路西向东1-3车道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朝阳路戚横公路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朝阳路戚横公路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48</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广电东路剑湖街(宋剑路)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广电东路剑湖街南向北1-2车道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广电东路剑湖街西向东1-2车道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广电东路剑湖街北向南1-2车道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广电东路剑湖街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广电东路剑湖街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广电东路剑湖街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49</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S232潞横路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S232潞横路南向北1-3车道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S232潞横路南向北4-5车道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S232潞横路西向东1-3车道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S232潞横路西向东4-5车道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S232潞横路北向南1-3车道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S232潞横路北向南4-5车道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S232潞横路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S232潞横路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S232潞横路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潞横路横中路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潞横路横中路东向西1-3车道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潞横路横中路东向西4车道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潞横路横中路西向东1-3车道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潞横路横中路西向东4车道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潞横路横中路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潞横路横中路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51</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潞横路环镇西路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潞横路环镇西路东向西1-3车道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潞横路环镇西路西向东1-3车道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潞横路环镇西路西向东4车道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潞横路环镇西路东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潞横路环镇西路西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52</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潞横路西崦中心路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潞横路西崦中心路东向西1-3车道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潞横路西崦中心路东向西4车道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潞横路西崦中心路西向东1-3车道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潞横路西崦中心路西向东4车道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53</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潞横路江南路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潞横路江南路南向北1-3车道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潞横路江南路西向东1-3车道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潞横路江南路西向东4-5车道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潞横路江南路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54</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潞横路公园路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潞横路公园路东向西1-3车道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潞横路公园路西向东1-3车道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潞横路公园路西向东4车道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潞横路公园路西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55</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朝阳路横芙路东向西3-4车道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朝阳路横芙路南向北3-4车道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朝阳路横芙路西向东3-4车道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朝阳路横芙路北向南3-4车道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朝阳路横芙路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S232老东方大道</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S232老东方大道南向北1-3车道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S232老东方大道南向北4车道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S232老东方大道北向南1-3车道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S232老东方大道北向南4车道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57</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S232洪庄路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S232洪庄路南向北1-3车道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S232洪庄路南向北4车道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S232洪庄路北向南1-3车道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S232洪庄路北向南4车道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S232洪庄路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58</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潞横北路五一路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潞横北路五一路南向北1-3车道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潞横北路五一路西向东1-2车道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潞横北路五一路北向南1-3车道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潞横北路五一路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潞横北路五一路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潞横北路五一路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59</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潞横北路兴东路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潞横北路兴东路东向西1-3车道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潞横北路兴东路南向北1-3车道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潞横北路兴东路南向北4车道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潞横北路兴东路西向东1-3车道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潞横北路兴东路北向南1-3车道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潞横北路兴东路北向南4车道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潞横北路兴东路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潞横北路兴东路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潞横北路兴东路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潞横北路兴东路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戚横公路江南路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戚横公路江南路东向西1-3车道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戚横公路江南路南向北1-3车道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戚横公路江南路北向南1-3车道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戚横公路江南路北向南4车道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戚横公路江南路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戚横公路江南路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戚横公路江南路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61</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纬四路S232</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纬四路S232东向西1-3车道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纬四路S232东向西4-5车道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纬四路S232南向北1-3车道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纬四路S232南向北4-5车道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纬四路S232北向南1-3车道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纬四路S232北向南4车道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纬四路S232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纬四路S232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纬四路S232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今创路华通路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今创路华通路东向西1车道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今创路华通路南向北1-3车道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今创路华通路南向北4车道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今创路华通路北向南1-3车道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今创路华通路北向南4车道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今创路华通路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今创路华通路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今创路华通路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63</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戚横公路红联路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戚横公路红联路东向西1-3车道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戚横公路红联路南向北1-3车道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戚横公路红联路南向北4车道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戚横公路红联路西向东1-3车道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戚横公路红联路北向南1-2车道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戚横公路红联路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戚横公路红联路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戚横公路红联路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戚横公路红联路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迎宾路崔北路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迎宾路崔北路东向西1-2车道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迎宾路崔北路南向北1-2车道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迎宾路崔北路北向南1-2车道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迎宾路崔北路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迎宾路崔北路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迎宾路崔北路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朝阳路崔蓉路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朝阳路崔蓉路南向北1-3车道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朝阳路崔蓉路北向南1-3车道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朝阳路崔蓉路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朝阳路崔蓉路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66</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横芙路蓉湖路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横芙路蓉湖路东向西1-2车道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横芙路蓉湖路西向东1-2车道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横芙路蓉湖路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横芙路蓉湖路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67</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朝阳路环山南路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朝阳路环山南路南向北1-3车道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朝阳路环山南路西向南1-3车道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朝阳路环山南路北向南1-3车道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朝阳路环山南路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朝阳路环山南路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朝阳路环山南路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戚月线常焦线</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戚月线常焦线东向西1-2车道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戚月线常焦线西向东1-2车道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戚月线常焦线北向南1-2车道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戚月线常焦线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戚月线常焦线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戚月线常焦线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69</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戚月线江南路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戚月线江南路东向西1-2车道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戚月线江南路南向北1-2车道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戚月线江南路西向东1-2车道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戚月线江南路北向南1-2车道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戚月线江南路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戚月线江南路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戚月线江南路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戚月线江南路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江南路环山北路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江南路环山北路东向西1-2车道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江南路环山北路东向西3-4车道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江南路环山北路南向北1-2车道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江南路环山北路西向东1-2车道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江南路环山北路西向东3-4车道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江南路环山北路北向南1-3车道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江南路环山北路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江南路环山北路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江南路环山北路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江南路环山北路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中吴大道顺通路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中吴大道顺通路东向西1-3车道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中吴大道顺通路东向西4车道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中吴大道顺通路南向北1-2车道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中吴大道顺通路南向北3-4车道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中吴大道顺通路西向东1-3车道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中吴大道顺通路西向东4-5车道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中吴大道顺通路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中吴大道顺通路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中吴大道顺通路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文明路西崦路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文明路西崦路东向西1车道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文明路西崦路南向北1-3车道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文明路西崦路西向东1车道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文明路西崦路北向南1-3车道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文明路西崦路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文明路西崦路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文明路西崦路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文明路西崦路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老东方大道剑横路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老东方大道剑横路东向西1-2车道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老东方大道剑横路南向北1车道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老东方大道剑横路西向东1-2车道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老东方大道剑横路北向南1车道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老东方大道剑横路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老东方大道剑横路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老东方大道剑横路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老东方大道剑横路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横芙路常芙西路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横芙路常芙西路东向西1车道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横芙路常芙西路南向北1车道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横芙路常芙西路西向东1-2车道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横芙路常芙西路北向南1-2车道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横芙路常芙西路北向南3-4车道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横芙路常芙西路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横芙路常芙西路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横芙路常芙西路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横芙路常芙西路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漕上路新崔横路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漕上路新崔横路东向西1-2车道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漕上路新崔横路北向南1-2车道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漕上路新崔横路北向南1-2车道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漕上路新崔横路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漕上路新崔横路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城东改造</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76</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潞横路常青路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潞横路常青路东向西1-3车道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潞横路常青路东向西4-5车道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潞横路常青路西向东1-3车道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潞横路常青路西向东4-5车道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潞横路常青路北向南1-3车道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潞横路常青路北向南4-6车道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潞横路常青路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潞横路常青路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潞横路常青路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77</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漕上路江南路东向西4车道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漕上路江南路东向西5-6车道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漕上路江南路东南向北1-3车道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漕上路江南路西向东5-6车道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漕上路江南路北向南5车道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 东南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漕上路江南路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大明路杨园路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大明路杨园路东向西1-3车道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大明路杨园路南向北1-3车道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大明路杨园路南向北4-5车道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大明路杨园路西向东1-3车道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大明路杨园路北向南1-3车道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大明路杨园路北向南4-5车道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大明路杨园路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大明路杨园路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79</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大明路广电路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大明路广电路东向西1-2车道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大明路广电路南向北1-3车道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大明路广电路南向北4-6车道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大明路广电路西向东1-2车道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大明路广电路西向东3-4车道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大明路广电路北向南1-3车道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大明路广电路北向南4-6车道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大明路广电路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大明路广电路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大明路人民路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大明路人民路东向西1-3车道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大明路人民路南向北1-3车道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大明路人民路南向北4-6车道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大明路人民路西向东1-3车道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大明路人民路北向南1-2车道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大明路人民路北向南3-5车道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大明路人民路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大明路人民路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81</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纬四路戴洛路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纬四路戴洛路西向东1-3车道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纬四路戴洛路西向东4-5车道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纬四路戴洛路北向南1-3车道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纬四路戴洛路北向南4车道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纬四路戴洛路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纬四路戴洛路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82</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纬四路经三路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纬四路经三路东向西1-3车道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纬四路经三路东向西4车道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纬四路经三路西向东1-3车道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纬四路经三路西向东4车道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纬四路经三路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纬四路经三路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S232漕上路东向西4车道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S232漕上路东向西5-6车道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S232漕上路南向北5车道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S232漕上路西向东5-6车道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S232漕上路北向南5车道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违停球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S232漕上路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84</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五一路山水路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五一路山水路东向西1-3车道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五一路山水路南向北1-3车道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五一路山水路北向南1-3车道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五一路山水路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五一路山水路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五一路山水路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漕上路常青路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漕上路常青路西向东1-3车道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漕上路常青路西向东4车道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漕上路常青路西向东5-6车道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漕上路常青路北向南1-4车道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漕上路常青路北向南5-6车道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漕上路常青路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漕上路常青路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东方二路常青路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东方二路常青路西向东1-3车道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东方二路常青路西向东4-5车道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东方二路常青路南向北1-3车道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东方二路常青路南向北4-6车道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东方二路常青路北向南1-3车道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东方二路常青路北向南4-6车道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东方二路常青路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东方二路常青路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东方二路常青路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87</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东方东路常青路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东方东路常青路南向北1-3车道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东方东路常青路南向北4-6车道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东方东路常青路北向南1-3车道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东方东路常青路北向南4-5车道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东方东路常青路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东方东路常青路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88</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山水路常青路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山水路常青路南向北1-3车道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山水路常青路南向北4-6车道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山水路常青路北向南1-3车道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山水路常青路北向南4-6车道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山水路常青路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山水路常青路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89</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富民路常青路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富民路常青路南向北1-3车道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富民路常青路南向北4-5车道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富民路常青路北向南1-3车道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富民路常青路北向南4-6车道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富民路常青路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富民路常青路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潞横北路常青路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潞横北路常青路南向北1-3车道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潞横北路常青路南向北4-5车道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潞横北路常青路北向南1-3车道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潞横北路常青路北向南4-5车道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潞横北路常青路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潞横北路常青路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丁剑路常青路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丁剑路常青路南向北1-3车道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丁剑路常青路北向南1-3车道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丁剑路常青路北向南4-5车道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丁剑路常青路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92</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山水路兴东路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山水路兴东路东向西1-3车道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山水路兴东路南向北1-3车道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山水路兴东路南向北4车道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山水路兴东路西向东1-3车道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山水路兴东路北向南1-3车道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山水路兴东路北向南4车道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山水路兴东路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山水路兴东路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山水路兴东路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山水路兴东路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93</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朝阳路横林大道</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朝阳路横林大道南向北1-3车道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朝阳路横林大道西向东1-3车道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朝阳路横林大道北向南1-3车道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朝阳路横林大道北向南4-6车道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朝阳路横林大道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朝阳路横林大道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朝阳路横林大道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94</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留道路华昌路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留道路华昌路东向西1-3车道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留道路华昌路南向北1-3车道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留道路华昌路西向东1-3车道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留道路华昌路北向南1-3车道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留道路华昌路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留道路华昌路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留道路华昌路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留道路华昌路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95</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中吴大道朝阳路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中吴大道朝阳路东向西1-3车道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中吴大道朝阳路东向西4车道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中吴大道朝阳路南向北1-3车道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中吴大道朝阳路西向东1-3车道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中吴大道朝阳路西向东4车道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中吴大道朝阳路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中吴大道朝阳路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中吴大道朝阳路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96</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江南路崔西路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江南路崔西路东向西1-2车道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江南路崔西路南向北1-3车道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江南路崔西路南向北4车道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江南路崔西路西向东1车道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江南路崔西路北向南1-3车道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江南路崔西路北向南4车道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江南路崔西路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江南路崔西路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江南路崔西路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江南路崔西路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97</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留道路常和路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留道路常和路东向西1车道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留道路常和路南向北1-3车道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留道路常和路西向东1-2车道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留道路常和路北向南1-3车道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留道路常和路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留道路常和路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留道路常和路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留道路常和路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98</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戚月线新董路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戚月线新懂路东向西1-2车道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戚月线新懂路西向东1-2车道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戚月线新懂路 东</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戚月线新懂路 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99</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横洛路公园路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正向</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横洛路公园路南向北1-3车道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反向</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横洛路公园路卡口南向北1-2车道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正向</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横洛路公园路北向南1-3车道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反向</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横洛路公园路卡口北向南1-2车道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横洛路公园路 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横洛路公园路 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朝阳路环山北路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朝阳路环山北路东向西1车道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朝阳路环山北路南向北1-3车道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朝阳路环山北路北向南1-3车道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监控球</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朝阳路环山北路</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广电路华昌路（遥观工业大道）</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广电路华昌路东向西1-2车道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广电路华昌路南向北1-2车道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广电路华昌路南向北3-4车道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广电路华昌路(西北)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广电路华昌路(西北)(广角)</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广电路华昌路西向东1车道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广电路华昌路西向东2-3车道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广电路华昌路北向南1-3车道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102</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S232勤新村</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S232勤新村南向北1-3车道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S232勤新村南向北4车道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S232勤新村北向南1-3车道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S232勤新村北向南4车道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103</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中吴大道剑湖街</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中吴大道剑湖街东向西1-3车道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中吴大道剑湖街东向西4-5车道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中吴大道剑湖街南向北1-3车道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中吴大道剑湖街(南)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中吴大道剑湖街(南)(广角)</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中吴大道剑湖街西向东1-3车道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中吴大道剑湖街西向东4-5车道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中吴大道剑湖街(西)</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中吴大道剑湖街(西)(广角)</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中吴大道剑湖街北向南1-3车道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104</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中吴大道今创路东向西1-3车道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中吴大道今创路东向西4-6车道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中吴大道今创路南向北4车道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中吴大道今创路西向东4-6车道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中吴大道今创路(北)(广角)</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16-17</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中吴大道今创路东向西1-2车道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反卡</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东向西</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18-19</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中吴大道今创路东向西3-4车道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反卡</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20-21</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中吴大道今创路西向东1-2车道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反卡</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22-23</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中吴大道今创路西向东3-4车道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反卡</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中吴大道今创路西向东5车道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反卡</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25-26</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中吴大道今创路北向南1-2车道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反卡</w:t>
            </w: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105</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东城路富民路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东城路富民路北向南1-3车道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东城路富民路南向北1-3车道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东城路富民路西向东1-3车道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106</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朝阳路东城湾北</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朝阳路东城湾北南向北1-2车道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朝阳路东城湾北南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朝阳路东城湾北北向南1-2车道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107</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朝阳路东城湾南</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朝阳路东城湾南南向北1-2车道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朝阳路东城湾南北向南1-2车道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朝阳路东城湾南北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w:t>
            </w:r>
            <w:r>
              <w:rPr>
                <w:rFonts w:hint="eastAsia" w:ascii="宋体" w:hAnsi="宋体" w:eastAsia="宋体" w:cs="宋体"/>
                <w:i w:val="0"/>
                <w:iCs w:val="0"/>
                <w:color w:val="000000"/>
                <w:sz w:val="18"/>
                <w:szCs w:val="18"/>
                <w:highlight w:val="none"/>
                <w:u w:val="none"/>
              </w:rPr>
            </w:r>
            <w:r/>
          </w:p>
        </w:tc>
        <w:tc>
          <w:tcPr>
            <w:tcW w:w="70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S232东方东路</w:t>
            </w:r>
            <w:r>
              <w:rPr>
                <w:rFonts w:hint="eastAsia" w:ascii="宋体" w:hAnsi="宋体" w:eastAsia="宋体" w:cs="宋体"/>
                <w:i w:val="0"/>
                <w:iCs w:val="0"/>
                <w:color w:val="000000"/>
                <w:sz w:val="18"/>
                <w:szCs w:val="18"/>
                <w:highlight w:val="none"/>
                <w:u w:val="none"/>
              </w:rPr>
            </w:r>
            <w:r/>
          </w:p>
        </w:tc>
        <w:tc>
          <w:tcPr>
            <w:tcW w:w="557"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S232东方东路南向北1-3车道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S232东方东路南向北4-5车道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S232东方东路西向东1-3车道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西向东</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4-6车道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S232东方东路西向东4-6车道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S232东方东路北向南1-3车道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北向南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4-5车道</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S232东方东路北向南4-5车道</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S232东方东路南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南向北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广角</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S232东方东路南广角</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00"/>
        </w:trPr>
        <w:tc>
          <w:tcPr>
            <w:tcW w:w="223"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0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557"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41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北</w:t>
            </w:r>
            <w:r>
              <w:rPr>
                <w:rFonts w:hint="eastAsia" w:ascii="宋体" w:hAnsi="宋体" w:eastAsia="宋体" w:cs="宋体"/>
                <w:i w:val="0"/>
                <w:iCs w:val="0"/>
                <w:color w:val="000000"/>
                <w:sz w:val="18"/>
                <w:szCs w:val="18"/>
                <w:highlight w:val="none"/>
                <w:u w:val="none"/>
              </w:rPr>
            </w:r>
            <w:r/>
          </w:p>
        </w:tc>
        <w:tc>
          <w:tcPr>
            <w:tcW w:w="41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599"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w:t>
            </w:r>
            <w:r>
              <w:rPr>
                <w:rFonts w:hint="eastAsia" w:ascii="宋体" w:hAnsi="宋体" w:eastAsia="宋体" w:cs="宋体"/>
                <w:i w:val="0"/>
                <w:iCs w:val="0"/>
                <w:color w:val="000000"/>
                <w:sz w:val="18"/>
                <w:szCs w:val="18"/>
                <w:highlight w:val="none"/>
                <w:u w:val="none"/>
              </w:rPr>
            </w:r>
            <w:r/>
          </w:p>
        </w:tc>
        <w:tc>
          <w:tcPr>
            <w:tcW w:w="154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S232东方东路北</w:t>
            </w:r>
            <w:r>
              <w:rPr>
                <w:rFonts w:hint="eastAsia" w:ascii="宋体" w:hAnsi="宋体" w:eastAsia="宋体" w:cs="宋体"/>
                <w:i w:val="0"/>
                <w:iCs w:val="0"/>
                <w:color w:val="000000"/>
                <w:sz w:val="18"/>
                <w:szCs w:val="18"/>
                <w:highlight w:val="none"/>
                <w:u w:val="none"/>
              </w:rPr>
            </w:r>
            <w:r/>
          </w:p>
        </w:tc>
        <w:tc>
          <w:tcPr>
            <w:tcW w:w="531" w:type="dxa"/>
            <w:vAlign w:val="center"/>
            <w:textDirection w:val="lrTb"/>
            <w:noWrap/>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bl>
    <w:p>
      <w:pPr>
        <w:pStyle w:val="1048"/>
        <w:numPr>
          <w:ilvl w:val="0"/>
          <w:numId w:val="0"/>
        </w:numPr>
        <w:keepLines w:val="0"/>
        <w:keepNext w:val="0"/>
        <w:pageBreakBefore w:val="0"/>
        <w:spacing w:line="400" w:lineRule="exact"/>
        <w:rPr>
          <w:rFonts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反向卡口点位</w:t>
      </w:r>
      <w:r>
        <w:rPr>
          <w:rFonts w:ascii="宋体" w:hAnsi="宋体" w:eastAsia="宋体" w:cs="宋体"/>
          <w:b/>
          <w:bCs w:val="0"/>
          <w:color w:val="000000"/>
          <w:sz w:val="21"/>
          <w:szCs w:val="21"/>
          <w:highlight w:val="none"/>
          <w:lang w:val="en-US" w:eastAsia="zh-CN" w:bidi="ar-SA"/>
        </w:rPr>
      </w:r>
      <w:r/>
    </w:p>
    <w:tbl>
      <w:tblPr>
        <w:tblW w:w="0" w:type="auto"/>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8"/>
        <w:gridCol w:w="1296"/>
        <w:gridCol w:w="765"/>
        <w:gridCol w:w="648"/>
        <w:gridCol w:w="768"/>
        <w:gridCol w:w="4750"/>
      </w:tblGrid>
      <w:tr>
        <w:trPr>
          <w:trHeight w:val="434"/>
        </w:trPr>
        <w:tc>
          <w:tcPr>
            <w:tcW w:w="63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1296"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路口名称</w:t>
            </w:r>
            <w:r>
              <w:rPr>
                <w:rFonts w:hint="eastAsia" w:ascii="宋体" w:hAnsi="宋体" w:eastAsia="宋体" w:cs="宋体"/>
                <w:b/>
                <w:bCs/>
                <w:i w:val="0"/>
                <w:iCs w:val="0"/>
                <w:color w:val="000000"/>
                <w:sz w:val="21"/>
                <w:szCs w:val="21"/>
                <w:highlight w:val="none"/>
                <w:u w:val="none"/>
              </w:rPr>
            </w:r>
            <w:r/>
          </w:p>
        </w:tc>
        <w:tc>
          <w:tcPr>
            <w:tcW w:w="765"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方向</w:t>
            </w:r>
            <w:r>
              <w:rPr>
                <w:rFonts w:hint="eastAsia" w:ascii="宋体" w:hAnsi="宋体" w:eastAsia="宋体" w:cs="宋体"/>
                <w:b/>
                <w:bCs/>
                <w:i w:val="0"/>
                <w:iCs w:val="0"/>
                <w:color w:val="000000"/>
                <w:sz w:val="21"/>
                <w:szCs w:val="21"/>
                <w:highlight w:val="none"/>
                <w:u w:val="none"/>
              </w:rPr>
            </w:r>
            <w:r/>
          </w:p>
        </w:tc>
        <w:tc>
          <w:tcPr>
            <w:tcW w:w="64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车道</w:t>
            </w:r>
            <w:r>
              <w:rPr>
                <w:rFonts w:hint="eastAsia" w:ascii="宋体" w:hAnsi="宋体" w:eastAsia="宋体" w:cs="宋体"/>
                <w:b/>
                <w:bCs/>
                <w:i w:val="0"/>
                <w:iCs w:val="0"/>
                <w:color w:val="000000"/>
                <w:sz w:val="21"/>
                <w:szCs w:val="21"/>
                <w:highlight w:val="none"/>
                <w:u w:val="none"/>
              </w:rPr>
            </w:r>
            <w:r/>
          </w:p>
        </w:tc>
        <w:tc>
          <w:tcPr>
            <w:tcW w:w="76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型号</w:t>
            </w:r>
            <w:r>
              <w:rPr>
                <w:rFonts w:hint="eastAsia" w:ascii="宋体" w:hAnsi="宋体" w:eastAsia="宋体" w:cs="宋体"/>
                <w:b/>
                <w:bCs/>
                <w:i w:val="0"/>
                <w:iCs w:val="0"/>
                <w:color w:val="000000"/>
                <w:sz w:val="21"/>
                <w:szCs w:val="21"/>
                <w:highlight w:val="none"/>
                <w:u w:val="none"/>
              </w:rPr>
            </w:r>
            <w:r/>
          </w:p>
        </w:tc>
        <w:tc>
          <w:tcPr>
            <w:tcW w:w="4750"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设备名称</w:t>
            </w:r>
            <w:r>
              <w:rPr>
                <w:rFonts w:hint="eastAsia" w:ascii="宋体" w:hAnsi="宋体" w:eastAsia="宋体" w:cs="宋体"/>
                <w:b/>
                <w:bCs/>
                <w:i w:val="0"/>
                <w:iCs w:val="0"/>
                <w:color w:val="000000"/>
                <w:sz w:val="21"/>
                <w:szCs w:val="21"/>
                <w:highlight w:val="none"/>
                <w:u w:val="none"/>
              </w:rPr>
            </w:r>
            <w:r/>
          </w:p>
        </w:tc>
      </w:tr>
      <w:tr>
        <w:trPr>
          <w:trHeight w:val="360"/>
        </w:trPr>
        <w:tc>
          <w:tcPr>
            <w:tcW w:w="638"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96"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龙锦路东城路</w:t>
            </w:r>
            <w:r>
              <w:rPr>
                <w:rFonts w:hint="eastAsia" w:ascii="宋体" w:hAnsi="宋体" w:eastAsia="宋体" w:cs="宋体"/>
                <w:i w:val="0"/>
                <w:iCs w:val="0"/>
                <w:color w:val="000000"/>
                <w:sz w:val="18"/>
                <w:szCs w:val="18"/>
                <w:highlight w:val="none"/>
                <w:u w:val="none"/>
              </w:rPr>
            </w:r>
            <w:r/>
          </w:p>
        </w:tc>
        <w:tc>
          <w:tcPr>
            <w:tcW w:w="765"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64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4750"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龙锦路东城路卡口西向东1-3车道</w:t>
            </w:r>
            <w:r>
              <w:rPr>
                <w:rFonts w:hint="eastAsia" w:ascii="宋体" w:hAnsi="宋体" w:eastAsia="宋体" w:cs="宋体"/>
                <w:i w:val="0"/>
                <w:iCs w:val="0"/>
                <w:color w:val="000000"/>
                <w:sz w:val="18"/>
                <w:szCs w:val="18"/>
                <w:highlight w:val="none"/>
                <w:u w:val="none"/>
              </w:rPr>
            </w:r>
            <w:r/>
          </w:p>
        </w:tc>
      </w:tr>
      <w:tr>
        <w:trPr>
          <w:trHeight w:val="360"/>
        </w:trPr>
        <w:tc>
          <w:tcPr>
            <w:tcW w:w="638"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96"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65"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9-10</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4750"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龙锦路东城路卡口西向东4-5车道</w:t>
            </w:r>
            <w:r>
              <w:rPr>
                <w:rFonts w:hint="eastAsia" w:ascii="宋体" w:hAnsi="宋体" w:eastAsia="宋体" w:cs="宋体"/>
                <w:i w:val="0"/>
                <w:iCs w:val="0"/>
                <w:color w:val="000000"/>
                <w:sz w:val="18"/>
                <w:szCs w:val="18"/>
                <w:highlight w:val="none"/>
                <w:u w:val="none"/>
              </w:rPr>
            </w:r>
            <w:r/>
          </w:p>
        </w:tc>
      </w:tr>
      <w:tr>
        <w:trPr>
          <w:trHeight w:val="360"/>
        </w:trPr>
        <w:tc>
          <w:tcPr>
            <w:tcW w:w="638" w:type="dxa"/>
            <w:vAlign w:val="center"/>
            <w:vMerge w:val="restart"/>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96"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龙锦路五一路</w:t>
            </w:r>
            <w:r>
              <w:rPr>
                <w:rFonts w:hint="eastAsia" w:ascii="宋体" w:hAnsi="宋体" w:eastAsia="宋体" w:cs="宋体"/>
                <w:i w:val="0"/>
                <w:iCs w:val="0"/>
                <w:color w:val="000000"/>
                <w:sz w:val="18"/>
                <w:szCs w:val="18"/>
                <w:highlight w:val="none"/>
                <w:u w:val="none"/>
              </w:rPr>
            </w:r>
            <w:r/>
          </w:p>
        </w:tc>
        <w:tc>
          <w:tcPr>
            <w:tcW w:w="765"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64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4750"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龙锦路五一路卡口西向东1-3车道</w:t>
            </w:r>
            <w:r>
              <w:rPr>
                <w:rFonts w:hint="eastAsia" w:ascii="宋体" w:hAnsi="宋体" w:eastAsia="宋体" w:cs="宋体"/>
                <w:i w:val="0"/>
                <w:iCs w:val="0"/>
                <w:color w:val="000000"/>
                <w:sz w:val="18"/>
                <w:szCs w:val="18"/>
                <w:highlight w:val="none"/>
                <w:u w:val="none"/>
              </w:rPr>
            </w:r>
            <w:r/>
          </w:p>
        </w:tc>
      </w:tr>
      <w:tr>
        <w:trPr>
          <w:trHeight w:val="360"/>
        </w:trPr>
        <w:tc>
          <w:tcPr>
            <w:tcW w:w="638" w:type="dxa"/>
            <w:vAlign w:val="center"/>
            <w:vMerge w:val="continue"/>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96"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65"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9-10</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4750"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龙锦路五一路卡口西向东4-5车道</w:t>
            </w:r>
            <w:r>
              <w:rPr>
                <w:rFonts w:hint="eastAsia" w:ascii="宋体" w:hAnsi="宋体" w:eastAsia="宋体" w:cs="宋体"/>
                <w:i w:val="0"/>
                <w:iCs w:val="0"/>
                <w:color w:val="000000"/>
                <w:sz w:val="18"/>
                <w:szCs w:val="18"/>
                <w:highlight w:val="none"/>
                <w:u w:val="none"/>
              </w:rPr>
            </w:r>
            <w:r/>
          </w:p>
        </w:tc>
      </w:tr>
      <w:tr>
        <w:trPr>
          <w:trHeight w:val="360"/>
        </w:trPr>
        <w:tc>
          <w:tcPr>
            <w:tcW w:w="638" w:type="dxa"/>
            <w:vAlign w:val="center"/>
            <w:vMerge w:val="restart"/>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96"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龙锦路兴东路</w:t>
            </w:r>
            <w:r>
              <w:rPr>
                <w:rFonts w:hint="eastAsia" w:ascii="宋体" w:hAnsi="宋体" w:eastAsia="宋体" w:cs="宋体"/>
                <w:i w:val="0"/>
                <w:iCs w:val="0"/>
                <w:color w:val="000000"/>
                <w:sz w:val="18"/>
                <w:szCs w:val="18"/>
                <w:highlight w:val="none"/>
                <w:u w:val="none"/>
              </w:rPr>
            </w:r>
            <w:r/>
          </w:p>
        </w:tc>
        <w:tc>
          <w:tcPr>
            <w:tcW w:w="765"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南</w:t>
            </w:r>
            <w:r>
              <w:rPr>
                <w:rFonts w:hint="eastAsia" w:ascii="宋体" w:hAnsi="宋体" w:eastAsia="宋体" w:cs="宋体"/>
                <w:i w:val="0"/>
                <w:iCs w:val="0"/>
                <w:color w:val="000000"/>
                <w:sz w:val="18"/>
                <w:szCs w:val="18"/>
                <w:highlight w:val="none"/>
                <w:u w:val="none"/>
              </w:rPr>
            </w:r>
            <w:r/>
          </w:p>
        </w:tc>
        <w:tc>
          <w:tcPr>
            <w:tcW w:w="64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10-12</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4750"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龙锦路兴东路卡口南向北1-3车道</w:t>
            </w:r>
            <w:r>
              <w:rPr>
                <w:rFonts w:hint="eastAsia" w:ascii="宋体" w:hAnsi="宋体" w:eastAsia="宋体" w:cs="宋体"/>
                <w:i w:val="0"/>
                <w:iCs w:val="0"/>
                <w:color w:val="000000"/>
                <w:sz w:val="18"/>
                <w:szCs w:val="18"/>
                <w:highlight w:val="none"/>
                <w:u w:val="none"/>
              </w:rPr>
            </w:r>
            <w:r/>
          </w:p>
        </w:tc>
      </w:tr>
      <w:tr>
        <w:trPr>
          <w:trHeight w:val="360"/>
        </w:trPr>
        <w:tc>
          <w:tcPr>
            <w:tcW w:w="638" w:type="dxa"/>
            <w:vAlign w:val="center"/>
            <w:vMerge w:val="continue"/>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96"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65"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13-14</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4750"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龙锦路兴东路卡口南向北4车道</w:t>
            </w:r>
            <w:r>
              <w:rPr>
                <w:rFonts w:hint="eastAsia" w:ascii="宋体" w:hAnsi="宋体" w:eastAsia="宋体" w:cs="宋体"/>
                <w:i w:val="0"/>
                <w:iCs w:val="0"/>
                <w:color w:val="000000"/>
                <w:sz w:val="18"/>
                <w:szCs w:val="18"/>
                <w:highlight w:val="none"/>
                <w:u w:val="none"/>
              </w:rPr>
            </w:r>
            <w:r/>
          </w:p>
        </w:tc>
      </w:tr>
      <w:tr>
        <w:trPr>
          <w:trHeight w:val="360"/>
        </w:trPr>
        <w:tc>
          <w:tcPr>
            <w:tcW w:w="638" w:type="dxa"/>
            <w:vAlign w:val="center"/>
            <w:vMerge w:val="continue"/>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96"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65"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西</w:t>
            </w:r>
            <w:r>
              <w:rPr>
                <w:rFonts w:hint="eastAsia" w:ascii="宋体" w:hAnsi="宋体" w:eastAsia="宋体" w:cs="宋体"/>
                <w:i w:val="0"/>
                <w:iCs w:val="0"/>
                <w:color w:val="000000"/>
                <w:sz w:val="18"/>
                <w:szCs w:val="18"/>
                <w:highlight w:val="none"/>
                <w:u w:val="none"/>
              </w:rPr>
            </w:r>
            <w:r/>
          </w:p>
        </w:tc>
        <w:tc>
          <w:tcPr>
            <w:tcW w:w="64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15-17</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4750"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龙锦路兴东路卡口西向东1-3车道</w:t>
            </w:r>
            <w:r>
              <w:rPr>
                <w:rFonts w:hint="eastAsia" w:ascii="宋体" w:hAnsi="宋体" w:eastAsia="宋体" w:cs="宋体"/>
                <w:i w:val="0"/>
                <w:iCs w:val="0"/>
                <w:color w:val="000000"/>
                <w:sz w:val="18"/>
                <w:szCs w:val="18"/>
                <w:highlight w:val="none"/>
                <w:u w:val="none"/>
              </w:rPr>
            </w:r>
            <w:r/>
          </w:p>
        </w:tc>
      </w:tr>
      <w:tr>
        <w:trPr>
          <w:trHeight w:val="360"/>
        </w:trPr>
        <w:tc>
          <w:tcPr>
            <w:tcW w:w="638" w:type="dxa"/>
            <w:vAlign w:val="center"/>
            <w:vMerge w:val="continue"/>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96"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65"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18-19</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4750"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龙锦路兴东路卡口西向东4-5车道</w:t>
            </w:r>
            <w:r>
              <w:rPr>
                <w:rFonts w:hint="eastAsia" w:ascii="宋体" w:hAnsi="宋体" w:eastAsia="宋体" w:cs="宋体"/>
                <w:i w:val="0"/>
                <w:iCs w:val="0"/>
                <w:color w:val="000000"/>
                <w:sz w:val="18"/>
                <w:szCs w:val="18"/>
                <w:highlight w:val="none"/>
                <w:u w:val="none"/>
              </w:rPr>
            </w:r>
            <w:r/>
          </w:p>
        </w:tc>
      </w:tr>
      <w:tr>
        <w:trPr>
          <w:trHeight w:val="360"/>
        </w:trPr>
        <w:tc>
          <w:tcPr>
            <w:tcW w:w="638" w:type="dxa"/>
            <w:vAlign w:val="center"/>
            <w:vMerge w:val="restart"/>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96"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龙锦路华丰路</w:t>
            </w:r>
            <w:r>
              <w:rPr>
                <w:rFonts w:hint="eastAsia" w:ascii="宋体" w:hAnsi="宋体" w:eastAsia="宋体" w:cs="宋体"/>
                <w:i w:val="0"/>
                <w:iCs w:val="0"/>
                <w:color w:val="000000"/>
                <w:sz w:val="18"/>
                <w:szCs w:val="18"/>
                <w:highlight w:val="none"/>
                <w:u w:val="none"/>
              </w:rPr>
            </w:r>
            <w:r/>
          </w:p>
        </w:tc>
        <w:tc>
          <w:tcPr>
            <w:tcW w:w="765" w:type="dxa"/>
            <w:vAlign w:val="center"/>
            <w:vMerge w:val="restart"/>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东</w:t>
            </w:r>
            <w:r>
              <w:rPr>
                <w:rFonts w:hint="eastAsia" w:ascii="宋体" w:hAnsi="宋体" w:eastAsia="宋体" w:cs="宋体"/>
                <w:i w:val="0"/>
                <w:iCs w:val="0"/>
                <w:color w:val="000000"/>
                <w:sz w:val="18"/>
                <w:szCs w:val="18"/>
                <w:highlight w:val="none"/>
                <w:u w:val="none"/>
              </w:rPr>
            </w:r>
            <w:r/>
          </w:p>
        </w:tc>
        <w:tc>
          <w:tcPr>
            <w:tcW w:w="64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4750"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龙锦路华丰路卡口东向西1-3车道</w:t>
            </w:r>
            <w:r>
              <w:rPr>
                <w:rFonts w:hint="eastAsia" w:ascii="宋体" w:hAnsi="宋体" w:eastAsia="宋体" w:cs="宋体"/>
                <w:i w:val="0"/>
                <w:iCs w:val="0"/>
                <w:color w:val="000000"/>
                <w:sz w:val="18"/>
                <w:szCs w:val="18"/>
                <w:highlight w:val="none"/>
                <w:u w:val="none"/>
              </w:rPr>
            </w:r>
            <w:r/>
          </w:p>
        </w:tc>
      </w:tr>
      <w:tr>
        <w:trPr>
          <w:trHeight w:val="360"/>
        </w:trPr>
        <w:tc>
          <w:tcPr>
            <w:tcW w:w="638" w:type="dxa"/>
            <w:vAlign w:val="center"/>
            <w:vMerge w:val="continue"/>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96"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65"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9-10</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w:t>
            </w:r>
            <w:r>
              <w:rPr>
                <w:rFonts w:hint="eastAsia" w:ascii="宋体" w:hAnsi="宋体" w:eastAsia="宋体" w:cs="宋体"/>
                <w:i w:val="0"/>
                <w:iCs w:val="0"/>
                <w:color w:val="000000"/>
                <w:sz w:val="18"/>
                <w:szCs w:val="18"/>
                <w:highlight w:val="none"/>
                <w:u w:val="none"/>
              </w:rPr>
            </w:r>
            <w:r/>
          </w:p>
        </w:tc>
        <w:tc>
          <w:tcPr>
            <w:tcW w:w="4750"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龙锦路华丰路卡口东向西4-5车道</w:t>
            </w:r>
            <w:r>
              <w:rPr>
                <w:rFonts w:hint="eastAsia" w:ascii="宋体" w:hAnsi="宋体" w:eastAsia="宋体" w:cs="宋体"/>
                <w:i w:val="0"/>
                <w:iCs w:val="0"/>
                <w:color w:val="000000"/>
                <w:sz w:val="18"/>
                <w:szCs w:val="18"/>
                <w:highlight w:val="none"/>
                <w:u w:val="none"/>
              </w:rPr>
            </w:r>
            <w:r/>
          </w:p>
        </w:tc>
      </w:tr>
      <w:tr>
        <w:trPr>
          <w:trHeight w:val="395"/>
        </w:trPr>
        <w:tc>
          <w:tcPr>
            <w:tcW w:w="638" w:type="dxa"/>
            <w:vAlign w:val="center"/>
            <w:vMerge w:val="continue"/>
            <w:textDirection w:val="lrTb"/>
            <w:noWrap/>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96"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65" w:type="dxa"/>
            <w:vAlign w:val="center"/>
            <w:vMerge w:val="continue"/>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64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23-24</w:t>
            </w:r>
            <w:r>
              <w:rPr>
                <w:rFonts w:hint="eastAsia" w:ascii="宋体" w:hAnsi="宋体" w:eastAsia="宋体" w:cs="宋体"/>
                <w:i w:val="0"/>
                <w:iCs w:val="0"/>
                <w:color w:val="000000"/>
                <w:sz w:val="18"/>
                <w:szCs w:val="18"/>
                <w:highlight w:val="none"/>
                <w:u w:val="none"/>
              </w:rPr>
            </w:r>
            <w:r/>
          </w:p>
        </w:tc>
        <w:tc>
          <w:tcPr>
            <w:tcW w:w="768" w:type="dxa"/>
            <w:vAlign w:val="center"/>
            <w:textDirection w:val="lrTb"/>
            <w:noWrap w:val="false"/>
          </w:tcPr>
          <w:p>
            <w:pPr>
              <w:pStyle w:val="1048"/>
              <w:ind w:firstLine="0"/>
              <w:jc w:val="center"/>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900W</w:t>
            </w:r>
            <w:r>
              <w:rPr>
                <w:rFonts w:hint="eastAsia" w:ascii="宋体" w:hAnsi="宋体" w:eastAsia="宋体" w:cs="宋体"/>
                <w:i w:val="0"/>
                <w:iCs w:val="0"/>
                <w:color w:val="000000"/>
                <w:sz w:val="18"/>
                <w:szCs w:val="18"/>
                <w:highlight w:val="none"/>
                <w:u w:val="none"/>
              </w:rPr>
            </w:r>
            <w:r/>
          </w:p>
        </w:tc>
        <w:tc>
          <w:tcPr>
            <w:tcW w:w="4750" w:type="dxa"/>
            <w:vAlign w:val="center"/>
            <w:textDirection w:val="lrTb"/>
            <w:noWrap w:val="false"/>
          </w:tcPr>
          <w:p>
            <w:pPr>
              <w:pStyle w:val="1048"/>
              <w:ind w:firstLine="0"/>
              <w:jc w:val="left"/>
              <w:keepLines w:val="0"/>
              <w:keepNext w:val="0"/>
              <w:pageBreakBefore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延陵东路五一路卡口北向南3-4车道</w:t>
            </w:r>
            <w:r>
              <w:rPr>
                <w:rFonts w:hint="eastAsia" w:ascii="宋体" w:hAnsi="宋体" w:eastAsia="宋体" w:cs="宋体"/>
                <w:i w:val="0"/>
                <w:iCs w:val="0"/>
                <w:color w:val="000000"/>
                <w:sz w:val="18"/>
                <w:szCs w:val="18"/>
                <w:highlight w:val="none"/>
                <w:u w:val="none"/>
              </w:rPr>
            </w:r>
            <w:r/>
          </w:p>
        </w:tc>
      </w:tr>
    </w:tbl>
    <w:p>
      <w:pPr>
        <w:pStyle w:val="1048"/>
        <w:numPr>
          <w:ilvl w:val="0"/>
          <w:numId w:val="0"/>
        </w:numPr>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bookmarkEnd w:id="692"/>
      <w:r/>
      <w:bookmarkEnd w:id="693"/>
      <w:r>
        <w:rPr>
          <w:rFonts w:hint="eastAsia" w:ascii="宋体" w:hAnsi="宋体" w:eastAsia="宋体" w:cs="宋体"/>
          <w:b/>
          <w:bCs w:val="0"/>
          <w:color w:val="000000"/>
          <w:sz w:val="21"/>
          <w:szCs w:val="21"/>
          <w:highlight w:val="none"/>
          <w:lang w:val="en-US" w:eastAsia="zh-CN" w:bidi="ar-SA"/>
        </w:rPr>
        <w:t xml:space="preserve">（三）技术要求</w:t>
      </w:r>
      <w:r>
        <w:rPr>
          <w:rFonts w:hint="eastAsia" w:ascii="宋体" w:hAnsi="宋体" w:eastAsia="宋体" w:cs="宋体"/>
          <w:b/>
          <w:bCs w:val="0"/>
          <w:color w:val="000000"/>
          <w:sz w:val="21"/>
          <w:szCs w:val="21"/>
          <w:highlight w:val="none"/>
          <w:lang w:val="en-US" w:eastAsia="zh-CN" w:bidi="ar-SA"/>
        </w:rPr>
      </w:r>
      <w:r/>
    </w:p>
    <w:p>
      <w:pPr>
        <w:pStyle w:val="1048"/>
        <w:numPr>
          <w:ilvl w:val="0"/>
          <w:numId w:val="0"/>
        </w:numPr>
        <w:ind w:firstLine="422"/>
        <w:keepLines w:val="0"/>
        <w:keepNext w:val="0"/>
        <w:pageBreakBefore w:val="0"/>
        <w:spacing w:line="400" w:lineRule="exact"/>
        <w:rPr>
          <w:rFonts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1.投标要求</w:t>
      </w:r>
      <w:r>
        <w:rPr>
          <w:rFonts w:ascii="宋体" w:hAnsi="宋体" w:eastAsia="宋体" w:cs="宋体"/>
          <w:b/>
          <w:bCs w:val="0"/>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1.1投标人须保证所提供设备是全新的、未使用过的原厂正品，并完全符合招标文件规定的质量、规格和性能的要求，同时必须明确所投设备的品牌、型号、规格和外形、尺寸、重量及一些必须说明的技术参数。</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1.2投标人的投标文件必须对招标文件中所列明的各条技术要求做出明确响应。投标文件中列明的设备及元器件品牌、生产地、制造厂商、质量保证等必须符合相关的标准和规范。</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1.3本项目涉及的设备由中标人负责测试、安装、调试等工作。</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1.4中标人应保证本项目设备涉及到的知识产权和软件、技术资料是合法取得，并享有完整的知识产权或合法使用权，不会因为招标人的使用而被责令停止使用、追偿或要求赔偿损失，如出现此情况，一切经济和法律责任均由中标人承担。</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2.报价要求</w:t>
      </w:r>
      <w:r>
        <w:rPr>
          <w:rFonts w:hint="eastAsia" w:ascii="宋体" w:hAnsi="宋体" w:eastAsia="宋体" w:cs="宋体"/>
          <w:b/>
          <w:bCs w:val="0"/>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2.1本项目投标报价为</w:t>
      </w:r>
      <w:r>
        <w:rPr>
          <w:rFonts w:hint="eastAsia" w:ascii="宋体" w:hAnsi="宋体" w:eastAsia="宋体" w:cs="宋体"/>
          <w:b/>
          <w:bCs w:val="0"/>
          <w:color w:val="000000"/>
          <w:sz w:val="21"/>
          <w:szCs w:val="21"/>
          <w:highlight w:val="none"/>
          <w:u w:val="single"/>
          <w:lang w:val="en-US" w:eastAsia="zh-CN" w:bidi="ar-SA"/>
        </w:rPr>
        <w:t xml:space="preserve">固定总价</w:t>
      </w:r>
      <w:r>
        <w:rPr>
          <w:rFonts w:hint="eastAsia" w:ascii="宋体" w:hAnsi="宋体" w:eastAsia="宋体" w:cs="宋体"/>
          <w:b w:val="0"/>
          <w:bCs/>
          <w:color w:val="000000"/>
          <w:sz w:val="21"/>
          <w:szCs w:val="21"/>
          <w:highlight w:val="none"/>
          <w:lang w:val="en-US" w:eastAsia="zh-CN" w:bidi="ar-SA"/>
        </w:rPr>
        <w:t xml:space="preserve">，投标报价应包括招标文件所确定的招标范围相应货物和服务的供货、包装、运输、保险、辅助设备、安装调试、管理、</w:t>
      </w:r>
      <w:r>
        <w:rPr>
          <w:rFonts w:hint="eastAsia" w:ascii="宋体" w:hAnsi="宋体" w:eastAsia="宋体" w:cs="宋体"/>
          <w:b/>
          <w:bCs w:val="0"/>
          <w:color w:val="000000"/>
          <w:sz w:val="21"/>
          <w:szCs w:val="21"/>
          <w:highlight w:val="none"/>
          <w:lang w:val="en-US" w:eastAsia="zh-CN" w:bidi="ar-SA"/>
        </w:rPr>
        <w:t xml:space="preserve">5年维护（包括5年维保服务期内的一切维修、保养、更换零部件、人工等）</w:t>
      </w:r>
      <w:r>
        <w:rPr>
          <w:rFonts w:hint="eastAsia" w:ascii="宋体" w:hAnsi="宋体" w:eastAsia="宋体" w:cs="宋体"/>
          <w:b w:val="0"/>
          <w:bCs/>
          <w:color w:val="000000"/>
          <w:sz w:val="21"/>
          <w:szCs w:val="21"/>
          <w:highlight w:val="none"/>
          <w:lang w:val="en-US" w:eastAsia="zh-CN" w:bidi="ar-SA"/>
        </w:rPr>
        <w:t xml:space="preserve">、劳务、培训、验收、办公设备、设备、工具、耗材、运送工具及耗材、利润、风险、 税金及政策性文件规定等各项应有费用，以及为完成该项货物或者服务项目所涉及到的一切相关费用，采购人不再支付其他任何费用。</w:t>
      </w:r>
      <w:r>
        <w:rPr>
          <w:rFonts w:hint="eastAsia" w:ascii="宋体" w:hAnsi="宋体" w:eastAsia="宋体" w:cs="宋体"/>
          <w:b/>
          <w:bCs w:val="0"/>
          <w:color w:val="000000"/>
          <w:sz w:val="21"/>
          <w:szCs w:val="21"/>
          <w:highlight w:val="none"/>
          <w:lang w:val="en-US" w:eastAsia="zh-CN" w:bidi="ar-SA"/>
        </w:rPr>
        <w:t xml:space="preserve">安装、调试、验收过程中，如发现有漏项、缺件，中标人应无条件、无偿补齐，所发生的一切费用，视为已包含在投标人的报价之中，且并不因此而影响交付实际使用人的时间。</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2.2投标人在报价时，应充分考虑企业自身实力和承受风险的能力、材料涨价、通货膨胀、政府政策、天气变化影响等因素，结算时单价不予调整。</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2.3投标人报价时应充分考虑合同期限内及维保服务时所产生的一切费用，采购人不再额外支付任何费用。</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2.4投标人根据采购人提供的采购清单，根据项目实际情况，结合自身实力测算费用。</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2.5中标人项目组人员的伙食费、住宿费、交通费用等一切费用由中标人负责，费用包含在报价中。</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2.6由于中标人原因所产生的返工或整改的一切费用（含设备、材料、人工、搬运及保管费等），由中标人自行承担。若未按期整改，采购人有权立即解除合同，且一切损失均由中标人承担。</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3.供货期要求</w:t>
      </w:r>
      <w:r>
        <w:rPr>
          <w:rFonts w:hint="eastAsia" w:ascii="宋体" w:hAnsi="宋体" w:eastAsia="宋体" w:cs="宋体"/>
          <w:b/>
          <w:bCs w:val="0"/>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3.1供货期要求：</w:t>
      </w:r>
      <w:r>
        <w:rPr>
          <w:rFonts w:hint="eastAsia" w:ascii="宋体" w:hAnsi="宋体" w:eastAsia="宋体" w:cs="宋体"/>
          <w:b/>
          <w:bCs w:val="0"/>
          <w:color w:val="000000"/>
          <w:sz w:val="21"/>
          <w:szCs w:val="21"/>
          <w:highlight w:val="none"/>
          <w:u w:val="single"/>
          <w:lang w:val="en-US" w:eastAsia="zh-CN" w:bidi="ar-SA"/>
        </w:rPr>
        <w:t xml:space="preserve">自合同签订之日起18个月</w:t>
      </w:r>
      <w:r>
        <w:rPr>
          <w:rFonts w:hint="eastAsia" w:ascii="宋体" w:hAnsi="宋体" w:eastAsia="宋体" w:cs="宋体"/>
          <w:b/>
          <w:bCs w:val="0"/>
          <w:color w:val="000000"/>
          <w:sz w:val="21"/>
          <w:szCs w:val="21"/>
          <w:highlight w:val="none"/>
          <w:u w:val="single"/>
          <w:lang w:eastAsia="zh-CN"/>
        </w:rPr>
        <w:t xml:space="preserve">内完成合同范围内所有设备的供货并安装调试完成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3.2采购人有权根据实际使用需求，对货物清单中品种或数量进行调整，中标人应保证在整个执行过程中，将予以配合，保证按采购人要求及时提供所需货物。</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3.3中标人所供货物应根据相关标准和规范进行设计和制造，并遵循招标文件的要求，货物的质量性能、技术指标和使用功能应达到或优于采购要求，是技术成熟的、性能优良，整体设计和软硬件配备全新的原厂正品，并提供详细的产品说明、质量标准和服务方案。如其中某些条款不能完全满足时，应在投标文件中逐条列出，未列出的视同响应。</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color w:val="000000"/>
          <w:sz w:val="24"/>
          <w:highlight w:val="none"/>
        </w:rPr>
      </w:pPr>
      <w:r>
        <w:rPr>
          <w:rFonts w:hint="eastAsia" w:ascii="宋体" w:hAnsi="宋体" w:eastAsia="宋体" w:cs="宋体"/>
          <w:b w:val="0"/>
          <w:bCs/>
          <w:color w:val="000000"/>
          <w:sz w:val="21"/>
          <w:szCs w:val="21"/>
          <w:highlight w:val="none"/>
          <w:lang w:val="en-US" w:eastAsia="zh-CN" w:bidi="ar-SA"/>
        </w:rPr>
        <w:t xml:space="preserve">3.4中标人在交付设备的同时向采购人提供货物全套随机资料一套（不限于合格证书、使用维护说明书、验收报告书、原厂保修单等）。根据招采购人要求免费提供并安装设备操作及应用软件。</w:t>
      </w:r>
      <w:r>
        <w:rPr>
          <w:rFonts w:hint="eastAsia" w:ascii="宋体" w:hAnsi="宋体" w:eastAsia="宋体" w:cs="宋体"/>
          <w:color w:val="000000"/>
          <w:sz w:val="24"/>
          <w:highlight w:val="none"/>
        </w:rPr>
      </w:r>
      <w:r/>
    </w:p>
    <w:p>
      <w:pPr>
        <w:pStyle w:val="1048"/>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4.验收要求</w:t>
      </w:r>
      <w:r>
        <w:rPr>
          <w:rFonts w:hint="eastAsia" w:ascii="宋体" w:hAnsi="宋体" w:eastAsia="宋体" w:cs="宋体"/>
          <w:b/>
          <w:bCs w:val="0"/>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4.1整机包装完整，配件数量齐全。</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4.2通电开机运行检查系统性能（功能应正常，符合技术参数指标）。 </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4.3出厂检验报告、合格证、保修卡等配备齐全。</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4.4设备安装后，采购人按相关标准及厂方标准进行质量验收。中标人应向采购人提供详细的验收标准、验收手册。当双方对验收标准有争议时，可委托双方一致认可的国家相关权威检测中心进行检测，费用由中标人承担，只有在设备完全正常运转和采购人确认后，设备的安装工作才能认为已全部完成。</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4.5对于中标人提供的货物，送达后采购人有权委托权威检测机构从中随机抽取1份（套）进行全项检测，中标人不得指定，不得拒绝，检测合格方可交付招标人使用，检测费用由中标人承担。如发现中标人所供货物在质量及感官标准上有明显差异或相关参数指标不达标的，将加倍抽样检验（并对部分产品作破坏性检测），若加倍抽样仍不合格，采购人有权提出整改、返工等要求，中标人必须整改到位，不得以任何理由拒绝。中标人拒不整改的，采购人有权解除合同并不承担任何由此造成的一切损失。</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4.6对货物安装验收不合格时，中标人应予以免费调换，直至符合规定，采购人不承担因调退、换货而发生的任何费用和责任；如因产品质量问题给招标人带来的损失，中标人还应赔偿采购人直接损失费用。</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4.7货物安装验收合格并通过公安交警部门的验收；监控设备的数据需接入现有公安后台进行应用，所有前后端产品需无缝兼容常州图像专网平台；设备性能及技术参数指标应达到招投标文件约定及现行国家相关规范、标准。</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4.8执法办案管理应用所产生的业务数据，支持按照严格的规范和标准接入市局数据中心，确保数据的集中存储和管理，为后续的数据挖掘、分析以及应用提供基础，支撑整个业务系统的高效运行和持续优化。</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5.安装要求</w:t>
      </w:r>
      <w:r>
        <w:rPr>
          <w:rFonts w:hint="eastAsia" w:ascii="宋体" w:hAnsi="宋体" w:eastAsia="宋体" w:cs="宋体"/>
          <w:b/>
          <w:bCs w:val="0"/>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5.1严格执行设备安装规范、安全操作规程、防火安全规定。严格按照说明进行安装，做好各项质量检查记录。参加验收。</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5.2遵守国家或地方政府及有关部门对安装现场管理的规定，妥善保护好安装现场周围建筑物、设备管线不受损坏。做好安装现场保卫、消防和垃圾清理等工作，处理好由于设备安装带来的扰民问题及与周围居民的关系。</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5.3安装调试中未经采购人同意或有关部门批准，不得随便拆改原有的各种设备管线。</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5.4安装调试未完成之前，负责对现场的一切设施进行保护。</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5.5采购人有权对现场不称职或不合格的技术负责人、其他人员提出更换，中标人应无条件接受。</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5.6现场的材料及设备、工具由中标人自行保管。</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5.7中标人在安装调试过程中，采购人有权要求对中标人的安装进行适当调整安排，对采购人提出的安排，中标人应积极服从。如中标人拒服从采购人的调整安排，采购人有权对中标人进行相应的经济处罚。</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5.8安装调试完成后，中标人应通知采购人验收，采购人自接到验收通知10日内组织验收，并办理验收、移交手续。如采购人在规定时间内未能组织验收，需及时通知中标人，另定验收日期，中标人在此期间应承担看管的相关费用。</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5.9中标人负责完成安装调试后移交采购人之前的维护及保管工作。</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5.10材料堆放及安装现场应服从采购人管理，做到材料堆放整齐、规范，安装现场保证安装完成场地清理干净。</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5.11在安装设备区域设置必要的危险警示牌、灯等，采取警示措施，避免发生伤亡事故，设备安装期间所发生伤亡等一切事故，均由中标人承担，所发生的一切费用均由中标人全部支付。</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color w:val="000000"/>
          <w:sz w:val="24"/>
          <w:highlight w:val="none"/>
        </w:rPr>
      </w:pPr>
      <w:r>
        <w:rPr>
          <w:rFonts w:hint="eastAsia" w:ascii="宋体" w:hAnsi="宋体" w:eastAsia="宋体" w:cs="宋体"/>
          <w:b w:val="0"/>
          <w:bCs/>
          <w:color w:val="000000"/>
          <w:sz w:val="21"/>
          <w:szCs w:val="21"/>
          <w:highlight w:val="none"/>
          <w:lang w:val="en-US" w:eastAsia="zh-CN" w:bidi="ar-SA"/>
        </w:rPr>
        <w:t xml:space="preserve">5.12中标人应随时接受采购人对设备安装的监督和检查，对不符合规范的无条件组织整改。</w:t>
      </w:r>
      <w:r>
        <w:rPr>
          <w:rFonts w:hint="eastAsia" w:ascii="宋体" w:hAnsi="宋体" w:eastAsia="宋体" w:cs="宋体"/>
          <w:color w:val="000000"/>
          <w:sz w:val="24"/>
          <w:highlight w:val="none"/>
        </w:rPr>
      </w:r>
      <w:r/>
    </w:p>
    <w:p>
      <w:pPr>
        <w:pStyle w:val="1048"/>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6.维保服务要求</w:t>
      </w:r>
      <w:r>
        <w:rPr>
          <w:rFonts w:hint="eastAsia" w:ascii="宋体" w:hAnsi="宋体" w:eastAsia="宋体" w:cs="宋体"/>
          <w:b/>
          <w:bCs w:val="0"/>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6.1中标人应按照国家有关法律法规、“三包”规定以及投标文件中的“维保服务承诺”提供服务。</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6.2维保服务期内需服从采购人统一管理。</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6.3维保服务期内，中标人应免费提供维修服务（因使用操作不当等人为原因造成的损坏除外）。中标人接到故障电话在1小时内响应，2小</w:t>
      </w:r>
      <w:r>
        <w:rPr>
          <w:rFonts w:hint="eastAsia" w:ascii="宋体" w:hAnsi="宋体" w:eastAsia="宋体" w:cs="宋体"/>
          <w:b w:val="0"/>
          <w:bCs/>
          <w:color w:val="000000"/>
          <w:sz w:val="21"/>
          <w:szCs w:val="21"/>
          <w:highlight w:val="none"/>
          <w:lang w:val="en-US" w:eastAsia="zh-CN" w:bidi="ar-SA"/>
        </w:rPr>
        <w:t xml:space="preserve">时内给出解决问题的方案。如果招标人按照中标人的指导不能解决问题，中标人在8小时内派出维修人员到现场维修或更换零件；复杂故障或需使用进口配件，4至6周内解决。需到场维修或技术支持的，由厂家派员到设备使用现场维修，由此产生的一切费用均由中标人承担。技术人员应7*24小时全天候随时响应设备使用等相关问题咨询。产品质量保证期内，凡货物在开箱检验、安装调试、货物试运转过程中发现的货物质量问题，由中标人负责处理，实行包修、包换、包退，直至产品符合质量要求。中标人承担修理、调换、退货发生的一切费用和采购人的直接经济损失。</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6.4维保服务期内，中标人应免费提供充足的全新的合格原厂零配件，以保障维修所需零部件的及时更换；若配件和耗材有问题，中标人应在收到维修配件或耗材后48小时内免费完成维修或更换服务，6个月内产品经2次维修后仍无法正常使用，必须更换全新产品或相关配件。</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6.5采购人在使用过程中有权继续对设备质量进行检验和检测，如发现货物有不符合验收标准的情形，中标人应免费负责更换或维修，并再次进行免费安装、调试，最终保证设备正常运行。若设备在交货地多次检修后，仍无法达到采购人的正常运行要求，中标人需退回该设备的全部款项，并自行组织设备退回厂家。</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6.6维保服务期结束，中标人对于设备维修只收取基本材料备件费，不收取工时费。</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6.7维保服务期结束，不能视为中标人对设备中存在的可能引起设备损坏的潜在缺陷所应负责任的解除。潜在缺陷指设备在制造过程中未被发现的隐患，中标人对纠正潜在缺陷应负责任，其时间应延续至服务期终止后三年。当发现这类潜在缺陷时（经双方确认），中标人应立即予以无偿修复或更换。</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6.8因中标人所提供的设备造成采购人设备损坏或其他损失，以及其他第三方损失的，一经核实，中标人必须赔偿招标人或第三方因此造成的所有损失。</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color w:val="000000"/>
          <w:sz w:val="24"/>
          <w:highlight w:val="none"/>
        </w:rPr>
      </w:pPr>
      <w:r>
        <w:rPr>
          <w:rFonts w:hint="eastAsia" w:ascii="宋体" w:hAnsi="宋体" w:eastAsia="宋体" w:cs="宋体"/>
          <w:b w:val="0"/>
          <w:bCs/>
          <w:color w:val="000000"/>
          <w:sz w:val="21"/>
          <w:szCs w:val="21"/>
          <w:highlight w:val="none"/>
          <w:lang w:val="en-US" w:eastAsia="zh-CN" w:bidi="ar-SA"/>
        </w:rPr>
        <w:t xml:space="preserve">6.9中标人终身免费更新升级设备安装及数据处理涉及软件。</w:t>
      </w:r>
      <w:r>
        <w:rPr>
          <w:rFonts w:hint="eastAsia" w:ascii="宋体" w:hAnsi="宋体" w:eastAsia="宋体" w:cs="宋体"/>
          <w:color w:val="000000"/>
          <w:sz w:val="24"/>
          <w:highlight w:val="none"/>
        </w:rPr>
      </w:r>
      <w:r/>
    </w:p>
    <w:p>
      <w:pPr>
        <w:pStyle w:val="1048"/>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7.培训要求</w:t>
      </w:r>
      <w:r>
        <w:rPr>
          <w:rFonts w:hint="eastAsia" w:ascii="宋体" w:hAnsi="宋体" w:eastAsia="宋体" w:cs="宋体"/>
          <w:b/>
          <w:bCs w:val="0"/>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7.1设备安装调试结束，中标人须在安装现场对采购人相关使用人员进行培训，主要培训内容为：设备的功能、基本结构、性能、主要部件的构造及处理，日常使用操作、保养与管理、常见故障的排除、紧急情况的处理等。</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7.2采购人认为可以培训的前一周提出需求，由中标人提供培训计划及资料进行培训，确保采购人培训后能熟练操作、了解构造原理、日常维护、排除一般故障。中标人保证对采购人各单位两名以上人员进行现场培训。培训时间地点由双方另行协商确定。</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color w:val="000000"/>
          <w:sz w:val="24"/>
          <w:highlight w:val="none"/>
        </w:rPr>
      </w:pPr>
      <w:r>
        <w:rPr>
          <w:rFonts w:hint="eastAsia" w:ascii="宋体" w:hAnsi="宋体" w:eastAsia="宋体" w:cs="宋体"/>
          <w:b w:val="0"/>
          <w:bCs/>
          <w:color w:val="000000"/>
          <w:sz w:val="21"/>
          <w:szCs w:val="21"/>
          <w:highlight w:val="none"/>
          <w:lang w:val="en-US" w:eastAsia="zh-CN" w:bidi="ar-SA"/>
        </w:rPr>
        <w:t xml:space="preserve">7.3中标人派出的培训指导人员，应在所在的技术领域具有五年以上的维修经验。培训指导人员的简历连同培训计划一并提交采购人，采购人认为培训指导人员不合适可要求更换，培训教程应按不同等级的受训人员分别制定，每一组应能对所有系统的特性、操作要求和维修有一个完整的了解，其中特别对软件系统进行专项培训。</w:t>
      </w:r>
      <w:r>
        <w:rPr>
          <w:rFonts w:hint="eastAsia" w:ascii="宋体" w:hAnsi="宋体" w:eastAsia="宋体" w:cs="宋体"/>
          <w:color w:val="000000"/>
          <w:sz w:val="24"/>
          <w:highlight w:val="none"/>
        </w:rPr>
      </w:r>
      <w:r/>
    </w:p>
    <w:p>
      <w:pPr>
        <w:pStyle w:val="1048"/>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8.其他要求</w:t>
      </w:r>
      <w:r>
        <w:rPr>
          <w:rFonts w:hint="eastAsia" w:ascii="宋体" w:hAnsi="宋体" w:eastAsia="宋体" w:cs="宋体"/>
          <w:b/>
          <w:bCs w:val="0"/>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8.1投标人必须响应本招标文件中规定的维保服务期。在此基础上，如其投标文件中承诺有延长维保服务期，则按其承诺的维保服务期执行。</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8.2中标人必须提供在合同履行过程中，若其出现多次失误或拖延工作现象，采购人有权随时终止合同。中标人负有责任的安装进度滞后或质量安全事故所造成的损失应由其承担，并接受采购人作出的相应处罚。</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2"/>
        <w:keepLines w:val="0"/>
        <w:keepNext w:val="0"/>
        <w:pageBreakBefore w:val="0"/>
        <w:spacing w:line="400" w:lineRule="exact"/>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9.售后及维保服务期</w:t>
      </w:r>
      <w:r>
        <w:rPr>
          <w:rFonts w:hint="eastAsia" w:ascii="宋体" w:hAnsi="宋体" w:eastAsia="宋体" w:cs="宋体"/>
          <w:b/>
          <w:bCs w:val="0"/>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9.1双方必须遵守《常州市公安视频监控系统维护管理办法》，项目建设和管理单位为常州市公安局常州经济开发区分局，项目承建单位是维护管理、考核的责任主体，系统运行设备完好率每月必须达到95%以上，维修及时率达100%。</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9.2质保期限、维护管理期限、考核期限按合同期限执行：自项目通过竣工验收之日起计算</w:t>
      </w:r>
      <w:r>
        <w:rPr>
          <w:rFonts w:hint="eastAsia" w:ascii="宋体" w:hAnsi="宋体" w:eastAsia="宋体" w:cs="宋体"/>
          <w:b/>
          <w:bCs w:val="0"/>
          <w:color w:val="000000"/>
          <w:sz w:val="21"/>
          <w:szCs w:val="21"/>
          <w:highlight w:val="none"/>
          <w:u w:val="single"/>
          <w:lang w:val="en-US" w:eastAsia="zh-CN" w:bidi="ar-SA"/>
        </w:rPr>
        <w:t xml:space="preserve">五年</w:t>
      </w:r>
      <w:r>
        <w:rPr>
          <w:rFonts w:hint="eastAsia" w:ascii="宋体" w:hAnsi="宋体" w:eastAsia="宋体" w:cs="宋体"/>
          <w:b w:val="0"/>
          <w:bCs/>
          <w:color w:val="000000"/>
          <w:sz w:val="21"/>
          <w:szCs w:val="21"/>
          <w:highlight w:val="none"/>
          <w:lang w:val="en-US" w:eastAsia="zh-CN" w:bidi="ar-SA"/>
        </w:rPr>
        <w:t xml:space="preserve">。</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9.3中标人在项目建设完成、竣工验收时，需提供运维具体部门、责任人及联系方式，如有变更，及时通知采购人。</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9.4中标人施工队伍必须满足项目质量、进度和文明施工等方面的要求，并提供所有施工人员的身份证原件（复印件留档），社保或保险缴纳证明，报采购人审核通过备案后方可进场施工。在实施过程中，施工队伍违反规定的，采购人可予以清退，所有违约责任由中标人承担。</w:t>
      </w:r>
      <w:r>
        <w:rPr>
          <w:rFonts w:hint="eastAsia" w:ascii="宋体" w:hAnsi="宋体" w:eastAsia="宋体" w:cs="宋体"/>
          <w:b w:val="0"/>
          <w:bCs/>
          <w:color w:val="000000"/>
          <w:sz w:val="21"/>
          <w:szCs w:val="21"/>
          <w:highlight w:val="none"/>
          <w:lang w:val="en-US" w:eastAsia="zh-CN" w:bidi="ar-SA"/>
        </w:rPr>
      </w:r>
      <w:r/>
    </w:p>
    <w:p>
      <w:pPr>
        <w:pStyle w:val="1048"/>
        <w:numPr>
          <w:ilvl w:val="0"/>
          <w:numId w:val="0"/>
        </w:numPr>
        <w:ind w:firstLine="420"/>
        <w:keepLines w:val="0"/>
        <w:keepNext w:val="0"/>
        <w:pageBreakBefore w:val="0"/>
        <w:spacing w:line="40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9.5在运行维护期内，如遇其他原因搬迁，中标人应免费承担不超过前端设备、链路等10%的搬迁服务。</w:t>
      </w:r>
      <w:r>
        <w:rPr>
          <w:rFonts w:hint="eastAsia" w:ascii="宋体" w:hAnsi="宋体" w:eastAsia="宋体" w:cs="宋体"/>
          <w:b w:val="0"/>
          <w:bCs/>
          <w:color w:val="000000"/>
          <w:sz w:val="21"/>
          <w:szCs w:val="21"/>
          <w:highlight w:val="none"/>
          <w:lang w:val="en-US" w:eastAsia="zh-CN" w:bidi="ar-SA"/>
        </w:rPr>
      </w:r>
      <w:r/>
    </w:p>
    <w:p>
      <w:pPr>
        <w:pStyle w:val="1150"/>
        <w:numPr>
          <w:ilvl w:val="0"/>
          <w:numId w:val="0"/>
        </w:numPr>
        <w:contextualSpacing/>
        <w:ind w:left="500" w:hanging="500"/>
        <w:keepLines w:val="0"/>
        <w:keepNext w:val="0"/>
        <w:pageBreakBefore w:val="0"/>
        <w:spacing w:line="400" w:lineRule="exact"/>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四、其他要求</w:t>
      </w:r>
      <w:r>
        <w:rPr>
          <w:rFonts w:hint="eastAsia" w:ascii="宋体" w:hAnsi="宋体" w:eastAsia="宋体" w:cs="宋体"/>
          <w:b/>
          <w:color w:val="000000"/>
          <w:sz w:val="21"/>
          <w:szCs w:val="21"/>
          <w:highlight w:val="none"/>
          <w:lang w:val="en-US" w:eastAsia="zh-CN" w:bidi="ar-SA"/>
        </w:rPr>
      </w:r>
      <w:r/>
    </w:p>
    <w:p>
      <w:pPr>
        <w:pStyle w:val="1150"/>
        <w:numPr>
          <w:ilvl w:val="0"/>
          <w:numId w:val="0"/>
        </w:numPr>
        <w:contextualSpacing/>
        <w:ind w:left="780" w:hanging="420"/>
        <w:jc w:val="left"/>
        <w:keepLines w:val="0"/>
        <w:keepNext w:val="0"/>
        <w:pageBreakBefore w:val="0"/>
        <w:spacing w:after="200"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按照《政府采购促进中小企业发展管理办法》（财库〔2020〕46号）的相关要求，采购人应当</w:t>
      </w:r>
      <w:r>
        <w:rPr>
          <w:rFonts w:hint="eastAsia" w:ascii="宋体" w:hAnsi="宋体" w:eastAsia="宋体" w:cs="宋体"/>
          <w:color w:val="000000"/>
          <w:sz w:val="21"/>
          <w:szCs w:val="21"/>
          <w:highlight w:val="none"/>
          <w:lang w:eastAsia="zh-CN"/>
        </w:rPr>
      </w:r>
      <w:r/>
    </w:p>
    <w:p>
      <w:pPr>
        <w:pStyle w:val="1150"/>
        <w:numPr>
          <w:ilvl w:val="0"/>
          <w:numId w:val="0"/>
        </w:numPr>
        <w:contextualSpacing/>
        <w:jc w:val="left"/>
        <w:keepLines w:val="0"/>
        <w:keepNext w:val="0"/>
        <w:pageBreakBefore w:val="0"/>
        <w:spacing w:after="200"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面向中小企业预留采购份额，本项目面向中小企业预留份额</w:t>
      </w:r>
      <w:r>
        <w:rPr>
          <w:rFonts w:hint="eastAsia" w:ascii="宋体" w:hAnsi="宋体" w:eastAsia="宋体" w:cs="宋体"/>
          <w:color w:val="000000"/>
          <w:sz w:val="21"/>
          <w:szCs w:val="21"/>
          <w:highlight w:val="none"/>
          <w:u w:val="single"/>
          <w:lang w:val="en-US" w:eastAsia="zh-CN"/>
        </w:rPr>
        <w:t xml:space="preserve"> 0</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150"/>
        <w:numPr>
          <w:ilvl w:val="0"/>
          <w:numId w:val="0"/>
        </w:numPr>
        <w:contextualSpacing/>
        <w:ind w:left="780" w:hanging="420"/>
        <w:jc w:val="left"/>
        <w:keepLines w:val="0"/>
        <w:keepNext w:val="0"/>
        <w:pageBreakBefore w:val="0"/>
        <w:spacing w:after="200"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情况说明：</w:t>
      </w:r>
      <w:r>
        <w:rPr>
          <w:rFonts w:hint="eastAsia" w:ascii="宋体" w:hAnsi="宋体" w:eastAsia="宋体" w:cs="宋体"/>
          <w:color w:val="000000"/>
          <w:sz w:val="21"/>
          <w:szCs w:val="21"/>
          <w:highlight w:val="none"/>
          <w:lang w:eastAsia="zh-CN"/>
        </w:rPr>
        <w:t xml:space="preserve">预留采购份额无法确保充分供应、充分竞争，存在可能影响政府采购目标实现的情</w:t>
      </w:r>
      <w:r>
        <w:rPr>
          <w:rFonts w:hint="eastAsia" w:ascii="宋体" w:hAnsi="宋体" w:eastAsia="宋体" w:cs="宋体"/>
          <w:color w:val="000000"/>
          <w:sz w:val="21"/>
          <w:szCs w:val="21"/>
          <w:highlight w:val="none"/>
          <w:lang w:eastAsia="zh-CN"/>
        </w:rPr>
      </w:r>
      <w:r/>
    </w:p>
    <w:p>
      <w:pPr>
        <w:pStyle w:val="1150"/>
        <w:numPr>
          <w:ilvl w:val="0"/>
          <w:numId w:val="0"/>
        </w:numPr>
        <w:contextualSpacing/>
        <w:jc w:val="left"/>
        <w:keepLines w:val="0"/>
        <w:keepNext w:val="0"/>
        <w:pageBreakBefore w:val="0"/>
        <w:spacing w:after="200"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形。</w:t>
      </w:r>
      <w:r>
        <w:rPr>
          <w:rFonts w:hint="eastAsia" w:ascii="宋体" w:hAnsi="宋体" w:eastAsia="宋体" w:cs="宋体"/>
          <w:color w:val="000000"/>
          <w:sz w:val="21"/>
          <w:szCs w:val="21"/>
          <w:highlight w:val="none"/>
          <w:lang w:eastAsia="zh-CN"/>
        </w:rPr>
      </w:r>
      <w:r/>
    </w:p>
    <w:p>
      <w:pPr>
        <w:pStyle w:val="1150"/>
        <w:numPr>
          <w:ilvl w:val="0"/>
          <w:numId w:val="0"/>
        </w:numPr>
        <w:contextualSpacing/>
        <w:ind w:left="500" w:hanging="500"/>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pStyle w:val="1150"/>
        <w:numPr>
          <w:ilvl w:val="0"/>
          <w:numId w:val="0"/>
        </w:numPr>
        <w:contextualSpacing/>
        <w:ind w:left="500" w:hanging="500"/>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pStyle w:val="1150"/>
        <w:numPr>
          <w:ilvl w:val="0"/>
          <w:numId w:val="0"/>
        </w:numPr>
        <w:contextualSpacing/>
        <w:ind w:left="500" w:hanging="500"/>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pStyle w:val="1150"/>
        <w:numPr>
          <w:ilvl w:val="0"/>
          <w:numId w:val="0"/>
        </w:numPr>
        <w:contextualSpacing/>
        <w:keepLines w:val="0"/>
        <w:keepNext w:val="0"/>
        <w:pageBreakBefore w:val="0"/>
        <w:spacing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pStyle w:val="1048"/>
        <w:jc w:val="center"/>
        <w:widowControl/>
        <w:rPr>
          <w:b/>
          <w:color w:val="000000"/>
          <w:sz w:val="32"/>
          <w:szCs w:val="32"/>
          <w:highlight w:val="none"/>
        </w:rPr>
      </w:pPr>
      <w:r/>
      <w:bookmarkEnd w:id="688"/>
      <w:r/>
      <w:bookmarkEnd w:id="689"/>
      <w:r/>
      <w:bookmarkStart w:id="710" w:name="_Toc99301425"/>
      <w:r>
        <w:rPr>
          <w:b/>
          <w:color w:val="000000"/>
          <w:sz w:val="32"/>
          <w:szCs w:val="32"/>
          <w:highlight w:val="none"/>
        </w:rPr>
        <w:br w:type="page" w:clear="all"/>
      </w:r>
      <w:r>
        <w:rPr>
          <w:b/>
          <w:color w:val="000000"/>
          <w:sz w:val="32"/>
          <w:szCs w:val="32"/>
          <w:highlight w:val="none"/>
        </w:rPr>
        <w:t xml:space="preserve">第六章   拟签订的合同文本</w:t>
      </w:r>
      <w:bookmarkEnd w:id="710"/>
      <w:r>
        <w:rPr>
          <w:b/>
          <w:color w:val="000000"/>
          <w:sz w:val="32"/>
          <w:szCs w:val="32"/>
          <w:highlight w:val="none"/>
        </w:rPr>
      </w:r>
      <w:r/>
    </w:p>
    <w:p>
      <w:pPr>
        <w:pStyle w:val="1048"/>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1048"/>
        <w:ind w:firstLine="480"/>
        <w:keepLines w:val="0"/>
        <w:keepNext w:val="0"/>
        <w:pageBreakBefore w:val="0"/>
        <w:spacing w:before="0" w:line="400" w:lineRule="exact"/>
        <w:widowControl w:val="off"/>
        <w:rPr>
          <w:rFonts w:hint="eastAsia" w:ascii="宋体" w:hAnsi="宋体" w:eastAsia="宋体" w:cs="宋体"/>
          <w:color w:val="000000"/>
          <w:sz w:val="21"/>
          <w:szCs w:val="21"/>
          <w:highlight w:val="none"/>
        </w:rPr>
      </w:pPr>
      <w:r/>
      <w:bookmarkStart w:id="711" w:name="_Toc99301426"/>
      <w:r/>
      <w:bookmarkStart w:id="712" w:name="_Toc331685783"/>
      <w:r>
        <w:rPr>
          <w:rFonts w:hint="eastAsia" w:ascii="宋体" w:hAnsi="宋体" w:eastAsia="宋体" w:cs="宋体"/>
          <w:color w:val="000000"/>
          <w:sz w:val="21"/>
          <w:szCs w:val="21"/>
          <w:highlight w:val="none"/>
        </w:rPr>
        <w:t xml:space="preserve">甲方（全称）：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eastAsia="zh-CN"/>
        </w:rPr>
        <w:t xml:space="preserve">、受采购人委托签订合同的单位</w:t>
      </w:r>
      <w:r>
        <w:rPr>
          <w:rFonts w:hint="eastAsia" w:ascii="宋体" w:hAnsi="宋体" w:eastAsia="宋体" w:cs="宋体"/>
          <w:color w:val="000000"/>
          <w:sz w:val="21"/>
          <w:szCs w:val="21"/>
          <w:highlight w:val="none"/>
        </w:rPr>
        <w:t xml:space="preserve">或采购文件约定的合同甲方）</w:t>
      </w:r>
      <w:r>
        <w:rPr>
          <w:rFonts w:hint="eastAsia" w:ascii="宋体" w:hAnsi="宋体" w:eastAsia="宋体" w:cs="宋体"/>
          <w:color w:val="000000"/>
          <w:sz w:val="21"/>
          <w:szCs w:val="21"/>
          <w:highlight w:val="none"/>
        </w:rPr>
      </w:r>
      <w:r/>
    </w:p>
    <w:p>
      <w:pPr>
        <w:pStyle w:val="1048"/>
        <w:ind w:firstLine="480"/>
        <w:keepLines w:val="0"/>
        <w:keepNext w:val="0"/>
        <w:pageBreakBefore w:val="0"/>
        <w:spacing w:before="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乙方（全称）：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供应商）</w:t>
      </w:r>
      <w:r>
        <w:rPr>
          <w:rFonts w:hint="eastAsia" w:ascii="宋体" w:hAnsi="宋体" w:eastAsia="宋体" w:cs="宋体"/>
          <w:color w:val="000000"/>
          <w:sz w:val="21"/>
          <w:szCs w:val="21"/>
          <w:highlight w:val="none"/>
        </w:rPr>
      </w:r>
      <w:r/>
    </w:p>
    <w:p>
      <w:pPr>
        <w:pStyle w:val="1323"/>
        <w:ind w:left="0" w:firstLine="480"/>
        <w:keepLines w:val="0"/>
        <w:keepNext w:val="0"/>
        <w:pageBreakBefore w:val="0"/>
        <w:spacing w:before="0" w:after="0"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1"/>
          <w:szCs w:val="21"/>
          <w:highlight w:val="none"/>
        </w:rPr>
        <w:t xml:space="preserve">依据《中华人民共和国民法典》</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《中华人民共和国政府采购法》等有关的法律法规，以及</w:t>
      </w:r>
      <w:r>
        <w:rPr>
          <w:rFonts w:hint="eastAsia" w:ascii="宋体" w:hAnsi="宋体" w:eastAsia="宋体" w:cs="宋体"/>
          <w:i w:val="0"/>
          <w:iCs w:val="0"/>
          <w:color w:val="000000"/>
          <w:sz w:val="21"/>
          <w:szCs w:val="21"/>
          <w:highlight w:val="none"/>
          <w:u w:val="none"/>
          <w:lang w:eastAsia="zh-CN"/>
        </w:rPr>
        <w:t xml:space="preserve">本采购项目</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eastAsia="zh-CN"/>
        </w:rPr>
        <w:t xml:space="preserve">招标文件等</w:t>
      </w:r>
      <w:r>
        <w:rPr>
          <w:rFonts w:hint="eastAsia" w:ascii="宋体" w:hAnsi="宋体" w:eastAsia="宋体" w:cs="宋体"/>
          <w:color w:val="000000"/>
          <w:sz w:val="21"/>
          <w:szCs w:val="21"/>
          <w:highlight w:val="none"/>
        </w:rPr>
        <w:t xml:space="preserve">采购文件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乙方的《投标（响应）文件》及《中标（成交）通知书》，甲乙双方同意签订本合同。具体情况及要求如下：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48"/>
        <w:numPr>
          <w:ilvl w:val="0"/>
          <w:numId w:val="0"/>
        </w:numPr>
        <w:ind w:firstLine="482"/>
        <w:keepLines w:val="0"/>
        <w:keepNext w:val="0"/>
        <w:pageBreakBefore w:val="0"/>
        <w:spacing w:before="0"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w:t>
      </w:r>
      <w:r>
        <w:rPr>
          <w:rFonts w:hint="eastAsia" w:ascii="宋体" w:hAnsi="宋体" w:eastAsia="宋体" w:cs="宋体"/>
          <w:b/>
          <w:color w:val="000000"/>
          <w:sz w:val="21"/>
          <w:szCs w:val="21"/>
          <w:highlight w:val="none"/>
        </w:rPr>
        <w:t xml:space="preserve">项目信息</w:t>
      </w:r>
      <w:r>
        <w:rPr>
          <w:rFonts w:hint="eastAsia" w:ascii="宋体" w:hAnsi="宋体" w:eastAsia="宋体" w:cs="宋体"/>
          <w:b/>
          <w:color w:val="000000"/>
          <w:sz w:val="21"/>
          <w:szCs w:val="21"/>
          <w:highlight w:val="none"/>
        </w:rPr>
      </w:r>
      <w:r/>
    </w:p>
    <w:p>
      <w:pPr>
        <w:pStyle w:val="1323"/>
        <w:numPr>
          <w:ilvl w:val="0"/>
          <w:numId w:val="10"/>
        </w:numPr>
        <w:ind w:left="0" w:firstLine="480"/>
        <w:keepLines w:val="0"/>
        <w:keepNext w:val="0"/>
        <w:pageBreakBefore w:val="0"/>
        <w:spacing w:before="0" w:after="0" w:line="40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采购项目名称：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323"/>
        <w:numPr>
          <w:ilvl w:val="0"/>
          <w:numId w:val="0"/>
        </w:numPr>
        <w:ind w:left="0" w:firstLine="480"/>
        <w:keepLines w:val="0"/>
        <w:keepNext w:val="0"/>
        <w:pageBreakBefore w:val="0"/>
        <w:spacing w:before="0" w:after="0" w:line="400" w:lineRule="exact"/>
        <w:widowControl w:val="off"/>
        <w:tabs>
          <w:tab w:val="left" w:pos="999" w:leader="none"/>
        </w:tabs>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     采购项目编号：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none"/>
          <w:lang w:val="en-US" w:eastAsia="zh-CN"/>
        </w:rPr>
      </w:r>
      <w:r/>
    </w:p>
    <w:p>
      <w:pPr>
        <w:pStyle w:val="1323"/>
        <w:ind w:left="0" w:firstLine="480"/>
        <w:keepLines w:val="0"/>
        <w:keepNext w:val="0"/>
        <w:pageBreakBefore w:val="0"/>
        <w:spacing w:before="0" w:after="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）项目内容：</w:t>
      </w:r>
      <w:r>
        <w:rPr>
          <w:rFonts w:hint="eastAsia" w:ascii="宋体" w:hAnsi="宋体" w:eastAsia="宋体" w:cs="宋体"/>
          <w:color w:val="000000"/>
          <w:sz w:val="21"/>
          <w:szCs w:val="21"/>
          <w:highlight w:val="none"/>
        </w:rPr>
      </w:r>
      <w:r/>
    </w:p>
    <w:p>
      <w:pPr>
        <w:pStyle w:val="1048"/>
        <w:numPr>
          <w:ilvl w:val="0"/>
          <w:numId w:val="0"/>
        </w:numPr>
        <w:ind w:firstLine="482"/>
        <w:keepLines w:val="0"/>
        <w:keepNext w:val="0"/>
        <w:pageBreakBefore w:val="0"/>
        <w:spacing w:before="0"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2.</w:t>
      </w:r>
      <w:r>
        <w:rPr>
          <w:rFonts w:hint="eastAsia" w:ascii="宋体" w:hAnsi="宋体" w:eastAsia="宋体" w:cs="宋体"/>
          <w:b/>
          <w:color w:val="000000"/>
          <w:sz w:val="21"/>
          <w:szCs w:val="21"/>
          <w:highlight w:val="none"/>
        </w:rPr>
        <w:t xml:space="preserve">合同金额</w:t>
      </w:r>
      <w:r>
        <w:rPr>
          <w:rFonts w:hint="eastAsia" w:ascii="宋体" w:hAnsi="宋体" w:eastAsia="宋体" w:cs="宋体"/>
          <w:b/>
          <w:color w:val="000000"/>
          <w:sz w:val="21"/>
          <w:szCs w:val="21"/>
          <w:highlight w:val="none"/>
        </w:rPr>
      </w:r>
      <w:r/>
    </w:p>
    <w:p>
      <w:pPr>
        <w:pStyle w:val="1048"/>
        <w:ind w:firstLine="480"/>
        <w:keepLines w:val="0"/>
        <w:keepNext w:val="0"/>
        <w:pageBreakBefore w:val="0"/>
        <w:spacing w:before="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（1）合同金额小写：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48"/>
        <w:ind w:left="0" w:firstLine="480"/>
        <w:keepLines w:val="0"/>
        <w:keepNext w:val="0"/>
        <w:pageBreakBefore w:val="0"/>
        <w:spacing w:before="0" w:line="400" w:lineRule="exact"/>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r>
      <w:r/>
    </w:p>
    <w:p>
      <w:pPr>
        <w:pStyle w:val="1048"/>
        <w:ind w:firstLine="1890"/>
        <w:keepLines w:val="0"/>
        <w:keepNext w:val="0"/>
        <w:pageBreakBefore w:val="0"/>
        <w:spacing w:before="0" w:line="400" w:lineRule="exact"/>
        <w:widowControl w:val="off"/>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税率：</w:t>
      </w:r>
      <w:r>
        <w:rPr>
          <w:rFonts w:hint="eastAsia" w:ascii="宋体" w:hAnsi="宋体" w:eastAsia="宋体" w:cs="宋体"/>
          <w:color w:val="000000"/>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1048"/>
        <w:ind w:firstLine="480"/>
        <w:keepLines w:val="0"/>
        <w:keepNext w:val="0"/>
        <w:pageBreakBefore w:val="0"/>
        <w:spacing w:before="0"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合同结算方式：</w:t>
      </w:r>
      <w:r>
        <w:rPr>
          <w:rFonts w:hint="eastAsia" w:ascii="宋体" w:hAnsi="宋体" w:eastAsia="宋体" w:cs="宋体"/>
          <w:b/>
          <w:bCs/>
          <w:color w:val="000000"/>
          <w:sz w:val="21"/>
          <w:szCs w:val="21"/>
          <w:highlight w:val="none"/>
          <w:u w:val="single"/>
          <w:lang w:val="en-US" w:eastAsia="zh-CN"/>
        </w:rPr>
        <w:t xml:space="preserve">全费用固定综合单价，即中标单价不变，最终按实际数量结算</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投标报价应包括招标文件所确定的招标范围相应货物和服务的供货、包装、运输、保险、辅助设备、安装调试、管理、</w:t>
      </w:r>
      <w:r>
        <w:rPr>
          <w:rFonts w:hint="eastAsia" w:ascii="宋体" w:hAnsi="宋体" w:eastAsia="宋体" w:cs="宋体"/>
          <w:b/>
          <w:bCs/>
          <w:color w:val="000000"/>
          <w:sz w:val="21"/>
          <w:szCs w:val="21"/>
          <w:highlight w:val="none"/>
          <w:lang w:val="en-US" w:eastAsia="zh-CN"/>
        </w:rPr>
        <w:t xml:space="preserve">5年维护（包括5年维保服务期内的一切维修、保养、更换零部件、人工等）</w:t>
      </w:r>
      <w:r>
        <w:rPr>
          <w:rFonts w:hint="eastAsia" w:ascii="宋体" w:hAnsi="宋体" w:eastAsia="宋体" w:cs="宋体"/>
          <w:b w:val="0"/>
          <w:bCs w:val="0"/>
          <w:color w:val="000000"/>
          <w:sz w:val="21"/>
          <w:szCs w:val="21"/>
          <w:highlight w:val="none"/>
          <w:lang w:val="en-US" w:eastAsia="zh-CN"/>
        </w:rPr>
        <w:t xml:space="preserve">、劳务、培训、验收、办公设备、设备、工具、耗材、运送工具及耗材、利润、风险、 税金及政策性文件规定等各项应有费用，以及为完成该项货物或者服务项目所涉 及到的一切相关费用，甲方不再支付其他任何费用。</w:t>
      </w:r>
      <w:r>
        <w:rPr>
          <w:rFonts w:hint="eastAsia" w:ascii="宋体" w:hAnsi="宋体" w:eastAsia="宋体" w:cs="宋体"/>
          <w:color w:val="000000"/>
          <w:sz w:val="21"/>
          <w:szCs w:val="21"/>
          <w:highlight w:val="none"/>
          <w:lang w:val="en-US" w:eastAsia="zh-CN"/>
        </w:rPr>
      </w:r>
      <w:r/>
    </w:p>
    <w:p>
      <w:pPr>
        <w:pStyle w:val="1048"/>
        <w:numPr>
          <w:ilvl w:val="0"/>
          <w:numId w:val="0"/>
        </w:numPr>
        <w:ind w:firstLine="420"/>
        <w:keepLines w:val="0"/>
        <w:keepNext w:val="0"/>
        <w:pageBreakBefore w:val="0"/>
        <w:spacing w:line="400" w:lineRule="exact"/>
        <w:widowControl w:val="off"/>
        <w:rPr>
          <w:rFonts w:hint="eastAsia" w:ascii="宋体" w:hAnsi="宋体" w:eastAsia="宋体" w:cs="宋体"/>
          <w:b/>
          <w:bCs w:val="0"/>
          <w:color w:val="000000"/>
          <w:sz w:val="21"/>
          <w:szCs w:val="21"/>
          <w:highlight w:val="none"/>
          <w:u w:val="single"/>
          <w:lang w:val="en-US" w:eastAsia="zh-CN" w:bidi="ar-SA"/>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）付款方式：</w:t>
      </w:r>
      <w:r>
        <w:rPr>
          <w:rFonts w:hint="eastAsia" w:ascii="宋体" w:hAnsi="宋体" w:eastAsia="宋体" w:cs="宋体"/>
          <w:b/>
          <w:bCs w:val="0"/>
          <w:color w:val="000000"/>
          <w:sz w:val="21"/>
          <w:szCs w:val="21"/>
          <w:highlight w:val="none"/>
          <w:u w:val="single"/>
          <w:lang w:val="en-US" w:eastAsia="zh-CN" w:bidi="ar-SA"/>
        </w:rPr>
        <w:t xml:space="preserve">①合同签订后支付合同总金额的30%作为预付款；②乙方规定时间内交付货物，甲方在10个工作日内进行初步验收确认数量、规格等，支付至合同总金额的60%，如初步验收发现货物存在数量短缺，规格不符等问题，乙方需及时补换货，初验时间顺延；③货物交付且安装完成后(如需审计)则审计后，满足合同约定条件的，甲方在安装调试验收合格之日起60日付款至合同总金额（审定金额）的100%。</w:t>
      </w:r>
      <w:r>
        <w:rPr>
          <w:rFonts w:hint="eastAsia" w:ascii="宋体" w:hAnsi="宋体" w:eastAsia="宋体" w:cs="宋体"/>
          <w:b/>
          <w:bCs w:val="0"/>
          <w:color w:val="000000"/>
          <w:sz w:val="21"/>
          <w:szCs w:val="21"/>
          <w:highlight w:val="none"/>
          <w:u w:val="single"/>
          <w:lang w:val="en-US" w:eastAsia="zh-CN" w:bidi="ar-SA"/>
        </w:rPr>
      </w:r>
      <w:r/>
    </w:p>
    <w:p>
      <w:pPr>
        <w:pStyle w:val="1048"/>
        <w:numPr>
          <w:ilvl w:val="0"/>
          <w:numId w:val="0"/>
        </w:numPr>
        <w:ind w:firstLine="422"/>
        <w:keepLines w:val="0"/>
        <w:keepNext w:val="0"/>
        <w:pageBreakBefore w:val="0"/>
        <w:spacing w:line="400" w:lineRule="exact"/>
        <w:widowControl w:val="off"/>
        <w:rPr>
          <w:rFonts w:hint="eastAsia" w:ascii="宋体" w:hAnsi="宋体" w:eastAsia="宋体" w:cs="宋体"/>
          <w:b/>
          <w:bCs w:val="0"/>
          <w:color w:val="000000"/>
          <w:sz w:val="21"/>
          <w:szCs w:val="21"/>
          <w:highlight w:val="none"/>
          <w:u w:val="single"/>
          <w:lang w:val="en-US" w:eastAsia="zh-CN" w:bidi="ar-SA"/>
        </w:rPr>
      </w:pPr>
      <w:r>
        <w:rPr>
          <w:rFonts w:hint="eastAsia" w:ascii="宋体" w:hAnsi="宋体" w:eastAsia="宋体" w:cs="宋体"/>
          <w:b/>
          <w:bCs w:val="0"/>
          <w:color w:val="000000"/>
          <w:sz w:val="21"/>
          <w:szCs w:val="21"/>
          <w:highlight w:val="none"/>
          <w:u w:val="none"/>
          <w:lang w:val="en-US" w:eastAsia="zh-CN" w:bidi="ar-SA"/>
        </w:rPr>
        <w:t xml:space="preserve">特别说明：</w:t>
      </w:r>
      <w:r>
        <w:rPr>
          <w:rFonts w:hint="eastAsia" w:ascii="宋体" w:hAnsi="宋体" w:eastAsia="宋体" w:cs="宋体"/>
          <w:b/>
          <w:bCs w:val="0"/>
          <w:color w:val="000000"/>
          <w:sz w:val="21"/>
          <w:szCs w:val="21"/>
          <w:highlight w:val="none"/>
          <w:u w:val="single"/>
          <w:lang w:val="en-US" w:eastAsia="zh-CN" w:bidi="ar-SA"/>
        </w:rPr>
        <w:t xml:space="preserve">①结算审计核减率5%以下的审计费用由甲方承担；核减率5%（含）以上的审计费用一律由乙方承担，并直接在审定价中扣除。乙方应无条件接受甲方内部审计部门的延伸审计。②付款前，乙方应提供符合甲方要求的合同全额的合法有效发票。否则，甲方有权顺延付款时间，且不承担任何违约或赔偿责任。</w:t>
      </w:r>
      <w:r>
        <w:rPr>
          <w:rFonts w:hint="eastAsia" w:ascii="宋体" w:hAnsi="宋体" w:eastAsia="宋体" w:cs="宋体"/>
          <w:b/>
          <w:bCs w:val="0"/>
          <w:color w:val="000000"/>
          <w:sz w:val="21"/>
          <w:szCs w:val="21"/>
          <w:highlight w:val="none"/>
          <w:u w:val="single"/>
          <w:lang w:val="en-US" w:eastAsia="zh-CN" w:bidi="ar-SA"/>
        </w:rPr>
      </w:r>
      <w:r/>
    </w:p>
    <w:p>
      <w:pPr>
        <w:pStyle w:val="1048"/>
        <w:numPr>
          <w:ilvl w:val="0"/>
          <w:numId w:val="0"/>
        </w:numPr>
        <w:ind w:firstLine="482"/>
        <w:keepLines w:val="0"/>
        <w:keepNext w:val="0"/>
        <w:pageBreakBefore w:val="0"/>
        <w:spacing w:before="0"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3.合同履行</w:t>
      </w:r>
      <w:r>
        <w:rPr>
          <w:rFonts w:hint="eastAsia" w:ascii="宋体" w:hAnsi="宋体" w:eastAsia="宋体" w:cs="宋体"/>
          <w:b/>
          <w:color w:val="000000"/>
          <w:sz w:val="21"/>
          <w:szCs w:val="21"/>
          <w:highlight w:val="none"/>
          <w:lang w:val="en-US" w:eastAsia="zh-CN" w:bidi="ar-SA"/>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服务期限：</w:t>
      </w:r>
      <w:r>
        <w:rPr>
          <w:rFonts w:hint="eastAsia" w:ascii="宋体" w:hAnsi="宋体" w:eastAsia="宋体" w:cs="宋体"/>
          <w:b/>
          <w:bCs w:val="0"/>
          <w:color w:val="000000"/>
          <w:sz w:val="21"/>
          <w:szCs w:val="21"/>
          <w:highlight w:val="none"/>
          <w:u w:val="single"/>
          <w:lang w:val="en-US" w:eastAsia="zh-CN" w:bidi="ar-SA"/>
        </w:rPr>
        <w:t xml:space="preserve">自合同签订之日起18个月</w:t>
      </w:r>
      <w:r>
        <w:rPr>
          <w:rFonts w:hint="eastAsia" w:ascii="宋体" w:hAnsi="宋体" w:eastAsia="宋体" w:cs="宋体"/>
          <w:b/>
          <w:bCs w:val="0"/>
          <w:color w:val="000000"/>
          <w:sz w:val="21"/>
          <w:szCs w:val="21"/>
          <w:highlight w:val="none"/>
          <w:u w:val="single"/>
          <w:lang w:eastAsia="zh-CN"/>
        </w:rPr>
        <w:t xml:space="preserve">内完成合同范围内所有设备的供货并安装调试完成</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rPr>
      </w:r>
      <w:r/>
    </w:p>
    <w:p>
      <w:pPr>
        <w:pStyle w:val="1048"/>
        <w:ind w:firstLine="480"/>
        <w:keepLines w:val="0"/>
        <w:keepNext w:val="0"/>
        <w:pageBreakBefore w:val="0"/>
        <w:spacing w:before="0" w:line="400" w:lineRule="exact"/>
        <w:rPr>
          <w:rFonts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履约</w:t>
      </w:r>
      <w:r>
        <w:rPr>
          <w:rFonts w:hint="eastAsia" w:ascii="宋体" w:hAnsi="宋体" w:eastAsia="宋体" w:cs="宋体"/>
          <w:color w:val="000000"/>
          <w:sz w:val="21"/>
          <w:szCs w:val="21"/>
          <w:highlight w:val="none"/>
        </w:rPr>
        <w:t xml:space="preserve">地点</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u w:val="single"/>
          <w:lang w:val="en-US" w:eastAsia="zh-CN"/>
        </w:rPr>
        <w:t xml:space="preserve">甲方指定地点  </w:t>
      </w:r>
      <w:r>
        <w:rPr>
          <w:rFonts w:ascii="宋体" w:hAnsi="宋体" w:eastAsia="宋体" w:cs="宋体"/>
          <w:color w:val="000000"/>
          <w:sz w:val="21"/>
          <w:szCs w:val="21"/>
          <w:highlight w:val="none"/>
          <w:u w:val="single"/>
          <w:lang w:val="en-US" w:eastAsia="zh-CN"/>
        </w:rPr>
      </w:r>
      <w:r/>
    </w:p>
    <w:p>
      <w:pPr>
        <w:pStyle w:val="1048"/>
        <w:ind w:firstLine="480"/>
        <w:keepLines w:val="0"/>
        <w:keepNext w:val="0"/>
        <w:pageBreakBefore w:val="0"/>
        <w:spacing w:before="0" w:line="400" w:lineRule="exact"/>
        <w:rPr>
          <w:rFonts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rPr>
        <w:t xml:space="preserve">（3）履约担保：</w:t>
      </w:r>
      <w:r>
        <w:rPr>
          <w:rFonts w:hint="eastAsia" w:ascii="宋体" w:hAnsi="宋体" w:eastAsia="宋体" w:cs="宋体"/>
          <w:color w:val="000000"/>
          <w:sz w:val="21"/>
          <w:szCs w:val="21"/>
          <w:highlight w:val="none"/>
          <w:u w:val="single"/>
          <w:lang w:val="en-US" w:eastAsia="zh-CN"/>
        </w:rPr>
        <w:t xml:space="preserve">否</w:t>
      </w:r>
      <w:r>
        <w:rPr>
          <w:rFonts w:ascii="宋体" w:hAnsi="宋体" w:eastAsia="宋体" w:cs="宋体"/>
          <w:color w:val="000000"/>
          <w:sz w:val="21"/>
          <w:szCs w:val="21"/>
          <w:highlight w:val="none"/>
          <w:lang w:val="en-US" w:eastAsia="zh-CN"/>
        </w:rPr>
      </w:r>
      <w:r/>
    </w:p>
    <w:p>
      <w:pPr>
        <w:pStyle w:val="1048"/>
        <w:numPr>
          <w:ilvl w:val="0"/>
          <w:numId w:val="0"/>
        </w:numPr>
        <w:ind w:firstLine="482"/>
        <w:keepLines w:val="0"/>
        <w:keepNext w:val="0"/>
        <w:pageBreakBefore w:val="0"/>
        <w:spacing w:before="0" w:line="40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4.合同验收</w:t>
      </w:r>
      <w:r>
        <w:rPr>
          <w:rFonts w:hint="eastAsia" w:ascii="宋体" w:hAnsi="宋体" w:eastAsia="宋体" w:cs="宋体"/>
          <w:b/>
          <w:color w:val="000000"/>
          <w:sz w:val="21"/>
          <w:szCs w:val="21"/>
          <w:highlight w:val="none"/>
          <w:lang w:val="en-US" w:eastAsia="zh-CN" w:bidi="ar-SA"/>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乙方应当在合同签订后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天内将货物交付甲方正常使用，地点由甲方指定。招标文件有约定的，从其约定。</w:t>
      </w:r>
      <w:r>
        <w:rPr>
          <w:rFonts w:hint="eastAsia" w:ascii="宋体" w:hAnsi="宋体" w:eastAsia="宋体" w:cs="宋体"/>
          <w:color w:val="000000"/>
          <w:sz w:val="21"/>
          <w:szCs w:val="21"/>
          <w:highlight w:val="none"/>
          <w:lang w:val="en-US" w:eastAsia="zh-CN"/>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乙方交付的货物应当完全符合本合同或者招投标文件所规定的货物、数量和规格要求。乙方提供的货物不符合招投标文件和合同规定的，甲方有权拒收货物，由此引起的风险，由乙方承担。</w:t>
      </w:r>
      <w:r>
        <w:rPr>
          <w:rFonts w:hint="eastAsia" w:ascii="宋体" w:hAnsi="宋体" w:eastAsia="宋体" w:cs="宋体"/>
          <w:color w:val="000000"/>
          <w:sz w:val="21"/>
          <w:szCs w:val="21"/>
          <w:highlight w:val="none"/>
          <w:lang w:val="en-US" w:eastAsia="zh-CN"/>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货物的到货验收包括：生产厂家名称、品牌、型号、规格、数量、外观质量、配置及货物包装是否完好。</w:t>
      </w:r>
      <w:r>
        <w:rPr>
          <w:rFonts w:hint="eastAsia" w:ascii="宋体" w:hAnsi="宋体" w:eastAsia="宋体" w:cs="宋体"/>
          <w:color w:val="000000"/>
          <w:sz w:val="21"/>
          <w:szCs w:val="21"/>
          <w:highlight w:val="none"/>
          <w:lang w:val="en-US" w:eastAsia="zh-CN"/>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eastAsia="宋体" w:cs="宋体"/>
          <w:color w:val="000000"/>
          <w:sz w:val="21"/>
          <w:szCs w:val="21"/>
          <w:highlight w:val="none"/>
          <w:lang w:val="en-US" w:eastAsia="zh-CN"/>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（5）货物验收的标准：按行业通行标准、厂方出厂标准和乙方投标文件的承诺（并不低于国家相关标准）。</w:t>
      </w:r>
      <w:r>
        <w:rPr>
          <w:rFonts w:hint="eastAsia" w:ascii="宋体" w:hAnsi="宋体" w:eastAsia="宋体" w:cs="宋体"/>
          <w:color w:val="000000"/>
          <w:sz w:val="21"/>
          <w:szCs w:val="21"/>
          <w:highlight w:val="none"/>
          <w:lang w:val="en-US" w:eastAsia="zh-CN"/>
        </w:rPr>
      </w:r>
      <w:r/>
    </w:p>
    <w:p>
      <w:pPr>
        <w:pStyle w:val="1048"/>
        <w:numPr>
          <w:ilvl w:val="0"/>
          <w:numId w:val="0"/>
        </w:numPr>
        <w:ind w:firstLine="482"/>
        <w:keepLines w:val="0"/>
        <w:keepNext w:val="0"/>
        <w:pageBreakBefore w:val="0"/>
        <w:spacing w:before="0"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5.</w:t>
      </w:r>
      <w:r>
        <w:rPr>
          <w:rFonts w:hint="eastAsia" w:ascii="宋体" w:hAnsi="宋体" w:eastAsia="宋体" w:cs="宋体"/>
          <w:b/>
          <w:color w:val="000000"/>
          <w:sz w:val="21"/>
          <w:szCs w:val="21"/>
          <w:highlight w:val="none"/>
        </w:rPr>
        <w:t xml:space="preserve">组成合同的文件</w:t>
      </w:r>
      <w:r>
        <w:rPr>
          <w:rFonts w:hint="eastAsia" w:ascii="宋体" w:hAnsi="宋体" w:eastAsia="宋体" w:cs="宋体"/>
          <w:b/>
          <w:color w:val="000000"/>
          <w:sz w:val="21"/>
          <w:szCs w:val="21"/>
          <w:highlight w:val="none"/>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本协议书与下列文件一起构成合同文件，如下述文件之间有任何抵触、矛盾或歧义，应按以下顺序解释：</w:t>
      </w:r>
      <w:r>
        <w:rPr>
          <w:rFonts w:hint="eastAsia" w:ascii="宋体" w:hAnsi="宋体" w:eastAsia="宋体" w:cs="宋体"/>
          <w:color w:val="000000"/>
          <w:sz w:val="21"/>
          <w:szCs w:val="21"/>
          <w:highlight w:val="none"/>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政府采购</w:t>
      </w:r>
      <w:r>
        <w:rPr>
          <w:rFonts w:hint="eastAsia" w:ascii="宋体" w:hAnsi="宋体" w:eastAsia="宋体" w:cs="宋体"/>
          <w:color w:val="000000"/>
          <w:sz w:val="21"/>
          <w:szCs w:val="21"/>
          <w:highlight w:val="none"/>
        </w:rPr>
        <w:t xml:space="preserve">合同协议书及其变更、补充</w:t>
      </w:r>
      <w:r>
        <w:rPr>
          <w:rFonts w:hint="eastAsia" w:ascii="宋体" w:hAnsi="宋体" w:eastAsia="宋体" w:cs="宋体"/>
          <w:color w:val="000000"/>
          <w:sz w:val="21"/>
          <w:szCs w:val="21"/>
          <w:highlight w:val="none"/>
          <w:lang w:eastAsia="zh-CN"/>
        </w:rPr>
        <w:t xml:space="preserve">协议</w:t>
      </w:r>
      <w:r>
        <w:rPr>
          <w:rFonts w:hint="eastAsia" w:ascii="宋体" w:hAnsi="宋体" w:eastAsia="宋体" w:cs="宋体"/>
          <w:color w:val="000000"/>
          <w:sz w:val="21"/>
          <w:szCs w:val="21"/>
          <w:highlight w:val="none"/>
          <w:lang w:eastAsia="zh-CN"/>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）政府采购合同专用条款</w:t>
      </w:r>
      <w:r>
        <w:rPr>
          <w:rFonts w:hint="eastAsia" w:ascii="宋体" w:hAnsi="宋体" w:eastAsia="宋体" w:cs="宋体"/>
          <w:color w:val="000000"/>
          <w:sz w:val="21"/>
          <w:szCs w:val="21"/>
          <w:highlight w:val="none"/>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）政府采购合同通用条款</w:t>
      </w:r>
      <w:r>
        <w:rPr>
          <w:rFonts w:hint="eastAsia" w:ascii="宋体" w:hAnsi="宋体" w:eastAsia="宋体" w:cs="宋体"/>
          <w:color w:val="000000"/>
          <w:sz w:val="21"/>
          <w:szCs w:val="21"/>
          <w:highlight w:val="none"/>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通知书</w:t>
      </w:r>
      <w:r>
        <w:rPr>
          <w:rFonts w:hint="eastAsia" w:ascii="宋体" w:hAnsi="宋体" w:eastAsia="宋体" w:cs="宋体"/>
          <w:color w:val="000000"/>
          <w:sz w:val="21"/>
          <w:szCs w:val="21"/>
          <w:highlight w:val="none"/>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）投标（响应）文件</w:t>
      </w:r>
      <w:r>
        <w:rPr>
          <w:rFonts w:hint="eastAsia" w:ascii="宋体" w:hAnsi="宋体" w:eastAsia="宋体" w:cs="宋体"/>
          <w:color w:val="000000"/>
          <w:sz w:val="21"/>
          <w:szCs w:val="21"/>
          <w:highlight w:val="none"/>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（6）采购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文件</w:t>
      </w:r>
      <w:r>
        <w:rPr>
          <w:rFonts w:hint="eastAsia" w:ascii="宋体" w:hAnsi="宋体" w:eastAsia="宋体" w:cs="宋体"/>
          <w:color w:val="000000"/>
          <w:sz w:val="21"/>
          <w:szCs w:val="21"/>
          <w:highlight w:val="none"/>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（7）有关技术文件，图纸</w:t>
      </w:r>
      <w:r>
        <w:rPr>
          <w:rFonts w:hint="eastAsia" w:ascii="宋体" w:hAnsi="宋体" w:eastAsia="宋体" w:cs="宋体"/>
          <w:color w:val="000000"/>
          <w:sz w:val="21"/>
          <w:szCs w:val="21"/>
          <w:highlight w:val="none"/>
        </w:rPr>
      </w:r>
      <w:r/>
    </w:p>
    <w:p>
      <w:pPr>
        <w:pStyle w:val="1324"/>
        <w:ind w:firstLine="480"/>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color w:val="000000"/>
          <w:sz w:val="21"/>
          <w:szCs w:val="21"/>
          <w:highlight w:val="none"/>
          <w:lang w:eastAsia="zh-CN"/>
        </w:rPr>
      </w:r>
      <w:r/>
    </w:p>
    <w:p>
      <w:pPr>
        <w:pStyle w:val="1048"/>
        <w:numPr>
          <w:ilvl w:val="0"/>
          <w:numId w:val="0"/>
        </w:numPr>
        <w:ind w:firstLine="482"/>
        <w:keepLines w:val="0"/>
        <w:keepNext w:val="0"/>
        <w:pageBreakBefore w:val="0"/>
        <w:spacing w:before="0"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6.</w:t>
      </w:r>
      <w:r>
        <w:rPr>
          <w:rFonts w:hint="eastAsia" w:ascii="宋体" w:hAnsi="宋体" w:eastAsia="宋体" w:cs="宋体"/>
          <w:b/>
          <w:color w:val="000000"/>
          <w:sz w:val="21"/>
          <w:szCs w:val="21"/>
          <w:highlight w:val="none"/>
        </w:rPr>
        <w:t xml:space="preserve">合同生效</w:t>
      </w:r>
      <w:r>
        <w:rPr>
          <w:rFonts w:hint="eastAsia" w:ascii="宋体" w:hAnsi="宋体" w:eastAsia="宋体" w:cs="宋体"/>
          <w:b/>
          <w:color w:val="000000"/>
          <w:sz w:val="21"/>
          <w:szCs w:val="21"/>
          <w:highlight w:val="none"/>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本合同自</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生效。</w:t>
      </w:r>
      <w:r>
        <w:rPr>
          <w:rFonts w:hint="eastAsia" w:ascii="宋体" w:hAnsi="宋体" w:eastAsia="宋体" w:cs="宋体"/>
          <w:color w:val="000000"/>
          <w:sz w:val="21"/>
          <w:szCs w:val="21"/>
          <w:highlight w:val="none"/>
        </w:rPr>
      </w:r>
      <w:r/>
    </w:p>
    <w:p>
      <w:pPr>
        <w:pStyle w:val="1048"/>
        <w:numPr>
          <w:ilvl w:val="0"/>
          <w:numId w:val="0"/>
        </w:numPr>
        <w:ind w:firstLine="482"/>
        <w:keepLines w:val="0"/>
        <w:keepNext w:val="0"/>
        <w:pageBreakBefore w:val="0"/>
        <w:spacing w:before="0"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7.</w:t>
      </w:r>
      <w:r>
        <w:rPr>
          <w:rFonts w:hint="eastAsia" w:ascii="宋体" w:hAnsi="宋体" w:eastAsia="宋体" w:cs="宋体"/>
          <w:b/>
          <w:color w:val="000000"/>
          <w:sz w:val="21"/>
          <w:szCs w:val="21"/>
          <w:highlight w:val="none"/>
        </w:rPr>
        <w:t xml:space="preserve">合同份数</w:t>
      </w:r>
      <w:r>
        <w:rPr>
          <w:rFonts w:hint="eastAsia" w:ascii="宋体" w:hAnsi="宋体" w:eastAsia="宋体" w:cs="宋体"/>
          <w:b/>
          <w:color w:val="000000"/>
          <w:sz w:val="21"/>
          <w:szCs w:val="21"/>
          <w:highlight w:val="none"/>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eastAsia="zh-CN"/>
        </w:rPr>
        <w:t xml:space="preserve">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执</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val="en-US" w:eastAsia="zh-CN"/>
        </w:rPr>
        <w:t xml:space="preserve">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执</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bCs/>
          <w:color w:val="000000"/>
          <w:sz w:val="21"/>
          <w:szCs w:val="21"/>
          <w:highlight w:val="none"/>
          <w:u w:val="single"/>
          <w:lang w:val="en-US" w:eastAsia="zh-CN"/>
        </w:rPr>
        <w:t xml:space="preserve">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份，代理机构持</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u w:val="single"/>
        </w:rPr>
        <w:t xml:space="preserve">壹</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份，均具有同等法律效力。</w:t>
      </w:r>
      <w:r>
        <w:rPr>
          <w:rFonts w:hint="eastAsia" w:ascii="宋体" w:hAnsi="宋体" w:eastAsia="宋体" w:cs="宋体"/>
          <w:color w:val="000000"/>
          <w:sz w:val="21"/>
          <w:szCs w:val="21"/>
          <w:highlight w:val="none"/>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合同订立时间：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1048"/>
        <w:ind w:firstLine="480"/>
        <w:keepLines w:val="0"/>
        <w:keepNext w:val="0"/>
        <w:pageBreakBefore w:val="0"/>
        <w:spacing w:before="0" w:line="400" w:lineRule="exact"/>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合同订立地点：</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rPr>
      </w:r>
      <w:r/>
    </w:p>
    <w:p>
      <w:pPr>
        <w:pStyle w:val="1048"/>
        <w:rPr>
          <w:rFonts w:hint="eastAsia"/>
          <w:color w:val="000000"/>
          <w:highlight w:val="none"/>
        </w:rPr>
      </w:pPr>
      <w:r>
        <w:rPr>
          <w:rFonts w:hint="eastAsia"/>
          <w:color w:val="000000"/>
          <w:highlight w:val="none"/>
        </w:rPr>
      </w:r>
      <w:r/>
    </w:p>
    <w:p>
      <w:pPr>
        <w:pStyle w:val="1048"/>
        <w:rPr>
          <w:rFonts w:hint="eastAsia"/>
          <w:color w:val="000000"/>
          <w:highlight w:val="none"/>
        </w:rPr>
      </w:pPr>
      <w:r>
        <w:rPr>
          <w:rFonts w:hint="eastAsia"/>
          <w:color w:val="000000"/>
          <w:highlight w:val="none"/>
        </w:rPr>
      </w:r>
      <w:r/>
    </w:p>
    <w:tbl>
      <w:tblPr>
        <w:tblW w:w="4925" w:type="pct"/>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571"/>
        <w:gridCol w:w="3115"/>
        <w:gridCol w:w="1594"/>
        <w:gridCol w:w="2869"/>
      </w:tblGrid>
      <w:tr>
        <w:trPr>
          <w:trHeight w:val="490"/>
        </w:trPr>
        <w:tc>
          <w:tcPr>
            <w:gridSpan w:val="2"/>
            <w:tcW w:w="497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甲方（采购人</w:t>
            </w:r>
            <w:r>
              <w:rPr>
                <w:rFonts w:hint="eastAsia" w:ascii="宋体" w:hAnsi="宋体" w:eastAsia="宋体" w:cs="宋体"/>
                <w:color w:val="000000"/>
                <w:sz w:val="21"/>
                <w:szCs w:val="21"/>
                <w:highlight w:val="none"/>
                <w:lang w:eastAsia="zh-CN"/>
              </w:rPr>
              <w:t xml:space="preserve">、受采购人委托签订合同的单位</w:t>
            </w:r>
            <w:r>
              <w:rPr>
                <w:rFonts w:hint="eastAsia" w:ascii="宋体" w:hAnsi="宋体" w:eastAsia="宋体" w:cs="宋体"/>
                <w:color w:val="000000"/>
                <w:sz w:val="21"/>
                <w:szCs w:val="21"/>
                <w:highlight w:val="none"/>
              </w:rPr>
              <w:t xml:space="preserve">或采购文件约定的合同甲方）</w:t>
            </w:r>
            <w:r>
              <w:rPr>
                <w:rFonts w:hint="eastAsia" w:ascii="宋体" w:hAnsi="宋体" w:eastAsia="宋体" w:cs="宋体"/>
                <w:color w:val="000000"/>
                <w:sz w:val="21"/>
                <w:szCs w:val="21"/>
                <w:highlight w:val="none"/>
              </w:rPr>
            </w:r>
            <w:r/>
          </w:p>
        </w:tc>
        <w:tc>
          <w:tcPr>
            <w:gridSpan w:val="2"/>
            <w:tcW w:w="4731"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乙方（供应商）</w:t>
            </w:r>
            <w:r>
              <w:rPr>
                <w:rFonts w:hint="eastAsia" w:ascii="宋体" w:hAnsi="宋体" w:eastAsia="宋体" w:cs="宋体"/>
                <w:color w:val="000000"/>
                <w:sz w:val="21"/>
                <w:szCs w:val="21"/>
                <w:highlight w:val="none"/>
              </w:rPr>
            </w:r>
            <w:r/>
          </w:p>
        </w:tc>
      </w:tr>
      <w:tr>
        <w:trPr>
          <w:trHeight w:val="672"/>
        </w:trPr>
        <w:tc>
          <w:tcPr>
            <w:tcW w:w="1641"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单位名称（公章</w:t>
            </w:r>
            <w:r>
              <w:rPr>
                <w:rFonts w:hint="eastAsia" w:ascii="宋体" w:hAnsi="宋体" w:eastAsia="宋体" w:cs="宋体"/>
                <w:color w:val="000000"/>
                <w:sz w:val="21"/>
                <w:szCs w:val="21"/>
                <w:highlight w:val="none"/>
                <w:lang w:eastAsia="zh-CN"/>
              </w:rPr>
              <w:t xml:space="preserve">或合同章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单位名称（公章</w:t>
            </w:r>
            <w:r>
              <w:rPr>
                <w:rFonts w:hint="eastAsia" w:ascii="宋体" w:hAnsi="宋体" w:eastAsia="宋体" w:cs="宋体"/>
                <w:color w:val="000000"/>
                <w:sz w:val="21"/>
                <w:szCs w:val="21"/>
                <w:highlight w:val="none"/>
                <w:lang w:eastAsia="zh-CN"/>
              </w:rPr>
              <w:t xml:space="preserve">或合同章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48"/>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386"/>
        </w:trPr>
        <w:tc>
          <w:tcPr>
            <w:tcW w:w="1641"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法定代表人或其委托代理人（签章）</w:t>
            </w: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法定代表人或其委托代理人（签章）</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83"/>
        </w:trPr>
        <w:tc>
          <w:tcPr>
            <w:tcW w:w="1641"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住</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所</w:t>
            </w:r>
            <w:r>
              <w:rPr>
                <w:rFonts w:hint="eastAsia" w:ascii="宋体" w:hAnsi="宋体" w:eastAsia="宋体" w:cs="宋体"/>
                <w:color w:val="000000"/>
                <w:sz w:val="21"/>
                <w:szCs w:val="21"/>
                <w:highlight w:val="none"/>
                <w:lang w:eastAsia="zh-CN"/>
              </w:rPr>
            </w:r>
            <w:r/>
          </w:p>
        </w:tc>
        <w:tc>
          <w:tcPr>
            <w:tcW w:w="920"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住</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所</w:t>
            </w:r>
            <w:r>
              <w:rPr>
                <w:rFonts w:hint="eastAsia" w:ascii="宋体" w:hAnsi="宋体" w:eastAsia="宋体" w:cs="宋体"/>
                <w:color w:val="000000"/>
                <w:sz w:val="21"/>
                <w:szCs w:val="21"/>
                <w:highlight w:val="none"/>
                <w:lang w:eastAsia="zh-CN"/>
              </w:rPr>
            </w:r>
            <w:r/>
          </w:p>
        </w:tc>
        <w:tc>
          <w:tcPr>
            <w:tcW w:w="773" w:type="dxa"/>
            <w:vAlign w:val="center"/>
            <w:textDirection w:val="lrTb"/>
            <w:noWrap w:val="false"/>
          </w:tcPr>
          <w:p>
            <w:pPr>
              <w:pStyle w:val="1048"/>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 系 人</w:t>
            </w: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 系 人</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48"/>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48"/>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通信地址</w:t>
            </w:r>
            <w:r>
              <w:rPr>
                <w:rFonts w:hint="eastAsia" w:ascii="宋体" w:hAnsi="宋体" w:eastAsia="宋体" w:cs="宋体"/>
                <w:color w:val="000000"/>
                <w:sz w:val="21"/>
                <w:szCs w:val="21"/>
                <w:highlight w:val="none"/>
                <w:lang w:eastAsia="zh-CN"/>
              </w:rPr>
            </w:r>
            <w:r/>
          </w:p>
        </w:tc>
        <w:tc>
          <w:tcPr>
            <w:tcW w:w="920"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通信地址</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48"/>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48"/>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电子邮箱</w:t>
            </w: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电子邮箱</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48"/>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统一社会信用代码</w:t>
            </w: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统一社会信用代码</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48"/>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开户名称</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48"/>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48"/>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r>
        <w:trPr>
          <w:trHeight w:val="483"/>
        </w:trPr>
        <w:tc>
          <w:tcPr>
            <w:tcW w:w="1641"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920" w:type="dxa"/>
            <w:vAlign w:val="center"/>
            <w:textDirection w:val="lrTb"/>
            <w:noWrap w:val="false"/>
          </w:tcPr>
          <w:p>
            <w:pPr>
              <w:pStyle w:val="1048"/>
              <w:ind w:firstLine="480"/>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64" w:type="dxa"/>
            <w:vAlign w:val="center"/>
            <w:textDirection w:val="lrTb"/>
            <w:noWrap w:val="false"/>
          </w:tcPr>
          <w:p>
            <w:pPr>
              <w:pStyle w:val="1048"/>
              <w:jc w:val="center"/>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银行账号</w:t>
            </w:r>
            <w:r>
              <w:rPr>
                <w:rFonts w:hint="eastAsia" w:ascii="宋体" w:hAnsi="宋体" w:eastAsia="宋体" w:cs="宋体"/>
                <w:color w:val="000000"/>
                <w:sz w:val="21"/>
                <w:szCs w:val="21"/>
                <w:highlight w:val="none"/>
              </w:rPr>
            </w:r>
            <w:r/>
          </w:p>
        </w:tc>
        <w:tc>
          <w:tcPr>
            <w:tcW w:w="773" w:type="dxa"/>
            <w:vAlign w:val="center"/>
            <w:textDirection w:val="lrTb"/>
            <w:noWrap w:val="false"/>
          </w:tcPr>
          <w:p>
            <w:pPr>
              <w:pStyle w:val="1048"/>
              <w:ind w:firstLine="560"/>
              <w:jc w:val="center"/>
              <w:keepLines w:val="0"/>
              <w:keepNext w:val="0"/>
              <w:pageBreakBefore w:val="0"/>
              <w:spacing w:line="24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r>
            <w:r/>
          </w:p>
        </w:tc>
      </w:tr>
    </w:tbl>
    <w:p>
      <w:pPr>
        <w:pStyle w:val="1048"/>
        <w:spacing w:after="156"/>
        <w:rPr>
          <w:rFonts w:hint="eastAsia" w:ascii="Times New Roman" w:hAnsi="Times New Roman" w:eastAsia="宋体" w:cs="Times New Roman"/>
          <w:b/>
          <w:color w:val="000000"/>
          <w:szCs w:val="21"/>
          <w:highlight w:val="none"/>
        </w:rPr>
      </w:pPr>
      <w:r>
        <w:rPr>
          <w:rFonts w:hint="eastAsia" w:ascii="Times New Roman" w:hAnsi="Times New Roman" w:eastAsia="宋体" w:cs="Times New Roman"/>
          <w:b/>
          <w:color w:val="000000"/>
          <w:szCs w:val="21"/>
          <w:highlight w:val="none"/>
        </w:rPr>
      </w:r>
      <w:r/>
    </w:p>
    <w:p>
      <w:pPr>
        <w:pStyle w:val="1048"/>
        <w:spacing w:after="156"/>
        <w:rPr>
          <w:rFonts w:hint="eastAsia" w:ascii="Times New Roman" w:hAnsi="Times New Roman" w:eastAsia="宋体" w:cs="Times New Roman"/>
          <w:b/>
          <w:color w:val="000000"/>
          <w:szCs w:val="21"/>
          <w:highlight w:val="none"/>
        </w:rPr>
      </w:pPr>
      <w:r>
        <w:rPr>
          <w:rFonts w:hint="eastAsia" w:ascii="Times New Roman" w:hAnsi="Times New Roman" w:eastAsia="宋体" w:cs="Times New Roman"/>
          <w:b/>
          <w:color w:val="000000"/>
          <w:szCs w:val="21"/>
          <w:highlight w:val="none"/>
        </w:rPr>
        <w:t xml:space="preserve">见证方： </w:t>
      </w:r>
      <w:r>
        <w:rPr>
          <w:rFonts w:hint="eastAsia" w:ascii="Times New Roman" w:hAnsi="Times New Roman" w:eastAsia="宋体" w:cs="Times New Roman"/>
          <w:b/>
          <w:color w:val="000000"/>
          <w:szCs w:val="21"/>
          <w:highlight w:val="none"/>
        </w:rPr>
      </w:r>
      <w:r/>
    </w:p>
    <w:p>
      <w:pPr>
        <w:pStyle w:val="1048"/>
        <w:spacing w:after="156"/>
        <w:rPr>
          <w:rFonts w:hint="eastAsia" w:ascii="Times New Roman" w:hAnsi="Times New Roman" w:eastAsia="宋体" w:cs="Times New Roman"/>
          <w:b/>
          <w:color w:val="000000"/>
          <w:szCs w:val="21"/>
          <w:highlight w:val="none"/>
        </w:rPr>
      </w:pPr>
      <w:r>
        <w:rPr>
          <w:rFonts w:hint="eastAsia" w:ascii="Times New Roman" w:hAnsi="Times New Roman" w:eastAsia="宋体" w:cs="Times New Roman"/>
          <w:b/>
          <w:color w:val="000000"/>
          <w:szCs w:val="21"/>
          <w:highlight w:val="none"/>
        </w:rPr>
        <w:t xml:space="preserve">代理机构（章）： </w:t>
      </w:r>
      <w:r>
        <w:rPr>
          <w:rFonts w:hint="eastAsia" w:ascii="Times New Roman" w:hAnsi="Times New Roman" w:eastAsia="宋体" w:cs="Times New Roman"/>
          <w:b/>
          <w:color w:val="000000"/>
          <w:szCs w:val="21"/>
          <w:highlight w:val="none"/>
        </w:rPr>
      </w:r>
      <w:r/>
    </w:p>
    <w:p>
      <w:pPr>
        <w:pStyle w:val="1048"/>
        <w:spacing w:after="156"/>
        <w:rPr>
          <w:rFonts w:hint="eastAsia" w:ascii="Times New Roman" w:hAnsi="Times New Roman" w:eastAsia="宋体" w:cs="Times New Roman"/>
          <w:b/>
          <w:color w:val="000000"/>
          <w:szCs w:val="21"/>
          <w:highlight w:val="none"/>
        </w:rPr>
      </w:pPr>
      <w:r>
        <w:rPr>
          <w:rFonts w:hint="eastAsia" w:ascii="Times New Roman" w:hAnsi="Times New Roman" w:eastAsia="宋体" w:cs="Times New Roman"/>
          <w:b/>
          <w:color w:val="000000"/>
          <w:szCs w:val="21"/>
          <w:highlight w:val="none"/>
        </w:rPr>
        <w:t xml:space="preserve">经办人：                     电话：</w:t>
      </w:r>
      <w:r>
        <w:rPr>
          <w:rFonts w:hint="eastAsia" w:ascii="Times New Roman" w:hAnsi="Times New Roman" w:eastAsia="宋体" w:cs="Times New Roman"/>
          <w:b/>
          <w:color w:val="000000"/>
          <w:szCs w:val="21"/>
          <w:highlight w:val="none"/>
        </w:rPr>
      </w:r>
      <w:r/>
    </w:p>
    <w:p>
      <w:pPr>
        <w:pStyle w:val="1325"/>
        <w:jc w:val="center"/>
        <w:spacing w:before="156"/>
        <w:rPr>
          <w:rFonts w:ascii="黑体" w:hAnsi="黑体" w:eastAsia="黑体"/>
          <w:color w:val="000000"/>
          <w:sz w:val="28"/>
          <w:szCs w:val="28"/>
          <w:highlight w:val="none"/>
        </w:rPr>
      </w:pPr>
      <w:r>
        <w:rPr>
          <w:rFonts w:ascii="宋体" w:hAnsi="宋体"/>
          <w:color w:val="000000"/>
          <w:sz w:val="21"/>
          <w:szCs w:val="21"/>
          <w:highlight w:val="none"/>
          <w:u w:val="single"/>
        </w:rPr>
        <w:br w:type="page" w:clear="all"/>
      </w:r>
      <w:bookmarkStart w:id="713" w:name="_Toc27624"/>
      <w:r>
        <w:rPr>
          <w:rFonts w:hint="eastAsia" w:ascii="宋体" w:hAnsi="宋体" w:eastAsia="宋体" w:cs="宋体"/>
          <w:b/>
          <w:bCs/>
          <w:color w:val="000000"/>
          <w:sz w:val="28"/>
          <w:szCs w:val="28"/>
          <w:highlight w:val="none"/>
        </w:rPr>
        <w:t xml:space="preserve">第二节 政府采购合同通用条款</w:t>
      </w:r>
      <w:bookmarkEnd w:id="713"/>
      <w:r>
        <w:rPr>
          <w:rFonts w:ascii="黑体" w:hAnsi="黑体" w:eastAsia="黑体"/>
          <w:color w:val="000000"/>
          <w:sz w:val="28"/>
          <w:szCs w:val="28"/>
          <w:highlight w:val="none"/>
        </w:rPr>
      </w:r>
      <w:r/>
    </w:p>
    <w:p>
      <w:pPr>
        <w:pStyle w:val="1048"/>
        <w:jc w:val="left"/>
        <w:pageBreakBefore w:val="0"/>
        <w:spacing w:before="0" w:line="360" w:lineRule="exact"/>
        <w:tabs>
          <w:tab w:val="left" w:pos="8820" w:leader="none"/>
          <w:tab w:val="left" w:pos="9345" w:leader="none"/>
          <w:tab w:val="left" w:pos="9765" w:leader="none"/>
        </w:tabs>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bCs/>
          <w:color w:val="000000"/>
          <w:sz w:val="21"/>
          <w:szCs w:val="21"/>
          <w:highlight w:val="none"/>
        </w:rPr>
        <w:t xml:space="preserve">定义</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1.1合同当事人</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（1）采购人（以下称甲方）是指使用财政性资金，通过政府采购方式向供应商购买货物</w:t>
      </w:r>
      <w:r>
        <w:rPr>
          <w:rFonts w:hint="eastAsia" w:ascii="宋体" w:hAnsi="宋体" w:eastAsia="宋体" w:cs="宋体"/>
          <w:color w:val="000000"/>
          <w:sz w:val="21"/>
          <w:szCs w:val="21"/>
          <w:highlight w:val="none"/>
          <w:lang w:val="en-US" w:eastAsia="zh-CN"/>
        </w:rPr>
        <w:t xml:space="preserve">及其相关服务的</w:t>
      </w:r>
      <w:r>
        <w:rPr>
          <w:rFonts w:hint="eastAsia" w:ascii="宋体" w:hAnsi="宋体" w:eastAsia="宋体" w:cs="宋体"/>
          <w:color w:val="000000"/>
          <w:sz w:val="21"/>
          <w:szCs w:val="21"/>
          <w:highlight w:val="none"/>
        </w:rPr>
        <w:t xml:space="preserve">国家机关、事业单位、团体组织。</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（2）供应商（以下称</w:t>
      </w:r>
      <w:r>
        <w:rPr>
          <w:rFonts w:hint="eastAsia" w:ascii="宋体" w:hAnsi="宋体" w:eastAsia="宋体" w:cs="宋体"/>
          <w:color w:val="000000"/>
          <w:sz w:val="21"/>
          <w:szCs w:val="21"/>
          <w:highlight w:val="none"/>
          <w:lang w:eastAsia="zh-CN"/>
        </w:rPr>
        <w:t xml:space="preserve">乙</w:t>
      </w:r>
      <w:r>
        <w:rPr>
          <w:rFonts w:hint="eastAsia" w:ascii="宋体" w:hAnsi="宋体" w:eastAsia="宋体" w:cs="宋体"/>
          <w:color w:val="000000"/>
          <w:sz w:val="21"/>
          <w:szCs w:val="21"/>
          <w:highlight w:val="none"/>
        </w:rPr>
        <w:t xml:space="preserve">方）是指参加政府采购活动并且中标（成交），向采购人提供</w:t>
      </w:r>
      <w:r>
        <w:rPr>
          <w:rFonts w:hint="eastAsia" w:ascii="宋体" w:hAnsi="宋体" w:eastAsia="宋体" w:cs="宋体"/>
          <w:color w:val="000000"/>
          <w:sz w:val="21"/>
          <w:szCs w:val="21"/>
          <w:highlight w:val="none"/>
          <w:lang w:val="en-US" w:eastAsia="zh-CN"/>
        </w:rPr>
        <w:t xml:space="preserve">合同约定的货物及其相关服务的法人、非法人组织或者自然人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（3）其他合同主体是指除采购人和供应商以外，</w:t>
      </w:r>
      <w:r>
        <w:rPr>
          <w:rFonts w:hint="eastAsia" w:ascii="宋体" w:hAnsi="宋体" w:eastAsia="宋体" w:cs="宋体"/>
          <w:bCs/>
          <w:color w:val="000000"/>
          <w:sz w:val="21"/>
          <w:szCs w:val="21"/>
          <w:highlight w:val="none"/>
        </w:rPr>
        <w:t xml:space="preserve">依法参与合同缔结或履行，享有权利、承担义务的合同当事人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tabs>
          <w:tab w:val="left" w:pos="570" w:leader="none"/>
          <w:tab w:val="left" w:pos="9240" w:leader="none"/>
          <w:tab w:val="left" w:pos="95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1.2本合同下列术语应解释为：</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（1）“合同”系指</w:t>
      </w:r>
      <w:r>
        <w:rPr>
          <w:rFonts w:hint="eastAsia" w:ascii="宋体" w:hAnsi="宋体" w:eastAsia="宋体" w:cs="宋体"/>
          <w:bCs/>
          <w:color w:val="000000"/>
          <w:sz w:val="21"/>
          <w:szCs w:val="21"/>
          <w:highlight w:val="none"/>
        </w:rPr>
        <w:t xml:space="preserve">合同当事人意思表示达成一致的任何协议，包括签署的</w:t>
      </w:r>
      <w:r>
        <w:rPr>
          <w:rFonts w:hint="eastAsia" w:ascii="宋体" w:hAnsi="宋体" w:eastAsia="宋体" w:cs="宋体"/>
          <w:color w:val="000000"/>
          <w:sz w:val="21"/>
          <w:szCs w:val="21"/>
          <w:highlight w:val="none"/>
          <w:lang w:eastAsia="zh-CN"/>
        </w:rPr>
        <w:t xml:space="preserve">政府采购</w:t>
      </w:r>
      <w:r>
        <w:rPr>
          <w:rFonts w:hint="eastAsia" w:ascii="宋体" w:hAnsi="宋体" w:eastAsia="宋体" w:cs="宋体"/>
          <w:color w:val="000000"/>
          <w:sz w:val="21"/>
          <w:szCs w:val="21"/>
          <w:highlight w:val="none"/>
        </w:rPr>
        <w:t xml:space="preserve">合同协议书及其变更、补充</w:t>
      </w:r>
      <w:r>
        <w:rPr>
          <w:rFonts w:hint="eastAsia" w:ascii="宋体" w:hAnsi="宋体" w:eastAsia="宋体" w:cs="宋体"/>
          <w:color w:val="000000"/>
          <w:sz w:val="21"/>
          <w:szCs w:val="21"/>
          <w:highlight w:val="none"/>
          <w:lang w:eastAsia="zh-CN"/>
        </w:rPr>
        <w:t xml:space="preserve">协议，</w:t>
      </w:r>
      <w:r>
        <w:rPr>
          <w:rFonts w:hint="eastAsia" w:ascii="宋体" w:hAnsi="宋体" w:eastAsia="宋体" w:cs="宋体"/>
          <w:color w:val="000000"/>
          <w:sz w:val="21"/>
          <w:szCs w:val="21"/>
          <w:highlight w:val="none"/>
        </w:rPr>
        <w:t xml:space="preserve">政府采购合同专用条款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政府采购合同通用条款</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中标</w:t>
      </w:r>
      <w:r>
        <w:rPr>
          <w:rFonts w:hint="eastAsia" w:ascii="宋体" w:hAnsi="宋体" w:eastAsia="宋体" w:cs="宋体"/>
          <w:color w:val="000000"/>
          <w:sz w:val="21"/>
          <w:szCs w:val="21"/>
          <w:highlight w:val="none"/>
          <w:lang w:eastAsia="zh-CN"/>
        </w:rPr>
        <w:t xml:space="preserve">（成交）</w:t>
      </w:r>
      <w:r>
        <w:rPr>
          <w:rFonts w:hint="eastAsia" w:ascii="宋体" w:hAnsi="宋体" w:eastAsia="宋体" w:cs="宋体"/>
          <w:color w:val="000000"/>
          <w:sz w:val="21"/>
          <w:szCs w:val="21"/>
          <w:highlight w:val="none"/>
        </w:rPr>
        <w:t xml:space="preserve">通知书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投标（响应）文件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采购文件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有关技术文件</w:t>
      </w:r>
      <w:r>
        <w:rPr>
          <w:rFonts w:hint="eastAsia" w:ascii="宋体" w:hAnsi="宋体" w:eastAsia="宋体" w:cs="宋体"/>
          <w:color w:val="000000"/>
          <w:sz w:val="21"/>
          <w:szCs w:val="21"/>
          <w:highlight w:val="none"/>
          <w:lang w:eastAsia="zh-CN"/>
        </w:rPr>
        <w:t xml:space="preserve">和</w:t>
      </w:r>
      <w:r>
        <w:rPr>
          <w:rFonts w:hint="eastAsia" w:ascii="宋体" w:hAnsi="宋体" w:eastAsia="宋体" w:cs="宋体"/>
          <w:color w:val="000000"/>
          <w:sz w:val="21"/>
          <w:szCs w:val="21"/>
          <w:highlight w:val="none"/>
        </w:rPr>
        <w:t xml:space="preserve">图纸</w:t>
      </w:r>
      <w:r>
        <w:rPr>
          <w:rFonts w:hint="eastAsia" w:ascii="宋体" w:hAnsi="宋体" w:eastAsia="宋体" w:cs="宋体"/>
          <w:color w:val="000000"/>
          <w:sz w:val="21"/>
          <w:szCs w:val="21"/>
          <w:highlight w:val="none"/>
          <w:lang w:eastAsia="zh-CN"/>
        </w:rPr>
        <w:t xml:space="preserve">，以及</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tabs>
          <w:tab w:val="left" w:pos="570" w:leader="none"/>
          <w:tab w:val="left" w:pos="9240" w:leader="none"/>
          <w:tab w:val="left" w:pos="95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）“合同价</w:t>
      </w:r>
      <w:r>
        <w:rPr>
          <w:rFonts w:hint="eastAsia" w:ascii="宋体" w:hAnsi="宋体" w:eastAsia="宋体" w:cs="宋体"/>
          <w:color w:val="000000"/>
          <w:sz w:val="21"/>
          <w:szCs w:val="21"/>
          <w:highlight w:val="none"/>
          <w:lang w:val="en-US" w:eastAsia="zh-CN"/>
        </w:rPr>
        <w:t xml:space="preserve">款</w:t>
      </w:r>
      <w:r>
        <w:rPr>
          <w:rFonts w:hint="eastAsia" w:ascii="宋体" w:hAnsi="宋体" w:eastAsia="宋体" w:cs="宋体"/>
          <w:color w:val="000000"/>
          <w:sz w:val="21"/>
          <w:szCs w:val="21"/>
          <w:highlight w:val="none"/>
        </w:rPr>
        <w:t xml:space="preserve">”系指根据本合同规定乙方在全面履行合同义务后甲方应支付给乙方的价款。</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tabs>
          <w:tab w:val="left" w:pos="570" w:leader="none"/>
          <w:tab w:val="left" w:pos="9240" w:leader="none"/>
          <w:tab w:val="left" w:pos="9555"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）“货物”系指乙方根据本合同规定须向甲方提供的各种形态和种类的物品，包括原材料、设备、产品（包括软件）及相关的其备品备件、工具、手册及</w:t>
      </w:r>
      <w:r>
        <w:rPr>
          <w:rFonts w:hint="eastAsia" w:ascii="宋体" w:hAnsi="宋体" w:eastAsia="宋体" w:cs="宋体"/>
          <w:color w:val="000000"/>
          <w:sz w:val="21"/>
          <w:szCs w:val="21"/>
          <w:highlight w:val="none"/>
          <w:lang w:val="en"/>
        </w:rPr>
        <w:t xml:space="preserve">其他</w:t>
      </w:r>
      <w:r>
        <w:rPr>
          <w:rFonts w:hint="eastAsia" w:ascii="宋体" w:hAnsi="宋体" w:eastAsia="宋体" w:cs="宋体"/>
          <w:color w:val="000000"/>
          <w:sz w:val="21"/>
          <w:szCs w:val="21"/>
          <w:highlight w:val="none"/>
        </w:rPr>
        <w:t xml:space="preserve">技术资料和材料</w:t>
      </w:r>
      <w:r>
        <w:rPr>
          <w:rFonts w:hint="eastAsia" w:ascii="宋体" w:hAnsi="宋体" w:eastAsia="宋体" w:cs="宋体"/>
          <w:color w:val="000000"/>
          <w:sz w:val="21"/>
          <w:szCs w:val="21"/>
          <w:highlight w:val="none"/>
          <w:lang w:eastAsia="zh-CN"/>
        </w:rPr>
        <w:t xml:space="preserve">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r>
      <w:r/>
    </w:p>
    <w:p>
      <w:pPr>
        <w:pStyle w:val="1048"/>
        <w:ind w:firstLine="480"/>
        <w:jc w:val="left"/>
        <w:pageBreakBefore w:val="0"/>
        <w:spacing w:before="0"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相关</w:t>
      </w:r>
      <w:r>
        <w:rPr>
          <w:rFonts w:hint="eastAsia" w:ascii="宋体" w:hAnsi="宋体" w:eastAsia="宋体" w:cs="宋体"/>
          <w:color w:val="000000"/>
          <w:sz w:val="21"/>
          <w:szCs w:val="21"/>
          <w:highlight w:val="none"/>
        </w:rPr>
        <w:t xml:space="preserve">服务”系指根据合同规定，乙方应提供的</w:t>
      </w:r>
      <w:r>
        <w:rPr>
          <w:rFonts w:hint="eastAsia" w:ascii="宋体" w:hAnsi="宋体" w:eastAsia="宋体" w:cs="宋体"/>
          <w:color w:val="000000"/>
          <w:sz w:val="21"/>
          <w:szCs w:val="21"/>
          <w:highlight w:val="none"/>
          <w:lang w:val="en-US" w:eastAsia="zh-CN"/>
        </w:rPr>
        <w:t xml:space="preserve">与货物有关的</w:t>
      </w:r>
      <w:r>
        <w:rPr>
          <w:rFonts w:hint="eastAsia" w:ascii="宋体" w:hAnsi="宋体" w:eastAsia="宋体" w:cs="宋体"/>
          <w:color w:val="000000"/>
          <w:sz w:val="21"/>
          <w:szCs w:val="21"/>
          <w:highlight w:val="none"/>
        </w:rPr>
        <w:t xml:space="preserve">技术、管理和</w:t>
      </w:r>
      <w:r>
        <w:rPr>
          <w:rFonts w:hint="eastAsia" w:ascii="宋体" w:hAnsi="宋体" w:eastAsia="宋体" w:cs="宋体"/>
          <w:color w:val="000000"/>
          <w:sz w:val="21"/>
          <w:szCs w:val="21"/>
          <w:highlight w:val="none"/>
          <w:lang w:val="en"/>
        </w:rPr>
        <w:t xml:space="preserve">其他</w:t>
      </w:r>
      <w:r>
        <w:rPr>
          <w:rFonts w:hint="eastAsia" w:ascii="宋体" w:hAnsi="宋体" w:eastAsia="宋体" w:cs="宋体"/>
          <w:color w:val="000000"/>
          <w:sz w:val="21"/>
          <w:szCs w:val="21"/>
          <w:highlight w:val="none"/>
        </w:rPr>
        <w:t xml:space="preserve">服务，包括但不限于：管理和质量保证、运输、保险、检验、现场准备、安装、集成、调试、培训、维修、</w:t>
      </w:r>
      <w:r>
        <w:rPr>
          <w:rFonts w:hint="eastAsia" w:ascii="宋体" w:hAnsi="宋体" w:eastAsia="宋体" w:cs="宋体"/>
          <w:color w:val="000000"/>
          <w:sz w:val="21"/>
          <w:szCs w:val="21"/>
          <w:highlight w:val="none"/>
          <w:lang w:eastAsia="zh-CN"/>
        </w:rPr>
        <w:t xml:space="preserve">废弃处置、</w:t>
      </w:r>
      <w:r>
        <w:rPr>
          <w:rFonts w:hint="eastAsia" w:ascii="宋体" w:hAnsi="宋体" w:eastAsia="宋体" w:cs="宋体"/>
          <w:color w:val="000000"/>
          <w:sz w:val="21"/>
          <w:szCs w:val="21"/>
          <w:highlight w:val="none"/>
        </w:rPr>
        <w:t xml:space="preserve">技术支持等以及合同中规定乙方应承担的</w:t>
      </w:r>
      <w:r>
        <w:rPr>
          <w:rFonts w:hint="eastAsia" w:ascii="宋体" w:hAnsi="宋体" w:eastAsia="宋体" w:cs="宋体"/>
          <w:color w:val="000000"/>
          <w:sz w:val="21"/>
          <w:szCs w:val="21"/>
          <w:highlight w:val="none"/>
          <w:lang w:val="en"/>
        </w:rPr>
        <w:t xml:space="preserve">其他</w:t>
      </w:r>
      <w:r>
        <w:rPr>
          <w:rFonts w:hint="eastAsia" w:ascii="宋体" w:hAnsi="宋体" w:eastAsia="宋体" w:cs="宋体"/>
          <w:color w:val="000000"/>
          <w:sz w:val="21"/>
          <w:szCs w:val="21"/>
          <w:highlight w:val="none"/>
        </w:rPr>
        <w:t xml:space="preserve">义务。</w:t>
      </w:r>
      <w:r>
        <w:rPr>
          <w:rFonts w:hint="eastAsia" w:ascii="宋体" w:hAnsi="宋体" w:eastAsia="宋体" w:cs="宋体"/>
          <w:color w:val="000000"/>
          <w:sz w:val="21"/>
          <w:szCs w:val="21"/>
          <w:highlight w:val="none"/>
          <w:lang w:eastAsia="zh-CN"/>
        </w:rPr>
      </w:r>
      <w:r/>
    </w:p>
    <w:p>
      <w:pPr>
        <w:pStyle w:val="1048"/>
        <w:ind w:firstLine="480"/>
        <w:jc w:val="left"/>
        <w:pageBreakBefore w:val="0"/>
        <w:spacing w:before="0"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）“分包”系指中标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成交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供应商按采购文件、投标（响应）文件的规定，根据分包意向协议，将中标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成交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项目中的部分履约内容，分给具有相应资质条件的供应商履行合同的行为。</w:t>
      </w:r>
      <w:r>
        <w:rPr>
          <w:rFonts w:hint="eastAsia" w:ascii="宋体" w:hAnsi="宋体" w:eastAsia="宋体" w:cs="宋体"/>
          <w:color w:val="000000"/>
          <w:sz w:val="21"/>
          <w:szCs w:val="21"/>
          <w:highlight w:val="none"/>
          <w:lang w:eastAsia="zh-CN"/>
        </w:rPr>
      </w:r>
      <w:r/>
    </w:p>
    <w:p>
      <w:pPr>
        <w:pStyle w:val="1048"/>
        <w:ind w:firstLine="480"/>
        <w:jc w:val="left"/>
        <w:pageBreakBefore w:val="0"/>
        <w:spacing w:before="0" w:line="360" w:lineRule="exact"/>
        <w:tabs>
          <w:tab w:val="left" w:pos="570" w:leader="none"/>
          <w:tab w:val="left" w:pos="9240" w:leader="none"/>
          <w:tab w:val="left" w:pos="95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）“联合体”系指</w:t>
      </w:r>
      <w:r>
        <w:rPr>
          <w:rFonts w:hint="eastAsia" w:ascii="宋体" w:hAnsi="宋体" w:eastAsia="宋体" w:cs="宋体"/>
          <w:color w:val="000000"/>
          <w:sz w:val="21"/>
          <w:szCs w:val="21"/>
          <w:highlight w:val="none"/>
          <w:lang w:eastAsia="zh-CN"/>
        </w:rPr>
        <w:t xml:space="preserve">由</w:t>
      </w:r>
      <w:r>
        <w:rPr>
          <w:rFonts w:hint="eastAsia" w:ascii="宋体" w:hAnsi="宋体" w:eastAsia="宋体" w:cs="宋体"/>
          <w:color w:val="000000"/>
          <w:sz w:val="21"/>
          <w:szCs w:val="21"/>
          <w:highlight w:val="none"/>
        </w:rPr>
        <w:t xml:space="preserve">两个以上的自然人、法人或者</w:t>
      </w:r>
      <w:r>
        <w:rPr>
          <w:rFonts w:hint="eastAsia" w:ascii="宋体" w:hAnsi="宋体" w:eastAsia="宋体" w:cs="宋体"/>
          <w:color w:val="000000"/>
          <w:sz w:val="21"/>
          <w:szCs w:val="21"/>
          <w:highlight w:val="none"/>
          <w:lang w:val="en-US" w:eastAsia="zh-CN"/>
        </w:rPr>
        <w:t xml:space="preserve">非法人</w:t>
      </w:r>
      <w:r>
        <w:rPr>
          <w:rFonts w:hint="eastAsia" w:ascii="宋体" w:hAnsi="宋体" w:eastAsia="宋体" w:cs="宋体"/>
          <w:color w:val="000000"/>
          <w:sz w:val="21"/>
          <w:szCs w:val="21"/>
          <w:highlight w:val="none"/>
        </w:rPr>
        <w:t xml:space="preserve">组织组成，</w:t>
      </w:r>
      <w:r>
        <w:rPr>
          <w:rFonts w:hint="eastAsia" w:ascii="宋体" w:hAnsi="宋体" w:eastAsia="宋体" w:cs="宋体"/>
          <w:color w:val="000000"/>
          <w:sz w:val="21"/>
          <w:szCs w:val="21"/>
          <w:highlight w:val="none"/>
          <w:lang w:eastAsia="zh-CN"/>
        </w:rPr>
        <w:t xml:space="preserve">以一个供应商的身份共同参加政府采购的主体。</w:t>
      </w:r>
      <w:r>
        <w:rPr>
          <w:rFonts w:hint="eastAsia" w:ascii="宋体" w:hAnsi="宋体" w:eastAsia="宋体" w:cs="宋体"/>
          <w:color w:val="000000"/>
          <w:sz w:val="21"/>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承担连带责任。联合体具体要求见【</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tabs>
          <w:tab w:val="left" w:pos="570" w:leader="none"/>
          <w:tab w:val="left" w:pos="9240" w:leader="none"/>
          <w:tab w:val="left" w:pos="95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）其他术语解释，见【</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numPr>
          <w:ilvl w:val="0"/>
          <w:numId w:val="0"/>
        </w:numPr>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2.</w:t>
      </w:r>
      <w:r>
        <w:rPr>
          <w:rFonts w:hint="eastAsia" w:ascii="宋体" w:hAnsi="宋体" w:eastAsia="宋体" w:cs="宋体"/>
          <w:b/>
          <w:color w:val="000000"/>
          <w:sz w:val="21"/>
          <w:szCs w:val="21"/>
          <w:highlight w:val="none"/>
        </w:rPr>
        <w:t xml:space="preserve">合同标的及金额</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b/>
          <w:bCs/>
          <w:i/>
          <w:iCs/>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.1 合同标的及金额应与中标（成交）结果一致。乙方为履行本合同而发生的所有费用均应包含在合同</w:t>
      </w:r>
      <w:r>
        <w:rPr>
          <w:rFonts w:hint="eastAsia" w:ascii="宋体" w:hAnsi="宋体" w:eastAsia="宋体" w:cs="宋体"/>
          <w:color w:val="000000"/>
          <w:sz w:val="21"/>
          <w:szCs w:val="21"/>
          <w:highlight w:val="none"/>
          <w:lang w:eastAsia="zh-CN"/>
        </w:rPr>
        <w:t xml:space="preserve">价款</w:t>
      </w:r>
      <w:r>
        <w:rPr>
          <w:rFonts w:hint="eastAsia" w:ascii="宋体" w:hAnsi="宋体" w:eastAsia="宋体" w:cs="宋体"/>
          <w:color w:val="000000"/>
          <w:sz w:val="21"/>
          <w:szCs w:val="21"/>
          <w:highlight w:val="none"/>
        </w:rPr>
        <w:t xml:space="preserve">中，甲方不再另行支付</w:t>
      </w:r>
      <w:r>
        <w:rPr>
          <w:rFonts w:hint="eastAsia" w:ascii="宋体" w:hAnsi="宋体" w:eastAsia="宋体" w:cs="宋体"/>
          <w:color w:val="000000"/>
          <w:sz w:val="21"/>
          <w:szCs w:val="21"/>
          <w:highlight w:val="none"/>
          <w:lang w:val="en"/>
        </w:rPr>
        <w:t xml:space="preserve">其他</w:t>
      </w:r>
      <w:r>
        <w:rPr>
          <w:rFonts w:hint="eastAsia" w:ascii="宋体" w:hAnsi="宋体" w:eastAsia="宋体" w:cs="宋体"/>
          <w:color w:val="000000"/>
          <w:sz w:val="21"/>
          <w:szCs w:val="21"/>
          <w:highlight w:val="none"/>
        </w:rPr>
        <w:t xml:space="preserve">任何费用。</w:t>
      </w:r>
      <w:r>
        <w:rPr>
          <w:rFonts w:hint="eastAsia" w:ascii="宋体" w:hAnsi="宋体" w:eastAsia="宋体" w:cs="宋体"/>
          <w:b/>
          <w:bCs/>
          <w:i/>
          <w:iCs/>
          <w:color w:val="000000"/>
          <w:sz w:val="21"/>
          <w:szCs w:val="21"/>
          <w:highlight w:val="none"/>
        </w:rPr>
      </w:r>
      <w:r/>
    </w:p>
    <w:p>
      <w:pPr>
        <w:pStyle w:val="1048"/>
        <w:jc w:val="left"/>
        <w:pageBreakBefore w:val="0"/>
        <w:spacing w:before="0" w:line="3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3</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履行合同的时间、地点和方式</w:t>
      </w:r>
      <w:r>
        <w:rPr>
          <w:rFonts w:hint="eastAsia" w:ascii="宋体" w:hAnsi="宋体" w:eastAsia="宋体" w:cs="宋体"/>
          <w:b/>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.1 乙方应当在约定的时间、地点</w:t>
      </w:r>
      <w:r>
        <w:rPr>
          <w:rFonts w:hint="eastAsia" w:ascii="宋体" w:hAnsi="宋体" w:eastAsia="宋体" w:cs="宋体"/>
          <w:color w:val="000000"/>
          <w:sz w:val="21"/>
          <w:szCs w:val="21"/>
          <w:highlight w:val="none"/>
          <w:lang w:eastAsia="zh-CN"/>
        </w:rPr>
        <w:t xml:space="preserve">，按照约定</w:t>
      </w:r>
      <w:r>
        <w:rPr>
          <w:rFonts w:hint="eastAsia" w:ascii="宋体" w:hAnsi="宋体" w:eastAsia="宋体" w:cs="宋体"/>
          <w:color w:val="000000"/>
          <w:sz w:val="21"/>
          <w:szCs w:val="21"/>
          <w:highlight w:val="none"/>
        </w:rPr>
        <w:t xml:space="preserve">方式履行合同。</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4</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甲方的权利和义务</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.1 签署合同后，甲方</w:t>
      </w:r>
      <w:r>
        <w:rPr>
          <w:rFonts w:hint="eastAsia" w:ascii="宋体" w:hAnsi="宋体" w:eastAsia="宋体" w:cs="宋体"/>
          <w:color w:val="000000"/>
          <w:sz w:val="21"/>
          <w:szCs w:val="21"/>
          <w:highlight w:val="none"/>
          <w:lang w:eastAsia="zh-CN"/>
        </w:rPr>
        <w:t xml:space="preserve">应</w:t>
      </w:r>
      <w:r>
        <w:rPr>
          <w:rFonts w:hint="eastAsia" w:ascii="宋体" w:hAnsi="宋体" w:eastAsia="宋体" w:cs="宋体"/>
          <w:color w:val="000000"/>
          <w:sz w:val="21"/>
          <w:szCs w:val="21"/>
          <w:highlight w:val="none"/>
        </w:rPr>
        <w:t xml:space="preserve">确定</w:t>
      </w:r>
      <w:r>
        <w:rPr>
          <w:rFonts w:hint="eastAsia" w:ascii="宋体" w:hAnsi="宋体" w:eastAsia="宋体" w:cs="宋体"/>
          <w:color w:val="000000"/>
          <w:sz w:val="21"/>
          <w:szCs w:val="21"/>
          <w:highlight w:val="none"/>
          <w:lang w:val="en-US" w:eastAsia="zh-CN"/>
        </w:rPr>
        <w:t xml:space="preserve">项目负责人（或项目联系人）</w:t>
      </w:r>
      <w:r>
        <w:rPr>
          <w:rFonts w:hint="eastAsia" w:ascii="宋体" w:hAnsi="宋体" w:eastAsia="宋体" w:cs="宋体"/>
          <w:color w:val="000000"/>
          <w:sz w:val="21"/>
          <w:szCs w:val="21"/>
          <w:highlight w:val="none"/>
        </w:rPr>
        <w:t xml:space="preserve">，负责与本合同有关的事务。甲方有权对乙方的履约行为进行检查，并及时确认乙方提交的事项。甲方应当配合乙方完成相关项目实施工作。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.3 甲方有权要求乙方对缺陷部分予以修复，并按合同约定享有货物保修及其他合同约定的权利。</w:t>
      </w:r>
      <w:r>
        <w:rPr>
          <w:rFonts w:hint="eastAsia" w:ascii="宋体" w:hAnsi="宋体" w:eastAsia="宋体" w:cs="宋体"/>
          <w:color w:val="000000"/>
          <w:sz w:val="21"/>
          <w:szCs w:val="21"/>
          <w:highlight w:val="none"/>
        </w:rPr>
      </w:r>
      <w:r/>
    </w:p>
    <w:p>
      <w:pPr>
        <w:pStyle w:val="1048"/>
        <w:ind w:firstLine="48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4.4 甲方应当按照合同约定及时对交付的货物进行验收，</w:t>
      </w:r>
      <w:r>
        <w:rPr>
          <w:rFonts w:hint="eastAsia" w:ascii="宋体" w:hAnsi="宋体" w:eastAsia="宋体" w:cs="宋体"/>
          <w:b w:val="0"/>
          <w:bCs w:val="0"/>
          <w:color w:val="000000"/>
          <w:sz w:val="21"/>
          <w:szCs w:val="21"/>
          <w:highlight w:val="none"/>
          <w:lang w:eastAsia="zh-CN"/>
        </w:rPr>
        <w:t xml:space="preserve">未</w:t>
      </w:r>
      <w:r>
        <w:rPr>
          <w:rFonts w:hint="eastAsia" w:ascii="宋体" w:hAnsi="宋体" w:eastAsia="宋体" w:cs="宋体"/>
          <w:color w:val="000000"/>
          <w:sz w:val="21"/>
          <w:szCs w:val="21"/>
          <w:highlight w:val="none"/>
          <w:lang w:val="en-US" w:eastAsia="zh-CN"/>
        </w:rPr>
        <w:t xml:space="preserve">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b w:val="0"/>
          <w:bCs w:val="0"/>
          <w:color w:val="000000"/>
          <w:sz w:val="21"/>
          <w:szCs w:val="21"/>
          <w:highlight w:val="none"/>
          <w:lang w:eastAsia="zh-CN"/>
        </w:rPr>
        <w:t xml:space="preserve">约定的期限内对乙方履约提出任何异议或者向乙方作出任何说明的，</w:t>
      </w:r>
      <w:r>
        <w:rPr>
          <w:rFonts w:hint="eastAsia" w:ascii="宋体" w:hAnsi="宋体" w:eastAsia="宋体" w:cs="宋体"/>
          <w:color w:val="000000"/>
          <w:sz w:val="21"/>
          <w:szCs w:val="21"/>
          <w:highlight w:val="none"/>
          <w:lang w:val="en-US" w:eastAsia="zh-CN"/>
        </w:rPr>
        <w:t xml:space="preserve">视为验收通过。</w:t>
      </w:r>
      <w:r>
        <w:rPr>
          <w:rFonts w:hint="eastAsia" w:ascii="宋体" w:hAnsi="宋体" w:eastAsia="宋体" w:cs="宋体"/>
          <w:color w:val="000000"/>
          <w:sz w:val="21"/>
          <w:szCs w:val="21"/>
          <w:highlight w:val="none"/>
          <w:lang w:val="en-US" w:eastAsia="zh-CN"/>
        </w:rPr>
      </w:r>
      <w:r/>
    </w:p>
    <w:p>
      <w:pPr>
        <w:pStyle w:val="1048"/>
        <w:ind w:firstLine="480"/>
        <w:jc w:val="left"/>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 甲方应当根据合同约定</w:t>
      </w:r>
      <w:r>
        <w:rPr>
          <w:rFonts w:hint="eastAsia" w:ascii="宋体" w:hAnsi="宋体" w:eastAsia="宋体" w:cs="宋体"/>
          <w:color w:val="000000"/>
          <w:sz w:val="21"/>
          <w:szCs w:val="21"/>
          <w:highlight w:val="none"/>
          <w:lang w:eastAsia="zh-CN"/>
        </w:rPr>
        <w:t xml:space="preserve">及</w:t>
      </w:r>
      <w:r>
        <w:rPr>
          <w:rFonts w:hint="eastAsia" w:ascii="宋体" w:hAnsi="宋体" w:eastAsia="宋体" w:cs="宋体"/>
          <w:color w:val="000000"/>
          <w:sz w:val="21"/>
          <w:szCs w:val="21"/>
          <w:highlight w:val="none"/>
        </w:rPr>
        <w:t xml:space="preserve">时向乙方支付</w:t>
      </w:r>
      <w:r>
        <w:rPr>
          <w:rFonts w:hint="eastAsia" w:ascii="宋体" w:hAnsi="宋体" w:eastAsia="宋体" w:cs="宋体"/>
          <w:color w:val="000000"/>
          <w:sz w:val="21"/>
          <w:szCs w:val="21"/>
          <w:highlight w:val="none"/>
          <w:lang w:eastAsia="zh-CN"/>
        </w:rPr>
        <w:t xml:space="preserve">合同价款，不得以内部人员变更、履行内部付款流程等为由，拒绝或迟延支付。</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 国家法律法规规定</w:t>
      </w:r>
      <w:r>
        <w:rPr>
          <w:rFonts w:hint="eastAsia" w:ascii="宋体" w:hAnsi="宋体" w:eastAsia="宋体" w:cs="宋体"/>
          <w:color w:val="000000"/>
          <w:sz w:val="21"/>
          <w:szCs w:val="21"/>
          <w:highlight w:val="none"/>
          <w:lang w:eastAsia="zh-CN"/>
        </w:rPr>
        <w:t xml:space="preserve">及</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lang w:eastAsia="zh-CN"/>
        </w:rPr>
        <w:t xml:space="preserve">约定应</w:t>
      </w:r>
      <w:r>
        <w:rPr>
          <w:rFonts w:hint="eastAsia" w:ascii="宋体" w:hAnsi="宋体" w:eastAsia="宋体" w:cs="宋体"/>
          <w:color w:val="000000"/>
          <w:sz w:val="21"/>
          <w:szCs w:val="21"/>
          <w:highlight w:val="none"/>
        </w:rPr>
        <w:t xml:space="preserve">由甲方承担的其他义务和责任。</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5</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乙方的权利和义务</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.1 签署合同后，乙方</w:t>
      </w:r>
      <w:r>
        <w:rPr>
          <w:rFonts w:hint="eastAsia" w:ascii="宋体" w:hAnsi="宋体" w:eastAsia="宋体" w:cs="宋体"/>
          <w:color w:val="000000"/>
          <w:sz w:val="21"/>
          <w:szCs w:val="21"/>
          <w:highlight w:val="none"/>
          <w:lang w:eastAsia="zh-CN"/>
        </w:rPr>
        <w:t xml:space="preserve">应</w:t>
      </w:r>
      <w:r>
        <w:rPr>
          <w:rFonts w:hint="eastAsia" w:ascii="宋体" w:hAnsi="宋体" w:eastAsia="宋体" w:cs="宋体"/>
          <w:color w:val="000000"/>
          <w:sz w:val="21"/>
          <w:szCs w:val="21"/>
          <w:highlight w:val="none"/>
        </w:rPr>
        <w:t xml:space="preserve">确定</w:t>
      </w:r>
      <w:r>
        <w:rPr>
          <w:rFonts w:hint="eastAsia" w:ascii="宋体" w:hAnsi="宋体" w:eastAsia="宋体" w:cs="宋体"/>
          <w:color w:val="000000"/>
          <w:sz w:val="21"/>
          <w:szCs w:val="21"/>
          <w:highlight w:val="none"/>
          <w:lang w:val="en-US" w:eastAsia="zh-CN"/>
        </w:rPr>
        <w:t xml:space="preserve">项目负责人（或项目联系人）</w:t>
      </w:r>
      <w:r>
        <w:rPr>
          <w:rFonts w:hint="eastAsia" w:ascii="宋体" w:hAnsi="宋体" w:eastAsia="宋体" w:cs="宋体"/>
          <w:color w:val="000000"/>
          <w:sz w:val="21"/>
          <w:szCs w:val="21"/>
          <w:highlight w:val="none"/>
        </w:rPr>
        <w:t xml:space="preserve">，负责与本合同有关的事务。</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.2 乙方应按照合同要求履约，充分合理安排，确保提供的货物</w:t>
      </w:r>
      <w:r>
        <w:rPr>
          <w:rFonts w:hint="eastAsia" w:ascii="宋体" w:hAnsi="宋体" w:eastAsia="宋体" w:cs="宋体"/>
          <w:color w:val="000000"/>
          <w:sz w:val="21"/>
          <w:szCs w:val="21"/>
          <w:highlight w:val="none"/>
          <w:lang w:eastAsia="zh-CN"/>
        </w:rPr>
        <w:t xml:space="preserve">及相关</w:t>
      </w:r>
      <w:r>
        <w:rPr>
          <w:rFonts w:hint="eastAsia" w:ascii="宋体" w:hAnsi="宋体" w:eastAsia="宋体" w:cs="宋体"/>
          <w:color w:val="000000"/>
          <w:sz w:val="21"/>
          <w:szCs w:val="21"/>
          <w:highlight w:val="none"/>
        </w:rPr>
        <w:t xml:space="preserve">服务符合合同</w:t>
      </w:r>
      <w:r>
        <w:rPr>
          <w:rFonts w:hint="eastAsia" w:ascii="宋体" w:hAnsi="宋体" w:eastAsia="宋体" w:cs="宋体"/>
          <w:color w:val="000000"/>
          <w:sz w:val="21"/>
          <w:szCs w:val="21"/>
          <w:highlight w:val="none"/>
          <w:lang w:eastAsia="zh-CN"/>
        </w:rPr>
        <w:t xml:space="preserve">有关</w:t>
      </w:r>
      <w:r>
        <w:rPr>
          <w:rFonts w:hint="eastAsia" w:ascii="宋体" w:hAnsi="宋体" w:eastAsia="宋体" w:cs="宋体"/>
          <w:color w:val="000000"/>
          <w:sz w:val="21"/>
          <w:szCs w:val="21"/>
          <w:highlight w:val="none"/>
        </w:rPr>
        <w:t xml:space="preserve">要求。接受项目行业管理部门及政府有关部门的指导，配合甲方的履约检查</w:t>
      </w:r>
      <w:r>
        <w:rPr>
          <w:rFonts w:hint="eastAsia" w:ascii="宋体" w:hAnsi="宋体" w:eastAsia="宋体" w:cs="宋体"/>
          <w:color w:val="000000"/>
          <w:sz w:val="21"/>
          <w:szCs w:val="21"/>
          <w:highlight w:val="none"/>
          <w:lang w:eastAsia="zh-CN"/>
        </w:rPr>
        <w:t xml:space="preserve">及验收</w:t>
      </w:r>
      <w:r>
        <w:rPr>
          <w:rFonts w:hint="eastAsia" w:ascii="宋体" w:hAnsi="宋体" w:eastAsia="宋体" w:cs="宋体"/>
          <w:color w:val="000000"/>
          <w:sz w:val="21"/>
          <w:szCs w:val="21"/>
          <w:highlight w:val="none"/>
        </w:rPr>
        <w:t xml:space="preserve">，并负责项目实施过程中的所有协调工作。</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.3乙方有权根据合同约定向甲方收取</w:t>
      </w:r>
      <w:r>
        <w:rPr>
          <w:rFonts w:hint="eastAsia" w:ascii="宋体" w:hAnsi="宋体" w:eastAsia="宋体" w:cs="宋体"/>
          <w:color w:val="000000"/>
          <w:sz w:val="21"/>
          <w:szCs w:val="21"/>
          <w:highlight w:val="none"/>
          <w:lang w:eastAsia="zh-CN"/>
        </w:rPr>
        <w:t xml:space="preserve">合同价款</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.4国家法律法规规定</w:t>
      </w:r>
      <w:r>
        <w:rPr>
          <w:rFonts w:hint="eastAsia" w:ascii="宋体" w:hAnsi="宋体" w:eastAsia="宋体" w:cs="宋体"/>
          <w:color w:val="000000"/>
          <w:sz w:val="21"/>
          <w:szCs w:val="21"/>
          <w:highlight w:val="none"/>
          <w:lang w:eastAsia="zh-CN"/>
        </w:rPr>
        <w:t xml:space="preserve">及</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lang w:eastAsia="zh-CN"/>
        </w:rPr>
        <w:t xml:space="preserve">约定应</w:t>
      </w:r>
      <w:r>
        <w:rPr>
          <w:rFonts w:hint="eastAsia" w:ascii="宋体" w:hAnsi="宋体" w:eastAsia="宋体" w:cs="宋体"/>
          <w:color w:val="000000"/>
          <w:sz w:val="21"/>
          <w:szCs w:val="21"/>
          <w:highlight w:val="none"/>
        </w:rPr>
        <w:t xml:space="preserve">由乙方承担的其他义务和责任。</w:t>
      </w:r>
      <w:r>
        <w:rPr>
          <w:rFonts w:hint="eastAsia" w:ascii="宋体" w:hAnsi="宋体" w:eastAsia="宋体" w:cs="宋体"/>
          <w:color w:val="000000"/>
          <w:sz w:val="21"/>
          <w:szCs w:val="21"/>
          <w:highlight w:val="none"/>
        </w:rPr>
      </w:r>
      <w:r/>
    </w:p>
    <w:p>
      <w:pPr>
        <w:pStyle w:val="1048"/>
        <w:numPr>
          <w:ilvl w:val="0"/>
          <w:numId w:val="0"/>
        </w:numPr>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6.</w:t>
      </w:r>
      <w:r>
        <w:rPr>
          <w:rFonts w:hint="eastAsia" w:ascii="宋体" w:hAnsi="宋体" w:eastAsia="宋体" w:cs="宋体"/>
          <w:b/>
          <w:bCs/>
          <w:color w:val="000000"/>
          <w:sz w:val="21"/>
          <w:szCs w:val="21"/>
          <w:highlight w:val="none"/>
        </w:rPr>
        <w:t xml:space="preserve">合同履</w:t>
      </w:r>
      <w:r>
        <w:rPr>
          <w:rFonts w:hint="eastAsia" w:ascii="宋体" w:hAnsi="宋体" w:eastAsia="宋体" w:cs="宋体"/>
          <w:b/>
          <w:bCs/>
          <w:color w:val="000000"/>
          <w:sz w:val="21"/>
          <w:szCs w:val="21"/>
          <w:highlight w:val="none"/>
          <w:lang w:val="en-US" w:eastAsia="zh-CN"/>
        </w:rPr>
        <w:t xml:space="preserve">行</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.1 甲乙双方应当按照</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约定顺序履行合同义务；如果没有先后顺序的，应当同时履行。</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7</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货物包装、运输</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保险</w:t>
      </w:r>
      <w:r>
        <w:rPr>
          <w:rFonts w:hint="eastAsia" w:ascii="宋体" w:hAnsi="宋体" w:eastAsia="宋体" w:cs="宋体"/>
          <w:b/>
          <w:bCs/>
          <w:color w:val="000000"/>
          <w:sz w:val="21"/>
          <w:szCs w:val="21"/>
          <w:highlight w:val="none"/>
          <w:lang w:eastAsia="zh-CN"/>
        </w:rPr>
        <w:t xml:space="preserve">和交付</w:t>
      </w:r>
      <w:r>
        <w:rPr>
          <w:rFonts w:hint="eastAsia" w:ascii="宋体" w:hAnsi="宋体" w:eastAsia="宋体" w:cs="宋体"/>
          <w:b/>
          <w:bCs/>
          <w:color w:val="000000"/>
          <w:sz w:val="21"/>
          <w:szCs w:val="21"/>
          <w:highlight w:val="none"/>
        </w:rPr>
        <w:t xml:space="preserve">要求</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.1 本合同</w:t>
      </w:r>
      <w:r>
        <w:rPr>
          <w:rFonts w:hint="eastAsia" w:ascii="宋体" w:hAnsi="宋体" w:eastAsia="宋体" w:cs="宋体"/>
          <w:bCs/>
          <w:color w:val="000000"/>
          <w:sz w:val="21"/>
          <w:szCs w:val="21"/>
          <w:highlight w:val="none"/>
        </w:rPr>
        <w:t xml:space="preserve">涉及商品包装</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快递包装的，</w:t>
      </w:r>
      <w:r>
        <w:rPr>
          <w:rFonts w:hint="eastAsia" w:ascii="宋体" w:hAnsi="宋体" w:eastAsia="宋体" w:cs="宋体"/>
          <w:color w:val="000000"/>
          <w:sz w:val="21"/>
          <w:szCs w:val="21"/>
          <w:highlight w:val="none"/>
        </w:rPr>
        <w:t xml:space="preserve">除</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Cs/>
          <w:color w:val="000000"/>
          <w:sz w:val="21"/>
          <w:szCs w:val="21"/>
          <w:highlight w:val="none"/>
        </w:rPr>
        <w:t xml:space="preserve">另有</w:t>
      </w:r>
      <w:r>
        <w:rPr>
          <w:rFonts w:hint="eastAsia" w:ascii="宋体" w:hAnsi="宋体" w:eastAsia="宋体" w:cs="宋体"/>
          <w:bCs/>
          <w:color w:val="000000"/>
          <w:sz w:val="21"/>
          <w:szCs w:val="21"/>
          <w:highlight w:val="none"/>
          <w:lang w:eastAsia="zh-CN"/>
        </w:rPr>
        <w:t xml:space="preserve">约</w:t>
      </w:r>
      <w:r>
        <w:rPr>
          <w:rFonts w:hint="eastAsia" w:ascii="宋体" w:hAnsi="宋体" w:eastAsia="宋体" w:cs="宋体"/>
          <w:bCs/>
          <w:color w:val="000000"/>
          <w:sz w:val="21"/>
          <w:szCs w:val="21"/>
          <w:highlight w:val="none"/>
        </w:rPr>
        <w:t xml:space="preserve">定</w:t>
      </w:r>
      <w:r>
        <w:rPr>
          <w:rFonts w:hint="eastAsia" w:ascii="宋体" w:hAnsi="宋体" w:eastAsia="宋体" w:cs="宋体"/>
          <w:bCs/>
          <w:color w:val="000000"/>
          <w:sz w:val="21"/>
          <w:szCs w:val="21"/>
          <w:highlight w:val="none"/>
          <w:lang w:eastAsia="zh-CN"/>
        </w:rPr>
        <w:t xml:space="preserve">外</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包装应适应远距离运输、防潮、防震、防锈和防野蛮装卸等要求，确保货物安全无损地运抵</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 w:val="0"/>
          <w:bCs/>
          <w:color w:val="000000"/>
          <w:sz w:val="21"/>
          <w:szCs w:val="21"/>
          <w:highlight w:val="none"/>
          <w:lang w:eastAsia="zh-CN"/>
        </w:rPr>
        <w:t xml:space="preserve">约定的</w:t>
      </w:r>
      <w:r>
        <w:rPr>
          <w:rFonts w:hint="eastAsia" w:ascii="宋体" w:hAnsi="宋体" w:eastAsia="宋体" w:cs="宋体"/>
          <w:color w:val="000000"/>
          <w:sz w:val="21"/>
          <w:szCs w:val="21"/>
          <w:highlight w:val="none"/>
        </w:rPr>
        <w:t xml:space="preserve">指定现场。</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.2 除</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Cs/>
          <w:color w:val="000000"/>
          <w:sz w:val="21"/>
          <w:szCs w:val="21"/>
          <w:highlight w:val="none"/>
        </w:rPr>
        <w:t xml:space="preserve">另有</w:t>
      </w:r>
      <w:r>
        <w:rPr>
          <w:rFonts w:hint="eastAsia" w:ascii="宋体" w:hAnsi="宋体" w:eastAsia="宋体" w:cs="宋体"/>
          <w:bCs/>
          <w:color w:val="000000"/>
          <w:sz w:val="21"/>
          <w:szCs w:val="21"/>
          <w:highlight w:val="none"/>
          <w:lang w:eastAsia="zh-CN"/>
        </w:rPr>
        <w:t xml:space="preserve">约</w:t>
      </w:r>
      <w:r>
        <w:rPr>
          <w:rFonts w:hint="eastAsia" w:ascii="宋体" w:hAnsi="宋体" w:eastAsia="宋体" w:cs="宋体"/>
          <w:bCs/>
          <w:color w:val="000000"/>
          <w:sz w:val="21"/>
          <w:szCs w:val="21"/>
          <w:highlight w:val="none"/>
        </w:rPr>
        <w:t xml:space="preserve">定</w:t>
      </w:r>
      <w:r>
        <w:rPr>
          <w:rFonts w:hint="eastAsia" w:ascii="宋体" w:hAnsi="宋体" w:eastAsia="宋体" w:cs="宋体"/>
          <w:bCs/>
          <w:color w:val="000000"/>
          <w:sz w:val="21"/>
          <w:szCs w:val="21"/>
          <w:highlight w:val="none"/>
          <w:lang w:eastAsia="zh-CN"/>
        </w:rPr>
        <w:t xml:space="preserve">外</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乙方负责办理将货物运抵本合同规定的交货地点</w:t>
      </w:r>
      <w:r>
        <w:rPr>
          <w:rFonts w:hint="eastAsia" w:ascii="宋体" w:hAnsi="宋体" w:eastAsia="宋体" w:cs="宋体"/>
          <w:color w:val="000000"/>
          <w:sz w:val="21"/>
          <w:szCs w:val="21"/>
          <w:highlight w:val="none"/>
          <w:lang w:eastAsia="zh-CN"/>
        </w:rPr>
        <w:t xml:space="preserve">，并装卸、交付至甲方</w:t>
      </w:r>
      <w:r>
        <w:rPr>
          <w:rFonts w:hint="eastAsia" w:ascii="宋体" w:hAnsi="宋体" w:eastAsia="宋体" w:cs="宋体"/>
          <w:color w:val="000000"/>
          <w:sz w:val="21"/>
          <w:szCs w:val="21"/>
          <w:highlight w:val="none"/>
        </w:rPr>
        <w:t xml:space="preserve">的一切运输事项，相关费用应</w:t>
      </w:r>
      <w:r>
        <w:rPr>
          <w:rFonts w:hint="eastAsia" w:ascii="宋体" w:hAnsi="宋体" w:eastAsia="宋体" w:cs="宋体"/>
          <w:color w:val="000000"/>
          <w:sz w:val="21"/>
          <w:szCs w:val="21"/>
          <w:highlight w:val="none"/>
          <w:lang w:eastAsia="zh-CN"/>
        </w:rPr>
        <w:t xml:space="preserve">包含</w:t>
      </w:r>
      <w:r>
        <w:rPr>
          <w:rFonts w:hint="eastAsia" w:ascii="宋体" w:hAnsi="宋体" w:eastAsia="宋体" w:cs="宋体"/>
          <w:color w:val="000000"/>
          <w:sz w:val="21"/>
          <w:szCs w:val="21"/>
          <w:highlight w:val="none"/>
        </w:rPr>
        <w:t xml:space="preserve">在合同</w:t>
      </w:r>
      <w:r>
        <w:rPr>
          <w:rFonts w:hint="eastAsia" w:ascii="宋体" w:hAnsi="宋体" w:eastAsia="宋体" w:cs="宋体"/>
          <w:color w:val="000000"/>
          <w:sz w:val="21"/>
          <w:szCs w:val="21"/>
          <w:highlight w:val="none"/>
          <w:lang w:eastAsia="zh-CN"/>
        </w:rPr>
        <w:t xml:space="preserve">价款</w:t>
      </w:r>
      <w:r>
        <w:rPr>
          <w:rFonts w:hint="eastAsia" w:ascii="宋体" w:hAnsi="宋体" w:eastAsia="宋体" w:cs="宋体"/>
          <w:color w:val="000000"/>
          <w:sz w:val="21"/>
          <w:szCs w:val="21"/>
          <w:highlight w:val="none"/>
        </w:rPr>
        <w:t xml:space="preserve">中。</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.3 货物保险要求按</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Cs/>
          <w:color w:val="000000"/>
          <w:sz w:val="21"/>
          <w:szCs w:val="21"/>
          <w:highlight w:val="none"/>
        </w:rPr>
        <w:t xml:space="preserve">规定执行</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.4 </w:t>
      </w:r>
      <w:r>
        <w:rPr>
          <w:rFonts w:hint="eastAsia" w:ascii="宋体" w:hAnsi="宋体" w:eastAsia="宋体" w:cs="宋体"/>
          <w:color w:val="000000"/>
          <w:sz w:val="21"/>
          <w:szCs w:val="21"/>
          <w:highlight w:val="none"/>
          <w:lang w:val="en-US" w:eastAsia="zh-CN"/>
        </w:rPr>
        <w:t xml:space="preserve">除采购活动</w:t>
      </w:r>
      <w:r>
        <w:rPr>
          <w:rFonts w:hint="eastAsia" w:ascii="宋体" w:hAnsi="宋体" w:eastAsia="宋体" w:cs="宋体"/>
          <w:color w:val="000000"/>
          <w:sz w:val="21"/>
          <w:szCs w:val="21"/>
          <w:highlight w:val="none"/>
        </w:rPr>
        <w:t xml:space="preserve">对商品包装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快递包装</w:t>
      </w:r>
      <w:r>
        <w:rPr>
          <w:rFonts w:hint="eastAsia" w:ascii="宋体" w:hAnsi="宋体" w:eastAsia="宋体" w:cs="宋体"/>
          <w:color w:val="000000"/>
          <w:sz w:val="21"/>
          <w:szCs w:val="21"/>
          <w:highlight w:val="none"/>
          <w:lang w:val="en-US" w:eastAsia="zh-CN"/>
        </w:rPr>
        <w:t xml:space="preserve">达成具体约定外</w:t>
      </w:r>
      <w:r>
        <w:rPr>
          <w:rFonts w:hint="eastAsia" w:ascii="宋体" w:hAnsi="宋体" w:eastAsia="宋体" w:cs="宋体"/>
          <w:color w:val="000000"/>
          <w:sz w:val="21"/>
          <w:szCs w:val="21"/>
          <w:highlight w:val="none"/>
        </w:rPr>
        <w:t xml:space="preserve">，乙方提供产品及相关快递服务</w:t>
      </w:r>
      <w:r>
        <w:rPr>
          <w:rFonts w:hint="eastAsia" w:ascii="宋体" w:hAnsi="宋体" w:eastAsia="宋体" w:cs="宋体"/>
          <w:color w:val="000000"/>
          <w:sz w:val="21"/>
          <w:szCs w:val="21"/>
          <w:highlight w:val="none"/>
          <w:lang w:val="en-US" w:eastAsia="zh-CN"/>
        </w:rPr>
        <w:t xml:space="preserve">涉及到</w:t>
      </w:r>
      <w:r>
        <w:rPr>
          <w:rFonts w:hint="eastAsia" w:ascii="宋体" w:hAnsi="宋体" w:eastAsia="宋体" w:cs="宋体"/>
          <w:color w:val="000000"/>
          <w:sz w:val="21"/>
          <w:szCs w:val="21"/>
          <w:highlight w:val="none"/>
        </w:rPr>
        <w:t xml:space="preserve">具体包装要求</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应</w:t>
      </w:r>
      <w:r>
        <w:rPr>
          <w:rFonts w:hint="eastAsia" w:ascii="宋体" w:hAnsi="宋体" w:eastAsia="宋体" w:cs="宋体"/>
          <w:color w:val="000000"/>
          <w:sz w:val="21"/>
          <w:szCs w:val="21"/>
          <w:highlight w:val="none"/>
          <w:lang w:val="en-US" w:eastAsia="zh-CN"/>
        </w:rPr>
        <w:t xml:space="preserve">不低于</w:t>
      </w:r>
      <w:r>
        <w:rPr>
          <w:rFonts w:hint="eastAsia" w:ascii="宋体" w:hAnsi="宋体" w:eastAsia="宋体" w:cs="宋体"/>
          <w:color w:val="000000"/>
          <w:sz w:val="21"/>
          <w:szCs w:val="21"/>
          <w:highlight w:val="none"/>
        </w:rPr>
        <w:t xml:space="preserve">《商品包装政府采购需求标准（试行）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快递包装政府采购需求标准（试行）》</w:t>
      </w:r>
      <w:r>
        <w:rPr>
          <w:rFonts w:hint="eastAsia" w:ascii="宋体" w:hAnsi="宋体" w:eastAsia="宋体" w:cs="宋体"/>
          <w:color w:val="000000"/>
          <w:sz w:val="21"/>
          <w:szCs w:val="21"/>
          <w:highlight w:val="none"/>
          <w:lang w:val="en-US" w:eastAsia="zh-CN"/>
        </w:rPr>
        <w:t xml:space="preserve">标准</w:t>
      </w:r>
      <w:r>
        <w:rPr>
          <w:rFonts w:hint="eastAsia" w:ascii="宋体" w:hAnsi="宋体" w:eastAsia="宋体" w:cs="宋体"/>
          <w:color w:val="000000"/>
          <w:sz w:val="21"/>
          <w:szCs w:val="21"/>
          <w:highlight w:val="none"/>
        </w:rPr>
        <w:t xml:space="preserve">，并作为履约验收的内容，必要时甲方可以要求乙方在履约验收环节出具检测报告。</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7.5 </w:t>
      </w:r>
      <w:r>
        <w:rPr>
          <w:rFonts w:hint="eastAsia" w:ascii="宋体" w:hAnsi="宋体" w:eastAsia="宋体" w:cs="宋体"/>
          <w:color w:val="000000"/>
          <w:sz w:val="21"/>
          <w:szCs w:val="21"/>
          <w:highlight w:val="none"/>
        </w:rPr>
        <w:t xml:space="preserve">乙方在运输到达之前</w:t>
      </w:r>
      <w:r>
        <w:rPr>
          <w:rFonts w:hint="eastAsia" w:ascii="宋体" w:hAnsi="宋体" w:eastAsia="宋体" w:cs="宋体"/>
          <w:color w:val="000000"/>
          <w:sz w:val="21"/>
          <w:szCs w:val="21"/>
          <w:highlight w:val="none"/>
          <w:lang w:eastAsia="zh-CN"/>
        </w:rPr>
        <w:t xml:space="preserve">应</w:t>
      </w:r>
      <w:r>
        <w:rPr>
          <w:rFonts w:hint="eastAsia" w:ascii="宋体" w:hAnsi="宋体" w:eastAsia="宋体" w:cs="宋体"/>
          <w:color w:val="000000"/>
          <w:sz w:val="21"/>
          <w:szCs w:val="21"/>
          <w:highlight w:val="none"/>
        </w:rPr>
        <w:t xml:space="preserve">提前通知</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，并提示货物运输装卸的注意事项</w:t>
      </w:r>
      <w:r>
        <w:rPr>
          <w:rFonts w:hint="eastAsia" w:ascii="宋体" w:hAnsi="宋体" w:eastAsia="宋体" w:cs="宋体"/>
          <w:color w:val="000000"/>
          <w:sz w:val="21"/>
          <w:szCs w:val="21"/>
          <w:highlight w:val="none"/>
          <w:lang w:eastAsia="zh-CN"/>
        </w:rPr>
        <w:t xml:space="preserve">，甲方配合乙方做好货物的接收工作。</w:t>
      </w:r>
      <w:r>
        <w:rPr>
          <w:rFonts w:hint="eastAsia" w:ascii="宋体" w:hAnsi="宋体" w:eastAsia="宋体" w:cs="宋体"/>
          <w:color w:val="000000"/>
          <w:sz w:val="21"/>
          <w:szCs w:val="21"/>
          <w:highlight w:val="none"/>
        </w:rPr>
      </w:r>
      <w:r/>
    </w:p>
    <w:p>
      <w:pPr>
        <w:pStyle w:val="1324"/>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7.6 </w:t>
      </w:r>
      <w:r>
        <w:rPr>
          <w:rFonts w:hint="eastAsia" w:ascii="宋体" w:hAnsi="宋体" w:eastAsia="宋体" w:cs="宋体"/>
          <w:color w:val="000000"/>
          <w:sz w:val="21"/>
          <w:szCs w:val="21"/>
          <w:highlight w:val="none"/>
        </w:rPr>
        <w:t xml:space="preserve">如因包装</w:t>
      </w:r>
      <w:r>
        <w:rPr>
          <w:rFonts w:hint="eastAsia" w:ascii="宋体" w:hAnsi="宋体" w:eastAsia="宋体" w:cs="宋体"/>
          <w:color w:val="000000"/>
          <w:sz w:val="21"/>
          <w:szCs w:val="21"/>
          <w:highlight w:val="none"/>
          <w:lang w:eastAsia="zh-CN"/>
        </w:rPr>
        <w:t xml:space="preserve">、运输</w:t>
      </w:r>
      <w:r>
        <w:rPr>
          <w:rFonts w:hint="eastAsia" w:ascii="宋体" w:hAnsi="宋体" w:eastAsia="宋体" w:cs="宋体"/>
          <w:color w:val="000000"/>
          <w:sz w:val="21"/>
          <w:szCs w:val="21"/>
          <w:highlight w:val="none"/>
        </w:rPr>
        <w:t xml:space="preserve">问题导致货物</w:t>
      </w:r>
      <w:r>
        <w:rPr>
          <w:rFonts w:hint="eastAsia" w:ascii="宋体" w:hAnsi="宋体" w:eastAsia="宋体" w:cs="宋体"/>
          <w:color w:val="000000"/>
          <w:sz w:val="21"/>
          <w:szCs w:val="21"/>
          <w:highlight w:val="none"/>
          <w:lang w:eastAsia="zh-CN"/>
        </w:rPr>
        <w:t xml:space="preserve">损毁、丢失</w:t>
      </w:r>
      <w:r>
        <w:rPr>
          <w:rFonts w:hint="eastAsia" w:ascii="宋体" w:hAnsi="宋体" w:eastAsia="宋体" w:cs="宋体"/>
          <w:color w:val="000000"/>
          <w:sz w:val="21"/>
          <w:szCs w:val="21"/>
          <w:highlight w:val="none"/>
        </w:rPr>
        <w:t xml:space="preserve">或者品质下降，</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有权要求降价、换货、拒收部分或整批货物，由此</w:t>
      </w:r>
      <w:r>
        <w:rPr>
          <w:rFonts w:hint="eastAsia" w:ascii="宋体" w:hAnsi="宋体" w:eastAsia="宋体" w:cs="宋体"/>
          <w:color w:val="000000"/>
          <w:sz w:val="21"/>
          <w:szCs w:val="21"/>
          <w:highlight w:val="none"/>
          <w:lang w:eastAsia="zh-CN"/>
        </w:rPr>
        <w:t xml:space="preserve">产生</w:t>
      </w:r>
      <w:r>
        <w:rPr>
          <w:rFonts w:hint="eastAsia" w:ascii="宋体" w:hAnsi="宋体" w:eastAsia="宋体" w:cs="宋体"/>
          <w:color w:val="000000"/>
          <w:sz w:val="21"/>
          <w:szCs w:val="21"/>
          <w:highlight w:val="none"/>
        </w:rPr>
        <w:t xml:space="preserve">的费用和损失，均由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lang w:val="en-US" w:eastAsia="zh-CN"/>
        </w:rPr>
      </w:r>
      <w:r/>
    </w:p>
    <w:p>
      <w:pPr>
        <w:pStyle w:val="1048"/>
        <w:jc w:val="left"/>
        <w:pageBreakBefore w:val="0"/>
        <w:spacing w:before="0" w:line="3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8</w:t>
      </w:r>
      <w:r>
        <w:rPr>
          <w:rFonts w:hint="eastAsia" w:ascii="宋体" w:hAnsi="宋体" w:eastAsia="宋体" w:cs="宋体"/>
          <w:b/>
          <w:color w:val="000000"/>
          <w:sz w:val="21"/>
          <w:szCs w:val="21"/>
          <w:highlight w:val="none"/>
          <w:lang w:val="en-US" w:eastAsia="zh-CN"/>
        </w:rPr>
        <w:t xml:space="preserve">.</w:t>
      </w:r>
      <w:r>
        <w:rPr>
          <w:rFonts w:hint="eastAsia" w:ascii="宋体" w:hAnsi="宋体" w:eastAsia="宋体" w:cs="宋体"/>
          <w:b/>
          <w:color w:val="000000"/>
          <w:sz w:val="21"/>
          <w:szCs w:val="21"/>
          <w:highlight w:val="none"/>
        </w:rPr>
        <w:t xml:space="preserve">质量标准和保证</w:t>
      </w:r>
      <w:r>
        <w:rPr>
          <w:rFonts w:hint="eastAsia" w:ascii="宋体" w:hAnsi="宋体" w:eastAsia="宋体" w:cs="宋体"/>
          <w:b/>
          <w:color w:val="000000"/>
          <w:sz w:val="21"/>
          <w:szCs w:val="21"/>
          <w:highlight w:val="none"/>
        </w:rPr>
      </w:r>
      <w:r/>
    </w:p>
    <w:p>
      <w:pPr>
        <w:pStyle w:val="1326"/>
        <w:ind w:firstLine="480"/>
        <w:jc w:val="left"/>
        <w:pageBreakBefore w:val="0"/>
        <w:spacing w:before="0" w:line="36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eastAsia="zh-CN"/>
        </w:rPr>
        <w:t xml:space="preserve">8</w:t>
      </w:r>
      <w:r>
        <w:rPr>
          <w:rFonts w:hint="eastAsia" w:ascii="宋体" w:hAnsi="宋体" w:eastAsia="宋体" w:cs="宋体"/>
          <w:color w:val="000000"/>
          <w:sz w:val="21"/>
          <w:szCs w:val="21"/>
          <w:highlight w:val="none"/>
        </w:rPr>
        <w:t xml:space="preserve">.1 质量标准</w:t>
      </w:r>
      <w:r>
        <w:rPr>
          <w:rFonts w:hint="eastAsia" w:ascii="宋体" w:hAnsi="宋体" w:eastAsia="宋体" w:cs="宋体"/>
          <w:b/>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（1）本合同下</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rPr>
        <w:t xml:space="preserve">的货物应符合</w:t>
      </w:r>
      <w:r>
        <w:rPr>
          <w:rFonts w:hint="eastAsia" w:ascii="宋体" w:hAnsi="宋体" w:eastAsia="宋体" w:cs="宋体"/>
          <w:color w:val="000000"/>
          <w:sz w:val="21"/>
          <w:szCs w:val="21"/>
          <w:highlight w:val="none"/>
          <w:lang w:eastAsia="zh-CN"/>
        </w:rPr>
        <w:t xml:space="preserve">合同约</w:t>
      </w:r>
      <w:r>
        <w:rPr>
          <w:rFonts w:hint="eastAsia" w:ascii="宋体" w:hAnsi="宋体" w:eastAsia="宋体" w:cs="宋体"/>
          <w:color w:val="000000"/>
          <w:sz w:val="21"/>
          <w:szCs w:val="21"/>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1326"/>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（2）采用中华人民共和国法定计量单位。</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（3）乙方所</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rPr>
        <w:t xml:space="preserve">的货物应符合国家有关安全、环保、卫生</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规定。</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（4）乙方应向甲方提交所</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000000"/>
          <w:sz w:val="21"/>
          <w:szCs w:val="21"/>
          <w:highlight w:val="none"/>
          <w:lang w:eastAsia="zh-CN"/>
        </w:rPr>
        <w:t xml:space="preserve">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上述</w:t>
      </w:r>
      <w:r>
        <w:rPr>
          <w:rFonts w:hint="eastAsia" w:ascii="宋体" w:hAnsi="宋体" w:eastAsia="宋体" w:cs="宋体"/>
          <w:color w:val="000000"/>
          <w:sz w:val="21"/>
          <w:szCs w:val="21"/>
          <w:highlight w:val="none"/>
        </w:rPr>
        <w:t xml:space="preserve">文件应包装好随货物一同发运。</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8</w:t>
      </w:r>
      <w:r>
        <w:rPr>
          <w:rFonts w:hint="eastAsia" w:ascii="宋体" w:hAnsi="宋体" w:eastAsia="宋体" w:cs="宋体"/>
          <w:color w:val="000000"/>
          <w:sz w:val="21"/>
          <w:szCs w:val="21"/>
          <w:highlight w:val="none"/>
        </w:rPr>
        <w:t xml:space="preserve">.2 保证</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（1）乙方应保证</w:t>
      </w:r>
      <w:r>
        <w:rPr>
          <w:rFonts w:hint="eastAsia" w:ascii="宋体" w:hAnsi="宋体" w:eastAsia="宋体" w:cs="宋体"/>
          <w:color w:val="000000"/>
          <w:sz w:val="21"/>
          <w:szCs w:val="21"/>
          <w:highlight w:val="none"/>
          <w:lang w:eastAsia="zh-CN"/>
        </w:rPr>
        <w:t xml:space="preserve">提供的货物</w:t>
      </w:r>
      <w:r>
        <w:rPr>
          <w:rFonts w:hint="eastAsia" w:ascii="宋体" w:hAnsi="宋体" w:eastAsia="宋体" w:cs="宋体"/>
          <w:color w:val="000000"/>
          <w:sz w:val="21"/>
          <w:szCs w:val="21"/>
          <w:highlight w:val="none"/>
        </w:rPr>
        <w:t xml:space="preserve">完全符合合同规定的质量、规格和性能要求。乙方应保证货物在正确安装、正常使用和保养条件下，在其使用寿命期内具</w:t>
      </w:r>
      <w:r>
        <w:rPr>
          <w:rFonts w:hint="eastAsia" w:ascii="宋体" w:hAnsi="宋体" w:eastAsia="宋体" w:cs="宋体"/>
          <w:color w:val="000000"/>
          <w:sz w:val="21"/>
          <w:szCs w:val="21"/>
          <w:highlight w:val="none"/>
          <w:lang w:eastAsia="zh-CN"/>
        </w:rPr>
        <w:t xml:space="preserve">备合同约定</w:t>
      </w:r>
      <w:r>
        <w:rPr>
          <w:rFonts w:hint="eastAsia" w:ascii="宋体" w:hAnsi="宋体" w:eastAsia="宋体" w:cs="宋体"/>
          <w:color w:val="000000"/>
          <w:sz w:val="21"/>
          <w:szCs w:val="21"/>
          <w:highlight w:val="none"/>
        </w:rPr>
        <w:t xml:space="preserve">的性能。</w:t>
      </w:r>
      <w:r>
        <w:rPr>
          <w:rFonts w:hint="eastAsia" w:ascii="宋体" w:hAnsi="宋体" w:eastAsia="宋体" w:cs="宋体"/>
          <w:color w:val="000000"/>
          <w:sz w:val="21"/>
          <w:szCs w:val="21"/>
          <w:highlight w:val="none"/>
          <w:lang w:eastAsia="zh-CN"/>
        </w:rPr>
        <w:t xml:space="preserve">存在</w:t>
      </w:r>
      <w:r>
        <w:rPr>
          <w:rFonts w:hint="eastAsia" w:ascii="宋体" w:hAnsi="宋体" w:eastAsia="宋体" w:cs="宋体"/>
          <w:color w:val="000000"/>
          <w:sz w:val="21"/>
          <w:szCs w:val="21"/>
          <w:highlight w:val="none"/>
        </w:rPr>
        <w:t xml:space="preserve">质量保证期的，货物最终交付验收</w:t>
      </w:r>
      <w:r>
        <w:rPr>
          <w:rFonts w:hint="eastAsia" w:ascii="宋体" w:hAnsi="宋体" w:eastAsia="宋体" w:cs="宋体"/>
          <w:color w:val="000000"/>
          <w:sz w:val="21"/>
          <w:szCs w:val="21"/>
          <w:highlight w:val="none"/>
          <w:lang w:eastAsia="zh-CN"/>
        </w:rPr>
        <w:t xml:space="preserve">合格</w:t>
      </w:r>
      <w:r>
        <w:rPr>
          <w:rFonts w:hint="eastAsia" w:ascii="宋体" w:hAnsi="宋体" w:eastAsia="宋体" w:cs="宋体"/>
          <w:color w:val="000000"/>
          <w:sz w:val="21"/>
          <w:szCs w:val="21"/>
          <w:highlight w:val="none"/>
        </w:rPr>
        <w:t xml:space="preserve">后</w:t>
      </w:r>
      <w:r>
        <w:rPr>
          <w:rFonts w:hint="eastAsia" w:ascii="宋体" w:hAnsi="宋体" w:eastAsia="宋体" w:cs="宋体"/>
          <w:color w:val="000000"/>
          <w:sz w:val="21"/>
          <w:szCs w:val="21"/>
          <w:highlight w:val="none"/>
          <w:lang w:eastAsia="zh-CN"/>
        </w:rPr>
        <w:t xml:space="preserve">在</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规定或乙方</w:t>
      </w:r>
      <w:r>
        <w:rPr>
          <w:rFonts w:hint="eastAsia" w:ascii="宋体" w:hAnsi="宋体" w:eastAsia="宋体" w:cs="宋体"/>
          <w:color w:val="000000"/>
          <w:sz w:val="21"/>
          <w:szCs w:val="21"/>
          <w:highlight w:val="none"/>
          <w:lang w:eastAsia="zh-CN"/>
        </w:rPr>
        <w:t xml:space="preserve">书面</w:t>
      </w:r>
      <w:r>
        <w:rPr>
          <w:rFonts w:hint="eastAsia" w:ascii="宋体" w:hAnsi="宋体" w:eastAsia="宋体" w:cs="宋体"/>
          <w:color w:val="000000"/>
          <w:sz w:val="21"/>
          <w:szCs w:val="21"/>
          <w:highlight w:val="none"/>
        </w:rPr>
        <w:t xml:space="preserve">承诺（两者以较长的为准）的质量保证期内，本保证保持有效。</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（2）在质量保证期内所发现的缺陷，甲方应尽快以书面形式通知乙方。</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（3）乙方收到通知后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应在</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规定的响应时间内以合理的速度免费维修或更换有缺陷的货物或部件。</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.1条规定以书面形式</w:t>
      </w:r>
      <w:r>
        <w:rPr>
          <w:rFonts w:hint="eastAsia" w:ascii="宋体" w:hAnsi="宋体" w:eastAsia="宋体" w:cs="宋体"/>
          <w:color w:val="000000"/>
          <w:sz w:val="21"/>
          <w:szCs w:val="21"/>
          <w:highlight w:val="none"/>
          <w:lang w:eastAsia="zh-CN"/>
        </w:rPr>
        <w:t xml:space="preserve">追究</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eastAsia="zh-CN"/>
        </w:rPr>
        <w:t xml:space="preserve">的违约责任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000000"/>
          <w:sz w:val="21"/>
          <w:szCs w:val="21"/>
          <w:highlight w:val="none"/>
          <w:lang w:eastAsia="zh-CN"/>
        </w:rPr>
        <w:t xml:space="preserve">约定</w:t>
      </w:r>
      <w:r>
        <w:rPr>
          <w:rFonts w:hint="eastAsia" w:ascii="宋体" w:hAnsi="宋体" w:eastAsia="宋体" w:cs="宋体"/>
          <w:color w:val="000000"/>
          <w:sz w:val="21"/>
          <w:szCs w:val="21"/>
          <w:highlight w:val="none"/>
        </w:rPr>
        <w:t xml:space="preserve">对乙方行使的其他权利不受影响。</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9</w:t>
      </w:r>
      <w:r>
        <w:rPr>
          <w:rFonts w:hint="eastAsia" w:ascii="宋体" w:hAnsi="宋体" w:eastAsia="宋体" w:cs="宋体"/>
          <w:b/>
          <w:bCs/>
          <w:color w:val="000000"/>
          <w:sz w:val="21"/>
          <w:szCs w:val="21"/>
          <w:highlight w:val="none"/>
        </w:rPr>
        <w:t xml:space="preserve">.权利瑕疵担保</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9</w:t>
      </w:r>
      <w:r>
        <w:rPr>
          <w:rFonts w:hint="eastAsia" w:ascii="宋体" w:hAnsi="宋体" w:eastAsia="宋体" w:cs="宋体"/>
          <w:color w:val="000000"/>
          <w:sz w:val="21"/>
          <w:szCs w:val="21"/>
          <w:highlight w:val="none"/>
        </w:rPr>
        <w:t xml:space="preserve">.1 乙方保证对其出售的货物享有合法的权利。</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9</w:t>
      </w:r>
      <w:r>
        <w:rPr>
          <w:rFonts w:hint="eastAsia" w:ascii="宋体" w:hAnsi="宋体" w:eastAsia="宋体" w:cs="宋体"/>
          <w:color w:val="000000"/>
          <w:sz w:val="21"/>
          <w:szCs w:val="21"/>
          <w:highlight w:val="none"/>
        </w:rPr>
        <w:t xml:space="preserve">.2 乙方保证在交付的货物上不存在抵押权等担保物权。</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9</w:t>
      </w:r>
      <w:r>
        <w:rPr>
          <w:rFonts w:hint="eastAsia" w:ascii="宋体" w:hAnsi="宋体" w:eastAsia="宋体" w:cs="宋体"/>
          <w:color w:val="000000"/>
          <w:sz w:val="21"/>
          <w:szCs w:val="21"/>
          <w:highlight w:val="none"/>
        </w:rPr>
        <w:t xml:space="preserve">.3 如甲方使用</w:t>
      </w:r>
      <w:r>
        <w:rPr>
          <w:rFonts w:hint="eastAsia" w:ascii="宋体" w:hAnsi="宋体" w:eastAsia="宋体" w:cs="宋体"/>
          <w:color w:val="000000"/>
          <w:sz w:val="21"/>
          <w:szCs w:val="21"/>
          <w:highlight w:val="none"/>
          <w:lang w:val="en-US" w:eastAsia="zh-CN"/>
        </w:rPr>
        <w:t xml:space="preserve">上述</w:t>
      </w:r>
      <w:r>
        <w:rPr>
          <w:rFonts w:hint="eastAsia" w:ascii="宋体" w:hAnsi="宋体" w:eastAsia="宋体" w:cs="宋体"/>
          <w:color w:val="000000"/>
          <w:sz w:val="21"/>
          <w:szCs w:val="21"/>
          <w:highlight w:val="none"/>
        </w:rPr>
        <w:t xml:space="preserve">货物构成</w:t>
      </w:r>
      <w:r>
        <w:rPr>
          <w:rFonts w:hint="eastAsia" w:ascii="宋体" w:hAnsi="宋体" w:eastAsia="宋体" w:cs="宋体"/>
          <w:color w:val="000000"/>
          <w:sz w:val="21"/>
          <w:szCs w:val="21"/>
          <w:highlight w:val="none"/>
          <w:lang w:val="en-US" w:eastAsia="zh-CN"/>
        </w:rPr>
        <w:t xml:space="preserve">对第三人</w:t>
      </w:r>
      <w:r>
        <w:rPr>
          <w:rFonts w:hint="eastAsia" w:ascii="宋体" w:hAnsi="宋体" w:eastAsia="宋体" w:cs="宋体"/>
          <w:color w:val="000000"/>
          <w:sz w:val="21"/>
          <w:szCs w:val="21"/>
          <w:highlight w:val="none"/>
        </w:rPr>
        <w:t xml:space="preserve">侵权的，则由乙方承担全部责任。</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0</w:t>
      </w:r>
      <w:r>
        <w:rPr>
          <w:rFonts w:hint="eastAsia" w:ascii="宋体" w:hAnsi="宋体" w:eastAsia="宋体" w:cs="宋体"/>
          <w:b/>
          <w:bCs/>
          <w:color w:val="000000"/>
          <w:sz w:val="21"/>
          <w:szCs w:val="21"/>
          <w:highlight w:val="none"/>
        </w:rPr>
        <w:t xml:space="preserve">.知识产权保护</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0</w:t>
      </w:r>
      <w:r>
        <w:rPr>
          <w:rFonts w:hint="eastAsia" w:ascii="宋体" w:hAnsi="宋体" w:eastAsia="宋体" w:cs="宋体"/>
          <w:color w:val="000000"/>
          <w:sz w:val="21"/>
          <w:szCs w:val="21"/>
          <w:highlight w:val="none"/>
        </w:rPr>
        <w:t xml:space="preserve">.1 乙方对其所销售的货物应当享有知识产权或经权利人合法授权，保证没有侵犯任何第三人的知识产权等权利。</w:t>
      </w:r>
      <w:bookmarkStart w:id="714" w:name="_Hlk163047038"/>
      <w:r>
        <w:rPr>
          <w:rFonts w:hint="eastAsia" w:ascii="宋体" w:hAnsi="宋体" w:eastAsia="宋体" w:cs="宋体"/>
          <w:color w:val="000000"/>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714"/>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rPr>
        <w:t xml:space="preserve">.保密义务</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11.1 </w:t>
      </w:r>
      <w:r>
        <w:rPr>
          <w:rFonts w:hint="eastAsia" w:ascii="宋体" w:hAnsi="宋体" w:eastAsia="宋体" w:cs="宋体"/>
          <w:color w:val="000000"/>
          <w:sz w:val="21"/>
          <w:szCs w:val="21"/>
          <w:highlight w:val="none"/>
        </w:rPr>
        <w:t xml:space="preserve">甲、乙双方</w:t>
      </w:r>
      <w:r>
        <w:rPr>
          <w:rFonts w:hint="eastAsia" w:ascii="宋体" w:hAnsi="宋体" w:eastAsia="宋体" w:cs="宋体"/>
          <w:color w:val="000000"/>
          <w:sz w:val="21"/>
          <w:szCs w:val="21"/>
          <w:highlight w:val="none"/>
          <w:lang w:eastAsia="zh-CN"/>
        </w:rPr>
        <w:t xml:space="preserve">对</w:t>
      </w:r>
      <w:r>
        <w:rPr>
          <w:rFonts w:hint="eastAsia" w:ascii="宋体" w:hAnsi="宋体" w:eastAsia="宋体" w:cs="宋体"/>
          <w:color w:val="000000"/>
          <w:sz w:val="21"/>
          <w:szCs w:val="21"/>
          <w:highlight w:val="none"/>
        </w:rPr>
        <w:t xml:space="preserve">采购和合同履行过程中所获悉的</w:t>
      </w:r>
      <w:r>
        <w:rPr>
          <w:rFonts w:hint="eastAsia" w:ascii="宋体" w:hAnsi="宋体" w:eastAsia="宋体" w:cs="宋体"/>
          <w:color w:val="000000"/>
          <w:sz w:val="21"/>
          <w:szCs w:val="21"/>
          <w:highlight w:val="none"/>
          <w:lang w:eastAsia="zh-CN"/>
        </w:rPr>
        <w:t xml:space="preserve">国家秘密、工作秘密、</w:t>
      </w:r>
      <w:r>
        <w:rPr>
          <w:rFonts w:hint="eastAsia" w:ascii="宋体" w:hAnsi="宋体" w:eastAsia="宋体" w:cs="宋体"/>
          <w:color w:val="000000"/>
          <w:sz w:val="21"/>
          <w:szCs w:val="21"/>
          <w:highlight w:val="none"/>
        </w:rPr>
        <w:t xml:space="preserve">商业秘密或者其他应当保密的信息，均有保密义务</w:t>
      </w:r>
      <w:r>
        <w:rPr>
          <w:rFonts w:hint="eastAsia" w:ascii="宋体" w:hAnsi="宋体" w:eastAsia="宋体" w:cs="宋体"/>
          <w:color w:val="000000"/>
          <w:sz w:val="21"/>
          <w:szCs w:val="21"/>
          <w:highlight w:val="none"/>
          <w:lang w:eastAsia="zh-CN"/>
        </w:rPr>
        <w:t xml:space="preserve">且不受合同有效期所限，直至该信息成为公开信息</w:t>
      </w:r>
      <w:r>
        <w:rPr>
          <w:rFonts w:hint="eastAsia" w:ascii="宋体" w:hAnsi="宋体" w:eastAsia="宋体" w:cs="宋体"/>
          <w:color w:val="000000"/>
          <w:sz w:val="21"/>
          <w:szCs w:val="21"/>
          <w:highlight w:val="none"/>
        </w:rPr>
        <w:t xml:space="preserve">。泄露、不正当地使用</w:t>
      </w:r>
      <w:r>
        <w:rPr>
          <w:rFonts w:hint="eastAsia" w:ascii="宋体" w:hAnsi="宋体" w:eastAsia="宋体" w:cs="宋体"/>
          <w:color w:val="000000"/>
          <w:sz w:val="21"/>
          <w:szCs w:val="21"/>
          <w:highlight w:val="none"/>
          <w:lang w:eastAsia="zh-CN"/>
        </w:rPr>
        <w:t xml:space="preserve">国家秘密、工作秘密、</w:t>
      </w:r>
      <w:r>
        <w:rPr>
          <w:rFonts w:hint="eastAsia" w:ascii="宋体" w:hAnsi="宋体" w:eastAsia="宋体" w:cs="宋体"/>
          <w:color w:val="000000"/>
          <w:sz w:val="21"/>
          <w:szCs w:val="21"/>
          <w:highlight w:val="none"/>
        </w:rPr>
        <w:t xml:space="preserve">商业秘密或者</w:t>
      </w:r>
      <w:r>
        <w:rPr>
          <w:rFonts w:hint="eastAsia" w:ascii="宋体" w:hAnsi="宋体" w:eastAsia="宋体" w:cs="宋体"/>
          <w:color w:val="000000"/>
          <w:sz w:val="21"/>
          <w:szCs w:val="21"/>
          <w:highlight w:val="none"/>
          <w:lang w:eastAsia="zh-CN"/>
        </w:rPr>
        <w:t xml:space="preserve">其他应当保密的</w:t>
      </w:r>
      <w:r>
        <w:rPr>
          <w:rFonts w:hint="eastAsia" w:ascii="宋体" w:hAnsi="宋体" w:eastAsia="宋体" w:cs="宋体"/>
          <w:color w:val="000000"/>
          <w:sz w:val="21"/>
          <w:szCs w:val="21"/>
          <w:highlight w:val="none"/>
        </w:rPr>
        <w:t xml:space="preserve">信息，应当承担</w:t>
      </w:r>
      <w:r>
        <w:rPr>
          <w:rFonts w:hint="eastAsia" w:ascii="宋体" w:hAnsi="宋体" w:eastAsia="宋体" w:cs="宋体"/>
          <w:color w:val="000000"/>
          <w:sz w:val="21"/>
          <w:szCs w:val="21"/>
          <w:highlight w:val="none"/>
          <w:lang w:eastAsia="zh-CN"/>
        </w:rPr>
        <w:t xml:space="preserve">相应</w:t>
      </w:r>
      <w:r>
        <w:rPr>
          <w:rFonts w:hint="eastAsia" w:ascii="宋体" w:hAnsi="宋体" w:eastAsia="宋体" w:cs="宋体"/>
          <w:color w:val="000000"/>
          <w:sz w:val="21"/>
          <w:szCs w:val="21"/>
          <w:highlight w:val="none"/>
        </w:rPr>
        <w:t xml:space="preserve">责任。其他应当保密的信息由双方在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中约定。</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2</w:t>
      </w:r>
      <w:r>
        <w:rPr>
          <w:rFonts w:hint="eastAsia" w:ascii="宋体" w:hAnsi="宋体" w:eastAsia="宋体" w:cs="宋体"/>
          <w:b/>
          <w:bCs/>
          <w:color w:val="000000"/>
          <w:sz w:val="21"/>
          <w:szCs w:val="21"/>
          <w:highlight w:val="none"/>
        </w:rPr>
        <w:t xml:space="preserve">.合同价款支付</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lang w:eastAsia="zh-CN"/>
        </w:rPr>
        <w:t xml:space="preserve">合同价款支付</w:t>
      </w:r>
      <w:r>
        <w:rPr>
          <w:rFonts w:hint="eastAsia" w:ascii="宋体" w:hAnsi="宋体" w:eastAsia="宋体" w:cs="宋体"/>
          <w:color w:val="000000"/>
          <w:sz w:val="21"/>
          <w:szCs w:val="21"/>
          <w:highlight w:val="none"/>
        </w:rPr>
        <w:t xml:space="preserve">按照国库集中支付</w:t>
      </w:r>
      <w:r>
        <w:rPr>
          <w:rFonts w:hint="eastAsia" w:ascii="宋体" w:hAnsi="宋体" w:eastAsia="宋体" w:cs="宋体"/>
          <w:color w:val="000000"/>
          <w:sz w:val="21"/>
          <w:szCs w:val="21"/>
          <w:highlight w:val="none"/>
          <w:lang w:eastAsia="zh-CN"/>
        </w:rPr>
        <w:t xml:space="preserve">制度及财政管理相关</w:t>
      </w:r>
      <w:r>
        <w:rPr>
          <w:rFonts w:hint="eastAsia" w:ascii="宋体" w:hAnsi="宋体" w:eastAsia="宋体" w:cs="宋体"/>
          <w:color w:val="000000"/>
          <w:sz w:val="21"/>
          <w:szCs w:val="21"/>
          <w:highlight w:val="none"/>
        </w:rPr>
        <w:t xml:space="preserve">规定执行。</w:t>
      </w:r>
      <w:r>
        <w:rPr>
          <w:rFonts w:hint="eastAsia" w:ascii="宋体" w:hAnsi="宋体" w:eastAsia="宋体" w:cs="宋体"/>
          <w:color w:val="000000"/>
          <w:sz w:val="21"/>
          <w:szCs w:val="21"/>
          <w:highlight w:val="none"/>
          <w:lang w:eastAsia="zh-CN"/>
        </w:rPr>
      </w:r>
      <w:r/>
    </w:p>
    <w:p>
      <w:pPr>
        <w:pStyle w:val="1325"/>
        <w:ind w:firstLine="480"/>
        <w:jc w:val="left"/>
        <w:pageBreakBefore w:val="0"/>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12.2 </w:t>
      </w:r>
      <w:r>
        <w:rPr>
          <w:rFonts w:hint="eastAsia" w:ascii="宋体" w:hAnsi="宋体" w:eastAsia="宋体" w:cs="宋体"/>
          <w:b w:val="0"/>
          <w:bCs w:val="0"/>
          <w:color w:val="000000"/>
          <w:sz w:val="21"/>
          <w:szCs w:val="21"/>
          <w:highlight w:val="none"/>
        </w:rPr>
        <w:t xml:space="preserve">对于满足合同约定支付条件的，</w:t>
      </w:r>
      <w:r>
        <w:rPr>
          <w:rFonts w:hint="eastAsia" w:ascii="宋体" w:hAnsi="宋体" w:eastAsia="宋体" w:cs="宋体"/>
          <w:b w:val="0"/>
          <w:bCs w:val="0"/>
          <w:color w:val="000000"/>
          <w:sz w:val="21"/>
          <w:szCs w:val="21"/>
          <w:highlight w:val="none"/>
          <w:lang w:val="en-US" w:eastAsia="zh-CN"/>
        </w:rPr>
        <w:t xml:space="preserve">甲方</w:t>
      </w:r>
      <w:r>
        <w:rPr>
          <w:rFonts w:hint="eastAsia" w:ascii="宋体" w:hAnsi="宋体" w:eastAsia="宋体" w:cs="宋体"/>
          <w:b w:val="0"/>
          <w:bCs w:val="0"/>
          <w:i w:val="0"/>
          <w:iCs w:val="0"/>
          <w:caps w:val="0"/>
          <w:color w:val="000000"/>
          <w:spacing w:val="0"/>
          <w:sz w:val="21"/>
          <w:szCs w:val="21"/>
          <w:highlight w:val="none"/>
          <w:shd w:val="clear" w:color="auto" w:fill="auto"/>
          <w:vertAlign w:val="baseline"/>
        </w:rPr>
        <w:t xml:space="preserve">原则上应当自收到发票后10个工作日内</w:t>
      </w:r>
      <w:r>
        <w:rPr>
          <w:rFonts w:hint="eastAsia" w:ascii="宋体" w:hAnsi="宋体" w:eastAsia="宋体" w:cs="宋体"/>
          <w:b w:val="0"/>
          <w:bCs w:val="0"/>
          <w:color w:val="000000"/>
          <w:sz w:val="21"/>
          <w:szCs w:val="21"/>
          <w:highlight w:val="none"/>
        </w:rPr>
        <w:t xml:space="preserve">将资金支付到合同约定的</w:t>
      </w:r>
      <w:r>
        <w:rPr>
          <w:rFonts w:hint="eastAsia" w:ascii="宋体" w:hAnsi="宋体" w:eastAsia="宋体" w:cs="宋体"/>
          <w:b w:val="0"/>
          <w:bCs w:val="0"/>
          <w:color w:val="000000"/>
          <w:sz w:val="21"/>
          <w:szCs w:val="21"/>
          <w:highlight w:val="none"/>
          <w:lang w:eastAsia="zh-CN"/>
        </w:rPr>
        <w:t xml:space="preserve">乙方</w:t>
      </w:r>
      <w:r>
        <w:rPr>
          <w:rFonts w:hint="eastAsia" w:ascii="宋体" w:hAnsi="宋体" w:eastAsia="宋体" w:cs="宋体"/>
          <w:b w:val="0"/>
          <w:bCs w:val="0"/>
          <w:color w:val="000000"/>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宋体"/>
          <w:b w:val="0"/>
          <w:bCs w:val="0"/>
          <w:color w:val="000000"/>
          <w:sz w:val="21"/>
          <w:szCs w:val="21"/>
          <w:highlight w:val="none"/>
          <w:lang w:val="en-US" w:eastAsia="zh-CN"/>
        </w:rPr>
        <w:t xml:space="preserve">乙方</w:t>
      </w:r>
      <w:r>
        <w:rPr>
          <w:rFonts w:hint="eastAsia" w:ascii="宋体" w:hAnsi="宋体" w:eastAsia="宋体" w:cs="宋体"/>
          <w:b w:val="0"/>
          <w:bCs w:val="0"/>
          <w:color w:val="000000"/>
          <w:sz w:val="21"/>
          <w:szCs w:val="21"/>
          <w:highlight w:val="none"/>
        </w:rPr>
        <w:t xml:space="preserve">付款的条件。具体合同价款支付时间在【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b w:val="0"/>
          <w:bCs w:val="0"/>
          <w:color w:val="000000"/>
          <w:sz w:val="21"/>
          <w:szCs w:val="21"/>
          <w:highlight w:val="none"/>
        </w:rPr>
        <w:t xml:space="preserve">】中</w:t>
      </w:r>
      <w:r>
        <w:rPr>
          <w:rFonts w:hint="eastAsia" w:ascii="宋体" w:hAnsi="宋体" w:eastAsia="宋体" w:cs="宋体"/>
          <w:b w:val="0"/>
          <w:bCs w:val="0"/>
          <w:color w:val="000000"/>
          <w:sz w:val="21"/>
          <w:szCs w:val="21"/>
          <w:highlight w:val="none"/>
          <w:lang w:eastAsia="zh-CN"/>
        </w:rPr>
        <w:t xml:space="preserve">约</w:t>
      </w:r>
      <w:r>
        <w:rPr>
          <w:rFonts w:hint="eastAsia" w:ascii="宋体" w:hAnsi="宋体" w:eastAsia="宋体" w:cs="宋体"/>
          <w:b w:val="0"/>
          <w:bCs w:val="0"/>
          <w:color w:val="000000"/>
          <w:sz w:val="21"/>
          <w:szCs w:val="21"/>
          <w:highlight w:val="none"/>
        </w:rPr>
        <w:t xml:space="preserve">定。</w:t>
      </w:r>
      <w:r>
        <w:rPr>
          <w:rFonts w:hint="eastAsia" w:ascii="宋体" w:hAnsi="宋体" w:eastAsia="宋体" w:cs="宋体"/>
          <w:color w:val="000000"/>
          <w:sz w:val="21"/>
          <w:szCs w:val="21"/>
          <w:highlight w:val="none"/>
          <w:lang w:eastAsia="zh-CN"/>
        </w:rPr>
      </w:r>
      <w:r/>
    </w:p>
    <w:p>
      <w:pPr>
        <w:pStyle w:val="1048"/>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3</w:t>
      </w:r>
      <w:r>
        <w:rPr>
          <w:rFonts w:hint="eastAsia" w:ascii="宋体" w:hAnsi="宋体" w:eastAsia="宋体" w:cs="宋体"/>
          <w:b/>
          <w:bCs/>
          <w:color w:val="000000"/>
          <w:sz w:val="21"/>
          <w:szCs w:val="21"/>
          <w:highlight w:val="none"/>
        </w:rPr>
        <w:t xml:space="preserve">.履约保证金</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.1 乙方应当以支票、汇票、本票或者金融机构、担保机构出具的保函等非现金形式提交。</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.2 如果乙方</w:t>
      </w:r>
      <w:r>
        <w:rPr>
          <w:rFonts w:hint="eastAsia" w:ascii="宋体" w:hAnsi="宋体" w:eastAsia="宋体" w:cs="宋体"/>
          <w:color w:val="000000"/>
          <w:sz w:val="21"/>
          <w:szCs w:val="21"/>
          <w:highlight w:val="none"/>
          <w:lang w:eastAsia="zh-CN"/>
        </w:rPr>
        <w:t xml:space="preserve">出现</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b w:val="0"/>
          <w:bCs w:val="0"/>
          <w:color w:val="000000"/>
          <w:sz w:val="21"/>
          <w:szCs w:val="21"/>
          <w:highlight w:val="none"/>
          <w:lang w:eastAsia="zh-CN"/>
        </w:rPr>
        <w:t xml:space="preserve">约定情形的</w:t>
      </w:r>
      <w:r>
        <w:rPr>
          <w:rFonts w:hint="eastAsia" w:ascii="宋体" w:hAnsi="宋体" w:eastAsia="宋体" w:cs="宋体"/>
          <w:color w:val="000000"/>
          <w:sz w:val="21"/>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000000"/>
          <w:sz w:val="21"/>
          <w:szCs w:val="21"/>
          <w:highlight w:val="none"/>
          <w:lang w:eastAsia="zh-CN"/>
        </w:rPr>
        <w:t xml:space="preserve">且</w:t>
      </w:r>
      <w:r>
        <w:rPr>
          <w:rFonts w:hint="eastAsia" w:ascii="宋体" w:hAnsi="宋体" w:eastAsia="宋体" w:cs="宋体"/>
          <w:color w:val="000000"/>
          <w:sz w:val="21"/>
          <w:szCs w:val="21"/>
          <w:highlight w:val="none"/>
        </w:rPr>
        <w:t xml:space="preserve">不影响甲方要求乙方承担合同约定的超过履约保证金的违约责任的权利。</w:t>
      </w:r>
      <w:r>
        <w:rPr>
          <w:rFonts w:hint="eastAsia" w:ascii="宋体" w:hAnsi="宋体" w:eastAsia="宋体" w:cs="宋体"/>
          <w:color w:val="000000"/>
          <w:sz w:val="21"/>
          <w:szCs w:val="21"/>
          <w:highlight w:val="none"/>
        </w:rPr>
      </w:r>
      <w:r/>
    </w:p>
    <w:p>
      <w:pPr>
        <w:pStyle w:val="1048"/>
        <w:ind w:firstLine="42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.3 甲方在项目通过验收后按照</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规定的时间内将履约保证金退还乙方；逾期退还的，乙方可要求甲方支付违约金，违约金按照</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规定支付。</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4</w:t>
      </w:r>
      <w:r>
        <w:rPr>
          <w:rFonts w:hint="eastAsia" w:ascii="宋体" w:hAnsi="宋体" w:eastAsia="宋体" w:cs="宋体"/>
          <w:b/>
          <w:bCs/>
          <w:color w:val="000000"/>
          <w:sz w:val="21"/>
          <w:szCs w:val="21"/>
          <w:highlight w:val="none"/>
        </w:rPr>
        <w:t xml:space="preserve">.</w:t>
      </w:r>
      <w:r>
        <w:rPr>
          <w:rFonts w:hint="eastAsia" w:ascii="宋体" w:hAnsi="宋体" w:eastAsia="宋体" w:cs="宋体"/>
          <w:b/>
          <w:color w:val="000000"/>
          <w:sz w:val="21"/>
          <w:szCs w:val="21"/>
          <w:highlight w:val="none"/>
        </w:rPr>
        <w:t xml:space="preserve">售后服务</w:t>
      </w:r>
      <w:r>
        <w:rPr>
          <w:rFonts w:hint="eastAsia" w:ascii="宋体" w:hAnsi="宋体" w:eastAsia="宋体" w:cs="宋体"/>
          <w:b/>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.1 除项目不涉及或采购活动中明确约定无须承担外，乙方还应提供下列服务：</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（1）货物的现场移动、安装、调试、启动监督及技术支持；</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（2）提供货物组装和维修所需的专用工具和辅助材料；</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lang w:eastAsia="zh-CN"/>
        </w:rPr>
        <w:t xml:space="preserve">约定</w:t>
      </w:r>
      <w:r>
        <w:rPr>
          <w:rFonts w:hint="eastAsia" w:ascii="宋体" w:hAnsi="宋体" w:eastAsia="宋体" w:cs="宋体"/>
          <w:color w:val="000000"/>
          <w:sz w:val="21"/>
          <w:szCs w:val="21"/>
          <w:highlight w:val="none"/>
        </w:rPr>
        <w:t xml:space="preserve">的期限内对所有的货物实施运行监督、维修，但前提条件是该服务并不能免除乙方在质量保证期内所承担的义务；</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（4）在制造商</w:t>
      </w:r>
      <w:r>
        <w:rPr>
          <w:rFonts w:hint="eastAsia" w:ascii="宋体" w:hAnsi="宋体" w:eastAsia="宋体" w:cs="宋体"/>
          <w:color w:val="000000"/>
          <w:sz w:val="21"/>
          <w:szCs w:val="21"/>
          <w:highlight w:val="none"/>
          <w:lang w:eastAsia="zh-CN"/>
        </w:rPr>
        <w:t xml:space="preserve">所在地</w:t>
      </w:r>
      <w:r>
        <w:rPr>
          <w:rFonts w:hint="eastAsia" w:ascii="宋体" w:hAnsi="宋体" w:eastAsia="宋体" w:cs="宋体"/>
          <w:color w:val="000000"/>
          <w:sz w:val="21"/>
          <w:szCs w:val="21"/>
          <w:highlight w:val="none"/>
        </w:rPr>
        <w:t xml:space="preserve">或</w:t>
      </w:r>
      <w:r>
        <w:rPr>
          <w:rFonts w:hint="eastAsia" w:ascii="宋体" w:hAnsi="宋体" w:eastAsia="宋体" w:cs="宋体"/>
          <w:color w:val="000000"/>
          <w:sz w:val="21"/>
          <w:szCs w:val="21"/>
          <w:highlight w:val="none"/>
          <w:lang w:eastAsia="zh-CN"/>
        </w:rPr>
        <w:t xml:space="preserve">指定</w:t>
      </w:r>
      <w:r>
        <w:rPr>
          <w:rFonts w:hint="eastAsia" w:ascii="宋体" w:hAnsi="宋体" w:eastAsia="宋体" w:cs="宋体"/>
          <w:color w:val="000000"/>
          <w:sz w:val="21"/>
          <w:szCs w:val="21"/>
          <w:highlight w:val="none"/>
        </w:rPr>
        <w:t xml:space="preserve">现场就货物的安装、启动、运营、维护</w:t>
      </w:r>
      <w:r>
        <w:rPr>
          <w:rFonts w:hint="eastAsia" w:ascii="宋体" w:hAnsi="宋体" w:eastAsia="宋体" w:cs="宋体"/>
          <w:color w:val="000000"/>
          <w:sz w:val="21"/>
          <w:szCs w:val="21"/>
          <w:highlight w:val="none"/>
          <w:lang w:eastAsia="zh-CN"/>
        </w:rPr>
        <w:t xml:space="preserve">、废弃处置等</w:t>
      </w:r>
      <w:r>
        <w:rPr>
          <w:rFonts w:hint="eastAsia" w:ascii="宋体" w:hAnsi="宋体" w:eastAsia="宋体" w:cs="宋体"/>
          <w:color w:val="000000"/>
          <w:sz w:val="21"/>
          <w:szCs w:val="21"/>
          <w:highlight w:val="none"/>
        </w:rPr>
        <w:t xml:space="preserve">对甲方操作人员进行培训</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1324"/>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（5）依照法律、行政法规的规定或者按照</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约定，货物在有效使用年限届满后应予回收的，乙方负有自行或者委托第三人对货物予以回收的义务；</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规定由乙方提供的其他服务。</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.2 乙方提供的</w:t>
      </w:r>
      <w:r>
        <w:rPr>
          <w:rFonts w:hint="eastAsia" w:ascii="宋体" w:hAnsi="宋体" w:eastAsia="宋体" w:cs="宋体"/>
          <w:color w:val="000000"/>
          <w:sz w:val="21"/>
          <w:szCs w:val="21"/>
          <w:highlight w:val="none"/>
          <w:lang w:eastAsia="zh-CN"/>
        </w:rPr>
        <w:t xml:space="preserve">售后</w:t>
      </w:r>
      <w:r>
        <w:rPr>
          <w:rFonts w:hint="eastAsia" w:ascii="宋体" w:hAnsi="宋体" w:eastAsia="宋体" w:cs="宋体"/>
          <w:color w:val="000000"/>
          <w:sz w:val="21"/>
          <w:szCs w:val="21"/>
          <w:highlight w:val="none"/>
        </w:rPr>
        <w:t xml:space="preserve">服务的费用</w:t>
      </w:r>
      <w:r>
        <w:rPr>
          <w:rFonts w:hint="eastAsia" w:ascii="宋体" w:hAnsi="宋体" w:eastAsia="宋体" w:cs="宋体"/>
          <w:color w:val="000000"/>
          <w:sz w:val="21"/>
          <w:szCs w:val="21"/>
          <w:highlight w:val="none"/>
          <w:lang w:val="en-US" w:eastAsia="zh-CN"/>
        </w:rPr>
        <w:t xml:space="preserve">已</w:t>
      </w:r>
      <w:r>
        <w:rPr>
          <w:rFonts w:hint="eastAsia" w:ascii="宋体" w:hAnsi="宋体" w:eastAsia="宋体" w:cs="宋体"/>
          <w:color w:val="000000"/>
          <w:sz w:val="21"/>
          <w:szCs w:val="21"/>
          <w:highlight w:val="none"/>
        </w:rPr>
        <w:t xml:space="preserve">包含在合同价款中，甲方不再另行支付。</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eastAsia="zh-CN"/>
        </w:rPr>
        <w:t xml:space="preserve">5</w:t>
      </w:r>
      <w:r>
        <w:rPr>
          <w:rFonts w:hint="eastAsia" w:ascii="宋体" w:hAnsi="宋体" w:eastAsia="宋体" w:cs="宋体"/>
          <w:b/>
          <w:bCs/>
          <w:color w:val="000000"/>
          <w:sz w:val="21"/>
          <w:szCs w:val="21"/>
          <w:highlight w:val="none"/>
        </w:rPr>
        <w:t xml:space="preserve">.违约责任</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5</w:t>
      </w:r>
      <w:r>
        <w:rPr>
          <w:rFonts w:hint="eastAsia" w:ascii="宋体" w:hAnsi="宋体" w:eastAsia="宋体" w:cs="宋体"/>
          <w:bCs/>
          <w:color w:val="000000"/>
          <w:sz w:val="21"/>
          <w:szCs w:val="21"/>
          <w:highlight w:val="none"/>
        </w:rPr>
        <w:t xml:space="preserve">.1质量瑕疵的</w:t>
      </w:r>
      <w:r>
        <w:rPr>
          <w:rFonts w:hint="eastAsia" w:ascii="宋体" w:hAnsi="宋体" w:eastAsia="宋体" w:cs="宋体"/>
          <w:bCs/>
          <w:color w:val="000000"/>
          <w:sz w:val="21"/>
          <w:szCs w:val="21"/>
          <w:highlight w:val="none"/>
          <w:lang w:eastAsia="zh-CN"/>
        </w:rPr>
        <w:t xml:space="preserve">违约责任</w:t>
      </w:r>
      <w:r>
        <w:rPr>
          <w:rFonts w:hint="eastAsia" w:ascii="宋体" w:hAnsi="宋体" w:eastAsia="宋体" w:cs="宋体"/>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color w:val="000000"/>
          <w:sz w:val="21"/>
          <w:szCs w:val="21"/>
          <w:highlight w:val="none"/>
        </w:rPr>
        <w:t xml:space="preserve">的产品不符合</w:t>
      </w:r>
      <w:r>
        <w:rPr>
          <w:rFonts w:hint="eastAsia" w:ascii="宋体" w:hAnsi="宋体" w:eastAsia="宋体" w:cs="宋体"/>
          <w:color w:val="000000"/>
          <w:sz w:val="21"/>
          <w:szCs w:val="21"/>
          <w:highlight w:val="none"/>
          <w:lang w:eastAsia="zh-CN"/>
        </w:rPr>
        <w:t xml:space="preserve">合同约定的</w:t>
      </w:r>
      <w:r>
        <w:rPr>
          <w:rFonts w:hint="eastAsia" w:ascii="宋体" w:hAnsi="宋体" w:eastAsia="宋体" w:cs="宋体"/>
          <w:color w:val="000000"/>
          <w:sz w:val="21"/>
          <w:szCs w:val="21"/>
          <w:highlight w:val="none"/>
        </w:rPr>
        <w:t xml:space="preserve">质量标准或存在产品质量缺陷，</w:t>
      </w:r>
      <w:r>
        <w:rPr>
          <w:rFonts w:hint="eastAsia" w:ascii="宋体" w:hAnsi="宋体" w:eastAsia="宋体" w:cs="宋体"/>
          <w:color w:val="000000"/>
          <w:sz w:val="21"/>
          <w:szCs w:val="21"/>
          <w:highlight w:val="none"/>
          <w:lang w:eastAsia="zh-CN"/>
        </w:rPr>
        <w:t xml:space="preserve">甲方有权要求乙方根据</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 w:val="0"/>
          <w:bCs/>
          <w:color w:val="000000"/>
          <w:sz w:val="21"/>
          <w:szCs w:val="21"/>
          <w:highlight w:val="none"/>
          <w:lang w:eastAsia="zh-CN"/>
        </w:rPr>
        <w:t xml:space="preserve">要求</w:t>
      </w:r>
      <w:r>
        <w:rPr>
          <w:rFonts w:hint="eastAsia" w:ascii="宋体" w:hAnsi="宋体" w:eastAsia="宋体" w:cs="宋体"/>
          <w:color w:val="000000"/>
          <w:sz w:val="21"/>
          <w:szCs w:val="21"/>
          <w:highlight w:val="none"/>
          <w:lang w:eastAsia="zh-CN"/>
        </w:rPr>
        <w:t xml:space="preserve">及时修理、重作、更换，并承担由此给甲</w:t>
      </w:r>
      <w:r>
        <w:rPr>
          <w:rFonts w:hint="eastAsia" w:ascii="宋体" w:hAnsi="宋体" w:eastAsia="宋体" w:cs="宋体"/>
          <w:color w:val="000000"/>
          <w:sz w:val="21"/>
          <w:szCs w:val="21"/>
          <w:highlight w:val="none"/>
        </w:rPr>
        <w:t xml:space="preserve">方</w:t>
      </w:r>
      <w:r>
        <w:rPr>
          <w:rFonts w:hint="eastAsia" w:ascii="宋体" w:hAnsi="宋体" w:eastAsia="宋体" w:cs="宋体"/>
          <w:color w:val="000000"/>
          <w:sz w:val="21"/>
          <w:szCs w:val="21"/>
          <w:highlight w:val="none"/>
          <w:lang w:eastAsia="zh-CN"/>
        </w:rPr>
        <w:t xml:space="preserve">造成的损失</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5</w:t>
      </w:r>
      <w:r>
        <w:rPr>
          <w:rFonts w:hint="eastAsia" w:ascii="宋体" w:hAnsi="宋体" w:eastAsia="宋体" w:cs="宋体"/>
          <w:bCs/>
          <w:color w:val="000000"/>
          <w:sz w:val="21"/>
          <w:szCs w:val="21"/>
          <w:highlight w:val="none"/>
        </w:rPr>
        <w:t xml:space="preserve">.2 迟延交货的违约责任</w:t>
      </w:r>
      <w:r>
        <w:rPr>
          <w:rFonts w:hint="eastAsia" w:ascii="宋体" w:hAnsi="宋体" w:eastAsia="宋体" w:cs="宋体"/>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（1）乙方应按照本合同规定的时间、地点交货和提供</w:t>
      </w:r>
      <w:r>
        <w:rPr>
          <w:rFonts w:hint="eastAsia" w:ascii="宋体" w:hAnsi="宋体" w:eastAsia="宋体" w:cs="宋体"/>
          <w:color w:val="000000"/>
          <w:sz w:val="21"/>
          <w:szCs w:val="21"/>
          <w:highlight w:val="none"/>
          <w:lang w:eastAsia="zh-CN"/>
        </w:rPr>
        <w:t xml:space="preserve">相关</w:t>
      </w:r>
      <w:r>
        <w:rPr>
          <w:rFonts w:hint="eastAsia" w:ascii="宋体" w:hAnsi="宋体" w:eastAsia="宋体" w:cs="宋体"/>
          <w:color w:val="000000"/>
          <w:sz w:val="21"/>
          <w:szCs w:val="21"/>
          <w:highlight w:val="none"/>
        </w:rPr>
        <w:t xml:space="preserve">服务。在履行合同过程中，如果乙方遇到可能</w:t>
      </w:r>
      <w:r>
        <w:rPr>
          <w:rFonts w:hint="eastAsia" w:ascii="宋体" w:hAnsi="宋体" w:eastAsia="宋体" w:cs="宋体"/>
          <w:color w:val="000000"/>
          <w:sz w:val="21"/>
          <w:szCs w:val="21"/>
          <w:highlight w:val="none"/>
          <w:lang w:eastAsia="zh-CN"/>
        </w:rPr>
        <w:t xml:space="preserve">影响</w:t>
      </w:r>
      <w:r>
        <w:rPr>
          <w:rFonts w:hint="eastAsia" w:ascii="宋体" w:hAnsi="宋体" w:eastAsia="宋体" w:cs="宋体"/>
          <w:color w:val="000000"/>
          <w:sz w:val="21"/>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000000"/>
          <w:sz w:val="21"/>
          <w:szCs w:val="21"/>
          <w:highlight w:val="none"/>
          <w:lang w:eastAsia="zh-CN"/>
        </w:rPr>
        <w:t xml:space="preserve">长</w:t>
      </w:r>
      <w:r>
        <w:rPr>
          <w:rFonts w:hint="eastAsia" w:ascii="宋体" w:hAnsi="宋体" w:eastAsia="宋体" w:cs="宋体"/>
          <w:color w:val="000000"/>
          <w:sz w:val="21"/>
          <w:szCs w:val="21"/>
          <w:highlight w:val="none"/>
        </w:rPr>
        <w:t xml:space="preserve">交货时间或延期提供服务。</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（2）如果乙方没有按照合同规定的时间交货和提供</w:t>
      </w:r>
      <w:r>
        <w:rPr>
          <w:rFonts w:hint="eastAsia" w:ascii="宋体" w:hAnsi="宋体" w:eastAsia="宋体" w:cs="宋体"/>
          <w:color w:val="000000"/>
          <w:sz w:val="21"/>
          <w:szCs w:val="21"/>
          <w:highlight w:val="none"/>
          <w:lang w:eastAsia="zh-CN"/>
        </w:rPr>
        <w:t xml:space="preserve">相关</w:t>
      </w:r>
      <w:r>
        <w:rPr>
          <w:rFonts w:hint="eastAsia" w:ascii="宋体" w:hAnsi="宋体" w:eastAsia="宋体" w:cs="宋体"/>
          <w:color w:val="000000"/>
          <w:sz w:val="21"/>
          <w:szCs w:val="21"/>
          <w:highlight w:val="none"/>
        </w:rPr>
        <w:t xml:space="preserve">服务，甲方有权从货款中扣除误期赔偿费而不影响合同项下的其他补救方法，赔偿费按</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规定执行。如果涉及公共利益，且赔偿金额无法弥补公共利益损失，</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可要求继续履行或者</w:t>
      </w:r>
      <w:r>
        <w:rPr>
          <w:rFonts w:hint="eastAsia" w:ascii="宋体" w:hAnsi="宋体" w:eastAsia="宋体" w:cs="宋体"/>
          <w:color w:val="000000"/>
          <w:sz w:val="21"/>
          <w:szCs w:val="21"/>
          <w:highlight w:val="none"/>
          <w:lang w:eastAsia="zh-CN"/>
        </w:rPr>
        <w:t xml:space="preserve">采取其他补救措施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.3 迟延支付的违约责任</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甲方存在迟延支付乙方合同款项的，应当承担</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规定的逾期付款利息。</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eastAsia="zh-CN"/>
        </w:rPr>
        <w:t xml:space="preserve">5</w:t>
      </w:r>
      <w:r>
        <w:rPr>
          <w:rFonts w:hint="eastAsia" w:ascii="宋体" w:hAnsi="宋体" w:eastAsia="宋体" w:cs="宋体"/>
          <w:bCs/>
          <w:color w:val="000000"/>
          <w:sz w:val="21"/>
          <w:szCs w:val="21"/>
          <w:highlight w:val="none"/>
        </w:rPr>
        <w:t xml:space="preserve">.4其他违约责任根据项目实际需要按</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规定执行。</w:t>
      </w:r>
      <w:r>
        <w:rPr>
          <w:rFonts w:hint="eastAsia" w:ascii="宋体" w:hAnsi="宋体" w:eastAsia="宋体" w:cs="宋体"/>
          <w:color w:val="000000"/>
          <w:sz w:val="21"/>
          <w:szCs w:val="21"/>
          <w:highlight w:val="none"/>
        </w:rPr>
      </w:r>
      <w:r/>
    </w:p>
    <w:p>
      <w:pPr>
        <w:pStyle w:val="1048"/>
        <w:numPr>
          <w:ilvl w:val="0"/>
          <w:numId w:val="0"/>
        </w:numPr>
        <w:jc w:val="left"/>
        <w:pageBreakBefore w:val="0"/>
        <w:spacing w:before="0" w:line="3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bidi="ar-SA"/>
        </w:rPr>
        <w:t xml:space="preserve">16.</w:t>
      </w:r>
      <w:r>
        <w:rPr>
          <w:rFonts w:hint="eastAsia" w:ascii="宋体" w:hAnsi="宋体" w:eastAsia="宋体" w:cs="宋体"/>
          <w:b/>
          <w:color w:val="000000"/>
          <w:sz w:val="21"/>
          <w:szCs w:val="21"/>
          <w:highlight w:val="none"/>
        </w:rPr>
        <w:t xml:space="preserve">合同变更</w:t>
      </w:r>
      <w:r>
        <w:rPr>
          <w:rFonts w:hint="eastAsia" w:ascii="宋体" w:hAnsi="宋体" w:eastAsia="宋体" w:cs="宋体"/>
          <w:b/>
          <w:color w:val="000000"/>
          <w:sz w:val="21"/>
          <w:szCs w:val="21"/>
          <w:highlight w:val="none"/>
          <w:lang w:eastAsia="zh-CN"/>
        </w:rPr>
        <w:t xml:space="preserve">、中止与终止</w:t>
      </w:r>
      <w:r>
        <w:rPr>
          <w:rFonts w:hint="eastAsia" w:ascii="宋体" w:hAnsi="宋体" w:eastAsia="宋体" w:cs="宋体"/>
          <w:b/>
          <w:color w:val="000000"/>
          <w:sz w:val="21"/>
          <w:szCs w:val="21"/>
          <w:highlight w:val="none"/>
        </w:rPr>
      </w:r>
      <w:r/>
    </w:p>
    <w:p>
      <w:pPr>
        <w:pStyle w:val="1048"/>
        <w:ind w:firstLine="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.1合同的</w:t>
      </w:r>
      <w:r>
        <w:rPr>
          <w:rFonts w:hint="eastAsia" w:ascii="宋体" w:hAnsi="宋体" w:eastAsia="宋体" w:cs="宋体"/>
          <w:color w:val="000000"/>
          <w:sz w:val="21"/>
          <w:szCs w:val="21"/>
          <w:highlight w:val="none"/>
          <w:lang w:eastAsia="zh-CN"/>
        </w:rPr>
        <w:t xml:space="preserve">变更</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政府采购合同履行中，</w:t>
      </w:r>
      <w:r>
        <w:rPr>
          <w:rFonts w:hint="eastAsia" w:ascii="宋体" w:hAnsi="宋体" w:eastAsia="宋体" w:cs="宋体"/>
          <w:color w:val="000000"/>
          <w:sz w:val="21"/>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000000"/>
          <w:sz w:val="21"/>
          <w:szCs w:val="21"/>
          <w:highlight w:val="none"/>
          <w:lang w:eastAsia="zh-CN"/>
        </w:rPr>
        <w:t xml:space="preserve">一致后</w:t>
      </w:r>
      <w:r>
        <w:rPr>
          <w:rFonts w:hint="eastAsia" w:ascii="宋体" w:hAnsi="宋体" w:eastAsia="宋体" w:cs="宋体"/>
          <w:color w:val="000000"/>
          <w:sz w:val="21"/>
          <w:szCs w:val="21"/>
          <w:highlight w:val="none"/>
        </w:rPr>
        <w:t xml:space="preserve">签订补充协议。</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合同的中止</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（1）合同履行过程中因供应商就采购文件、采购过程或结果提起投诉的，甲方认为有必要的，</w:t>
      </w:r>
      <w:r>
        <w:rPr>
          <w:rFonts w:hint="eastAsia" w:ascii="宋体" w:hAnsi="宋体" w:eastAsia="宋体" w:cs="宋体"/>
          <w:color w:val="000000"/>
          <w:sz w:val="21"/>
          <w:szCs w:val="21"/>
          <w:highlight w:val="none"/>
          <w:lang w:eastAsia="zh-CN"/>
        </w:rPr>
        <w:t xml:space="preserve">可以</w:t>
      </w:r>
      <w:r>
        <w:rPr>
          <w:rFonts w:hint="eastAsia" w:ascii="宋体" w:hAnsi="宋体" w:eastAsia="宋体" w:cs="宋体"/>
          <w:color w:val="000000"/>
          <w:sz w:val="21"/>
          <w:szCs w:val="21"/>
          <w:highlight w:val="none"/>
        </w:rPr>
        <w:t xml:space="preserve">中止合同的履行。</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合同履行过程中，</w:t>
      </w:r>
      <w:r>
        <w:rPr>
          <w:rFonts w:hint="eastAsia" w:ascii="宋体" w:hAnsi="宋体" w:eastAsia="宋体" w:cs="宋体"/>
          <w:color w:val="000000"/>
          <w:sz w:val="21"/>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000000"/>
          <w:sz w:val="21"/>
          <w:szCs w:val="21"/>
          <w:highlight w:val="none"/>
          <w:lang w:eastAsia="zh-CN"/>
        </w:rPr>
        <w:t xml:space="preserve">，乙方有义务及时告知甲方</w:t>
      </w: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lang w:eastAsia="zh-CN"/>
        </w:rPr>
        <w:t xml:space="preserve">有权</w:t>
      </w:r>
      <w:r>
        <w:rPr>
          <w:rFonts w:hint="eastAsia" w:ascii="宋体" w:hAnsi="宋体" w:eastAsia="宋体" w:cs="宋体"/>
          <w:color w:val="000000"/>
          <w:sz w:val="21"/>
          <w:szCs w:val="21"/>
          <w:highlight w:val="none"/>
        </w:rPr>
        <w:t xml:space="preserve">以书面形式通知乙方中止合同</w:t>
      </w:r>
      <w:r>
        <w:rPr>
          <w:rFonts w:hint="eastAsia" w:ascii="宋体" w:hAnsi="宋体" w:eastAsia="宋体" w:cs="宋体"/>
          <w:color w:val="000000"/>
          <w:sz w:val="21"/>
          <w:szCs w:val="21"/>
          <w:highlight w:val="none"/>
          <w:lang w:eastAsia="zh-CN"/>
        </w:rPr>
        <w:t xml:space="preserve">并要求乙方在合理期限内消除相关情形或者提供适当担保。</w:t>
      </w:r>
      <w:r>
        <w:rPr>
          <w:rFonts w:hint="eastAsia" w:ascii="宋体" w:hAnsi="宋体" w:eastAsia="宋体" w:cs="宋体"/>
          <w:color w:val="000000"/>
          <w:sz w:val="21"/>
          <w:szCs w:val="21"/>
          <w:highlight w:val="none"/>
        </w:rPr>
        <w:t xml:space="preserve">乙方提供适当担保的，</w:t>
      </w:r>
      <w:r>
        <w:rPr>
          <w:rFonts w:hint="eastAsia" w:ascii="宋体" w:hAnsi="宋体" w:eastAsia="宋体" w:cs="宋体"/>
          <w:color w:val="000000"/>
          <w:sz w:val="21"/>
          <w:szCs w:val="21"/>
          <w:highlight w:val="none"/>
          <w:lang w:eastAsia="zh-CN"/>
        </w:rPr>
        <w:t xml:space="preserve">合同继续</w:t>
      </w:r>
      <w:r>
        <w:rPr>
          <w:rFonts w:hint="eastAsia" w:ascii="宋体" w:hAnsi="宋体" w:eastAsia="宋体" w:cs="宋体"/>
          <w:color w:val="000000"/>
          <w:sz w:val="21"/>
          <w:szCs w:val="21"/>
          <w:highlight w:val="none"/>
        </w:rPr>
        <w:t xml:space="preserve">履行</w:t>
      </w:r>
      <w:r>
        <w:rPr>
          <w:rFonts w:hint="eastAsia" w:ascii="宋体" w:hAnsi="宋体" w:eastAsia="宋体" w:cs="宋体"/>
          <w:color w:val="000000"/>
          <w:sz w:val="21"/>
          <w:szCs w:val="21"/>
          <w:highlight w:val="none"/>
          <w:lang w:eastAsia="zh-CN"/>
        </w:rPr>
        <w:t xml:space="preserve">；乙</w:t>
      </w:r>
      <w:r>
        <w:rPr>
          <w:rFonts w:hint="eastAsia" w:ascii="宋体" w:hAnsi="宋体" w:eastAsia="宋体" w:cs="宋体"/>
          <w:color w:val="000000"/>
          <w:sz w:val="21"/>
          <w:szCs w:val="21"/>
          <w:highlight w:val="none"/>
        </w:rPr>
        <w:t xml:space="preserve">方在合理期限内未恢复履约能力且未提供适当担保的，视为拒绝</w:t>
      </w:r>
      <w:r>
        <w:rPr>
          <w:rFonts w:hint="eastAsia" w:ascii="宋体" w:hAnsi="宋体" w:eastAsia="宋体" w:cs="宋体"/>
          <w:color w:val="000000"/>
          <w:sz w:val="21"/>
          <w:szCs w:val="21"/>
          <w:highlight w:val="none"/>
          <w:lang w:eastAsia="zh-CN"/>
        </w:rPr>
        <w:t xml:space="preserve">继续</w:t>
      </w:r>
      <w:r>
        <w:rPr>
          <w:rFonts w:hint="eastAsia" w:ascii="宋体" w:hAnsi="宋体" w:eastAsia="宋体" w:cs="宋体"/>
          <w:color w:val="000000"/>
          <w:sz w:val="21"/>
          <w:szCs w:val="21"/>
          <w:highlight w:val="none"/>
        </w:rPr>
        <w:t xml:space="preserve">履约，甲方</w:t>
      </w:r>
      <w:r>
        <w:rPr>
          <w:rFonts w:hint="eastAsia" w:ascii="宋体" w:hAnsi="宋体" w:eastAsia="宋体" w:cs="宋体"/>
          <w:color w:val="000000"/>
          <w:sz w:val="21"/>
          <w:szCs w:val="21"/>
          <w:highlight w:val="none"/>
          <w:lang w:eastAsia="zh-CN"/>
        </w:rPr>
        <w:t xml:space="preserve">有权</w:t>
      </w:r>
      <w:r>
        <w:rPr>
          <w:rFonts w:hint="eastAsia" w:ascii="宋体" w:hAnsi="宋体" w:eastAsia="宋体" w:cs="宋体"/>
          <w:color w:val="000000"/>
          <w:sz w:val="21"/>
          <w:szCs w:val="21"/>
          <w:highlight w:val="none"/>
        </w:rPr>
        <w:t xml:space="preserve">解除合同并要求乙方承担</w:t>
      </w:r>
      <w:r>
        <w:rPr>
          <w:rFonts w:hint="eastAsia" w:ascii="宋体" w:hAnsi="宋体" w:eastAsia="宋体" w:cs="宋体"/>
          <w:color w:val="000000"/>
          <w:sz w:val="21"/>
          <w:szCs w:val="21"/>
          <w:highlight w:val="none"/>
          <w:lang w:eastAsia="zh-CN"/>
        </w:rPr>
        <w:t xml:space="preserve">由此给甲方造成的损失</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324"/>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（3）乙方分立、合并或者变更住所的，应当及时以书面形式告知甲方。乙方没有</w:t>
      </w:r>
      <w:r>
        <w:rPr>
          <w:rFonts w:hint="eastAsia" w:ascii="宋体" w:hAnsi="宋体" w:eastAsia="宋体" w:cs="宋体"/>
          <w:color w:val="000000"/>
          <w:sz w:val="21"/>
          <w:szCs w:val="21"/>
          <w:highlight w:val="none"/>
          <w:lang w:eastAsia="zh-CN"/>
        </w:rPr>
        <w:t xml:space="preserve">及时告知</w:t>
      </w:r>
      <w:r>
        <w:rPr>
          <w:rFonts w:hint="eastAsia" w:ascii="宋体" w:hAnsi="宋体" w:eastAsia="宋体" w:cs="宋体"/>
          <w:color w:val="000000"/>
          <w:sz w:val="21"/>
          <w:szCs w:val="21"/>
          <w:highlight w:val="none"/>
        </w:rPr>
        <w:t xml:space="preserve">甲方，致使</w:t>
      </w:r>
      <w:r>
        <w:rPr>
          <w:rFonts w:hint="eastAsia" w:ascii="宋体" w:hAnsi="宋体" w:eastAsia="宋体" w:cs="宋体"/>
          <w:color w:val="000000"/>
          <w:sz w:val="21"/>
          <w:szCs w:val="21"/>
          <w:highlight w:val="none"/>
          <w:lang w:eastAsia="zh-CN"/>
        </w:rPr>
        <w:t xml:space="preserve">合同</w:t>
      </w:r>
      <w:r>
        <w:rPr>
          <w:rFonts w:hint="eastAsia" w:ascii="宋体" w:hAnsi="宋体" w:eastAsia="宋体" w:cs="宋体"/>
          <w:color w:val="000000"/>
          <w:sz w:val="21"/>
          <w:szCs w:val="21"/>
          <w:highlight w:val="none"/>
        </w:rPr>
        <w:t xml:space="preserve">履行发生困难的，甲方可以中止合同履行并要求乙方承担由此给甲方造成的损失。</w:t>
      </w:r>
      <w:r>
        <w:rPr>
          <w:rFonts w:hint="eastAsia" w:ascii="宋体" w:hAnsi="宋体" w:eastAsia="宋体" w:cs="宋体"/>
          <w:color w:val="000000"/>
          <w:sz w:val="21"/>
          <w:szCs w:val="21"/>
          <w:highlight w:val="none"/>
        </w:rPr>
      </w:r>
      <w:r/>
    </w:p>
    <w:p>
      <w:pPr>
        <w:pStyle w:val="1048"/>
        <w:ind w:firstLine="480"/>
        <w:jc w:val="left"/>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）甲方不得以行政区划调整、政府换届、机构或者职能调整以及相关责任人更替为由中止合同。</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合同的终止</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（1）合同因有效期限届满而终止；</w:t>
      </w:r>
      <w:r>
        <w:rPr>
          <w:rFonts w:hint="eastAsia" w:ascii="宋体" w:hAnsi="宋体" w:eastAsia="宋体" w:cs="宋体"/>
          <w:color w:val="000000"/>
          <w:sz w:val="21"/>
          <w:szCs w:val="21"/>
          <w:highlight w:val="none"/>
        </w:rPr>
      </w:r>
      <w:r/>
    </w:p>
    <w:p>
      <w:pPr>
        <w:pStyle w:val="1048"/>
        <w:ind w:firstLine="480"/>
        <w:pageBreakBefore w:val="0"/>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（2）乙方未</w:t>
      </w:r>
      <w:r>
        <w:rPr>
          <w:rFonts w:hint="eastAsia" w:ascii="宋体" w:hAnsi="宋体" w:eastAsia="宋体" w:cs="宋体"/>
          <w:color w:val="000000"/>
          <w:sz w:val="21"/>
          <w:szCs w:val="21"/>
          <w:highlight w:val="none"/>
          <w:lang w:eastAsia="zh-CN"/>
        </w:rPr>
        <w:t xml:space="preserve">按</w:t>
      </w:r>
      <w:r>
        <w:rPr>
          <w:rFonts w:hint="eastAsia" w:ascii="宋体" w:hAnsi="宋体" w:eastAsia="宋体" w:cs="宋体"/>
          <w:color w:val="000000"/>
          <w:sz w:val="21"/>
          <w:szCs w:val="21"/>
          <w:highlight w:val="none"/>
        </w:rPr>
        <w:t xml:space="preserve">合同约定履行，构成根本性违约的，甲方有权终止合同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并追究乙方的违约责</w:t>
      </w:r>
      <w:r>
        <w:rPr>
          <w:rFonts w:hint="eastAsia" w:ascii="宋体" w:hAnsi="宋体" w:eastAsia="宋体" w:cs="宋体"/>
          <w:color w:val="000000"/>
          <w:sz w:val="21"/>
          <w:szCs w:val="21"/>
          <w:highlight w:val="none"/>
          <w:lang w:val="en-US" w:eastAsia="zh-CN"/>
        </w:rPr>
        <w:t xml:space="preserve">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r>
      <w:r/>
    </w:p>
    <w:p>
      <w:pPr>
        <w:pStyle w:val="1324"/>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16.4 涉及国家利益、社会公共利益的情形</w:t>
      </w:r>
      <w:r>
        <w:rPr>
          <w:rFonts w:hint="eastAsia" w:ascii="宋体" w:hAnsi="宋体" w:eastAsia="宋体" w:cs="宋体"/>
          <w:color w:val="000000"/>
          <w:sz w:val="21"/>
          <w:szCs w:val="21"/>
          <w:highlight w:val="none"/>
          <w:lang w:val="en-US" w:eastAsia="zh-CN"/>
        </w:rPr>
      </w:r>
      <w:r/>
    </w:p>
    <w:p>
      <w:pPr>
        <w:pStyle w:val="1324"/>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政府采购合同继续履行将损害国家利益和社会公共利益的，双方当事人</w:t>
      </w:r>
      <w:r>
        <w:rPr>
          <w:rFonts w:hint="eastAsia" w:ascii="宋体" w:hAnsi="宋体" w:eastAsia="宋体" w:cs="宋体"/>
          <w:color w:val="000000"/>
          <w:sz w:val="21"/>
          <w:szCs w:val="21"/>
          <w:highlight w:val="none"/>
          <w:lang w:val="en-US" w:eastAsia="zh-CN"/>
        </w:rPr>
        <w:t xml:space="preserve">应当变更、</w:t>
      </w:r>
      <w:r>
        <w:rPr>
          <w:rFonts w:hint="eastAsia" w:ascii="宋体" w:hAnsi="宋体" w:eastAsia="宋体" w:cs="宋体"/>
          <w:color w:val="000000"/>
          <w:sz w:val="21"/>
          <w:szCs w:val="21"/>
          <w:highlight w:val="none"/>
        </w:rPr>
        <w:t xml:space="preserve">中止</w:t>
      </w:r>
      <w:r>
        <w:rPr>
          <w:rFonts w:hint="eastAsia" w:ascii="宋体" w:hAnsi="宋体" w:eastAsia="宋体" w:cs="宋体"/>
          <w:color w:val="000000"/>
          <w:sz w:val="21"/>
          <w:szCs w:val="21"/>
          <w:highlight w:val="none"/>
          <w:lang w:eastAsia="zh-CN"/>
        </w:rPr>
        <w:t xml:space="preserve">或者终止</w:t>
      </w:r>
      <w:r>
        <w:rPr>
          <w:rFonts w:hint="eastAsia" w:ascii="宋体" w:hAnsi="宋体" w:eastAsia="宋体" w:cs="宋体"/>
          <w:color w:val="000000"/>
          <w:sz w:val="21"/>
          <w:szCs w:val="21"/>
          <w:highlight w:val="none"/>
        </w:rPr>
        <w:t xml:space="preserve">合同。有过错的一方应当承担赔偿责任，双方都有过错的，各自承担相应的责任。</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7</w:t>
      </w:r>
      <w:r>
        <w:rPr>
          <w:rFonts w:hint="eastAsia" w:ascii="宋体" w:hAnsi="宋体" w:eastAsia="宋体" w:cs="宋体"/>
          <w:b/>
          <w:bCs/>
          <w:color w:val="000000"/>
          <w:sz w:val="21"/>
          <w:szCs w:val="21"/>
          <w:highlight w:val="none"/>
        </w:rPr>
        <w:t xml:space="preserve">.合同分包</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.1 乙方不得</w:t>
      </w:r>
      <w:r>
        <w:rPr>
          <w:rFonts w:hint="eastAsia" w:ascii="宋体" w:hAnsi="宋体" w:eastAsia="宋体" w:cs="宋体"/>
          <w:color w:val="000000"/>
          <w:sz w:val="21"/>
          <w:szCs w:val="21"/>
          <w:highlight w:val="none"/>
          <w:lang w:eastAsia="zh-CN"/>
        </w:rPr>
        <w:t xml:space="preserve">将合同转包给其他供应商。涉及合同分包的，乙方</w:t>
      </w:r>
      <w:r>
        <w:rPr>
          <w:rFonts w:hint="eastAsia" w:ascii="宋体" w:hAnsi="宋体" w:eastAsia="宋体" w:cs="宋体"/>
          <w:color w:val="000000"/>
          <w:sz w:val="21"/>
          <w:szCs w:val="21"/>
          <w:highlight w:val="none"/>
          <w:lang w:val="en-US" w:eastAsia="zh-CN"/>
        </w:rPr>
        <w:t xml:space="preserve">应</w:t>
      </w:r>
      <w:r>
        <w:rPr>
          <w:rFonts w:hint="eastAsia" w:ascii="宋体" w:hAnsi="宋体" w:eastAsia="宋体" w:cs="宋体"/>
          <w:color w:val="000000"/>
          <w:sz w:val="21"/>
          <w:szCs w:val="21"/>
          <w:highlight w:val="none"/>
          <w:lang w:eastAsia="zh-CN"/>
        </w:rPr>
        <w:t xml:space="preserve">根据采购文件和投标（响应）文件规定进行</w:t>
      </w:r>
      <w:r>
        <w:rPr>
          <w:rFonts w:hint="eastAsia" w:ascii="宋体" w:hAnsi="宋体" w:eastAsia="宋体" w:cs="宋体"/>
          <w:color w:val="000000"/>
          <w:sz w:val="21"/>
          <w:szCs w:val="21"/>
          <w:highlight w:val="none"/>
        </w:rPr>
        <w:t xml:space="preserve">合同分包。</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.2 乙方执行政府采购政策向中小企业依法分包的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乙方应当按采购文件</w:t>
      </w:r>
      <w:r>
        <w:rPr>
          <w:rFonts w:hint="eastAsia" w:ascii="宋体" w:hAnsi="宋体" w:eastAsia="宋体" w:cs="宋体"/>
          <w:color w:val="000000"/>
          <w:sz w:val="21"/>
          <w:szCs w:val="21"/>
          <w:highlight w:val="none"/>
          <w:lang w:eastAsia="zh-CN"/>
        </w:rPr>
        <w:t xml:space="preserve">和</w:t>
      </w:r>
      <w:r>
        <w:rPr>
          <w:rFonts w:hint="eastAsia" w:ascii="宋体" w:hAnsi="宋体" w:eastAsia="宋体" w:cs="宋体"/>
          <w:color w:val="000000"/>
          <w:sz w:val="21"/>
          <w:szCs w:val="21"/>
          <w:highlight w:val="none"/>
        </w:rPr>
        <w:t xml:space="preserve">投标（响应）文件签订分包</w:t>
      </w:r>
      <w:r>
        <w:rPr>
          <w:rFonts w:hint="eastAsia" w:ascii="宋体" w:hAnsi="宋体" w:eastAsia="宋体" w:cs="宋体"/>
          <w:color w:val="000000"/>
          <w:sz w:val="21"/>
          <w:szCs w:val="21"/>
          <w:highlight w:val="none"/>
          <w:lang w:eastAsia="zh-CN"/>
        </w:rPr>
        <w:t xml:space="preserve">意向</w:t>
      </w:r>
      <w:r>
        <w:rPr>
          <w:rFonts w:hint="eastAsia" w:ascii="宋体" w:hAnsi="宋体" w:eastAsia="宋体" w:cs="宋体"/>
          <w:color w:val="000000"/>
          <w:sz w:val="21"/>
          <w:szCs w:val="21"/>
          <w:highlight w:val="none"/>
        </w:rPr>
        <w:t xml:space="preserve">协议，分包</w:t>
      </w:r>
      <w:r>
        <w:rPr>
          <w:rFonts w:hint="eastAsia" w:ascii="宋体" w:hAnsi="宋体" w:eastAsia="宋体" w:cs="宋体"/>
          <w:color w:val="000000"/>
          <w:sz w:val="21"/>
          <w:szCs w:val="21"/>
          <w:highlight w:val="none"/>
          <w:lang w:eastAsia="zh-CN"/>
        </w:rPr>
        <w:t xml:space="preserve">意向</w:t>
      </w:r>
      <w:r>
        <w:rPr>
          <w:rFonts w:hint="eastAsia" w:ascii="宋体" w:hAnsi="宋体" w:eastAsia="宋体" w:cs="宋体"/>
          <w:color w:val="000000"/>
          <w:sz w:val="21"/>
          <w:szCs w:val="21"/>
          <w:highlight w:val="none"/>
        </w:rPr>
        <w:t xml:space="preserve">协议属于本合同组成部分。</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.不可抗力</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 不可抗力是指合同双方不能预见、不能避免且不能克服的客观情况。</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 任何一方对由于不可抗力造成的部分或全部不能履行合同不承担违约责任。但迟延履行后发生不可抗力的，不能免除责任。</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.3 遇有不可抗力的一方，应及时将事件情况以书面形式</w:t>
      </w:r>
      <w:r>
        <w:rPr>
          <w:rFonts w:hint="eastAsia" w:ascii="宋体" w:hAnsi="宋体" w:eastAsia="宋体" w:cs="宋体"/>
          <w:color w:val="000000"/>
          <w:sz w:val="21"/>
          <w:szCs w:val="21"/>
          <w:highlight w:val="none"/>
          <w:lang w:eastAsia="zh-CN"/>
        </w:rPr>
        <w:t xml:space="preserve">告</w:t>
      </w:r>
      <w:r>
        <w:rPr>
          <w:rFonts w:hint="eastAsia" w:ascii="宋体" w:hAnsi="宋体" w:eastAsia="宋体" w:cs="宋体"/>
          <w:color w:val="000000"/>
          <w:sz w:val="21"/>
          <w:szCs w:val="21"/>
          <w:highlight w:val="none"/>
        </w:rPr>
        <w:t xml:space="preserve">知另一方，并在事件发生后及时向另一方提交合同不能履行或部分不能履行或需要延期履行</w:t>
      </w:r>
      <w:r>
        <w:rPr>
          <w:rFonts w:hint="eastAsia" w:ascii="宋体" w:hAnsi="宋体" w:eastAsia="宋体" w:cs="宋体"/>
          <w:color w:val="000000"/>
          <w:sz w:val="21"/>
          <w:szCs w:val="21"/>
          <w:highlight w:val="none"/>
          <w:lang w:eastAsia="zh-CN"/>
        </w:rPr>
        <w:t xml:space="preserve">的详细</w:t>
      </w:r>
      <w:r>
        <w:rPr>
          <w:rFonts w:hint="eastAsia" w:ascii="宋体" w:hAnsi="宋体" w:eastAsia="宋体" w:cs="宋体"/>
          <w:color w:val="000000"/>
          <w:sz w:val="21"/>
          <w:szCs w:val="21"/>
          <w:highlight w:val="none"/>
        </w:rPr>
        <w:t xml:space="preserve">报告</w:t>
      </w:r>
      <w:r>
        <w:rPr>
          <w:rFonts w:hint="eastAsia" w:ascii="宋体" w:hAnsi="宋体" w:eastAsia="宋体" w:cs="宋体"/>
          <w:color w:val="000000"/>
          <w:sz w:val="21"/>
          <w:szCs w:val="21"/>
          <w:highlight w:val="none"/>
          <w:lang w:eastAsia="zh-CN"/>
        </w:rPr>
        <w:t xml:space="preserve">，以</w:t>
      </w:r>
      <w:r>
        <w:rPr>
          <w:rFonts w:hint="eastAsia" w:ascii="宋体" w:hAnsi="宋体" w:eastAsia="宋体" w:cs="宋体"/>
          <w:color w:val="000000"/>
          <w:sz w:val="21"/>
          <w:szCs w:val="21"/>
          <w:highlight w:val="none"/>
          <w:lang w:val="en-US" w:eastAsia="zh-CN"/>
        </w:rPr>
        <w:t xml:space="preserve">及证明不可抗力发生及其持续时间的证据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19</w:t>
      </w:r>
      <w:r>
        <w:rPr>
          <w:rFonts w:hint="eastAsia" w:ascii="宋体" w:hAnsi="宋体" w:eastAsia="宋体" w:cs="宋体"/>
          <w:b/>
          <w:bCs/>
          <w:color w:val="000000"/>
          <w:sz w:val="21"/>
          <w:szCs w:val="21"/>
          <w:highlight w:val="none"/>
        </w:rPr>
        <w:t xml:space="preserve">.解决争议的方法</w:t>
      </w:r>
      <w:r>
        <w:rPr>
          <w:rFonts w:hint="eastAsia" w:ascii="宋体" w:hAnsi="宋体" w:eastAsia="宋体" w:cs="宋体"/>
          <w:b/>
          <w:bCs/>
          <w:color w:val="000000"/>
          <w:sz w:val="21"/>
          <w:szCs w:val="21"/>
          <w:highlight w:val="none"/>
        </w:rPr>
      </w:r>
      <w:r/>
    </w:p>
    <w:p>
      <w:pPr>
        <w:pStyle w:val="1324"/>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.1 因本合同及合同有关事项发生的争议，由</w:t>
      </w:r>
      <w:r>
        <w:rPr>
          <w:rFonts w:hint="eastAsia" w:ascii="宋体" w:hAnsi="宋体" w:eastAsia="宋体" w:cs="宋体"/>
          <w:color w:val="000000"/>
          <w:sz w:val="21"/>
          <w:szCs w:val="21"/>
          <w:highlight w:val="none"/>
          <w:lang w:eastAsia="zh-CN"/>
        </w:rPr>
        <w:t xml:space="preserve">甲乙双</w:t>
      </w:r>
      <w:r>
        <w:rPr>
          <w:rFonts w:hint="eastAsia" w:ascii="宋体" w:hAnsi="宋体" w:eastAsia="宋体" w:cs="宋体"/>
          <w:color w:val="000000"/>
          <w:sz w:val="21"/>
          <w:szCs w:val="21"/>
          <w:highlight w:val="none"/>
        </w:rPr>
        <w:t xml:space="preserve">方友好协商解决。协商不成时，可以</w:t>
      </w:r>
      <w:r>
        <w:rPr>
          <w:rFonts w:hint="eastAsia" w:ascii="宋体" w:hAnsi="宋体" w:eastAsia="宋体" w:cs="宋体"/>
          <w:color w:val="000000"/>
          <w:sz w:val="21"/>
          <w:szCs w:val="21"/>
          <w:highlight w:val="none"/>
          <w:lang w:eastAsia="zh-CN"/>
        </w:rPr>
        <w:t xml:space="preserve">向有关组织申请</w:t>
      </w:r>
      <w:r>
        <w:rPr>
          <w:rFonts w:hint="eastAsia" w:ascii="宋体" w:hAnsi="宋体" w:eastAsia="宋体" w:cs="宋体"/>
          <w:color w:val="000000"/>
          <w:sz w:val="21"/>
          <w:szCs w:val="21"/>
          <w:highlight w:val="none"/>
        </w:rPr>
        <w:t xml:space="preserve">调解。合同一方或</w:t>
      </w:r>
      <w:r>
        <w:rPr>
          <w:rFonts w:hint="eastAsia" w:ascii="宋体" w:hAnsi="宋体" w:eastAsia="宋体" w:cs="宋体"/>
          <w:color w:val="000000"/>
          <w:sz w:val="21"/>
          <w:szCs w:val="21"/>
          <w:highlight w:val="none"/>
          <w:lang w:eastAsia="zh-CN"/>
        </w:rPr>
        <w:t xml:space="preserve">双</w:t>
      </w:r>
      <w:r>
        <w:rPr>
          <w:rFonts w:hint="eastAsia" w:ascii="宋体" w:hAnsi="宋体" w:eastAsia="宋体" w:cs="宋体"/>
          <w:color w:val="000000"/>
          <w:sz w:val="21"/>
          <w:szCs w:val="21"/>
          <w:highlight w:val="none"/>
        </w:rPr>
        <w:t xml:space="preserve">方不愿调解或调解不成的，可以通过仲裁或诉讼的方式解决争议。</w:t>
      </w:r>
      <w:r>
        <w:rPr>
          <w:rFonts w:hint="eastAsia" w:ascii="宋体" w:hAnsi="宋体" w:eastAsia="宋体" w:cs="宋体"/>
          <w:color w:val="000000"/>
          <w:sz w:val="21"/>
          <w:szCs w:val="21"/>
          <w:highlight w:val="none"/>
        </w:rPr>
      </w:r>
      <w:r/>
    </w:p>
    <w:p>
      <w:pPr>
        <w:pStyle w:val="1324"/>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.2 选择仲裁的，应在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中明确仲裁机构及仲裁地；通过诉讼方式解决的，可以在</w:t>
      </w:r>
      <w:r>
        <w:rPr>
          <w:rFonts w:hint="eastAsia" w:ascii="宋体" w:hAnsi="宋体" w:eastAsia="宋体" w:cs="宋体"/>
          <w:b/>
          <w:bCs/>
          <w:color w:val="000000"/>
          <w:sz w:val="21"/>
          <w:szCs w:val="21"/>
          <w:highlight w:val="none"/>
        </w:rPr>
        <w:t xml:space="preserve">【政府采购合同专用条款】</w:t>
      </w:r>
      <w:r>
        <w:rPr>
          <w:rFonts w:hint="eastAsia" w:ascii="宋体" w:hAnsi="宋体" w:eastAsia="宋体" w:cs="宋体"/>
          <w:color w:val="000000"/>
          <w:sz w:val="21"/>
          <w:szCs w:val="21"/>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color w:val="000000"/>
          <w:sz w:val="21"/>
          <w:szCs w:val="21"/>
          <w:highlight w:val="none"/>
        </w:rPr>
      </w:r>
      <w:r/>
    </w:p>
    <w:p>
      <w:pPr>
        <w:pStyle w:val="1324"/>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.3 如</w:t>
      </w:r>
      <w:r>
        <w:rPr>
          <w:rFonts w:hint="eastAsia" w:ascii="宋体" w:hAnsi="宋体" w:eastAsia="宋体" w:cs="宋体"/>
          <w:color w:val="000000"/>
          <w:sz w:val="21"/>
          <w:szCs w:val="21"/>
          <w:highlight w:val="none"/>
          <w:lang w:eastAsia="zh-CN"/>
        </w:rPr>
        <w:t xml:space="preserve">甲乙双方</w:t>
      </w:r>
      <w:r>
        <w:rPr>
          <w:rFonts w:hint="eastAsia" w:ascii="宋体" w:hAnsi="宋体" w:eastAsia="宋体" w:cs="宋体"/>
          <w:color w:val="000000"/>
          <w:sz w:val="21"/>
          <w:szCs w:val="21"/>
          <w:highlight w:val="none"/>
        </w:rPr>
        <w:t xml:space="preserve">有争议的事项不影响合同其他部分的履行，在争议解决期间，合同其他部分应</w:t>
      </w:r>
      <w:r>
        <w:rPr>
          <w:rFonts w:hint="eastAsia" w:ascii="宋体" w:hAnsi="宋体" w:eastAsia="宋体" w:cs="宋体"/>
          <w:color w:val="000000"/>
          <w:sz w:val="21"/>
          <w:szCs w:val="21"/>
          <w:highlight w:val="none"/>
          <w:lang w:eastAsia="zh-CN"/>
        </w:rPr>
        <w:t xml:space="preserve">当</w:t>
      </w:r>
      <w:r>
        <w:rPr>
          <w:rFonts w:hint="eastAsia" w:ascii="宋体" w:hAnsi="宋体" w:eastAsia="宋体" w:cs="宋体"/>
          <w:color w:val="000000"/>
          <w:sz w:val="21"/>
          <w:szCs w:val="21"/>
          <w:highlight w:val="none"/>
        </w:rPr>
        <w:t xml:space="preserve">继续履行。</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lang w:val="en-US" w:eastAsia="zh-CN"/>
        </w:rPr>
        <w:t xml:space="preserve">20</w:t>
      </w:r>
      <w:r>
        <w:rPr>
          <w:rFonts w:hint="eastAsia" w:ascii="宋体" w:hAnsi="宋体" w:eastAsia="宋体" w:cs="宋体"/>
          <w:b/>
          <w:color w:val="000000"/>
          <w:sz w:val="21"/>
          <w:szCs w:val="21"/>
          <w:highlight w:val="none"/>
        </w:rPr>
        <w:t xml:space="preserve">.政府采购政策</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20.1 </w:t>
      </w:r>
      <w:r>
        <w:rPr>
          <w:rFonts w:hint="eastAsia" w:ascii="宋体" w:hAnsi="宋体" w:eastAsia="宋体" w:cs="宋体"/>
          <w:color w:val="000000"/>
          <w:sz w:val="21"/>
          <w:szCs w:val="21"/>
          <w:highlight w:val="none"/>
          <w:lang w:val="en-GB"/>
        </w:rPr>
        <w:t xml:space="preserve">本合同应当按照规定执行政府采购政策。</w:t>
      </w:r>
      <w:r>
        <w:rPr>
          <w:rFonts w:hint="eastAsia" w:ascii="宋体" w:hAnsi="宋体" w:eastAsia="宋体" w:cs="宋体"/>
          <w:color w:val="000000"/>
          <w:sz w:val="21"/>
          <w:szCs w:val="21"/>
          <w:highlight w:val="none"/>
          <w:lang w:val="en-US" w:eastAsia="zh-CN"/>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 本合同依法执行政府采购政策的方式和内容，属于合同履约验收的范围。</w:t>
      </w:r>
      <w:r>
        <w:rPr>
          <w:rFonts w:hint="eastAsia" w:ascii="宋体" w:hAnsi="宋体" w:eastAsia="宋体" w:cs="宋体"/>
          <w:color w:val="000000"/>
          <w:sz w:val="21"/>
          <w:szCs w:val="21"/>
          <w:highlight w:val="none"/>
          <w:lang w:eastAsia="zh-CN"/>
        </w:rPr>
        <w:t xml:space="preserve">甲乙双方</w:t>
      </w:r>
      <w:r>
        <w:rPr>
          <w:rFonts w:hint="eastAsia" w:ascii="宋体" w:hAnsi="宋体" w:eastAsia="宋体" w:cs="宋体"/>
          <w:color w:val="000000"/>
          <w:sz w:val="21"/>
          <w:szCs w:val="21"/>
          <w:highlight w:val="none"/>
          <w:lang w:val="en-GB"/>
        </w:rPr>
        <w:t xml:space="preserve">未按规定要求执行政府采购政策造成损失的</w:t>
      </w:r>
      <w:r>
        <w:rPr>
          <w:rFonts w:hint="eastAsia" w:ascii="宋体" w:hAnsi="宋体" w:eastAsia="宋体" w:cs="宋体"/>
          <w:color w:val="000000"/>
          <w:sz w:val="21"/>
          <w:szCs w:val="21"/>
          <w:highlight w:val="none"/>
        </w:rPr>
        <w:t xml:space="preserve">，有过错的一方应当承担赔偿责任，双方都有过错的，各自承担相应的责任。</w:t>
      </w:r>
      <w:r>
        <w:rPr>
          <w:rFonts w:hint="eastAsia" w:ascii="宋体" w:hAnsi="宋体" w:eastAsia="宋体" w:cs="宋体"/>
          <w:color w:val="000000"/>
          <w:sz w:val="21"/>
          <w:szCs w:val="21"/>
          <w:highlight w:val="none"/>
        </w:rPr>
      </w:r>
      <w:r/>
    </w:p>
    <w:p>
      <w:pPr>
        <w:pStyle w:val="1132"/>
        <w:ind w:firstLine="480"/>
        <w:pageBreakBefore w:val="0"/>
        <w:spacing w:after="0" w:line="360" w:lineRule="exact"/>
        <w:tabs>
          <w:tab w:val="left" w:pos="5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对于</w:t>
      </w:r>
      <w:r>
        <w:rPr>
          <w:rFonts w:hint="eastAsia" w:ascii="宋体" w:hAnsi="宋体" w:eastAsia="宋体" w:cs="宋体"/>
          <w:color w:val="000000"/>
          <w:sz w:val="21"/>
          <w:szCs w:val="21"/>
          <w:highlight w:val="none"/>
          <w:lang w:eastAsia="zh-CN"/>
        </w:rPr>
        <w:t xml:space="preserve">为落实中小企业支持政策，</w:t>
      </w:r>
      <w:r>
        <w:rPr>
          <w:rFonts w:hint="eastAsia" w:ascii="宋体" w:hAnsi="宋体" w:eastAsia="宋体" w:cs="宋体"/>
          <w:color w:val="000000"/>
          <w:sz w:val="21"/>
          <w:szCs w:val="21"/>
          <w:highlight w:val="none"/>
        </w:rPr>
        <w:t xml:space="preserve">通过采购项目</w:t>
      </w:r>
      <w:r>
        <w:rPr>
          <w:rFonts w:hint="eastAsia" w:ascii="宋体" w:hAnsi="宋体" w:eastAsia="宋体" w:cs="宋体"/>
          <w:color w:val="000000"/>
          <w:sz w:val="21"/>
          <w:szCs w:val="21"/>
          <w:highlight w:val="none"/>
          <w:lang w:eastAsia="zh-CN"/>
        </w:rPr>
        <w:t xml:space="preserve">整体</w:t>
      </w:r>
      <w:r>
        <w:rPr>
          <w:rFonts w:hint="eastAsia" w:ascii="宋体" w:hAnsi="宋体" w:eastAsia="宋体" w:cs="宋体"/>
          <w:color w:val="000000"/>
          <w:sz w:val="21"/>
          <w:szCs w:val="21"/>
          <w:highlight w:val="none"/>
        </w:rPr>
        <w:t xml:space="preserve">预留、</w:t>
      </w:r>
      <w:r>
        <w:rPr>
          <w:rFonts w:hint="eastAsia" w:ascii="宋体" w:hAnsi="宋体" w:eastAsia="宋体" w:cs="宋体"/>
          <w:color w:val="000000"/>
          <w:sz w:val="21"/>
          <w:szCs w:val="21"/>
          <w:highlight w:val="none"/>
          <w:lang w:eastAsia="zh-CN"/>
        </w:rPr>
        <w:t xml:space="preserve">设置</w:t>
      </w:r>
      <w:r>
        <w:rPr>
          <w:rFonts w:hint="eastAsia" w:ascii="宋体" w:hAnsi="宋体" w:eastAsia="宋体" w:cs="宋体"/>
          <w:color w:val="000000"/>
          <w:sz w:val="21"/>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color w:val="000000"/>
          <w:sz w:val="21"/>
          <w:szCs w:val="21"/>
          <w:highlight w:val="none"/>
        </w:rPr>
      </w:r>
      <w:r/>
    </w:p>
    <w:p>
      <w:pPr>
        <w:pStyle w:val="1048"/>
        <w:jc w:val="left"/>
        <w:pageBreakBefore w:val="0"/>
        <w:spacing w:before="0" w:line="3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lang w:val="en-US" w:eastAsia="zh-CN"/>
        </w:rPr>
        <w:t xml:space="preserve">1</w:t>
      </w:r>
      <w:r>
        <w:rPr>
          <w:rFonts w:hint="eastAsia" w:ascii="宋体" w:hAnsi="宋体" w:eastAsia="宋体" w:cs="宋体"/>
          <w:b/>
          <w:color w:val="000000"/>
          <w:sz w:val="21"/>
          <w:szCs w:val="21"/>
          <w:highlight w:val="none"/>
        </w:rPr>
        <w:t xml:space="preserve">.法律适用</w:t>
      </w:r>
      <w:r>
        <w:rPr>
          <w:rFonts w:hint="eastAsia" w:ascii="宋体" w:hAnsi="宋体" w:eastAsia="宋体" w:cs="宋体"/>
          <w:b/>
          <w:color w:val="000000"/>
          <w:sz w:val="21"/>
          <w:szCs w:val="21"/>
          <w:highlight w:val="none"/>
        </w:rPr>
      </w:r>
      <w:r/>
    </w:p>
    <w:p>
      <w:pPr>
        <w:pStyle w:val="1324"/>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.1本合同的订立、生效、解释、履行及与本合同有关的争议解决，均适用法律、行政法规。</w:t>
      </w:r>
      <w:r>
        <w:rPr>
          <w:rFonts w:hint="eastAsia" w:ascii="宋体" w:hAnsi="宋体" w:eastAsia="宋体" w:cs="宋体"/>
          <w:color w:val="000000"/>
          <w:sz w:val="21"/>
          <w:szCs w:val="21"/>
          <w:highlight w:val="none"/>
        </w:rPr>
      </w:r>
      <w:r/>
    </w:p>
    <w:p>
      <w:pPr>
        <w:pStyle w:val="1324"/>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.2本合同条款与法律、行政法规的强制性规定不一致的，双方当事人应按照法律、行政法规的强制性规定修改本合同的相关条款。</w:t>
      </w:r>
      <w:r>
        <w:rPr>
          <w:rFonts w:hint="eastAsia" w:ascii="宋体" w:hAnsi="宋体" w:eastAsia="宋体" w:cs="宋体"/>
          <w:color w:val="000000"/>
          <w:sz w:val="21"/>
          <w:szCs w:val="21"/>
          <w:highlight w:val="none"/>
        </w:rPr>
      </w:r>
      <w:r/>
    </w:p>
    <w:p>
      <w:pPr>
        <w:pStyle w:val="1048"/>
        <w:numPr>
          <w:ilvl w:val="0"/>
          <w:numId w:val="0"/>
        </w:numPr>
        <w:jc w:val="left"/>
        <w:pageBreakBefore w:val="0"/>
        <w:spacing w:before="0" w:line="3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22.</w:t>
      </w:r>
      <w:r>
        <w:rPr>
          <w:rFonts w:hint="eastAsia" w:ascii="宋体" w:hAnsi="宋体" w:eastAsia="宋体" w:cs="宋体"/>
          <w:b/>
          <w:color w:val="000000"/>
          <w:sz w:val="21"/>
          <w:szCs w:val="21"/>
          <w:highlight w:val="none"/>
        </w:rPr>
        <w:t xml:space="preserve">通知</w:t>
      </w:r>
      <w:r>
        <w:rPr>
          <w:rFonts w:hint="eastAsia" w:ascii="宋体" w:hAnsi="宋体" w:eastAsia="宋体" w:cs="宋体"/>
          <w:b/>
          <w:color w:val="000000"/>
          <w:sz w:val="21"/>
          <w:szCs w:val="21"/>
          <w:highlight w:val="none"/>
        </w:rPr>
      </w:r>
      <w:r/>
    </w:p>
    <w:p>
      <w:pPr>
        <w:pStyle w:val="1324"/>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.1本合同任何一方向对方发出的通知、信件、数据电文等，应当发送至本合同第一部分《政府采购合同协议书》所约定的通讯地址、联系人、联系电话或电子邮箱。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000000"/>
          <w:sz w:val="21"/>
          <w:szCs w:val="21"/>
          <w:highlight w:val="none"/>
        </w:rPr>
      </w:r>
      <w:r/>
    </w:p>
    <w:p>
      <w:pPr>
        <w:pStyle w:val="1324"/>
        <w:ind w:firstLine="0"/>
        <w:jc w:val="both"/>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.2一方当事人变更名称、</w:t>
      </w:r>
      <w:r>
        <w:rPr>
          <w:rFonts w:hint="eastAsia" w:ascii="宋体" w:hAnsi="宋体" w:eastAsia="宋体" w:cs="宋体"/>
          <w:color w:val="000000"/>
          <w:sz w:val="21"/>
          <w:szCs w:val="21"/>
          <w:highlight w:val="none"/>
          <w:lang w:eastAsia="zh-CN"/>
        </w:rPr>
        <w:t xml:space="preserve">住所</w:t>
      </w:r>
      <w:r>
        <w:rPr>
          <w:rFonts w:hint="eastAsia" w:ascii="宋体" w:hAnsi="宋体" w:eastAsia="宋体" w:cs="宋体"/>
          <w:color w:val="000000"/>
          <w:sz w:val="21"/>
          <w:szCs w:val="21"/>
          <w:highlight w:val="none"/>
        </w:rPr>
        <w:t xml:space="preserve">、联系人、联系电话或电子邮箱</w:t>
      </w:r>
      <w:r>
        <w:rPr>
          <w:rFonts w:hint="eastAsia" w:ascii="宋体" w:hAnsi="宋体" w:eastAsia="宋体" w:cs="宋体"/>
          <w:color w:val="000000"/>
          <w:sz w:val="21"/>
          <w:szCs w:val="21"/>
          <w:highlight w:val="none"/>
          <w:lang w:eastAsia="zh-CN"/>
        </w:rPr>
        <w:t xml:space="preserve">等信息</w:t>
      </w:r>
      <w:r>
        <w:rPr>
          <w:rFonts w:hint="eastAsia" w:ascii="宋体" w:hAnsi="宋体" w:eastAsia="宋体" w:cs="宋体"/>
          <w:color w:val="000000"/>
          <w:sz w:val="21"/>
          <w:szCs w:val="21"/>
          <w:highlight w:val="none"/>
        </w:rPr>
        <w:t xml:space="preserve">的，应当在变更后3日内及时书面通知对方，对方实际收到变更通知前的送达仍为有效送达。</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本合同一方给另一方的通知均应采用书面形式，传真或快递送到本合同中规定的对方的地址和办理签收手续。</w:t>
      </w:r>
      <w:r>
        <w:rPr>
          <w:rFonts w:hint="eastAsia" w:ascii="宋体" w:hAnsi="宋体" w:eastAsia="宋体" w:cs="宋体"/>
          <w:color w:val="000000"/>
          <w:sz w:val="21"/>
          <w:szCs w:val="21"/>
          <w:highlight w:val="none"/>
        </w:rPr>
      </w:r>
      <w:r/>
    </w:p>
    <w:p>
      <w:pPr>
        <w:pStyle w:val="1048"/>
        <w:ind w:firstLine="480"/>
        <w:jc w:val="left"/>
        <w:pageBreakBefore w:val="0"/>
        <w:spacing w:before="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通知以送达之日或通知书中规定的生效之日起生效，两者中以较迟之日为准。</w:t>
      </w:r>
      <w:r>
        <w:rPr>
          <w:rFonts w:hint="eastAsia" w:ascii="宋体" w:hAnsi="宋体" w:eastAsia="宋体" w:cs="宋体"/>
          <w:color w:val="000000"/>
          <w:sz w:val="21"/>
          <w:szCs w:val="21"/>
          <w:highlight w:val="none"/>
        </w:rPr>
      </w:r>
      <w:r/>
    </w:p>
    <w:p>
      <w:pPr>
        <w:pStyle w:val="1048"/>
        <w:numPr>
          <w:ilvl w:val="0"/>
          <w:numId w:val="0"/>
        </w:numPr>
        <w:jc w:val="left"/>
        <w:pageBreakBefore w:val="0"/>
        <w:spacing w:before="0"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bidi="ar-SA"/>
        </w:rPr>
        <w:t xml:space="preserve">23.</w:t>
      </w:r>
      <w:r>
        <w:rPr>
          <w:rFonts w:hint="eastAsia" w:ascii="宋体" w:hAnsi="宋体" w:eastAsia="宋体" w:cs="宋体"/>
          <w:b/>
          <w:bCs/>
          <w:color w:val="000000"/>
          <w:sz w:val="21"/>
          <w:szCs w:val="21"/>
          <w:highlight w:val="none"/>
        </w:rPr>
        <w:t xml:space="preserve">合同未尽事项</w:t>
      </w:r>
      <w:r>
        <w:rPr>
          <w:rFonts w:hint="eastAsia" w:ascii="宋体" w:hAnsi="宋体" w:eastAsia="宋体" w:cs="宋体"/>
          <w:b/>
          <w:bCs/>
          <w:color w:val="000000"/>
          <w:sz w:val="21"/>
          <w:szCs w:val="21"/>
          <w:highlight w:val="none"/>
        </w:rPr>
      </w:r>
      <w:r/>
    </w:p>
    <w:p>
      <w:pPr>
        <w:pStyle w:val="1048"/>
        <w:ind w:firstLine="480"/>
        <w:jc w:val="left"/>
        <w:pageBreakBefore w:val="0"/>
        <w:spacing w:before="0" w:line="36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.1合同未尽事项见</w:t>
      </w:r>
      <w:r>
        <w:rPr>
          <w:rFonts w:hint="eastAsia" w:ascii="宋体" w:hAnsi="宋体" w:eastAsia="宋体" w:cs="宋体"/>
          <w:b/>
          <w:color w:val="000000"/>
          <w:sz w:val="21"/>
          <w:szCs w:val="21"/>
          <w:highlight w:val="none"/>
        </w:rPr>
        <w:t xml:space="preserve">【政府采购合同专用条款】</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1048"/>
        <w:ind w:firstLine="0"/>
        <w:jc w:val="left"/>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    23.2 合同附件与合同正文具有同等的法律效力。</w:t>
      </w:r>
      <w:bookmarkStart w:id="715" w:name="_Toc20313"/>
      <w:r>
        <w:rPr>
          <w:rFonts w:hint="eastAsia" w:ascii="宋体" w:hAnsi="宋体" w:eastAsia="宋体" w:cs="宋体"/>
          <w:color w:val="000000"/>
          <w:sz w:val="21"/>
          <w:szCs w:val="21"/>
          <w:highlight w:val="none"/>
        </w:rPr>
      </w:r>
      <w:r/>
    </w:p>
    <w:p>
      <w:pPr>
        <w:pStyle w:val="1325"/>
        <w:jc w:val="center"/>
        <w:spacing w:before="156"/>
        <w:rPr>
          <w:rFonts w:ascii="黑体" w:hAnsi="华文中宋" w:eastAsia="黑体"/>
          <w:b w:val="0"/>
          <w:bCs w:val="0"/>
          <w:color w:val="000000"/>
          <w:sz w:val="28"/>
          <w:szCs w:val="28"/>
          <w:highlight w:val="none"/>
        </w:rPr>
      </w:pPr>
      <w:r>
        <w:rPr>
          <w:rFonts w:hint="eastAsia" w:ascii="黑体" w:hAnsi="华文中宋" w:eastAsia="黑体"/>
          <w:b w:val="0"/>
          <w:bCs w:val="0"/>
          <w:color w:val="000000"/>
          <w:sz w:val="28"/>
          <w:szCs w:val="28"/>
          <w:highlight w:val="none"/>
        </w:rPr>
        <w:br w:type="page" w:clear="all"/>
      </w:r>
      <w:r>
        <w:rPr>
          <w:rFonts w:hint="eastAsia" w:ascii="宋体" w:hAnsi="宋体" w:eastAsia="宋体" w:cs="宋体"/>
          <w:b/>
          <w:bCs/>
          <w:color w:val="000000"/>
          <w:sz w:val="28"/>
          <w:szCs w:val="28"/>
          <w:highlight w:val="none"/>
        </w:rPr>
        <w:t xml:space="preserve">第三节 政府采购合同专用条款</w:t>
      </w:r>
      <w:bookmarkEnd w:id="715"/>
      <w:r>
        <w:rPr>
          <w:rFonts w:ascii="黑体" w:hAnsi="华文中宋" w:eastAsia="黑体"/>
          <w:b w:val="0"/>
          <w:bCs w:val="0"/>
          <w:color w:val="000000"/>
          <w:sz w:val="28"/>
          <w:szCs w:val="28"/>
          <w:highlight w:val="none"/>
        </w:rPr>
      </w:r>
      <w:r/>
    </w:p>
    <w:tbl>
      <w:tblPr>
        <w:tblW w:w="9741"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392"/>
      </w:tblGrid>
      <w:tr>
        <w:trPr>
          <w:trHeight w:val="90"/>
        </w:trPr>
        <w:tc>
          <w:tcPr>
            <w:tcW w:w="1607"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第二节</w:t>
            </w:r>
            <w:r>
              <w:rPr>
                <w:rFonts w:hint="eastAsia" w:ascii="宋体" w:hAnsi="宋体" w:eastAsia="宋体" w:cs="宋体"/>
                <w:color w:val="000000"/>
                <w:sz w:val="21"/>
                <w:szCs w:val="21"/>
                <w:highlight w:val="none"/>
                <w:lang w:eastAsia="zh-CN"/>
              </w:rPr>
            </w:r>
            <w:r/>
          </w:p>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第</w:t>
            </w:r>
            <w:r>
              <w:rPr>
                <w:rFonts w:hint="eastAsia" w:ascii="宋体" w:hAnsi="宋体" w:eastAsia="宋体" w:cs="宋体"/>
                <w:color w:val="000000"/>
                <w:sz w:val="21"/>
                <w:szCs w:val="21"/>
                <w:highlight w:val="none"/>
                <w:lang w:val="en-US" w:eastAsia="zh-CN"/>
              </w:rPr>
              <w:t xml:space="preserve">5.4款</w:t>
            </w:r>
            <w:r>
              <w:rPr>
                <w:rFonts w:hint="eastAsia" w:ascii="宋体" w:hAnsi="宋体" w:eastAsia="宋体" w:cs="宋体"/>
                <w:color w:val="000000"/>
                <w:sz w:val="21"/>
                <w:szCs w:val="21"/>
                <w:highlight w:val="none"/>
                <w:lang w:val="en-US" w:eastAsia="zh-CN"/>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约定乙方承担的其他义务和责任</w:t>
            </w:r>
            <w:r>
              <w:rPr>
                <w:rFonts w:hint="eastAsia" w:ascii="宋体" w:hAnsi="宋体" w:eastAsia="宋体" w:cs="宋体"/>
                <w:color w:val="000000"/>
                <w:sz w:val="21"/>
                <w:szCs w:val="21"/>
                <w:highlight w:val="none"/>
                <w:lang w:eastAsia="zh-CN"/>
              </w:rPr>
            </w:r>
            <w:r/>
          </w:p>
        </w:tc>
        <w:tc>
          <w:tcPr>
            <w:tcW w:w="6392" w:type="dxa"/>
            <w:vAlign w:val="center"/>
            <w:textDirection w:val="lrTb"/>
            <w:noWrap w:val="false"/>
          </w:tcPr>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合格并通过公安交警部门的验收；监控设备需接入现有公安后台进行应用，所有前后端产品需无缝兼容常州图像专网平台；设备性能及技术参数指标应达到招投标文件约定及现行国家相关规范、标准。</w:t>
            </w:r>
            <w:r>
              <w:rPr>
                <w:rFonts w:hint="eastAsia" w:ascii="宋体" w:hAnsi="宋体" w:eastAsia="宋体" w:cs="宋体"/>
                <w:color w:val="000000"/>
                <w:sz w:val="21"/>
                <w:szCs w:val="21"/>
                <w:highlight w:val="none"/>
                <w:lang w:val="en-US" w:eastAsia="zh-CN" w:bidi="ar-SA"/>
              </w:rPr>
            </w:r>
            <w:r/>
          </w:p>
        </w:tc>
      </w:tr>
      <w:tr>
        <w:trPr>
          <w:trHeight w:val="667"/>
        </w:trPr>
        <w:tc>
          <w:tcPr>
            <w:tcW w:w="1607" w:type="dxa"/>
            <w:vAlign w:val="center"/>
            <w:vMerge w:val="restart"/>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第二节</w:t>
            </w:r>
            <w:r>
              <w:rPr>
                <w:rFonts w:hint="eastAsia" w:ascii="宋体" w:hAnsi="宋体" w:eastAsia="宋体" w:cs="宋体"/>
                <w:color w:val="000000"/>
                <w:sz w:val="21"/>
                <w:szCs w:val="21"/>
                <w:highlight w:val="none"/>
              </w:rPr>
            </w:r>
            <w:r/>
          </w:p>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款</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包装</w:t>
            </w:r>
            <w:r>
              <w:rPr>
                <w:rFonts w:hint="eastAsia" w:ascii="宋体" w:hAnsi="宋体" w:eastAsia="宋体" w:cs="宋体"/>
                <w:color w:val="000000"/>
                <w:sz w:val="21"/>
                <w:szCs w:val="21"/>
                <w:highlight w:val="none"/>
                <w:lang w:eastAsia="zh-CN"/>
              </w:rPr>
              <w:t xml:space="preserve">特殊要求</w:t>
            </w:r>
            <w:r>
              <w:rPr>
                <w:rFonts w:hint="eastAsia" w:ascii="宋体" w:hAnsi="宋体" w:eastAsia="宋体" w:cs="宋体"/>
                <w:color w:val="000000"/>
                <w:sz w:val="21"/>
                <w:szCs w:val="21"/>
                <w:highlight w:val="none"/>
              </w:rPr>
            </w:r>
            <w:r/>
          </w:p>
        </w:tc>
        <w:tc>
          <w:tcPr>
            <w:tcW w:w="6392" w:type="dxa"/>
            <w:vAlign w:val="center"/>
            <w:textDirection w:val="lrTb"/>
            <w:noWrap w:val="false"/>
          </w:tcPr>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lang w:val="en-US" w:eastAsia="zh-CN"/>
              </w:rPr>
              <w:t xml:space="preserve">1.</w:t>
            </w:r>
            <w:r>
              <w:rPr>
                <w:rFonts w:hint="eastAsia" w:ascii="宋体" w:hAnsi="宋体" w:eastAsia="宋体" w:cs="宋体"/>
                <w:color w:val="000000"/>
                <w:sz w:val="21"/>
                <w:szCs w:val="21"/>
                <w:highlight w:val="none"/>
                <w:u w:val="none"/>
              </w:rPr>
              <w:t xml:space="preserve">乙方保证本合同范围内货物的包装能满足长途运输及装卸的需要，并依据所供物资特点分别采取防潮、防霉、防锈、防腐、防冻措施；每件包装箱内，应附有包括分件名称、数量、图号的详细装箱单及产品出厂质量合格证明书和技术说明。</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2.因包装不良造成货物和技术资料损坏、丢失或性能降低，无论在何时何地发现，供方均应负责及时修复、更换或赔偿。运输中发生货物损坏或丢失时，乙方应做好记录并负责与承运人及保险公司交涉，同时乙方应尽快向甲方补供货物以满足工期要求。</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3.乙方应承担由于货物发生损坏或丢失而补供导致的延迟交付货物的违约责任。</w:t>
            </w:r>
            <w:r>
              <w:rPr>
                <w:rFonts w:hint="eastAsia" w:ascii="宋体" w:hAnsi="宋体" w:eastAsia="宋体" w:cs="宋体"/>
                <w:color w:val="000000"/>
                <w:sz w:val="21"/>
                <w:szCs w:val="21"/>
                <w:highlight w:val="none"/>
                <w:u w:val="none"/>
              </w:rPr>
            </w:r>
            <w:r/>
          </w:p>
        </w:tc>
      </w:tr>
      <w:tr>
        <w:trPr>
          <w:trHeight w:val="427"/>
        </w:trPr>
        <w:tc>
          <w:tcPr>
            <w:tcW w:w="1607" w:type="dxa"/>
            <w:vAlign w:val="center"/>
            <w:vMerge w:val="continue"/>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指定现场</w:t>
            </w:r>
            <w:r>
              <w:rPr>
                <w:rFonts w:hint="eastAsia" w:ascii="宋体" w:hAnsi="宋体" w:eastAsia="宋体" w:cs="宋体"/>
                <w:color w:val="000000"/>
                <w:sz w:val="21"/>
                <w:szCs w:val="21"/>
                <w:highlight w:val="none"/>
                <w:lang w:eastAsia="zh-CN"/>
              </w:rPr>
            </w:r>
            <w:r/>
          </w:p>
        </w:tc>
        <w:tc>
          <w:tcPr>
            <w:tcW w:w="6392" w:type="dxa"/>
            <w:vAlign w:val="center"/>
            <w:textDirection w:val="lrTb"/>
            <w:noWrap w:val="false"/>
          </w:tcPr>
          <w:p>
            <w:pPr>
              <w:pStyle w:val="1048"/>
              <w:ind w:left="0" w:right="0" w:firstLine="0"/>
              <w:keepLines w:val="0"/>
              <w:keepNext w:val="0"/>
              <w:pageBreakBefore w:val="0"/>
              <w:spacing w:before="0" w:beforeAutospacing="0" w:after="0" w:afterAutospacing="0" w:line="3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甲方指定现场</w:t>
            </w:r>
            <w:r>
              <w:rPr>
                <w:rFonts w:hint="eastAsia" w:ascii="宋体" w:hAnsi="宋体" w:eastAsia="宋体" w:cs="宋体"/>
                <w:color w:val="000000"/>
                <w:sz w:val="21"/>
                <w:szCs w:val="21"/>
                <w:highlight w:val="none"/>
              </w:rPr>
            </w:r>
            <w:r/>
          </w:p>
        </w:tc>
      </w:tr>
      <w:tr>
        <w:trPr>
          <w:trHeight w:val="90"/>
        </w:trPr>
        <w:tc>
          <w:tcPr>
            <w:tcW w:w="1607"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第二节</w:t>
            </w:r>
            <w:r>
              <w:rPr>
                <w:rFonts w:hint="eastAsia" w:ascii="宋体" w:hAnsi="宋体" w:eastAsia="宋体" w:cs="宋体"/>
                <w:color w:val="000000"/>
                <w:sz w:val="21"/>
                <w:szCs w:val="21"/>
                <w:highlight w:val="none"/>
              </w:rPr>
            </w:r>
            <w:r/>
          </w:p>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款</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保险要求</w:t>
            </w:r>
            <w:r>
              <w:rPr>
                <w:rFonts w:hint="eastAsia" w:ascii="宋体" w:hAnsi="宋体" w:eastAsia="宋体" w:cs="宋体"/>
                <w:color w:val="000000"/>
                <w:sz w:val="21"/>
                <w:szCs w:val="21"/>
                <w:highlight w:val="none"/>
                <w:lang w:eastAsia="zh-CN"/>
              </w:rPr>
            </w:r>
            <w:r/>
          </w:p>
        </w:tc>
        <w:tc>
          <w:tcPr>
            <w:tcW w:w="6392" w:type="dxa"/>
            <w:vAlign w:val="center"/>
            <w:textDirection w:val="lrTb"/>
            <w:noWrap w:val="false"/>
          </w:tcPr>
          <w:p>
            <w:pPr>
              <w:pStyle w:val="1048"/>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97"/>
        </w:trPr>
        <w:tc>
          <w:tcPr>
            <w:tcW w:w="1607"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第二节</w:t>
            </w:r>
            <w:r>
              <w:rPr>
                <w:rFonts w:hint="eastAsia" w:ascii="宋体" w:hAnsi="宋体" w:eastAsia="宋体" w:cs="宋体"/>
                <w:color w:val="000000"/>
                <w:sz w:val="21"/>
                <w:szCs w:val="21"/>
                <w:highlight w:val="none"/>
              </w:rPr>
            </w:r>
            <w:r/>
          </w:p>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13.2</w:t>
            </w:r>
            <w:r>
              <w:rPr>
                <w:rFonts w:hint="eastAsia" w:ascii="宋体" w:hAnsi="宋体" w:eastAsia="宋体" w:cs="宋体"/>
                <w:color w:val="000000"/>
                <w:sz w:val="21"/>
                <w:szCs w:val="21"/>
                <w:highlight w:val="none"/>
              </w:rPr>
              <w:t xml:space="preserve">款</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履约保证金不予退还的情形</w:t>
            </w:r>
            <w:r>
              <w:rPr>
                <w:rFonts w:hint="eastAsia" w:ascii="宋体" w:hAnsi="宋体" w:eastAsia="宋体" w:cs="宋体"/>
                <w:color w:val="000000"/>
                <w:sz w:val="21"/>
                <w:szCs w:val="21"/>
                <w:highlight w:val="none"/>
                <w:lang w:val="en-US" w:eastAsia="zh-CN"/>
              </w:rPr>
            </w:r>
            <w:r/>
          </w:p>
        </w:tc>
        <w:tc>
          <w:tcPr>
            <w:tcW w:w="6392" w:type="dxa"/>
            <w:vAlign w:val="center"/>
            <w:textDirection w:val="lrTb"/>
            <w:noWrap w:val="false"/>
          </w:tcPr>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①违反合同义务且未承担违约责任；</w:t>
            </w:r>
            <w:r>
              <w:rPr>
                <w:rFonts w:hint="eastAsia" w:ascii="宋体" w:hAnsi="宋体" w:eastAsia="宋体" w:cs="宋体"/>
                <w:color w:val="000000"/>
                <w:sz w:val="21"/>
                <w:szCs w:val="21"/>
                <w:highlight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②未按时履行违约责任；</w:t>
            </w:r>
            <w:r>
              <w:rPr>
                <w:rFonts w:hint="eastAsia" w:ascii="宋体" w:hAnsi="宋体" w:eastAsia="宋体" w:cs="宋体"/>
                <w:color w:val="000000"/>
                <w:sz w:val="21"/>
                <w:szCs w:val="21"/>
                <w:highlight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③未能履行与甲方签订的合同，且损失超出保证金金额；</w:t>
            </w:r>
            <w:r>
              <w:rPr>
                <w:rFonts w:hint="eastAsia" w:ascii="宋体" w:hAnsi="宋体" w:eastAsia="宋体" w:cs="宋体"/>
                <w:color w:val="000000"/>
                <w:sz w:val="21"/>
                <w:szCs w:val="21"/>
                <w:highlight w:val="none"/>
              </w:rPr>
            </w:r>
            <w:r/>
          </w:p>
        </w:tc>
      </w:tr>
      <w:tr>
        <w:trPr>
          <w:trHeight w:val="90"/>
        </w:trPr>
        <w:tc>
          <w:tcPr>
            <w:tcW w:w="1607"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第二节</w:t>
            </w:r>
            <w:r>
              <w:rPr>
                <w:rFonts w:hint="eastAsia" w:ascii="宋体" w:hAnsi="宋体" w:eastAsia="宋体" w:cs="宋体"/>
                <w:color w:val="000000"/>
                <w:sz w:val="21"/>
                <w:szCs w:val="21"/>
                <w:highlight w:val="none"/>
              </w:rPr>
            </w:r>
            <w:r/>
          </w:p>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）项</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货物回收的约定</w:t>
            </w:r>
            <w:r>
              <w:rPr>
                <w:rFonts w:hint="eastAsia" w:ascii="宋体" w:hAnsi="宋体" w:eastAsia="宋体" w:cs="宋体"/>
                <w:color w:val="000000"/>
                <w:sz w:val="21"/>
                <w:szCs w:val="21"/>
                <w:highlight w:val="none"/>
                <w:lang w:val="en-US" w:eastAsia="zh-CN"/>
              </w:rPr>
            </w:r>
            <w:r/>
          </w:p>
        </w:tc>
        <w:tc>
          <w:tcPr>
            <w:tcW w:w="6392" w:type="dxa"/>
            <w:vAlign w:val="center"/>
            <w:textDirection w:val="lrTb"/>
            <w:noWrap w:val="false"/>
          </w:tcPr>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提供的产品若有缺陷，应主动召回。</w:t>
            </w:r>
            <w:r>
              <w:rPr>
                <w:rFonts w:hint="eastAsia" w:ascii="宋体" w:hAnsi="宋体" w:eastAsia="宋体" w:cs="宋体"/>
                <w:color w:val="000000"/>
                <w:sz w:val="21"/>
                <w:szCs w:val="21"/>
                <w:highlight w:val="none"/>
              </w:rPr>
            </w:r>
            <w:r/>
          </w:p>
        </w:tc>
      </w:tr>
      <w:tr>
        <w:trPr>
          <w:trHeight w:val="736"/>
        </w:trPr>
        <w:tc>
          <w:tcPr>
            <w:tcW w:w="1607"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第二节</w:t>
            </w:r>
            <w:r>
              <w:rPr>
                <w:rFonts w:hint="eastAsia" w:ascii="宋体" w:hAnsi="宋体" w:eastAsia="宋体" w:cs="宋体"/>
                <w:color w:val="000000"/>
                <w:sz w:val="21"/>
                <w:szCs w:val="21"/>
                <w:highlight w:val="none"/>
              </w:rPr>
            </w:r>
            <w:r/>
          </w:p>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.2（2）项</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迟延交货赔偿费</w:t>
            </w:r>
            <w:r>
              <w:rPr>
                <w:rFonts w:hint="eastAsia" w:ascii="宋体" w:hAnsi="宋体" w:eastAsia="宋体" w:cs="宋体"/>
                <w:color w:val="000000"/>
                <w:sz w:val="21"/>
                <w:szCs w:val="21"/>
                <w:highlight w:val="none"/>
              </w:rPr>
            </w:r>
            <w:r/>
          </w:p>
        </w:tc>
        <w:tc>
          <w:tcPr>
            <w:tcW w:w="6392" w:type="dxa"/>
            <w:vAlign w:val="center"/>
            <w:textDirection w:val="lrTb"/>
            <w:noWrap w:val="false"/>
          </w:tcPr>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none"/>
              </w:rPr>
              <w:t xml:space="preserve">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hint="eastAsia" w:ascii="宋体" w:hAnsi="宋体" w:eastAsia="宋体" w:cs="宋体"/>
                <w:color w:val="000000"/>
                <w:sz w:val="21"/>
                <w:szCs w:val="21"/>
                <w:highlight w:val="none"/>
                <w:u w:val="single"/>
              </w:rPr>
            </w:r>
            <w:r/>
          </w:p>
        </w:tc>
      </w:tr>
      <w:tr>
        <w:trPr>
          <w:trHeight w:val="876"/>
        </w:trPr>
        <w:tc>
          <w:tcPr>
            <w:tcW w:w="1607"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第二节</w:t>
            </w:r>
            <w:r>
              <w:rPr>
                <w:rFonts w:hint="eastAsia" w:ascii="宋体" w:hAnsi="宋体" w:eastAsia="宋体" w:cs="宋体"/>
                <w:color w:val="000000"/>
                <w:sz w:val="21"/>
                <w:szCs w:val="21"/>
                <w:highlight w:val="none"/>
              </w:rPr>
            </w:r>
            <w:r/>
          </w:p>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val="en-US" w:eastAsia="zh-CN"/>
              </w:rPr>
              <w:t xml:space="preserve">款</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其他违约责任</w:t>
            </w:r>
            <w:r>
              <w:rPr>
                <w:rFonts w:hint="eastAsia" w:ascii="宋体" w:hAnsi="宋体" w:eastAsia="宋体" w:cs="宋体"/>
                <w:color w:val="000000"/>
                <w:sz w:val="21"/>
                <w:szCs w:val="21"/>
                <w:highlight w:val="none"/>
              </w:rPr>
            </w:r>
            <w:r/>
          </w:p>
        </w:tc>
        <w:tc>
          <w:tcPr>
            <w:tcW w:w="6392" w:type="dxa"/>
            <w:vAlign w:val="center"/>
            <w:textDirection w:val="lrTb"/>
            <w:noWrap w:val="false"/>
          </w:tcPr>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乙方无法完成项目的，应向甲方支付合同总价10％的违约金，同时甲方有权解除合同。</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乙方完成的项目不符合要求的，应按照甲方选择的下列一种或多种方式承担赔偿责任：</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(2)在甲方规定时间内，修正有缺陷的部分以达到合同规定的要求并承担一切费用和风险，同时承担甲方因此所遭受的全部损失；</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(3) 甲方因乙方违约而解除合同的，有权要求乙方按合同规定同种货币退还甲方已付款项，同时承担由此发生的一切损失和费用，包括但不限于利息、银行手续费及所需的其他必要费用。</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none"/>
              </w:rPr>
              <w:t xml:space="preserve">乙方未按规定和承诺提供伴随服务、售后服务的，应向甲方支付合同总价5％的违约金。</w:t>
            </w:r>
            <w:r>
              <w:rPr>
                <w:rFonts w:hint="eastAsia" w:ascii="宋体" w:hAnsi="宋体" w:eastAsia="宋体" w:cs="宋体"/>
                <w:color w:val="000000"/>
                <w:sz w:val="21"/>
                <w:szCs w:val="21"/>
                <w:highlight w:val="none"/>
                <w:u w:val="single"/>
              </w:rPr>
            </w:r>
            <w:r/>
          </w:p>
        </w:tc>
      </w:tr>
      <w:tr>
        <w:trPr>
          <w:trHeight w:val="90"/>
        </w:trPr>
        <w:tc>
          <w:tcPr>
            <w:tcW w:w="1607"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第二节</w:t>
            </w:r>
            <w:r>
              <w:rPr>
                <w:rFonts w:hint="eastAsia" w:ascii="宋体" w:hAnsi="宋体" w:eastAsia="宋体" w:cs="宋体"/>
                <w:color w:val="000000"/>
                <w:sz w:val="21"/>
                <w:szCs w:val="21"/>
                <w:highlight w:val="none"/>
              </w:rPr>
            </w:r>
            <w:r/>
          </w:p>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款</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解决争议的方法</w:t>
            </w:r>
            <w:r>
              <w:rPr>
                <w:rFonts w:hint="eastAsia" w:ascii="宋体" w:hAnsi="宋体" w:eastAsia="宋体" w:cs="宋体"/>
                <w:color w:val="000000"/>
                <w:sz w:val="21"/>
                <w:szCs w:val="21"/>
                <w:highlight w:val="none"/>
              </w:rPr>
            </w:r>
            <w:r/>
          </w:p>
        </w:tc>
        <w:tc>
          <w:tcPr>
            <w:tcW w:w="6392" w:type="dxa"/>
            <w:vAlign w:val="center"/>
            <w:textDirection w:val="lrTb"/>
            <w:noWrap w:val="false"/>
          </w:tcPr>
          <w:p>
            <w:pPr>
              <w:pStyle w:val="1048"/>
              <w:ind w:firstLine="0"/>
              <w:jc w:val="left"/>
              <w:keepLines w:val="0"/>
              <w:keepNext w:val="0"/>
              <w:pageBreakBefore w:val="0"/>
              <w:spacing w:line="360" w:lineRule="exact"/>
              <w:widowControl w:val="off"/>
              <w:rPr>
                <w:rFonts w:hint="eastAsia" w:ascii="宋体" w:hAnsi="宋体" w:eastAsia="宋体" w:cs="宋体"/>
                <w:color w:val="000000"/>
                <w:sz w:val="21"/>
                <w:szCs w:val="21"/>
                <w:highlight w:val="none"/>
                <w:u w:val="single"/>
              </w:rPr>
            </w:pPr>
            <w:r>
              <w:rPr>
                <w:rFonts w:hint="eastAsia" w:ascii="宋体" w:hAnsi="宋体" w:eastAsia="宋体" w:cs="宋体"/>
                <w:b w:val="0"/>
                <w:bCs w:val="0"/>
                <w:iCs/>
                <w:color w:val="000000"/>
                <w:sz w:val="21"/>
                <w:szCs w:val="21"/>
                <w:highlight w:val="none"/>
              </w:rPr>
              <w:t xml:space="preserve">因本合同及合同有关事项发生的争议，按下列方式解决：向 常州市</w:t>
            </w:r>
            <w:r>
              <w:rPr>
                <w:rFonts w:hint="eastAsia" w:ascii="宋体" w:hAnsi="宋体" w:eastAsia="宋体" w:cs="宋体"/>
                <w:b w:val="0"/>
                <w:bCs w:val="0"/>
                <w:iCs/>
                <w:color w:val="000000"/>
                <w:sz w:val="21"/>
                <w:szCs w:val="21"/>
                <w:highlight w:val="none"/>
                <w:lang w:val="en-US" w:eastAsia="zh-CN"/>
              </w:rPr>
              <w:t xml:space="preserve">天宁区</w:t>
            </w:r>
            <w:r>
              <w:rPr>
                <w:rFonts w:hint="eastAsia" w:ascii="宋体" w:hAnsi="宋体" w:eastAsia="宋体" w:cs="宋体"/>
                <w:b w:val="0"/>
                <w:bCs w:val="0"/>
                <w:iCs/>
                <w:color w:val="000000"/>
                <w:sz w:val="21"/>
                <w:szCs w:val="21"/>
                <w:highlight w:val="none"/>
              </w:rPr>
              <w:t xml:space="preserve"> 人民法院起诉。</w:t>
            </w:r>
            <w:r>
              <w:rPr>
                <w:rFonts w:hint="eastAsia" w:ascii="宋体" w:hAnsi="宋体" w:eastAsia="宋体" w:cs="宋体"/>
                <w:color w:val="000000"/>
                <w:sz w:val="21"/>
                <w:szCs w:val="21"/>
                <w:highlight w:val="none"/>
                <w:u w:val="single"/>
              </w:rPr>
            </w:r>
            <w:r/>
          </w:p>
        </w:tc>
      </w:tr>
      <w:tr>
        <w:trPr>
          <w:trHeight w:val="770"/>
        </w:trPr>
        <w:tc>
          <w:tcPr>
            <w:tcW w:w="1607"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第二节</w:t>
            </w:r>
            <w:r>
              <w:rPr>
                <w:rFonts w:hint="eastAsia" w:ascii="宋体" w:hAnsi="宋体" w:eastAsia="宋体" w:cs="宋体"/>
                <w:color w:val="000000"/>
                <w:sz w:val="21"/>
                <w:szCs w:val="21"/>
                <w:highlight w:val="none"/>
              </w:rPr>
            </w:r>
            <w:r/>
          </w:p>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第2</w:t>
            </w: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eastAsia="zh-CN"/>
              </w:rPr>
              <w:t xml:space="preserve">款</w:t>
            </w:r>
            <w:r>
              <w:rPr>
                <w:rFonts w:hint="eastAsia" w:ascii="宋体" w:hAnsi="宋体" w:eastAsia="宋体" w:cs="宋体"/>
                <w:color w:val="000000"/>
                <w:sz w:val="21"/>
                <w:szCs w:val="21"/>
                <w:highlight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eastAsia="zh-CN"/>
              </w:rPr>
              <w:t xml:space="preserve">其他专用条款</w:t>
            </w:r>
            <w:r>
              <w:rPr>
                <w:rFonts w:hint="eastAsia" w:ascii="宋体" w:hAnsi="宋体" w:eastAsia="宋体" w:cs="宋体"/>
                <w:color w:val="000000"/>
                <w:sz w:val="21"/>
                <w:szCs w:val="21"/>
                <w:highlight w:val="none"/>
              </w:rPr>
            </w:r>
            <w:r/>
          </w:p>
        </w:tc>
        <w:tc>
          <w:tcPr>
            <w:tcW w:w="6392" w:type="dxa"/>
            <w:vAlign w:val="center"/>
            <w:textDirection w:val="lrTb"/>
            <w:noWrap w:val="false"/>
          </w:tcPr>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除《中华人民共和国政府采购法》第 49 条、第 50 条第二款规定的情形外，本合同一经签订，甲乙双方不得擅自变更、中止或终止合同。</w:t>
            </w:r>
            <w:r>
              <w:rPr>
                <w:rFonts w:hint="eastAsia" w:ascii="宋体" w:hAnsi="宋体" w:eastAsia="宋体" w:cs="宋体"/>
                <w:color w:val="000000"/>
                <w:sz w:val="21"/>
                <w:szCs w:val="21"/>
                <w:highlight w:val="none"/>
                <w:lang w:val="en-US" w:eastAsia="zh-CN"/>
              </w:rPr>
            </w:r>
            <w:r/>
          </w:p>
        </w:tc>
      </w:tr>
      <w:tr>
        <w:trPr>
          <w:trHeight w:val="770"/>
        </w:trPr>
        <w:tc>
          <w:tcPr>
            <w:tcW w:w="1607"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r>
            <w:r/>
          </w:p>
        </w:tc>
        <w:tc>
          <w:tcPr>
            <w:tcW w:w="6392" w:type="dxa"/>
            <w:vAlign w:val="center"/>
            <w:textDirection w:val="lrTb"/>
            <w:noWrap w:val="false"/>
          </w:tcPr>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本项目在视频专网、公安信息网、电子政务外网、互联网、移动接入网部署的全部后端软件系统，均应提供完全的资源、设备和系统接入、管理和应用许可，包括但不限于各类硬件设备、基础设施、分项系统、前端设备和点位的无限制接入、管理和应用许可；乙方承诺，本项目实施过程中和交付后全寿命周期内，支持甲方任意新增资源设施的接入需求，不得要求甲方额外支付任何资源、点位、硬件设备、基础设施、分项系统以及全部接口、端口、槽位、功能、性能、服务的授权、许可、软硬件部署、设计、实施及扩容费用。如需增加有关费用，由乙方自行解决。</w:t>
            </w:r>
            <w:r>
              <w:rPr>
                <w:rFonts w:hint="eastAsia" w:ascii="宋体" w:hAnsi="宋体" w:eastAsia="宋体" w:cs="宋体"/>
                <w:color w:val="000000"/>
                <w:sz w:val="21"/>
                <w:szCs w:val="21"/>
                <w:highlight w:val="none"/>
                <w:u w:val="none"/>
                <w:lang w:val="en-US" w:eastAsia="zh-CN"/>
              </w:rPr>
            </w:r>
            <w:r/>
          </w:p>
        </w:tc>
      </w:tr>
      <w:tr>
        <w:trPr>
          <w:trHeight w:val="770"/>
        </w:trPr>
        <w:tc>
          <w:tcPr>
            <w:tcW w:w="1607"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兼容性要求</w:t>
            </w:r>
            <w:r>
              <w:rPr>
                <w:rFonts w:hint="eastAsia" w:ascii="宋体" w:hAnsi="宋体" w:eastAsia="宋体" w:cs="宋体"/>
                <w:color w:val="000000"/>
                <w:sz w:val="21"/>
                <w:szCs w:val="21"/>
                <w:highlight w:val="none"/>
                <w:u w:val="none"/>
              </w:rPr>
            </w:r>
            <w:r/>
          </w:p>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r>
            <w:r/>
          </w:p>
        </w:tc>
        <w:tc>
          <w:tcPr>
            <w:tcW w:w="6392" w:type="dxa"/>
            <w:vAlign w:val="center"/>
            <w:textDirection w:val="lrTb"/>
            <w:noWrap w:val="false"/>
          </w:tcPr>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（1）本项目各平台应完全接入和管理所有</w:t>
            </w:r>
            <w:r>
              <w:rPr>
                <w:rFonts w:hint="eastAsia" w:ascii="宋体" w:hAnsi="宋体" w:eastAsia="宋体" w:cs="宋体"/>
                <w:color w:val="000000"/>
                <w:sz w:val="21"/>
                <w:szCs w:val="21"/>
                <w:highlight w:val="none"/>
                <w:u w:val="none"/>
                <w:lang w:val="en-US" w:eastAsia="zh-CN"/>
              </w:rPr>
              <w:t xml:space="preserve">公安</w:t>
            </w:r>
            <w:r>
              <w:rPr>
                <w:rFonts w:hint="eastAsia" w:ascii="宋体" w:hAnsi="宋体" w:eastAsia="宋体" w:cs="宋体"/>
                <w:color w:val="000000"/>
                <w:sz w:val="21"/>
                <w:szCs w:val="21"/>
                <w:highlight w:val="none"/>
                <w:u w:val="none"/>
              </w:rPr>
              <w:t xml:space="preserve">现有各型号录像机、摄像机、终端服务器、嵌入式控制设备。</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（2）本项目各平台应安全接入</w:t>
            </w:r>
            <w:r>
              <w:rPr>
                <w:rFonts w:hint="eastAsia" w:ascii="宋体" w:hAnsi="宋体" w:eastAsia="宋体" w:cs="宋体"/>
                <w:color w:val="000000"/>
                <w:sz w:val="21"/>
                <w:szCs w:val="21"/>
                <w:highlight w:val="none"/>
                <w:u w:val="none"/>
                <w:lang w:val="en-US" w:eastAsia="zh-CN"/>
              </w:rPr>
              <w:t xml:space="preserve">公安</w:t>
            </w:r>
            <w:r>
              <w:rPr>
                <w:rFonts w:hint="eastAsia" w:ascii="宋体" w:hAnsi="宋体" w:eastAsia="宋体" w:cs="宋体"/>
                <w:color w:val="000000"/>
                <w:sz w:val="21"/>
                <w:szCs w:val="21"/>
                <w:highlight w:val="none"/>
                <w:u w:val="none"/>
              </w:rPr>
              <w:t xml:space="preserve">现有已部署的各项前后端业务数据，提供兼容现有业务完整的接入、转发应用程序及各类服务中间件。</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（3）前端终端服务器无论利旧或新建均支持全部前端在用的各型号监控设备（不论何厂商）数据缓存、图像拼接、违法数据生成和图像数据转发功能。</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（4）平台支持各厂商视频设备、人车物结构化抓拍或分析设备接入、转发和平台自身业务应用，各类视频数据接入均保证符合主流技术标准要求的时间和质量特性。</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rPr>
              <w:t xml:space="preserve">（5）本项目配套的电子政务外网平台、互联网平台接入第三方数据应满足数据接入、清洗、存储和转发全流程稳定、高效的要求；同时支持项目建设单位提出的数据接入、清洗、存储和转发定制要求，在项目质保期内提供新增数据的接入、清洗、存储和转发需求，提供已接入数据调整、定制需求。</w:t>
            </w:r>
            <w:r>
              <w:rPr>
                <w:rFonts w:hint="eastAsia" w:ascii="宋体" w:hAnsi="宋体" w:eastAsia="宋体" w:cs="宋体"/>
                <w:color w:val="000000"/>
                <w:sz w:val="21"/>
                <w:szCs w:val="21"/>
                <w:highlight w:val="none"/>
                <w:u w:val="none"/>
                <w:lang w:val="en-US" w:eastAsia="zh-CN"/>
              </w:rPr>
            </w:r>
            <w:r/>
          </w:p>
        </w:tc>
      </w:tr>
      <w:tr>
        <w:trPr>
          <w:trHeight w:val="770"/>
        </w:trPr>
        <w:tc>
          <w:tcPr>
            <w:tcW w:w="1607"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信息安全要求</w:t>
            </w:r>
            <w:r>
              <w:rPr>
                <w:rFonts w:hint="eastAsia" w:ascii="宋体" w:hAnsi="宋体" w:eastAsia="宋体" w:cs="宋体"/>
                <w:color w:val="000000"/>
                <w:sz w:val="21"/>
                <w:szCs w:val="21"/>
                <w:highlight w:val="none"/>
                <w:u w:val="none"/>
              </w:rPr>
            </w:r>
            <w:r/>
          </w:p>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u w:val="none"/>
                <w:lang w:eastAsia="zh-CN"/>
              </w:rPr>
            </w:r>
            <w:r/>
          </w:p>
        </w:tc>
        <w:tc>
          <w:tcPr>
            <w:tcW w:w="6392" w:type="dxa"/>
            <w:vAlign w:val="center"/>
            <w:textDirection w:val="lrTb"/>
            <w:noWrap w:val="false"/>
          </w:tcPr>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（1）乙方保证其公司人员在服务期间所接触的甲方各种文件、数据、资料、系统操作等严格遵守</w:t>
            </w:r>
            <w:r>
              <w:rPr>
                <w:rFonts w:hint="eastAsia" w:ascii="宋体" w:hAnsi="宋体" w:eastAsia="宋体" w:cs="宋体"/>
                <w:color w:val="000000"/>
                <w:sz w:val="21"/>
                <w:szCs w:val="21"/>
                <w:highlight w:val="none"/>
                <w:u w:val="none"/>
                <w:lang w:val="en-US" w:eastAsia="zh-CN"/>
              </w:rPr>
              <w:t xml:space="preserve">甲方</w:t>
            </w:r>
            <w:r>
              <w:rPr>
                <w:rFonts w:hint="eastAsia" w:ascii="宋体" w:hAnsi="宋体" w:eastAsia="宋体" w:cs="宋体"/>
                <w:color w:val="000000"/>
                <w:sz w:val="21"/>
                <w:szCs w:val="21"/>
                <w:highlight w:val="none"/>
                <w:u w:val="none"/>
              </w:rPr>
              <w:t xml:space="preserve">保密制度，不得向第三方泄露。</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（2）公安业务系统数据属于公安秘密，乙方应当严格遵守相关规定，严禁泄漏公安秘密，未经甲方确认，乙方的其公司人员不得对甲方业务系统作任何操作，参与项目维保人员必须做到以下几点：</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a、只在规定的区域实行规定的工作，不得进入与之无关的工作区域；</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b、不得在任何设备上建立与工作无关的网站、网页和服务；不得在设备中传输、粘贴有害信息或与工作无关的信息；</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c、不得擅自对设备进行扫描、探测和入侵信息系统；</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d、不得对工作信息和资源越权访问、违规使用；</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e、不得私自允许无关人员接触和使用设备；</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f、严禁擅自将工作用设备和文件带离甲方指定地点；</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g、未经甲方同意，严禁以任何方式和介质拷贝任何信息及项目中涉及的信息；</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h、对工作中接触到的信息做到保密；</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i、不准擅自摘抄、下载、复制、拍摄、提供、销毁或私自留存相关文件、资料（含电子文档）；严禁违反“一机两用”规定；不准在私人交往中谈论相关工作；</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j、不得有其他任何危害公安信息安全的行为。</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（3）按照各级公安机关对公安信息网络的安全要求，乙方对本项目配备人员必须进行相关安全保密教育，与甲方签订保密协议，有履行保密的责任和义务。</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（4）凡以直接、间接、口头或书面等形式提供涉及保密内容的行为均属泄密，将追究当事人及维保单位的责任。</w:t>
            </w:r>
            <w:r>
              <w:rPr>
                <w:rFonts w:hint="eastAsia" w:ascii="宋体" w:hAnsi="宋体" w:eastAsia="宋体" w:cs="宋体"/>
                <w:color w:val="000000"/>
                <w:sz w:val="21"/>
                <w:szCs w:val="21"/>
                <w:highlight w:val="none"/>
                <w:u w:val="none"/>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（5）项目结束后，所有资料全部移交给甲方。</w:t>
            </w:r>
            <w:r>
              <w:rPr>
                <w:rFonts w:hint="eastAsia" w:ascii="宋体" w:hAnsi="宋体" w:eastAsia="宋体" w:cs="宋体"/>
                <w:color w:val="000000"/>
                <w:sz w:val="21"/>
                <w:szCs w:val="21"/>
                <w:highlight w:val="none"/>
                <w:u w:val="none"/>
              </w:rPr>
            </w:r>
            <w:r/>
          </w:p>
        </w:tc>
      </w:tr>
      <w:tr>
        <w:trPr>
          <w:trHeight w:val="770"/>
        </w:trPr>
        <w:tc>
          <w:tcPr>
            <w:tcW w:w="1607"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r>
            <w:r/>
          </w:p>
        </w:tc>
        <w:tc>
          <w:tcPr>
            <w:tcW w:w="1742" w:type="dxa"/>
            <w:vAlign w:val="center"/>
            <w:textDirection w:val="lrTb"/>
            <w:noWrap w:val="false"/>
          </w:tcPr>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维保服务要求</w:t>
            </w:r>
            <w:r>
              <w:rPr>
                <w:rFonts w:hint="eastAsia" w:ascii="宋体" w:hAnsi="宋体" w:eastAsia="宋体" w:cs="宋体"/>
                <w:color w:val="000000"/>
                <w:sz w:val="21"/>
                <w:szCs w:val="21"/>
                <w:highlight w:val="none"/>
                <w:lang w:val="en-US" w:eastAsia="zh-CN"/>
              </w:rPr>
            </w:r>
            <w:r/>
          </w:p>
          <w:p>
            <w:pPr>
              <w:pStyle w:val="1048"/>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392" w:type="dxa"/>
            <w:vAlign w:val="center"/>
            <w:textDirection w:val="lrTb"/>
            <w:noWrap w:val="false"/>
          </w:tcPr>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1.</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应按照国家有关法律法规、“三包”规定以及投标文件中的“维保服务承诺”提供服务。</w:t>
            </w:r>
            <w:r>
              <w:rPr>
                <w:rFonts w:hint="eastAsia" w:ascii="宋体" w:hAnsi="宋体" w:eastAsia="宋体" w:cs="宋体"/>
                <w:color w:val="000000"/>
                <w:sz w:val="21"/>
                <w:szCs w:val="21"/>
                <w:highlight w:val="none"/>
                <w:u w:val="none"/>
                <w:lang w:val="en-US" w:eastAsia="zh-CN"/>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2.维保服务期内需服从甲方统一管理。</w:t>
            </w:r>
            <w:r>
              <w:rPr>
                <w:rFonts w:hint="eastAsia" w:ascii="宋体" w:hAnsi="宋体" w:eastAsia="宋体" w:cs="宋体"/>
                <w:color w:val="000000"/>
                <w:sz w:val="21"/>
                <w:szCs w:val="21"/>
                <w:highlight w:val="none"/>
                <w:u w:val="none"/>
                <w:lang w:val="en-US" w:eastAsia="zh-CN"/>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3.维保服务期内，</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应免费提供维修服务（因使用操作不当等人为原因造成的损坏除外）。</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接到故障电话在1小时内响应，2小时内给出解决问题的方案。如果甲方按照乙方的指导不能解决问题，乙方在8小时内派出维修人员到现场维修或更换零件；复杂故障或需使用进口配件，4至6周内解决。需到场维修或技术支持的，由厂家派员到设备使用现场维修，由此产生的一切费用均由</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承担。技术人员应7*24小时全天候随时响应设备使用等相关问题咨询。产品质量保证期内，凡货物在开箱检验、安装调试、货物试运转过程中发 现的货物质量问题，由乙方负责处理，实行包修、包换、包退，直至产品符合质量要求。乙方承担修理、调换、退货发生的一切费用和甲方的直接经济损失。</w:t>
            </w:r>
            <w:r>
              <w:rPr>
                <w:rFonts w:hint="eastAsia" w:ascii="宋体" w:hAnsi="宋体" w:eastAsia="宋体" w:cs="宋体"/>
                <w:color w:val="000000"/>
                <w:sz w:val="21"/>
                <w:szCs w:val="21"/>
                <w:highlight w:val="none"/>
                <w:u w:val="none"/>
                <w:lang w:val="en-US" w:eastAsia="zh-CN"/>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4.维保服务期内，</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应免费提供充足的全新的合格原厂零配件，以保障维修所需零部件的及时更换；若配件和耗材有问题，</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应在收到维修配件或耗材后48小时内免费完成维修或更换服务，6个月内产品经2次维修后仍无法正常使用，必须更换全新产品或相关配件。</w:t>
            </w:r>
            <w:r>
              <w:rPr>
                <w:rFonts w:hint="eastAsia" w:ascii="宋体" w:hAnsi="宋体" w:eastAsia="宋体" w:cs="宋体"/>
                <w:color w:val="000000"/>
                <w:sz w:val="21"/>
                <w:szCs w:val="21"/>
                <w:highlight w:val="none"/>
                <w:u w:val="none"/>
                <w:lang w:val="en-US" w:eastAsia="zh-CN"/>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5.甲方在使用过程中有权继续对设备质量进行检验和检测，如发现货物有不符合验收标准的情形，</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应免费负责更换或维修，并再次进行免费安装、调试，最终保证设备正常运行。若设备在交货地多次检修后，仍无法达到甲方的正常运行要求，</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需退回该设备的全部款项，并自行组织设备退回厂家。</w:t>
            </w:r>
            <w:r>
              <w:rPr>
                <w:rFonts w:hint="eastAsia" w:ascii="宋体" w:hAnsi="宋体" w:eastAsia="宋体" w:cs="宋体"/>
                <w:color w:val="000000"/>
                <w:sz w:val="21"/>
                <w:szCs w:val="21"/>
                <w:highlight w:val="none"/>
                <w:u w:val="none"/>
                <w:lang w:val="en-US" w:eastAsia="zh-CN"/>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6.维保服务期结束，</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对于设备维修只收取基本材料备件费，不收取工时费。</w:t>
            </w:r>
            <w:r>
              <w:rPr>
                <w:rFonts w:hint="eastAsia" w:ascii="宋体" w:hAnsi="宋体" w:eastAsia="宋体" w:cs="宋体"/>
                <w:color w:val="000000"/>
                <w:sz w:val="21"/>
                <w:szCs w:val="21"/>
                <w:highlight w:val="none"/>
                <w:u w:val="none"/>
                <w:lang w:val="en-US" w:eastAsia="zh-CN"/>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7.维保服务期结束，不能视为</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对设备中存在的可能引起设备损坏的潜在缺陷所应负责任的解除。潜在缺陷指设备在制造过程中未被发现的隐患，</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对纠正潜在缺陷应负责任，其时间应延续至服务期终止后叁年。当发现这类潜在缺陷时（经双方确认），</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应立即予以无偿修复或更换。</w:t>
            </w:r>
            <w:r>
              <w:rPr>
                <w:rFonts w:hint="eastAsia" w:ascii="宋体" w:hAnsi="宋体" w:eastAsia="宋体" w:cs="宋体"/>
                <w:color w:val="000000"/>
                <w:sz w:val="21"/>
                <w:szCs w:val="21"/>
                <w:highlight w:val="none"/>
                <w:u w:val="none"/>
                <w:lang w:val="en-US" w:eastAsia="zh-CN"/>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8.因</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所提供的设备造成甲方设备损坏或其他损失，以及其他第三方损失的，一经核实，</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必须赔偿甲方或第三方因此造成的所有损失。</w:t>
            </w:r>
            <w:r>
              <w:rPr>
                <w:rFonts w:hint="eastAsia" w:ascii="宋体" w:hAnsi="宋体" w:eastAsia="宋体" w:cs="宋体"/>
                <w:color w:val="000000"/>
                <w:sz w:val="21"/>
                <w:szCs w:val="21"/>
                <w:highlight w:val="none"/>
                <w:u w:val="none"/>
                <w:lang w:val="en-US" w:eastAsia="zh-CN"/>
              </w:rPr>
            </w:r>
            <w:r/>
          </w:p>
          <w:p>
            <w:pPr>
              <w:pStyle w:val="1048"/>
              <w:jc w:val="left"/>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u w:val="none"/>
                <w:lang w:val="en-US" w:eastAsia="zh-CN"/>
              </w:rPr>
              <w:t xml:space="preserve">9.</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终身免费更新升级设备安装及数据处理涉及软件。</w:t>
            </w:r>
            <w:r>
              <w:rPr>
                <w:rFonts w:hint="eastAsia" w:ascii="宋体" w:hAnsi="宋体" w:eastAsia="宋体" w:cs="宋体"/>
                <w:color w:val="000000"/>
                <w:sz w:val="21"/>
                <w:szCs w:val="21"/>
                <w:highlight w:val="none"/>
                <w:lang w:val="en-US" w:eastAsia="zh-CN"/>
              </w:rPr>
            </w:r>
            <w:r/>
          </w:p>
        </w:tc>
      </w:tr>
    </w:tbl>
    <w:p>
      <w:pPr>
        <w:pStyle w:val="1048"/>
        <w:jc w:val="left"/>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r>
      <w:r/>
    </w:p>
    <w:p>
      <w:pPr>
        <w:pStyle w:val="1048"/>
        <w:spacing w:line="360" w:lineRule="auto"/>
        <w:rPr>
          <w:rFonts w:hint="eastAsia" w:ascii="宋体" w:hAnsi="宋体" w:eastAsia="宋体" w:cs="宋体"/>
          <w:b/>
          <w:color w:val="000000"/>
          <w:sz w:val="21"/>
          <w:szCs w:val="21"/>
          <w:highlight w:val="none"/>
        </w:rPr>
      </w:pPr>
      <w:r>
        <w:rPr>
          <w:rFonts w:hint="eastAsia"/>
          <w:b/>
          <w:color w:val="000000"/>
          <w:sz w:val="40"/>
          <w:highlight w:val="none"/>
        </w:rPr>
        <w:br w:type="page" w:clear="all"/>
      </w:r>
      <w:bookmarkEnd w:id="712"/>
      <w:r>
        <w:rPr>
          <w:rFonts w:hint="eastAsia" w:ascii="宋体" w:hAnsi="宋体" w:eastAsia="宋体" w:cs="宋体"/>
          <w:b/>
          <w:color w:val="000000"/>
          <w:sz w:val="21"/>
          <w:szCs w:val="21"/>
          <w:highlight w:val="none"/>
        </w:rPr>
        <w:t xml:space="preserve">附件</w:t>
      </w:r>
      <w:r>
        <w:rPr>
          <w:rFonts w:hint="eastAsia" w:ascii="宋体" w:hAnsi="宋体" w:eastAsia="宋体" w:cs="宋体"/>
          <w:b/>
          <w:color w:val="000000"/>
          <w:sz w:val="21"/>
          <w:szCs w:val="21"/>
          <w:highlight w:val="none"/>
          <w:lang w:val="en-US" w:eastAsia="zh-CN"/>
        </w:rPr>
        <w:t xml:space="preserve">一</w:t>
      </w:r>
      <w:r>
        <w:rPr>
          <w:rFonts w:hint="eastAsia" w:ascii="宋体" w:hAnsi="宋体" w:eastAsia="宋体" w:cs="宋体"/>
          <w:b/>
          <w:color w:val="000000"/>
          <w:sz w:val="21"/>
          <w:szCs w:val="21"/>
          <w:highlight w:val="none"/>
        </w:rPr>
        <w:t xml:space="preserve">：合同清单</w:t>
      </w:r>
      <w:r>
        <w:rPr>
          <w:rFonts w:hint="eastAsia" w:ascii="宋体" w:hAnsi="宋体" w:eastAsia="宋体" w:cs="宋体"/>
          <w:b/>
          <w:color w:val="000000"/>
          <w:sz w:val="21"/>
          <w:szCs w:val="21"/>
          <w:highlight w:val="none"/>
        </w:rPr>
      </w:r>
      <w:r/>
    </w:p>
    <w:p>
      <w:pPr>
        <w:pStyle w:val="1048"/>
        <w:jc w:val="both"/>
        <w:spacing w:line="360" w:lineRule="auto"/>
        <w:rPr>
          <w:rFonts w:hint="eastAsia" w:ascii="宋体" w:hAnsi="宋体" w:eastAsia="宋体" w:cs="宋体"/>
          <w:b/>
          <w:color w:val="000000"/>
          <w:sz w:val="21"/>
          <w:szCs w:val="21"/>
          <w:highlight w:val="none"/>
          <w:lang w:val="en-US" w:eastAsia="zh-CN"/>
        </w:rPr>
        <w:outlineLvl w:val="0"/>
      </w:pPr>
      <w:r>
        <w:rPr>
          <w:rFonts w:hint="eastAsia" w:ascii="宋体" w:hAnsi="宋体" w:eastAsia="宋体" w:cs="宋体"/>
          <w:b/>
          <w:color w:val="000000"/>
          <w:sz w:val="21"/>
          <w:szCs w:val="21"/>
          <w:highlight w:val="none"/>
          <w:lang w:val="en-US" w:eastAsia="zh-CN"/>
        </w:rPr>
        <w:t xml:space="preserve">附件二：项目进度计划表</w:t>
      </w:r>
      <w:r>
        <w:rPr>
          <w:rFonts w:hint="eastAsia" w:ascii="宋体" w:hAnsi="宋体" w:eastAsia="宋体" w:cs="宋体"/>
          <w:b/>
          <w:color w:val="000000"/>
          <w:sz w:val="21"/>
          <w:szCs w:val="21"/>
          <w:highlight w:val="none"/>
          <w:lang w:val="en-US" w:eastAsia="zh-CN"/>
        </w:rPr>
      </w:r>
      <w:r/>
    </w:p>
    <w:p>
      <w:pPr>
        <w:pStyle w:val="1048"/>
        <w:spacing w:line="360" w:lineRule="auto"/>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附件三：常州市公安视频监控系统维护管理办法</w:t>
      </w:r>
      <w:r>
        <w:rPr>
          <w:rFonts w:ascii="宋体" w:hAnsi="宋体" w:eastAsia="宋体" w:cs="宋体"/>
          <w:b/>
          <w:color w:val="000000"/>
          <w:sz w:val="21"/>
          <w:szCs w:val="21"/>
          <w:highlight w:val="none"/>
          <w:lang w:val="en-US" w:eastAsia="zh-CN"/>
        </w:rPr>
      </w:r>
      <w:r/>
    </w:p>
    <w:p>
      <w:pPr>
        <w:pStyle w:val="1048"/>
        <w:jc w:val="center"/>
        <w:spacing w:line="341"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48"/>
        <w:jc w:val="center"/>
        <w:spacing w:line="341"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常州市公安视频监控系统维护管理办法</w:t>
      </w:r>
      <w:r>
        <w:rPr>
          <w:rFonts w:hint="eastAsia" w:ascii="宋体" w:hAnsi="宋体" w:eastAsia="宋体" w:cs="宋体"/>
          <w:b/>
          <w:color w:val="000000"/>
          <w:sz w:val="21"/>
          <w:szCs w:val="21"/>
          <w:highlight w:val="none"/>
        </w:rPr>
      </w:r>
      <w:r/>
    </w:p>
    <w:p>
      <w:pPr>
        <w:pStyle w:val="1048"/>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第一章 总则</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第一条.</w:t>
      </w:r>
      <w:r>
        <w:rPr>
          <w:rFonts w:hint="eastAsia" w:ascii="宋体" w:hAnsi="宋体" w:eastAsia="宋体" w:cs="宋体"/>
          <w:color w:val="000000"/>
          <w:sz w:val="21"/>
          <w:szCs w:val="21"/>
          <w:highlight w:val="none"/>
        </w:rPr>
        <w:t xml:space="preserve">为规范“常州市视频监控系统”的运行维护管理工作，确保视频监控系统的安全可靠运行，切实提高系统运行效率和服务质量，使系统更好地服务于常州市公安局视频监控系统管理及应用，特制订本维护管理办法。</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第二条.</w:t>
      </w:r>
      <w:r>
        <w:rPr>
          <w:rFonts w:hint="eastAsia" w:ascii="宋体" w:hAnsi="宋体" w:eastAsia="宋体" w:cs="宋体"/>
          <w:color w:val="000000"/>
          <w:sz w:val="21"/>
          <w:szCs w:val="21"/>
          <w:highlight w:val="none"/>
        </w:rPr>
        <w:t xml:space="preserve">本维护管理办法适用于常州市各级政府出资建设，由公安具体实施的（含已建、在建）并在质保期内的视频监控系统，项目承建单位是维护管理、考核的责任主体，承建单位可根据本办法制定相应的实施细则。</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pacing w:val="1"/>
          <w:sz w:val="21"/>
          <w:szCs w:val="21"/>
          <w:highlight w:val="none"/>
        </w:rPr>
      </w:pPr>
      <w:r>
        <w:rPr>
          <w:rFonts w:hint="eastAsia" w:ascii="宋体" w:hAnsi="宋体" w:eastAsia="宋体" w:cs="宋体"/>
          <w:b/>
          <w:color w:val="000000"/>
          <w:spacing w:val="1"/>
          <w:sz w:val="21"/>
          <w:szCs w:val="21"/>
          <w:lang w:val="en-US" w:eastAsia="zh-CN" w:bidi="ar-SA"/>
        </w:rPr>
        <w:t xml:space="preserve">第三条.</w:t>
      </w:r>
      <w:r>
        <w:rPr>
          <w:rFonts w:hint="eastAsia" w:ascii="宋体" w:hAnsi="宋体" w:eastAsia="宋体" w:cs="宋体"/>
          <w:color w:val="000000"/>
          <w:sz w:val="21"/>
          <w:szCs w:val="21"/>
          <w:highlight w:val="none"/>
        </w:rPr>
        <w:t xml:space="preserve">质保期限、维护管理期限、考核期限按合同期限执行：自项目通过竣工验收之日起计算。</w:t>
      </w:r>
      <w:r>
        <w:rPr>
          <w:rFonts w:hint="eastAsia" w:ascii="宋体" w:hAnsi="宋体" w:eastAsia="宋体" w:cs="宋体"/>
          <w:color w:val="000000"/>
          <w:spacing w:val="1"/>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第四条.</w:t>
      </w:r>
      <w:r>
        <w:rPr>
          <w:rFonts w:hint="eastAsia" w:ascii="宋体" w:hAnsi="宋体" w:eastAsia="宋体" w:cs="宋体"/>
          <w:color w:val="000000"/>
          <w:sz w:val="21"/>
          <w:szCs w:val="21"/>
          <w:highlight w:val="none"/>
        </w:rPr>
        <w:t xml:space="preserve">视频监控系统维护管理内容分为前端设备维护、网络传输维护、机房环境维护、视频监控平台维护四部分：</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1418"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rPr>
        <w:t xml:space="preserve">前端设备指摄像机、立杆、补光灯、现场设备安装箱及手孔井等；</w:t>
      </w:r>
      <w:r>
        <w:rPr>
          <w:rFonts w:hint="eastAsia" w:ascii="宋体" w:hAnsi="宋体" w:eastAsia="宋体" w:cs="宋体"/>
          <w:color w:val="000000"/>
          <w:sz w:val="21"/>
          <w:szCs w:val="21"/>
          <w:highlight w:val="none"/>
        </w:rPr>
      </w:r>
      <w:r/>
    </w:p>
    <w:p>
      <w:pPr>
        <w:pStyle w:val="1048"/>
        <w:numPr>
          <w:ilvl w:val="0"/>
          <w:numId w:val="0"/>
        </w:numPr>
        <w:ind w:left="420" w:firstLine="452"/>
        <w:spacing w:line="360" w:lineRule="exact"/>
        <w:tabs>
          <w:tab w:val="left" w:pos="1418"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pacing w:val="8"/>
          <w:sz w:val="21"/>
          <w:szCs w:val="21"/>
          <w:highlight w:val="none"/>
        </w:rPr>
        <w:t xml:space="preserve">网络传输指保证系统相互通信和正常运行</w:t>
      </w:r>
      <w:r>
        <w:rPr>
          <w:rFonts w:hint="eastAsia" w:ascii="宋体" w:hAnsi="宋体" w:eastAsia="宋体" w:cs="宋体"/>
          <w:color w:val="000000"/>
          <w:spacing w:val="6"/>
          <w:sz w:val="21"/>
          <w:szCs w:val="21"/>
          <w:highlight w:val="none"/>
        </w:rPr>
        <w:t xml:space="preserve">的</w:t>
      </w:r>
      <w:r>
        <w:rPr>
          <w:rFonts w:hint="eastAsia" w:ascii="宋体" w:hAnsi="宋体" w:eastAsia="宋体" w:cs="宋体"/>
          <w:color w:val="000000"/>
          <w:sz w:val="21"/>
          <w:szCs w:val="21"/>
          <w:highlight w:val="none"/>
        </w:rPr>
        <w:t xml:space="preserve">网络系统</w:t>
      </w:r>
      <w:r>
        <w:rPr>
          <w:rFonts w:hint="eastAsia" w:ascii="宋体" w:hAnsi="宋体" w:eastAsia="宋体" w:cs="宋体"/>
          <w:color w:val="000000"/>
          <w:spacing w:val="-29"/>
          <w:sz w:val="21"/>
          <w:szCs w:val="21"/>
          <w:highlight w:val="none"/>
        </w:rPr>
        <w:t xml:space="preserve">，</w:t>
      </w:r>
      <w:r>
        <w:rPr>
          <w:rFonts w:hint="eastAsia" w:ascii="宋体" w:hAnsi="宋体" w:eastAsia="宋体" w:cs="宋体"/>
          <w:color w:val="000000"/>
          <w:sz w:val="21"/>
          <w:szCs w:val="21"/>
          <w:highlight w:val="none"/>
        </w:rPr>
        <w:t xml:space="preserve">包括联网所需的交换机</w:t>
      </w:r>
      <w:r>
        <w:rPr>
          <w:rFonts w:hint="eastAsia" w:ascii="宋体" w:hAnsi="宋体" w:eastAsia="宋体" w:cs="宋体"/>
          <w:color w:val="000000"/>
          <w:spacing w:val="-30"/>
          <w:sz w:val="21"/>
          <w:szCs w:val="21"/>
          <w:highlight w:val="none"/>
        </w:rPr>
        <w:t xml:space="preserve">、</w:t>
      </w:r>
      <w:r>
        <w:rPr>
          <w:rFonts w:hint="eastAsia" w:ascii="宋体" w:hAnsi="宋体" w:eastAsia="宋体" w:cs="宋体"/>
          <w:color w:val="000000"/>
          <w:sz w:val="21"/>
          <w:szCs w:val="21"/>
          <w:highlight w:val="none"/>
        </w:rPr>
        <w:t xml:space="preserve">路由器</w:t>
      </w:r>
      <w:r>
        <w:rPr>
          <w:rFonts w:hint="eastAsia" w:ascii="宋体" w:hAnsi="宋体" w:eastAsia="宋体" w:cs="宋体"/>
          <w:color w:val="000000"/>
          <w:spacing w:val="-30"/>
          <w:sz w:val="21"/>
          <w:szCs w:val="21"/>
          <w:highlight w:val="none"/>
        </w:rPr>
        <w:t xml:space="preserve">、</w:t>
      </w:r>
      <w:r>
        <w:rPr>
          <w:rFonts w:hint="eastAsia" w:ascii="宋体" w:hAnsi="宋体" w:eastAsia="宋体" w:cs="宋体"/>
          <w:color w:val="000000"/>
          <w:sz w:val="21"/>
          <w:szCs w:val="21"/>
          <w:highlight w:val="none"/>
        </w:rPr>
        <w:t xml:space="preserve">防火墙等网络设备和连接网络设备的传输线路等；</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1418"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highlight w:val="none"/>
        </w:rPr>
        <w:t xml:space="preserve">机房环境指保证系统正常稳定运行的基础设施，包含机房装饰、电力供应、空气调节、灰尘过滤、静电防护、消防设施、网络布线、维护工具等；</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1418"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highlight w:val="none"/>
        </w:rPr>
        <w:t xml:space="preserve">视频监控平台包括视频点播硬件</w:t>
      </w:r>
      <w:r>
        <w:rPr>
          <w:rFonts w:hint="eastAsia" w:ascii="宋体" w:hAnsi="宋体" w:eastAsia="宋体" w:cs="宋体"/>
          <w:color w:val="000000"/>
          <w:spacing w:val="1"/>
          <w:sz w:val="21"/>
          <w:szCs w:val="21"/>
          <w:highlight w:val="none"/>
        </w:rPr>
        <w:t xml:space="preserve">、视频存储等硬件设备及平台软件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第五条.</w:t>
      </w:r>
      <w:r>
        <w:rPr>
          <w:rFonts w:hint="eastAsia" w:ascii="宋体" w:hAnsi="宋体" w:eastAsia="宋体" w:cs="宋体"/>
          <w:color w:val="000000"/>
          <w:sz w:val="21"/>
          <w:szCs w:val="21"/>
          <w:highlight w:val="none"/>
        </w:rPr>
        <w:t xml:space="preserve">在质保期内，设备发生损坏、被盗、拆除等情况，承建单位须无条件更换或重建，建设方不承担任何费用；同时在质保期内提供免费的设备、链路、平台等搬迁服务。</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第六条.</w:t>
      </w:r>
      <w:r>
        <w:rPr>
          <w:rFonts w:hint="eastAsia" w:ascii="宋体" w:hAnsi="宋体" w:eastAsia="宋体" w:cs="宋体"/>
          <w:color w:val="000000"/>
          <w:sz w:val="21"/>
          <w:szCs w:val="21"/>
          <w:highlight w:val="none"/>
        </w:rPr>
        <w:t xml:space="preserve">在质保期内，前端监控点因城市建设、道路改造等原因需要拆除的，由承建单位负责与拆迁单位联系赔补、重建事宜，相关拆迁补偿款归乙方所有，建设单位配合协调。在条件具备情况下（以拆迁补偿协议为准），二个月内必须恢复；不具备重建条件的，由建设单位进行重新选址，承建单位负责迁址重新建设，点位自双方书面确认后二个月内完成建设、验收并投入使用，建设单位不承担任何费用。</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pacing w:val="1"/>
          <w:sz w:val="21"/>
          <w:szCs w:val="21"/>
          <w:highlight w:val="none"/>
        </w:rPr>
      </w:pPr>
      <w:r>
        <w:rPr>
          <w:rFonts w:hint="eastAsia" w:ascii="宋体" w:hAnsi="宋体" w:eastAsia="宋体" w:cs="宋体"/>
          <w:b/>
          <w:color w:val="000000"/>
          <w:spacing w:val="1"/>
          <w:sz w:val="21"/>
          <w:szCs w:val="21"/>
          <w:lang w:val="en-US" w:eastAsia="zh-CN" w:bidi="ar-SA"/>
        </w:rPr>
        <w:t xml:space="preserve">第七条.</w:t>
      </w:r>
      <w:r>
        <w:rPr>
          <w:rFonts w:hint="eastAsia" w:ascii="宋体" w:hAnsi="宋体" w:eastAsia="宋体" w:cs="宋体"/>
          <w:color w:val="000000"/>
          <w:sz w:val="21"/>
          <w:szCs w:val="21"/>
          <w:highlight w:val="none"/>
        </w:rPr>
        <w:t xml:space="preserve">在质保期内，承建单位必须提供各类设备的备品备件，且数量不少于承建项目相应设备数量2%的比例。</w:t>
      </w:r>
      <w:r>
        <w:rPr>
          <w:rFonts w:hint="eastAsia" w:ascii="宋体" w:hAnsi="宋体" w:eastAsia="宋体" w:cs="宋体"/>
          <w:color w:val="000000"/>
          <w:spacing w:val="1"/>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pacing w:val="1"/>
          <w:sz w:val="21"/>
          <w:szCs w:val="21"/>
          <w:highlight w:val="none"/>
        </w:rPr>
      </w:pPr>
      <w:r>
        <w:rPr>
          <w:rFonts w:hint="eastAsia" w:ascii="宋体" w:hAnsi="宋体" w:eastAsia="宋体" w:cs="宋体"/>
          <w:b/>
          <w:color w:val="000000"/>
          <w:sz w:val="21"/>
          <w:szCs w:val="21"/>
          <w:lang w:val="en-US" w:eastAsia="zh-CN" w:bidi="ar-SA"/>
        </w:rPr>
        <w:t xml:space="preserve">第八条.</w:t>
      </w:r>
      <w:r>
        <w:rPr>
          <w:rFonts w:hint="eastAsia" w:ascii="宋体" w:hAnsi="宋体" w:eastAsia="宋体" w:cs="宋体"/>
          <w:color w:val="000000"/>
          <w:sz w:val="21"/>
          <w:szCs w:val="21"/>
          <w:highlight w:val="none"/>
        </w:rPr>
        <w:t xml:space="preserve">在质保期内，在一年内连续发生2次以上（含2次）同一设备故障，必须更换故障设备。</w:t>
      </w:r>
      <w:r>
        <w:rPr>
          <w:rFonts w:hint="eastAsia" w:ascii="宋体" w:hAnsi="宋体" w:eastAsia="宋体" w:cs="宋体"/>
          <w:color w:val="000000"/>
          <w:spacing w:val="1"/>
          <w:sz w:val="21"/>
          <w:szCs w:val="21"/>
          <w:highlight w:val="none"/>
        </w:rPr>
      </w:r>
      <w:r/>
    </w:p>
    <w:p>
      <w:pPr>
        <w:pStyle w:val="1048"/>
        <w:jc w:val="center"/>
        <w:spacing w:line="360" w:lineRule="exact"/>
        <w:tabs>
          <w:tab w:val="left" w:pos="0" w:leader="none"/>
          <w:tab w:val="left" w:pos="1980" w:leader="none"/>
        </w:tabs>
        <w:rPr>
          <w:rFonts w:hint="eastAsia" w:ascii="宋体" w:hAnsi="宋体" w:eastAsia="宋体" w:cs="宋体"/>
          <w:b/>
          <w:color w:val="000000"/>
          <w:spacing w:val="1"/>
          <w:sz w:val="21"/>
          <w:szCs w:val="21"/>
          <w:highlight w:val="none"/>
        </w:rPr>
      </w:pPr>
      <w:r>
        <w:rPr>
          <w:rFonts w:hint="eastAsia" w:ascii="宋体" w:hAnsi="宋体" w:eastAsia="宋体" w:cs="宋体"/>
          <w:b/>
          <w:color w:val="000000"/>
          <w:spacing w:val="1"/>
          <w:sz w:val="21"/>
          <w:szCs w:val="21"/>
          <w:highlight w:val="none"/>
        </w:rPr>
        <w:t xml:space="preserve">第二章 维护管理组织要求</w:t>
      </w:r>
      <w:r>
        <w:rPr>
          <w:rFonts w:hint="eastAsia" w:ascii="宋体" w:hAnsi="宋体" w:eastAsia="宋体" w:cs="宋体"/>
          <w:b/>
          <w:color w:val="000000"/>
          <w:spacing w:val="1"/>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第九条.</w:t>
      </w:r>
      <w:r>
        <w:rPr>
          <w:rFonts w:hint="eastAsia" w:ascii="宋体" w:hAnsi="宋体" w:eastAsia="宋体" w:cs="宋体"/>
          <w:color w:val="000000"/>
          <w:sz w:val="21"/>
          <w:szCs w:val="21"/>
          <w:highlight w:val="none"/>
        </w:rPr>
        <w:t xml:space="preserve">常州市视频监控系统的维护管理遵循在常州市公安局技防支队统一的领导下，组成分级管理和维护的模式。作为常州市视频监控系统的承建单位，具体组织实施系统的维护管理工作。</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第十条.</w:t>
      </w:r>
      <w:r>
        <w:rPr>
          <w:rFonts w:hint="eastAsia" w:ascii="宋体" w:hAnsi="宋体" w:eastAsia="宋体" w:cs="宋体"/>
          <w:color w:val="000000"/>
          <w:sz w:val="21"/>
          <w:szCs w:val="21"/>
          <w:highlight w:val="none"/>
        </w:rPr>
        <w:t xml:space="preserve">系统的维护管理单位组织结构。</w:t>
      </w:r>
      <w:r>
        <w:rPr>
          <w:rFonts w:hint="eastAsia" w:ascii="宋体" w:hAnsi="宋体" w:eastAsia="宋体" w:cs="宋体"/>
          <w:color w:val="000000"/>
          <w:sz w:val="21"/>
          <w:szCs w:val="21"/>
          <w:highlight w:val="none"/>
        </w:rPr>
      </w:r>
      <w:r/>
    </w:p>
    <w:p>
      <w:pPr>
        <w:pStyle w:val="1048"/>
        <w:numPr>
          <w:ilvl w:val="0"/>
          <w:numId w:val="0"/>
        </w:numPr>
        <w:ind w:left="420" w:firstLine="452"/>
        <w:spacing w:line="360" w:lineRule="exact"/>
        <w:tabs>
          <w:tab w:val="left" w:pos="0" w:leader="none"/>
        </w:tabs>
        <w:rPr>
          <w:rFonts w:hint="eastAsia" w:ascii="宋体" w:hAnsi="宋体" w:eastAsia="宋体" w:cs="宋体"/>
          <w:color w:val="000000"/>
          <w:spacing w:val="8"/>
          <w:sz w:val="21"/>
          <w:szCs w:val="21"/>
          <w:highlight w:val="none"/>
        </w:rPr>
      </w:pPr>
      <w:r>
        <w:rPr>
          <w:rFonts w:hint="eastAsia" w:ascii="宋体" w:hAnsi="宋体" w:eastAsia="宋体" w:cs="宋体"/>
          <w:color w:val="000000"/>
          <w:spacing w:val="8"/>
          <w:sz w:val="21"/>
          <w:szCs w:val="21"/>
          <w:lang w:val="en-US" w:eastAsia="zh-CN" w:bidi="ar-SA"/>
        </w:rPr>
        <w:t xml:space="preserve">1.</w:t>
      </w:r>
      <w:r>
        <w:rPr>
          <w:rFonts w:hint="eastAsia" w:ascii="宋体" w:hAnsi="宋体" w:eastAsia="宋体" w:cs="宋体"/>
          <w:color w:val="000000"/>
          <w:spacing w:val="8"/>
          <w:sz w:val="21"/>
          <w:szCs w:val="21"/>
          <w:highlight w:val="none"/>
        </w:rPr>
        <w:t xml:space="preserve">系统承建单位负责项目建设范围内视频监控系统的维护管理和考核。</w:t>
      </w:r>
      <w:r>
        <w:rPr>
          <w:rFonts w:hint="eastAsia" w:ascii="宋体" w:hAnsi="宋体" w:eastAsia="宋体" w:cs="宋体"/>
          <w:color w:val="000000"/>
          <w:spacing w:val="8"/>
          <w:sz w:val="21"/>
          <w:szCs w:val="21"/>
          <w:highlight w:val="none"/>
        </w:rPr>
      </w:r>
      <w:r/>
    </w:p>
    <w:p>
      <w:pPr>
        <w:pStyle w:val="1048"/>
        <w:numPr>
          <w:ilvl w:val="0"/>
          <w:numId w:val="0"/>
        </w:numPr>
        <w:ind w:left="420" w:firstLine="452"/>
        <w:spacing w:line="360" w:lineRule="exact"/>
        <w:tabs>
          <w:tab w:val="left" w:pos="0" w:leader="none"/>
        </w:tabs>
        <w:rPr>
          <w:rFonts w:hint="eastAsia" w:ascii="宋体" w:hAnsi="宋体" w:eastAsia="宋体" w:cs="宋体"/>
          <w:color w:val="000000"/>
          <w:spacing w:val="8"/>
          <w:sz w:val="21"/>
          <w:szCs w:val="21"/>
          <w:highlight w:val="none"/>
        </w:rPr>
      </w:pPr>
      <w:r>
        <w:rPr>
          <w:rFonts w:hint="eastAsia" w:ascii="宋体" w:hAnsi="宋体" w:eastAsia="宋体" w:cs="宋体"/>
          <w:color w:val="000000"/>
          <w:spacing w:val="8"/>
          <w:sz w:val="21"/>
          <w:szCs w:val="21"/>
          <w:lang w:val="en-US" w:eastAsia="zh-CN" w:bidi="ar-SA"/>
        </w:rPr>
        <w:t xml:space="preserve">2.</w:t>
      </w:r>
      <w:r>
        <w:rPr>
          <w:rFonts w:hint="eastAsia" w:ascii="宋体" w:hAnsi="宋体" w:eastAsia="宋体" w:cs="宋体"/>
          <w:color w:val="000000"/>
          <w:spacing w:val="8"/>
          <w:sz w:val="21"/>
          <w:szCs w:val="21"/>
          <w:highlight w:val="none"/>
        </w:rPr>
        <w:t xml:space="preserve">系统承建单位对系统建设单位（市公安局技防支队）负责，并接受建设单位的业务指导和归口管理。</w:t>
      </w:r>
      <w:r>
        <w:rPr>
          <w:rFonts w:hint="eastAsia" w:ascii="宋体" w:hAnsi="宋体" w:eastAsia="宋体" w:cs="宋体"/>
          <w:color w:val="000000"/>
          <w:spacing w:val="8"/>
          <w:sz w:val="21"/>
          <w:szCs w:val="21"/>
          <w:highlight w:val="none"/>
        </w:rPr>
      </w:r>
      <w:r/>
    </w:p>
    <w:p>
      <w:pPr>
        <w:pStyle w:val="1048"/>
        <w:numPr>
          <w:ilvl w:val="0"/>
          <w:numId w:val="0"/>
        </w:numPr>
        <w:ind w:left="420" w:firstLine="452"/>
        <w:spacing w:line="360" w:lineRule="exact"/>
        <w:tabs>
          <w:tab w:val="left" w:pos="0" w:leader="none"/>
        </w:tabs>
        <w:rPr>
          <w:rFonts w:hint="eastAsia" w:ascii="宋体" w:hAnsi="宋体" w:eastAsia="宋体" w:cs="宋体"/>
          <w:color w:val="000000"/>
          <w:spacing w:val="8"/>
          <w:sz w:val="21"/>
          <w:szCs w:val="21"/>
          <w:highlight w:val="none"/>
        </w:rPr>
      </w:pPr>
      <w:r>
        <w:rPr>
          <w:rFonts w:hint="eastAsia" w:ascii="宋体" w:hAnsi="宋体" w:eastAsia="宋体" w:cs="宋体"/>
          <w:color w:val="000000"/>
          <w:spacing w:val="8"/>
          <w:sz w:val="21"/>
          <w:szCs w:val="21"/>
          <w:lang w:val="en-US" w:eastAsia="zh-CN" w:bidi="ar-SA"/>
        </w:rPr>
        <w:t xml:space="preserve">3.</w:t>
      </w:r>
      <w:r>
        <w:rPr>
          <w:rFonts w:hint="eastAsia" w:ascii="宋体" w:hAnsi="宋体" w:eastAsia="宋体" w:cs="宋体"/>
          <w:color w:val="000000"/>
          <w:spacing w:val="8"/>
          <w:sz w:val="21"/>
          <w:szCs w:val="21"/>
          <w:highlight w:val="none"/>
        </w:rPr>
        <w:t xml:space="preserve">承建单位成立维护管理小组，明确维护管理小组责任人。</w:t>
      </w:r>
      <w:r>
        <w:rPr>
          <w:rFonts w:hint="eastAsia" w:ascii="宋体" w:hAnsi="宋体" w:eastAsia="宋体" w:cs="宋体"/>
          <w:color w:val="000000"/>
          <w:spacing w:val="8"/>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第十一条.</w:t>
      </w:r>
      <w:r>
        <w:rPr>
          <w:rFonts w:hint="eastAsia" w:ascii="宋体" w:hAnsi="宋体" w:eastAsia="宋体" w:cs="宋体"/>
          <w:color w:val="000000"/>
          <w:sz w:val="21"/>
          <w:szCs w:val="21"/>
          <w:highlight w:val="none"/>
        </w:rPr>
        <w:t xml:space="preserve"> 承建单位负责本建设项目建设、维护工作。承建单位在项目建设完成、竣工验收时，需提供维护具体部门、责任人及</w:t>
      </w:r>
      <w:r>
        <w:rPr>
          <w:rFonts w:hint="eastAsia" w:ascii="宋体" w:hAnsi="宋体" w:eastAsia="宋体" w:cs="宋体"/>
          <w:color w:val="000000"/>
          <w:sz w:val="21"/>
          <w:szCs w:val="21"/>
          <w:highlight w:val="none"/>
        </w:rPr>
        <w:t xml:space="preserve">联系方式，如有变更，及时通知建设单位；承建单位竣工验收后必须成立维护小组到常州市公安局技防支队现场办公，进行日常的维护保障工作。承建单位应承诺保持派驻人员的连续性和稳定性；派驻人员由建设单位负责考核；派驻人员必须服从建设单位的管理，包括工作时间、工作安排，严格执行请销假制度；派驻人员在服务期内不得兼任其他项目的维护工作；派驻人员根据工作需要，在市区、辖市（区）内的差旅费用由承建单位统一支付；派驻人员调整更换必须经建设单位同意。承建单位对派驻人员必须进行相关安全保密教育，签订保密协议，有履行保密的责任和义务。</w:t>
      </w:r>
      <w:r>
        <w:rPr>
          <w:rFonts w:hint="eastAsia" w:ascii="宋体" w:hAnsi="宋体" w:eastAsia="宋体" w:cs="宋体"/>
          <w:color w:val="000000"/>
          <w:sz w:val="21"/>
          <w:szCs w:val="21"/>
          <w:highlight w:val="none"/>
        </w:rPr>
      </w:r>
      <w:r/>
    </w:p>
    <w:p>
      <w:pPr>
        <w:pStyle w:val="1048"/>
        <w:jc w:val="center"/>
        <w:spacing w:line="360" w:lineRule="exact"/>
        <w:tabs>
          <w:tab w:val="left" w:pos="0" w:leader="none"/>
          <w:tab w:val="left" w:pos="198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第三章 维护管理职责要求</w:t>
      </w:r>
      <w:r>
        <w:rPr>
          <w:rFonts w:hint="eastAsia" w:ascii="宋体" w:hAnsi="宋体" w:eastAsia="宋体" w:cs="宋体"/>
          <w:b/>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第十二条.</w:t>
      </w:r>
      <w:r>
        <w:rPr>
          <w:rFonts w:hint="eastAsia" w:ascii="宋体" w:hAnsi="宋体" w:eastAsia="宋体" w:cs="宋体"/>
          <w:color w:val="000000"/>
          <w:sz w:val="21"/>
          <w:szCs w:val="21"/>
          <w:highlight w:val="none"/>
        </w:rPr>
        <w:t xml:space="preserve">维护管理单位具体工作职责</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rPr>
        <w:t xml:space="preserve">贯彻国家及公安部门关于视频监控系统技术、设备及质量管理等方面的方针、政策和规定，组织制定系统的维护规程、维护管理办法和维护责任制度；</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highlight w:val="none"/>
        </w:rPr>
        <w:t xml:space="preserve">认真贯彻执行各项规章制度，落实维护规程和系统安全运行措施，负责制定项目范围内的系统维护管理实施细则；</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highlight w:val="none"/>
        </w:rPr>
        <w:t xml:space="preserve">负责项目范围内系统维护管理、监督检查工作，掌握运行质量情况，制定质量指标，并进行定期检查考核；</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highlight w:val="none"/>
        </w:rPr>
        <w:t xml:space="preserve">负责管理、考核系统设备供应商，制定对设备供应商的管理办法和考核指标，收集整理系统运行过程中的反馈意见，督促相关厂商提高服务质量；</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highlight w:val="none"/>
        </w:rPr>
        <w:t xml:space="preserve">系统发生较大故障时，负责必要的资源协调和处理工作，并在事后组织分析总结，制定防范措施并推广；</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highlight w:val="none"/>
        </w:rPr>
        <w:t xml:space="preserve">组织专业技术专家、设备厂商对系统进行定期巡检，巡检包括对系统及设备性能测试、维护人员日常维护作业计划执行情况检查、机房环境检查等；</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7.</w:t>
      </w:r>
      <w:r>
        <w:rPr>
          <w:rFonts w:hint="eastAsia" w:ascii="宋体" w:hAnsi="宋体" w:eastAsia="宋体" w:cs="宋体"/>
          <w:color w:val="000000"/>
          <w:sz w:val="21"/>
          <w:szCs w:val="21"/>
          <w:highlight w:val="none"/>
        </w:rPr>
        <w:t xml:space="preserve">负责归口管理系统范围内的系统优化、升级需求；</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8.</w:t>
      </w:r>
      <w:r>
        <w:rPr>
          <w:rFonts w:hint="eastAsia" w:ascii="宋体" w:hAnsi="宋体" w:eastAsia="宋体" w:cs="宋体"/>
          <w:color w:val="000000"/>
          <w:sz w:val="21"/>
          <w:szCs w:val="21"/>
          <w:highlight w:val="none"/>
        </w:rPr>
        <w:t xml:space="preserve">负责组织系统维护技术培训、技术交流、联席会议，组织维护人员参加各种培训和考试，提高维护人员管理和技术水平；</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9.</w:t>
      </w:r>
      <w:r>
        <w:rPr>
          <w:rFonts w:hint="eastAsia" w:ascii="宋体" w:hAnsi="宋体" w:eastAsia="宋体" w:cs="宋体"/>
          <w:color w:val="000000"/>
          <w:sz w:val="21"/>
          <w:szCs w:val="21"/>
          <w:highlight w:val="none"/>
        </w:rPr>
        <w:t xml:space="preserve">负责组织落实各项技术安全措施，确保系统安全稳定运行；</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10.</w:t>
      </w:r>
      <w:r>
        <w:rPr>
          <w:rFonts w:hint="eastAsia" w:ascii="宋体" w:hAnsi="宋体" w:eastAsia="宋体" w:cs="宋体"/>
          <w:color w:val="000000"/>
          <w:sz w:val="21"/>
          <w:szCs w:val="21"/>
          <w:highlight w:val="none"/>
        </w:rPr>
        <w:t xml:space="preserve">负责对系统范围内故障管理、问题管理、变更管理、版本管理、配置管理等流程规范性和相关制度落实情况进行监督管理。</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第十三条.</w:t>
      </w:r>
      <w:r>
        <w:rPr>
          <w:rFonts w:hint="eastAsia" w:ascii="宋体" w:hAnsi="宋体" w:eastAsia="宋体" w:cs="宋体"/>
          <w:color w:val="000000"/>
          <w:sz w:val="21"/>
          <w:szCs w:val="21"/>
          <w:highlight w:val="none"/>
        </w:rPr>
        <w:t xml:space="preserve">系统维护小组或维护人员职责</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42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rPr>
        <w:t xml:space="preserve">负责收集整理项目范围内的系统运行质量情况，每月向建设单位上报信息系统运行情况和所有的维护记录；</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42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highlight w:val="none"/>
        </w:rPr>
        <w:t xml:space="preserve">配合承建单位参与项目范围内系统运行质量分析，协助承建单位及时找出系统运行质量或效率下降的原因，提出改进建议，参与编写升级、扩容、实施、测试方案，并配合具体实施；</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42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highlight w:val="none"/>
        </w:rPr>
        <w:t xml:space="preserve">协助承建单位进行项目范围内的产品维保厂商的管理和考核；</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42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highlight w:val="none"/>
        </w:rPr>
        <w:t xml:space="preserve">负责项目范围内系统的故障申告和服务请求。系统发生较大故障时，按照重大突发事件汇报路径上报建设主管单位（常州市公安局技防支队）；</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42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highlight w:val="none"/>
        </w:rPr>
        <w:t xml:space="preserve">负责组织和编制系统优化、升级需求，上报系统维护管理单位审核；获得批准后，参与实施；</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42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highlight w:val="none"/>
        </w:rPr>
        <w:t xml:space="preserve">组织对项目范围内的系统进行定期巡检，落实配合人员，对巡检结果进行确认，</w:t>
      </w:r>
      <w:r>
        <w:rPr>
          <w:rFonts w:hint="eastAsia" w:ascii="宋体" w:hAnsi="宋体" w:eastAsia="宋体" w:cs="宋体"/>
          <w:color w:val="000000"/>
          <w:sz w:val="21"/>
          <w:szCs w:val="21"/>
          <w:highlight w:val="none"/>
          <w:lang w:eastAsia="zh-CN"/>
        </w:rPr>
        <w:t xml:space="preserve">对发现的问题</w:t>
      </w:r>
      <w:r>
        <w:rPr>
          <w:rFonts w:hint="eastAsia" w:ascii="宋体" w:hAnsi="宋体" w:eastAsia="宋体" w:cs="宋体"/>
          <w:color w:val="000000"/>
          <w:sz w:val="21"/>
          <w:szCs w:val="21"/>
          <w:highlight w:val="none"/>
        </w:rPr>
        <w:t xml:space="preserve">进行整改。</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42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7.</w:t>
      </w:r>
      <w:r>
        <w:rPr>
          <w:rFonts w:hint="eastAsia" w:ascii="宋体" w:hAnsi="宋体" w:eastAsia="宋体" w:cs="宋体"/>
          <w:color w:val="000000"/>
          <w:sz w:val="21"/>
          <w:szCs w:val="21"/>
          <w:highlight w:val="none"/>
        </w:rPr>
        <w:t xml:space="preserve">负责项目范围内系统的设备硬件、配套网络和机房环境的监控和日常维护工作，制定日常维护作业计划并认真执行，保证系统正常运行；</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42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8.</w:t>
      </w:r>
      <w:r>
        <w:rPr>
          <w:rFonts w:hint="eastAsia" w:ascii="宋体" w:hAnsi="宋体" w:eastAsia="宋体" w:cs="宋体"/>
          <w:color w:val="000000"/>
          <w:sz w:val="21"/>
          <w:szCs w:val="21"/>
          <w:highlight w:val="none"/>
        </w:rPr>
        <w:t xml:space="preserve">对于系统的所有维护（包括故障处理、系统改进和功能完善增加）都必须填写维护记录，每月向承建单位上报项目范围内的系统运行情况和所有的维护记录；</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42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9.</w:t>
      </w:r>
      <w:r>
        <w:rPr>
          <w:rFonts w:hint="eastAsia" w:ascii="宋体" w:hAnsi="宋体" w:eastAsia="宋体" w:cs="宋体"/>
          <w:color w:val="000000"/>
          <w:sz w:val="21"/>
          <w:szCs w:val="21"/>
          <w:highlight w:val="none"/>
        </w:rPr>
        <w:t xml:space="preserve">负责项目范围内系统档案资料的维护，及时更新有关资料；</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tabs>
          <w:tab w:val="left" w:pos="426"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10.</w:t>
      </w:r>
      <w:r>
        <w:rPr>
          <w:rFonts w:hint="eastAsia" w:ascii="宋体" w:hAnsi="宋体" w:eastAsia="宋体" w:cs="宋体"/>
          <w:color w:val="000000"/>
          <w:sz w:val="21"/>
          <w:szCs w:val="21"/>
          <w:highlight w:val="none"/>
        </w:rPr>
        <w:t xml:space="preserve">协助承建单位对所辖范围内系统的用户账号管理和数据安全管理，按照信息安全管理相关要求定期进行信息安全自我审核，每月向项目建设单位上报项目范围内的系统信息安全情况。</w:t>
      </w:r>
      <w:r>
        <w:rPr>
          <w:rFonts w:hint="eastAsia" w:ascii="宋体" w:hAnsi="宋体" w:eastAsia="宋体" w:cs="宋体"/>
          <w:color w:val="000000"/>
          <w:sz w:val="21"/>
          <w:szCs w:val="21"/>
          <w:highlight w:val="none"/>
        </w:rPr>
      </w:r>
      <w:r/>
    </w:p>
    <w:p>
      <w:pPr>
        <w:pStyle w:val="1048"/>
        <w:ind w:right="43"/>
        <w:jc w:val="center"/>
        <w:spacing w:line="3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第四章 维护管理工作要求</w:t>
      </w:r>
      <w:r>
        <w:rPr>
          <w:rFonts w:hint="eastAsia" w:ascii="宋体" w:hAnsi="宋体" w:eastAsia="宋体" w:cs="宋体"/>
          <w:b/>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第十四条.</w:t>
      </w:r>
      <w:r>
        <w:rPr>
          <w:rFonts w:hint="eastAsia" w:ascii="宋体" w:hAnsi="宋体" w:eastAsia="宋体" w:cs="宋体"/>
          <w:color w:val="000000"/>
          <w:sz w:val="21"/>
          <w:szCs w:val="21"/>
          <w:highlight w:val="none"/>
        </w:rPr>
        <w:t xml:space="preserve">故障恢复：在质保期内，承建单位保证系统7*24不间断</w:t>
      </w:r>
      <w:r>
        <w:rPr>
          <w:rFonts w:hint="eastAsia" w:ascii="宋体" w:hAnsi="宋体" w:eastAsia="宋体" w:cs="宋体"/>
          <w:color w:val="000000"/>
          <w:sz w:val="21"/>
          <w:szCs w:val="21"/>
          <w:highlight w:val="none"/>
          <w:lang w:eastAsia="zh-CN"/>
        </w:rPr>
        <w:t xml:space="preserve">地</w:t>
      </w:r>
      <w:r>
        <w:rPr>
          <w:rFonts w:hint="eastAsia" w:ascii="宋体" w:hAnsi="宋体" w:eastAsia="宋体" w:cs="宋体"/>
          <w:color w:val="000000"/>
          <w:sz w:val="21"/>
          <w:szCs w:val="21"/>
          <w:highlight w:val="none"/>
        </w:rPr>
        <w:t xml:space="preserve">稳定正常运行并提供及时维护</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避免由网络故障或软件的升级而影响整个系统的运行。系统出现故障后，通过维修，使系统恢复正常运转。系统使用单位对出现的故障向承建单位报告，由其派出技术人员进行排除。维护管理单位必须有相应的资质，承建单位须提供相关备用品，相关服务高于厂家标准的，按此要求执行，低于厂家标准服务的，按厂家服务执行。合同期内所有保修服务方式均为承建单位上门保修，</w:t>
      </w:r>
      <w:r>
        <w:rPr>
          <w:rFonts w:hint="eastAsia" w:ascii="宋体" w:hAnsi="宋体" w:eastAsia="宋体" w:cs="宋体"/>
          <w:color w:val="000000"/>
          <w:sz w:val="21"/>
          <w:szCs w:val="21"/>
          <w:highlight w:val="none"/>
          <w:lang w:eastAsia="zh-CN"/>
        </w:rPr>
        <w:t xml:space="preserve">即</w:t>
      </w:r>
      <w:r>
        <w:rPr>
          <w:rFonts w:hint="eastAsia" w:ascii="宋体" w:hAnsi="宋体" w:eastAsia="宋体" w:cs="宋体"/>
          <w:color w:val="000000"/>
          <w:sz w:val="21"/>
          <w:szCs w:val="21"/>
          <w:highlight w:val="none"/>
        </w:rPr>
        <w:t xml:space="preserve">由承建单位派员到现场维修，由此产生的一切费用均由承建单位承担。</w:t>
      </w:r>
      <w:r>
        <w:rPr>
          <w:rFonts w:hint="eastAsia" w:ascii="宋体" w:hAnsi="宋体" w:eastAsia="宋体" w:cs="宋体"/>
          <w:color w:val="000000"/>
          <w:sz w:val="21"/>
          <w:szCs w:val="21"/>
          <w:highlight w:val="none"/>
        </w:rPr>
      </w:r>
      <w:r/>
    </w:p>
    <w:p>
      <w:pPr>
        <w:pStyle w:val="1048"/>
        <w:ind w:firstLine="420"/>
        <w:spacing w:line="360" w:lineRule="exact"/>
        <w:tabs>
          <w:tab w:val="left" w:pos="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（一）一般系统或设备发生故障后，在4小时内到达现场，并在12小时的期限内修复。特殊情况不能修复的，要查出故障原因，并提出解决方案。</w:t>
      </w:r>
      <w:r>
        <w:rPr>
          <w:rFonts w:hint="eastAsia" w:ascii="宋体" w:hAnsi="宋体" w:eastAsia="宋体" w:cs="宋体"/>
          <w:color w:val="000000"/>
          <w:sz w:val="21"/>
          <w:szCs w:val="21"/>
          <w:highlight w:val="none"/>
        </w:rPr>
      </w:r>
      <w:r/>
    </w:p>
    <w:p>
      <w:pPr>
        <w:pStyle w:val="1048"/>
        <w:ind w:firstLine="420"/>
        <w:spacing w:line="360" w:lineRule="exact"/>
        <w:tabs>
          <w:tab w:val="left" w:pos="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（二）系统网络故障响应处理时间应少于30分钟，到达现场时间应少于4个小时。按照故障程度，一般故障4小时修复，重大故障24小时内修复，特殊情况，最长不得超过48小时。</w:t>
      </w:r>
      <w:r>
        <w:rPr>
          <w:rFonts w:hint="eastAsia" w:ascii="宋体" w:hAnsi="宋体" w:eastAsia="宋体" w:cs="宋体"/>
          <w:color w:val="000000"/>
          <w:sz w:val="21"/>
          <w:szCs w:val="21"/>
          <w:highlight w:val="none"/>
        </w:rPr>
      </w:r>
      <w:r/>
    </w:p>
    <w:p>
      <w:pPr>
        <w:pStyle w:val="1048"/>
        <w:ind w:firstLine="420"/>
        <w:spacing w:line="360" w:lineRule="exact"/>
        <w:tabs>
          <w:tab w:val="left" w:pos="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（三）因光缆断裂、区域停电和不可抗力的原因造成的损坏不受上述限制，但必须采取有力措施和组织足够的力量及时修复。</w:t>
      </w:r>
      <w:r>
        <w:rPr>
          <w:rFonts w:hint="eastAsia" w:ascii="宋体" w:hAnsi="宋体" w:eastAsia="宋体" w:cs="宋体"/>
          <w:color w:val="000000"/>
          <w:sz w:val="21"/>
          <w:szCs w:val="21"/>
          <w:highlight w:val="none"/>
        </w:rPr>
      </w:r>
      <w:r/>
    </w:p>
    <w:p>
      <w:pPr>
        <w:pStyle w:val="1048"/>
        <w:ind w:firstLine="420"/>
        <w:spacing w:line="360" w:lineRule="exact"/>
        <w:tabs>
          <w:tab w:val="left" w:pos="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（四）设备在维护维修时，存在系统被入侵/攻击的可能。</w:t>
      </w:r>
      <w:r>
        <w:rPr>
          <w:rFonts w:hint="eastAsia" w:ascii="宋体" w:hAnsi="宋体" w:eastAsia="宋体" w:cs="宋体"/>
          <w:color w:val="000000"/>
          <w:sz w:val="21"/>
          <w:szCs w:val="21"/>
          <w:highlight w:val="none"/>
          <w:lang w:eastAsia="zh-CN"/>
        </w:rPr>
        <w:t xml:space="preserve">因此</w:t>
      </w:r>
      <w:r>
        <w:rPr>
          <w:rFonts w:hint="eastAsia" w:ascii="宋体" w:hAnsi="宋体" w:eastAsia="宋体" w:cs="宋体"/>
          <w:color w:val="000000"/>
          <w:sz w:val="21"/>
          <w:szCs w:val="21"/>
          <w:highlight w:val="none"/>
        </w:rPr>
        <w:t xml:space="preserve">对设备日常维护与维修的行为必须有安全性要求。</w:t>
      </w:r>
      <w:r>
        <w:rPr>
          <w:rFonts w:hint="eastAsia" w:ascii="宋体" w:hAnsi="宋体" w:eastAsia="宋体" w:cs="宋体"/>
          <w:color w:val="000000"/>
          <w:sz w:val="21"/>
          <w:szCs w:val="21"/>
          <w:highlight w:val="none"/>
        </w:rPr>
      </w:r>
      <w:r/>
    </w:p>
    <w:p>
      <w:pPr>
        <w:pStyle w:val="1048"/>
        <w:ind w:left="420" w:firstLine="420"/>
        <w:spacing w:line="360" w:lineRule="exact"/>
        <w:tabs>
          <w:tab w:val="left" w:pos="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要做好维护、维修人员的身份审核。</w:t>
      </w:r>
      <w:r>
        <w:rPr>
          <w:rFonts w:hint="eastAsia" w:ascii="宋体" w:hAnsi="宋体" w:eastAsia="宋体" w:cs="宋体"/>
          <w:color w:val="000000"/>
          <w:sz w:val="21"/>
          <w:szCs w:val="21"/>
          <w:highlight w:val="none"/>
        </w:rPr>
      </w:r>
      <w:r/>
    </w:p>
    <w:p>
      <w:pPr>
        <w:pStyle w:val="1048"/>
        <w:ind w:left="420" w:firstLine="420"/>
        <w:spacing w:line="360" w:lineRule="exact"/>
        <w:tabs>
          <w:tab w:val="left" w:pos="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全程记录相关操作过程。记录必要的软件/设备信息。</w:t>
      </w:r>
      <w:r>
        <w:rPr>
          <w:rFonts w:hint="eastAsia" w:ascii="宋体" w:hAnsi="宋体" w:eastAsia="宋体" w:cs="宋体"/>
          <w:color w:val="000000"/>
          <w:sz w:val="21"/>
          <w:szCs w:val="21"/>
          <w:highlight w:val="none"/>
        </w:rPr>
      </w:r>
      <w:r/>
    </w:p>
    <w:p>
      <w:pPr>
        <w:pStyle w:val="1048"/>
        <w:ind w:left="420" w:firstLine="420"/>
        <w:spacing w:line="360" w:lineRule="exact"/>
        <w:tabs>
          <w:tab w:val="left" w:pos="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应采用原有系统采购的软件与硬件。硬件系统替换时，必须查看设备是否处于刚出厂未使用状态。</w:t>
      </w:r>
      <w:r>
        <w:rPr>
          <w:rFonts w:hint="eastAsia" w:ascii="宋体" w:hAnsi="宋体" w:eastAsia="宋体" w:cs="宋体"/>
          <w:color w:val="000000"/>
          <w:sz w:val="21"/>
          <w:szCs w:val="21"/>
          <w:highlight w:val="none"/>
        </w:rPr>
      </w:r>
      <w:r/>
    </w:p>
    <w:p>
      <w:pPr>
        <w:pStyle w:val="1048"/>
        <w:ind w:left="420" w:firstLine="420"/>
        <w:spacing w:line="360" w:lineRule="exact"/>
        <w:tabs>
          <w:tab w:val="left" w:pos="0" w:leader="none"/>
          <w:tab w:val="left" w:pos="19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在维护、维修工作中要防止系统规划、用户信息、图像资源等信息的泄密。</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第十五条.</w:t>
      </w:r>
      <w:r>
        <w:rPr>
          <w:rFonts w:hint="eastAsia" w:ascii="宋体" w:hAnsi="宋体" w:eastAsia="宋体" w:cs="宋体"/>
          <w:color w:val="000000"/>
          <w:sz w:val="21"/>
          <w:szCs w:val="21"/>
          <w:highlight w:val="none"/>
        </w:rPr>
        <w:t xml:space="preserve">应急处理：将各种系统</w:t>
      </w:r>
      <w:r>
        <w:rPr>
          <w:rFonts w:hint="eastAsia" w:ascii="宋体" w:hAnsi="宋体" w:eastAsia="宋体" w:cs="宋体"/>
          <w:color w:val="000000"/>
          <w:sz w:val="21"/>
          <w:szCs w:val="21"/>
          <w:highlight w:val="none"/>
        </w:rPr>
        <w:t xml:space="preserve">故障和告警进行分级处理，可分为一般故障（仅为个别节点不能访问但不影响整个系统的功能）、严重故障（系统的某些功能受损但日常应用基本可维持）、致命故障（系统功能受重大影响或系统瘫痪），并对每个故障等级建立处置规范和流程。视频监控系统设备一旦发生重大故障，系统维护单位派人员应迅速进行抢修。为应对系统的突发性故障，保证系统在应急情况下能正常运行，必须建立系统紧急抢修的预案，并加以演练。例如，限制各级故障的处理时间，指定处理各级故障的厂商，并明确具体联系人和联系方式，对系统故障建立跟踪机制，跟踪故障处理的整个进程等。</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第十六条.</w:t>
      </w:r>
      <w:r>
        <w:rPr>
          <w:rFonts w:hint="eastAsia" w:ascii="宋体" w:hAnsi="宋体" w:eastAsia="宋体" w:cs="宋体"/>
          <w:color w:val="000000"/>
          <w:sz w:val="21"/>
          <w:szCs w:val="21"/>
          <w:highlight w:val="none"/>
        </w:rPr>
        <w:t xml:space="preserve">质保期内承建单位负责对其提供的所有系统功能调整、升级、维护服务工作，确保各类软件及时更新到最新版本，将成熟的新技术、新标准实时应用到常州市视频监控系统建设项目，以保证系统能正常高效运行。</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第十七条.</w:t>
      </w:r>
      <w:r>
        <w:rPr>
          <w:rFonts w:hint="eastAsia" w:ascii="宋体" w:hAnsi="宋体" w:eastAsia="宋体" w:cs="宋体"/>
          <w:color w:val="000000"/>
          <w:sz w:val="21"/>
          <w:szCs w:val="21"/>
          <w:highlight w:val="none"/>
        </w:rPr>
        <w:t xml:space="preserve">承建单位网络升级、调整及检修应选择非工作时段，且须提前一周以书面方式通知使用单位。</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第十八条.</w:t>
      </w:r>
      <w:r>
        <w:rPr>
          <w:rFonts w:hint="eastAsia" w:ascii="宋体" w:hAnsi="宋体" w:eastAsia="宋体" w:cs="宋体"/>
          <w:color w:val="000000"/>
          <w:sz w:val="21"/>
          <w:szCs w:val="21"/>
          <w:highlight w:val="none"/>
        </w:rPr>
        <w:t xml:space="preserve">摄像机护罩半年清洁一次，以保证图像的清晰，查看各安装点的摄像头线缆情况，弱电柜中的编码器、收发器、视频光端机灯状态是否正常，电源有否松动，对设备柜中的灰尘进行清洁，检查防雷、接地系统是否正常。</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第十九条.</w:t>
      </w:r>
      <w:r>
        <w:rPr>
          <w:rFonts w:hint="eastAsia" w:ascii="宋体" w:hAnsi="宋体" w:eastAsia="宋体" w:cs="宋体"/>
          <w:color w:val="000000"/>
          <w:sz w:val="21"/>
          <w:szCs w:val="21"/>
          <w:highlight w:val="none"/>
        </w:rPr>
        <w:t xml:space="preserve">承建单位负责技术档案和资料的管理，应建立健全必要的技术资料和原始记录，包括但不限于：</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rPr>
        <w:t xml:space="preserve">系统结构图及相关技术资料；</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highlight w:val="none"/>
        </w:rPr>
        <w:t xml:space="preserve">机房平面图、设备布置图、电源电缆、信号线、地线图；</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highlight w:val="none"/>
        </w:rPr>
        <w:t xml:space="preserve">网络连接图和相关配置资料；</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highlight w:val="none"/>
        </w:rPr>
        <w:t xml:space="preserve">各类软硬件设备配置清单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highlight w:val="none"/>
        </w:rPr>
        <w:t xml:space="preserve">设备或系统使用手册、维护手册等资料；</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highlight w:val="none"/>
        </w:rPr>
        <w:t xml:space="preserve">工程资料，包括安装、工程设计、测试及开通、试运行、竣工等全套技术资料；</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7.</w:t>
      </w:r>
      <w:r>
        <w:rPr>
          <w:rFonts w:hint="eastAsia" w:ascii="宋体" w:hAnsi="宋体" w:eastAsia="宋体" w:cs="宋体"/>
          <w:color w:val="000000"/>
          <w:sz w:val="21"/>
          <w:szCs w:val="21"/>
          <w:highlight w:val="none"/>
        </w:rPr>
        <w:t xml:space="preserve">上述资料的变更记录。</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第二十条.</w:t>
      </w:r>
      <w:r>
        <w:rPr>
          <w:rFonts w:hint="eastAsia" w:ascii="宋体" w:hAnsi="宋体" w:eastAsia="宋体" w:cs="宋体"/>
          <w:color w:val="000000"/>
          <w:sz w:val="21"/>
          <w:szCs w:val="21"/>
          <w:highlight w:val="none"/>
        </w:rPr>
        <w:t xml:space="preserve">承建单位负责软件资料管理应包含以下内容：</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rPr>
        <w:t xml:space="preserve">所有软件的介质、许可证、版本资料及补丁资料；</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highlight w:val="none"/>
        </w:rPr>
        <w:t xml:space="preserve">所有软件的安装手册、操作使用手册、应用开发手册等技术资料；</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highlight w:val="none"/>
        </w:rPr>
        <w:t xml:space="preserve">上述资料的变更记录。</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第二十一条.</w:t>
      </w:r>
      <w:r>
        <w:rPr>
          <w:rFonts w:hint="eastAsia" w:ascii="宋体" w:hAnsi="宋体" w:eastAsia="宋体" w:cs="宋体"/>
          <w:color w:val="000000"/>
          <w:sz w:val="21"/>
          <w:szCs w:val="21"/>
          <w:highlight w:val="none"/>
        </w:rPr>
        <w:t xml:space="preserve">承建单位负责配置数据管理要求：</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rPr>
        <w:t xml:space="preserve">配置数据管理应包含各种静态数据资料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如系统的各种参数设置等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及变更记录；</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highlight w:val="none"/>
        </w:rPr>
        <w:t xml:space="preserve">维护人员必须维护最新的当前系统配置数据。</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第二十二条.</w:t>
      </w:r>
      <w:r>
        <w:rPr>
          <w:rFonts w:hint="eastAsia" w:ascii="宋体" w:hAnsi="宋体" w:eastAsia="宋体" w:cs="宋体"/>
          <w:color w:val="000000"/>
          <w:sz w:val="21"/>
          <w:szCs w:val="21"/>
          <w:highlight w:val="none"/>
        </w:rPr>
        <w:t xml:space="preserve">承建单位负责运行记录的管理：</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rPr>
        <w:t xml:space="preserve">维护作业计划和适用的各种规章制度；</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highlight w:val="none"/>
        </w:rPr>
        <w:t xml:space="preserve">系统运行记录和巡检记录；</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highlight w:val="none"/>
        </w:rPr>
        <w:t xml:space="preserve">故障及处理、设备检修、返修记录；</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highlight w:val="none"/>
        </w:rPr>
        <w:t xml:space="preserve">系统备份磁带、磁盘、光盘的更换及相关信息汇总记录；</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highlight w:val="none"/>
        </w:rPr>
        <w:t xml:space="preserve">软、硬件设备变更和系统参数变更。</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第二十三条.</w:t>
      </w:r>
      <w:r>
        <w:rPr>
          <w:rFonts w:hint="eastAsia" w:ascii="宋体" w:hAnsi="宋体" w:eastAsia="宋体" w:cs="宋体"/>
          <w:color w:val="000000"/>
          <w:sz w:val="21"/>
          <w:szCs w:val="21"/>
          <w:highlight w:val="none"/>
        </w:rPr>
        <w:t xml:space="preserve">承建单位负责对各项操作均应进行日志记录，内容应包括操作人、操作时间和操作内容等详细信息。承建单位维护人员应每日对操作日志、安全日志进行审查，对异常事件及时跟进解决，并每周形成日志审查汇总意见报建设单位审核。安全日志应包括但不局限于以下内容：</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rPr>
        <w:t xml:space="preserve">对于应用系统，包括系统管理员的所有系统操作记录、所有的登录访问记录、对敏感数据或关键数据有重大影响的系统操作记录以及其他重要系统操作记录的日志；</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highlight w:val="none"/>
        </w:rPr>
        <w:t xml:space="preserve">对于操作系统，包括系统管理员的所有操作记录、所有的登录日志；</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highlight w:val="none"/>
        </w:rPr>
        <w:t xml:space="preserve">对于数据库系统，包括数据库登录、库表结构的变更记录。</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第二十四条.</w:t>
      </w:r>
      <w:r>
        <w:rPr>
          <w:rFonts w:hint="eastAsia" w:ascii="宋体" w:hAnsi="宋体" w:eastAsia="宋体" w:cs="宋体"/>
          <w:color w:val="000000"/>
          <w:sz w:val="21"/>
          <w:szCs w:val="21"/>
          <w:highlight w:val="none"/>
        </w:rPr>
        <w:t xml:space="preserve">承建单位负责安全保密要求</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highlight w:val="none"/>
        </w:rPr>
        <w:t xml:space="preserve">联网设备必须采取必要的安全措施，以保障网络的设备安全及所承载业务的信息安全。在计算机上应安装防病毒软件，每天更新病毒库；</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highlight w:val="none"/>
        </w:rPr>
        <w:t xml:space="preserve">未经变更流程，严禁将视频监控系统与公众互联网进行连接； </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highlight w:val="none"/>
        </w:rPr>
        <w:t xml:space="preserve">在与其他外部网络的网络连接处必须安装防火墙，并指定防火墙管理员，只有指定的系统（网络）管理员才能拥有防火墙管理帐号，未经批准，不得进行防火墙策略的更改；</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highlight w:val="none"/>
        </w:rPr>
        <w:t xml:space="preserve">严禁在系统中安装未经授权的软件；不得在系统上运行与工作无关的程序；未经批准，不得利用系统进行培训实习；</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5.</w:t>
      </w:r>
      <w:r>
        <w:rPr>
          <w:rFonts w:hint="eastAsia" w:ascii="宋体" w:hAnsi="宋体" w:eastAsia="宋体" w:cs="宋体"/>
          <w:color w:val="000000"/>
          <w:sz w:val="21"/>
          <w:szCs w:val="21"/>
          <w:highlight w:val="none"/>
        </w:rPr>
        <w:t xml:space="preserve">未经批准不得擅自抄录、复制配置资料、技术档案，内部资料不得泄露；</w:t>
      </w:r>
      <w:r>
        <w:rPr>
          <w:rFonts w:hint="eastAsia" w:ascii="宋体" w:hAnsi="宋体" w:eastAsia="宋体" w:cs="宋体"/>
          <w:color w:val="000000"/>
          <w:sz w:val="21"/>
          <w:szCs w:val="21"/>
          <w:highlight w:val="none"/>
        </w:rPr>
      </w:r>
      <w:r/>
    </w:p>
    <w:p>
      <w:pPr>
        <w:pStyle w:val="1048"/>
        <w:numPr>
          <w:ilvl w:val="0"/>
          <w:numId w:val="0"/>
        </w:numPr>
        <w:ind w:left="420" w:firstLine="42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highlight w:val="none"/>
        </w:rPr>
        <w:t xml:space="preserve">设备管理和维护人员都应熟悉并严格遵守和执行信息安全保密相关规定。</w:t>
      </w:r>
      <w:r>
        <w:rPr>
          <w:rFonts w:hint="eastAsia" w:ascii="宋体" w:hAnsi="宋体" w:eastAsia="宋体" w:cs="宋体"/>
          <w:color w:val="000000"/>
          <w:sz w:val="21"/>
          <w:szCs w:val="21"/>
          <w:highlight w:val="none"/>
        </w:rPr>
      </w:r>
      <w:r/>
    </w:p>
    <w:p>
      <w:pPr>
        <w:pStyle w:val="1048"/>
        <w:ind w:right="187"/>
        <w:jc w:val="center"/>
        <w:spacing w:line="36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第五章 维护管理考核要求</w:t>
      </w:r>
      <w:r>
        <w:rPr>
          <w:rFonts w:hint="eastAsia" w:ascii="宋体" w:hAnsi="宋体" w:eastAsia="宋体" w:cs="宋体"/>
          <w:b/>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第二十五条.</w:t>
      </w:r>
      <w:r>
        <w:rPr>
          <w:rFonts w:hint="eastAsia" w:ascii="宋体" w:hAnsi="宋体" w:eastAsia="宋体" w:cs="宋体"/>
          <w:color w:val="000000"/>
          <w:sz w:val="21"/>
          <w:szCs w:val="21"/>
          <w:highlight w:val="none"/>
        </w:rPr>
        <w:t xml:space="preserve">在质保期内，每月20号为维护考核日期，当月20号形成上一月的维护考核报表，承建单位维护责任人在五个工作日内进行审核并签字确认，逾期承建单位未确认的，以技防支队考核为准。（完好率考核基数以应建数扣除拆除数为准）。</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第二十六条.</w:t>
      </w:r>
      <w:r>
        <w:rPr>
          <w:rFonts w:hint="eastAsia" w:ascii="宋体" w:hAnsi="宋体" w:eastAsia="宋体" w:cs="宋体"/>
          <w:color w:val="000000"/>
          <w:sz w:val="21"/>
          <w:szCs w:val="21"/>
          <w:highlight w:val="none"/>
        </w:rPr>
        <w:t xml:space="preserve">在质保期内，对故障点位，一个月内必须修复到位，若一个月内未及时修复，每个监控点扣1000元；对涉及前端监控点因城市建设、道路改造等原因拆除的，在条件具备情况下（以拆迁补偿协议为准），二个月内必须恢复；不具备重建条件的，由建设单位进行重新选址，承建单位负责迁址重新建设，点位自双方书面确认后二个月内完成建设、验收并投入使用。逾期未完成的，涉及的每个监控点扣1000元/月。</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第二十七条.</w:t>
      </w:r>
      <w:r>
        <w:rPr>
          <w:rFonts w:hint="eastAsia" w:ascii="宋体" w:hAnsi="宋体" w:eastAsia="宋体" w:cs="宋体"/>
          <w:color w:val="000000"/>
          <w:sz w:val="21"/>
          <w:szCs w:val="21"/>
          <w:highlight w:val="none"/>
        </w:rPr>
        <w:t xml:space="preserve">在质保期内，因乙方原因出现系统故障影响全市视频监控应用，在24小时内不能恢复的，扣10000元；影响辖市（区）级视频监控应用的，在24个小时内不能恢复的，扣5000元；影响派出所级视频监控应用的，在24小时内不能恢复的，扣3000元。</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第二十八条.</w:t>
      </w:r>
      <w:r>
        <w:rPr>
          <w:rFonts w:hint="eastAsia" w:ascii="宋体" w:hAnsi="宋体" w:eastAsia="宋体" w:cs="宋体"/>
          <w:color w:val="000000"/>
          <w:sz w:val="21"/>
          <w:szCs w:val="21"/>
          <w:highlight w:val="none"/>
        </w:rPr>
        <w:t xml:space="preserve">在质保期内，补光灯出现故障，在一个月内未及时修复的，扣1000元。</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第二十九条.</w:t>
      </w:r>
      <w:r>
        <w:rPr>
          <w:rFonts w:hint="eastAsia" w:ascii="宋体" w:hAnsi="宋体" w:eastAsia="宋体" w:cs="宋体"/>
          <w:color w:val="000000"/>
          <w:sz w:val="21"/>
          <w:szCs w:val="21"/>
          <w:highlight w:val="none"/>
        </w:rPr>
        <w:t xml:space="preserve">在质保期内，摄像机护罩半年未清洁一次的，扣5000元。</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第三十条.</w:t>
      </w:r>
      <w:r>
        <w:rPr>
          <w:rFonts w:hint="eastAsia" w:ascii="宋体" w:hAnsi="宋体" w:eastAsia="宋体" w:cs="宋体"/>
          <w:color w:val="000000"/>
          <w:sz w:val="21"/>
          <w:szCs w:val="21"/>
          <w:highlight w:val="none"/>
        </w:rPr>
        <w:t xml:space="preserve">在质保期内，每年对市局、分局、派出所系统、机房进行体检、维护保养（电力供应、UPS、布线、设备除尘等）一次，未进行的扣5000元（以书面体检报告为准）。</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第三十一条.</w:t>
      </w:r>
      <w:r>
        <w:rPr>
          <w:rFonts w:hint="eastAsia" w:ascii="宋体" w:hAnsi="宋体" w:eastAsia="宋体" w:cs="宋体"/>
          <w:color w:val="000000"/>
          <w:sz w:val="21"/>
          <w:szCs w:val="21"/>
          <w:highlight w:val="none"/>
        </w:rPr>
        <w:t xml:space="preserve">在质保期内，遇有其他故障情形，对建设单位发给承建单位的故障维护单未按要求及时修复的，扣1000元。</w:t>
      </w:r>
      <w:r>
        <w:rPr>
          <w:rFonts w:hint="eastAsia" w:ascii="宋体" w:hAnsi="宋体" w:eastAsia="宋体" w:cs="宋体"/>
          <w:color w:val="000000"/>
          <w:sz w:val="21"/>
          <w:szCs w:val="21"/>
          <w:highlight w:val="none"/>
        </w:rPr>
      </w:r>
      <w:r/>
    </w:p>
    <w:p>
      <w:pPr>
        <w:pStyle w:val="1048"/>
        <w:numPr>
          <w:ilvl w:val="1"/>
          <w:numId w:val="0"/>
        </w:numPr>
        <w:ind w:left="0" w:firstLine="420"/>
        <w:spacing w:line="360" w:lineRule="exact"/>
        <w:tabs>
          <w:tab w:val="left" w:pos="0" w:leader="none"/>
        </w:tabs>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lang w:val="en-US" w:eastAsia="zh-CN" w:bidi="ar-SA"/>
        </w:rPr>
        <w:t xml:space="preserve">第三十二条.</w:t>
      </w:r>
      <w:r>
        <w:rPr>
          <w:rFonts w:hint="eastAsia" w:ascii="宋体" w:hAnsi="宋体" w:eastAsia="宋体" w:cs="宋体"/>
          <w:color w:val="000000"/>
          <w:sz w:val="21"/>
          <w:szCs w:val="21"/>
          <w:highlight w:val="none"/>
        </w:rPr>
        <w:t xml:space="preserve">在质保期内，每年完好率扣款金额=当年资金支付费用总金额-当年资金支付费用总金额*（全年每月监控完好率平均数*100+5）/100，当全年每月监控完好率平均数*100+5≥100分时，按100分算。每年实际扣款金额=完好率扣款金额+故障扣除金额。</w:t>
      </w:r>
      <w:r>
        <w:rPr>
          <w:rFonts w:hint="eastAsia" w:ascii="宋体" w:hAnsi="宋体" w:eastAsia="宋体" w:cs="宋体"/>
          <w:color w:val="000000"/>
          <w:sz w:val="21"/>
          <w:szCs w:val="21"/>
          <w:highlight w:val="none"/>
        </w:rPr>
      </w:r>
      <w:r/>
    </w:p>
    <w:p>
      <w:pPr>
        <w:pStyle w:val="1048"/>
        <w:numPr>
          <w:ilvl w:val="1"/>
          <w:numId w:val="0"/>
        </w:numPr>
        <w:ind w:left="0" w:right="187" w:firstLine="420"/>
        <w:spacing w:line="360" w:lineRule="exact"/>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lang w:val="en-US" w:eastAsia="zh-CN" w:bidi="ar-SA"/>
        </w:rPr>
        <w:t xml:space="preserve">第三十三条.</w:t>
      </w:r>
      <w:r>
        <w:rPr>
          <w:rFonts w:hint="eastAsia" w:ascii="宋体" w:hAnsi="宋体" w:eastAsia="宋体" w:cs="宋体"/>
          <w:color w:val="000000"/>
          <w:sz w:val="21"/>
          <w:szCs w:val="21"/>
          <w:highlight w:val="none"/>
        </w:rPr>
        <w:t xml:space="preserve">本办法的解释权属于常州市公安局技防支队。</w:t>
      </w:r>
      <w:r>
        <w:rPr>
          <w:rFonts w:hint="eastAsia" w:ascii="宋体" w:hAnsi="宋体" w:eastAsia="宋体" w:cs="宋体"/>
          <w:bCs/>
          <w:color w:val="000000"/>
          <w:sz w:val="21"/>
          <w:szCs w:val="21"/>
          <w:highlight w:val="none"/>
        </w:rPr>
      </w:r>
      <w:r/>
    </w:p>
    <w:p>
      <w:pPr>
        <w:pStyle w:val="1048"/>
        <w:numPr>
          <w:ilvl w:val="1"/>
          <w:numId w:val="0"/>
        </w:numPr>
        <w:ind w:left="0" w:right="187" w:firstLine="420"/>
        <w:spacing w:line="360" w:lineRule="exact"/>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lang w:val="en-US" w:eastAsia="zh-CN" w:bidi="ar-SA"/>
        </w:rPr>
        <w:t xml:space="preserve">第三十四条.</w:t>
      </w:r>
      <w:r>
        <w:rPr>
          <w:rFonts w:hint="eastAsia" w:ascii="宋体" w:hAnsi="宋体" w:eastAsia="宋体" w:cs="宋体"/>
          <w:color w:val="000000"/>
          <w:sz w:val="21"/>
          <w:szCs w:val="21"/>
          <w:highlight w:val="none"/>
        </w:rPr>
        <w:t xml:space="preserve">本办法自2014年1月1日实行。</w:t>
      </w:r>
      <w:r>
        <w:rPr>
          <w:rFonts w:hint="eastAsia" w:ascii="宋体" w:hAnsi="宋体" w:eastAsia="宋体" w:cs="宋体"/>
          <w:bCs/>
          <w:color w:val="000000"/>
          <w:sz w:val="21"/>
          <w:szCs w:val="21"/>
          <w:highlight w:val="none"/>
        </w:rPr>
      </w:r>
      <w:r/>
    </w:p>
    <w:p>
      <w:pPr>
        <w:pStyle w:val="1048"/>
        <w:jc w:val="center"/>
        <w:spacing w:line="360" w:lineRule="auto"/>
        <w:rPr>
          <w:b/>
          <w:color w:val="000000"/>
          <w:sz w:val="24"/>
          <w:highlight w:val="none"/>
        </w:rPr>
        <w:outlineLvl w:val="0"/>
      </w:pPr>
      <w:r>
        <w:rPr>
          <w:rFonts w:hint="eastAsia"/>
          <w:b/>
          <w:color w:val="000000"/>
          <w:sz w:val="40"/>
          <w:highlight w:val="none"/>
        </w:rPr>
        <w:br w:type="page" w:clear="all"/>
      </w:r>
      <w:r>
        <w:rPr>
          <w:b/>
          <w:color w:val="000000"/>
          <w:sz w:val="32"/>
          <w:szCs w:val="32"/>
          <w:highlight w:val="none"/>
        </w:rPr>
        <w:t xml:space="preserve">第七章   投标文件格式</w:t>
      </w:r>
      <w:bookmarkEnd w:id="711"/>
      <w:r>
        <w:rPr>
          <w:b/>
          <w:color w:val="000000"/>
          <w:sz w:val="24"/>
          <w:highlight w:val="none"/>
        </w:rPr>
      </w:r>
      <w:r/>
    </w:p>
    <w:p>
      <w:pPr>
        <w:pStyle w:val="1048"/>
        <w:ind w:left="142"/>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投标人编制文件须知</w:t>
      </w:r>
      <w:r>
        <w:rPr>
          <w:rFonts w:hint="eastAsia" w:ascii="宋体" w:hAnsi="宋体" w:cs="宋体"/>
          <w:color w:val="000000"/>
          <w:szCs w:val="21"/>
          <w:highlight w:val="none"/>
        </w:rPr>
      </w:r>
      <w:r/>
    </w:p>
    <w:p>
      <w:pPr>
        <w:pStyle w:val="1048"/>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cs="宋体"/>
          <w:color w:val="000000"/>
          <w:szCs w:val="21"/>
          <w:highlight w:val="none"/>
        </w:rPr>
      </w:r>
      <w:r/>
    </w:p>
    <w:p>
      <w:pPr>
        <w:pStyle w:val="1048"/>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对于招标文件中标记了“实质性格式”文件的，</w:t>
      </w:r>
      <w:r>
        <w:rPr>
          <w:rFonts w:hint="eastAsia" w:ascii="宋体" w:hAnsi="宋体" w:cs="宋体"/>
          <w:color w:val="000000"/>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Cs w:val="21"/>
          <w:highlight w:val="none"/>
        </w:rPr>
        <w:t xml:space="preserve">否则</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t xml:space="preserve">。未标记“实质性格式”的文件和招标文件未提供格式的内容，可由投标</w:t>
      </w:r>
      <w:r>
        <w:rPr>
          <w:rFonts w:hint="eastAsia" w:ascii="宋体" w:hAnsi="宋体" w:cs="宋体"/>
          <w:color w:val="000000"/>
          <w:szCs w:val="21"/>
          <w:highlight w:val="none"/>
        </w:rPr>
        <w:t xml:space="preserve">人自行编写。</w:t>
      </w:r>
      <w:r>
        <w:rPr>
          <w:rFonts w:hint="eastAsia" w:ascii="宋体" w:hAnsi="宋体" w:cs="宋体"/>
          <w:color w:val="000000"/>
          <w:szCs w:val="21"/>
          <w:highlight w:val="none"/>
        </w:rPr>
      </w:r>
      <w:r/>
    </w:p>
    <w:p>
      <w:pPr>
        <w:pStyle w:val="1048"/>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3、全部声明和问题的回答及所附材料必须是真实的、准确的和完整的。</w:t>
      </w:r>
      <w:r>
        <w:rPr>
          <w:rFonts w:hint="eastAsia" w:ascii="宋体" w:hAnsi="宋体" w:cs="宋体"/>
          <w:color w:val="000000"/>
          <w:szCs w:val="21"/>
          <w:highlight w:val="none"/>
        </w:rPr>
      </w:r>
      <w:r/>
    </w:p>
    <w:p>
      <w:pPr>
        <w:pStyle w:val="1048"/>
        <w:ind w:left="142" w:firstLine="420"/>
        <w:spacing w:line="360" w:lineRule="auto"/>
        <w:tabs>
          <w:tab w:val="left" w:pos="900" w:leader="none"/>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4、实行电子化不见面交易方式的，加盖公章、签名等均通过投标文件编制工具加盖电子公章、签字、签章或印鉴。</w:t>
      </w:r>
      <w:r>
        <w:rPr>
          <w:rFonts w:hint="eastAsia" w:ascii="宋体" w:hAnsi="宋体" w:cs="宋体"/>
          <w:color w:val="000000"/>
          <w:szCs w:val="21"/>
          <w:highlight w:val="none"/>
        </w:rPr>
        <w:br w:type="page" w:clear="all"/>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rFonts w:hint="eastAsia" w:ascii="宋体" w:hAnsi="宋体" w:cs="宋体"/>
          <w:color w:val="000000"/>
          <w:szCs w:val="21"/>
          <w:highlight w:val="none"/>
        </w:rPr>
      </w:r>
      <w:r/>
    </w:p>
    <w:p>
      <w:pPr>
        <w:pStyle w:val="1048"/>
        <w:ind w:left="142" w:firstLine="642"/>
        <w:spacing w:line="360" w:lineRule="auto"/>
        <w:tabs>
          <w:tab w:val="left" w:pos="900" w:leader="none"/>
          <w:tab w:val="left" w:pos="1980" w:leader="none"/>
        </w:tabs>
        <w:rPr>
          <w:b/>
          <w:color w:val="000000"/>
          <w:sz w:val="28"/>
          <w:szCs w:val="28"/>
          <w:highlight w:val="none"/>
        </w:rPr>
      </w:pPr>
      <w:r>
        <w:rPr>
          <w:b/>
          <w:color w:val="000000"/>
          <w:spacing w:val="20"/>
          <w:sz w:val="28"/>
          <w:szCs w:val="28"/>
          <w:highlight w:val="none"/>
        </w:rPr>
        <w:t xml:space="preserve">一、资格证明文件格式</w:t>
      </w:r>
      <w:r>
        <w:rPr>
          <w:b/>
          <w:color w:val="000000"/>
          <w:sz w:val="28"/>
          <w:szCs w:val="28"/>
          <w:highlight w:val="none"/>
        </w:rPr>
      </w:r>
      <w:r/>
    </w:p>
    <w:p>
      <w:pPr>
        <w:pStyle w:val="1048"/>
        <w:rPr>
          <w:b/>
          <w:color w:val="000000"/>
          <w:spacing w:val="20"/>
          <w:sz w:val="28"/>
          <w:szCs w:val="28"/>
          <w:highlight w:val="none"/>
        </w:rPr>
      </w:pPr>
      <w:r>
        <w:rPr>
          <w:b/>
          <w:color w:val="000000"/>
          <w:spacing w:val="20"/>
          <w:sz w:val="28"/>
          <w:szCs w:val="28"/>
          <w:highlight w:val="none"/>
        </w:rPr>
      </w:r>
      <w:r/>
    </w:p>
    <w:p>
      <w:pPr>
        <w:pStyle w:val="1048"/>
        <w:rPr>
          <w:b/>
          <w:color w:val="000000"/>
          <w:sz w:val="28"/>
          <w:szCs w:val="28"/>
          <w:highlight w:val="none"/>
        </w:rPr>
      </w:pPr>
      <w:r>
        <w:rPr>
          <w:b/>
          <w:color w:val="000000"/>
          <w:spacing w:val="20"/>
          <w:sz w:val="28"/>
          <w:szCs w:val="28"/>
          <w:highlight w:val="none"/>
        </w:rPr>
        <w:t xml:space="preserve">投标文件</w:t>
      </w:r>
      <w:r>
        <w:rPr>
          <w:b/>
          <w:color w:val="000000"/>
          <w:sz w:val="28"/>
          <w:szCs w:val="28"/>
          <w:highlight w:val="none"/>
        </w:rPr>
        <w:t xml:space="preserve">封面（非实质性格式）</w:t>
      </w:r>
      <w:r>
        <w:rPr>
          <w:b/>
          <w:color w:val="000000"/>
          <w:sz w:val="28"/>
          <w:szCs w:val="28"/>
          <w:highlight w:val="none"/>
        </w:rPr>
      </w:r>
      <w:r/>
    </w:p>
    <w:p>
      <w:pPr>
        <w:pStyle w:val="1048"/>
        <w:jc w:val="center"/>
        <w:rPr>
          <w:color w:val="000000"/>
          <w:szCs w:val="21"/>
          <w:highlight w:val="none"/>
        </w:rPr>
      </w:pPr>
      <w:r>
        <w:rPr>
          <w:color w:val="000000"/>
          <w:szCs w:val="21"/>
          <w:highlight w:val="none"/>
        </w:rPr>
      </w:r>
      <w:r/>
    </w:p>
    <w:p>
      <w:pPr>
        <w:pStyle w:val="1048"/>
        <w:jc w:val="center"/>
        <w:rPr>
          <w:b/>
          <w:color w:val="000000"/>
          <w:spacing w:val="60"/>
          <w:sz w:val="84"/>
          <w:szCs w:val="84"/>
          <w:highlight w:val="none"/>
        </w:rPr>
      </w:pPr>
      <w:r>
        <w:rPr>
          <w:b/>
          <w:color w:val="000000"/>
          <w:spacing w:val="60"/>
          <w:sz w:val="84"/>
          <w:szCs w:val="84"/>
          <w:highlight w:val="none"/>
        </w:rPr>
      </w:r>
      <w:r/>
    </w:p>
    <w:p>
      <w:pPr>
        <w:pStyle w:val="1048"/>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1048"/>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48"/>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48"/>
        <w:ind w:firstLine="542"/>
        <w:rPr>
          <w:b/>
          <w:color w:val="000000"/>
          <w:spacing w:val="20"/>
          <w:sz w:val="32"/>
          <w:szCs w:val="32"/>
          <w:highlight w:val="none"/>
        </w:rPr>
      </w:pPr>
      <w:r>
        <w:rPr>
          <w:b/>
          <w:color w:val="000000"/>
          <w:spacing w:val="20"/>
          <w:sz w:val="32"/>
          <w:szCs w:val="32"/>
          <w:highlight w:val="none"/>
        </w:rPr>
      </w:r>
      <w:r/>
    </w:p>
    <w:p>
      <w:pPr>
        <w:pStyle w:val="1048"/>
        <w:ind w:firstLine="542"/>
        <w:rPr>
          <w:b/>
          <w:color w:val="000000"/>
          <w:spacing w:val="20"/>
          <w:sz w:val="32"/>
          <w:szCs w:val="32"/>
          <w:highlight w:val="none"/>
        </w:rPr>
      </w:pPr>
      <w:r>
        <w:rPr>
          <w:b/>
          <w:color w:val="000000"/>
          <w:spacing w:val="20"/>
          <w:sz w:val="32"/>
          <w:szCs w:val="32"/>
          <w:highlight w:val="none"/>
        </w:rPr>
      </w:r>
      <w:r/>
    </w:p>
    <w:p>
      <w:pPr>
        <w:pStyle w:val="1048"/>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134"/>
        <w:ind w:firstLine="420"/>
        <w:rPr>
          <w:color w:val="000000"/>
          <w:highlight w:val="none"/>
        </w:rPr>
      </w:pPr>
      <w:r>
        <w:rPr>
          <w:color w:val="000000"/>
          <w:highlight w:val="none"/>
        </w:rPr>
      </w:r>
      <w:r/>
    </w:p>
    <w:p>
      <w:pPr>
        <w:pStyle w:val="1048"/>
        <w:ind w:firstLine="1084"/>
        <w:rPr>
          <w:rFonts w:hint="eastAsia"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134"/>
        <w:ind w:firstLine="420"/>
        <w:rPr>
          <w:color w:val="000000"/>
          <w:highlight w:val="none"/>
        </w:rPr>
      </w:pPr>
      <w:r>
        <w:rPr>
          <w:color w:val="000000"/>
          <w:highlight w:val="none"/>
        </w:rPr>
      </w:r>
      <w:r/>
    </w:p>
    <w:p>
      <w:pPr>
        <w:pStyle w:val="1048"/>
        <w:rPr>
          <w:rFonts w:hint="eastAsia"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rPr>
      </w:r>
      <w:r/>
    </w:p>
    <w:p>
      <w:pPr>
        <w:pStyle w:val="1134"/>
        <w:ind w:firstLine="420"/>
        <w:rPr>
          <w:color w:val="000000"/>
          <w:highlight w:val="none"/>
        </w:rPr>
      </w:pPr>
      <w:r>
        <w:rPr>
          <w:color w:val="000000"/>
          <w:highlight w:val="none"/>
        </w:rPr>
      </w:r>
      <w:r/>
    </w:p>
    <w:p>
      <w:pPr>
        <w:pStyle w:val="1048"/>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48"/>
        <w:jc w:val="center"/>
        <w:rPr>
          <w:b/>
          <w:color w:val="000000"/>
          <w:sz w:val="32"/>
          <w:szCs w:val="32"/>
          <w:highlight w:val="none"/>
        </w:rPr>
      </w:pPr>
      <w:r>
        <w:rPr>
          <w:b/>
          <w:color w:val="000000"/>
          <w:sz w:val="32"/>
          <w:szCs w:val="32"/>
          <w:highlight w:val="none"/>
        </w:rPr>
      </w:r>
      <w:r/>
    </w:p>
    <w:p>
      <w:pPr>
        <w:pStyle w:val="1048"/>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48"/>
        <w:rPr>
          <w:b/>
          <w:color w:val="000000"/>
          <w:highlight w:val="none"/>
        </w:rPr>
      </w:pPr>
      <w:r>
        <w:rPr>
          <w:b/>
          <w:color w:val="000000"/>
          <w:highlight w:val="none"/>
        </w:rPr>
      </w:r>
      <w:r/>
    </w:p>
    <w:p>
      <w:pPr>
        <w:pStyle w:val="1048"/>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1.满足《中华人民共和国政府采购法》第二十二条规定及法律法规的其他规定</w:t>
      </w:r>
      <w:r>
        <w:rPr>
          <w:rFonts w:hint="eastAsia" w:ascii="宋体" w:hAnsi="宋体" w:cs="宋体"/>
          <w:color w:val="000000"/>
          <w:szCs w:val="21"/>
          <w:highlight w:val="none"/>
        </w:rPr>
      </w:r>
      <w:r/>
    </w:p>
    <w:p>
      <w:pPr>
        <w:pStyle w:val="1051"/>
        <w:rPr>
          <w:rFonts w:hint="eastAsia" w:hAnsi="宋体" w:cs="宋体"/>
          <w:b w:val="0"/>
          <w:color w:val="000000"/>
          <w:sz w:val="21"/>
          <w:szCs w:val="21"/>
          <w:highlight w:val="none"/>
          <w:u w:val="none"/>
        </w:rPr>
      </w:pPr>
      <w:r>
        <w:rPr>
          <w:rFonts w:hint="eastAsia" w:hAnsi="宋体" w:cs="宋体"/>
          <w:b w:val="0"/>
          <w:color w:val="000000"/>
          <w:sz w:val="21"/>
          <w:szCs w:val="21"/>
          <w:highlight w:val="none"/>
          <w:u w:val="none"/>
        </w:rPr>
        <w:t xml:space="preserve">1-1 投标人有效的法人或者其他组织的营业执照等证明文件复印件</w:t>
      </w:r>
      <w:r>
        <w:rPr>
          <w:rFonts w:hint="eastAsia" w:hAnsi="宋体" w:cs="宋体"/>
          <w:b w:val="0"/>
          <w:color w:val="000000"/>
          <w:sz w:val="21"/>
          <w:szCs w:val="21"/>
          <w:highlight w:val="none"/>
          <w:u w:val="none"/>
        </w:rPr>
      </w:r>
      <w:r/>
    </w:p>
    <w:p>
      <w:pPr>
        <w:pStyle w:val="1051"/>
        <w:rPr>
          <w:rFonts w:hint="eastAsia" w:hAnsi="宋体" w:cs="宋体"/>
          <w:b w:val="0"/>
          <w:bCs/>
          <w:color w:val="000000"/>
          <w:sz w:val="21"/>
          <w:szCs w:val="21"/>
          <w:highlight w:val="none"/>
          <w:u w:val="none"/>
        </w:rPr>
      </w:pPr>
      <w:r>
        <w:rPr>
          <w:rFonts w:hint="eastAsia" w:hAnsi="宋体" w:cs="宋体"/>
          <w:b w:val="0"/>
          <w:color w:val="000000"/>
          <w:sz w:val="21"/>
          <w:szCs w:val="21"/>
          <w:highlight w:val="none"/>
          <w:u w:val="none"/>
        </w:rPr>
        <w:t xml:space="preserve">1-2 投标人资格声明函（实质性格式）</w:t>
      </w:r>
      <w:r>
        <w:rPr>
          <w:rFonts w:hint="eastAsia" w:hAnsi="宋体" w:cs="宋体"/>
          <w:b w:val="0"/>
          <w:bCs/>
          <w:color w:val="000000"/>
          <w:sz w:val="21"/>
          <w:szCs w:val="21"/>
          <w:highlight w:val="none"/>
          <w:u w:val="none"/>
        </w:rPr>
      </w:r>
      <w:r/>
    </w:p>
    <w:p>
      <w:pPr>
        <w:pStyle w:val="1048"/>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8"/>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60"/>
        <w:ind w:firstLine="480"/>
        <w:spacing w:line="460" w:lineRule="exact"/>
        <w:rPr>
          <w:color w:val="000000"/>
          <w:highlight w:val="none"/>
        </w:rPr>
      </w:pPr>
      <w:r>
        <w:rPr>
          <w:color w:val="000000"/>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致：</w:t>
      </w:r>
      <w:r>
        <w:rPr>
          <w:rFonts w:hint="eastAsia"/>
          <w:color w:val="000000"/>
          <w:sz w:val="21"/>
          <w:szCs w:val="21"/>
          <w:highlight w:val="none"/>
          <w:u w:val="single"/>
        </w:rPr>
        <w:t xml:space="preserve">常州市阳峻项目管理有限公司</w:t>
      </w:r>
      <w:r>
        <w:rPr>
          <w:color w:val="000000"/>
          <w:sz w:val="21"/>
          <w:szCs w:val="21"/>
          <w:highlight w:val="none"/>
        </w:rPr>
      </w:r>
      <w:r/>
    </w:p>
    <w:p>
      <w:pPr>
        <w:pStyle w:val="1060"/>
        <w:ind w:firstLine="840"/>
        <w:spacing w:line="460" w:lineRule="exact"/>
        <w:rPr>
          <w:color w:val="000000"/>
          <w:sz w:val="21"/>
          <w:szCs w:val="21"/>
          <w:highlight w:val="none"/>
          <w:u w:val="single"/>
        </w:rPr>
      </w:pPr>
      <w:r>
        <w:rPr>
          <w:rFonts w:hint="eastAsia"/>
          <w:color w:val="000000"/>
          <w:sz w:val="21"/>
          <w:szCs w:val="21"/>
          <w:highlight w:val="none"/>
          <w:u w:val="single"/>
        </w:rPr>
        <w:t xml:space="preserve">（采购人名称）</w:t>
      </w:r>
      <w:r>
        <w:rPr>
          <w:color w:val="000000"/>
          <w:sz w:val="21"/>
          <w:szCs w:val="21"/>
          <w:highlight w:val="none"/>
          <w:u w:val="single"/>
        </w:rPr>
      </w:r>
      <w:r/>
    </w:p>
    <w:p>
      <w:pPr>
        <w:pStyle w:val="1060"/>
        <w:ind w:firstLine="480"/>
        <w:spacing w:line="460" w:lineRule="exact"/>
        <w:rPr>
          <w:color w:val="000000"/>
          <w:sz w:val="21"/>
          <w:szCs w:val="21"/>
          <w:highlight w:val="none"/>
        </w:rPr>
      </w:pP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按照《中华人民共和国政府采购法》第二十二条和招标文件的规定，我单位郑重声明如下：</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一、我单位是按照中华人民共和国法律规定登记注册的，注册地点为</w:t>
      </w:r>
      <w:r>
        <w:rPr>
          <w:rFonts w:hint="eastAsia"/>
          <w:color w:val="000000"/>
          <w:sz w:val="21"/>
          <w:szCs w:val="21"/>
          <w:highlight w:val="none"/>
          <w:u w:val="single"/>
        </w:rPr>
        <w:t xml:space="preserve">         </w:t>
      </w:r>
      <w:r>
        <w:rPr>
          <w:rFonts w:hint="eastAsia"/>
          <w:color w:val="000000"/>
          <w:sz w:val="21"/>
          <w:szCs w:val="21"/>
          <w:highlight w:val="none"/>
        </w:rPr>
        <w:t xml:space="preserve">，全称为</w:t>
      </w:r>
      <w:r>
        <w:rPr>
          <w:rFonts w:hint="eastAsia"/>
          <w:color w:val="000000"/>
          <w:sz w:val="21"/>
          <w:szCs w:val="21"/>
          <w:highlight w:val="none"/>
          <w:u w:val="single"/>
        </w:rPr>
        <w:t xml:space="preserve">        </w:t>
      </w:r>
      <w:r>
        <w:rPr>
          <w:rFonts w:hint="eastAsia"/>
          <w:color w:val="000000"/>
          <w:sz w:val="21"/>
          <w:szCs w:val="21"/>
          <w:highlight w:val="none"/>
        </w:rPr>
        <w:t xml:space="preserve">，统一社会信用代码为</w:t>
      </w:r>
      <w:r>
        <w:rPr>
          <w:rFonts w:hint="eastAsia"/>
          <w:color w:val="000000"/>
          <w:sz w:val="21"/>
          <w:szCs w:val="21"/>
          <w:highlight w:val="none"/>
          <w:u w:val="single"/>
        </w:rPr>
        <w:t xml:space="preserve">           </w:t>
      </w:r>
      <w:r>
        <w:rPr>
          <w:rFonts w:hint="eastAsia"/>
          <w:color w:val="000000"/>
          <w:sz w:val="21"/>
          <w:szCs w:val="21"/>
          <w:highlight w:val="none"/>
        </w:rPr>
        <w:t xml:space="preserve"> ，法定代表人（单位负责人）为</w:t>
      </w:r>
      <w:r>
        <w:rPr>
          <w:rFonts w:hint="eastAsia"/>
          <w:color w:val="000000"/>
          <w:sz w:val="21"/>
          <w:szCs w:val="21"/>
          <w:highlight w:val="none"/>
          <w:u w:val="single"/>
        </w:rPr>
        <w:t xml:space="preserve">         </w:t>
      </w:r>
      <w:r>
        <w:rPr>
          <w:rFonts w:hint="eastAsia"/>
          <w:color w:val="000000"/>
          <w:sz w:val="21"/>
          <w:szCs w:val="21"/>
          <w:highlight w:val="none"/>
        </w:rPr>
        <w:t xml:space="preserve">，具有独立承担民事责任的能力</w:t>
      </w:r>
      <w:r>
        <w:rPr>
          <w:rFonts w:hint="eastAsia"/>
          <w:b/>
          <w:color w:val="000000"/>
          <w:sz w:val="21"/>
          <w:szCs w:val="21"/>
          <w:highlight w:val="none"/>
        </w:rPr>
        <w:t xml:space="preserve">（如属于分公司经总公司授权参与项目，由总公司承担民事责任的，需提供总公司项目授权书）</w:t>
      </w:r>
      <w:r>
        <w:rPr>
          <w:rFonts w:hint="eastAsia"/>
          <w:color w:val="000000"/>
          <w:sz w:val="21"/>
          <w:szCs w:val="21"/>
          <w:highlight w:val="none"/>
        </w:rPr>
        <w:t xml:space="preserve">。</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二、我单位具有良好的商业信誉（指投标人经营状况良好，无本资格声明第十条情形）和健全的财务会计制度。</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三、我单位依法进行纳税和社会保险申报并实际履行了义务。</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四、我单位具有履行本项目采购合同所必需的设备和专业技术能力，并具有履行合同的良好</w:t>
      </w:r>
      <w:r>
        <w:rPr>
          <w:color w:val="000000"/>
          <w:sz w:val="21"/>
          <w:szCs w:val="21"/>
          <w:highlight w:val="none"/>
        </w:rPr>
        <w:t xml:space="preserve">记录</w:t>
      </w:r>
      <w:r>
        <w:rPr>
          <w:rFonts w:hint="eastAsia"/>
          <w:color w:val="000000"/>
          <w:sz w:val="21"/>
          <w:szCs w:val="21"/>
          <w:highlight w:val="none"/>
        </w:rPr>
        <w:t xml:space="preserve">。为履行本项采购合同我单位具备如下主要设备和主要专业技术能力:</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主要设备有：</w:t>
      </w:r>
      <w:r>
        <w:rPr>
          <w:color w:val="000000"/>
          <w:sz w:val="21"/>
          <w:szCs w:val="21"/>
          <w:highlight w:val="none"/>
          <w:u w:val="single"/>
        </w:rPr>
        <w:t xml:space="preserve">            </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主要专业技术能力有</w:t>
      </w:r>
      <w:r>
        <w:rPr>
          <w:rFonts w:hint="eastAsia"/>
          <w:color w:val="000000"/>
          <w:sz w:val="21"/>
          <w:szCs w:val="21"/>
          <w:highlight w:val="none"/>
          <w:u w:val="single"/>
        </w:rPr>
        <w:t xml:space="preserve">                 </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六、我单位具备法律、行政法规规定的其他条件。</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七、与我单位存在“单位负责人为同一人或者存在直接控股、管理关系”的其他单位信息如下（如无此情形的，填写“无”）：</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1、与我单位的法定代表人（单位负责人）为同一人的其他单位如下：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2、我单位直接控股的其他单位如下：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3、与我单位存在管理关系的其他单位如下：</w:t>
      </w:r>
      <w:r>
        <w:rPr>
          <w:rFonts w:hint="eastAsia"/>
          <w:color w:val="000000"/>
          <w:sz w:val="21"/>
          <w:szCs w:val="21"/>
          <w:highlight w:val="none"/>
          <w:u w:val="single"/>
        </w:rPr>
        <w:t xml:space="preserve">              </w:t>
      </w:r>
      <w:r>
        <w:rPr>
          <w:rFonts w:hint="eastAsia"/>
          <w:color w:val="000000"/>
          <w:sz w:val="21"/>
          <w:szCs w:val="21"/>
          <w:highlight w:val="none"/>
        </w:rPr>
        <w:t xml:space="preserve"> </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八、</w:t>
      </w:r>
      <w:r>
        <w:rPr>
          <w:color w:val="000000"/>
          <w:sz w:val="21"/>
          <w:szCs w:val="21"/>
          <w:highlight w:val="none"/>
        </w:rPr>
        <w:t xml:space="preserve">我</w:t>
      </w:r>
      <w:r>
        <w:rPr>
          <w:rFonts w:hint="eastAsia"/>
          <w:color w:val="000000"/>
          <w:sz w:val="21"/>
          <w:szCs w:val="21"/>
          <w:highlight w:val="none"/>
        </w:rPr>
        <w:t xml:space="preserve">单位</w:t>
      </w:r>
      <w:r>
        <w:rPr>
          <w:color w:val="000000"/>
          <w:sz w:val="21"/>
          <w:szCs w:val="21"/>
          <w:highlight w:val="none"/>
        </w:rPr>
        <w:t xml:space="preserve">不属于为本项目提供整体设计、规范编制或者项目管理、监理、检测等服务的投标人。</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九、</w:t>
      </w:r>
      <w:r>
        <w:rPr>
          <w:color w:val="000000"/>
          <w:sz w:val="21"/>
          <w:szCs w:val="21"/>
          <w:highlight w:val="none"/>
        </w:rPr>
        <w:t xml:space="preserve">我单位无以下不良信用记录情形：</w:t>
      </w:r>
      <w:r>
        <w:rPr>
          <w:color w:val="000000"/>
          <w:sz w:val="21"/>
          <w:szCs w:val="21"/>
          <w:highlight w:val="none"/>
        </w:rPr>
      </w:r>
      <w:r/>
    </w:p>
    <w:p>
      <w:pPr>
        <w:pStyle w:val="1060"/>
        <w:ind w:firstLine="480"/>
        <w:spacing w:line="460" w:lineRule="exact"/>
        <w:rPr>
          <w:color w:val="000000"/>
          <w:sz w:val="21"/>
          <w:szCs w:val="21"/>
          <w:highlight w:val="none"/>
        </w:rPr>
      </w:pPr>
      <w:r>
        <w:rPr>
          <w:color w:val="000000"/>
          <w:sz w:val="21"/>
          <w:szCs w:val="21"/>
          <w:highlight w:val="none"/>
        </w:rPr>
        <w:t xml:space="preserve">1</w:t>
      </w:r>
      <w:r>
        <w:rPr>
          <w:rFonts w:hint="eastAsia"/>
          <w:color w:val="000000"/>
          <w:sz w:val="21"/>
          <w:szCs w:val="21"/>
          <w:highlight w:val="none"/>
        </w:rPr>
        <w:t xml:space="preserve">、在“信用中国”网站被列入失信被执行人和重大税收违法案件当事人名单；</w:t>
      </w:r>
      <w:r>
        <w:rPr>
          <w:color w:val="000000"/>
          <w:sz w:val="21"/>
          <w:szCs w:val="21"/>
          <w:highlight w:val="none"/>
        </w:rPr>
      </w:r>
      <w:r/>
    </w:p>
    <w:p>
      <w:pPr>
        <w:pStyle w:val="1060"/>
        <w:ind w:firstLine="480"/>
        <w:spacing w:line="460" w:lineRule="exact"/>
        <w:rPr>
          <w:color w:val="000000"/>
          <w:sz w:val="21"/>
          <w:szCs w:val="21"/>
          <w:highlight w:val="none"/>
        </w:rPr>
      </w:pPr>
      <w:r>
        <w:rPr>
          <w:color w:val="000000"/>
          <w:sz w:val="21"/>
          <w:szCs w:val="21"/>
          <w:highlight w:val="none"/>
        </w:rPr>
        <w:t xml:space="preserve">2</w:t>
      </w:r>
      <w:r>
        <w:rPr>
          <w:rFonts w:hint="eastAsia"/>
          <w:color w:val="000000"/>
          <w:sz w:val="21"/>
          <w:szCs w:val="21"/>
          <w:highlight w:val="none"/>
        </w:rPr>
        <w:t xml:space="preserve">、在“中国政府采购网”网站被列入政府采购严重违法失信行为记录名单；</w:t>
      </w:r>
      <w:r>
        <w:rPr>
          <w:color w:val="000000"/>
          <w:sz w:val="21"/>
          <w:szCs w:val="21"/>
          <w:highlight w:val="none"/>
        </w:rPr>
      </w:r>
      <w:r/>
    </w:p>
    <w:p>
      <w:pPr>
        <w:pStyle w:val="1060"/>
        <w:ind w:firstLine="480"/>
        <w:spacing w:line="460" w:lineRule="exact"/>
        <w:rPr>
          <w:color w:val="000000"/>
          <w:sz w:val="21"/>
          <w:szCs w:val="21"/>
          <w:highlight w:val="none"/>
        </w:rPr>
      </w:pPr>
      <w:r>
        <w:rPr>
          <w:color w:val="000000"/>
          <w:sz w:val="21"/>
          <w:szCs w:val="21"/>
          <w:highlight w:val="none"/>
        </w:rPr>
        <w:t xml:space="preserve">3</w:t>
      </w:r>
      <w:r>
        <w:rPr>
          <w:rFonts w:hint="eastAsia"/>
          <w:color w:val="000000"/>
          <w:sz w:val="21"/>
          <w:szCs w:val="21"/>
          <w:highlight w:val="none"/>
        </w:rPr>
        <w:t xml:space="preserve">、</w:t>
      </w:r>
      <w:r>
        <w:rPr>
          <w:color w:val="000000"/>
          <w:sz w:val="21"/>
          <w:szCs w:val="21"/>
          <w:highlight w:val="none"/>
        </w:rPr>
        <w:t xml:space="preserve">不符合《政府采购法》第二十二条规定的条件。</w:t>
      </w:r>
      <w:r>
        <w:rPr>
          <w:color w:val="000000"/>
          <w:sz w:val="21"/>
          <w:szCs w:val="21"/>
          <w:highlight w:val="none"/>
        </w:rPr>
      </w:r>
      <w:r/>
    </w:p>
    <w:p>
      <w:pPr>
        <w:pStyle w:val="1060"/>
        <w:ind w:firstLine="480"/>
        <w:spacing w:line="460" w:lineRule="exact"/>
        <w:rPr>
          <w:color w:val="000000"/>
          <w:sz w:val="21"/>
          <w:szCs w:val="21"/>
          <w:highlight w:val="none"/>
        </w:rPr>
      </w:pP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我单位保证上述声明的事项都是真实的，如有虚假，我单位愿意承担相应的法律责任，并承担因此所造成的一切损失。</w:t>
      </w:r>
      <w:r>
        <w:rPr>
          <w:color w:val="000000"/>
          <w:sz w:val="21"/>
          <w:szCs w:val="21"/>
          <w:highlight w:val="none"/>
        </w:rPr>
      </w:r>
      <w:r/>
    </w:p>
    <w:p>
      <w:pPr>
        <w:pStyle w:val="1060"/>
        <w:ind w:firstLine="480"/>
        <w:spacing w:line="460" w:lineRule="exact"/>
        <w:rPr>
          <w:color w:val="000000"/>
          <w:sz w:val="21"/>
          <w:szCs w:val="21"/>
          <w:highlight w:val="none"/>
        </w:rPr>
      </w:pPr>
      <w:r>
        <w:rPr>
          <w:color w:val="000000"/>
          <w:sz w:val="21"/>
          <w:szCs w:val="21"/>
          <w:highlight w:val="none"/>
        </w:rPr>
      </w:r>
      <w:r/>
    </w:p>
    <w:p>
      <w:pPr>
        <w:pStyle w:val="1060"/>
        <w:ind w:firstLine="480"/>
        <w:spacing w:line="460" w:lineRule="exact"/>
        <w:rPr>
          <w:color w:val="000000"/>
          <w:sz w:val="21"/>
          <w:szCs w:val="21"/>
          <w:highlight w:val="none"/>
        </w:rPr>
      </w:pP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                                            投标人：（加盖公章）</w:t>
      </w:r>
      <w:r>
        <w:rPr>
          <w:color w:val="000000"/>
          <w:sz w:val="21"/>
          <w:szCs w:val="21"/>
          <w:highlight w:val="none"/>
        </w:rPr>
      </w:r>
      <w:r/>
    </w:p>
    <w:p>
      <w:pPr>
        <w:pStyle w:val="1060"/>
        <w:ind w:firstLine="480"/>
        <w:spacing w:line="460" w:lineRule="exact"/>
        <w:rPr>
          <w:color w:val="000000"/>
          <w:sz w:val="21"/>
          <w:szCs w:val="21"/>
          <w:highlight w:val="none"/>
        </w:rPr>
      </w:pPr>
      <w:r>
        <w:rPr>
          <w:rFonts w:hint="eastAsia"/>
          <w:color w:val="000000"/>
          <w:sz w:val="21"/>
          <w:szCs w:val="21"/>
          <w:highlight w:val="none"/>
        </w:rPr>
        <w:t xml:space="preserve">                                           法定代表人（或单位负责人）签字或盖章：</w:t>
      </w:r>
      <w:r>
        <w:rPr>
          <w:color w:val="000000"/>
          <w:sz w:val="21"/>
          <w:szCs w:val="21"/>
          <w:highlight w:val="none"/>
        </w:rPr>
      </w:r>
      <w:r/>
    </w:p>
    <w:p>
      <w:pPr>
        <w:pStyle w:val="1060"/>
        <w:ind w:firstLine="4305"/>
        <w:spacing w:line="460" w:lineRule="exact"/>
        <w:rPr>
          <w:rFonts w:hint="eastAsia"/>
          <w:color w:val="000000"/>
          <w:sz w:val="21"/>
          <w:szCs w:val="21"/>
          <w:highlight w:val="none"/>
        </w:rPr>
      </w:pPr>
      <w:r>
        <w:rPr>
          <w:rFonts w:hint="eastAsia"/>
          <w:color w:val="000000"/>
          <w:sz w:val="21"/>
          <w:szCs w:val="21"/>
          <w:highlight w:val="none"/>
        </w:rPr>
        <w:t xml:space="preserve">日期：    年    月    日</w:t>
      </w:r>
      <w:r>
        <w:rPr>
          <w:rFonts w:hint="eastAsia"/>
          <w:color w:val="000000"/>
          <w:sz w:val="21"/>
          <w:szCs w:val="21"/>
          <w:highlight w:val="none"/>
        </w:rPr>
      </w:r>
      <w:r/>
    </w:p>
    <w:p>
      <w:pPr>
        <w:pStyle w:val="1048"/>
        <w:spacing w:line="360" w:lineRule="auto"/>
        <w:rPr>
          <w:rFonts w:hint="eastAsia"/>
          <w:color w:val="000000"/>
          <w:sz w:val="24"/>
          <w:highlight w:val="none"/>
        </w:rPr>
      </w:pPr>
      <w:r>
        <w:rPr>
          <w:rFonts w:hint="eastAsia"/>
          <w:color w:val="000000"/>
          <w:sz w:val="24"/>
          <w:highlight w:val="none"/>
        </w:rPr>
      </w:r>
      <w:r/>
    </w:p>
    <w:p>
      <w:pPr>
        <w:pStyle w:val="1048"/>
        <w:spacing w:line="360" w:lineRule="auto"/>
        <w:rPr>
          <w:rFonts w:hint="eastAsia"/>
          <w:color w:val="000000"/>
          <w:sz w:val="24"/>
          <w:highlight w:val="none"/>
        </w:rPr>
      </w:pPr>
      <w:r>
        <w:rPr>
          <w:rFonts w:hint="eastAsia"/>
          <w:color w:val="000000"/>
          <w:sz w:val="24"/>
          <w:highlight w:val="none"/>
        </w:rPr>
      </w:r>
      <w:r/>
    </w:p>
    <w:p>
      <w:pPr>
        <w:pStyle w:val="1048"/>
        <w:spacing w:line="360" w:lineRule="auto"/>
        <w:rPr>
          <w:rFonts w:hint="eastAsia"/>
          <w:color w:val="000000"/>
          <w:sz w:val="24"/>
          <w:highlight w:val="none"/>
        </w:rPr>
      </w:pPr>
      <w:r>
        <w:rPr>
          <w:rFonts w:hint="eastAsia"/>
          <w:color w:val="000000"/>
          <w:sz w:val="24"/>
          <w:highlight w:val="none"/>
        </w:rPr>
      </w:r>
      <w:r/>
    </w:p>
    <w:p>
      <w:pPr>
        <w:pStyle w:val="1048"/>
        <w:spacing w:line="360" w:lineRule="auto"/>
        <w:rPr>
          <w:color w:val="000000"/>
          <w:szCs w:val="21"/>
          <w:highlight w:val="none"/>
        </w:rPr>
      </w:pPr>
      <w:r>
        <w:rPr>
          <w:color w:val="000000"/>
          <w:szCs w:val="21"/>
          <w:highlight w:val="none"/>
        </w:rPr>
        <w:t xml:space="preserve">说明：</w:t>
      </w:r>
      <w:r>
        <w:rPr>
          <w:rFonts w:hint="eastAsia"/>
          <w:color w:val="000000"/>
          <w:szCs w:val="21"/>
          <w:highlight w:val="none"/>
        </w:rPr>
        <w:t xml:space="preserve">供应商承诺不实的，依据《政府采购法》第七十七条“提供虚假材料谋取中标、成交的”有关规定予以处理</w:t>
      </w:r>
      <w:r>
        <w:rPr>
          <w:color w:val="000000"/>
          <w:szCs w:val="21"/>
          <w:highlight w:val="none"/>
        </w:rPr>
        <w:t xml:space="preserve">。</w:t>
      </w:r>
      <w:r>
        <w:rPr>
          <w:color w:val="000000"/>
          <w:szCs w:val="21"/>
          <w:highlight w:val="none"/>
        </w:rPr>
      </w:r>
      <w:r/>
    </w:p>
    <w:p>
      <w:pPr>
        <w:pStyle w:val="1048"/>
        <w:spacing w:line="360" w:lineRule="auto"/>
        <w:tabs>
          <w:tab w:val="left" w:pos="5580" w:leader="none"/>
        </w:tabs>
        <w:rPr>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highlight w:val="none"/>
        </w:rPr>
      </w:r>
      <w:r/>
    </w:p>
    <w:p>
      <w:pPr>
        <w:pStyle w:val="1048"/>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2.落实政府采购政策需满足的资格要求（如有）</w:t>
      </w:r>
      <w:r>
        <w:rPr>
          <w:rFonts w:hint="eastAsia" w:ascii="宋体" w:hAnsi="宋体" w:cs="宋体"/>
          <w:color w:val="000000"/>
          <w:szCs w:val="21"/>
          <w:highlight w:val="none"/>
        </w:rPr>
      </w:r>
      <w:r/>
    </w:p>
    <w:p>
      <w:pPr>
        <w:pStyle w:val="1048"/>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2-1中小企业声明函（实质性格式）</w:t>
      </w:r>
      <w:r>
        <w:rPr>
          <w:rFonts w:hint="eastAsia" w:ascii="宋体" w:hAnsi="宋体" w:cs="宋体"/>
          <w:color w:val="000000"/>
          <w:szCs w:val="21"/>
          <w:highlight w:val="none"/>
        </w:rPr>
      </w:r>
      <w:r/>
    </w:p>
    <w:p>
      <w:pPr>
        <w:pStyle w:val="1048"/>
        <w:spacing w:line="360" w:lineRule="auto"/>
        <w:tabs>
          <w:tab w:val="left" w:pos="5580" w:leader="none"/>
        </w:tabs>
        <w:rPr>
          <w:color w:val="000000"/>
          <w:sz w:val="24"/>
          <w:highlight w:val="none"/>
        </w:rPr>
      </w:pPr>
      <w:r>
        <w:rPr>
          <w:color w:val="000000"/>
          <w:sz w:val="24"/>
          <w:highlight w:val="none"/>
        </w:rPr>
      </w:r>
      <w:r/>
    </w:p>
    <w:p>
      <w:pPr>
        <w:pStyle w:val="104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p>
      <w:pPr>
        <w:pStyle w:val="104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（1）如本项目（包）不专门面向中小企业预留采购份额，资格证明文件部分无需提供《中小企业声明函》。</w:t>
      </w:r>
      <w:r>
        <w:rPr>
          <w:rFonts w:hint="eastAsia" w:ascii="宋体" w:hAnsi="宋体" w:cs="宋体"/>
          <w:color w:val="000000"/>
          <w:szCs w:val="21"/>
          <w:highlight w:val="none"/>
        </w:rPr>
      </w:r>
      <w:r/>
    </w:p>
    <w:p>
      <w:pPr>
        <w:pStyle w:val="104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（2）如本项目（包）专门面向中小/小微企业采购，须提供《中小企业声明函》（实质性格式）。</w:t>
      </w:r>
      <w:r>
        <w:rPr>
          <w:rFonts w:hint="eastAsia" w:ascii="宋体" w:hAnsi="宋体" w:cs="宋体"/>
          <w:color w:val="000000"/>
          <w:szCs w:val="21"/>
          <w:highlight w:val="none"/>
        </w:rPr>
      </w:r>
      <w:r/>
    </w:p>
    <w:p>
      <w:pPr>
        <w:pStyle w:val="104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cs="宋体"/>
          <w:color w:val="000000"/>
          <w:szCs w:val="21"/>
          <w:highlight w:val="none"/>
        </w:rPr>
      </w:r>
      <w:r/>
    </w:p>
    <w:p>
      <w:pPr>
        <w:pStyle w:val="104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（4）其他</w:t>
      </w:r>
      <w:r>
        <w:rPr>
          <w:rFonts w:hint="eastAsia" w:ascii="宋体" w:hAnsi="宋体" w:cs="宋体"/>
          <w:color w:val="000000"/>
          <w:szCs w:val="21"/>
          <w:highlight w:val="none"/>
        </w:rPr>
      </w:r>
      <w:r/>
    </w:p>
    <w:p>
      <w:pPr>
        <w:pStyle w:val="104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1）中小企业参加政府采购活动，应当出具此格式文件。《中小企业声明函》由参加政府采购活动的投标人出具。联合体投标的，《中小企业声明函》由牵头人出具。</w:t>
      </w:r>
      <w:r>
        <w:rPr>
          <w:rFonts w:hint="eastAsia" w:ascii="宋体" w:hAnsi="宋体" w:cs="宋体"/>
          <w:color w:val="000000"/>
          <w:szCs w:val="21"/>
          <w:highlight w:val="none"/>
        </w:rPr>
      </w:r>
      <w:r/>
    </w:p>
    <w:p>
      <w:pPr>
        <w:pStyle w:val="104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cs="宋体"/>
          <w:color w:val="000000"/>
          <w:szCs w:val="21"/>
          <w:highlight w:val="none"/>
        </w:rPr>
      </w:r>
      <w:r/>
    </w:p>
    <w:p>
      <w:pPr>
        <w:pStyle w:val="104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3）对于多标的的采购项目，投标人应充分、准确地了解所投产品制造企业信息。对相关情况了解不清楚的，不建议填报本声明函。</w:t>
      </w:r>
      <w:r>
        <w:rPr>
          <w:rFonts w:hint="eastAsia" w:ascii="宋体" w:hAnsi="宋体" w:cs="宋体"/>
          <w:color w:val="000000"/>
          <w:szCs w:val="21"/>
          <w:highlight w:val="none"/>
        </w:rPr>
      </w:r>
      <w:r/>
    </w:p>
    <w:p>
      <w:pPr>
        <w:pStyle w:val="104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cs="宋体"/>
          <w:color w:val="000000"/>
          <w:szCs w:val="21"/>
          <w:highlight w:val="none"/>
        </w:rPr>
      </w:r>
      <w:r/>
    </w:p>
    <w:p>
      <w:pPr>
        <w:pStyle w:val="1048"/>
        <w:spacing w:line="360" w:lineRule="auto"/>
        <w:tabs>
          <w:tab w:val="left" w:pos="5580" w:leader="none"/>
        </w:tabs>
        <w:rPr>
          <w:color w:val="000000"/>
          <w:sz w:val="24"/>
          <w:highlight w:val="none"/>
        </w:rPr>
      </w:pPr>
      <w:r>
        <w:rPr>
          <w:color w:val="000000"/>
          <w:sz w:val="24"/>
          <w:highlight w:val="none"/>
        </w:rPr>
      </w:r>
      <w:r/>
    </w:p>
    <w:p>
      <w:pPr>
        <w:pStyle w:val="1048"/>
        <w:jc w:val="left"/>
        <w:widowControl/>
        <w:rPr>
          <w:color w:val="000000"/>
          <w:sz w:val="24"/>
          <w:highlight w:val="none"/>
        </w:rPr>
      </w:pPr>
      <w:r>
        <w:rPr>
          <w:color w:val="000000"/>
          <w:sz w:val="24"/>
          <w:highlight w:val="none"/>
        </w:rPr>
        <w:br w:type="page" w:clear="all"/>
      </w:r>
      <w:r>
        <w:rPr>
          <w:color w:val="000000"/>
          <w:sz w:val="24"/>
          <w:highlight w:val="none"/>
        </w:rPr>
      </w:r>
      <w:r/>
    </w:p>
    <w:p>
      <w:pPr>
        <w:pStyle w:val="1309"/>
        <w:ind w:firstLine="480"/>
        <w:jc w:val="center"/>
        <w:spacing w:line="570" w:lineRule="exact"/>
        <w:rPr>
          <w:rFonts w:ascii="方正小标宋简体" w:hAnsi="宋体" w:eastAsia="方正小标宋简体"/>
          <w:color w:val="000000"/>
          <w:sz w:val="44"/>
          <w:szCs w:val="44"/>
          <w:highlight w:val="none"/>
        </w:rPr>
        <w:outlineLvl w:val="3"/>
      </w:pPr>
      <w:r>
        <w:rPr>
          <w:rFonts w:hint="eastAsia" w:ascii="宋体" w:hAnsi="宋体" w:eastAsia="宋体" w:cs="宋体"/>
          <w:b/>
          <w:bCs/>
          <w:color w:val="000000"/>
          <w:sz w:val="32"/>
          <w:szCs w:val="32"/>
          <w:highlight w:val="none"/>
        </w:rPr>
        <w:t xml:space="preserve">中小企业声明函（货物类）</w:t>
      </w:r>
      <w:r>
        <w:rPr>
          <w:rFonts w:ascii="方正小标宋简体" w:hAnsi="宋体" w:eastAsia="方正小标宋简体"/>
          <w:color w:val="000000"/>
          <w:sz w:val="44"/>
          <w:szCs w:val="44"/>
          <w:highlight w:val="none"/>
        </w:rPr>
      </w:r>
      <w:r/>
    </w:p>
    <w:p>
      <w:pPr>
        <w:pStyle w:val="1309"/>
        <w:ind w:firstLine="480"/>
        <w:jc w:val="center"/>
        <w:spacing w:line="570" w:lineRule="exact"/>
        <w:rPr>
          <w:rFonts w:ascii="方正小标宋简体" w:hAnsi="宋体" w:eastAsia="方正小标宋简体"/>
          <w:color w:val="000000"/>
          <w:sz w:val="44"/>
          <w:szCs w:val="44"/>
          <w:highlight w:val="none"/>
        </w:rPr>
        <w:outlineLvl w:val="3"/>
      </w:pPr>
      <w:r>
        <w:rPr>
          <w:rFonts w:ascii="方正小标宋简体" w:hAnsi="宋体" w:eastAsia="方正小标宋简体"/>
          <w:color w:val="000000"/>
          <w:sz w:val="44"/>
          <w:szCs w:val="44"/>
          <w:highlight w:val="none"/>
        </w:rPr>
      </w:r>
      <w:r/>
    </w:p>
    <w:p>
      <w:pPr>
        <w:pStyle w:val="1048"/>
        <w:ind w:firstLine="31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本公司（联合体）郑重声明，根据《政府采购促进中小企业发展管理办法》(财库[2020]46号)的规定，本公司（联合体）参加常州市政府采购中心组织的</w:t>
      </w:r>
      <w:r>
        <w:rPr>
          <w:rFonts w:hint="eastAsia" w:ascii="宋体" w:hAnsi="宋体" w:eastAsia="宋体" w:cs="宋体"/>
          <w:color w:val="000000"/>
          <w:sz w:val="21"/>
          <w:szCs w:val="21"/>
          <w:highlight w:val="none"/>
          <w:u w:val="single"/>
        </w:rPr>
        <w:t xml:space="preserve">（采购单位名称①）</w:t>
      </w:r>
      <w:r>
        <w:rPr>
          <w:rFonts w:hint="eastAsia" w:ascii="宋体" w:hAnsi="宋体" w:eastAsia="宋体" w:cs="宋体"/>
          <w:color w:val="000000"/>
          <w:sz w:val="21"/>
          <w:szCs w:val="21"/>
          <w:highlight w:val="none"/>
        </w:rPr>
        <w:t xml:space="preserve">采购编号为</w:t>
      </w:r>
      <w:r>
        <w:rPr>
          <w:rFonts w:hint="eastAsia" w:ascii="宋体" w:hAnsi="宋体" w:eastAsia="宋体" w:cs="宋体"/>
          <w:color w:val="000000"/>
          <w:sz w:val="21"/>
          <w:szCs w:val="21"/>
          <w:highlight w:val="none"/>
          <w:u w:val="single"/>
        </w:rPr>
        <w:t xml:space="preserve">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u w:val="single"/>
        </w:rPr>
        <w:t xml:space="preserve">（项目名称③）（分包号：④）</w:t>
      </w:r>
      <w:r>
        <w:rPr>
          <w:rFonts w:hint="eastAsia" w:ascii="宋体" w:hAnsi="宋体" w:eastAsia="宋体" w:cs="宋体"/>
          <w:color w:val="000000"/>
          <w:sz w:val="21"/>
          <w:szCs w:val="21"/>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eastAsia="宋体" w:cs="宋体"/>
          <w:color w:val="000000"/>
          <w:sz w:val="21"/>
          <w:szCs w:val="21"/>
          <w:highlight w:val="none"/>
        </w:rPr>
      </w:r>
      <w:r/>
    </w:p>
    <w:p>
      <w:pPr>
        <w:pStyle w:val="1048"/>
        <w:ind w:firstLine="315"/>
        <w:spacing w:line="570" w:lineRule="exact"/>
        <w:rPr>
          <w:rFonts w:hint="eastAsia" w:ascii="宋体" w:hAnsi="宋体" w:eastAsia="宋体" w:cs="宋体"/>
          <w:i/>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（标的名称⑤）</w:t>
      </w:r>
      <w:r>
        <w:rPr>
          <w:rFonts w:hint="eastAsia" w:ascii="宋体" w:hAnsi="宋体" w:eastAsia="宋体" w:cs="宋体"/>
          <w:i/>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（采购文件中明确的所属行业⑥）</w:t>
      </w:r>
      <w:r>
        <w:rPr>
          <w:rFonts w:hint="eastAsia" w:ascii="宋体" w:hAnsi="宋体" w:eastAsia="宋体" w:cs="宋体"/>
          <w:color w:val="000000"/>
          <w:sz w:val="21"/>
          <w:szCs w:val="21"/>
          <w:highlight w:val="none"/>
        </w:rPr>
        <w:t xml:space="preserve">行业；制造商为</w:t>
      </w:r>
      <w:r>
        <w:rPr>
          <w:rFonts w:hint="eastAsia" w:ascii="宋体" w:hAnsi="宋体" w:eastAsia="宋体" w:cs="宋体"/>
          <w:color w:val="000000"/>
          <w:sz w:val="21"/>
          <w:szCs w:val="21"/>
          <w:highlight w:val="none"/>
          <w:u w:val="single"/>
        </w:rPr>
        <w:t xml:space="preserve">（企业名称⑦）</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⑧</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⑨</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⑩</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（中型企业、小型企业、微型企业）⑪；</w:t>
      </w:r>
      <w:r>
        <w:rPr>
          <w:rFonts w:hint="eastAsia" w:ascii="宋体" w:hAnsi="宋体" w:eastAsia="宋体" w:cs="宋体"/>
          <w:i/>
          <w:color w:val="000000"/>
          <w:sz w:val="21"/>
          <w:szCs w:val="21"/>
          <w:highlight w:val="none"/>
          <w:u w:val="single"/>
        </w:rPr>
      </w:r>
      <w:r/>
    </w:p>
    <w:p>
      <w:pPr>
        <w:pStyle w:val="1048"/>
        <w:ind w:firstLine="315"/>
        <w:spacing w:line="570" w:lineRule="exact"/>
        <w:rPr>
          <w:rFonts w:hint="eastAsia" w:ascii="宋体" w:hAnsi="宋体" w:eastAsia="宋体" w:cs="宋体"/>
          <w:i/>
          <w:color w:val="000000"/>
          <w:sz w:val="21"/>
          <w:szCs w:val="21"/>
          <w:highlight w:val="none"/>
          <w:u w:val="singl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i/>
          <w:color w:val="000000"/>
          <w:sz w:val="21"/>
          <w:szCs w:val="21"/>
          <w:highlight w:val="none"/>
        </w:rPr>
        <w:t xml:space="preserve">，</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（采购文件中明确的所属行业）</w:t>
      </w:r>
      <w:r>
        <w:rPr>
          <w:rFonts w:hint="eastAsia" w:ascii="宋体" w:hAnsi="宋体" w:eastAsia="宋体" w:cs="宋体"/>
          <w:color w:val="000000"/>
          <w:sz w:val="21"/>
          <w:szCs w:val="21"/>
          <w:highlight w:val="none"/>
        </w:rPr>
        <w:t xml:space="preserve">行业；制造商为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（中型企业、小型企业、微型企业）；</w:t>
      </w:r>
      <w:r>
        <w:rPr>
          <w:rFonts w:hint="eastAsia" w:ascii="宋体" w:hAnsi="宋体" w:eastAsia="宋体" w:cs="宋体"/>
          <w:i/>
          <w:color w:val="000000"/>
          <w:sz w:val="21"/>
          <w:szCs w:val="21"/>
          <w:highlight w:val="none"/>
          <w:u w:val="single"/>
        </w:rPr>
      </w:r>
      <w:r/>
    </w:p>
    <w:p>
      <w:pPr>
        <w:pStyle w:val="1048"/>
        <w:jc w:val="left"/>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ind w:firstLine="31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rPr>
      </w:r>
      <w:r/>
    </w:p>
    <w:p>
      <w:pPr>
        <w:pStyle w:val="1048"/>
        <w:ind w:firstLine="315"/>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1048"/>
        <w:ind w:right="7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8"/>
        <w:ind w:right="820" w:firstLine="315"/>
        <w:jc w:val="right"/>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企业名称（加盖CA电子公章）：⑫</w:t>
      </w:r>
      <w:r>
        <w:rPr>
          <w:rFonts w:hint="eastAsia" w:ascii="宋体" w:hAnsi="宋体" w:eastAsia="宋体" w:cs="宋体"/>
          <w:color w:val="000000"/>
          <w:sz w:val="21"/>
          <w:szCs w:val="21"/>
          <w:highlight w:val="none"/>
        </w:rPr>
      </w:r>
      <w:r/>
    </w:p>
    <w:p>
      <w:pPr>
        <w:pStyle w:val="1048"/>
        <w:ind w:right="1120"/>
        <w:jc w:val="center"/>
        <w:spacing w:line="570" w:lineRule="exact"/>
        <w:rPr>
          <w:rFonts w:hint="eastAsia" w:ascii="仿宋_GB2312" w:hAnsi="宋体" w:eastAsia="仿宋_GB2312"/>
          <w:color w:val="000000"/>
          <w:sz w:val="32"/>
          <w:szCs w:val="32"/>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  期：</w:t>
      </w:r>
      <w:r>
        <w:rPr>
          <w:rFonts w:hint="eastAsia" w:ascii="仿宋_GB2312" w:hAnsi="宋体" w:eastAsia="仿宋_GB2312"/>
          <w:color w:val="000000"/>
          <w:sz w:val="32"/>
          <w:szCs w:val="32"/>
          <w:highlight w:val="none"/>
        </w:rPr>
      </w:r>
      <w:r/>
    </w:p>
    <w:p>
      <w:pPr>
        <w:pStyle w:val="1048"/>
        <w:spacing w:line="570" w:lineRule="exact"/>
        <w:rPr>
          <w:rFonts w:hint="eastAsia" w:ascii="宋体" w:hAnsi="宋体" w:eastAsia="宋体" w:cs="宋体"/>
          <w:color w:val="000000"/>
          <w:sz w:val="21"/>
          <w:szCs w:val="21"/>
          <w:highlight w:val="none"/>
        </w:rPr>
      </w:pPr>
      <w:r>
        <w:rPr>
          <w:rFonts w:hint="eastAsia"/>
          <w:b/>
          <w:bCs/>
          <w:color w:val="000000"/>
          <w:sz w:val="32"/>
          <w:szCs w:val="32"/>
          <w:highlight w:val="none"/>
        </w:rPr>
        <w:br w:type="page" w:clear="all"/>
      </w:r>
      <w:r>
        <w:rPr>
          <w:rFonts w:hint="eastAsia" w:ascii="宋体" w:hAnsi="宋体" w:eastAsia="宋体" w:cs="宋体"/>
          <w:color w:val="000000"/>
          <w:sz w:val="21"/>
          <w:szCs w:val="21"/>
          <w:highlight w:val="none"/>
        </w:rPr>
        <w:t xml:space="preserve">填写说明：</w:t>
      </w:r>
      <w:r>
        <w:rPr>
          <w:rFonts w:hint="eastAsia" w:ascii="宋体" w:hAnsi="宋体" w:eastAsia="宋体" w:cs="宋体"/>
          <w:color w:val="000000"/>
          <w:sz w:val="21"/>
          <w:szCs w:val="21"/>
          <w:highlight w:val="none"/>
        </w:rPr>
      </w:r>
      <w:r/>
    </w:p>
    <w:p>
      <w:pPr>
        <w:pStyle w:val="1048"/>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1.（采购单位名称①）：填写本项目采购人单位名称，如常州市XXX局。</w:t>
      </w:r>
      <w:r>
        <w:rPr>
          <w:rFonts w:hint="eastAsia" w:ascii="宋体" w:hAnsi="宋体" w:eastAsia="宋体" w:cs="宋体"/>
          <w:color w:val="000000"/>
          <w:sz w:val="21"/>
          <w:szCs w:val="21"/>
          <w:highlight w:val="none"/>
        </w:rPr>
      </w:r>
      <w:r/>
    </w:p>
    <w:p>
      <w:pPr>
        <w:pStyle w:val="1048"/>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2.采购编号为②：填写本项目编号，如JSZC-3204XX-JZCG-G20XX-XX。</w:t>
      </w:r>
      <w:r>
        <w:rPr>
          <w:rFonts w:hint="eastAsia" w:ascii="宋体" w:hAnsi="宋体" w:eastAsia="宋体" w:cs="宋体"/>
          <w:color w:val="000000"/>
          <w:sz w:val="21"/>
          <w:szCs w:val="21"/>
          <w:highlight w:val="none"/>
        </w:rPr>
      </w:r>
      <w:r/>
    </w:p>
    <w:p>
      <w:pPr>
        <w:pStyle w:val="1048"/>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3.（项目名称③）：填写本项目名称，如常州市XXX项目。</w:t>
      </w:r>
      <w:r>
        <w:rPr>
          <w:rFonts w:hint="eastAsia" w:ascii="宋体" w:hAnsi="宋体" w:eastAsia="宋体" w:cs="宋体"/>
          <w:color w:val="000000"/>
          <w:sz w:val="21"/>
          <w:szCs w:val="21"/>
          <w:highlight w:val="none"/>
        </w:rPr>
      </w:r>
      <w:r/>
    </w:p>
    <w:p>
      <w:pPr>
        <w:pStyle w:val="1048"/>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4.（分包号：④）：填写分包编号，如有分包的，分别填写分包号，没有的填“无”。</w:t>
      </w:r>
      <w:r>
        <w:rPr>
          <w:rFonts w:hint="eastAsia" w:ascii="宋体" w:hAnsi="宋体" w:eastAsia="宋体" w:cs="宋体"/>
          <w:color w:val="000000"/>
          <w:sz w:val="21"/>
          <w:szCs w:val="21"/>
          <w:highlight w:val="none"/>
        </w:rPr>
      </w:r>
      <w:r/>
    </w:p>
    <w:p>
      <w:pPr>
        <w:pStyle w:val="1048"/>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5.（标的名称⑤）：填写本项目标的名称，如有产品清单的请根据采购文件“第X章 采购需求”-“2. 服务内容及要求/货物技术要求”-“2.2产品清单”中列出的名称进行填写，如：教室讲台、学生桌、台式计算机等；如没有产品清单的可以填项目名称。如货物涉及不同制造商的，须分别一一列出全部货物所对应的制造商及相关信息。建议格式为：标的名称+（**货物1），属于（采购文件中明确的所属行业）；制造商为**企业1。标的名称+（**货物2），属于（采购文件中明确的所属行业）；制造商为**企业2……。</w:t>
      </w:r>
      <w:r>
        <w:rPr>
          <w:rFonts w:hint="eastAsia" w:ascii="宋体" w:hAnsi="宋体" w:eastAsia="宋体" w:cs="宋体"/>
          <w:color w:val="000000"/>
          <w:sz w:val="21"/>
          <w:szCs w:val="21"/>
          <w:highlight w:val="none"/>
        </w:rPr>
      </w:r>
      <w:r/>
    </w:p>
    <w:p>
      <w:pPr>
        <w:pStyle w:val="1048"/>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6.（采购文件中明确的所属行业⑥）：填写本项目采购标的所属行业。须根据采购文件“第四章采购需求”表格中列明的所属行业进行填写。如：工业等。</w:t>
      </w:r>
      <w:r>
        <w:rPr>
          <w:rFonts w:hint="eastAsia" w:ascii="宋体" w:hAnsi="宋体" w:eastAsia="宋体" w:cs="宋体"/>
          <w:color w:val="000000"/>
          <w:sz w:val="21"/>
          <w:szCs w:val="21"/>
          <w:highlight w:val="none"/>
        </w:rPr>
      </w:r>
      <w:r/>
    </w:p>
    <w:p>
      <w:pPr>
        <w:pStyle w:val="1048"/>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7.（企业名称⑦）：填写</w:t>
      </w:r>
      <w:r>
        <w:rPr>
          <w:rFonts w:hint="eastAsia" w:ascii="宋体" w:hAnsi="宋体" w:eastAsia="宋体" w:cs="宋体"/>
          <w:b/>
          <w:bCs/>
          <w:color w:val="000000"/>
          <w:sz w:val="21"/>
          <w:szCs w:val="21"/>
          <w:highlight w:val="none"/>
        </w:rPr>
        <w:t xml:space="preserve">货物制造商的名称</w:t>
      </w:r>
      <w:r>
        <w:rPr>
          <w:rFonts w:hint="eastAsia" w:ascii="宋体" w:hAnsi="宋体" w:eastAsia="宋体" w:cs="宋体"/>
          <w:color w:val="000000"/>
          <w:sz w:val="21"/>
          <w:szCs w:val="21"/>
          <w:highlight w:val="none"/>
        </w:rPr>
        <w:t xml:space="preserve">，如XXX企业。</w:t>
      </w:r>
      <w:r>
        <w:rPr>
          <w:rFonts w:hint="eastAsia" w:ascii="宋体" w:hAnsi="宋体" w:eastAsia="宋体" w:cs="宋体"/>
          <w:color w:val="000000"/>
          <w:sz w:val="21"/>
          <w:szCs w:val="21"/>
          <w:highlight w:val="none"/>
        </w:rPr>
      </w:r>
      <w:r/>
    </w:p>
    <w:p>
      <w:pPr>
        <w:pStyle w:val="1048"/>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8.从业人员⑧人，营业收入为⑨万元，资产总额为⑩万元：填报</w:t>
      </w:r>
      <w:r>
        <w:rPr>
          <w:rFonts w:hint="eastAsia" w:ascii="宋体" w:hAnsi="宋体" w:eastAsia="宋体" w:cs="宋体"/>
          <w:b/>
          <w:color w:val="000000"/>
          <w:sz w:val="21"/>
          <w:szCs w:val="21"/>
          <w:highlight w:val="none"/>
        </w:rPr>
        <w:t xml:space="preserve">货物制造商</w:t>
      </w:r>
      <w:r>
        <w:rPr>
          <w:rFonts w:hint="eastAsia" w:ascii="宋体" w:hAnsi="宋体" w:eastAsia="宋体" w:cs="宋体"/>
          <w:color w:val="000000"/>
          <w:sz w:val="21"/>
          <w:szCs w:val="21"/>
          <w:highlight w:val="none"/>
        </w:rPr>
        <w:t xml:space="preserve">的从业人员、营业收入、资产总额上一年度数据，无上一年度数据的新成立企业可不填报。</w:t>
      </w:r>
      <w:r>
        <w:rPr>
          <w:rFonts w:hint="eastAsia" w:ascii="宋体" w:hAnsi="宋体" w:eastAsia="宋体" w:cs="宋体"/>
          <w:color w:val="000000"/>
          <w:sz w:val="21"/>
          <w:szCs w:val="21"/>
          <w:highlight w:val="none"/>
        </w:rPr>
      </w:r>
      <w:r/>
    </w:p>
    <w:p>
      <w:pPr>
        <w:pStyle w:val="1048"/>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9.（中型企业、小型企业、微型企业</w:t>
      </w:r>
      <w:r>
        <w:rPr>
          <w:rFonts w:hint="eastAsia" w:ascii="宋体" w:hAnsi="宋体" w:eastAsia="宋体" w:cs="宋体"/>
          <w:color w:val="000000"/>
          <w:sz w:val="21"/>
          <w:szCs w:val="21"/>
          <w:highlight w:val="none"/>
          <w:u w:val="single"/>
        </w:rPr>
        <w:t xml:space="preserve">⑪</w:t>
      </w:r>
      <w:r>
        <w:rPr>
          <w:rFonts w:hint="eastAsia" w:ascii="宋体" w:hAnsi="宋体" w:eastAsia="宋体" w:cs="宋体"/>
          <w:color w:val="000000"/>
          <w:sz w:val="21"/>
          <w:szCs w:val="21"/>
          <w:highlight w:val="none"/>
        </w:rPr>
        <w:t xml:space="preserve">）：须根据</w:t>
      </w:r>
      <w:r>
        <w:rPr>
          <w:rFonts w:hint="eastAsia" w:ascii="宋体" w:hAnsi="宋体" w:eastAsia="宋体" w:cs="宋体"/>
          <w:b/>
          <w:bCs/>
          <w:color w:val="000000"/>
          <w:sz w:val="21"/>
          <w:szCs w:val="21"/>
          <w:highlight w:val="none"/>
        </w:rPr>
        <w:t xml:space="preserve">货物制造商</w:t>
      </w:r>
      <w:r>
        <w:rPr>
          <w:rFonts w:hint="eastAsia" w:ascii="宋体" w:hAnsi="宋体" w:eastAsia="宋体" w:cs="宋体"/>
          <w:color w:val="000000"/>
          <w:sz w:val="21"/>
          <w:szCs w:val="21"/>
          <w:highlight w:val="none"/>
        </w:rPr>
        <w:t xml:space="preserve">的企业规模情况填写中型企业、小型企业或微型企业</w:t>
      </w:r>
      <w:r>
        <w:rPr>
          <w:rFonts w:hint="eastAsia" w:ascii="宋体" w:hAnsi="宋体" w:eastAsia="宋体" w:cs="宋体"/>
          <w:b/>
          <w:bCs/>
          <w:color w:val="000000"/>
          <w:sz w:val="21"/>
          <w:szCs w:val="21"/>
          <w:highlight w:val="none"/>
        </w:rPr>
        <w:t xml:space="preserve">（只能填写三种其中的一种）</w:t>
      </w:r>
      <w:r>
        <w:rPr>
          <w:rFonts w:hint="eastAsia" w:ascii="宋体" w:hAnsi="宋体" w:eastAsia="宋体" w:cs="宋体"/>
          <w:color w:val="000000"/>
          <w:sz w:val="21"/>
          <w:szCs w:val="21"/>
          <w:highlight w:val="none"/>
        </w:rPr>
        <w:t xml:space="preserve">。中小企业划分见《关于印发中小企业划型标准规定的通知》（工信部联企业〔2011〕300号) 。</w:t>
      </w:r>
      <w:r>
        <w:rPr>
          <w:rFonts w:hint="eastAsia" w:ascii="宋体" w:hAnsi="宋体" w:eastAsia="宋体" w:cs="宋体"/>
          <w:color w:val="000000"/>
          <w:sz w:val="21"/>
          <w:szCs w:val="21"/>
          <w:highlight w:val="none"/>
        </w:rPr>
      </w:r>
      <w:r/>
    </w:p>
    <w:p>
      <w:pPr>
        <w:pStyle w:val="1048"/>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10.企业名称（盖章）⑫：加盖</w:t>
      </w:r>
      <w:r>
        <w:rPr>
          <w:rFonts w:hint="eastAsia" w:ascii="宋体" w:hAnsi="宋体" w:eastAsia="宋体" w:cs="宋体"/>
          <w:b/>
          <w:bCs/>
          <w:color w:val="000000"/>
          <w:sz w:val="21"/>
          <w:szCs w:val="21"/>
          <w:highlight w:val="none"/>
        </w:rPr>
        <w:t xml:space="preserve">投标人或供应商</w:t>
      </w:r>
      <w:r>
        <w:rPr>
          <w:rFonts w:hint="eastAsia" w:ascii="宋体" w:hAnsi="宋体" w:eastAsia="宋体" w:cs="宋体"/>
          <w:color w:val="000000"/>
          <w:sz w:val="21"/>
          <w:szCs w:val="21"/>
          <w:highlight w:val="none"/>
        </w:rPr>
        <w:t xml:space="preserve">CA电子公章。</w:t>
      </w:r>
      <w:r>
        <w:rPr>
          <w:rFonts w:hint="eastAsia" w:ascii="宋体" w:hAnsi="宋体" w:eastAsia="宋体" w:cs="宋体"/>
          <w:color w:val="000000"/>
          <w:sz w:val="21"/>
          <w:szCs w:val="21"/>
          <w:highlight w:val="none"/>
        </w:rPr>
      </w:r>
      <w:r/>
    </w:p>
    <w:p>
      <w:pPr>
        <w:pStyle w:val="1048"/>
        <w:ind w:firstLine="42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11.如是</w:t>
      </w:r>
      <w:r>
        <w:rPr>
          <w:rFonts w:hint="eastAsia" w:ascii="宋体" w:hAnsi="宋体" w:eastAsia="宋体" w:cs="宋体"/>
          <w:b/>
          <w:color w:val="000000"/>
          <w:sz w:val="21"/>
          <w:szCs w:val="21"/>
          <w:highlight w:val="none"/>
        </w:rPr>
        <w:t xml:space="preserve">专门面向中小企业预留份额</w:t>
      </w:r>
      <w:r>
        <w:rPr>
          <w:rFonts w:hint="eastAsia" w:ascii="宋体" w:hAnsi="宋体" w:eastAsia="宋体" w:cs="宋体"/>
          <w:color w:val="000000"/>
          <w:sz w:val="21"/>
          <w:szCs w:val="21"/>
          <w:highlight w:val="none"/>
        </w:rPr>
        <w:t xml:space="preserve">的采购项目，供应商未提供此声明函的，资格审查不予通过，作为</w:t>
      </w:r>
      <w:r>
        <w:rPr>
          <w:rFonts w:hint="eastAsia" w:ascii="宋体" w:hAnsi="宋体" w:eastAsia="宋体" w:cs="宋体"/>
          <w:b/>
          <w:color w:val="000000"/>
          <w:sz w:val="21"/>
          <w:szCs w:val="21"/>
          <w:highlight w:val="none"/>
        </w:rPr>
        <w:t xml:space="preserve">无效投标（响应）</w:t>
      </w:r>
      <w:r>
        <w:rPr>
          <w:rFonts w:hint="eastAsia" w:ascii="宋体" w:hAnsi="宋体" w:eastAsia="宋体" w:cs="宋体"/>
          <w:color w:val="000000"/>
          <w:sz w:val="21"/>
          <w:szCs w:val="21"/>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w:t>
      </w:r>
      <w:r>
        <w:rPr>
          <w:rFonts w:hint="eastAsia" w:ascii="宋体" w:hAnsi="宋体" w:eastAsia="宋体" w:cs="宋体"/>
          <w:b/>
          <w:bCs/>
          <w:color w:val="000000"/>
          <w:sz w:val="21"/>
          <w:szCs w:val="21"/>
          <w:highlight w:val="none"/>
        </w:rPr>
        <w:t xml:space="preserve">货物制造商</w:t>
      </w:r>
      <w:r>
        <w:rPr>
          <w:rFonts w:hint="eastAsia" w:ascii="宋体" w:hAnsi="宋体" w:eastAsia="宋体" w:cs="宋体"/>
          <w:color w:val="000000"/>
          <w:sz w:val="21"/>
          <w:szCs w:val="21"/>
          <w:highlight w:val="none"/>
        </w:rPr>
        <w:t xml:space="preserve">是否属于中小微企业，并认真填写声明函，若有虚假将追究其责任。</w:t>
      </w:r>
      <w:r>
        <w:rPr>
          <w:rFonts w:hint="eastAsia" w:ascii="宋体" w:hAnsi="宋体" w:eastAsia="宋体" w:cs="宋体"/>
          <w:color w:val="000000"/>
          <w:sz w:val="21"/>
          <w:szCs w:val="21"/>
          <w:highlight w:val="none"/>
        </w:rPr>
      </w:r>
      <w:r/>
    </w:p>
    <w:p>
      <w:pPr>
        <w:pStyle w:val="1309"/>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12.温馨提示</w:t>
      </w:r>
      <w:r>
        <w:rPr>
          <w:rFonts w:hint="eastAsia" w:ascii="宋体" w:hAnsi="宋体" w:eastAsia="宋体" w:cs="宋体"/>
          <w:color w:val="000000"/>
          <w:sz w:val="21"/>
          <w:szCs w:val="21"/>
          <w:highlight w:val="none"/>
        </w:rPr>
      </w:r>
      <w:r/>
    </w:p>
    <w:p>
      <w:pPr>
        <w:pStyle w:val="1309"/>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（1）对于已纳入统计部门统计范围的企业，所属行业、从业人员、营业收入、资产总额、规模类型应与统计部门报表保持一致。</w:t>
      </w:r>
      <w:r>
        <w:rPr>
          <w:rFonts w:hint="eastAsia" w:ascii="宋体" w:hAnsi="宋体" w:eastAsia="宋体" w:cs="宋体"/>
          <w:color w:val="000000"/>
          <w:sz w:val="21"/>
          <w:szCs w:val="21"/>
          <w:highlight w:val="none"/>
        </w:rPr>
      </w:r>
      <w:r/>
    </w:p>
    <w:p>
      <w:pPr>
        <w:pStyle w:val="1309"/>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color w:val="000000"/>
          <w:sz w:val="21"/>
          <w:szCs w:val="21"/>
          <w:highlight w:val="none"/>
        </w:rPr>
      </w:r>
      <w:r/>
    </w:p>
    <w:p>
      <w:pPr>
        <w:pStyle w:val="1309"/>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color w:val="000000"/>
          <w:sz w:val="21"/>
          <w:szCs w:val="21"/>
          <w:highlight w:val="none"/>
        </w:rPr>
      </w:r>
      <w:r/>
    </w:p>
    <w:p>
      <w:pPr>
        <w:pStyle w:val="1309"/>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hint="eastAsia" w:ascii="宋体" w:hAnsi="宋体" w:eastAsia="宋体" w:cs="宋体"/>
          <w:color w:val="000000"/>
          <w:sz w:val="21"/>
          <w:szCs w:val="21"/>
          <w:highlight w:val="none"/>
        </w:rPr>
      </w:r>
      <w:r/>
    </w:p>
    <w:p>
      <w:pPr>
        <w:pStyle w:val="1309"/>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中小企业声明函》真实性由其出具的供应商负责。《中小企业声明函》中相关企业[制造商、承建（承接）企业]所属行业应当与采购标的的所属行业相一致。如为货物采购项目，《中小企业声明函》应当充分、准确反映</w:t>
      </w:r>
      <w:r>
        <w:rPr>
          <w:rFonts w:hint="eastAsia" w:ascii="宋体" w:hAnsi="宋体" w:eastAsia="宋体" w:cs="宋体"/>
          <w:b/>
          <w:color w:val="000000"/>
          <w:sz w:val="21"/>
          <w:szCs w:val="21"/>
          <w:highlight w:val="none"/>
        </w:rPr>
        <w:t xml:space="preserve">货物制造商</w:t>
      </w:r>
      <w:r>
        <w:rPr>
          <w:rFonts w:hint="eastAsia" w:ascii="宋体" w:hAnsi="宋体" w:eastAsia="宋体" w:cs="宋体"/>
          <w:color w:val="000000"/>
          <w:sz w:val="21"/>
          <w:szCs w:val="21"/>
          <w:highlight w:val="none"/>
        </w:rPr>
        <w:t xml:space="preserve">的信息。</w:t>
      </w:r>
      <w:r>
        <w:rPr>
          <w:rFonts w:hint="eastAsia" w:ascii="宋体" w:hAnsi="宋体" w:eastAsia="宋体" w:cs="宋体"/>
          <w:color w:val="000000"/>
          <w:sz w:val="21"/>
          <w:szCs w:val="21"/>
          <w:highlight w:val="none"/>
        </w:rPr>
      </w:r>
      <w:r/>
    </w:p>
    <w:p>
      <w:pPr>
        <w:pStyle w:val="1309"/>
        <w:ind w:firstLine="480"/>
        <w:spacing w:line="57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color w:val="000000"/>
          <w:sz w:val="21"/>
          <w:szCs w:val="21"/>
          <w:highlight w:val="none"/>
        </w:rPr>
      </w:r>
      <w:r/>
    </w:p>
    <w:p>
      <w:pPr>
        <w:pStyle w:val="1309"/>
        <w:ind w:firstLine="480"/>
        <w:spacing w:line="570" w:lineRule="exact"/>
        <w:rPr>
          <w:rFonts w:ascii="仿宋_GB2312" w:hAnsi="宋体" w:eastAsia="仿宋_GB2312" w:cs="黑体"/>
          <w:color w:val="000000"/>
          <w:sz w:val="32"/>
          <w:szCs w:val="32"/>
          <w:highlight w:val="none"/>
        </w:rPr>
      </w:pPr>
      <w:r>
        <w:rPr>
          <w:rFonts w:hint="eastAsia" w:ascii="宋体" w:hAnsi="宋体" w:eastAsia="宋体" w:cs="宋体"/>
          <w:color w:val="000000"/>
          <w:sz w:val="21"/>
          <w:szCs w:val="21"/>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仿宋_GB2312" w:hAnsi="宋体" w:eastAsia="仿宋_GB2312" w:cs="黑体"/>
          <w:color w:val="000000"/>
          <w:sz w:val="32"/>
          <w:szCs w:val="32"/>
          <w:highlight w:val="none"/>
        </w:rPr>
      </w:r>
      <w:r/>
    </w:p>
    <w:p>
      <w:pPr>
        <w:pStyle w:val="1048"/>
        <w:spacing w:line="570" w:lineRule="exact"/>
        <w:rPr>
          <w:rFonts w:hint="eastAsia" w:ascii="仿宋_GB2312" w:eastAsia="仿宋_GB2312"/>
          <w:color w:val="000000"/>
          <w:sz w:val="32"/>
          <w:szCs w:val="32"/>
          <w:highlight w:val="none"/>
        </w:rPr>
      </w:pPr>
      <w:r>
        <w:rPr>
          <w:rFonts w:hint="eastAsia" w:ascii="仿宋_GB2312" w:eastAsia="仿宋_GB2312"/>
          <w:color w:val="000000"/>
          <w:sz w:val="32"/>
          <w:szCs w:val="32"/>
          <w:highlight w:val="none"/>
        </w:rPr>
      </w:r>
      <w:r/>
    </w:p>
    <w:p>
      <w:pPr>
        <w:pStyle w:val="1048"/>
        <w:jc w:val="center"/>
        <w:spacing w:before="240" w:after="240" w:line="360" w:lineRule="auto"/>
        <w:rPr>
          <w:b/>
          <w:color w:val="000000"/>
          <w:sz w:val="36"/>
          <w:szCs w:val="36"/>
          <w:highlight w:val="none"/>
        </w:rPr>
      </w:pPr>
      <w:r>
        <w:rPr>
          <w:rFonts w:hint="eastAsia"/>
          <w:b/>
          <w:bCs/>
          <w:color w:val="000000"/>
          <w:sz w:val="32"/>
          <w:szCs w:val="32"/>
          <w:highlight w:val="none"/>
        </w:rPr>
        <w:br w:type="page" w:clear="all"/>
      </w:r>
      <w:r>
        <w:rPr>
          <w:rFonts w:hint="eastAsia"/>
          <w:b/>
          <w:bCs/>
          <w:color w:val="000000"/>
          <w:sz w:val="32"/>
          <w:szCs w:val="32"/>
          <w:highlight w:val="none"/>
        </w:rPr>
        <w:t xml:space="preserve">残疾人福利性单位声明函格式     </w:t>
      </w:r>
      <w:r>
        <w:rPr>
          <w:b/>
          <w:color w:val="000000"/>
          <w:sz w:val="36"/>
          <w:szCs w:val="36"/>
          <w:highlight w:val="none"/>
        </w:rPr>
        <w:t xml:space="preserve">  </w:t>
      </w:r>
      <w:r>
        <w:rPr>
          <w:b/>
          <w:color w:val="000000"/>
          <w:sz w:val="36"/>
          <w:szCs w:val="36"/>
          <w:highlight w:val="none"/>
        </w:rPr>
      </w:r>
      <w:r/>
    </w:p>
    <w:p>
      <w:pPr>
        <w:pStyle w:val="1048"/>
        <w:ind w:firstLine="50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Cs w:val="21"/>
          <w:highlight w:val="none"/>
        </w:rPr>
        <w:t xml:space="preserve">〔2017〕 141</w:t>
      </w:r>
      <w:r>
        <w:rPr>
          <w:rFonts w:hint="eastAsia" w:ascii="宋体" w:hAnsi="宋体" w:cs="宋体"/>
          <w:color w:val="000000"/>
          <w:spacing w:val="6"/>
          <w:szCs w:val="21"/>
          <w:highlight w:val="none"/>
        </w:rPr>
        <w:t xml:space="preserve">号）的规定，本单位</w:t>
      </w:r>
      <w:r>
        <w:rPr>
          <w:rFonts w:hint="eastAsia" w:ascii="宋体" w:hAnsi="宋体" w:cs="宋体"/>
          <w:b/>
          <w:color w:val="000000"/>
          <w:szCs w:val="21"/>
          <w:highlight w:val="none"/>
        </w:rPr>
        <w:t xml:space="preserve">（请进行勾选）</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048"/>
        <w:ind w:firstLine="482"/>
        <w:spacing w:line="588" w:lineRule="exact"/>
        <w:rPr>
          <w:rFonts w:hint="eastAsia" w:ascii="宋体" w:hAnsi="宋体" w:cs="宋体"/>
          <w:b/>
          <w:color w:val="000000"/>
          <w:spacing w:val="6"/>
          <w:szCs w:val="21"/>
          <w:highlight w:val="none"/>
        </w:rPr>
      </w:pPr>
      <w:r>
        <w:rPr>
          <w:rFonts w:hint="eastAsia" w:ascii="宋体" w:hAnsi="宋体" w:cs="宋体"/>
          <w:b/>
          <w:color w:val="000000"/>
          <w:szCs w:val="21"/>
          <w:highlight w:val="none"/>
        </w:rPr>
        <w:t xml:space="preserve">□</w:t>
      </w:r>
      <w:r>
        <w:rPr>
          <w:rFonts w:hint="eastAsia" w:ascii="宋体" w:hAnsi="宋体" w:cs="宋体"/>
          <w:b/>
          <w:color w:val="000000"/>
          <w:spacing w:val="6"/>
          <w:szCs w:val="21"/>
          <w:highlight w:val="none"/>
        </w:rPr>
        <w:t xml:space="preserve">不属于符合条件的残疾人福利性单位。</w:t>
      </w:r>
      <w:r>
        <w:rPr>
          <w:rFonts w:hint="eastAsia" w:ascii="宋体" w:hAnsi="宋体" w:cs="宋体"/>
          <w:b/>
          <w:color w:val="000000"/>
          <w:spacing w:val="6"/>
          <w:szCs w:val="21"/>
          <w:highlight w:val="none"/>
        </w:rPr>
      </w:r>
      <w:r/>
    </w:p>
    <w:p>
      <w:pPr>
        <w:pStyle w:val="1048"/>
        <w:ind w:firstLine="482"/>
        <w:spacing w:line="588" w:lineRule="exact"/>
        <w:rPr>
          <w:rFonts w:hint="eastAsia" w:ascii="宋体" w:hAnsi="宋体" w:cs="宋体"/>
          <w:color w:val="000000"/>
          <w:spacing w:val="6"/>
          <w:szCs w:val="21"/>
          <w:highlight w:val="none"/>
        </w:rPr>
      </w:pPr>
      <w:r>
        <w:rPr>
          <w:rFonts w:hint="eastAsia" w:ascii="宋体" w:hAnsi="宋体" w:cs="宋体"/>
          <w:b/>
          <w:color w:val="000000"/>
          <w:szCs w:val="21"/>
          <w:highlight w:val="none"/>
        </w:rPr>
        <w:t xml:space="preserve">□</w:t>
      </w:r>
      <w:r>
        <w:rPr>
          <w:rFonts w:hint="eastAsia" w:ascii="宋体" w:hAnsi="宋体" w:cs="宋体"/>
          <w:b/>
          <w:color w:val="000000"/>
          <w:spacing w:val="6"/>
          <w:szCs w:val="21"/>
          <w:highlight w:val="none"/>
        </w:rPr>
        <w:t xml:space="preserve">属于符合条件的残疾人福利性单位，</w:t>
      </w:r>
      <w:r>
        <w:rPr>
          <w:rFonts w:hint="eastAsia" w:ascii="宋体" w:hAnsi="宋体" w:cs="宋体"/>
          <w:color w:val="000000"/>
          <w:spacing w:val="6"/>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highlight w:val="none"/>
        </w:rPr>
      </w:r>
      <w:r/>
    </w:p>
    <w:p>
      <w:pPr>
        <w:pStyle w:val="1048"/>
        <w:ind w:firstLine="446"/>
        <w:spacing w:line="588" w:lineRule="exact"/>
        <w:rPr>
          <w:rFonts w:hint="eastAsia" w:ascii="宋体" w:hAnsi="宋体" w:cs="宋体"/>
          <w:color w:val="000000"/>
          <w:spacing w:val="6"/>
          <w:szCs w:val="21"/>
          <w:highlight w:val="none"/>
        </w:rPr>
      </w:pPr>
      <w:r>
        <w:rPr>
          <w:rFonts w:hint="eastAsia" w:ascii="宋体" w:hAnsi="宋体" w:cs="宋体"/>
          <w:b/>
          <w:color w:val="000000"/>
          <w:spacing w:val="6"/>
          <w:szCs w:val="21"/>
          <w:highlight w:val="none"/>
        </w:rPr>
        <w:t xml:space="preserve">本单位对上述声明的真实性负责。如有虚假，将依法承担相应责任。</w:t>
      </w:r>
      <w:r>
        <w:rPr>
          <w:rFonts w:hint="eastAsia" w:ascii="宋体" w:hAnsi="宋体" w:cs="宋体"/>
          <w:color w:val="000000"/>
          <w:spacing w:val="6"/>
          <w:szCs w:val="21"/>
          <w:highlight w:val="none"/>
        </w:rPr>
      </w:r>
      <w:r/>
    </w:p>
    <w:p>
      <w:pPr>
        <w:pStyle w:val="1048"/>
        <w:ind w:firstLine="44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048"/>
        <w:ind w:firstLine="444"/>
        <w:spacing w:line="588"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048"/>
        <w:ind w:right="1560" w:firstLine="444"/>
        <w:jc w:val="center"/>
        <w:spacing w:line="588" w:lineRule="exact"/>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单位名称（加盖公章）：</w:t>
      </w:r>
      <w:r>
        <w:rPr>
          <w:rFonts w:hint="eastAsia" w:ascii="宋体" w:hAnsi="宋体" w:cs="宋体"/>
          <w:color w:val="000000"/>
          <w:spacing w:val="6"/>
          <w:szCs w:val="21"/>
          <w:highlight w:val="none"/>
        </w:rPr>
      </w:r>
      <w:r/>
    </w:p>
    <w:p>
      <w:pPr>
        <w:pStyle w:val="1048"/>
        <w:ind w:right="1560" w:firstLine="444"/>
        <w:jc w:val="center"/>
        <w:spacing w:line="588" w:lineRule="exact"/>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日  期：</w:t>
      </w:r>
      <w:r>
        <w:rPr>
          <w:rFonts w:hint="eastAsia" w:ascii="宋体" w:hAnsi="宋体" w:cs="宋体"/>
          <w:color w:val="000000"/>
          <w:spacing w:val="6"/>
          <w:szCs w:val="21"/>
          <w:highlight w:val="none"/>
        </w:rPr>
      </w:r>
      <w:r/>
    </w:p>
    <w:p>
      <w:pPr>
        <w:pStyle w:val="1048"/>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1048"/>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1048"/>
        <w:ind w:right="1560" w:firstLine="504"/>
        <w:jc w:val="center"/>
        <w:spacing w:line="588" w:lineRule="exact"/>
        <w:tabs>
          <w:tab w:val="left" w:pos="4860" w:leader="none"/>
        </w:tabs>
        <w:rPr>
          <w:rFonts w:hint="eastAsia"/>
          <w:color w:val="000000"/>
          <w:spacing w:val="6"/>
          <w:sz w:val="24"/>
          <w:highlight w:val="none"/>
        </w:rPr>
      </w:pPr>
      <w:r>
        <w:rPr>
          <w:rFonts w:hint="eastAsia"/>
          <w:color w:val="000000"/>
          <w:spacing w:val="6"/>
          <w:sz w:val="24"/>
          <w:highlight w:val="none"/>
        </w:rPr>
      </w:r>
      <w:r/>
    </w:p>
    <w:p>
      <w:pPr>
        <w:pStyle w:val="1048"/>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r>
      <w:r/>
    </w:p>
    <w:p>
      <w:pPr>
        <w:pStyle w:val="1048"/>
        <w:jc w:val="left"/>
        <w:widowControl/>
        <w:rPr>
          <w:color w:val="000000"/>
          <w:sz w:val="24"/>
          <w:highlight w:val="none"/>
        </w:rPr>
      </w:pPr>
      <w:r>
        <w:rPr>
          <w:color w:val="000000"/>
          <w:sz w:val="24"/>
          <w:highlight w:val="none"/>
        </w:rPr>
      </w:r>
      <w:r/>
    </w:p>
    <w:p>
      <w:pPr>
        <w:pStyle w:val="1048"/>
        <w:spacing w:line="360" w:lineRule="auto"/>
        <w:rPr>
          <w:rFonts w:hint="eastAsia"/>
          <w:color w:val="000000"/>
          <w:sz w:val="24"/>
          <w:szCs w:val="20"/>
          <w:highlight w:val="none"/>
        </w:rPr>
      </w:pPr>
      <w:r>
        <w:rPr>
          <w:rFonts w:hint="eastAsia"/>
          <w:color w:val="000000"/>
          <w:sz w:val="24"/>
          <w:szCs w:val="20"/>
          <w:highlight w:val="none"/>
        </w:rPr>
      </w:r>
      <w:r/>
    </w:p>
    <w:p>
      <w:pPr>
        <w:pStyle w:val="1048"/>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48"/>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48"/>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48"/>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48"/>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48"/>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48"/>
        <w:spacing w:line="360" w:lineRule="auto"/>
        <w:rPr>
          <w:rFonts w:hint="eastAsia"/>
          <w:color w:val="000000"/>
          <w:sz w:val="24"/>
          <w:szCs w:val="20"/>
          <w:highlight w:val="none"/>
        </w:rPr>
      </w:pPr>
      <w:r>
        <w:rPr>
          <w:rFonts w:hint="eastAsia"/>
          <w:color w:val="000000"/>
          <w:sz w:val="24"/>
          <w:szCs w:val="20"/>
          <w:highlight w:val="none"/>
        </w:rPr>
      </w:r>
      <w:r/>
    </w:p>
    <w:p>
      <w:pPr>
        <w:pStyle w:val="1113"/>
        <w:jc w:val="center"/>
        <w:spacing w:before="0" w:beforeAutospacing="0" w:after="0" w:afterAutospacing="0"/>
        <w:shd w:val="clear" w:color="auto" w:fill="ffffff"/>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1113"/>
        <w:ind w:left="0" w:right="0"/>
        <w:jc w:val="center"/>
        <w:keepLines w:val="0"/>
        <w:keepNext w:val="0"/>
        <w:spacing w:before="15" w:beforeAutospacing="0" w:after="15" w:afterAutospacing="0"/>
        <w:shd w:val="clear" w:color="auto" w:fill="ffffff"/>
        <w:widowControl/>
        <w:rPr>
          <w:rFonts w:hint="eastAsia" w:ascii="Times New Roman" w:hAnsi="Times New Roman" w:eastAsia="宋体" w:cs="Times New Roman"/>
          <w:b/>
          <w:bCs/>
          <w:color w:val="000000"/>
          <w:sz w:val="32"/>
          <w:szCs w:val="32"/>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b/>
          <w:bCs/>
          <w:color w:val="000000"/>
          <w:sz w:val="32"/>
          <w:szCs w:val="32"/>
          <w:highlight w:val="none"/>
          <w:lang w:val="en-US" w:eastAsia="zh-CN" w:bidi="ar-SA"/>
        </w:rPr>
        <w:t xml:space="preserve">关于符合本国产品标准的声明函</w:t>
      </w:r>
      <w:r>
        <w:rPr>
          <w:rFonts w:hint="eastAsia" w:ascii="Times New Roman" w:hAnsi="Times New Roman" w:eastAsia="宋体" w:cs="Times New Roman"/>
          <w:b/>
          <w:bCs/>
          <w:color w:val="000000"/>
          <w:sz w:val="32"/>
          <w:szCs w:val="32"/>
          <w:highlight w:val="none"/>
          <w:lang w:val="en-US" w:eastAsia="zh-CN" w:bidi="ar-SA"/>
        </w:rPr>
      </w:r>
      <w:r/>
    </w:p>
    <w:p>
      <w:pPr>
        <w:pStyle w:val="1113"/>
        <w:ind w:left="0" w:firstLine="420"/>
        <w:keepLines w:val="0"/>
        <w:keepNext w:val="0"/>
        <w:spacing w:before="15" w:beforeAutospacing="0" w:after="15" w:afterAutospacing="0"/>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hd w:val="clear" w:color="auto" w:fill="ffffff"/>
        </w:rPr>
        <w:t xml:space="preserve"> </w:t>
      </w:r>
      <w:r>
        <w:rPr>
          <w:color w:val="000000"/>
        </w:rPr>
      </w:r>
      <w:r/>
    </w:p>
    <w:p>
      <w:pPr>
        <w:pStyle w:val="1113"/>
        <w:ind w:left="0" w:firstLine="420"/>
        <w:keepLines w:val="0"/>
        <w:keepNext w:val="0"/>
        <w:spacing w:before="0" w:beforeAutospacing="0" w:after="0" w:afterAutospacing="0" w:line="480" w:lineRule="auto"/>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本公司（单位</w:t>
      </w:r>
      <w:bookmarkStart w:id="716" w:name="_GoBack"/>
      <w:r>
        <w:rPr>
          <w:rFonts w:hint="eastAsia" w:ascii="宋体" w:hAnsi="宋体" w:eastAsia="宋体" w:cs="宋体"/>
          <w:color w:val="000000"/>
          <w:sz w:val="21"/>
          <w:szCs w:val="21"/>
        </w:rPr>
        <w:t xml:space="preserve">）郑重声明，根据《国务院办公厅关于在政府采购中实施本国产品标准及相关政策的通知》（国办发〔2025〕34号）的规定，本公司（单位）提供的以下产品属于本国产品。具体情况如下：</w:t>
      </w:r>
      <w:r>
        <w:rPr>
          <w:color w:val="000000"/>
          <w:sz w:val="21"/>
          <w:szCs w:val="21"/>
        </w:rPr>
      </w:r>
      <w:r/>
    </w:p>
    <w:p>
      <w:pPr>
        <w:pStyle w:val="1113"/>
        <w:ind w:left="0" w:firstLine="420"/>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color w:val="000000"/>
          <w:sz w:val="21"/>
          <w:szCs w:val="21"/>
        </w:rPr>
      </w:r>
      <w:r/>
    </w:p>
    <w:p>
      <w:pPr>
        <w:pStyle w:val="1113"/>
        <w:ind w:left="0" w:firstLine="420"/>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在中国境内完成。</w:t>
      </w:r>
      <w:r>
        <w:rPr>
          <w:color w:val="000000"/>
          <w:sz w:val="21"/>
          <w:szCs w:val="21"/>
        </w:rPr>
      </w:r>
      <w:r/>
    </w:p>
    <w:p>
      <w:pPr>
        <w:pStyle w:val="1113"/>
        <w:ind w:left="0" w:firstLine="420"/>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w:t>
      </w:r>
      <w:r>
        <w:rPr>
          <w:color w:val="000000"/>
          <w:sz w:val="21"/>
          <w:szCs w:val="21"/>
        </w:rPr>
      </w:r>
      <w:r/>
    </w:p>
    <w:p>
      <w:pPr>
        <w:pStyle w:val="1113"/>
        <w:ind w:left="0" w:firstLine="420"/>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color w:val="000000"/>
          <w:sz w:val="21"/>
          <w:szCs w:val="21"/>
        </w:rPr>
      </w:r>
      <w:r/>
    </w:p>
    <w:p>
      <w:pPr>
        <w:pStyle w:val="1113"/>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z w:val="21"/>
          <w:szCs w:val="21"/>
          <w:shd w:val="clear" w:color="auto" w:fill="ffffff"/>
        </w:rPr>
        <w:t xml:space="preserve"> </w:t>
      </w:r>
      <w:r>
        <w:rPr>
          <w:color w:val="000000"/>
          <w:sz w:val="21"/>
          <w:szCs w:val="21"/>
        </w:rPr>
      </w:r>
      <w:r/>
    </w:p>
    <w:p>
      <w:pPr>
        <w:pStyle w:val="1113"/>
        <w:jc w:val="right"/>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   公司（单位）名称（加盖CA电子公章）：         </w:t>
      </w:r>
      <w:r>
        <w:rPr>
          <w:color w:val="000000"/>
          <w:sz w:val="21"/>
          <w:szCs w:val="21"/>
        </w:rPr>
      </w:r>
      <w:r/>
    </w:p>
    <w:p>
      <w:pPr>
        <w:pStyle w:val="1113"/>
        <w:jc w:val="center"/>
        <w:keepLines w:val="0"/>
        <w:keepNext w:val="0"/>
        <w:spacing w:before="30" w:beforeAutospacing="0" w:after="30" w:afterAutospacing="0" w:line="48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      </w:t>
      </w:r>
      <w:r>
        <w:rPr>
          <w:rFonts w:hint="eastAsia" w:eastAsia="宋体" w:cs="宋体"/>
          <w:color w:val="000000"/>
          <w:sz w:val="21"/>
          <w:szCs w:val="21"/>
          <w:shd w:val="clear" w:color="auto" w:fill="ffffff"/>
          <w:lang w:val="en-US" w:eastAsia="zh-CN"/>
        </w:rPr>
        <w:t xml:space="preserve">       </w:t>
      </w:r>
      <w:r>
        <w:rPr>
          <w:rFonts w:hint="eastAsia" w:ascii="宋体" w:hAnsi="宋体" w:eastAsia="宋体" w:cs="宋体"/>
          <w:color w:val="000000"/>
          <w:sz w:val="21"/>
          <w:szCs w:val="21"/>
          <w:shd w:val="clear" w:color="auto" w:fill="ffffff"/>
        </w:rPr>
        <w:t xml:space="preserve">     </w:t>
      </w:r>
      <w:r>
        <w:rPr>
          <w:rFonts w:hint="eastAsia" w:eastAsia="宋体" w:cs="宋体"/>
          <w:color w:val="000000"/>
          <w:sz w:val="21"/>
          <w:szCs w:val="21"/>
          <w:shd w:val="clear" w:color="auto" w:fill="ffffff"/>
          <w:lang w:val="en-US" w:eastAsia="zh-CN"/>
        </w:rPr>
        <w:t xml:space="preserve">    </w:t>
      </w:r>
      <w:r>
        <w:rPr>
          <w:rFonts w:hint="eastAsia" w:ascii="宋体" w:hAnsi="宋体" w:eastAsia="宋体" w:cs="宋体"/>
          <w:color w:val="000000"/>
          <w:sz w:val="21"/>
          <w:szCs w:val="21"/>
          <w:shd w:val="clear" w:color="auto" w:fill="ffffff"/>
        </w:rPr>
        <w:t xml:space="preserve">日期：      年   月   日  </w:t>
      </w:r>
      <w:r>
        <w:rPr>
          <w:rFonts w:hint="eastAsia" w:ascii="宋体" w:hAnsi="宋体" w:eastAsia="宋体" w:cs="宋体"/>
          <w:color w:val="000000"/>
          <w:sz w:val="24"/>
          <w:szCs w:val="24"/>
          <w:shd w:val="clear" w:color="auto" w:fill="ffffff"/>
        </w:rPr>
        <w:t xml:space="preserve">       </w:t>
      </w:r>
      <w:r>
        <w:rPr>
          <w:color w:val="000000"/>
        </w:rPr>
      </w:r>
      <w:r/>
    </w:p>
    <w:p>
      <w:pPr>
        <w:pStyle w:val="1113"/>
        <w:keepLines w:val="0"/>
        <w:keepNext w:val="0"/>
        <w:spacing w:before="30" w:beforeAutospacing="0" w:after="30" w:afterAutospacing="0" w:line="0" w:lineRule="atLeast"/>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hd w:val="clear" w:color="auto" w:fill="ffffff"/>
        </w:rPr>
        <w:t xml:space="preserve"> </w:t>
      </w:r>
      <w:r>
        <w:rPr>
          <w:color w:val="000000"/>
        </w:rPr>
      </w:r>
      <w:r/>
    </w:p>
    <w:p>
      <w:pPr>
        <w:pStyle w:val="1113"/>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_________________</w:t>
      </w:r>
      <w:r>
        <w:rPr>
          <w:color w:val="000000"/>
          <w:sz w:val="21"/>
          <w:szCs w:val="21"/>
        </w:rPr>
      </w:r>
      <w:r/>
    </w:p>
    <w:p>
      <w:pPr>
        <w:pStyle w:val="1113"/>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1.产品如有型号，请在“产品名称”栏一并填写。</w:t>
      </w:r>
      <w:r>
        <w:rPr>
          <w:color w:val="000000"/>
          <w:sz w:val="21"/>
          <w:szCs w:val="21"/>
        </w:rPr>
      </w:r>
      <w:r/>
    </w:p>
    <w:p>
      <w:pPr>
        <w:pStyle w:val="1113"/>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rPr>
          <w:color w:val="000000"/>
          <w:sz w:val="21"/>
          <w:szCs w:val="21"/>
        </w:rPr>
      </w:r>
      <w:r/>
    </w:p>
    <w:p>
      <w:pPr>
        <w:pStyle w:val="1113"/>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rPr>
          <w:color w:val="000000"/>
          <w:sz w:val="21"/>
          <w:szCs w:val="21"/>
        </w:rPr>
      </w:r>
      <w:r/>
    </w:p>
    <w:p>
      <w:pPr>
        <w:pStyle w:val="1113"/>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4.该产品的关键组件要求实施前，“关键组件”栏可不填，下同。</w:t>
      </w:r>
      <w:r>
        <w:rPr>
          <w:color w:val="000000"/>
          <w:sz w:val="21"/>
          <w:szCs w:val="21"/>
        </w:rPr>
      </w:r>
      <w:r/>
    </w:p>
    <w:p>
      <w:pPr>
        <w:pStyle w:val="1113"/>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5.该产品的关键工序要求实施前，“关键工序”栏可不填，下同。</w:t>
      </w:r>
      <w:r>
        <w:rPr>
          <w:color w:val="000000"/>
          <w:sz w:val="21"/>
          <w:szCs w:val="21"/>
        </w:rPr>
      </w:r>
      <w:r/>
    </w:p>
    <w:p>
      <w:pPr>
        <w:pStyle w:val="1113"/>
        <w:keepLines w:val="0"/>
        <w:keepNext w:val="0"/>
        <w:spacing w:before="30" w:beforeAutospacing="0" w:after="30" w:afterAutospacing="0" w:line="480" w:lineRule="auto"/>
        <w:shd w:val="clear" w:color="auto" w:fill="ffffff"/>
        <w:widowControl/>
        <w:rPr>
          <w:color w:val="000000"/>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shd w:val="clear" w:color="auto" w:fill="ffffff"/>
        </w:rPr>
        <w:t xml:space="preserve">6.《声明函》中标注“</w:t>
      </w:r>
      <w:r>
        <w:rPr>
          <w:rFonts w:hint="eastAsia" w:ascii="宋体" w:hAnsi="宋体" w:eastAsia="宋体" w:cs="宋体"/>
          <w:color w:val="000000"/>
          <w:sz w:val="21"/>
          <w:szCs w:val="21"/>
          <w:u w:val="single"/>
          <w:shd w:val="clear" w:color="auto" w:fill="ffffff"/>
        </w:rPr>
        <w:t xml:space="preserve">  /  </w:t>
      </w:r>
      <w:r>
        <w:rPr>
          <w:rFonts w:hint="eastAsia" w:ascii="宋体" w:hAnsi="宋体" w:eastAsia="宋体" w:cs="宋体"/>
          <w:color w:val="000000"/>
          <w:sz w:val="21"/>
          <w:szCs w:val="21"/>
          <w:shd w:val="clear" w:color="auto" w:fill="ffffff"/>
        </w:rPr>
        <w:t xml:space="preserve">”的地方无需填写。</w:t>
      </w:r>
      <w:r>
        <w:rPr>
          <w:color w:val="000000"/>
          <w:sz w:val="21"/>
          <w:szCs w:val="21"/>
        </w:rPr>
      </w:r>
      <w:r/>
    </w:p>
    <w:p>
      <w:pPr>
        <w:pStyle w:val="1113"/>
        <w:ind w:firstLine="480"/>
        <w:spacing w:before="30" w:beforeAutospacing="0" w:after="30" w:afterAutospacing="0"/>
        <w:shd w:val="clear" w:color="auto" w:fill="ffffff"/>
        <w:rPr>
          <w:rFonts w:hint="eastAsia"/>
          <w:color w:val="000000"/>
          <w:highlight w:val="none"/>
        </w:rPr>
      </w:pPr>
      <w:r/>
      <w:bookmarkEnd w:id="716"/>
      <w:r>
        <w:rPr>
          <w:rFonts w:hint="eastAsia"/>
          <w:color w:val="000000"/>
          <w:highlight w:val="none"/>
        </w:rPr>
      </w:r>
      <w:r/>
    </w:p>
    <w:p>
      <w:pPr>
        <w:pStyle w:val="1113"/>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48"/>
        <w:rPr>
          <w:color w:val="000000"/>
          <w:highlight w:val="none"/>
        </w:rPr>
      </w:pPr>
      <w:r>
        <w:rPr>
          <w:color w:val="000000"/>
          <w:highlight w:val="none"/>
        </w:rPr>
      </w:r>
      <w:r/>
    </w:p>
    <w:p>
      <w:pPr>
        <w:pStyle w:val="1048"/>
        <w:ind w:firstLine="482"/>
        <w:keepLines w:val="0"/>
        <w:keepNext w:val="0"/>
        <w:pageBreakBefore w:val="0"/>
        <w:spacing w:line="400" w:lineRule="exact"/>
        <w:widowControl w:val="off"/>
        <w:rPr>
          <w:rFonts w:hint="eastAsia" w:ascii="宋体" w:hAnsi="宋体" w:eastAsia="宋体" w:cs="宋体"/>
          <w:b/>
          <w:bCs/>
          <w:color w:val="000000"/>
          <w:spacing w:val="6"/>
          <w:szCs w:val="21"/>
          <w:highlight w:val="none"/>
        </w:rPr>
      </w:pPr>
      <w:r>
        <w:rPr>
          <w:rFonts w:hint="eastAsia" w:ascii="宋体" w:hAnsi="宋体" w:eastAsia="宋体" w:cs="宋体"/>
          <w:b/>
          <w:bCs/>
          <w:color w:val="000000"/>
          <w:spacing w:val="6"/>
          <w:szCs w:val="21"/>
          <w:highlight w:val="none"/>
        </w:rPr>
      </w:r>
      <w:r/>
    </w:p>
    <w:p>
      <w:pPr>
        <w:pStyle w:val="1048"/>
        <w:jc w:val="center"/>
        <w:spacing w:line="588" w:lineRule="exact"/>
        <w:rPr>
          <w:rFonts w:hint="eastAsia" w:ascii="宋体" w:hAnsi="宋体"/>
          <w:b/>
          <w:color w:val="000000"/>
          <w:sz w:val="32"/>
          <w:szCs w:val="32"/>
          <w:highlight w:val="none"/>
        </w:rPr>
      </w:pPr>
      <w:r>
        <w:rPr>
          <w:rFonts w:ascii="宋体" w:hAnsi="宋体"/>
          <w:b/>
          <w:color w:val="000000"/>
          <w:sz w:val="32"/>
          <w:szCs w:val="32"/>
          <w:highlight w:val="none"/>
        </w:rPr>
        <w:br w:type="page" w:clear="all"/>
      </w:r>
      <w:r>
        <w:rPr>
          <w:rFonts w:ascii="宋体" w:hAnsi="宋体"/>
          <w:b/>
          <w:color w:val="000000"/>
          <w:sz w:val="32"/>
          <w:szCs w:val="32"/>
          <w:highlight w:val="none"/>
        </w:rPr>
        <w:t xml:space="preserve">二、商务技术文件格式</w:t>
      </w:r>
      <w:bookmarkStart w:id="717" w:name="_Toc127151556"/>
      <w:r/>
      <w:bookmarkStart w:id="718" w:name="_Toc520356217"/>
      <w:r/>
      <w:bookmarkStart w:id="719" w:name="_Toc480942349"/>
      <w:r/>
      <w:bookmarkStart w:id="720" w:name="_Toc226965829"/>
      <w:r/>
      <w:bookmarkStart w:id="721" w:name="_Ref467988698"/>
      <w:r/>
      <w:bookmarkStart w:id="722" w:name="_Toc150480794"/>
      <w:r/>
      <w:bookmarkStart w:id="723" w:name="_Toc226965746"/>
      <w:r/>
      <w:bookmarkStart w:id="724" w:name="_Toc142311058"/>
      <w:r/>
      <w:bookmarkStart w:id="725" w:name="_Toc226337252"/>
      <w:r/>
      <w:bookmarkStart w:id="726" w:name="_Toc195842921"/>
      <w:r/>
      <w:bookmarkStart w:id="727" w:name="_Toc150774761"/>
      <w:r/>
      <w:bookmarkStart w:id="728" w:name="_Toc226309800"/>
      <w:r>
        <w:rPr>
          <w:rFonts w:hint="eastAsia" w:ascii="宋体" w:hAnsi="宋体"/>
          <w:b/>
          <w:color w:val="000000"/>
          <w:sz w:val="32"/>
          <w:szCs w:val="32"/>
          <w:highlight w:val="none"/>
        </w:rPr>
      </w:r>
      <w:r/>
    </w:p>
    <w:p>
      <w:pPr>
        <w:pStyle w:val="1048"/>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48"/>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1.投标</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rFonts w:hint="eastAsia" w:ascii="宋体" w:hAnsi="宋体" w:cs="宋体"/>
          <w:color w:val="000000"/>
          <w:szCs w:val="21"/>
          <w:highlight w:val="none"/>
        </w:rPr>
        <w:t xml:space="preserve">函（实质性格式）</w:t>
      </w:r>
      <w:r>
        <w:rPr>
          <w:rFonts w:hint="eastAsia" w:ascii="宋体" w:hAnsi="宋体" w:cs="宋体"/>
          <w:color w:val="000000"/>
          <w:szCs w:val="21"/>
          <w:highlight w:val="none"/>
        </w:rPr>
      </w:r>
      <w:r/>
    </w:p>
    <w:p>
      <w:pPr>
        <w:pStyle w:val="1048"/>
        <w:spacing w:line="360" w:lineRule="auto"/>
        <w:tabs>
          <w:tab w:val="left" w:pos="5580" w:leader="none"/>
        </w:tabs>
        <w:rPr>
          <w:color w:val="000000"/>
          <w:sz w:val="24"/>
          <w:highlight w:val="none"/>
        </w:rPr>
      </w:pPr>
      <w:r>
        <w:rPr>
          <w:color w:val="000000"/>
          <w:sz w:val="24"/>
          <w:highlight w:val="none"/>
        </w:rPr>
      </w:r>
      <w:r/>
    </w:p>
    <w:p>
      <w:pPr>
        <w:pStyle w:val="1048"/>
        <w:jc w:val="center"/>
        <w:widowControl/>
        <w:rPr>
          <w:rFonts w:ascii="宋体" w:hAnsi="宋体"/>
          <w:b/>
          <w:color w:val="000000"/>
          <w:sz w:val="32"/>
          <w:szCs w:val="32"/>
          <w:highlight w:val="none"/>
        </w:rPr>
      </w:pPr>
      <w:r>
        <w:rPr>
          <w:rFonts w:hint="eastAsia" w:ascii="宋体" w:hAnsi="宋体"/>
          <w:b/>
          <w:color w:val="000000"/>
          <w:sz w:val="32"/>
          <w:szCs w:val="32"/>
          <w:highlight w:val="none"/>
        </w:rPr>
        <w:t xml:space="preserve">投标函</w:t>
      </w:r>
      <w:r>
        <w:rPr>
          <w:rFonts w:ascii="宋体" w:hAnsi="宋体"/>
          <w:b/>
          <w:color w:val="000000"/>
          <w:sz w:val="32"/>
          <w:szCs w:val="32"/>
          <w:highlight w:val="none"/>
        </w:rPr>
      </w:r>
      <w:r/>
    </w:p>
    <w:p>
      <w:pPr>
        <w:pStyle w:val="104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（采购人或采购代理机构）</w:t>
      </w:r>
      <w:r>
        <w:rPr>
          <w:rFonts w:hint="eastAsia" w:ascii="宋体" w:hAnsi="宋体" w:cs="宋体"/>
          <w:color w:val="000000"/>
          <w:szCs w:val="21"/>
          <w:highlight w:val="none"/>
        </w:rPr>
      </w:r>
      <w:r/>
    </w:p>
    <w:p>
      <w:pPr>
        <w:pStyle w:val="104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我方参加你方就___________（项目名称，项目编号/包号）组织的招标活动，并对此项目进行投标。</w:t>
      </w:r>
      <w:r>
        <w:rPr>
          <w:rFonts w:hint="eastAsia" w:ascii="宋体" w:hAnsi="宋体" w:cs="宋体"/>
          <w:color w:val="000000"/>
          <w:szCs w:val="21"/>
          <w:highlight w:val="none"/>
        </w:rPr>
      </w:r>
      <w:r/>
    </w:p>
    <w:p>
      <w:pPr>
        <w:pStyle w:val="1048"/>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我方已详细审查全部招标文件，自愿参与投标并承诺如下：</w:t>
      </w:r>
      <w:r>
        <w:rPr>
          <w:rFonts w:hint="eastAsia" w:ascii="宋体" w:hAnsi="宋体" w:cs="宋体"/>
          <w:color w:val="000000"/>
          <w:szCs w:val="21"/>
          <w:highlight w:val="none"/>
        </w:rPr>
      </w:r>
      <w:r/>
    </w:p>
    <w:p>
      <w:pPr>
        <w:pStyle w:val="1048"/>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（1）本投标有效期为自提交投标文件的截止之日起60个日历日。</w:t>
      </w:r>
      <w:r>
        <w:rPr>
          <w:rFonts w:hint="eastAsia" w:ascii="宋体" w:hAnsi="宋体" w:cs="宋体"/>
          <w:color w:val="000000"/>
          <w:szCs w:val="21"/>
          <w:highlight w:val="none"/>
        </w:rPr>
      </w:r>
      <w:r/>
    </w:p>
    <w:p>
      <w:pPr>
        <w:pStyle w:val="1048"/>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（2）除合同条款及采购需求偏离表列出的偏离外，我方响应招标文件的全部要求。</w:t>
      </w:r>
      <w:r>
        <w:rPr>
          <w:rFonts w:hint="eastAsia" w:ascii="宋体" w:hAnsi="宋体" w:cs="宋体"/>
          <w:color w:val="000000"/>
          <w:szCs w:val="21"/>
          <w:highlight w:val="none"/>
        </w:rPr>
      </w:r>
      <w:r/>
    </w:p>
    <w:p>
      <w:pPr>
        <w:pStyle w:val="1048"/>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（3）我方已提供的全部文件资料是真实、准确的，并对此承担一切法律后果。</w:t>
      </w:r>
      <w:r>
        <w:rPr>
          <w:rFonts w:hint="eastAsia" w:ascii="宋体" w:hAnsi="宋体" w:cs="宋体"/>
          <w:color w:val="000000"/>
          <w:szCs w:val="21"/>
          <w:highlight w:val="none"/>
        </w:rPr>
      </w:r>
      <w:r/>
    </w:p>
    <w:p>
      <w:pPr>
        <w:pStyle w:val="1048"/>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cs="宋体"/>
          <w:color w:val="000000"/>
          <w:szCs w:val="21"/>
          <w:highlight w:val="none"/>
        </w:rPr>
      </w:r>
      <w:r/>
    </w:p>
    <w:p>
      <w:pPr>
        <w:pStyle w:val="1048"/>
        <w:ind w:left="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其他补充条款（如有）：___________。</w:t>
      </w:r>
      <w:r>
        <w:rPr>
          <w:rFonts w:hint="eastAsia" w:ascii="宋体" w:hAnsi="宋体" w:cs="宋体"/>
          <w:color w:val="000000"/>
          <w:szCs w:val="21"/>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与本投标有关的一切正式往来信函请寄：</w:t>
      </w:r>
      <w:r>
        <w:rPr>
          <w:rFonts w:hint="eastAsia" w:ascii="宋体" w:hAnsi="宋体" w:cs="宋体"/>
          <w:color w:val="000000"/>
          <w:szCs w:val="21"/>
          <w:highlight w:val="none"/>
        </w:rPr>
      </w:r>
      <w:r/>
    </w:p>
    <w:p>
      <w:pPr>
        <w:pStyle w:val="1048"/>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地址_________________________     传真____________________________</w:t>
      </w:r>
      <w:r>
        <w:rPr>
          <w:rFonts w:hint="eastAsia" w:ascii="宋体" w:hAnsi="宋体" w:cs="宋体"/>
          <w:color w:val="000000"/>
          <w:szCs w:val="21"/>
          <w:highlight w:val="none"/>
        </w:rPr>
      </w:r>
      <w:r/>
    </w:p>
    <w:p>
      <w:pPr>
        <w:pStyle w:val="1048"/>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电话_________________________     电子函件________________________</w:t>
      </w:r>
      <w:r>
        <w:rPr>
          <w:rFonts w:hint="eastAsia" w:ascii="宋体" w:hAnsi="宋体" w:cs="宋体"/>
          <w:color w:val="000000"/>
          <w:szCs w:val="21"/>
          <w:highlight w:val="none"/>
        </w:rPr>
      </w:r>
      <w:r/>
    </w:p>
    <w:p>
      <w:pPr>
        <w:pStyle w:val="1048"/>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投标人名称（加盖公章） ___________</w:t>
      </w:r>
      <w:r>
        <w:rPr>
          <w:rFonts w:hint="eastAsia" w:ascii="宋体" w:hAnsi="宋体" w:cs="宋体"/>
          <w:color w:val="000000"/>
          <w:szCs w:val="21"/>
          <w:highlight w:val="none"/>
        </w:rPr>
      </w:r>
      <w:r/>
    </w:p>
    <w:p>
      <w:pPr>
        <w:pStyle w:val="1048"/>
        <w:ind w:left="420"/>
        <w:spacing w:line="360" w:lineRule="auto"/>
        <w:tabs>
          <w:tab w:val="left" w:pos="5580" w:leader="none"/>
        </w:tabs>
        <w:rPr>
          <w:color w:val="000000"/>
          <w:sz w:val="24"/>
          <w:szCs w:val="20"/>
          <w:highlight w:val="none"/>
        </w:rPr>
      </w:pPr>
      <w:r>
        <w:rPr>
          <w:rFonts w:hint="eastAsia" w:ascii="宋体" w:hAnsi="宋体" w:cs="宋体"/>
          <w:color w:val="000000"/>
          <w:szCs w:val="21"/>
          <w:highlight w:val="none"/>
        </w:rPr>
        <w:t xml:space="preserve">日期：_____年______月______日 </w:t>
      </w:r>
      <w:r>
        <w:rPr>
          <w:color w:val="000000"/>
          <w:sz w:val="24"/>
          <w:szCs w:val="20"/>
          <w:highlight w:val="none"/>
        </w:rPr>
        <w:t xml:space="preserve">   </w:t>
      </w:r>
      <w:r>
        <w:rPr>
          <w:color w:val="000000"/>
          <w:sz w:val="24"/>
          <w:szCs w:val="20"/>
          <w:highlight w:val="none"/>
        </w:rPr>
      </w:r>
      <w:r/>
    </w:p>
    <w:p>
      <w:pPr>
        <w:pStyle w:val="1048"/>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48"/>
        <w:jc w:val="left"/>
        <w:widowControl/>
        <w:rPr>
          <w:rFonts w:hint="eastAsia"/>
          <w:color w:val="000000"/>
          <w:sz w:val="24"/>
          <w:highlight w:val="none"/>
        </w:rPr>
      </w:pPr>
      <w:r/>
      <w:bookmarkStart w:id="729" w:name="_Hlt520356243"/>
      <w:r/>
      <w:bookmarkEnd w:id="729"/>
      <w:r/>
      <w:bookmarkStart w:id="730" w:name="_Hlt520355938"/>
      <w:r/>
      <w:bookmarkEnd w:id="730"/>
      <w:r>
        <w:rPr>
          <w:color w:val="000000"/>
          <w:sz w:val="24"/>
          <w:highlight w:val="none"/>
        </w:rPr>
        <w:br w:type="page" w:clear="all"/>
      </w:r>
      <w:r>
        <w:rPr>
          <w:rFonts w:hint="eastAsia"/>
          <w:color w:val="000000"/>
          <w:sz w:val="24"/>
          <w:highlight w:val="none"/>
        </w:rPr>
      </w:r>
      <w:r/>
    </w:p>
    <w:p>
      <w:pPr>
        <w:pStyle w:val="1048"/>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2.法定代表人资格证明书（实质性格式）</w:t>
      </w:r>
      <w:r>
        <w:rPr>
          <w:rFonts w:hint="eastAsia" w:ascii="宋体" w:hAnsi="宋体" w:cs="宋体"/>
          <w:color w:val="000000"/>
          <w:szCs w:val="21"/>
          <w:highlight w:val="none"/>
        </w:rPr>
      </w:r>
      <w:r/>
    </w:p>
    <w:p>
      <w:pPr>
        <w:pStyle w:val="104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4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48"/>
        <w:spacing w:line="560" w:lineRule="exact"/>
        <w:rPr>
          <w:rFonts w:ascii="宋体" w:hAnsi="宋体"/>
          <w:color w:val="000000"/>
          <w:szCs w:val="21"/>
          <w:highlight w:val="none"/>
        </w:rPr>
      </w:pPr>
      <w:r>
        <w:rPr>
          <w:rFonts w:hint="eastAsia" w:ascii="宋体" w:hAnsi="宋体"/>
          <w:color w:val="000000"/>
          <w:szCs w:val="21"/>
          <w:highlight w:val="none"/>
        </w:rPr>
        <w:t xml:space="preserve">单位名称:</w:t>
      </w:r>
      <w:r>
        <w:rPr>
          <w:rFonts w:ascii="宋体" w:hAnsi="宋体"/>
          <w:color w:val="000000"/>
          <w:szCs w:val="21"/>
          <w:highlight w:val="none"/>
        </w:rPr>
      </w:r>
      <w:r/>
    </w:p>
    <w:p>
      <w:pPr>
        <w:pStyle w:val="1048"/>
        <w:spacing w:line="560" w:lineRule="exact"/>
        <w:rPr>
          <w:rFonts w:ascii="宋体" w:hAnsi="宋体"/>
          <w:color w:val="000000"/>
          <w:szCs w:val="21"/>
          <w:highlight w:val="none"/>
        </w:rPr>
      </w:pPr>
      <w:r>
        <w:rPr>
          <w:rFonts w:hint="eastAsia" w:ascii="宋体" w:hAnsi="宋体"/>
          <w:color w:val="000000"/>
          <w:szCs w:val="21"/>
          <w:highlight w:val="none"/>
        </w:rPr>
        <w:t xml:space="preserve">地址:</w:t>
      </w:r>
      <w:r>
        <w:rPr>
          <w:rFonts w:ascii="宋体" w:hAnsi="宋体"/>
          <w:color w:val="000000"/>
          <w:szCs w:val="21"/>
          <w:highlight w:val="none"/>
        </w:rPr>
      </w:r>
      <w:r/>
    </w:p>
    <w:p>
      <w:pPr>
        <w:pStyle w:val="1048"/>
        <w:spacing w:line="560" w:lineRule="exact"/>
        <w:rPr>
          <w:rFonts w:ascii="宋体" w:hAnsi="宋体"/>
          <w:color w:val="000000"/>
          <w:szCs w:val="21"/>
          <w:highlight w:val="none"/>
        </w:rPr>
      </w:pPr>
      <w:r>
        <w:rPr>
          <w:rFonts w:hint="eastAsia" w:ascii="宋体" w:hAnsi="宋体"/>
          <w:color w:val="000000"/>
          <w:szCs w:val="21"/>
          <w:highlight w:val="none"/>
        </w:rPr>
        <w:t xml:space="preserve">姓名:     性别:       年龄:      职务:</w:t>
      </w:r>
      <w:r>
        <w:rPr>
          <w:rFonts w:ascii="宋体" w:hAnsi="宋体"/>
          <w:color w:val="000000"/>
          <w:szCs w:val="21"/>
          <w:highlight w:val="none"/>
        </w:rPr>
      </w:r>
      <w:r/>
    </w:p>
    <w:p>
      <w:pPr>
        <w:pStyle w:val="1048"/>
        <w:spacing w:line="560" w:lineRule="exact"/>
        <w:rPr>
          <w:rFonts w:ascii="宋体" w:hAnsi="宋体"/>
          <w:color w:val="000000"/>
          <w:szCs w:val="21"/>
          <w:highlight w:val="none"/>
        </w:rPr>
      </w:pPr>
      <w:r>
        <w:rPr>
          <w:rFonts w:hint="eastAsia" w:ascii="宋体" w:hAnsi="宋体"/>
          <w:color w:val="000000"/>
          <w:szCs w:val="21"/>
          <w:highlight w:val="none"/>
        </w:rPr>
        <w:t xml:space="preserve">系</w:t>
      </w:r>
      <w:r>
        <w:rPr>
          <w:rFonts w:hint="eastAsia" w:ascii="宋体" w:hAnsi="宋体"/>
          <w:color w:val="000000"/>
          <w:szCs w:val="21"/>
          <w:highlight w:val="none"/>
          <w:u w:val="single"/>
        </w:rPr>
        <w:t xml:space="preserve">（投标单位名称）</w:t>
      </w:r>
      <w:r>
        <w:rPr>
          <w:rFonts w:hint="eastAsia" w:ascii="宋体" w:hAnsi="宋体"/>
          <w:color w:val="000000"/>
          <w:szCs w:val="21"/>
          <w:highlight w:val="none"/>
        </w:rPr>
        <w:t xml:space="preserve">的法定代表人。为参与</w:t>
      </w:r>
      <w:r>
        <w:rPr>
          <w:rFonts w:hint="eastAsia" w:ascii="宋体" w:hAnsi="宋体"/>
          <w:color w:val="000000"/>
          <w:szCs w:val="21"/>
          <w:highlight w:val="none"/>
          <w:u w:val="single"/>
        </w:rPr>
        <w:t xml:space="preserve">（项目名称）</w:t>
      </w:r>
      <w:r>
        <w:rPr>
          <w:rFonts w:hint="eastAsia" w:ascii="宋体" w:hAnsi="宋体"/>
          <w:color w:val="000000"/>
          <w:szCs w:val="21"/>
          <w:highlight w:val="none"/>
        </w:rPr>
        <w:t xml:space="preserve">的政府采购活动，</w:t>
      </w:r>
      <w:r>
        <w:rPr>
          <w:rFonts w:ascii="宋体" w:hAnsi="宋体"/>
          <w:color w:val="000000"/>
          <w:szCs w:val="21"/>
          <w:highlight w:val="none"/>
        </w:rPr>
        <w:t xml:space="preserve">签署、澄清确认、递交、撤回、修改</w:t>
      </w:r>
      <w:r>
        <w:rPr>
          <w:rFonts w:hint="eastAsia" w:ascii="宋体" w:hAnsi="宋体"/>
          <w:color w:val="000000"/>
          <w:szCs w:val="21"/>
          <w:highlight w:val="none"/>
        </w:rPr>
        <w:t xml:space="preserve">上述项目的投标文件、进行合同谈判、签署合同和处理与之有关的一切事务。</w:t>
      </w:r>
      <w:r>
        <w:rPr>
          <w:rFonts w:ascii="宋体" w:hAnsi="宋体"/>
          <w:color w:val="000000"/>
          <w:szCs w:val="21"/>
          <w:highlight w:val="none"/>
        </w:rPr>
      </w:r>
      <w:r/>
    </w:p>
    <w:p>
      <w:pPr>
        <w:pStyle w:val="1048"/>
        <w:spacing w:line="560" w:lineRule="exact"/>
        <w:rPr>
          <w:rFonts w:ascii="宋体" w:hAnsi="宋体"/>
          <w:color w:val="000000"/>
          <w:szCs w:val="21"/>
          <w:highlight w:val="none"/>
        </w:rPr>
      </w:pPr>
      <w:r>
        <w:rPr>
          <w:rFonts w:hint="eastAsia" w:ascii="宋体" w:hAnsi="宋体"/>
          <w:color w:val="000000"/>
          <w:szCs w:val="21"/>
          <w:highlight w:val="none"/>
        </w:rPr>
        <w:t xml:space="preserve">特此证明。</w:t>
      </w:r>
      <w:r>
        <w:rPr>
          <w:rFonts w:ascii="宋体" w:hAnsi="宋体"/>
          <w:color w:val="000000"/>
          <w:szCs w:val="21"/>
          <w:highlight w:val="none"/>
        </w:rPr>
      </w:r>
      <w:r/>
    </w:p>
    <w:p>
      <w:pPr>
        <w:pStyle w:val="1048"/>
        <w:spacing w:line="560" w:lineRule="exact"/>
        <w:rPr>
          <w:rFonts w:ascii="宋体" w:hAnsi="宋体"/>
          <w:color w:val="000000"/>
          <w:szCs w:val="21"/>
          <w:highlight w:val="none"/>
        </w:rPr>
      </w:pPr>
      <w:r>
        <w:rPr>
          <w:rFonts w:ascii="宋体" w:hAnsi="宋体"/>
          <w:color w:val="000000"/>
          <w:szCs w:val="21"/>
          <w:highlight w:val="none"/>
        </w:rPr>
      </w:r>
      <w:r/>
    </w:p>
    <w:p>
      <w:pPr>
        <w:pStyle w:val="1080"/>
        <w:ind w:right="-46"/>
        <w:spacing w:line="583" w:lineRule="auto"/>
        <w:tabs>
          <w:tab w:val="left" w:pos="567" w:leader="none"/>
        </w:tabs>
        <w:rPr>
          <w:color w:val="000000"/>
          <w:spacing w:val="-3"/>
          <w:sz w:val="21"/>
          <w:szCs w:val="21"/>
          <w:highlight w:val="none"/>
        </w:rPr>
      </w:pPr>
      <w:r>
        <w:rPr>
          <w:color w:val="000000"/>
          <w:sz w:val="21"/>
          <w:szCs w:val="21"/>
          <w:highlight w:val="none"/>
        </w:rPr>
        <w:t xml:space="preserve">附：</w:t>
      </w:r>
      <w:r>
        <w:rPr>
          <w:color w:val="000000"/>
          <w:spacing w:val="-3"/>
          <w:sz w:val="21"/>
          <w:szCs w:val="21"/>
          <w:highlight w:val="none"/>
        </w:rPr>
        <w:t xml:space="preserve">法</w:t>
      </w:r>
      <w:r>
        <w:rPr>
          <w:color w:val="000000"/>
          <w:sz w:val="21"/>
          <w:szCs w:val="21"/>
          <w:highlight w:val="none"/>
        </w:rPr>
        <w:t xml:space="preserve">定</w:t>
      </w:r>
      <w:r>
        <w:rPr>
          <w:color w:val="000000"/>
          <w:spacing w:val="-3"/>
          <w:sz w:val="21"/>
          <w:szCs w:val="21"/>
          <w:highlight w:val="none"/>
        </w:rPr>
        <w:t xml:space="preserve">代</w:t>
      </w:r>
      <w:r>
        <w:rPr>
          <w:color w:val="000000"/>
          <w:sz w:val="21"/>
          <w:szCs w:val="21"/>
          <w:highlight w:val="none"/>
        </w:rPr>
        <w:t xml:space="preserve">表</w:t>
      </w:r>
      <w:r>
        <w:rPr>
          <w:color w:val="000000"/>
          <w:spacing w:val="-3"/>
          <w:sz w:val="21"/>
          <w:szCs w:val="21"/>
          <w:highlight w:val="none"/>
        </w:rPr>
        <w:t xml:space="preserve">人</w:t>
      </w:r>
      <w:r>
        <w:rPr>
          <w:color w:val="000000"/>
          <w:sz w:val="21"/>
          <w:szCs w:val="21"/>
          <w:highlight w:val="none"/>
        </w:rPr>
        <w:t xml:space="preserve">（</w:t>
      </w:r>
      <w:r>
        <w:rPr>
          <w:color w:val="000000"/>
          <w:spacing w:val="-3"/>
          <w:sz w:val="21"/>
          <w:szCs w:val="21"/>
          <w:highlight w:val="none"/>
        </w:rPr>
        <w:t xml:space="preserve">单</w:t>
      </w:r>
      <w:r>
        <w:rPr>
          <w:color w:val="000000"/>
          <w:sz w:val="21"/>
          <w:szCs w:val="21"/>
          <w:highlight w:val="none"/>
        </w:rPr>
        <w:t xml:space="preserve">位</w:t>
      </w:r>
      <w:r>
        <w:rPr>
          <w:color w:val="000000"/>
          <w:spacing w:val="-3"/>
          <w:sz w:val="21"/>
          <w:szCs w:val="21"/>
          <w:highlight w:val="none"/>
        </w:rPr>
        <w:t xml:space="preserve">负</w:t>
      </w:r>
      <w:r>
        <w:rPr>
          <w:color w:val="000000"/>
          <w:sz w:val="21"/>
          <w:szCs w:val="21"/>
          <w:highlight w:val="none"/>
        </w:rPr>
        <w:t xml:space="preserve">责人</w:t>
      </w:r>
      <w:r>
        <w:rPr>
          <w:color w:val="000000"/>
          <w:spacing w:val="-3"/>
          <w:sz w:val="21"/>
          <w:szCs w:val="21"/>
          <w:highlight w:val="none"/>
        </w:rPr>
        <w:t xml:space="preserve">）有效期内的身</w:t>
      </w:r>
      <w:r>
        <w:rPr>
          <w:rFonts w:hint="eastAsia"/>
          <w:color w:val="000000"/>
          <w:spacing w:val="-3"/>
          <w:sz w:val="21"/>
          <w:szCs w:val="21"/>
          <w:highlight w:val="none"/>
        </w:rPr>
        <w:t xml:space="preserve">份</w:t>
      </w:r>
      <w:r>
        <w:rPr>
          <w:color w:val="000000"/>
          <w:spacing w:val="-3"/>
          <w:sz w:val="21"/>
          <w:szCs w:val="21"/>
          <w:highlight w:val="none"/>
        </w:rPr>
        <w:t xml:space="preserve">证正反面</w:t>
      </w:r>
      <w:r>
        <w:rPr>
          <w:rFonts w:hint="eastAsia"/>
          <w:color w:val="000000"/>
          <w:spacing w:val="-3"/>
          <w:sz w:val="21"/>
          <w:szCs w:val="21"/>
          <w:highlight w:val="none"/>
        </w:rPr>
        <w:t xml:space="preserve">电子</w:t>
      </w:r>
      <w:r>
        <w:rPr>
          <w:color w:val="000000"/>
          <w:spacing w:val="-3"/>
          <w:sz w:val="21"/>
          <w:szCs w:val="21"/>
          <w:highlight w:val="none"/>
        </w:rPr>
        <w:t xml:space="preserve">件</w:t>
      </w:r>
      <w:r>
        <w:rPr>
          <w:rFonts w:hint="eastAsia"/>
          <w:color w:val="000000"/>
          <w:spacing w:val="-3"/>
          <w:sz w:val="21"/>
          <w:szCs w:val="21"/>
          <w:highlight w:val="none"/>
        </w:rPr>
        <w:t xml:space="preserve">。</w:t>
      </w:r>
      <w:r>
        <w:rPr>
          <w:color w:val="000000"/>
          <w:spacing w:val="-3"/>
          <w:sz w:val="21"/>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4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4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4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4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4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4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48"/>
        <w:spacing w:line="560" w:lineRule="exact"/>
        <w:rPr>
          <w:rFonts w:ascii="宋体" w:hAnsi="宋体"/>
          <w:color w:val="000000"/>
          <w:szCs w:val="21"/>
          <w:highlight w:val="none"/>
        </w:rPr>
      </w:pPr>
      <w:r>
        <w:rPr>
          <w:rFonts w:hint="eastAsia" w:ascii="宋体" w:hAnsi="宋体"/>
          <w:color w:val="000000"/>
          <w:szCs w:val="21"/>
          <w:highlight w:val="none"/>
        </w:rPr>
        <w:t xml:space="preserve">                     投标人：（加盖公章）</w:t>
      </w:r>
      <w:r>
        <w:rPr>
          <w:rFonts w:ascii="宋体" w:hAnsi="宋体"/>
          <w:color w:val="000000"/>
          <w:szCs w:val="21"/>
          <w:highlight w:val="none"/>
        </w:rPr>
      </w:r>
      <w:r/>
    </w:p>
    <w:p>
      <w:pPr>
        <w:pStyle w:val="1048"/>
        <w:spacing w:line="560" w:lineRule="exact"/>
        <w:rPr>
          <w:rFonts w:ascii="宋体" w:hAnsi="宋体"/>
          <w:color w:val="000000"/>
          <w:szCs w:val="21"/>
          <w:highlight w:val="none"/>
        </w:rPr>
      </w:pPr>
      <w:r>
        <w:rPr>
          <w:rFonts w:hint="eastAsia" w:ascii="宋体" w:hAnsi="宋体"/>
          <w:color w:val="000000"/>
          <w:szCs w:val="21"/>
          <w:highlight w:val="none"/>
        </w:rPr>
        <w:t xml:space="preserve">                       法定代表人</w:t>
      </w:r>
      <w:r>
        <w:rPr>
          <w:rFonts w:ascii="宋体" w:hAnsi="宋体"/>
          <w:color w:val="000000"/>
          <w:szCs w:val="21"/>
          <w:highlight w:val="none"/>
        </w:rPr>
        <w:t xml:space="preserve">签字</w:t>
      </w:r>
      <w:r>
        <w:rPr>
          <w:rFonts w:hint="eastAsia" w:ascii="宋体" w:hAnsi="宋体"/>
          <w:color w:val="000000"/>
          <w:szCs w:val="21"/>
          <w:highlight w:val="none"/>
        </w:rPr>
        <w:t xml:space="preserve">、签章</w:t>
      </w:r>
      <w:r>
        <w:rPr>
          <w:rFonts w:ascii="宋体" w:hAnsi="宋体"/>
          <w:color w:val="000000"/>
          <w:szCs w:val="21"/>
          <w:highlight w:val="none"/>
        </w:rPr>
        <w:t xml:space="preserve">或</w:t>
      </w:r>
      <w:r>
        <w:rPr>
          <w:rFonts w:hint="eastAsia" w:ascii="宋体" w:hAnsi="宋体"/>
          <w:color w:val="000000"/>
          <w:szCs w:val="21"/>
          <w:highlight w:val="none"/>
        </w:rPr>
        <w:t xml:space="preserve">印鉴：</w:t>
      </w:r>
      <w:r>
        <w:rPr>
          <w:rFonts w:ascii="宋体" w:hAnsi="宋体"/>
          <w:color w:val="000000"/>
          <w:szCs w:val="21"/>
          <w:highlight w:val="none"/>
        </w:rPr>
      </w:r>
      <w:r/>
    </w:p>
    <w:p>
      <w:pPr>
        <w:pStyle w:val="1048"/>
        <w:ind w:firstLine="3780"/>
        <w:spacing w:line="560" w:lineRule="exact"/>
        <w:rPr>
          <w:rFonts w:ascii="宋体" w:hAnsi="宋体"/>
          <w:color w:val="000000"/>
          <w:szCs w:val="21"/>
          <w:highlight w:val="none"/>
        </w:rPr>
      </w:pPr>
      <w:r>
        <w:rPr>
          <w:rFonts w:hint="eastAsia" w:ascii="宋体" w:hAnsi="宋体"/>
          <w:color w:val="000000"/>
          <w:szCs w:val="21"/>
          <w:highlight w:val="none"/>
        </w:rPr>
        <w:t xml:space="preserve">日期：    年    月    日</w:t>
      </w:r>
      <w:r>
        <w:rPr>
          <w:rFonts w:ascii="宋体" w:hAnsi="宋体"/>
          <w:color w:val="000000"/>
          <w:szCs w:val="21"/>
          <w:highlight w:val="none"/>
        </w:rPr>
      </w:r>
      <w:r/>
    </w:p>
    <w:p>
      <w:pPr>
        <w:pStyle w:val="1048"/>
        <w:jc w:val="left"/>
        <w:widowControl/>
        <w:rPr>
          <w:rFonts w:hint="eastAsia"/>
          <w:color w:val="000000"/>
          <w:szCs w:val="21"/>
          <w:highlight w:val="none"/>
        </w:rPr>
      </w:pPr>
      <w:r>
        <w:rPr>
          <w:rFonts w:hint="eastAsia"/>
          <w:color w:val="000000"/>
          <w:szCs w:val="21"/>
          <w:highlight w:val="none"/>
        </w:rPr>
      </w:r>
      <w:r/>
    </w:p>
    <w:p>
      <w:pPr>
        <w:pStyle w:val="1048"/>
        <w:jc w:val="left"/>
        <w:widowControl/>
        <w:rPr>
          <w:rFonts w:hint="eastAsia"/>
          <w:color w:val="000000"/>
          <w:szCs w:val="21"/>
          <w:highlight w:val="none"/>
        </w:rPr>
      </w:pPr>
      <w:r>
        <w:rPr>
          <w:rFonts w:hint="eastAsia"/>
          <w:color w:val="000000"/>
          <w:szCs w:val="21"/>
          <w:highlight w:val="none"/>
        </w:rPr>
      </w:r>
      <w:r/>
    </w:p>
    <w:p>
      <w:pPr>
        <w:pStyle w:val="1048"/>
        <w:jc w:val="left"/>
        <w:widowControl/>
        <w:rPr>
          <w:rFonts w:hint="eastAsia"/>
          <w:color w:val="000000"/>
          <w:szCs w:val="21"/>
          <w:highlight w:val="none"/>
        </w:rPr>
      </w:pPr>
      <w:r>
        <w:rPr>
          <w:rFonts w:hint="eastAsia"/>
          <w:color w:val="000000"/>
          <w:szCs w:val="21"/>
          <w:highlight w:val="none"/>
        </w:rPr>
      </w:r>
      <w:r/>
    </w:p>
    <w:p>
      <w:pPr>
        <w:pStyle w:val="1048"/>
        <w:jc w:val="left"/>
        <w:spacing w:line="360" w:lineRule="auto"/>
        <w:tabs>
          <w:tab w:val="left" w:pos="5580" w:leader="none"/>
        </w:tabs>
        <w:rPr>
          <w:rFonts w:ascii="宋体" w:hAnsi="宋体"/>
          <w:color w:val="000000"/>
          <w:szCs w:val="21"/>
          <w:highlight w:val="none"/>
        </w:rPr>
      </w:pPr>
      <w:r>
        <w:rPr>
          <w:rFonts w:hint="eastAsia" w:ascii="宋体" w:hAnsi="宋体"/>
          <w:color w:val="000000"/>
          <w:szCs w:val="21"/>
          <w:highlight w:val="none"/>
        </w:rPr>
        <w:t xml:space="preserve">说明</w:t>
      </w:r>
      <w:r>
        <w:rPr>
          <w:rFonts w:ascii="宋体" w:hAnsi="宋体"/>
          <w:color w:val="000000"/>
          <w:szCs w:val="21"/>
          <w:highlight w:val="none"/>
        </w:rPr>
        <w:t xml:space="preserve">：</w:t>
      </w:r>
      <w:r>
        <w:rPr>
          <w:rFonts w:ascii="宋体" w:hAnsi="宋体"/>
          <w:color w:val="000000"/>
          <w:szCs w:val="21"/>
          <w:highlight w:val="none"/>
        </w:rPr>
      </w:r>
      <w:r/>
    </w:p>
    <w:p>
      <w:pPr>
        <w:pStyle w:val="1048"/>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t xml:space="preserve">1.若供应商为事业单位或其他组织或分支机构（仅当</w:t>
      </w:r>
      <w:r>
        <w:rPr>
          <w:rFonts w:hint="eastAsia" w:ascii="宋体" w:hAnsi="宋体"/>
          <w:color w:val="000000"/>
          <w:szCs w:val="21"/>
          <w:highlight w:val="none"/>
        </w:rPr>
        <w:t xml:space="preserve">招标</w:t>
      </w:r>
      <w:r>
        <w:rPr>
          <w:rFonts w:ascii="宋体" w:hAnsi="宋体"/>
          <w:color w:val="000000"/>
          <w:szCs w:val="21"/>
          <w:highlight w:val="none"/>
        </w:rPr>
        <w:t xml:space="preserve">文件注明允许分支机构</w:t>
      </w:r>
      <w:r>
        <w:rPr>
          <w:rFonts w:hint="eastAsia" w:ascii="宋体" w:hAnsi="宋体"/>
          <w:color w:val="000000"/>
          <w:szCs w:val="21"/>
          <w:highlight w:val="none"/>
        </w:rPr>
        <w:t xml:space="preserve">投标</w:t>
      </w:r>
      <w:r>
        <w:rPr>
          <w:rFonts w:ascii="宋体" w:hAnsi="宋体"/>
          <w:color w:val="000000"/>
          <w:szCs w:val="21"/>
          <w:highlight w:val="none"/>
        </w:rPr>
        <w:t xml:space="preserve">的），则法定代表人（单位负责人）</w:t>
      </w:r>
      <w:r>
        <w:rPr>
          <w:rFonts w:hint="eastAsia" w:ascii="宋体" w:hAnsi="宋体"/>
          <w:color w:val="000000"/>
          <w:szCs w:val="21"/>
          <w:highlight w:val="none"/>
        </w:rPr>
        <w:t xml:space="preserve">处</w:t>
      </w:r>
      <w:r>
        <w:rPr>
          <w:rFonts w:ascii="宋体" w:hAnsi="宋体"/>
          <w:color w:val="000000"/>
          <w:szCs w:val="21"/>
          <w:highlight w:val="none"/>
        </w:rPr>
        <w:t xml:space="preserve">的签署人可为单位负责人</w:t>
      </w:r>
      <w:r>
        <w:rPr>
          <w:rFonts w:hint="eastAsia" w:ascii="宋体" w:hAnsi="宋体"/>
          <w:color w:val="000000"/>
          <w:szCs w:val="21"/>
          <w:highlight w:val="none"/>
        </w:rPr>
        <w:t xml:space="preserve">。</w:t>
      </w:r>
      <w:r>
        <w:rPr>
          <w:rFonts w:ascii="宋体" w:hAnsi="宋体"/>
          <w:color w:val="000000"/>
          <w:szCs w:val="21"/>
          <w:highlight w:val="none"/>
        </w:rPr>
      </w:r>
      <w:r/>
    </w:p>
    <w:p>
      <w:pPr>
        <w:pStyle w:val="1048"/>
        <w:jc w:val="left"/>
        <w:widowControl/>
        <w:rPr>
          <w:rFonts w:hint="eastAsia"/>
          <w:color w:val="000000"/>
          <w:szCs w:val="21"/>
          <w:highlight w:val="none"/>
        </w:rPr>
      </w:pPr>
      <w:r>
        <w:rPr>
          <w:rFonts w:hint="eastAsia"/>
          <w:color w:val="000000"/>
          <w:szCs w:val="21"/>
          <w:highlight w:val="none"/>
        </w:rPr>
      </w:r>
      <w:r/>
    </w:p>
    <w:p>
      <w:pPr>
        <w:pStyle w:val="1048"/>
        <w:jc w:val="left"/>
        <w:widowControl/>
        <w:rPr>
          <w:rFonts w:hint="eastAsia"/>
          <w:color w:val="000000"/>
          <w:szCs w:val="21"/>
          <w:highlight w:val="none"/>
        </w:rPr>
      </w:pPr>
      <w:r>
        <w:rPr>
          <w:rFonts w:hint="eastAsia"/>
          <w:color w:val="000000"/>
          <w:szCs w:val="21"/>
          <w:highlight w:val="none"/>
        </w:rPr>
      </w:r>
      <w:r/>
    </w:p>
    <w:p>
      <w:pPr>
        <w:pStyle w:val="1048"/>
        <w:jc w:val="left"/>
        <w:widowControl/>
        <w:rPr>
          <w:rFonts w:hint="eastAsia"/>
          <w:color w:val="000000"/>
          <w:szCs w:val="21"/>
          <w:highlight w:val="none"/>
        </w:rPr>
      </w:pPr>
      <w:r>
        <w:rPr>
          <w:rFonts w:hint="eastAsia"/>
          <w:color w:val="000000"/>
          <w:szCs w:val="21"/>
          <w:highlight w:val="none"/>
        </w:rPr>
      </w:r>
      <w:r/>
    </w:p>
    <w:p>
      <w:pPr>
        <w:pStyle w:val="1087"/>
        <w:ind w:left="1260"/>
        <w:rPr>
          <w:rFonts w:hint="eastAsia"/>
          <w:color w:val="000000"/>
          <w:szCs w:val="21"/>
          <w:highlight w:val="none"/>
        </w:rPr>
      </w:pPr>
      <w:r>
        <w:rPr>
          <w:rFonts w:hint="eastAsia"/>
          <w:color w:val="000000"/>
          <w:szCs w:val="21"/>
          <w:highlight w:val="none"/>
        </w:rPr>
      </w:r>
      <w:r/>
    </w:p>
    <w:p>
      <w:pPr>
        <w:pStyle w:val="1048"/>
        <w:rPr>
          <w:rFonts w:hint="eastAsia"/>
          <w:color w:val="000000"/>
          <w:szCs w:val="21"/>
          <w:highlight w:val="none"/>
        </w:rPr>
      </w:pPr>
      <w:r>
        <w:rPr>
          <w:rFonts w:hint="eastAsia"/>
          <w:color w:val="000000"/>
          <w:szCs w:val="21"/>
          <w:highlight w:val="none"/>
        </w:rPr>
      </w:r>
      <w:r/>
    </w:p>
    <w:p>
      <w:pPr>
        <w:pStyle w:val="1087"/>
        <w:ind w:left="1260"/>
        <w:rPr>
          <w:rFonts w:hint="eastAsia"/>
          <w:color w:val="000000"/>
          <w:szCs w:val="21"/>
          <w:highlight w:val="none"/>
        </w:rPr>
      </w:pPr>
      <w:r>
        <w:rPr>
          <w:rFonts w:hint="eastAsia"/>
          <w:color w:val="000000"/>
          <w:szCs w:val="21"/>
          <w:highlight w:val="none"/>
        </w:rPr>
      </w:r>
      <w:r/>
    </w:p>
    <w:p>
      <w:pPr>
        <w:pStyle w:val="1048"/>
        <w:rPr>
          <w:rFonts w:hint="eastAsia"/>
          <w:color w:val="000000"/>
          <w:highlight w:val="none"/>
        </w:rPr>
      </w:pPr>
      <w:r>
        <w:rPr>
          <w:rFonts w:hint="eastAsia"/>
          <w:color w:val="000000"/>
          <w:highlight w:val="none"/>
        </w:rPr>
      </w:r>
      <w:r/>
    </w:p>
    <w:p>
      <w:pPr>
        <w:pStyle w:val="1048"/>
        <w:jc w:val="left"/>
        <w:widowControl/>
        <w:rPr>
          <w:rFonts w:hint="eastAsia"/>
          <w:color w:val="000000"/>
          <w:sz w:val="24"/>
          <w:highlight w:val="none"/>
        </w:rPr>
      </w:pPr>
      <w:r>
        <w:rPr>
          <w:rFonts w:hint="eastAsia"/>
          <w:color w:val="000000"/>
          <w:sz w:val="24"/>
          <w:highlight w:val="none"/>
        </w:rPr>
      </w:r>
      <w:r/>
    </w:p>
    <w:p>
      <w:pPr>
        <w:pStyle w:val="1048"/>
        <w:jc w:val="left"/>
        <w:widowControl/>
        <w:rPr>
          <w:rFonts w:hint="eastAsia" w:ascii="黑体" w:hAnsi="黑体" w:eastAsia="黑体"/>
          <w:b/>
          <w:color w:val="000000"/>
          <w:sz w:val="32"/>
          <w:szCs w:val="32"/>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3.政府采购供应商信用承诺书（实质性格式）</w:t>
      </w:r>
      <w:r>
        <w:rPr>
          <w:rFonts w:hint="eastAsia" w:ascii="黑体" w:hAnsi="黑体" w:eastAsia="黑体"/>
          <w:b/>
          <w:color w:val="000000"/>
          <w:sz w:val="32"/>
          <w:szCs w:val="32"/>
          <w:highlight w:val="none"/>
        </w:rPr>
      </w:r>
      <w:r/>
    </w:p>
    <w:p>
      <w:pPr>
        <w:pStyle w:val="104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48"/>
        <w:jc w:val="center"/>
        <w:spacing w:line="360" w:lineRule="auto"/>
        <w:rPr>
          <w:color w:val="000000"/>
          <w:highlight w:val="none"/>
        </w:rPr>
      </w:pPr>
      <w:r>
        <w:rPr>
          <w:rFonts w:hint="eastAsia" w:ascii="宋体" w:hAnsi="宋体"/>
          <w:b/>
          <w:color w:val="000000"/>
          <w:sz w:val="32"/>
          <w:szCs w:val="32"/>
          <w:highlight w:val="none"/>
        </w:rPr>
        <w:t xml:space="preserve">政府采购供应商信用承诺书</w:t>
      </w:r>
      <w:r>
        <w:rPr>
          <w:color w:val="000000"/>
          <w:highlight w:val="none"/>
        </w:rPr>
      </w:r>
      <w:r/>
    </w:p>
    <w:p>
      <w:pPr>
        <w:pStyle w:val="1048"/>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为维护公开、公平、公正的政府采购市场秩序，树立诚实守信的供应商形象，本单位在参与政府采购活动中,自愿作出以下承诺：</w:t>
      </w:r>
      <w:r>
        <w:rPr>
          <w:rFonts w:hint="eastAsia" w:ascii="宋体" w:hAnsi="宋体" w:cs="宋体"/>
          <w:color w:val="000000"/>
          <w:szCs w:val="21"/>
          <w:highlight w:val="none"/>
        </w:rPr>
      </w:r>
      <w:r/>
    </w:p>
    <w:p>
      <w:pPr>
        <w:pStyle w:val="1048"/>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一、严格遵守国家法律、法规和规章，全面履行应尽的责任和义务，全面做到履约守信，具备《政府采购法》第二十二条第一款规定的条件。</w:t>
      </w:r>
      <w:r>
        <w:rPr>
          <w:rFonts w:hint="eastAsia" w:ascii="宋体" w:hAnsi="宋体" w:cs="宋体"/>
          <w:color w:val="000000"/>
          <w:szCs w:val="21"/>
          <w:highlight w:val="none"/>
        </w:rPr>
      </w:r>
      <w:r/>
    </w:p>
    <w:p>
      <w:pPr>
        <w:pStyle w:val="1048"/>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color w:val="000000"/>
          <w:szCs w:val="21"/>
          <w:highlight w:val="none"/>
        </w:rPr>
      </w:r>
      <w:r/>
    </w:p>
    <w:p>
      <w:pPr>
        <w:pStyle w:val="1048"/>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三、本单位提供给注册登记部门、行业管理部门、司法部门、行业组织以及在政府采购活动中提交的所有资料均合法、真实、有效，无任何伪造、修改、虚假</w:t>
      </w:r>
      <w:r>
        <w:rPr>
          <w:rFonts w:hint="eastAsia" w:ascii="宋体" w:hAnsi="宋体" w:cs="宋体"/>
          <w:color w:val="000000"/>
          <w:szCs w:val="21"/>
          <w:highlight w:val="none"/>
          <w:lang w:val="en-US" w:eastAsia="zh-CN"/>
        </w:rPr>
        <w:t xml:space="preserve">成分</w:t>
      </w:r>
      <w:r>
        <w:rPr>
          <w:rFonts w:hint="eastAsia" w:ascii="宋体" w:hAnsi="宋体" w:cs="宋体"/>
          <w:color w:val="000000"/>
          <w:szCs w:val="21"/>
          <w:highlight w:val="none"/>
        </w:rPr>
        <w:t xml:space="preserve">，并对所提供资料的真实性负责。</w:t>
      </w:r>
      <w:r>
        <w:rPr>
          <w:rFonts w:hint="eastAsia" w:ascii="宋体" w:hAnsi="宋体" w:cs="宋体"/>
          <w:color w:val="000000"/>
          <w:szCs w:val="21"/>
          <w:highlight w:val="none"/>
        </w:rPr>
      </w:r>
      <w:r/>
    </w:p>
    <w:p>
      <w:pPr>
        <w:pStyle w:val="1048"/>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highlight w:val="none"/>
        </w:rPr>
      </w:r>
      <w:r/>
    </w:p>
    <w:p>
      <w:pPr>
        <w:pStyle w:val="1048"/>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五、承诺本单位自觉接受行政管理部门、行业组织、社会公众、新闻舆论的监督。 </w:t>
      </w:r>
      <w:r>
        <w:rPr>
          <w:rFonts w:hint="eastAsia" w:ascii="宋体" w:hAnsi="宋体" w:cs="宋体"/>
          <w:color w:val="000000"/>
          <w:szCs w:val="21"/>
          <w:highlight w:val="none"/>
        </w:rPr>
      </w:r>
      <w:r/>
    </w:p>
    <w:p>
      <w:pPr>
        <w:pStyle w:val="1048"/>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color w:val="000000"/>
          <w:szCs w:val="21"/>
          <w:highlight w:val="none"/>
        </w:rPr>
      </w:r>
      <w:r/>
    </w:p>
    <w:p>
      <w:pPr>
        <w:pStyle w:val="1048"/>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七、承诺本单位在信用中国（江苏）网站中无违法违规、较重或严重失信记录。 </w:t>
      </w:r>
      <w:r>
        <w:rPr>
          <w:rFonts w:hint="eastAsia" w:ascii="宋体" w:hAnsi="宋体" w:cs="宋体"/>
          <w:color w:val="000000"/>
          <w:szCs w:val="21"/>
          <w:highlight w:val="none"/>
        </w:rPr>
      </w:r>
      <w:r/>
    </w:p>
    <w:p>
      <w:pPr>
        <w:pStyle w:val="1048"/>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八、承诺本单位提出政府采购质疑和投诉坚持依法依规、诚实信用原则。</w:t>
      </w:r>
      <w:r>
        <w:rPr>
          <w:rFonts w:hint="eastAsia" w:ascii="宋体" w:hAnsi="宋体" w:cs="宋体"/>
          <w:color w:val="000000"/>
          <w:szCs w:val="21"/>
          <w:highlight w:val="none"/>
        </w:rPr>
      </w:r>
      <w:r/>
    </w:p>
    <w:p>
      <w:pPr>
        <w:pStyle w:val="1048"/>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九、根据政府采购相关法律法规的规定需要作出的其他承诺。 </w:t>
      </w:r>
      <w:r>
        <w:rPr>
          <w:rFonts w:hint="eastAsia" w:ascii="宋体" w:hAnsi="宋体" w:cs="宋体"/>
          <w:color w:val="000000"/>
          <w:szCs w:val="21"/>
          <w:highlight w:val="none"/>
        </w:rPr>
      </w:r>
      <w:r/>
    </w:p>
    <w:p>
      <w:pPr>
        <w:pStyle w:val="1048"/>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宋体"/>
          <w:color w:val="000000"/>
          <w:szCs w:val="21"/>
          <w:highlight w:val="none"/>
        </w:rPr>
      </w:r>
      <w:r/>
    </w:p>
    <w:p>
      <w:pPr>
        <w:pStyle w:val="1048"/>
        <w:ind w:firstLine="480"/>
        <w:spacing w:line="276"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十一、承诺本单位同意将以上承诺事项上网公示，违背承诺约定行为将作为失信信息，记录到常州市公共信用信息系统，并予以公开。</w:t>
      </w:r>
      <w:r>
        <w:rPr>
          <w:rFonts w:hint="eastAsia" w:ascii="宋体" w:hAnsi="宋体" w:cs="宋体"/>
          <w:color w:val="000000"/>
          <w:szCs w:val="21"/>
          <w:highlight w:val="none"/>
        </w:rPr>
      </w:r>
      <w:r/>
    </w:p>
    <w:p>
      <w:pPr>
        <w:pStyle w:val="1302"/>
        <w:ind w:right="1050" w:firstLine="2520"/>
        <w:jc w:val="both"/>
        <w:spacing w:line="276"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8"/>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48"/>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1048"/>
        <w:jc w:val="left"/>
        <w:widowControl/>
        <w:rPr>
          <w:color w:val="000000"/>
          <w:sz w:val="24"/>
          <w:szCs w:val="20"/>
          <w:highlight w:val="none"/>
        </w:rPr>
      </w:pPr>
      <w:r/>
      <w:bookmarkStart w:id="731" w:name="_Hlt520271212"/>
      <w:r/>
      <w:bookmarkEnd w:id="731"/>
      <w:r/>
      <w:bookmarkStart w:id="732" w:name="_Hlt520274065"/>
      <w:r/>
      <w:bookmarkEnd w:id="732"/>
      <w:r/>
      <w:bookmarkStart w:id="733" w:name="_Hlt520274393"/>
      <w:r/>
      <w:bookmarkEnd w:id="733"/>
      <w:r/>
      <w:bookmarkStart w:id="734" w:name="_Hlt520355504"/>
      <w:r/>
      <w:bookmarkEnd w:id="734"/>
      <w:r/>
      <w:bookmarkStart w:id="735" w:name="_Hlt520274407"/>
      <w:r/>
      <w:bookmarkEnd w:id="735"/>
      <w:r/>
      <w:bookmarkStart w:id="736" w:name="_Hlt520343392"/>
      <w:r/>
      <w:bookmarkEnd w:id="736"/>
      <w:r/>
      <w:bookmarkStart w:id="737" w:name="_Hlt520273711"/>
      <w:r/>
      <w:bookmarkEnd w:id="737"/>
      <w:r/>
      <w:bookmarkStart w:id="738" w:name="_Hlt520274121"/>
      <w:r/>
      <w:bookmarkEnd w:id="738"/>
      <w:r/>
      <w:bookmarkStart w:id="739" w:name="_Hlt520343000"/>
      <w:r/>
      <w:bookmarkEnd w:id="739"/>
      <w:r/>
      <w:bookmarkStart w:id="740" w:name="_Hlt520350918"/>
      <w:r/>
      <w:bookmarkEnd w:id="740"/>
      <w:r/>
      <w:bookmarkStart w:id="741" w:name="_Toc195842922"/>
      <w:r/>
      <w:bookmarkStart w:id="742" w:name="_Toc520356218"/>
      <w:r/>
      <w:bookmarkStart w:id="743" w:name="_Toc305158825"/>
      <w:r/>
      <w:bookmarkStart w:id="744" w:name="_Toc265228395"/>
      <w:r/>
      <w:bookmarkStart w:id="745" w:name="_Toc150774762"/>
      <w:r/>
      <w:bookmarkStart w:id="746" w:name="_Toc226337253"/>
      <w:r/>
      <w:bookmarkStart w:id="747" w:name="_Toc226965830"/>
      <w:r/>
      <w:bookmarkStart w:id="748" w:name="_Toc264969247"/>
      <w:r/>
      <w:bookmarkStart w:id="749" w:name="_Ref467988705"/>
      <w:r/>
      <w:bookmarkStart w:id="750" w:name="_Toc226309801"/>
      <w:r/>
      <w:bookmarkStart w:id="751" w:name="_Toc305158899"/>
      <w:r/>
      <w:bookmarkStart w:id="752" w:name="_Toc480942350"/>
      <w:r/>
      <w:bookmarkStart w:id="753" w:name="_Toc127151557"/>
      <w:r/>
      <w:bookmarkStart w:id="754" w:name="_Toc150480795"/>
      <w:r/>
      <w:bookmarkStart w:id="755" w:name="_Toc226965747"/>
      <w:r/>
      <w:bookmarkStart w:id="756" w:name="_Toc142311059"/>
      <w:r>
        <w:rPr>
          <w:color w:val="000000"/>
          <w:sz w:val="24"/>
          <w:szCs w:val="20"/>
          <w:highlight w:val="none"/>
        </w:rPr>
        <w:br w:type="page" w:clear="all"/>
      </w:r>
      <w:r>
        <w:rPr>
          <w:color w:val="000000"/>
          <w:sz w:val="24"/>
          <w:szCs w:val="20"/>
          <w:highlight w:val="none"/>
        </w:rPr>
      </w:r>
      <w:r/>
    </w:p>
    <w:p>
      <w:pPr>
        <w:pStyle w:val="1048"/>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4.开标一览表</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p>
      <w:pPr>
        <w:pStyle w:val="1048"/>
        <w:jc w:val="center"/>
        <w:spacing w:line="360" w:lineRule="exact"/>
        <w:rPr>
          <w:b/>
          <w:color w:val="000000"/>
          <w:sz w:val="32"/>
          <w:szCs w:val="32"/>
          <w:highlight w:val="none"/>
        </w:rPr>
      </w:pPr>
      <w:r/>
      <w:bookmarkStart w:id="757" w:name="_Toc226965748"/>
      <w:r/>
      <w:bookmarkStart w:id="758" w:name="_Toc226965831"/>
      <w:r/>
      <w:bookmarkStart w:id="759" w:name="_Toc195842923"/>
      <w:r/>
      <w:bookmarkStart w:id="760" w:name="_Toc305158826"/>
      <w:r/>
      <w:bookmarkStart w:id="761" w:name="_Toc305158900"/>
      <w:r/>
      <w:bookmarkStart w:id="762" w:name="_Toc226337254"/>
      <w:r/>
      <w:bookmarkStart w:id="763" w:name="_Toc264969248"/>
      <w:r/>
      <w:bookmarkStart w:id="764" w:name="_Toc164608672"/>
      <w:r/>
      <w:bookmarkStart w:id="765" w:name="_Toc226309802"/>
      <w:r/>
      <w:bookmarkStart w:id="766" w:name="_Toc164608827"/>
      <w:r/>
      <w:bookmarkStart w:id="767" w:name="_Toc265228396"/>
      <w:r>
        <w:rPr>
          <w:rFonts w:hint="eastAsia"/>
          <w:b/>
          <w:color w:val="000000"/>
          <w:sz w:val="32"/>
          <w:szCs w:val="32"/>
          <w:highlight w:val="none"/>
        </w:rPr>
        <w:t xml:space="preserve">开标一览表</w:t>
      </w:r>
      <w:bookmarkEnd w:id="757"/>
      <w:r/>
      <w:bookmarkEnd w:id="758"/>
      <w:r/>
      <w:bookmarkEnd w:id="759"/>
      <w:r/>
      <w:bookmarkEnd w:id="760"/>
      <w:r/>
      <w:bookmarkEnd w:id="761"/>
      <w:r/>
      <w:bookmarkEnd w:id="762"/>
      <w:r/>
      <w:bookmarkEnd w:id="763"/>
      <w:r/>
      <w:bookmarkEnd w:id="764"/>
      <w:r/>
      <w:bookmarkEnd w:id="765"/>
      <w:r/>
      <w:bookmarkEnd w:id="766"/>
      <w:r/>
      <w:bookmarkEnd w:id="767"/>
      <w:r>
        <w:rPr>
          <w:b/>
          <w:color w:val="000000"/>
          <w:sz w:val="32"/>
          <w:szCs w:val="32"/>
          <w:highlight w:val="none"/>
        </w:rPr>
      </w:r>
      <w:r/>
    </w:p>
    <w:tbl>
      <w:tblPr>
        <w:tblpPr w:horzAnchor="page" w:tblpX="1814" w:vertAnchor="text" w:tblpY="76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79"/>
        <w:gridCol w:w="6362"/>
      </w:tblGrid>
      <w:tr>
        <w:trPr>
          <w:cantSplit/>
          <w:trHeight w:val="1021"/>
        </w:trPr>
        <w:tc>
          <w:tcPr>
            <w:tcW w:w="2679" w:type="dxa"/>
            <w:vAlign w:val="center"/>
            <w:textDirection w:val="lrTb"/>
            <w:noWrap w:val="false"/>
          </w:tcPr>
          <w:p>
            <w:pPr>
              <w:pStyle w:val="1048"/>
              <w:jc w:val="center"/>
              <w:rPr>
                <w:rFonts w:hint="eastAsia" w:ascii="宋体" w:hAnsi="宋体" w:cs="宋体"/>
                <w:bCs/>
                <w:color w:val="000000"/>
                <w:sz w:val="24"/>
              </w:rPr>
              <w:framePr w:vAnchor="text" w:hAnchor="page" w:x="1814" w:y="767"/>
            </w:pPr>
            <w:r>
              <w:rPr>
                <w:rFonts w:hint="eastAsia" w:ascii="宋体" w:hAnsi="宋体" w:cs="宋体"/>
                <w:bCs/>
                <w:color w:val="000000"/>
                <w:sz w:val="24"/>
              </w:rPr>
              <w:t xml:space="preserve">投标人名称</w:t>
            </w:r>
            <w:r>
              <w:rPr>
                <w:rFonts w:hint="eastAsia" w:ascii="宋体" w:hAnsi="宋体" w:cs="宋体"/>
                <w:bCs/>
                <w:color w:val="000000"/>
                <w:sz w:val="24"/>
              </w:rPr>
            </w:r>
            <w:r/>
          </w:p>
        </w:tc>
        <w:tc>
          <w:tcPr>
            <w:tcW w:w="6362" w:type="dxa"/>
            <w:vAlign w:val="center"/>
            <w:textDirection w:val="lrTb"/>
            <w:noWrap w:val="false"/>
          </w:tcPr>
          <w:p>
            <w:pPr>
              <w:pStyle w:val="1048"/>
              <w:ind w:firstLine="420"/>
              <w:jc w:val="left"/>
              <w:rPr>
                <w:rFonts w:hint="eastAsia" w:ascii="宋体" w:hAnsi="宋体" w:cs="宋体"/>
                <w:color w:val="000000"/>
                <w:sz w:val="24"/>
              </w:rPr>
              <w:framePr w:vAnchor="text" w:hAnchor="page" w:x="1814" w:y="767"/>
            </w:pPr>
            <w:r>
              <w:rPr>
                <w:rFonts w:hint="eastAsia" w:ascii="宋体" w:hAnsi="宋体" w:cs="宋体"/>
                <w:color w:val="000000"/>
                <w:sz w:val="24"/>
              </w:rPr>
            </w:r>
            <w:r/>
          </w:p>
        </w:tc>
      </w:tr>
      <w:tr>
        <w:trPr>
          <w:cantSplit/>
          <w:trHeight w:val="1565"/>
        </w:trPr>
        <w:tc>
          <w:tcPr>
            <w:tcW w:w="2679" w:type="dxa"/>
            <w:vAlign w:val="center"/>
            <w:textDirection w:val="lrTb"/>
            <w:noWrap w:val="false"/>
          </w:tcPr>
          <w:p>
            <w:pPr>
              <w:pStyle w:val="1048"/>
              <w:jc w:val="center"/>
              <w:rPr>
                <w:rFonts w:hint="eastAsia" w:ascii="宋体" w:hAnsi="宋体" w:cs="宋体"/>
                <w:color w:val="000000"/>
                <w:sz w:val="24"/>
              </w:rPr>
              <w:framePr w:vAnchor="text" w:hAnchor="page" w:x="1814" w:y="767"/>
            </w:pPr>
            <w:r>
              <w:rPr>
                <w:rFonts w:hint="eastAsia" w:ascii="宋体" w:hAnsi="宋体" w:cs="宋体"/>
                <w:color w:val="000000"/>
                <w:sz w:val="24"/>
              </w:rPr>
              <w:t xml:space="preserve">投标总价</w:t>
            </w:r>
            <w:r>
              <w:rPr>
                <w:rFonts w:hint="eastAsia" w:ascii="宋体" w:hAnsi="宋体" w:cs="宋体"/>
                <w:color w:val="000000"/>
                <w:sz w:val="24"/>
              </w:rPr>
            </w:r>
            <w:r/>
          </w:p>
        </w:tc>
        <w:tc>
          <w:tcPr>
            <w:tcW w:w="6362" w:type="dxa"/>
            <w:vAlign w:val="center"/>
            <w:textDirection w:val="lrTb"/>
            <w:noWrap w:val="false"/>
          </w:tcPr>
          <w:p>
            <w:pPr>
              <w:pStyle w:val="1048"/>
              <w:ind w:firstLine="420"/>
              <w:jc w:val="left"/>
              <w:rPr>
                <w:rFonts w:hint="eastAsia" w:ascii="宋体" w:hAnsi="宋体" w:cs="宋体"/>
                <w:color w:val="000000"/>
                <w:sz w:val="24"/>
                <w:u w:val="single"/>
              </w:rPr>
              <w:framePr w:vAnchor="text" w:hAnchor="page" w:x="1814" w:y="767"/>
            </w:pPr>
            <w:r>
              <w:rPr>
                <w:rFonts w:hint="eastAsia" w:ascii="宋体" w:hAnsi="宋体" w:cs="宋体"/>
                <w:color w:val="000000"/>
                <w:sz w:val="24"/>
              </w:rPr>
              <w:t xml:space="preserve">小写：</w:t>
            </w:r>
            <w:r>
              <w:rPr>
                <w:rFonts w:hint="eastAsia" w:ascii="宋体" w:hAnsi="宋体" w:cs="宋体"/>
                <w:color w:val="000000"/>
                <w:sz w:val="24"/>
                <w:u w:val="single"/>
              </w:rPr>
              <w:t xml:space="preserve">                     </w:t>
            </w:r>
            <w:r>
              <w:rPr>
                <w:rFonts w:hint="eastAsia" w:ascii="宋体" w:hAnsi="宋体" w:cs="宋体"/>
                <w:color w:val="000000"/>
                <w:sz w:val="24"/>
                <w:u w:val="none"/>
              </w:rPr>
              <w:t xml:space="preserve">元 </w:t>
            </w:r>
            <w:r>
              <w:rPr>
                <w:rFonts w:hint="eastAsia" w:ascii="宋体" w:hAnsi="宋体" w:cs="宋体"/>
                <w:color w:val="000000"/>
                <w:sz w:val="24"/>
                <w:u w:val="single"/>
              </w:rPr>
            </w:r>
            <w:r/>
          </w:p>
          <w:p>
            <w:pPr>
              <w:pStyle w:val="1048"/>
              <w:ind w:firstLine="420"/>
              <w:jc w:val="left"/>
              <w:rPr>
                <w:rFonts w:hint="eastAsia" w:ascii="宋体" w:hAnsi="宋体" w:cs="宋体"/>
                <w:color w:val="000000"/>
                <w:sz w:val="24"/>
              </w:rPr>
              <w:framePr w:vAnchor="text" w:hAnchor="page" w:x="1814" w:y="767"/>
            </w:pPr>
            <w:r>
              <w:rPr>
                <w:rFonts w:hint="eastAsia" w:ascii="宋体" w:hAnsi="宋体" w:cs="宋体"/>
                <w:color w:val="000000"/>
                <w:sz w:val="24"/>
              </w:rPr>
            </w:r>
            <w:r/>
          </w:p>
          <w:p>
            <w:pPr>
              <w:pStyle w:val="1048"/>
              <w:ind w:firstLine="420"/>
              <w:jc w:val="left"/>
              <w:rPr>
                <w:rFonts w:hint="eastAsia" w:ascii="宋体" w:hAnsi="宋体" w:eastAsia="宋体" w:cs="宋体"/>
                <w:color w:val="000000"/>
                <w:sz w:val="24"/>
                <w:u w:val="single"/>
                <w:lang w:eastAsia="zh-CN"/>
              </w:rPr>
              <w:framePr w:vAnchor="text" w:hAnchor="page" w:x="1814" w:y="767"/>
            </w:pPr>
            <w:r>
              <w:rPr>
                <w:rFonts w:hint="eastAsia" w:ascii="宋体" w:hAnsi="宋体" w:cs="宋体"/>
                <w:color w:val="000000"/>
                <w:sz w:val="24"/>
              </w:rPr>
              <w:t xml:space="preserve">大写：</w:t>
            </w:r>
            <w:r>
              <w:rPr>
                <w:rFonts w:hint="eastAsia" w:ascii="宋体" w:hAnsi="宋体" w:cs="宋体"/>
                <w:color w:val="000000"/>
                <w:sz w:val="24"/>
                <w:u w:val="single"/>
              </w:rPr>
              <w:t xml:space="preserve">                     </w:t>
            </w:r>
            <w:r>
              <w:rPr>
                <w:rFonts w:hint="eastAsia" w:ascii="宋体" w:hAnsi="宋体" w:cs="宋体"/>
                <w:color w:val="000000"/>
                <w:sz w:val="24"/>
                <w:u w:val="none"/>
                <w:lang w:val="en-US" w:eastAsia="zh-CN"/>
              </w:rPr>
              <w:t xml:space="preserve">圆</w:t>
            </w:r>
            <w:r>
              <w:rPr>
                <w:rFonts w:hint="eastAsia" w:ascii="宋体" w:hAnsi="宋体" w:eastAsia="宋体" w:cs="宋体"/>
                <w:color w:val="000000"/>
                <w:sz w:val="24"/>
                <w:u w:val="single"/>
                <w:lang w:eastAsia="zh-CN"/>
              </w:rPr>
            </w:r>
            <w:r/>
          </w:p>
        </w:tc>
      </w:tr>
      <w:tr>
        <w:trPr>
          <w:cantSplit/>
          <w:trHeight w:val="2015"/>
        </w:trPr>
        <w:tc>
          <w:tcPr>
            <w:tcW w:w="2679" w:type="dxa"/>
            <w:vAlign w:val="center"/>
            <w:textDirection w:val="lrTb"/>
            <w:noWrap w:val="false"/>
          </w:tcPr>
          <w:p>
            <w:pPr>
              <w:pStyle w:val="1048"/>
              <w:jc w:val="center"/>
              <w:rPr>
                <w:rFonts w:hint="eastAsia" w:ascii="宋体" w:hAnsi="宋体" w:cs="宋体"/>
                <w:color w:val="000000"/>
                <w:sz w:val="24"/>
                <w:highlight w:val="none"/>
              </w:rPr>
              <w:framePr w:vAnchor="text" w:hAnchor="page" w:x="1814" w:y="767"/>
            </w:pPr>
            <w:r>
              <w:rPr>
                <w:rFonts w:hint="eastAsia" w:ascii="宋体" w:hAnsi="宋体" w:cs="宋体"/>
                <w:color w:val="000000"/>
                <w:sz w:val="24"/>
                <w:highlight w:val="none"/>
              </w:rPr>
              <w:t xml:space="preserve">其他需要说明的事项</w:t>
            </w:r>
            <w:r>
              <w:rPr>
                <w:rFonts w:hint="eastAsia" w:ascii="宋体" w:hAnsi="宋体" w:cs="宋体"/>
                <w:color w:val="000000"/>
                <w:sz w:val="24"/>
                <w:highlight w:val="none"/>
              </w:rPr>
            </w:r>
            <w:r/>
          </w:p>
        </w:tc>
        <w:tc>
          <w:tcPr>
            <w:tcW w:w="6362" w:type="dxa"/>
            <w:vAlign w:val="center"/>
            <w:textDirection w:val="lrTb"/>
            <w:noWrap w:val="false"/>
          </w:tcPr>
          <w:p>
            <w:pPr>
              <w:pStyle w:val="1048"/>
              <w:jc w:val="left"/>
              <w:rPr>
                <w:rFonts w:ascii="宋体" w:hAnsi="宋体" w:eastAsia="宋体" w:cs="宋体"/>
                <w:color w:val="000000"/>
                <w:sz w:val="24"/>
                <w:highlight w:val="none"/>
                <w:u w:val="single"/>
                <w:lang w:val="en-US" w:eastAsia="zh-CN"/>
              </w:rPr>
              <w:framePr w:vAnchor="text" w:hAnchor="page" w:x="1814" w:y="767"/>
            </w:pPr>
            <w:r>
              <w:rPr>
                <w:rFonts w:hint="eastAsia" w:ascii="宋体" w:hAnsi="宋体" w:cs="宋体"/>
                <w:color w:val="000000"/>
                <w:sz w:val="24"/>
                <w:highlight w:val="none"/>
              </w:rPr>
              <w:t xml:space="preserve">项目</w:t>
            </w:r>
            <w:r>
              <w:rPr>
                <w:rFonts w:hint="eastAsia" w:ascii="宋体" w:hAnsi="宋体" w:cs="宋体"/>
                <w:color w:val="000000"/>
                <w:sz w:val="24"/>
                <w:highlight w:val="none"/>
                <w:lang w:val="en-US" w:eastAsia="zh-CN"/>
              </w:rPr>
              <w:t xml:space="preserve">经理</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none"/>
                <w:lang w:eastAsia="zh-CN"/>
              </w:rPr>
              <w:t xml:space="preserve">，</w:t>
            </w:r>
            <w:r>
              <w:rPr>
                <w:rFonts w:hint="eastAsia" w:ascii="宋体" w:hAnsi="宋体" w:cs="宋体"/>
                <w:color w:val="000000"/>
                <w:sz w:val="24"/>
                <w:highlight w:val="none"/>
                <w:u w:val="none"/>
                <w:lang w:val="en-US" w:eastAsia="zh-CN"/>
              </w:rPr>
              <w:t xml:space="preserve">联系电话：</w:t>
            </w:r>
            <w:r>
              <w:rPr>
                <w:rFonts w:hint="eastAsia" w:ascii="宋体" w:hAnsi="宋体" w:cs="宋体"/>
                <w:color w:val="000000"/>
                <w:sz w:val="24"/>
                <w:highlight w:val="none"/>
                <w:u w:val="single"/>
                <w:lang w:val="en-US" w:eastAsia="zh-CN"/>
              </w:rPr>
              <w:t xml:space="preserve">            </w:t>
            </w:r>
            <w:r>
              <w:rPr>
                <w:rFonts w:ascii="宋体" w:hAnsi="宋体" w:eastAsia="宋体" w:cs="宋体"/>
                <w:color w:val="000000"/>
                <w:sz w:val="24"/>
                <w:highlight w:val="none"/>
                <w:u w:val="single"/>
                <w:lang w:val="en-US" w:eastAsia="zh-CN"/>
              </w:rPr>
            </w:r>
            <w:r/>
          </w:p>
          <w:p>
            <w:pPr>
              <w:pStyle w:val="1048"/>
              <w:ind w:firstLine="420"/>
              <w:jc w:val="left"/>
              <w:rPr>
                <w:rFonts w:hint="eastAsia" w:ascii="宋体" w:hAnsi="宋体" w:cs="宋体"/>
                <w:color w:val="000000"/>
                <w:sz w:val="24"/>
                <w:highlight w:val="none"/>
              </w:rPr>
              <w:framePr w:vAnchor="text" w:hAnchor="page" w:x="1814" w:y="767"/>
            </w:pPr>
            <w:r>
              <w:rPr>
                <w:rFonts w:hint="eastAsia" w:ascii="宋体" w:hAnsi="宋体" w:cs="宋体"/>
                <w:color w:val="000000"/>
                <w:sz w:val="24"/>
                <w:highlight w:val="none"/>
              </w:rPr>
            </w:r>
            <w:r/>
          </w:p>
          <w:p>
            <w:pPr>
              <w:pStyle w:val="1048"/>
              <w:jc w:val="left"/>
              <w:rPr>
                <w:rFonts w:hint="eastAsia" w:ascii="宋体" w:hAnsi="宋体" w:cs="宋体"/>
                <w:color w:val="000000"/>
                <w:sz w:val="24"/>
                <w:highlight w:val="none"/>
                <w:u w:val="single"/>
              </w:rPr>
              <w:framePr w:vAnchor="text" w:hAnchor="page" w:x="1814" w:y="767"/>
            </w:pPr>
            <w:r>
              <w:rPr>
                <w:rFonts w:hint="eastAsia" w:ascii="宋体" w:hAnsi="宋体" w:cs="宋体"/>
                <w:color w:val="000000"/>
                <w:sz w:val="24"/>
                <w:highlight w:val="none"/>
              </w:rPr>
              <w:t xml:space="preserve">合同履约期限</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48"/>
              <w:ind w:firstLine="420"/>
              <w:jc w:val="left"/>
              <w:rPr>
                <w:rFonts w:hint="eastAsia" w:ascii="宋体" w:hAnsi="宋体" w:eastAsia="宋体" w:cs="宋体"/>
                <w:color w:val="000000"/>
                <w:sz w:val="24"/>
                <w:highlight w:val="none"/>
                <w:lang w:val="en-US" w:eastAsia="zh-CN"/>
              </w:rPr>
              <w:framePr w:vAnchor="text" w:hAnchor="page" w:x="1814" w:y="767"/>
            </w:pPr>
            <w:r>
              <w:rPr>
                <w:rFonts w:hint="eastAsia" w:ascii="宋体" w:hAnsi="宋体" w:eastAsia="宋体" w:cs="宋体"/>
                <w:color w:val="000000"/>
                <w:sz w:val="24"/>
                <w:highlight w:val="none"/>
                <w:lang w:val="en-US" w:eastAsia="zh-CN"/>
              </w:rPr>
            </w:r>
            <w:r/>
          </w:p>
          <w:p>
            <w:pPr>
              <w:pStyle w:val="1048"/>
              <w:jc w:val="left"/>
              <w:rPr>
                <w:rFonts w:hint="eastAsia" w:ascii="宋体" w:hAnsi="宋体" w:eastAsia="宋体" w:cs="宋体"/>
                <w:color w:val="000000"/>
                <w:sz w:val="24"/>
                <w:highlight w:val="none"/>
                <w:lang w:val="en-US" w:eastAsia="zh-CN"/>
              </w:rPr>
              <w:framePr w:vAnchor="text" w:hAnchor="page" w:x="1814" w:y="767"/>
            </w:pPr>
            <w:r>
              <w:rPr>
                <w:rFonts w:hint="eastAsia" w:ascii="宋体" w:hAnsi="宋体" w:eastAsia="宋体" w:cs="宋体"/>
                <w:color w:val="000000"/>
                <w:sz w:val="24"/>
                <w:highlight w:val="none"/>
                <w:lang w:val="en-US" w:eastAsia="zh-CN"/>
              </w:rPr>
              <w:t xml:space="preserve">核心产品：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none"/>
                <w:lang w:val="en-US" w:eastAsia="zh-CN"/>
              </w:rPr>
              <w:t xml:space="preserve">品牌：</w:t>
            </w:r>
            <w:r>
              <w:rPr>
                <w:rFonts w:hint="eastAsia" w:ascii="宋体" w:hAnsi="宋体" w:cs="宋体"/>
                <w:color w:val="000000"/>
                <w:sz w:val="24"/>
                <w:highlight w:val="none"/>
                <w:u w:val="single"/>
              </w:rPr>
              <w:t xml:space="preserve">             </w:t>
            </w:r>
            <w:r>
              <w:rPr>
                <w:rFonts w:hint="eastAsia" w:ascii="宋体" w:hAnsi="宋体" w:eastAsia="宋体" w:cs="宋体"/>
                <w:color w:val="000000"/>
                <w:sz w:val="24"/>
                <w:highlight w:val="none"/>
                <w:lang w:val="en-US" w:eastAsia="zh-CN"/>
              </w:rPr>
            </w:r>
            <w:r/>
          </w:p>
        </w:tc>
      </w:tr>
    </w:tbl>
    <w:p>
      <w:pPr>
        <w:pStyle w:val="1048"/>
        <w:jc w:val="both"/>
        <w:spacing w:line="360" w:lineRule="auto"/>
        <w:tabs>
          <w:tab w:val="left" w:pos="1800" w:leader="none"/>
          <w:tab w:val="left" w:pos="5580" w:leader="none"/>
        </w:tabs>
        <w:rPr>
          <w:i/>
          <w:color w:val="000000"/>
          <w:sz w:val="24"/>
          <w:highlight w:val="none"/>
        </w:rPr>
      </w:pPr>
      <w:r>
        <w:rPr>
          <w:rFonts w:hint="eastAsia" w:ascii="宋体" w:hAnsi="宋体" w:cs="宋体"/>
          <w:b/>
          <w:color w:val="000000"/>
          <w:szCs w:val="21"/>
          <w:highlight w:val="none"/>
        </w:rPr>
        <w:t xml:space="preserve">                                                       </w:t>
      </w:r>
      <w:r>
        <w:rPr>
          <w:i/>
          <w:color w:val="000000"/>
          <w:sz w:val="24"/>
          <w:highlight w:val="none"/>
        </w:rPr>
      </w:r>
      <w:r/>
    </w:p>
    <w:p>
      <w:pPr>
        <w:pStyle w:val="1048"/>
        <w:jc w:val="left"/>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ind w:firstLine="420"/>
        <w:jc w:val="left"/>
        <w:rPr>
          <w:rFonts w:ascii="宋体" w:hAnsi="宋体"/>
          <w:color w:val="000000"/>
          <w:sz w:val="21"/>
          <w:szCs w:val="21"/>
          <w:highlight w:val="none"/>
        </w:rPr>
      </w:pPr>
      <w:r>
        <w:rPr>
          <w:rFonts w:ascii="宋体" w:hAnsi="宋体"/>
          <w:color w:val="000000"/>
          <w:sz w:val="21"/>
          <w:szCs w:val="21"/>
          <w:highlight w:val="none"/>
        </w:rPr>
        <w:t xml:space="preserve">注：1</w:t>
      </w:r>
      <w:r>
        <w:rPr>
          <w:rFonts w:ascii="宋体" w:hAnsi="宋体"/>
          <w:color w:val="000000"/>
          <w:sz w:val="21"/>
          <w:szCs w:val="21"/>
          <w:highlight w:val="none"/>
        </w:rPr>
        <w:t xml:space="preserve">.此表中，每包的投标报价应和《投标分项报价表》中的总价相一致。</w:t>
      </w:r>
      <w:r>
        <w:rPr>
          <w:rFonts w:ascii="宋体" w:hAnsi="宋体"/>
          <w:color w:val="000000"/>
          <w:sz w:val="21"/>
          <w:szCs w:val="21"/>
          <w:highlight w:val="none"/>
        </w:rPr>
      </w:r>
      <w:r/>
    </w:p>
    <w:p>
      <w:pPr>
        <w:pStyle w:val="1048"/>
        <w:ind w:firstLine="840"/>
        <w:tabs>
          <w:tab w:val="left" w:pos="5580" w:leader="none"/>
        </w:tabs>
        <w:rPr>
          <w:rFonts w:ascii="宋体" w:hAnsi="宋体"/>
          <w:color w:val="000000"/>
          <w:sz w:val="21"/>
          <w:szCs w:val="21"/>
          <w:highlight w:val="none"/>
        </w:rPr>
      </w:pPr>
      <w:r>
        <w:rPr>
          <w:rFonts w:ascii="宋体" w:hAnsi="宋体"/>
          <w:color w:val="000000"/>
          <w:sz w:val="21"/>
          <w:szCs w:val="21"/>
          <w:highlight w:val="none"/>
        </w:rPr>
        <w:t xml:space="preserve">2.本表必须按包分别填写。</w:t>
      </w:r>
      <w:r>
        <w:rPr>
          <w:rFonts w:ascii="宋体" w:hAnsi="宋体"/>
          <w:color w:val="000000"/>
          <w:sz w:val="21"/>
          <w:szCs w:val="21"/>
          <w:highlight w:val="none"/>
        </w:rPr>
      </w:r>
      <w:r/>
    </w:p>
    <w:p>
      <w:pPr>
        <w:pStyle w:val="1048"/>
        <w:spacing w:before="25" w:after="25" w:line="360" w:lineRule="auto"/>
        <w:rPr>
          <w:rFonts w:ascii="宋体" w:hAnsi="宋体"/>
          <w:color w:val="000000"/>
          <w:sz w:val="21"/>
          <w:szCs w:val="21"/>
          <w:highlight w:val="none"/>
          <w:lang w:val="zh-CN"/>
        </w:rPr>
      </w:pPr>
      <w:r>
        <w:rPr>
          <w:rFonts w:ascii="宋体" w:hAnsi="宋体"/>
          <w:color w:val="000000"/>
          <w:sz w:val="21"/>
          <w:szCs w:val="21"/>
          <w:highlight w:val="none"/>
          <w:lang w:val="zh-CN"/>
        </w:rPr>
      </w:r>
      <w:r/>
    </w:p>
    <w:p>
      <w:pPr>
        <w:pStyle w:val="1048"/>
        <w:spacing w:before="25" w:after="25" w:line="360" w:lineRule="auto"/>
        <w:rPr>
          <w:rFonts w:ascii="宋体" w:hAnsi="宋体"/>
          <w:color w:val="000000"/>
          <w:sz w:val="21"/>
          <w:szCs w:val="21"/>
          <w:highlight w:val="none"/>
          <w:lang w:val="zh-CN"/>
        </w:rPr>
      </w:pPr>
      <w:r>
        <w:rPr>
          <w:rFonts w:ascii="宋体" w:hAnsi="宋体"/>
          <w:color w:val="000000"/>
          <w:sz w:val="21"/>
          <w:szCs w:val="21"/>
          <w:highlight w:val="none"/>
          <w:lang w:val="zh-CN"/>
        </w:rPr>
        <w:t xml:space="preserve">                         </w:t>
      </w:r>
      <w:r>
        <w:rPr>
          <w:rFonts w:ascii="宋体" w:hAnsi="宋体"/>
          <w:color w:val="000000"/>
          <w:sz w:val="21"/>
          <w:szCs w:val="21"/>
          <w:highlight w:val="none"/>
          <w:lang w:val="zh-CN"/>
        </w:rPr>
      </w:r>
      <w:r/>
    </w:p>
    <w:p>
      <w:pPr>
        <w:pStyle w:val="1048"/>
        <w:ind w:firstLine="630"/>
        <w:spacing w:line="360" w:lineRule="auto"/>
        <w:tabs>
          <w:tab w:val="left" w:pos="5580" w:leader="none"/>
        </w:tabs>
        <w:rPr>
          <w:rFonts w:ascii="宋体" w:hAnsi="宋体"/>
          <w:color w:val="000000"/>
          <w:sz w:val="21"/>
          <w:szCs w:val="21"/>
          <w:highlight w:val="none"/>
        </w:rPr>
      </w:pPr>
      <w:r>
        <w:rPr>
          <w:rFonts w:ascii="宋体" w:hAnsi="宋体"/>
          <w:color w:val="000000"/>
          <w:sz w:val="21"/>
          <w:szCs w:val="21"/>
          <w:highlight w:val="none"/>
        </w:rPr>
        <w:t xml:space="preserve">投标人名称（加盖公章）</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___________</w:t>
      </w:r>
      <w:r>
        <w:rPr>
          <w:rFonts w:ascii="宋体" w:hAnsi="宋体"/>
          <w:color w:val="000000"/>
          <w:sz w:val="21"/>
          <w:szCs w:val="21"/>
          <w:highlight w:val="none"/>
        </w:rPr>
      </w:r>
      <w:r/>
    </w:p>
    <w:p>
      <w:pPr>
        <w:pStyle w:val="1048"/>
        <w:ind w:firstLine="630"/>
        <w:tabs>
          <w:tab w:val="left" w:pos="1800" w:leader="none"/>
          <w:tab w:val="left" w:pos="5580" w:leader="none"/>
        </w:tabs>
        <w:rPr>
          <w:color w:val="000000"/>
          <w:sz w:val="24"/>
          <w:szCs w:val="20"/>
          <w:highlight w:val="none"/>
        </w:rPr>
        <w:sectPr>
          <w:headerReference w:type="even" r:id="rId13"/>
          <w:headerReference w:type="first" r:id="rId14"/>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1"/>
          <w:szCs w:val="21"/>
          <w:highlight w:val="none"/>
        </w:rPr>
        <w:t xml:space="preserve">日期：___________年______月______日 </w:t>
      </w:r>
      <w:bookmarkStart w:id="768" w:name="_Toc127151562"/>
      <w:r/>
      <w:bookmarkStart w:id="769" w:name="_Toc265228400"/>
      <w:r/>
      <w:bookmarkStart w:id="770" w:name="_Toc150774765"/>
      <w:r/>
      <w:bookmarkStart w:id="771" w:name="_Toc305158904"/>
      <w:r/>
      <w:bookmarkStart w:id="772" w:name="_Toc150480798"/>
      <w:r/>
      <w:bookmarkStart w:id="773" w:name="_Toc264969252"/>
      <w:r/>
      <w:bookmarkStart w:id="774" w:name="_Toc226965752"/>
      <w:r/>
      <w:bookmarkStart w:id="775" w:name="_Toc305158830"/>
      <w:r/>
      <w:bookmarkStart w:id="776" w:name="_Toc195842927"/>
      <w:r/>
      <w:bookmarkStart w:id="777" w:name="_Toc226965835"/>
      <w:r/>
      <w:bookmarkStart w:id="778" w:name="_Toc226309806"/>
      <w:r/>
      <w:bookmarkStart w:id="779" w:name="_Toc142311062"/>
      <w:r/>
      <w:bookmarkStart w:id="780" w:name="_Toc226337258"/>
      <w:r/>
      <w:bookmarkStart w:id="781" w:name="_Toc226337257"/>
      <w:r/>
      <w:bookmarkStart w:id="782" w:name="_Toc305158829"/>
      <w:r/>
      <w:bookmarkStart w:id="783" w:name="_Toc226965834"/>
      <w:r/>
      <w:bookmarkStart w:id="784" w:name="_Toc150480797"/>
      <w:r/>
      <w:bookmarkStart w:id="785" w:name="_Toc265228399"/>
      <w:r/>
      <w:bookmarkStart w:id="786" w:name="_Toc142311061"/>
      <w:r/>
      <w:bookmarkStart w:id="787" w:name="_Toc195842926"/>
      <w:r/>
      <w:bookmarkStart w:id="788" w:name="_Toc150774764"/>
      <w:r/>
      <w:bookmarkStart w:id="789" w:name="_Toc226309805"/>
      <w:r/>
      <w:bookmarkStart w:id="790" w:name="_Toc226965751"/>
      <w:r/>
      <w:bookmarkStart w:id="791" w:name="_Toc264969251"/>
      <w:r/>
      <w:bookmarkStart w:id="792" w:name="_Toc127151561"/>
      <w:r/>
      <w:bookmarkStart w:id="793" w:name="_Toc305158903"/>
      <w:r>
        <w:rPr>
          <w:color w:val="000000"/>
          <w:sz w:val="24"/>
          <w:szCs w:val="20"/>
          <w:highlight w:val="none"/>
        </w:rPr>
      </w:r>
      <w:r/>
    </w:p>
    <w:p>
      <w:pPr>
        <w:pStyle w:val="1048"/>
        <w:tabs>
          <w:tab w:val="left" w:pos="1800" w:leader="none"/>
          <w:tab w:val="left" w:pos="5580" w:leader="none"/>
        </w:tabs>
        <w:rPr>
          <w:rFonts w:hint="eastAsia"/>
          <w:color w:val="000000"/>
          <w:highlight w:val="none"/>
        </w:rPr>
      </w:pPr>
      <w:r>
        <w:rPr>
          <w:rFonts w:hint="eastAsia" w:ascii="宋体" w:hAnsi="宋体" w:cs="宋体"/>
          <w:color w:val="000000"/>
          <w:szCs w:val="21"/>
          <w:highlight w:val="none"/>
        </w:rPr>
        <w:t xml:space="preserve">5.投标分项报价表（实质性格式）</w:t>
      </w:r>
      <w:r>
        <w:rPr>
          <w:rFonts w:hint="eastAsia"/>
          <w:color w:val="000000"/>
          <w:highlight w:val="none"/>
        </w:rPr>
      </w:r>
      <w:r/>
    </w:p>
    <w:p>
      <w:pPr>
        <w:pStyle w:val="1048"/>
        <w:jc w:val="center"/>
        <w:spacing w:line="360" w:lineRule="exact"/>
        <w:rPr>
          <w:rFonts w:hint="eastAsia"/>
          <w:b/>
          <w:color w:val="000000"/>
          <w:sz w:val="32"/>
          <w:szCs w:val="32"/>
          <w:highlight w:val="none"/>
        </w:rPr>
      </w:pPr>
      <w:r>
        <w:rPr>
          <w:rFonts w:hint="eastAsia"/>
          <w:b/>
          <w:color w:val="000000"/>
          <w:sz w:val="32"/>
          <w:szCs w:val="32"/>
          <w:highlight w:val="none"/>
        </w:rPr>
        <w:t xml:space="preserve">投标分项报价表</w:t>
      </w:r>
      <w:r>
        <w:rPr>
          <w:rFonts w:hint="eastAsia"/>
          <w:b/>
          <w:color w:val="000000"/>
          <w:sz w:val="32"/>
          <w:szCs w:val="32"/>
          <w:highlight w:val="none"/>
        </w:rPr>
      </w:r>
      <w:r/>
    </w:p>
    <w:p>
      <w:pPr>
        <w:pStyle w:val="1048"/>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8"/>
        <w:ind w:firstLine="420"/>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项目编号/包号：___________   项目名称：__________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报价单位：人民币（元）</w:t>
      </w:r>
      <w:r>
        <w:rPr>
          <w:rFonts w:hint="eastAsia" w:ascii="宋体" w:hAnsi="宋体" w:eastAsia="宋体" w:cs="宋体"/>
          <w:color w:val="000000"/>
          <w:sz w:val="21"/>
          <w:szCs w:val="21"/>
          <w:highlight w:val="none"/>
        </w:rPr>
      </w:r>
      <w:r/>
    </w:p>
    <w:tbl>
      <w:tblPr>
        <w:tblW w:w="15096"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1"/>
        <w:gridCol w:w="1219"/>
        <w:gridCol w:w="8484"/>
        <w:gridCol w:w="696"/>
        <w:gridCol w:w="732"/>
        <w:gridCol w:w="1003"/>
        <w:gridCol w:w="828"/>
        <w:gridCol w:w="744"/>
        <w:gridCol w:w="869"/>
      </w:tblGrid>
      <w:tr>
        <w:trPr>
          <w:trHeight w:val="295"/>
        </w:trPr>
        <w:tc>
          <w:tcPr>
            <w:tcW w:w="521"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rFonts w:hint="eastAsia" w:ascii="宋体" w:hAnsi="宋体" w:eastAsia="宋体" w:cs="宋体"/>
                <w:b/>
                <w:bCs/>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项目名称</w:t>
            </w:r>
            <w:r>
              <w:rPr>
                <w:rFonts w:hint="eastAsia" w:ascii="宋体" w:hAnsi="宋体" w:eastAsia="宋体" w:cs="宋体"/>
                <w:b/>
                <w:bCs/>
                <w:i w:val="0"/>
                <w:iCs w:val="0"/>
                <w:color w:val="000000"/>
                <w:sz w:val="18"/>
                <w:szCs w:val="18"/>
                <w:highlight w:val="none"/>
                <w:u w:val="none"/>
              </w:rPr>
            </w:r>
            <w:r/>
          </w:p>
        </w:tc>
        <w:tc>
          <w:tcPr>
            <w:tcW w:w="8484"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t xml:space="preserve">项目特征描述及技术参数</w:t>
            </w:r>
            <w:r>
              <w:rPr>
                <w:rFonts w:hint="eastAsia" w:ascii="宋体" w:hAnsi="宋体" w:eastAsia="宋体" w:cs="宋体"/>
                <w:b/>
                <w:bCs/>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rPr>
                <w:rFonts w:hint="eastAsia" w:ascii="宋体" w:hAnsi="宋体" w:eastAsia="宋体" w:cs="宋体"/>
                <w:b/>
                <w:bCs/>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rPr>
                <w:rFonts w:hint="eastAsia" w:ascii="宋体" w:hAnsi="宋体" w:eastAsia="宋体" w:cs="宋体"/>
                <w:b/>
                <w:bCs/>
                <w:i w:val="0"/>
                <w:iCs w:val="0"/>
                <w:color w:val="000000"/>
                <w:sz w:val="18"/>
                <w:szCs w:val="18"/>
                <w:highlight w:val="none"/>
                <w:u w:val="none"/>
              </w:rPr>
            </w:r>
            <w:r/>
          </w:p>
        </w:tc>
        <w:tc>
          <w:tcPr>
            <w:tcW w:w="1003" w:type="dxa"/>
            <w:vAlign w:val="center"/>
            <w:textDirection w:val="lrTb"/>
            <w:noWrap w:val="false"/>
          </w:tcPr>
          <w:p>
            <w:pPr>
              <w:pStyle w:val="1327"/>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pPr>
            <w:r>
              <w:rPr>
                <w:rFonts w:hint="eastAsia" w:ascii="宋体" w:hAnsi="宋体" w:eastAsia="宋体" w:cs="宋体"/>
                <w:b/>
                <w:bCs/>
                <w:sz w:val="18"/>
                <w:szCs w:val="18"/>
                <w:highlight w:val="none"/>
                <w:lang w:val="en-US" w:eastAsia="zh-CN"/>
              </w:rPr>
              <w:t xml:space="preserve">全费用综合单价（元）</w:t>
            </w:r>
            <w:r>
              <w:rPr>
                <w:rFonts w:hint="eastAsia" w:ascii="宋体" w:hAnsi="宋体" w:eastAsia="宋体" w:cs="宋体"/>
                <w:b/>
                <w:bCs/>
                <w:i w:val="0"/>
                <w:iCs w:val="0"/>
                <w:color w:val="000000"/>
                <w:sz w:val="18"/>
                <w:szCs w:val="18"/>
                <w:highlight w:val="none"/>
                <w:u w:val="none"/>
                <w:lang w:val="en-US" w:eastAsia="zh-CN" w:bidi="ar"/>
              </w:rPr>
            </w:r>
            <w:r/>
          </w:p>
        </w:tc>
        <w:tc>
          <w:tcPr>
            <w:tcW w:w="828" w:type="dxa"/>
            <w:vAlign w:val="center"/>
            <w:textDirection w:val="lrTb"/>
            <w:noWrap w:val="false"/>
          </w:tcPr>
          <w:p>
            <w:pPr>
              <w:pStyle w:val="1327"/>
              <w:jc w:val="center"/>
              <w:keepLines w:val="0"/>
              <w:keepNext w:val="0"/>
              <w:pageBreakBefore w:val="0"/>
              <w:spacing w:line="240" w:lineRule="exact"/>
              <w:widowControl/>
              <w:rPr>
                <w:rFonts w:hint="eastAsia" w:ascii="宋体" w:hAnsi="宋体" w:eastAsia="宋体" w:cs="宋体"/>
                <w:b/>
                <w:bCs/>
                <w:sz w:val="18"/>
                <w:szCs w:val="18"/>
                <w:highlight w:val="none"/>
                <w:lang w:eastAsia="zh-CN"/>
              </w:rPr>
            </w:pPr>
            <w:r>
              <w:rPr>
                <w:rFonts w:hint="eastAsia" w:ascii="宋体" w:hAnsi="宋体" w:eastAsia="宋体" w:cs="宋体"/>
                <w:b/>
                <w:bCs/>
                <w:sz w:val="18"/>
                <w:szCs w:val="18"/>
                <w:highlight w:val="none"/>
                <w:lang w:eastAsia="zh-CN"/>
              </w:rPr>
              <w:t xml:space="preserve">总价</w:t>
            </w:r>
            <w:r>
              <w:rPr>
                <w:rFonts w:hint="eastAsia" w:ascii="宋体" w:hAnsi="宋体" w:eastAsia="宋体" w:cs="宋体"/>
                <w:b/>
                <w:bCs/>
                <w:sz w:val="18"/>
                <w:szCs w:val="18"/>
                <w:highlight w:val="none"/>
                <w:lang w:eastAsia="zh-CN"/>
              </w:rPr>
            </w:r>
            <w:r/>
          </w:p>
          <w:p>
            <w:pPr>
              <w:pStyle w:val="1327"/>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pPr>
            <w:r>
              <w:rPr>
                <w:rFonts w:hint="eastAsia" w:ascii="宋体" w:hAnsi="宋体" w:eastAsia="宋体" w:cs="宋体"/>
                <w:b/>
                <w:bCs/>
                <w:sz w:val="18"/>
                <w:szCs w:val="18"/>
                <w:highlight w:val="none"/>
                <w:lang w:eastAsia="zh-CN"/>
              </w:rPr>
              <w:t xml:space="preserve">（元）</w:t>
            </w:r>
            <w:r>
              <w:rPr>
                <w:rFonts w:hint="eastAsia" w:ascii="宋体" w:hAnsi="宋体" w:eastAsia="宋体" w:cs="宋体"/>
                <w:b/>
                <w:bCs/>
                <w:i w:val="0"/>
                <w:iCs w:val="0"/>
                <w:color w:val="000000"/>
                <w:sz w:val="18"/>
                <w:szCs w:val="18"/>
                <w:highlight w:val="none"/>
                <w:u w:val="none"/>
                <w:lang w:val="en-US" w:eastAsia="zh-CN" w:bidi="ar"/>
              </w:rPr>
            </w:r>
            <w:r/>
          </w:p>
        </w:tc>
        <w:tc>
          <w:tcPr>
            <w:tcW w:w="744"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品牌</w:t>
            </w:r>
            <w:r>
              <w:rPr>
                <w:rFonts w:hint="eastAsia" w:ascii="宋体" w:hAnsi="宋体" w:eastAsia="宋体" w:cs="宋体"/>
                <w:b/>
                <w:bCs/>
                <w:i w:val="0"/>
                <w:iCs w:val="0"/>
                <w:color w:val="000000"/>
                <w:sz w:val="18"/>
                <w:szCs w:val="18"/>
                <w:highlight w:val="none"/>
                <w:u w:val="none"/>
                <w:lang w:val="en-US" w:eastAsia="zh-CN" w:bidi="ar"/>
              </w:rPr>
            </w:r>
            <w:r/>
          </w:p>
        </w:tc>
        <w:tc>
          <w:tcPr>
            <w:tcW w:w="869" w:type="dxa"/>
            <w:vAlign w:val="center"/>
            <w:textDirection w:val="lrTb"/>
            <w:noWrap w:val="false"/>
          </w:tcPr>
          <w:p>
            <w:pPr>
              <w:pStyle w:val="1048"/>
              <w:ind w:firstLine="0"/>
              <w:jc w:val="center"/>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备注</w:t>
            </w:r>
            <w:r>
              <w:rPr>
                <w:rFonts w:hint="eastAsia" w:ascii="宋体" w:hAnsi="宋体" w:eastAsia="宋体" w:cs="宋体"/>
                <w:b/>
                <w:bCs/>
                <w:i w:val="0"/>
                <w:iCs w:val="0"/>
                <w:color w:val="000000"/>
                <w:sz w:val="18"/>
                <w:szCs w:val="18"/>
                <w:highlight w:val="none"/>
                <w:u w:val="none"/>
              </w:rPr>
            </w:r>
            <w:r/>
          </w:p>
        </w:tc>
      </w:tr>
      <w:tr>
        <w:trPr>
          <w:trHeight w:val="295"/>
        </w:trPr>
        <w:tc>
          <w:tcPr>
            <w:tcW w:w="521"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一</w:t>
            </w:r>
            <w:r>
              <w:rPr>
                <w:rFonts w:hint="eastAsia" w:ascii="宋体" w:hAnsi="宋体" w:eastAsia="宋体" w:cs="宋体"/>
                <w:b/>
                <w:bCs/>
                <w:i w:val="0"/>
                <w:iCs w:val="0"/>
                <w:color w:val="000000"/>
                <w:sz w:val="18"/>
                <w:szCs w:val="18"/>
                <w:highlight w:val="none"/>
                <w:u w:val="none"/>
              </w:rPr>
            </w:r>
            <w:r/>
          </w:p>
        </w:tc>
        <w:tc>
          <w:tcPr>
            <w:gridSpan w:val="8"/>
            <w:tcW w:w="14575"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设备更新</w:t>
            </w:r>
            <w:r>
              <w:rPr>
                <w:rFonts w:hint="eastAsia" w:ascii="宋体" w:hAnsi="宋体" w:eastAsia="宋体" w:cs="宋体"/>
                <w:b/>
                <w:bCs/>
                <w:i w:val="0"/>
                <w:iCs w:val="0"/>
                <w:color w:val="000000"/>
                <w:sz w:val="18"/>
                <w:szCs w:val="18"/>
                <w:highlight w:val="none"/>
                <w:u w:val="none"/>
                <w:lang w:val="en-US" w:eastAsia="zh-CN" w:bidi="ar"/>
              </w:rPr>
            </w:r>
            <w:r/>
          </w:p>
        </w:tc>
      </w:tr>
      <w:tr>
        <w:trPr>
          <w:trHeight w:val="313"/>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900万环保高清电子警察抓拍单元</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lang w:val="en-US" w:eastAsia="zh-CN" w:bidi="ar"/>
              </w:rPr>
              <w:t xml:space="preserve">（核心产品）</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900万环保高清电子警察抓拍单元；包含高清一体化嵌入式摄像机、高清镜头、室外防护罩、电源适配器、内置补光灯、安装万向节等。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支持对摩托车闯红灯、不按导向行驶、闯禁令、不戴头盔、逆行、载人等违法行为进行抓拍。支持大型货车闯红灯抓拍功能，包括拖车、挂车、罐车、平板货车、集装箱牵引车、渣土车、吸污车等货车类型。支持AI车牌增强功能，包括：蓝牌、黄牌、白牌、黑牌、绿牌、渐变绿、黄绿双拼牌，开启后可防止车牌过曝。支持牛眼灯下的车牌识别功能，抓拍图片车牌，抓拍图片车牌清晰可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快门方式：支持单快门、全息双快门、三快门；电子快门：支持1/50s~1/100000s（可手动或自动调节）；曝光模式：支持全自动/自定义区间/自定义。光圈控制：支持手动光圈、固定光圈、P-IRIS自动光圈。视频压缩标准：H.265;H.264B;H.264M;H.264H;MJPEG；图片编码格式：JPE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3、支持车辆子品牌识别功能，在目标清晰可辨的条件下进行测试，白天车辆子品牌识别准确率≥99%；晚上车辆子品牌识别准确率≥99%。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4、车辆捕获率：白天车辆捕获率≥98%、夜间车辆捕获率≥98%。号牌识别准确率：白天车辆号牌识别准确率≥98%，夜间车辆号牌识别准确率≥98%。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车辆子品牌识别并可在OSD上叠加显示相应的子品牌及年款，通过车头可识别≥7600种车辆子品牌，车尾≥3900种车辆子品牌支持识别并显示不低于51种车辆类型。支持识别车标类型≥460种。在天气晴朗无雾，车辆无遮挡，白天环境光照度不低于200lx，夜晚辅助光照度不高于30lx的情况下进行测试：白天车标识别准确率≥99%；夜晚车标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6、接入标准支持ONVIF；CGI；GB/T28181；GA/T1400；GB35114-A。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设备支持设置图片3D降噪功能，包括图片空域3D降噪及图片时域3D降噪，降噪等级0~100可分别设置，可通过菜单启用或关闭。支持大型货车闯红灯抓拍功能，包括拖车、挂车、罐车、平板货车、集装箱牵引卡车等货车类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支持禁货、禁拖拉机、禁农用车、禁大客车、禁拖/挂车通行等违章抓拍。支持压线、违法变道、不按导向行驶、机占非、通行在尾号限行区域、不按规定车道行驶、占用公交车道、逆行、非占机、违章掉头、黄网格违停、占用应急车道、外地车通行在限行区域、斑马线不礼让行人等违法行车行为检测抓拍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网络接口支持≥2个独立MAC、物理隔离的RJ-45以太网口，支持10/100/1000M网络数据传输；存储接口≥1个，最大支持256GTF卡本地存储；I/O接口≥4个，用于I/O触发抓拍信号输入。光圈控制接口≥1个，P-IRIS自动光圈；变焦控制接口≥1个，可接电动变焦镜头；频率源同步接口≥1个，支持相机与市电同步；外置灯接口≥7个，光耦开关量信号输出；RS-485接口≥2个；RS-232接口≥4个。</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10、供电方式：AC100V~AC240V（50HZ/60HZ）；功耗：≤21W。工作温度：-40℃~+65℃；防护等级≥IP66；具有网络防雷和防浪涌功能。</w:t>
            </w:r>
            <w:r>
              <w:rPr>
                <w:rFonts w:hint="eastAsia" w:ascii="宋体" w:hAnsi="宋体" w:eastAsia="宋体" w:cs="宋体"/>
                <w:i w:val="0"/>
                <w:iCs w:val="0"/>
                <w:color w:val="000000"/>
                <w:sz w:val="18"/>
                <w:szCs w:val="18"/>
                <w:highlight w:val="none"/>
                <w:u w:val="none"/>
                <w:lang w:val="en-US" w:eastAsia="zh-CN" w:bidi="ar"/>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157</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r>
            <w:r/>
          </w:p>
        </w:tc>
      </w:tr>
      <w:tr>
        <w:trPr>
          <w:trHeight w:val="289"/>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900万高清环保人脸卡口抓拍单元</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900万高清环保人脸卡口抓拍单元；包含高清一体化嵌入式摄像机、高清镜头、室外防护罩、电源适配器、安装万向节等。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val="0"/>
                <w:bCs w:val="0"/>
                <w:i w:val="0"/>
                <w:iCs w:val="0"/>
                <w:color w:val="000000"/>
                <w:sz w:val="18"/>
                <w:szCs w:val="18"/>
                <w:highlight w:val="none"/>
                <w:u w:val="none"/>
                <w:lang w:val="en-US" w:eastAsia="zh-CN" w:bidi="ar"/>
              </w:rPr>
              <w:t xml:space="preserve">1、采用不低于1.1英寸GS-CMOS传感器；图像分辨率未叠加字符分辨率≥4096×2160，叠加字符信息抓图</w:t>
            </w:r>
            <w:r>
              <w:rPr>
                <w:rFonts w:hint="eastAsia" w:ascii="宋体" w:hAnsi="宋体" w:cs="宋体"/>
                <w:b w:val="0"/>
                <w:bCs w:val="0"/>
                <w:i w:val="0"/>
                <w:iCs w:val="0"/>
                <w:color w:val="000000"/>
                <w:sz w:val="18"/>
                <w:szCs w:val="18"/>
                <w:highlight w:val="none"/>
                <w:u w:val="none"/>
                <w:lang w:val="en-US" w:eastAsia="zh-CN" w:bidi="ar"/>
              </w:rPr>
              <w:t xml:space="preserve">分辨率</w:t>
            </w:r>
            <w:r>
              <w:rPr>
                <w:rFonts w:hint="eastAsia" w:ascii="宋体" w:hAnsi="宋体" w:eastAsia="宋体" w:cs="宋体"/>
                <w:b w:val="0"/>
                <w:bCs w:val="0"/>
                <w:i w:val="0"/>
                <w:iCs w:val="0"/>
                <w:color w:val="000000"/>
                <w:sz w:val="18"/>
                <w:szCs w:val="18"/>
                <w:highlight w:val="none"/>
                <w:u w:val="none"/>
                <w:lang w:val="en-US" w:eastAsia="zh-CN" w:bidi="ar"/>
              </w:rPr>
              <w:t xml:space="preserve">≥4096×4328。支持通过相机控制台进入图像调节工具，并对图像和视频设置逆光亮度补偿及顺光亮度补偿。支持场景划线示意，可以通过图像及文字形式辅助相机场景规则线的配置。支持礼让行人及行人闯红灯模式下的自动划线。</w:t>
            </w:r>
            <w:r>
              <w:rPr>
                <w:rFonts w:hint="eastAsia" w:ascii="宋体" w:hAnsi="宋体" w:eastAsia="宋体" w:cs="宋体"/>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t xml:space="preserve">快门方式：支持单快门、全息双快门、三快门；电子快门：支持1/50s~1/100000s（可手动或自动调节）；曝光模式：支持全自动/自定义区间/自定义。光圈控制：支持手动光圈、固定光圈、P-IRIS自动光圈。</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3、视频压缩标准：H.265;H.264B;H.264M;H.264H;MJPEG；图片编码格式：JPEG。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4、支持车辆子品牌识别功能，在目标清晰可辨的条件下进行测试，白天车辆子品牌识别准确率≥99%；晚上车辆子品牌识别准确率≥99%。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5、车辆捕获率：白天车辆捕获率≥98%、夜间车辆捕获率≥98%。号牌识别准确率：白天车辆号牌识别准确率≥98%，夜间车辆号牌识别准确率≥98%。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val="0"/>
                <w:bCs w:val="0"/>
                <w:i w:val="0"/>
                <w:iCs w:val="0"/>
                <w:color w:val="000000"/>
                <w:sz w:val="18"/>
                <w:szCs w:val="18"/>
                <w:highlight w:val="none"/>
                <w:u w:val="none"/>
                <w:lang w:val="en-US" w:eastAsia="zh-CN" w:bidi="ar"/>
              </w:rPr>
              <w:t xml:space="preserve">6、支持识别危化品车辆及其危险性识别号，可通过OSD将识别结果叠加在抓拍图片上，并可将数据上传至平台。支持占用公交车道违章抓拍，可设置抓拍车辆类型(包括无牌机动车、摩托车等)，且支持过滤出租车。支持按通过置信度及车型配置过滤主/副驾驶不系安全带行为抓拍，其中车型包括大货车、中货车、客车、中客车和公交车，置信度1~100可设置。支持主副驾人脸抠图，且副驾驶抠图支持多人，车窗小图可叠加在抓拍原图上。</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left="0"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支持在抓拍的基础上，抓拍输出车牌局部照片、车窗局部照片、非机动车局部照片、主副驾驶人脸照片，场景全景照片；配合补光灯，可穿透被车窗遮光条遮挡的驾驶员头部画面，并同时对驾驶员人脸进行抠图。可分别对齐刘海遮挡眉毛、头发遮挡眼睛、斜刘海遮住一侧眼睛、戴普通眼镜、戴墨镜、戴彩色眼镜、戴帽子、戴头戴式耳机、戴口罩、侧向、半边脸的人脸进行检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8、接入标准支持ONVIF；CGI；GB/T28181；GA/T1400；GB35114-A。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支持车辆子品牌识别并可在OSD上叠加显示相应的子品牌及年款，通过车头可识别≥7600种车辆子品牌，车尾≥3900种车辆子品牌支持识别并显示不低于51种车辆类型。设备支持设置图片3D降噪功能，包括图片空域3D降噪及图片时域3D降噪，降噪等级0~100可分别设置，可通过菜单启用或关闭。支持非机动车越停止线停车、非机动车进入机动车车道、非机动车不带头盔、三轮车载人、逆行、超速等违法行为识别，同时联动音柱进行即时喊话提醒。</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支持分别对9种以上车型(含大货车、中货车、小货车、客车、小轿车、中客车、危险品运输车、校车、其他车型等)进行不同超速比设置，可设置≥16个超速比区间。在相同道路上，设备支持根据不同的超速比设置对不同车型进行超速抓拍，并输出不同的超速抓拍结果及违法代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网络接口支持≥2个独立MAC、物理隔离的RJ-45以太网口，支持10/100/1000M网络数据传输；存储接口≥1个，最大支持256GTF卡本地存储；I/O接口≥4个，用于I/O触发抓拍信号输入。光圈控制接口≥1个，P-IRIS自动光圈；变焦控制接口≥1个，可接电动变焦镜头；频率源同步接口≥1个，支持相机与市电同步；外置灯接口≥7个，光耦开关量信号输出；RS-485接口≥2个；RS-232接口≥4个。</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12、供电方式：AC100V~AC240V（50HZ/60HZ）；功耗：≤15W。工作温度：-40℃~+65℃；防护等级≥IP66；具有网络防雷和防浪涌功能。</w:t>
            </w:r>
            <w:r>
              <w:rPr>
                <w:rFonts w:hint="eastAsia" w:ascii="宋体" w:hAnsi="宋体" w:eastAsia="宋体" w:cs="宋体"/>
                <w:i w:val="0"/>
                <w:iCs w:val="0"/>
                <w:color w:val="000000"/>
                <w:sz w:val="18"/>
                <w:szCs w:val="18"/>
                <w:highlight w:val="none"/>
                <w:u w:val="none"/>
                <w:lang w:val="en-US" w:eastAsia="zh-CN" w:bidi="ar"/>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一体式环保补光灯</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1、集成高亮度LED光源、氙气灯管光源于一体，可实现LED频闪、LED爆闪、白光氙气爆闪及红外氙气爆闪功能。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2、支持红外/白光闪光，可自动切换红外和白光模式；支持LED频闪同步相机视频补光；支持LED爆闪或氙气爆闪同步相机抓拍补光；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3、可见光波长范围：350nm～780nm；氙气色温支持≥5800K±200K，LED色温支持≥3500K；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4、中心光照度：LED支持≤5lx（20m平均光照度）、≤20lx（20m有效光照度）、≤80lx（20m频爆光照度）；氙气≤4000lx；</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5、光斑覆盖范围支持1车道；补光距离范围：16m~26m；回电时间＜70ms；闪光持续时间范围：180μs～500μs；支持统计爆闪次数和触发次数；闪光灯寿命≥1000万次；频率：100Hz。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6、支持滤光片未启用情况下，遮挡面积占爆闪灯总面积≤5%。眩光阈值增量(TI)值TI≤2%。氙气灯爆闪持续时间不高于250μs，LED爆闪持续时间不高于1ms。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7、支持在摄像机WEB上远程显示补光灯故障、正常状态；支持抓拍同步补光功能；支持视频同步补光功能。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8、供电方式AC220V±10％；功耗：＜65J/次；防护等级≥IP66。</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1400万环保高清抓拍单元</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1400万环保高清抓拍单元；包含高清一体化嵌入式摄像机、高清镜头、室外防护罩、电源适配器、内置补光灯、安装万向节等。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▲1、采用不低于1.17英寸传感器；支持视频分辨率≥4480×3072，抓图</w:t>
            </w:r>
            <w:r>
              <w:rPr>
                <w:rFonts w:hint="eastAsia" w:ascii="宋体" w:hAnsi="宋体" w:cs="宋体"/>
                <w:b/>
                <w:bCs/>
                <w:i w:val="0"/>
                <w:iCs w:val="0"/>
                <w:color w:val="000000"/>
                <w:sz w:val="18"/>
                <w:szCs w:val="18"/>
                <w:highlight w:val="none"/>
                <w:u w:val="none"/>
                <w:lang w:val="en-US" w:eastAsia="zh-CN" w:bidi="ar"/>
              </w:rPr>
              <w:t xml:space="preserve">分辨率</w:t>
            </w:r>
            <w:r>
              <w:rPr>
                <w:rFonts w:hint="eastAsia" w:ascii="宋体" w:hAnsi="宋体" w:eastAsia="宋体" w:cs="宋体"/>
                <w:b/>
                <w:bCs/>
                <w:i w:val="0"/>
                <w:iCs w:val="0"/>
                <w:color w:val="000000"/>
                <w:sz w:val="18"/>
                <w:szCs w:val="18"/>
                <w:highlight w:val="none"/>
                <w:u w:val="none"/>
                <w:lang w:val="en-US" w:eastAsia="zh-CN" w:bidi="ar"/>
              </w:rPr>
              <w:t xml:space="preserve">≥4480×3072。【投标文件中提供国家认可的认证机构出具的带有CMA标志检测报告复印件并加盖投标人公章】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支持通过相机控制台进入图像调节工具，并对图像和视频设置逆光亮度补偿及顺光亮度补偿。支持场景划线示意，可以通过图像及文字形式辅助相机场景规则线的配置。支持礼让行人及行人闯红灯模式下的自动划线。【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t xml:space="preserve">快门方式：支持单快门、全息双快门、三快门；电子快门：支持1/50s~1/100000s（可手动或自动调节）；曝光模式：支持全自动/自定义区间/自定义。光圈控制：支持手动光圈、固定光圈、P-IRIS自动光圈。视频压缩标准：H.265;H.264B;H.264M;H.264H;MJPEG；图片编码格式：JPE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t xml:space="preserve">、支持对摩托车闯红灯、不按导向行驶、闯禁令、不戴头盔、逆行、载人等违法行为进行抓拍。支持大型货车闯红灯抓拍功能，包括拖车、挂车、罐车、平板货车、集装箱牵引车、渣土车、吸污车等货车类型。支持AI车牌增强功能，包括：蓝牌、黄牌、白牌、黑牌、绿牌、渐变绿、黄绿双拼牌，开启后可防止车牌过曝。</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
              </w:rPr>
              <w:t xml:space="preserve">、支持车辆子品牌识别功能，在目标清晰可辨的条件下进行测试，白天车辆子品牌识别准确率≥99%；晚上车辆子品牌识别准确率≥99%。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lang w:val="en-US" w:eastAsia="zh-CN" w:bidi="ar"/>
              </w:rPr>
              <w:t xml:space="preserve">、车辆捕获率：白天车辆捕获率≥98%、夜间车辆捕获率≥98%。号牌识别准确率：白天车辆号牌识别准确率≥98%，夜间车辆号牌识别准确率≥98%。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7、支持场景划线示意，可以通过图像及文字形式辅助相机场景规则线的配置。支持礼让行人及行人闯红灯模式下的自动划线。相机违章合成图支持插入自定义静态图，包括逆行、超速、禁行、禁摩、占道类违法等图片。【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8、支持信号灯增强，包括单个信号灯增强以及信号灯区域增强。支持识别危化品车辆及其危险性识别号，可通过OSD将识别结果叠加在抓拍图片上，并可将数据上传至平台。支持占用公交车道违章抓拍，可设置抓拍车辆类型(包括无牌机动车、摩托车等)，且支持过滤出租车。【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lang w:val="en-US" w:eastAsia="zh-CN" w:bidi="ar"/>
              </w:rPr>
              <w:t xml:space="preserve">、支持识别车标类型≥460种。在天气晴朗无雾，车辆无遮挡，白天环境光照度不低于200lx，夜晚辅助光照度不高于30lx的情况下进行测试：白天车标识别准确率≥99%；夜晚车标识别准确率≥99%。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
              </w:rPr>
              <w:t xml:space="preserve">、接入标准支持ONVIF；CGI；GB/T28181；GA/T1400；GB35114-A。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lang w:val="en-US" w:eastAsia="zh-CN" w:bidi="ar"/>
              </w:rPr>
              <w:t xml:space="preserve">、设备支持设置图片3D降噪功能，包括图片空域3D降噪及图片时域3D降噪，降噪等级0~100可分别设置，可通过菜单启用或关闭。支持大型货车闯红灯抓拍功能，包括拖车、挂车、罐车、平板货车、集装箱牵引卡车等货车类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t xml:space="preserve">、支持禁货、禁拖拉机、禁农用车、禁大客车、禁拖/挂车通行等违章抓拍。支持压线、违法变道、不按导向行驶、机占非、通行在尾号限行区域、不按规定车道行驶、占用公交车道、逆行、非占机、违章掉头、黄网格违停、占用应急车道、外地车通行在限行区域、斑马线不礼让行人等违法行车行为检测抓拍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t xml:space="preserve">、网络接口支持≥2个独立MAC、物理隔离的RJ-45以太网口，支持10/100/1000M网络数据传输；存储接口≥1个，最大支持256GTF卡本地存储；I/O接口≥4个，用于I/O触发抓拍信号输入。光圈控制接口≥1个，P-IRIS自动光圈；变焦控制接口≥1个，可接电动变焦镜头；频率源同步接口≥1个，支持相机与市电同步；外置灯接口≥7个，光耦开关量信号输出；RS-485接口≥2个；RS-232接口≥4个。</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t xml:space="preserve">、供电方式：AC100V~AC240V（50HZ）；功耗：≤32W。工作温度：-40℃~+65℃；防护等级≥IP66；具有网络防雷和防浪涌功能。</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0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1600万环保高清电子警察抓拍单元</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1600万环保高清电子警察抓拍单元；包含高清一体化嵌入式摄像机、高清镜头、室外防护罩、电源适配器、内置补光灯、安装万向节等。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▲1、传感器类型：不低于1.1英寸背照式工艺传感器；抓图分辨率不低于5328×3040(不含OSD)；视频分辨率可设置为53</w:t>
            </w:r>
            <w:r>
              <w:rPr>
                <w:rFonts w:hint="eastAsia" w:ascii="宋体" w:hAnsi="宋体" w:eastAsia="宋体" w:cs="宋体"/>
                <w:b/>
                <w:bCs/>
                <w:i w:val="0"/>
                <w:iCs w:val="0"/>
                <w:color w:val="000000"/>
                <w:sz w:val="18"/>
                <w:szCs w:val="18"/>
                <w:highlight w:val="none"/>
                <w:u w:val="none"/>
                <w:lang w:val="en-US" w:eastAsia="zh-CN" w:bidi="ar"/>
              </w:rPr>
              <w:t xml:space="preserve">28×3040、4096×2160、UXGA(1600×1200)、1080P(1920×1080)、720P(1280×720)。支持≥5个车道机动车违法监测抓拍。支持35块感兴趣区域(ROI)增强编码设置功能，ROI区域压缩比0~100可设置。支持大场景五车道闯红灯抓拍，闯红灯抓拍第一/二张图车牌清晰可见，其中第一张图车辆在停止线前，第二张图车辆越过停止线，第三张图车辆较第二张有明显位移，第二张图车牌像素可达≥100。【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车长≤16米的大货车违法行为抓拍，支持不礼让横向行人、右转弯压线、右转不停再起步违法抓拍。具有倾斜护罩去除鬼影效果。支持暗光引擎功能，开启后可增加视频画面感光度。支持分别对≥12种车型(大货车、中货车、小货车、客车、小轿车、中客车、危险品运输车、校车、面包车、环卫车、工程车、其他车型)进行不同超速比设置，可设置≥12个超速比区间。在相同道路上，设备支持根据不同的超速比设置对不同车型进行超速抓拍，并输出不同的超速抓拍结果及违法代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3、快门方式：支持单快门、双快门、三快门；电子快门：支持1/25s～1/100000s（可手动或自动调节）；曝光模式：支持全自动/自定义区间/自定义。光圈控制：支持手动光圈、固定光圈、P-IRIS自动光圈。</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视频和图片具备水印和校验功能；车辆捕获率：白天车辆捕获率≥95%、夜间车辆捕获率≥95%。号牌识别准确率：白天车辆号牌识别准确率≥95%，夜间车辆号牌识别准确率≥95%。支持识别车标类型≥460种。在天气晴朗无雾，车辆无遮挡，白天环境光照度不低于200lx，夜晚辅助光照度不高于30lx的情况下进行测试：白天车标识别准确率≥99%；夜晚车标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5、视频压缩标准：H.265;H.264B;H.264M;H.264H;MJPEG；图片编码格式：JPEG。宽动态≥64 dB；支持ICR自动切换，白天使用带有偏振镜片的红外截止滤光片，夜晚自动切换为常规滤光片。支持强光抑制；图片合成：支持1、2、3、4张图片合成；触发方式：视频触发/雷达触发/线圈触发。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压线、违法变道、不按导向行驶、机占非、通行在尾号限行区域、不按规定车道行驶、占用公交车道、逆行、非占机、违章掉头、黄网格违停、占用应急车道、外地车通行在限行区域、斑马线不礼让行人等违法行车行为检测抓拍功能。白天违法行车行为捕获率≥98%，准确率≥98%；夜间违法行车行为准确率≥98%，准确率≥98%。</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7、支持AI车牌增强功能，包括：蓝牌、黄牌、白牌、黑牌、绿牌、渐变绿、黄绿双拼牌，开启后可防止车牌过曝。设备支持搭配电警相机、杆下补盲鱼眼相机实现小车、大货车管控的闯红灯、违法变道等违法行为取证；支持输出卡口和电警的抓拍合成图，可配置输出八合一合成鱼眼图，同时鱼眼可辅助变道判断；合成图中车头车尾关联准确率≥99%。【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highlight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8、支持对信号灯不亮进行检测，检测到该异常后可进行报警。支持对信号灯整个灯组都亮度不足进行检测，检测到该异常后可进行报警。支持升级程序的版本号信息，支持在降版本升级时弹出降版本提示。支持特殊车牌固定字符匹配等级设置，包括模糊匹配、中等匹配、精准匹配和不启用。支持通过485接口连接补光灯，并在相机界面反馈补光灯型号信息、端口信息、版本信息。【投标文件中提供国家认可的认证机构出具的带有CMA标志检测报告复印件并加盖投标人公章】</w:t>
            </w:r>
            <w:r>
              <w:rPr>
                <w:rFonts w:hint="eastAsia"/>
                <w:highlight w:val="none"/>
                <w:lang w:val="en-US" w:eastAsia="zh-CN"/>
              </w:rPr>
            </w:r>
            <w:r/>
          </w:p>
          <w:p>
            <w:pPr>
              <w:pStyle w:val="1048"/>
              <w:numPr>
                <w:ilvl w:val="0"/>
                <w:numId w:val="0"/>
              </w:numPr>
              <w:ind w:left="0"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lang w:val="en-US" w:eastAsia="zh-CN" w:bidi="ar"/>
              </w:rPr>
              <w:t xml:space="preserve">、接入标准支持ONVIF；CGI；GB/T 28181；GA/T 1400；GB 35114-A。网络接口支持≥2个RJ-45以太网口，支持10/100/1000M网络数据传输；存储接口≥1个，最大支持256G TF卡本地存储；I/O接口≥4个，用于I/O触发抓拍信号输入。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
              </w:rPr>
              <w:t xml:space="preserve">、供电方式：AC100V~AC240V（50HZ/60HZ）；功耗：≤32W。</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65</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42"/>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交通灯信号检测器</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1、支持接入≥20路红/绿灯信号，进行输入通断检测，并通过100M网口将信号状态实时传输给网络摄像机。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2、支持通过配置工具设置20路相机参数和检测参数，每个检测通道最多支持关联5个相机IP；支持通过配置工具设置红灯检测模式/绿灯检测模式。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3、支持通过配置工具查询设备的操作日志、校时日志、ping成功/失败日志、红/绿灯输入信号异常及异常恢复等日志，用于查询设备的操作记录及异常情况。</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4、支持通过配置工具设置NTP校时/同步PC时间；支持通过配置工具设置红绿灯信号输入异常判断时长，设置范围[1,300]秒。</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5、信号输入≥20路，AC220V红/绿灯信号；网络接口≥1个RJ-45以太网口。</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6、供电方式DC12V；功耗&lt;3W；工作温度-40℃～+65℃。</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652"/>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主控制器</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1、支持视频接入和卡口合成两种工作模式切换，视频接入模式支持≥16路高清视频及图片输入，无图片合成功能，卡口合成模式支持≥12路高清视频及图片输入，同时支持图片合成。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1/2/3/4/5/6张图片普通合成和关联合成，支持两通道、三通道、多通道关联匹配并将图片合成或编组，支持ID匹配、车牌匹配、先ID后车牌匹配方式，支持以车型、车道、车牌颜色、车身颜色进行模糊匹配，支持多匹配方案独立设置，合成形状、顺序和特写图片序号可自定义设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3、支持路口管理统计，可对路口的设备状态、卡口、流量、违法、事件进行分类管理和统计，并通过折线图或柱状图展示，支持日报表和周报表。支持按时间、通道查询车流量功能，支持CSV格式导出查询结果。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val="0"/>
                <w:bCs w:val="0"/>
                <w:i w:val="0"/>
                <w:iCs w:val="0"/>
                <w:color w:val="000000"/>
                <w:sz w:val="18"/>
                <w:szCs w:val="18"/>
                <w:highlight w:val="none"/>
                <w:u w:val="none"/>
                <w:lang w:val="en-US" w:eastAsia="zh-CN" w:bidi="ar"/>
              </w:rPr>
              <w:t xml:space="preserve">4、故障检测查询功能支持信号灯黄闪、信号灯遮挡、信号灯亮度不足、信号灯同亮、信号灯单色灯常亮、信号灯不亮六类故障检测图片存储。支持录</w:t>
            </w:r>
            <w:r>
              <w:rPr>
                <w:rFonts w:hint="eastAsia" w:ascii="宋体" w:hAnsi="宋体" w:eastAsia="宋体" w:cs="宋体"/>
                <w:b w:val="0"/>
                <w:bCs w:val="0"/>
                <w:i w:val="0"/>
                <w:iCs w:val="0"/>
                <w:color w:val="000000"/>
                <w:sz w:val="18"/>
                <w:szCs w:val="18"/>
                <w:highlight w:val="none"/>
                <w:u w:val="none"/>
                <w:lang w:val="en-US" w:eastAsia="zh-CN" w:bidi="ar"/>
              </w:rPr>
              <w:t xml:space="preserve">像回放时叠加智能帧及检测框信息。支持以不同的方式接入球机，并在不同方式下可预览图片和视频。支持按时间、通道、违法类型、车牌、车速、车道、对象类型、车牌颜色、车身颜色、主/副驾驶安全带状态、主/副驾驶遮阳板状态查询图片功能，支持csv或excel格式导出查询结果。支持手动上传图片至平台和FTP服务器，可自定义设置通道、时间、图片类型。支持≥3个FTP同时传输，原始图片、合成图片、车身图片、车牌图片、关联录像、主驾驶图片、副驾驶图片、行人人脸图片、非机动车人脸图片上传类型可选，FTP连接模式长连接或短连接可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关联合成不同形状的合成图，合成图时间与特写图序号可分别配置。支持关联合成高级配置，支持大车关联合成、小车关联合成的合成方式，支持无牌大货车关联合成。关联合成功能支持非机动车闯红灯、非机动车逆行、非机动车占道、非机动车未带安全头盔等关联合成，特写图可替换成其他抠图。</w:t>
            </w:r>
            <w:r>
              <w:rPr>
                <w:rFonts w:hint="eastAsia" w:ascii="宋体" w:hAnsi="宋体" w:eastAsia="宋体" w:cs="宋体"/>
                <w:b/>
                <w:bCs/>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支持按时间或文件下载图片及关联录像，关联录像时长可自定义设置1-100秒，支持将图片附带的特写图、车牌图片、主驾驶图片、副驾驶图片、非机动车人脸、行人人脸抠图分离并下载，图片及关联录像下载命名格式，可分卡口和违法自定义设置。支持硬盘图片和录像配额比例设置，支持盘满循环覆盖；支持断网续传、自动注册、黑白名单导入导出、数据防删改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7、支持内置≥1块2T硬盘，最大支持4个SATA接口3.5"硬盘。具有≥16个10M/100M/1000M以太网接口、≥3个RS-232接口、≥4个RS-485接口、≥4个USB接口、报警输入≥4路和报警输出≥4路（光耦输出）。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8、供电方式：DC12V；功耗：＜40W；工作温度：–30℃～+65℃。</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63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4电1光全千兆工业级网管型交换机</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1、支持≥4个 10/100/1000Base-X 电口，≥1个 1000Base-X SFP光口，含1对千兆光模块传输距离不低于20km。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2、交换容量 52G，全线速转发，MAC 地址 8K。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▲3、考虑监控视频的特性，巨帧传输长度不小于 12000bytes,平均丢包率为 0 。接触放电±8kV,空气放电±15kV，符合GB/T 17626.2-2018《电磁兼容试验与测量技术静电放电抗扰度试验》并通过国家安全防范报警系统产品质量检测。【投标文件中提供国家认可的认证机构出具的带有CMA标志检测报告复印件并加盖投标人公章】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left="0"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4、支持环网冗余技术，自愈时间≤50ms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▲5、支持AC24V±30%供电，工作温度-40-85℃，1270nm≤中心波长≤1355nm，1530nm≤中心波长≤1565nm。【投标文件中提供国家认可的认证机构出具的带有CMA标志检测报告复印件并加盖投标人公章】</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6、卡轨式波纹型材机壳，IP40 防护等级，双电源冗余输入，5.08mm 工业端子电源接口。</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296</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91"/>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8电4光全千兆工业级网管型交换机</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1、支持≥8个100Base-X电口，≥4个100Base-X SFP光口，含4对千兆光模块传输距离不低于20km。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▲2、支持设备准入，支持未认证新设备接入告警与阻断，支持电源告警，端口回环告警，IP/MAC冲突告警。符合GB/T 30094-2013工业以太网交换机技术规范并通过国家安全防范报警系统产品质量检测要求。【投标文件中提供国家认可的认证机构出具的带有CMA标志检测报告复印件并加盖投标人公章】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▲3、交换机主芯片采用国产化方案，符合YD/T1141-2022《以太网交换机测试方法》 【投标文件中提供国家认可的认证机构出具的带有CMA标志检测报告复印件并加盖投标人公章】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4、支持-40~85℃温度范围满负载工作，支持双电源冗余输入，支持电源过载防反接保护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108</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1.2mm；可调节层板；有效防水防尘；产品尺寸≥630mm(宽)×510mm(深)×955mm(高)；内部配置≥1个双路220V电源防雷器，电源空开模块（≥1个2P40A、≥8个单P10A），≥1个3芯插座，≥2个风扇（带温控）；防护等级≥IP54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老落地机柜换新</w:t>
            </w:r>
            <w:r>
              <w:rPr>
                <w:rFonts w:hint="eastAsia" w:ascii="宋体" w:hAnsi="宋体" w:eastAsia="宋体" w:cs="宋体"/>
                <w:i w:val="0"/>
                <w:iCs w:val="0"/>
                <w:color w:val="000000"/>
                <w:sz w:val="18"/>
                <w:szCs w:val="18"/>
                <w:highlight w:val="none"/>
                <w:u w:val="none"/>
              </w:rPr>
            </w:r>
            <w:r/>
          </w:p>
        </w:tc>
      </w:tr>
      <w:tr>
        <w:trPr>
          <w:trHeight w:val="552"/>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设备喷特殊绿色</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根据道路色号（RAL 6003)改色</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机箱电源线及敷设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RVV3×1.5mm；含穿引线、扫管、穿线、编号、塑料标签、接线、包头施工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16"/>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室外防水六类；含穿引线、扫管、穿线、编号、塑料标签、接线、包头施工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二</w:t>
            </w:r>
            <w:r>
              <w:rPr>
                <w:rFonts w:hint="eastAsia" w:ascii="宋体" w:hAnsi="宋体" w:eastAsia="宋体" w:cs="宋体"/>
                <w:b/>
                <w:bCs/>
                <w:i w:val="0"/>
                <w:iCs w:val="0"/>
                <w:color w:val="000000"/>
                <w:sz w:val="18"/>
                <w:szCs w:val="18"/>
                <w:highlight w:val="none"/>
                <w:u w:val="none"/>
              </w:rPr>
            </w:r>
            <w:r/>
          </w:p>
        </w:tc>
        <w:tc>
          <w:tcPr>
            <w:gridSpan w:val="8"/>
            <w:tcW w:w="14575"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信号灯升级及更新</w:t>
            </w:r>
            <w:r>
              <w:rPr>
                <w:rFonts w:hint="eastAsia" w:ascii="宋体" w:hAnsi="宋体" w:eastAsia="宋体" w:cs="宋体"/>
                <w:b/>
                <w:bCs/>
                <w:i w:val="0"/>
                <w:iCs w:val="0"/>
                <w:color w:val="000000"/>
                <w:sz w:val="18"/>
                <w:szCs w:val="18"/>
                <w:highlight w:val="none"/>
                <w:u w:val="none"/>
                <w:lang w:val="en-US" w:eastAsia="zh-CN" w:bidi="ar"/>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信号灯控制主机</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1、标配可接入至少48路独立信号灯，最大可扩展至120路；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2、信号机可检测信号灯的电流及电压，在检测到发生故障时，可进行报警提示；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3、可同时接入视频检测器、地磁检测器、RFID检测器、雷达检测器等多种车辆检测器的配套硬件；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4、支持绿信号冲突监控功能；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5、支持红绿冲突监控功能；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6、支持红灯故障监控功能；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7、最大时基调度表数量：≥40；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8、最大时段表数量：≥16；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9、时段表包含最大时段数：≥48；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10、最大相位表数：≥16；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11、每张相位表中最大相位数：≥16；</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12、供电电源：支持220VAC±30%电源电压输入；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13、设备消耗功率：＜100W；</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14、最大允许总负荷（灯负载）：3.3KW；</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15、防雷、防浪涌设计；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16、每路灯输出驱动：≥1000W；</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17、工作环境温度：－30～70℃；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18、相对工作湿度：20-95%。</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信号灯远程控制平台升级</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numPr>
                <w:ilvl w:val="0"/>
                <w:numId w:val="9"/>
              </w:numPr>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产品架构兼容开放：系统通信协议全面采用国内信号控制相关行业标准，通信协议的标准化使得产品更加开放；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2、信号监控“身临其境”：信号监控功能，能让交管在指挥中心查看并控制信号机的运行。可以查看信号机状态，放行相位，以及是否有故障等；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3、参数配置“深入浅出”：根据实际使用情况调整参数配置流程，突出在日常工作中的常用功能。并更多采用图形化方式，让用户“所见即所得”，让信号参数配置成为简单的工作；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4、快速通道“平战结合”：使用“快速警卫路线”。在地图上轻松配置，并且采用信号步进的方式，将快速放行与当前信号放行方案结合在一起。最大程度减少对日常通勤的干扰；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5、绿波配置“轻松快捷”：系统汇集绿波配置的理论与实践，将原本复杂难懂的绿波配置变得简单直观。在极短的时间内即可配置出专业的绿波道路，使工作效率大大提高。</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6"/>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三</w:t>
            </w:r>
            <w:r>
              <w:rPr>
                <w:rFonts w:hint="eastAsia" w:ascii="宋体" w:hAnsi="宋体" w:eastAsia="宋体" w:cs="宋体"/>
                <w:i w:val="0"/>
                <w:iCs w:val="0"/>
                <w:color w:val="000000"/>
                <w:sz w:val="18"/>
                <w:szCs w:val="18"/>
                <w:highlight w:val="none"/>
                <w:u w:val="none"/>
                <w:lang w:val="en-US" w:eastAsia="zh-CN" w:bidi="ar"/>
              </w:rPr>
            </w:r>
            <w:r/>
          </w:p>
        </w:tc>
        <w:tc>
          <w:tcPr>
            <w:gridSpan w:val="8"/>
            <w:tcW w:w="14575"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lang w:val="en-US" w:eastAsia="zh-CN" w:bidi="ar"/>
              </w:rPr>
            </w:pPr>
            <w:r>
              <w:rPr>
                <w:rFonts w:hint="eastAsia" w:ascii="宋体" w:hAnsi="宋体" w:eastAsia="宋体" w:cs="宋体"/>
                <w:b/>
                <w:bCs/>
                <w:i w:val="0"/>
                <w:iCs w:val="0"/>
                <w:color w:val="000000"/>
                <w:sz w:val="18"/>
                <w:szCs w:val="18"/>
                <w:highlight w:val="none"/>
                <w:u w:val="none"/>
                <w:lang w:val="en-US" w:eastAsia="zh-CN" w:bidi="ar"/>
              </w:rPr>
              <w:t xml:space="preserve">礼让行人</w:t>
            </w:r>
            <w:r>
              <w:rPr>
                <w:rFonts w:hint="eastAsia" w:ascii="宋体" w:hAnsi="宋体" w:eastAsia="宋体" w:cs="宋体"/>
                <w:b/>
                <w:bCs/>
                <w:i w:val="0"/>
                <w:iCs w:val="0"/>
                <w:color w:val="000000"/>
                <w:sz w:val="18"/>
                <w:szCs w:val="18"/>
                <w:highlight w:val="none"/>
                <w:u w:val="none"/>
                <w:lang w:val="en-US" w:eastAsia="zh-CN" w:bidi="ar"/>
              </w:rPr>
            </w:r>
            <w:r/>
          </w:p>
        </w:tc>
      </w:tr>
      <w:tr>
        <w:trPr>
          <w:trHeight w:val="472"/>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高清抓拍单元</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1、900万环保高清电子警察抓拍单元由摄像机、高清镜头、室外防护罩、风扇、补光灯、电源适配器、安装万向节等组成。</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2、内置摄像机采用1英寸高帧率全局曝光CMOS传感器，分辨率≥4096 × 2160。</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3、机动车违法检测抓拍功能检查 ：支持按车道和时间段配置机动车违法检测抓拍规则，包括压线、违法变道、不按导向行驶、占用非机动车道、倒车、闯红灯、不按规定车道行驶、占用公交车道、逆行、违反禁止左/右转、违法掉头、违反禁货车通行。 </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闯红灯捕获率试验：在天气晴朗无雾，号牌无遮挡，无污损的条件进行测试，白天测试时的环境光照度不低于200lx，晚上测试时辅助照明光照度不高于30lx。</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白天闯红灯捕获率≥99%;</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晚上闯红灯捕获率≥99%;</w:t>
            </w:r>
            <w:r>
              <w:rPr>
                <w:rFonts w:hint="eastAsia" w:ascii="宋体" w:hAnsi="宋体" w:eastAsia="宋体" w:cs="宋体"/>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▲4、车身颜色识别功能检查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支持识别车身副颜色。【投标文件中提供国家认可的认证机构出具的带有CMA标志检测报告复印件并加盖投标人公章】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▲5、车牌识别功能检查 ：支持对25×10 像素～1100×3000 像素的机动车车牌进行抓拍并识别号码； 支持抓拍并识别垂直倾斜角度≤45°、水平倾斜角度≤35°、俯仰角度≤40°的机动车车牌号码。【投标文件中提供国家认可的认证机构出具的带有CMA标志检测报告复印件并加盖投标人公章】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6、闯禁行功能检查：支持闯禁行记录功能，可对5种普通车型(包括大货车、中货车、小货车、皮卡车、大客车)及9种特种车型(包括危化品车辆、普通罐车、渣土车、混凝土搅拌车、工程车、粉粒物料运输车、吸污车、环卫车、冷链车)进行检测、抓拍记录、识别及图片存储。【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7、车辆子品牌识别功能检查：支持车辆子品牌识别，对车头图片进行分析抓拍，可分析输出OSD叠加7200种车辆子品牌并显示相应的年款，对车尾图片进行分析抓拍，可分析输出 OSD 叠加3900 种车辆子品牌并显示相应的年款。</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8、信号灯状态检测功能检查：支持通过视频检测信号灯状态，支持接收信号机广播的信号灯状态，通过对比判断信号灯的整体运行状况，可在视频预览画面上叠加信号机异常的结果指标。</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9、支持逆行和变道违章触发抓拍，逆行识别类型包括:高速公路逆行、单行道逆向行驶;变道违章检测类型包括:实线变道(含双黄线)、导流区变道、连续变道(&gt;3条车道)。</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10、支持图片编码质量配置，车牌小图的图片质量(大/中/小)可配。</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11、支持车牌遮挡检查功能，在检测到车牌被遮挡的情况下可给出提示。</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12、支持对两轮/三轮车分类识别;可识别外卖箱(外卖品牌)的标识。</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792"/>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补光灯</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LED频闪灯</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光源类型：16颗原装大功率LED</w:t>
            </w:r>
            <w:r>
              <w:rPr>
                <w:rFonts w:hint="eastAsia" w:ascii="宋体" w:hAnsi="宋体" w:eastAsia="宋体" w:cs="宋体"/>
                <w:i w:val="0"/>
                <w:iCs w:val="0"/>
                <w:color w:val="000000"/>
                <w:sz w:val="18"/>
                <w:szCs w:val="18"/>
                <w:highlight w:val="none"/>
                <w:u w:val="none"/>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发光角度12°</w:t>
            </w:r>
            <w:r>
              <w:rPr>
                <w:rFonts w:hint="eastAsia" w:ascii="宋体" w:hAnsi="宋体" w:eastAsia="宋体" w:cs="宋体"/>
                <w:i w:val="0"/>
                <w:iCs w:val="0"/>
                <w:color w:val="000000"/>
                <w:sz w:val="18"/>
                <w:szCs w:val="18"/>
                <w:highlight w:val="none"/>
                <w:u w:val="none"/>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补光距离16米～25米</w:t>
            </w:r>
            <w:r>
              <w:rPr>
                <w:rFonts w:hint="eastAsia" w:ascii="宋体" w:hAnsi="宋体" w:eastAsia="宋体" w:cs="宋体"/>
                <w:i w:val="0"/>
                <w:iCs w:val="0"/>
                <w:color w:val="000000"/>
                <w:sz w:val="18"/>
                <w:szCs w:val="18"/>
                <w:highlight w:val="none"/>
                <w:u w:val="none"/>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响应时间小于20us</w:t>
            </w:r>
            <w:r>
              <w:rPr>
                <w:rFonts w:hint="eastAsia" w:ascii="宋体" w:hAnsi="宋体" w:eastAsia="宋体" w:cs="宋体"/>
                <w:i w:val="0"/>
                <w:iCs w:val="0"/>
                <w:color w:val="000000"/>
                <w:sz w:val="18"/>
                <w:szCs w:val="18"/>
                <w:highlight w:val="none"/>
                <w:u w:val="none"/>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触发方式： 高电平有效（可选配开关量触发）</w:t>
            </w:r>
            <w:r>
              <w:rPr>
                <w:rFonts w:hint="eastAsia" w:ascii="宋体" w:hAnsi="宋体" w:eastAsia="宋体" w:cs="宋体"/>
                <w:i w:val="0"/>
                <w:iCs w:val="0"/>
                <w:color w:val="000000"/>
                <w:sz w:val="18"/>
                <w:szCs w:val="18"/>
                <w:highlight w:val="none"/>
                <w:u w:val="none"/>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触发信号：频率1~250HZ，占空比1%~39%</w:t>
            </w:r>
            <w:r>
              <w:rPr>
                <w:rFonts w:hint="eastAsia" w:ascii="宋体" w:hAnsi="宋体" w:eastAsia="宋体" w:cs="宋体"/>
                <w:i w:val="0"/>
                <w:iCs w:val="0"/>
                <w:color w:val="000000"/>
                <w:sz w:val="18"/>
                <w:szCs w:val="18"/>
                <w:highlight w:val="none"/>
                <w:u w:val="none"/>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外壳材质金属铝</w:t>
            </w:r>
            <w:r>
              <w:rPr>
                <w:rFonts w:hint="eastAsia" w:ascii="宋体" w:hAnsi="宋体" w:eastAsia="宋体" w:cs="宋体"/>
                <w:i w:val="0"/>
                <w:iCs w:val="0"/>
                <w:color w:val="000000"/>
                <w:sz w:val="18"/>
                <w:szCs w:val="18"/>
                <w:highlight w:val="none"/>
                <w:u w:val="none"/>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IP66</w:t>
            </w:r>
            <w:r>
              <w:rPr>
                <w:rFonts w:hint="eastAsia" w:ascii="宋体" w:hAnsi="宋体" w:eastAsia="宋体" w:cs="宋体"/>
                <w:i w:val="0"/>
                <w:iCs w:val="0"/>
                <w:color w:val="000000"/>
                <w:sz w:val="18"/>
                <w:szCs w:val="18"/>
                <w:highlight w:val="none"/>
                <w:u w:val="none"/>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工作温度：-40℃~70℃</w:t>
            </w:r>
            <w:r>
              <w:rPr>
                <w:rFonts w:hint="eastAsia" w:ascii="宋体" w:hAnsi="宋体" w:eastAsia="宋体" w:cs="宋体"/>
                <w:i w:val="0"/>
                <w:iCs w:val="0"/>
                <w:color w:val="000000"/>
                <w:sz w:val="18"/>
                <w:szCs w:val="18"/>
                <w:highlight w:val="none"/>
                <w:u w:val="none"/>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工作湿度：湿度5%~95%@40℃，无凝结</w:t>
            </w:r>
            <w:r>
              <w:rPr>
                <w:rFonts w:hint="eastAsia" w:ascii="宋体" w:hAnsi="宋体" w:eastAsia="宋体" w:cs="宋体"/>
                <w:i w:val="0"/>
                <w:iCs w:val="0"/>
                <w:color w:val="000000"/>
                <w:sz w:val="18"/>
                <w:szCs w:val="18"/>
                <w:highlight w:val="none"/>
                <w:u w:val="none"/>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电源：220V±10%</w:t>
            </w:r>
            <w:r>
              <w:rPr>
                <w:rFonts w:hint="eastAsia" w:ascii="宋体" w:hAnsi="宋体" w:eastAsia="宋体" w:cs="宋体"/>
                <w:i w:val="0"/>
                <w:iCs w:val="0"/>
                <w:color w:val="000000"/>
                <w:sz w:val="18"/>
                <w:szCs w:val="18"/>
                <w:highlight w:val="none"/>
                <w:u w:val="none"/>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功耗：35W MAX</w:t>
            </w:r>
            <w:r>
              <w:rPr>
                <w:rFonts w:hint="eastAsia" w:ascii="宋体" w:hAnsi="宋体" w:eastAsia="宋体" w:cs="宋体"/>
                <w:i w:val="0"/>
                <w:iCs w:val="0"/>
                <w:color w:val="000000"/>
                <w:sz w:val="18"/>
                <w:szCs w:val="18"/>
                <w:highlight w:val="none"/>
                <w:u w:val="none"/>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防护等级：IP66</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1094"/>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室外高清一体化双目球机</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传感器类型：【全景】1/1.8＂ 逐行扫描 CMOS,【细节】1/2.8" 逐行扫描 CMOS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最低照度：【全景】彩色：0.0005 Lux @（F1.0，AGC ON），0 Lux with Light；</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【细节】彩色：0.005Lux @ (F1.6，AGC ON)；黑白：0.001Lux @(F1.6，AGC ON) ；0 Lux with IR</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光学变倍：32倍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焦距：【全景】4mm；【细节】5.5-176mm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视场角：【全景】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水平视场角：88.7°</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垂直视场角：44.7°</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对角视场角：107.5°</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【细节】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水平视场角：60.72°~2.2°（广角~望远）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垂直视场角：35.92°~1.3°（广角~望远）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对角视场角：68.42°~2.6° （广角~望远）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补光灯类型：【全景】：白光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【细节】：红外，白光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补光灯距离：【全景】：白光30m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【细节】：红外100m，白光60m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红外波长范围：850 nm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水平范围：【细节】360°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垂直范围：-10°-90°(自动翻转)</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水平速度：水平键控速度：0.1°-240°/s,速度可设;水平预置点速度：240°/s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垂直速度：垂直键控速度：0.1°-200°/s,速度可设;垂直预置点速度：200°/s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主码流帧率分辨率：【全景】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50 Hz：25 fps（2560×1440，1920 × 1080，1280 × 960，1280 × 720）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60 Hz：30 fps（2560×1440，1920 × 1080，1280 × 960，1280 × 720）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【细节】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50 Hz：25 fps（2560×1440，1920 × 1080，1280 × 960，1280 × 720）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60 Hz：30 fps（2560×1440，1920 × 1080，1280 × 960，1280 × 720）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视频压缩标准：主码流：H.264/H.265+/H.265/H.264+ 子码流：H.264/H.265/MJPEG 第三码流：H.264/H.265/MJPEG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宽动态：支持真宽动态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网络接口：RJ45网口,自适应10M/100M网络数据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SD卡扩展：内置Micro SD卡插槽，支持Micro SD/Micro SDHC/Micro SDXC卡（最大支持512GB）</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内置麦克风：支持双mic</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内置扬声器：支持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音频：1路音频输入，音频峰值：2-2.4 V[p-p]，输入阻抗：1 kΩ±10%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1路音频输出，线性电平，阻抗：600 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报警：2路报警输入，1路报警输出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电源输出：DC36V</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电流及功耗：最大功耗：24W（其中除雾加热1.6W，补光灯7W）</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尺寸：241.8 ×216.4 × 333.6 mm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重量：4 KG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工作温湿度：-30℃-65℃；湿度小于90% ,(无凝结)</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除雾：加热玻璃除雾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防护：防暴雨级，符合GB/T 17626.5 认证标准</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球机安装支架及连接件</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依据杆件定制，球机吊装、壁装支架、连接件及其他安装附件</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676"/>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主控制器</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1、内置≥1块4T硬盘，具有18个10M/100M/10</w:t>
            </w:r>
            <w:r>
              <w:rPr>
                <w:rFonts w:hint="eastAsia" w:ascii="宋体" w:hAnsi="宋体" w:eastAsia="宋体" w:cs="宋体"/>
                <w:i w:val="0"/>
                <w:iCs w:val="0"/>
                <w:color w:val="000000"/>
                <w:sz w:val="18"/>
                <w:szCs w:val="18"/>
                <w:highlight w:val="none"/>
                <w:u w:val="none"/>
                <w:lang w:val="en-US" w:eastAsia="zh-CN" w:bidi="ar"/>
              </w:rPr>
              <w:t xml:space="preserve">00M自适应RJ45接口，其中P1～P16与G1处于同一网段、G2处于另一网段；2个1000M SFP光端接口，分别与G1、G2处于同一网段。具有2个RS-232接口、2个RS-485接口、1个USB 3.0接口、2路报警输入接口、2路报警输出接口、1个音频输入接口、1个音频输出接口、4个SATA接口、4个状态指示灯、1个接地端子。支持IP地址过滤、SSH开关自定义、视频水印等安全防护功能，具有ARP防攻击设置选项、具备强密码管理功能；支持WEB回话Session ID、数据传输加密、固件完整性等安全检验。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设备均应具备权限管理、数据加密、运行日志功能，设备应设置操作口令，宜有图像加密，放篡改、防非法复制等措施，以保证原始数据的完整性。重要的图像应加以保护，不被删除和覆盖。设备应有防偶发死机的措施（如硬件看门狗或软件、硬件看门狗或定时自动启动等），死机后的自动恢复时间应满足GB20815中的8.12的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val="0"/>
                <w:bCs w:val="0"/>
                <w:i w:val="0"/>
                <w:iCs w:val="0"/>
                <w:color w:val="000000"/>
                <w:sz w:val="18"/>
                <w:szCs w:val="18"/>
                <w:highlight w:val="none"/>
                <w:u w:val="none"/>
                <w:lang w:val="en-US" w:eastAsia="zh-CN" w:bidi="ar"/>
              </w:rPr>
              <w:t xml:space="preserve">3、支持接入具有ABF聚焦功能的摄像机，可对视频图像进行ABF聚焦；支持接入鱼眼摄像机、双目摄像机、三目摄像机、四目摄像机、八目枪球联动一体机及全局摄像机，并可将视频图像以多画面分割方式显示，可自定义画面布局。摄像机与客户端分别连接样机的不同网段时，客户端可以通过端口映射，跨网段直接访问摄像机，对摄像机进行操作，包括进行参数配置、录像实时预览等。支持将1张、2张、3张、4张、5张、6张图片合成，支持选择图片形状，修改顺序，支持原始图片去黑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4、支持4块3.5或2.5英寸硬盘接入，每块盘位最大兼容12TB硬盘，支持硬盘自动切换，当一块硬盘损坏后，能自动切换至其它硬盘进行存储。支持SSD,机械硬盘和SSD可以混合使用。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外接机柜门时，通过连接开关量信号及相应的设置，当机柜门打开后，联动声音报警。支持配置路段名称、路段编号、路段距离，能够对驶入驶出该路段的车辆抓拍数据匹配并计算车辆的区间速度值；支持设置过滤阈值，对异常测速结果进行过滤；支持超速检测和欠速检测，可分别设定高限速和低限速值；支持相同车牌号去重功能，多相机抓拍同一车牌号仅上传一条该车牌条记录到平台。可对IP通道进行图像虚焦、亮度异常、图像偏色、雪花干扰、条纹干扰等类型视频质量进行诊断，可生成诊断信息并导出查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抱杆机柜</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采用优质冷轧钢材质，厚度≥1.0mm；可调节层板；产品尺寸≥400mm(宽)×300mm(深)×500mm(高)；内部配置≥1个双路电源防雷器，≥1个双路10A电源空开模块，≥1个3芯插座。防护等级≥IP54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1.2mm；可调节层板；有效防水防尘；产品尺寸≥630mm(宽)×510mm(深)×955mm(高)；内部配置≥1个双路220V电源防雷器，电源空开模块（≥1个2P40A、≥8个单P10A），≥1个3芯插座，≥2个风扇（带温控）；防护等级≥IP54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64"/>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多孔插座</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落地机柜内用多孔插座，线长1.8米；10A/250V/2500W；2孔*4+5孔*4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落地机柜基础浇筑</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落地箱基础尺寸不小于800*800*600；含挖填土、土方清运、围挡、风镐及其他辅助工序；C25商砼浇筑；含2根PE75管连接杆件；2根PE75管连接线缆窖井；含基础养护、保护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50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8电4光全千兆工业级网管型交换机</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1、支持≥8个100Base-X电口，≥4个100Base-X SFP光口，含4对千兆光模块传输距离不低于20km。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▲2、支持设备准入，支持未认证新设备接入告警与阻断，支持电源告警，端口回环告警，IP/MAC冲突告警。符合GB/T 30094-2013工业以太网交换机技术规范并通过国家安全防范报警系统产品质量检测要求。【投标文件中提供国家认可的认证机构出具的带有CMA标志检测报告复印件并加盖投标人公章】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▲3、交换机主芯片采用国产化方案，符合YD/T1141-2022《以太网交换机测试方法》 【投标文件中提供国家认可的认证机构出具的带有CMA标志检测报告复印件并加盖投标人公章】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4、支持-40~85℃温度范围满负载工作，支持双电源冗余输入，支持电源过载防反接保护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53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4电1光全千兆工业级网管型交换机</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numPr>
                <w:ilvl w:val="0"/>
                <w:numId w:val="0"/>
              </w:numPr>
              <w:ind w:firstLine="0"/>
              <w:jc w:val="left"/>
              <w:keepLines w:val="0"/>
              <w:keepNext w:val="0"/>
              <w:pageBreakBefore w:val="0"/>
              <w:spacing w:line="24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1、支持≥4个 10/100/1000Base-X 电口，≥1个 1000Base-X SFP光口，含1对千兆光模块传输距离不低于20km。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2、交换容量 52G，全线速转发，MAC 地址 8K。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▲3、考虑监控视频的特性，巨帧传输长度不小于 12000bytes,平均丢包率为 0 。接触放电±8kV,空气放电±15kV，符合GB/T 17626.2-2018《电磁兼容试验与测量技术静电放电抗扰度试验》并通过国家安全防范报警系统产品质量检测。【投标文件中提供国家认可的认证机构出具的带有CMA标志检测报告复印件并加盖投标人公章】</w:t>
            </w:r>
            <w:r>
              <w:rPr>
                <w:rFonts w:hint="eastAsia" w:ascii="宋体" w:hAnsi="宋体" w:eastAsia="宋体" w:cs="宋体"/>
                <w:b/>
                <w:bCs/>
                <w:i w:val="0"/>
                <w:iCs w:val="0"/>
                <w:color w:val="000000"/>
                <w:sz w:val="18"/>
                <w:szCs w:val="18"/>
                <w:highlight w:val="none"/>
                <w:u w:val="none"/>
                <w:lang w:val="en-US" w:eastAsia="zh-CN" w:bidi="ar"/>
              </w:rPr>
            </w:r>
            <w:r/>
          </w:p>
          <w:p>
            <w:pPr>
              <w:pStyle w:val="1048"/>
              <w:ind w:firstLine="0"/>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4、支持环网冗余技术，自愈时间≤50ms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▲5、支持AC24V±30%供电，工作温度-40-85℃，1270nm≤中心波长≤1355nm，1530nm≤中心波长≤1565nm。【投标文件中提供国家认可的认证机构出具的带有CMA标志检测报告复印件并加盖投标人公章】</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6、卡轨式波纹型材机壳，IP40 防护等级，双电源冗余输入，5.08mm 工业端子电源接口。</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499"/>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辅助材料</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抱箍、标签色带、套管、信号线、接地线、接头、五金件等</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车道</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L杆8M</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臂：8M；立柱口径对角：300-250mm，壁厚≥8mm；横臂口径对角250-110mm，壁_≥4_mm。底盘法兰￠550×20mm。整体热浸锌，喷塑。8M（套），杆件安装后法兰平面较地平面下沉200mm，横臂底面距底面净高6.5米。含杆件、杆件紧固件、顶盖、U型槽及杆件吊装安装费、杆件运至施工现场、杆件保护、施工期间安全防护等费用。</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基础预埋件8-M27×1500</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L4、L6、L8、T6+6、T8+4杆件使用。8-M27×1500mm（个）。含预埋件、预埋件紧固件、垫片、螺帽及预埋件安装费、预埋件运至施工现场费用。</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立杆接地和基础包封系统</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不小于2.5M接地角铁L40×4；镀锌扁铁－40×4与杆件连接，杆件上接地电阻小于4欧姆。含接地系统预埋、定位、安装、接地桩焊接、现场电阻测试；含杆件螺栓黄油保护、基础混凝土包封和养护工作。</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1832"/>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杆件基础开挖及浇筑</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土方开挖尺寸为：（8-M27×150</w:t>
            </w:r>
            <w:r>
              <w:rPr>
                <w:rFonts w:hint="eastAsia" w:ascii="宋体" w:hAnsi="宋体" w:eastAsia="宋体" w:cs="宋体"/>
                <w:i w:val="0"/>
                <w:iCs w:val="0"/>
                <w:color w:val="000000"/>
                <w:sz w:val="18"/>
                <w:szCs w:val="18"/>
                <w:highlight w:val="none"/>
                <w:u w:val="none"/>
                <w:lang w:val="en-US" w:eastAsia="zh-CN" w:bidi="ar"/>
              </w:rPr>
              <w:t xml:space="preserve">0mm—1.5米×1.5米×1.9米），（8-M27×1800mm—1.8米×1.8米×2.2米）×3，（8-M30×1800及8-M30×2000mm—1.8米×1.8米×2.4米），（落地柜—0.8米×0.8米×0.6米）；混凝土尺寸为（8-M27×1500mm—1.5米×1.5米×1.7米），（8-M27×1800mm—1.8米×1.8米×2.0米），（8-M30×1800及8-M30×2000mm—1.8米×1.8米×2.2米），（落地柜——0.8米×0.8米×0.6米）；本项按混凝土浇筑尺寸计量。</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土方开挖（不区分开挖方式及土质）、土方清运、围挡、风镐、上沿制模（30CM木模）、抹平及其他辅助工序；基坑底层较混凝土浇筑尺寸下沉20CM用于顶部绿化恢复；C25商砼浇筑；含2根PE75管连接杆件；含基础养护、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85.5</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设备喷特殊绿色</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根据道路色号改色</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摄像机电源线及敷设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RVV3×1mm；含穿引线、扫管、穿线、编号、塑料标签、接线、包头施工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机箱电源线及敷设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RVV3×1.5mm；含穿引线、扫管、穿线、编号、塑料标签、接线、包头施工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补光灯控制线及敷设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RVV2×0.5mm；含穿引线、扫管、穿线、编号、塑料标签、接线、包头施工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室外防水六类；含穿引线、扫管、穿线、编号、塑料标签、接线、包头施工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室外单模铠装光缆，4芯；含管内穿引线、扫管、穿线、编号、塑料标签、包头施工、光缆光纤头熔接、尾纤头及光缆测试交付</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光缆终端盒</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FC8口</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光纤跳线</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FC-FC1.5米单模</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金属波纹管,直径25mm，沿杆件、墙壁敷设，含卡箍</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绿化内管沟开挖及管道敷设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管顶至地面不得低于60CM；2*PE75mm管敷设施工要求；含开挖、PE管敷设、土方回填夯实、弃土清运、绿化恢复。含2*PE75管材（壁厚不小于7MM）</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道板内管沟开挖及管道线敷设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管顶至地面不得低于60CM；2*PE75mm管敷设施工要求；含开挖、PE管敷设、土方回填夯实、弃土清运、道板恢复。含2*PE75mm管材（壁厚不小于7MM）</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顶管</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含2*PE75mm；含材料费、钻孔、扩孔、回托布管、施工作业面开挖恢复、泥浆和弃土清运等所有费用。双PE75mm管材（壁厚不小于7mm）</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借用旧管道查找清理</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借用旧管道查找清理疏通</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窨井及井盖</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500mm*500mm盖板（钢筋骨架、金属包边、表面“经开公安”字样、砼预制井盖）及井圈（钢筋骨架、砼预置井圈）；含窖井内土石方开挖（不区分开挖方式及土质）、红砖及水泥砌筑；井内圈净尺寸不小于500mm*500mm*50mm0；含土方清运、围挡、风镐及其他辅助工序；含井圈井盖安装。</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供电接入</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供电接入配套设备，包括电表、电路保护装置、插座等</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处</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电能消耗</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每个用电设备5年*365天*24小时持续工作、供电不间断</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四</w:t>
            </w:r>
            <w:r>
              <w:rPr>
                <w:rFonts w:hint="eastAsia" w:ascii="宋体" w:hAnsi="宋体" w:eastAsia="宋体" w:cs="宋体"/>
                <w:b/>
                <w:bCs/>
                <w:i w:val="0"/>
                <w:iCs w:val="0"/>
                <w:color w:val="000000"/>
                <w:sz w:val="18"/>
                <w:szCs w:val="18"/>
                <w:highlight w:val="none"/>
                <w:u w:val="none"/>
              </w:rPr>
            </w:r>
            <w:r/>
          </w:p>
        </w:tc>
        <w:tc>
          <w:tcPr>
            <w:gridSpan w:val="8"/>
            <w:tcW w:w="14575"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横林大道上林路电子警察</w:t>
            </w:r>
            <w:r>
              <w:rPr>
                <w:rFonts w:hint="eastAsia" w:ascii="宋体" w:hAnsi="宋体" w:eastAsia="宋体" w:cs="宋体"/>
                <w:b/>
                <w:bCs/>
                <w:i w:val="0"/>
                <w:iCs w:val="0"/>
                <w:color w:val="000000"/>
                <w:sz w:val="18"/>
                <w:szCs w:val="18"/>
                <w:highlight w:val="none"/>
                <w:u w:val="none"/>
                <w:lang w:val="en-US" w:eastAsia="zh-CN" w:bidi="ar"/>
              </w:rPr>
            </w:r>
            <w:r/>
          </w:p>
        </w:tc>
      </w:tr>
      <w:tr>
        <w:trPr>
          <w:trHeight w:val="1198"/>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900万环保高清电子警察抓拍单元</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900万环保高清电子警察抓拍单元；包含高清一体化嵌入式摄像机、高清镜头、室外防护罩、电源适配器、内置补光灯、安装万向节等。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支持对摩托车闯红灯、不按导向行驶、闯禁令、不戴头盔、逆行、载人等违法行为进行抓拍。支持大型货车闯红灯抓拍功能，包括拖车、挂车、罐车、平板货车、集装箱牵引车、渣土车、吸污车等货车类型。支持AI车牌增强功能，包括：蓝牌、黄牌、白牌、黑牌、绿牌、渐变绿、黄绿双拼牌，开启后可防止车牌过曝。支持牛眼灯下的车牌识别功能，抓拍图片车牌，抓拍图片车牌清晰可见。</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快门方式：支持单快门、全息双快门、三快门；电子快门：支持1/50s~1/100000s（可手动或自动调节）；曝光模式：支持全自动/自定义区间/自定义。光圈控制：支持手动光圈、固定光圈、P-IRIS自动光圈。视频压缩标准：H.265;H.264B;H.264M;H.264H;MJPEG；图片编码格式：JPEG。</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3、支持车辆子品牌识别功能，在目标清晰可辨的条件下进行测试，白天车辆子品牌识别准确率≥99%；晚上车辆子品牌识别准确率≥99%。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4、车辆捕获率：白天车辆捕获率≥98%、夜间车辆捕获率≥98%。号牌识别准确率：白天车辆号牌识别准确率≥98%，夜间车辆号牌识别准确率≥98%。</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车辆子品牌识别并可在OSD上叠加显示相应的子品牌及年款，通过车头可识别≥7600种车辆子品牌，车尾≥3900种车辆子品牌支持识别并显示不低于51种车辆类型。支持识别车标类型≥460种。在天气晴朗无雾，车辆无遮挡，白天环境光照度不低于200lx，夜晚辅助光照度不高于30lx的情况下进行测试：白天车标识别准确率≥99%；夜晚车标识别准确率≥99%。</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6、接入标准支持ONVIF；CGI；GB/T28181；GA/T1400；GB35114-A。</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设备支持设置图片3D降噪功能，包括图片空域3D降噪及图片时域3D降噪，降噪等级0~100可分别设置，可通过菜单启用或关闭。支持大型货车闯红灯抓拍功能，包括拖车、挂车、罐车、平板货车、集装箱牵引卡车等货车类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支持禁货、禁拖拉机、禁农用车、禁大客车、禁拖/挂车通行等违章抓拍。支持压线、违法变道、不按导向行驶、机占非、通行在尾号限行区域、不按规定车道行驶、占用公交车道、逆行、非占机、违章掉头、黄网格违停、占用应急车道、外地车通行在限行区域、斑马线不礼让行人等违法行车行为检测抓拍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网络接口支持≥2个独立MAC、物理隔离的RJ-45以太网口，支持10/100/1000M网络数据传输；存储接口≥1个，最大支持256GTF卡本地存储；I/O接口≥4个，用于I/O触发抓拍信号输入。光圈控制接口≥1个，P-IRIS自动光圈；变焦控制接口≥1个，可接电动变焦镜头；频率源同步接口≥1个，支持相机与市电同步；外置灯接口≥7个，光耦开关量信号输出；RS-485接口≥2个；RS-232接口≥4个。</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10、供电方式：AC100V~AC240V（50HZ/60HZ）；功耗：≤21W。工作温度：-40℃~+65℃；防护等级≥IP66；具有网络防雷和防浪涌功能。</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vMerge w:val="restart"/>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9" w:type="dxa"/>
            <w:vAlign w:val="center"/>
            <w:vMerge w:val="restart"/>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车道补光灯</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1、采用16颗Cree高亮LED灯珠；光源：可见光范围（波长350-780nm）；色温：6500K±200K；</w:t>
            </w:r>
            <w:r>
              <w:rPr>
                <w:rFonts w:hint="eastAsia" w:ascii="宋体" w:hAnsi="宋体" w:eastAsia="宋体" w:cs="宋体"/>
                <w:i w:val="0"/>
                <w:iCs w:val="0"/>
                <w:color w:val="000000"/>
                <w:sz w:val="18"/>
                <w:szCs w:val="18"/>
                <w:highlight w:val="none"/>
                <w:u w:val="none"/>
              </w:rPr>
            </w:r>
            <w:r/>
          </w:p>
        </w:tc>
        <w:tc>
          <w:tcPr>
            <w:tcW w:w="696" w:type="dxa"/>
            <w:vAlign w:val="center"/>
            <w:vMerge w:val="restart"/>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vMerge w:val="restart"/>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003" w:type="dxa"/>
            <w:vAlign w:val="center"/>
            <w:vMerge w:val="restart"/>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vMerge w:val="restart"/>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vMerge w:val="restart"/>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vMerge w:val="restart"/>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19" w:type="dxa"/>
            <w:vAlign w:val="center"/>
            <w:vMerge w:val="continue"/>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2、中心光照度：&lt;40lx（20m光照度）；补光距离：16m-26m。</w:t>
            </w:r>
            <w:r>
              <w:rPr>
                <w:rFonts w:hint="eastAsia" w:ascii="宋体" w:hAnsi="宋体" w:eastAsia="宋体" w:cs="宋体"/>
                <w:i w:val="0"/>
                <w:iCs w:val="0"/>
                <w:color w:val="000000"/>
                <w:sz w:val="18"/>
                <w:szCs w:val="18"/>
                <w:highlight w:val="none"/>
                <w:u w:val="none"/>
              </w:rPr>
            </w:r>
            <w:r/>
          </w:p>
        </w:tc>
        <w:tc>
          <w:tcPr>
            <w:tcW w:w="696" w:type="dxa"/>
            <w:vAlign w:val="center"/>
            <w:vMerge w:val="continue"/>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32" w:type="dxa"/>
            <w:vAlign w:val="center"/>
            <w:vMerge w:val="continue"/>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03"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8"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44"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69" w:type="dxa"/>
            <w:vAlign w:val="center"/>
            <w:vMerge w:val="continue"/>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19" w:type="dxa"/>
            <w:vAlign w:val="center"/>
            <w:vMerge w:val="continue"/>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3、光通量≥1800lm；日夜切换：支持，1~6级灵敏度可设置。</w:t>
            </w:r>
            <w:r>
              <w:rPr>
                <w:rFonts w:hint="eastAsia" w:ascii="宋体" w:hAnsi="宋体" w:eastAsia="宋体" w:cs="宋体"/>
                <w:i w:val="0"/>
                <w:iCs w:val="0"/>
                <w:color w:val="000000"/>
                <w:sz w:val="18"/>
                <w:szCs w:val="18"/>
                <w:highlight w:val="none"/>
                <w:u w:val="none"/>
              </w:rPr>
            </w:r>
            <w:r/>
          </w:p>
        </w:tc>
        <w:tc>
          <w:tcPr>
            <w:tcW w:w="696" w:type="dxa"/>
            <w:vAlign w:val="center"/>
            <w:vMerge w:val="continue"/>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32" w:type="dxa"/>
            <w:vAlign w:val="center"/>
            <w:vMerge w:val="continue"/>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03"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8"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44"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69" w:type="dxa"/>
            <w:vAlign w:val="center"/>
            <w:vMerge w:val="continue"/>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19" w:type="dxa"/>
            <w:vAlign w:val="center"/>
            <w:vMerge w:val="continue"/>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4、支持远程显示补光灯故障、正常状态；支持低照度下6级光敏检测自动开启补光。</w:t>
            </w:r>
            <w:r>
              <w:rPr>
                <w:rFonts w:hint="eastAsia" w:ascii="宋体" w:hAnsi="宋体" w:eastAsia="宋体" w:cs="宋体"/>
                <w:i w:val="0"/>
                <w:iCs w:val="0"/>
                <w:color w:val="000000"/>
                <w:sz w:val="18"/>
                <w:szCs w:val="18"/>
                <w:highlight w:val="none"/>
                <w:u w:val="none"/>
              </w:rPr>
            </w:r>
            <w:r/>
          </w:p>
        </w:tc>
        <w:tc>
          <w:tcPr>
            <w:tcW w:w="696" w:type="dxa"/>
            <w:vAlign w:val="center"/>
            <w:vMerge w:val="continue"/>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32" w:type="dxa"/>
            <w:vAlign w:val="center"/>
            <w:vMerge w:val="continue"/>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03"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8"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44"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69" w:type="dxa"/>
            <w:vAlign w:val="center"/>
            <w:vMerge w:val="continue"/>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219" w:type="dxa"/>
            <w:vAlign w:val="center"/>
            <w:vMerge w:val="continue"/>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5、功耗：&lt;40W；供电方式：AC100V-AC240V。</w:t>
            </w:r>
            <w:r>
              <w:rPr>
                <w:rFonts w:hint="eastAsia" w:ascii="宋体" w:hAnsi="宋体" w:eastAsia="宋体" w:cs="宋体"/>
                <w:i w:val="0"/>
                <w:iCs w:val="0"/>
                <w:color w:val="000000"/>
                <w:sz w:val="18"/>
                <w:szCs w:val="18"/>
                <w:highlight w:val="none"/>
                <w:u w:val="none"/>
              </w:rPr>
            </w:r>
            <w:r/>
          </w:p>
        </w:tc>
        <w:tc>
          <w:tcPr>
            <w:tcW w:w="696" w:type="dxa"/>
            <w:vAlign w:val="center"/>
            <w:vMerge w:val="continue"/>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32" w:type="dxa"/>
            <w:vAlign w:val="center"/>
            <w:vMerge w:val="continue"/>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03"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28"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744" w:type="dxa"/>
            <w:vAlign w:val="center"/>
            <w:vMerge w:val="continue"/>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869" w:type="dxa"/>
            <w:vAlign w:val="center"/>
            <w:vMerge w:val="continue"/>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793"/>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交通灯信号检测器</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1、支持接入≥20路红/绿灯信号，进行输入通断检测，并通过100M网口将信号状态实时传输给网络摄像机。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2、支持通过配置工具设置20路相机参数和检测参数，每个检测通道最多支持关联5个相机IP；支持通过配置工具设置红灯检测模式/绿灯检测模式。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3、支持通过配置工具查询设备的操作日志、校时日志、ping成功/失败日志、红/绿灯输入信号异常及异常恢复等日志，用于查询设备的操作记录及异常情况。</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4、支持通过配置工具设置NTP校时/同步PC时间；支持通过配置工具设置红绿灯信号输入异常判断时长，设置范围[1,300]秒。</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5、信号输入≥20路，AC220V红/绿灯信号；网络接口≥1个RJ-45以太网口。</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6、供电方式DC12V；功耗&lt;3W；工作温度-40℃～+65℃。</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主控制器</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1、支持视频接入和卡口合成两种工作模式切换，视频接入模式支持≥16路高清视频及图片输入，无图片合成功能，卡口合成模式支持≥12路高清视频及图片输入，同时支持图片合成。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1/2/3/4/5/6张图片普通合成和关联合成，支持两通道、三通道、多通道关联匹配并将图片合成或编组，支持ID匹配、车牌匹配、先ID后车牌匹配方式，支持以车型、车道、车牌颜色、车身颜色进行模糊匹配，支持多匹配方案独立设置，合成形状、顺序和特写图片序号可自定义设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3、支持路口管理统计，可对路口的设备状态、卡口、流量、违法、事件进行分类管理和统计，并通过折线图或柱状图展示，支持日报表和周报表。支持按时间、通道查询车流量功能，支持CSV格式导出查询结果。</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故障检测查询功能支持信号灯黄闪、信号灯遮挡、信号灯亮度不足、信号灯同亮、信号灯单色灯常亮、信号灯不亮六类故障检测图片存储。支持录像回放时叠加智能帧及检测框信息。支持以不同的方式接入球机，并在不同方式下可预览图片和视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按时间、通道、违法类型、车牌、车速、车道、对象类型、车牌颜色、车身颜色、主/副驾驶安全带状态、主/副驾驶遮阳板状态查询图片功能，支持csv或excel格式导出查询结果。支持手动上传图片至平台和FTP服务器，可自定义设置通道、时间、图片类型。支持≥3个FTP同时传输，原始图片、合成图片、车身图片、车牌图片、关联录像、主驾驶图片、副驾驶图片、行人人脸图片、非机动车人脸图片上传类型可选，FTP连接模式长连接或短连接可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关联合成不同形状的合成图，合成图时间与特写图序号可分别配置。支持关联合成高级配置，支持大车关联合成、小车关联合成的合成方式，支持无牌大货车关联合成。关联合成功能支持非机动车闯红灯、非机动车逆行、非机动车占道、非机动车未带安全头盔等关联合成，特写图可替换成其他抠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按时间或文件下载图片及关联录像，关联录像时长可自定义设置1-100秒，支持将图片附带的特写图、车牌图片、主驾驶图片、副驾驶图片、非机动车人脸、行人人脸抠图分离并下载，图片及关联录像下载命名格式，可分卡口和违法自定义设置。支持硬盘图片和录像配额比例设置，支持盘满循环覆盖；支持断网续传、自动注册、黑白名单导入导出、数据防删改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8、支持内置≥1块2T硬盘，最大支持4个SATA接口3.5"硬盘。具有≥16个10M/100M/1000M以太网接口、≥3个RS-232接口、≥4个RS-485接口、≥4个USB接口、报警输入≥4路和报警输出≥4路（光耦输出）。</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9、供电方式：DC12V；功耗：＜40W；工作温度：–30℃～+65℃。</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抱杆机柜</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采用优质冷轧钢材质，厚度≥1.0mm；可调节层板；产品尺寸≥400mm(宽)×300mm(深)×500mm(高)；内部配置≥1个双路电源防雷器，≥1个双路10A电源空开模块，≥1个3芯插座。防护等级≥IP54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1.2mm；可调节层板；有效防水防尘；产品尺寸≥630mm(宽)×510mm(深)×955mm(高)；内部配置≥1个双路220V电源防雷器，电源空开模块（≥1个2P40A、≥8个单P10A），≥1个3芯插座，≥2个风扇（带温控）；防护等级≥IP54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多孔插座</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落地机柜内用多孔插座，线长1.8米；10A/250V/2500W；2孔*4+5孔*4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落地机柜基础浇筑</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落地箱基础尺寸不小于800*800*600；含挖填土、土方清运、围挡、风镐及其他辅助工序；C25商砼浇筑；含2根PE75管连接杆件；2根PE75管连接线缆窖井；含基础养护、保护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4电1光全千兆工业级网管型交换机</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1.支持≥4个 10/100/1000Base-X 电口，≥1个 1000Base-X SFP光口，含1对千兆光模块传输距离不低于20km。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2.交换容量 52G，全线速转发，MAC 地址 8K。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3.考虑监控视频的特性，巨帧传输长度不小于 12000bytes,平均丢包率为 0 。接触放电±8kV,空气放电±15kV，符合GB/T 17626.2-2018《电磁兼容试验与测量技术静电放电抗扰度试验》并通过国家安全防范报警系统产品质量检测。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4.支持环网冗余技术，自愈时间≤50ms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5.支持AC24V±30%供电，工作温度-40-85℃，1270nm≤中心波长≤1355nm，1530nm≤中心波长≤1565nm。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6.卡轨式波纹型材机壳，IP40 防护等级，双电源冗余输入，5.08mm 工业端子电源接口。</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8电4光全千兆工业级网管型交换机</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1、支持≥8个100Base-X电口，≥4个100Base-X SFP光口，含4对千兆光模块传输距离不低于20km。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2、支持设备准入，支持未认证新设备接入告警与阻断，支持电源告警，端口回环告警，IP/MAC冲突告警。符合GB/T 30094-2013工业以太网交换机技术规范并通过国家安全防范报警系统产品质量检测要求。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3、交换机主芯片采用国产化方案，符合YD/T1141-2022《以太网交换机测试方法》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4、支持-40~85℃温度范围满负载工作，支持双电源冗余输入，支持电源过载防反接保护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辅助材料</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抱箍、标签色带、套管、信号线、接地线、接头、五金件等</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车道</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L杆8M</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臂：8M；立柱口径对角：300-250mm，壁厚≥8mm；横臂口径对角250-110mm，壁_≥4_mm。底盘法兰￠550×20mm。整体热浸锌，喷塑。8M（套），杆件安装后法兰平面较地平面下沉200mm，横臂底面距底面净高6.5米。含杆件、杆件紧固件、顶盖、U型槽及杆件吊装安装费、杆件运至施工现场、杆件保护、施工期间安全防护等费用。</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L杆4M</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臂：4M；立柱口径对角：300-250mm，壁厚_≥8_mm；横臂口径对角250-110mm，壁厚≥4mm。底盘法兰￠550×20mm。整体热浸锌，喷塑。4M（套），杆件安装后法兰平面较地平面下沉200mm，横臂底面距底面净高6.5米。含杆件、杆件紧固件、顶盖、U型槽及杆件吊装安装费、杆件运至施工现场、杆件保护、施工期间安全防护等费用。</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基础预埋件8-M27×1500</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L4、L6、L8、T6+6、T8+4杆件使用。8-M27×1500mm（个）。含预埋件、预埋件紧固件、垫片、螺帽及预埋件安装费、预埋件运至施工现场费用。</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立杆接地和基础包封系统</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不小于2.5M接地角铁L40×4；镀锌扁铁－40×4与杆件连接，杆件上接地电阻小于4欧姆。含接地系统预埋、定位、安装、接地桩焊接、现场电阻测试；含杆件螺栓黄油保护、基础混凝土包封和养护工作。</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杆件基础开挖及浇筑</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土方开挖尺寸为：（8-M27×150</w:t>
            </w:r>
            <w:r>
              <w:rPr>
                <w:rFonts w:hint="eastAsia" w:ascii="宋体" w:hAnsi="宋体" w:eastAsia="宋体" w:cs="宋体"/>
                <w:i w:val="0"/>
                <w:iCs w:val="0"/>
                <w:color w:val="000000"/>
                <w:sz w:val="18"/>
                <w:szCs w:val="18"/>
                <w:highlight w:val="none"/>
                <w:u w:val="none"/>
                <w:lang w:val="en-US" w:eastAsia="zh-CN" w:bidi="ar"/>
              </w:rPr>
              <w:t xml:space="preserve">0mm—1.5米×1.5米×1.9米），（8-M27×1800mm—1.8米×1.8米×2.2米）×3，（8-M30×1800及8-M30×2000mm—1.8米×1.8米×2.4米），（落地柜—0.8米×0.8米×0.6米）；混凝土尺寸为（8-M27×1500mm—1.5米×1.5米×1.7米），（8-M27×1800mm—1.8米×1.8米×2.0米），（8-M30×1800及8-M30×2000mm—1.8米×1.8米×2.2米），（落地柜——0.8米×0.8米×0.6米）；本项按混凝土浇筑尺寸计量。</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土方开挖（不区分开挖方式及土质）、土方清运、围挡、风镐、上沿制模（30CM木模）、抹平及其他辅助工序；基坑底层较混凝土浇筑尺寸下沉20CM用于顶部绿化恢复；C25商砼浇筑；含2根PE75管连接杆件；含基础养护、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12.8</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设备喷特殊绿色</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根据道路色号（RAL 6003)改色</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杆件喷特殊绿色</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根据道路色号（RAL 6003)改色</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机箱电源线及敷设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RVV3×1.5mm；含穿引线、扫管、穿线、编号、塑料标签、接线、包头施工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信号线及敷设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RVV4×1mm；含穿引线、扫管、穿线、编号、塑料标签、接线、包头施工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室外防水六类；含穿引线、扫管、穿线、编号、塑料标签、接线、包头施工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室外单模铠装光缆，4芯；含管内穿引线、扫管、穿线、编号、塑料标签、包头施工、光缆光纤头熔接、尾纤头及光缆测试交付</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光缆终端盒</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FC8口</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光纤跳线</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FC-FC1.5米单模</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金属波纹管,直径25mm，沿杆件、墙壁敷设，含卡箍</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绿化内管沟开挖及管道敷设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管顶至地面不得低于60CM；2*PE75mm管敷设施工要求；含开挖、PE管敷设、土方回填夯实、弃土清运、绿化恢复。含2*PE75管材（壁厚不小于7MM）</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窨井及井盖</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500mm*500mm盖板（钢筋骨架、金属包边、表面“经开公安”字样、砼预制井盖）及井圈（钢筋骨架、砼预置井圈）；含窖井内土石方开挖（不区分开挖方式及土质）、红砖及水泥砌筑；井内圈净尺寸不小于500mm*500mm*50mm0；含土方清运、围挡、风镐及其他辅助工序；含井圈井盖安装。</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五</w:t>
            </w:r>
            <w:r>
              <w:rPr>
                <w:rFonts w:hint="eastAsia" w:ascii="宋体" w:hAnsi="宋体" w:eastAsia="宋体" w:cs="宋体"/>
                <w:b/>
                <w:bCs/>
                <w:i w:val="0"/>
                <w:iCs w:val="0"/>
                <w:color w:val="000000"/>
                <w:sz w:val="18"/>
                <w:szCs w:val="18"/>
                <w:highlight w:val="none"/>
                <w:u w:val="none"/>
              </w:rPr>
            </w:r>
            <w:r/>
          </w:p>
        </w:tc>
        <w:tc>
          <w:tcPr>
            <w:gridSpan w:val="8"/>
            <w:tcW w:w="14575"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防控边界建设</w:t>
            </w:r>
            <w:r>
              <w:rPr>
                <w:rFonts w:hint="eastAsia" w:ascii="宋体" w:hAnsi="宋体" w:eastAsia="宋体" w:cs="宋体"/>
                <w:b/>
                <w:bCs/>
                <w:i w:val="0"/>
                <w:iCs w:val="0"/>
                <w:color w:val="000000"/>
                <w:sz w:val="18"/>
                <w:szCs w:val="18"/>
                <w:highlight w:val="none"/>
                <w:u w:val="none"/>
                <w:lang w:val="en-US" w:eastAsia="zh-CN" w:bidi="ar"/>
              </w:rPr>
            </w:r>
            <w:r/>
          </w:p>
        </w:tc>
      </w:tr>
      <w:tr>
        <w:trPr>
          <w:trHeight w:val="888"/>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900万高清环保人脸卡口抓拍单元</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1、900万高清环保人脸卡口抓拍单元；包含高清一体化嵌入式摄像机、高清镜头、室外防护罩、电源适配器、安装万向节等。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2、内置摄像机采用1英寸高帧率全局曝光CMOS传感器，分辨率≥4096 × 2160。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3、无人驾驶车辆车牌识别功能检查：支持对无人驾驶的车辆进行车牌识别。</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4、多边形车道配置检查：车道线支持配置成多边形</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自动画线功能检测：支持自动画线功能，可自动识别并画出车道线和抓拍检测线；支持辅助生成车道线和车道线类型，可人工确认并修改；支持辅助生产电警场景配置线和信号灯检测框，可人工确认并修改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5、右转弯压实线检测功能检查：支持车辆右转弯压实线检测并抓拍。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6、外接鱼眼相机联动功能检查：支持两台设备（一个卡口、一个电警）和外接鱼眼相机，实现车辆的管控取证和违章变道的取证（支持配合终端服务器输出卡口和电警的抓拍合成图，可配置输出合成鱼眼图）。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支持识别车身副颜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8、车牌识别功能检查 ：支持对25×10 像素～1100×3000 像素的机动车车牌进行抓拍并识别号码；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支持抓拍并识别垂直倾斜角度≤45°、水平倾斜角度≤35°、俯仰角度≤40°的机动车车牌号码。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9、目标跟踪功能检查 ：支持检测并跟踪指定区域内不少于 245 个目标，目标包括机动车、非机动车以及行人。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10、车辆子品牌识别功能检查：支持车辆子品牌识别，对车头图片进行分析抓拍，可分析输出OSD叠加7200种车辆子品牌并显示相应的年款，对车尾图片进行分析抓拍，可分析输出 OSD 叠加3900 种车辆子品牌并显示相应的年款。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11、司乘人员抓拍性能试验：支持前排人脸检测，并识别主驾驶员的性别、是否戴眼镜结构化属性信息，可在抓拍图上叠加主/副驾驶人脸小图和主驾驶员的结构化属性信息。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12、支持配置开启码流智能编码模式,通过算法识别画面中的关键目标,对高价值目标保留高清细节,重复背景信息进行超高压缩,降低码率功能,目标时间占有率低于50%时,码率可降低不少于50%,降低视频码流存储压力。</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9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一体式环保补光灯</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1、集成高亮度LED光源、氙气灯管光源于一体，可实现LED频闪、LED爆闪、白光氙气爆闪及红外氙气爆闪功能。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2、支持红外/白光闪光，可自动切换红外和白光模式；支持LED频闪同步相机视频补光；支持LED爆闪或氙气爆闪同步相机抓拍补光；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3、可见光波长范围：350nm～780nm；氙气色温支持≥5800K±200K，LED色温支持≥3500K；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4、中心光照度：LED支持≤5lx（20m平均光照度）、≤20lx（20m有效光照度）、≤80lx（20m频爆光照度）；氙气≤4000lx；</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5、光斑覆盖范围支持1车道；补光距离范围：16m~26m；回电时间＜70ms；闪光持续时间范围：180μs～500μs；支持统计爆闪次数和触发次数；闪光灯寿命≥1000万次；频率：100Hz。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6、支持滤光片未启用情况下，遮挡面积占爆闪灯总面积≤5%。眩光阈值增量(TI)值TI≤2%。氙气灯爆闪持续时间不高于250μs，LED爆闪持续时间不高于1ms。</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7、支持在摄像机WEB上远程显示补光灯故障、正常状态；支持抓拍同步补光功能；支持视频同步补光功能。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8、供电方式AC220V±10％；功耗：＜65J/次；防护等级≥IP66。</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31"/>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主控制器</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1、内置≥1块4T硬盘，具有18个10M/100M/10</w:t>
            </w:r>
            <w:r>
              <w:rPr>
                <w:rFonts w:hint="eastAsia" w:ascii="宋体" w:hAnsi="宋体" w:eastAsia="宋体" w:cs="宋体"/>
                <w:i w:val="0"/>
                <w:iCs w:val="0"/>
                <w:color w:val="000000"/>
                <w:sz w:val="18"/>
                <w:szCs w:val="18"/>
                <w:highlight w:val="none"/>
                <w:u w:val="none"/>
                <w:lang w:val="en-US" w:eastAsia="zh-CN" w:bidi="ar"/>
              </w:rPr>
              <w:t xml:space="preserve">00M自适应RJ45接口，其中P1～P16与G1处于同一网段、G2处于另一网段；2个1000M SFP光端接口，分别与G1、G2处于同一网段。具有2个RS-232接口、2个RS-485接口、1个USB 3.0接口、2路报警输入接口、2路报警输出接口、1个音频输入接口、1个音频输出接口、4个SATA接口、4个状态指示灯、1个接地端子。支持IP地址过滤、SSH开关自定义、视频水印等安全防护功能，具有ARP防攻击设置选项、具备强密码管理功能；支持WEB回话Session ID、数据传输加密、固件完整性等安全检验。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设备均应具备权限管理、数据加密、运行日志功能，设备应设置操作口令，宜有图像加密，放篡改、防非法复制等措施，以保证原始数据的完整性。重要的图像应加以保护，不被删除和覆盖。设备应有防偶发死机的措施（如硬件看门狗或软件、硬件看门狗或定时自动启动等），死机后的自动恢复时间应满足GB20815中的8.12的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接入具有ABF聚焦功能的摄像机，可对视频图像进行ABF聚焦；支持接入鱼眼摄像机、双目摄像机、三目摄像机、四目摄像机、八目枪球联动一体机及全局摄像机，并可将视频图像以多画面分割方式显示，可自定义画面布局。摄像机与客户端分别连接样机的不同网段时，客户端可以通过端口映射，跨网段直接访问摄像机，对摄像机进行操作，包括进行参数配置、录像实时预览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支持将1张、2张、3张、4张、5张、6张图片合成，支持选择图片形状，修改顺序，支持原始图片去黑边。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4、支持4块3.5或2.5英寸硬盘接入，每块盘位最大兼容12TB硬盘，支持硬盘自动切换，当一块硬盘损坏后，能自动切换至其它硬盘进行存储。支持SSD,机械硬盘和SSD可以混合使用。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外接机柜门时，通过连接开关量信号及相应的设置，当机柜门打开后，联动声音报警。支持配置路段名称、路段编号、路段距离，能够对驶入驶出该路段的车辆抓拍数据匹配并计算车辆的区间速度值；支持设置过滤阈值，对异常测速结果进行过滤；支持超速检测和欠速检测，可分别设定高限速和低限速值；支持相同车牌号去重功能，多相机抓拍同一车牌号仅上传一条该车牌条记录到平台。可对IP通道进行图像虚焦、亮度异常、图像偏色、雪花干扰、条纹干扰等类型视频质量进行诊断，可生成诊断信息并导出查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抱杆机柜</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采用优质冷轧钢材质，厚度≥1.0mm；可调节层板；产品尺寸≥400mm(宽)×300mm(深)×500mm(高)；内部配置≥1个双路电源防雷器，≥1个双路10A电源空开模块，≥1个3芯插座。防护等级≥IP54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1.2mm；可调节层板；有效防水防尘；产品尺寸≥630mm(宽)×510mm(深)×955mm(高)；内部配置≥1个双路220V电源防雷器，电源空开模块（≥1个2P40A、≥8个单P10A），≥1个3芯插座，≥2个风扇（带温控）；防护等级≥IP54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36"/>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多孔插座</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落地机柜内用多孔插座，线长1.8米；10A/250V/2500W；2孔*4+5孔*4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落地机柜基础浇筑</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落地箱基础尺寸不小于800*800*600；含挖填土、土方清运、围挡、风镐及其他辅助工序；C25商砼浇筑；含2根PE75管连接杆件；2根PE75管连接线缆窖井；含基础养护、保护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8</w:t>
            </w:r>
            <w:r>
              <w:rPr>
                <w:rFonts w:hint="eastAsia" w:ascii="宋体" w:hAnsi="宋体" w:eastAsia="宋体" w:cs="宋体"/>
                <w:i w:val="0"/>
                <w:iCs w:val="0"/>
                <w:color w:val="000000"/>
                <w:sz w:val="18"/>
                <w:szCs w:val="18"/>
                <w:highlight w:val="none"/>
                <w:u w:val="none"/>
                <w:lang w:val="en-US" w:eastAsia="zh-CN"/>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4电1光全千兆工业级网管型交换机</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1、支持≥4个 10/100/1000Base-X 电口，≥1个 1000Base-X SFP光口，含1对千兆光模块传输距离不低于20km。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2、交换容量 52G，全线速转发，MAC 地址 8K。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3、考虑监控视频的特性，巨帧传输长度不小于 12000bytes,平均丢包率为 0 。接触放电±8kV,空气放电±15kV，符合GB/T 17626.2-2018《电磁兼容试验与测量技术静电放电抗扰度试验》并通过国家安全防范报警系统产品质量检测。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4、支持环网冗余技术，自愈时间≤50ms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5、支持AC24V±30%供电，工作温度-40-85℃，1270nm≤中心波长≤1355nm，1530nm≤中心波长≤1565nm。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6、卡轨式波纹型材机壳，IP40 防护等级，双电源冗余输入，5.08mm 工业端子电源接口。</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268"/>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8电4光全千兆工业级网管型交换机</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1、支持≥8个100Base-X电口，≥4个100Base-X SFP光口，含4对千兆光模块传输距离不低于20km。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2、支持设备准入，支持未认证新设备接入告警与阻断，支持电源告警，端口回环告警，IP/MAC冲突告警。符合GB/T 30094-2013工业以太网交换机技术规范并通过国家安全防范报警系统产品质量检测要求。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3、交换机主芯片采用国产化方案，符合YD/T1141-2022《以太网交换机测试方法》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4、支持-40~85℃温度范围满负载工作，支持双电源冗余输入，支持电源过载防反接保护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39"/>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辅助材料</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抱箍、标签色带、套管、信号线、接地线、接头、五金件等</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车道</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L杆13M</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臂：13M；立柱口径对角：300-380mm，壁厚≥10mmmm；横臂口径对角300-110mm，壁厚≥6mm。底盘法兰￠650×25mm。整体热浸锌，喷塑。13M（套），杆件安装后法兰平面较地平面下沉200mm，横臂底面距底面净高6.5米。含杆件、杆件紧固件、顶盖、U型槽及杆件吊装安装费、杆件运至施工现场、杆件保护、施工期间安全防护等费用。</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L杆8M</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臂：8M；立柱口径对角：300-250mm，壁厚≥8mm；横臂口径对角250-110mm，壁_≥4_mm。底盘法兰￠550×20mm。整体热浸锌，喷塑。8M（套），杆件安装后法兰平面较地平面下沉200mm，横臂底面距底面净高6.5米。含杆件、杆件紧固件、顶盖、U型槽及杆件吊装安装费、杆件运至施工现场、杆件保护、施工期间安全防护等费用。</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7"/>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L杆4M</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横臂：4M；立柱口径对角：300-250mm，壁厚_≥8_mm；横臂口径对角250-110mm，壁厚≥4mm。底盘法兰￠550×20mm。整体热浸锌，喷塑。4M（套），杆件安装后法兰平面较地平面下沉200mm，横臂底面距底面净高6.5米。含杆件、杆件紧固件、顶盖、U型槽及杆件吊装安装费、杆件运至施工现场、杆件保护、施工期间安全防护等费用。</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基础预埋件8-M27×1500</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L4、L6、L8、T6+6、T8+4杆件使用。8-M27×1500mm（个）。含预埋件、预埋件紧固件、垫片、螺帽及预埋件安装费、预埋件运至施工现场费用。</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基础预埋件8-M30×2000</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L13、L15、L17、T13+6、T15+6、T15+15杆件使用。，8-M30×2000mm（个）。含预埋件、预埋件紧固件、垫片、螺帽及预埋件安装费、预埋件运至施工现场费用。</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立杆接地和基础包封系统</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不小于2.5M接地角铁L40×4；镀锌扁铁－40×4与杆件连接，杆件上接地电阻小于4欧姆。含接地系统预埋、定位、安装、接地桩焊接、现场电阻测试；含杆件螺栓黄油保护、基础混凝土包封和养护工作。</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82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17</w:t>
            </w:r>
            <w:r>
              <w:rPr>
                <w:rFonts w:hint="eastAsia" w:ascii="宋体" w:hAnsi="宋体" w:eastAsia="宋体" w:cs="宋体"/>
                <w:i w:val="0"/>
                <w:iCs w:val="0"/>
                <w:color w:val="000000"/>
                <w:sz w:val="18"/>
                <w:szCs w:val="18"/>
                <w:highlight w:val="none"/>
                <w:u w:val="none"/>
                <w:lang w:val="en-US" w:eastAsia="zh-CN"/>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杆件基础开挖及浇筑</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土方开挖尺寸为：（8-M27×150</w:t>
            </w:r>
            <w:r>
              <w:rPr>
                <w:rFonts w:hint="eastAsia" w:ascii="宋体" w:hAnsi="宋体" w:eastAsia="宋体" w:cs="宋体"/>
                <w:i w:val="0"/>
                <w:iCs w:val="0"/>
                <w:color w:val="000000"/>
                <w:sz w:val="18"/>
                <w:szCs w:val="18"/>
                <w:highlight w:val="none"/>
                <w:u w:val="none"/>
                <w:lang w:val="en-US" w:eastAsia="zh-CN" w:bidi="ar"/>
              </w:rPr>
              <w:t xml:space="preserve">0mm—1.5米×1.5米×1.9米），（8-M27×1800mm—1.8米×1.8米×2.2米）×3，（8-M30×1800及8-M30×2000mm—1.8米×1.8米×2.4米），（落地柜—0.8米×0.8米×0.6米）；混凝土尺寸为（8-M27×1500mm—1.5米×1.5米×1.7米），（8-M27×1800mm—1.8米×1.8米×2.0米），（8-M30×1800及8-M30×2000mm—1.8米×1.8米×2.2米），（落地柜——0.8米×0.8米×0.6米）；本项按混凝土浇筑尺寸计量。</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土方开挖（不区分开挖方式及土质）、土方清运、围挡、风镐、上沿制模（30CM木模）、抹平及其他辅助工序；基坑底层较混凝土浇筑尺寸下沉20CM用于顶部绿化恢复；C25商砼浇筑；含2根PE75管连接杆件；含基础养护、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41.3</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设备喷特殊绿色</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根据道路色号改色</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杆件喷特殊绿色</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根据道路色号改色</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机箱电源线及敷设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RVV3×1.5mm；含穿引线、扫管、穿线、编号、塑料标签、接线、包头施工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室外防水六类；含穿引线、扫管、穿线、编号、塑料标签、接线、包头施工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640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室外单模铠装光缆，4芯；含管内穿引线、扫管、穿线、编号、塑料标签、包头施工、光缆光纤头熔接、尾纤头及光缆测试交付</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24"/>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光缆终端盒</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FC8口</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12"/>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光纤跳线</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FC-FC1.5米单模</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金属波纹管,直径25mm，沿杆件、墙壁敷设，含卡箍</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lang w:val="en-US" w:eastAsia="zh-CN" w:bidi="ar-SA"/>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绿化内管沟开挖及管道敷设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管顶至地面不得低于60CM；2*PE75mm管敷设施工要求；含开挖、PE管敷设、土方回填夯实、弃土清运、绿化恢复。含2*PE75管材（壁厚不小于7MM）</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55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27</w:t>
            </w:r>
            <w:r>
              <w:rPr>
                <w:rFonts w:hint="eastAsia" w:ascii="宋体" w:hAnsi="宋体" w:eastAsia="宋体" w:cs="宋体"/>
                <w:i w:val="0"/>
                <w:iCs w:val="0"/>
                <w:color w:val="000000"/>
                <w:sz w:val="18"/>
                <w:szCs w:val="18"/>
                <w:highlight w:val="none"/>
                <w:u w:val="none"/>
                <w:lang w:val="en-US" w:eastAsia="zh-CN"/>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窨井及井盖</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500mm*500mm盖板（钢筋骨架、金属包边、表面“经开公安”字样、砼预制井盖）及井圈（钢筋骨架、砼预置井圈）；含窖井内土石方开挖（不区分开挖方式及土质）、红砖及水泥砌筑；井内圈净尺寸不小于500mm*500mm*50mm0；含土方清运、围挡、风镐及其他辅助工序；含井圈井盖安装。</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六</w:t>
            </w:r>
            <w:r>
              <w:rPr>
                <w:rFonts w:hint="eastAsia" w:ascii="宋体" w:hAnsi="宋体" w:eastAsia="宋体" w:cs="宋体"/>
                <w:b/>
                <w:bCs/>
                <w:i w:val="0"/>
                <w:iCs w:val="0"/>
                <w:color w:val="000000"/>
                <w:sz w:val="18"/>
                <w:szCs w:val="18"/>
                <w:highlight w:val="none"/>
                <w:u w:val="none"/>
              </w:rPr>
            </w:r>
            <w:r/>
          </w:p>
        </w:tc>
        <w:tc>
          <w:tcPr>
            <w:gridSpan w:val="8"/>
            <w:tcW w:w="14575"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朝阳路横林大道卡口迁移及更新</w:t>
            </w:r>
            <w:r>
              <w:rPr>
                <w:rFonts w:hint="eastAsia" w:ascii="宋体" w:hAnsi="宋体" w:eastAsia="宋体" w:cs="宋体"/>
                <w:b/>
                <w:bCs/>
                <w:i w:val="0"/>
                <w:iCs w:val="0"/>
                <w:color w:val="000000"/>
                <w:sz w:val="18"/>
                <w:szCs w:val="18"/>
                <w:highlight w:val="none"/>
                <w:u w:val="none"/>
                <w:lang w:val="en-US" w:eastAsia="zh-CN" w:bidi="ar"/>
              </w:rPr>
            </w:r>
            <w:r/>
          </w:p>
        </w:tc>
      </w:tr>
      <w:tr>
        <w:trPr>
          <w:trHeight w:val="568"/>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900万高清环保人脸卡口抓拍单元</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1、900万高清环保人脸卡口抓拍单元；包含高清一体化嵌入式摄像机、高清镜头、室外防护罩、电源适配器、安装万向节等。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2、内置摄像机采用1英寸高帧率全局曝光CMOS传感器，分辨率≥4096 × 2160。</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3、无人驾驶车辆车牌识别功能检查：支持对无人驾驶的车辆进行车牌识别。</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4、多边形车道配置检查：车道线支持配置成多边形</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自动画线功能检测：支持自动画线功能，可自动识别并画出车道线和抓拍检测线；支持辅助生成车道线和车道线类型，可人工确认并修改；支持辅助生产电警场景配置线和信号灯检测框，可人工确认并修改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5、右转弯压实线检测功能检查：支持车辆右转弯压实线检测并抓拍。</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6、外接鱼眼相机联动功能检查：支持两台设备（一个卡口、一个电警）和外接鱼眼相机，实现车辆的管控取证和违章变道的取证（支持配合终端服务器输出卡口和电警的抓拍合成图，可配置输出合成鱼眼图）。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7、车身颜色识别功能检查 ：支持识别不少于 39 种车身颜色，包括白、黑、红、黄、灰、蓝、绿、粉、紫、暗紫、棕、栗色、银灰、暗灰、白烟、深橙、浅玫瑰、番茄红、橄榄、金、暗橄榄、黄绿、绿黄、森林绿、海洋绿、深天蓝、青、深蓝、深红、深绿、深黄、深粉、深紫、深棕、深青、橙、深金、粉红、其他；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支持识别车身副颜色。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8、车牌识别功能检查 ：支持对25×10 像素～1100×3000 像素的机动车车牌进行抓拍并识别号码；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支持抓拍并识别垂直倾斜角度≤45°、水平倾斜角度≤35°、俯仰角度≤40°的机动车车牌号码。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9、目标跟踪功能检查 ：支持检测并跟踪指定区域内不少于 245 个目标，目标包括机动车、非机动车以及行人。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10、车辆子品牌识别功能检查：支持车辆子品牌识别，对车头图片进行分析抓拍，可分析输出OSD叠加7200种车辆子品牌并显示相应的年款，对车尾图片进行分析抓拍，可分析输出 OSD 叠加3900 种车辆子品牌并显示相应的年款。</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11、司乘人员抓拍性能试验：支持前排人脸检测，并识别主驾驶员的性别、是否戴眼镜结构化属性信息，可在抓拍图上叠加主/副驾驶人脸小图和主驾驶员的结构化属性信息。</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在天气晴朗无雾，车辆无遮挡，白天环境光照度不低于200lx，夜晚辅助光照度不高于30lx的情况下进行测试。车辆前排人脸抓拍废片率≤1%。前排人脸抓拍率≥99%。其中，车辆前排人脸抓拍废片率=抓拍图上叠加的小图为非人脸的车辆数/实际过车数；前排人脸抓拍率=抓拍人脸数/实际过车中前排人脸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12、支持配置开启码流智能编码模式,通过算法识别画面中的关键目标,对高价值目标保留高清细节,重复背景信息进行超高压缩,降低码率功能,目标时间占有率低于50%时,码率可降低不少于50%,降低视频码流存储压力。</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8"/>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主控制器</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1、内置≥1块4T硬盘，具有18个10M/100M/1000M自适应RJ45接口，其中P1～P16与G1处于同一网段、G2处于另一网段；2个1000M SFP光端接口，分别与G1、G2处于同一网段。</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具有2个RS-232接口、2个RS-485接口、1个USB 3.0接口、2路报警输入接口、2路报警输出接口、1个音频输入接口、1个音频输出接口、4个SATA接口、4个状态指示灯、1个接地端子。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支持IP地址过滤、SSH开关自定义、视频水印等安全防护功能，具有ARP防攻击设置选项、具备强密码管理功能；支持WEB回话Session ID、数据传输加密、固件完整性等安全检验。</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2、设备均应具备权限管理、数据加密、运行日志功能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设备应设置操作口令，宜有图像加密，放篡改、防非法复制等措施，以保证原始数据的完整性。重要的图像应加以保护，不被删除和覆盖。设备应有防偶发死机的措施（如硬件看门狗或软件、硬件看门狗或定时自动启动等），死机后的自动恢复时间应满足GB20815中的8.12的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支持接入具有ABF聚焦功能的摄像机，可对视频图像进行ABF聚焦；支持接入鱼眼摄像机、双目摄像机、三目摄像机、四目摄像机、八目枪球联动一体机及全局摄像机，并可将视频图像以多画面分割方式显示，可自定义画面布局。</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摄像机与客户端分别连接样机的不同网段时，客户端可以通过端口映射，跨网段直接访问摄像机，对摄像机进行操作，包括进行参数配置、录像实时预览等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支持将1张、2张、3张、4张、5张、6张图片合成，支持选择图片形状，修改顺序，支持原始图片去黑边。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4、支持4块3.5或2.5英寸硬盘接入，每块盘位最大兼容12TB硬盘，支持硬盘自动切换，当一块硬盘损坏后，能自动切换至其它硬盘进行存储。支持SSD,机械硬盘和SSD可以混合使用。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5、外接机柜门时，通过连接开关量信号及相应的设置，当机柜门打开后，联动声音报警。</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配置路段名称、路段编号、路段距离，能够对驶入驶出该路段的车辆抓拍数据匹配并计算车辆的区间速度值；支持设置过滤阈值，对异常测速结果进行过滤；支持超速检测和欠速检测，可分别设定高限速和低限速值；</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支持相同车牌号去重功能，多相机抓拍同一车牌号仅上传一条该车牌条记录到平台。</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可对IP通道进行图像虚焦、亮度异常、图像偏色、雪花干扰、条纹干扰等类型视频质量进行诊断，可生成诊断信息并导出查看。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支持按图片类型区分设置显示内容和字体颜色、是否启用语音播报及播报内容，支持的图片类型有超速、违法变道、违法停车、预违停、违法倒车、逆行、卡口、未礼让行人、闯红灯、不按导向箭头行驶、车辆拥堵禁入、压白线、机占非、占用应急车道、右转不礼让行人、大弯小转、禁货等。</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抱杆机柜</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采用优质冷轧钢材质，厚度≥1.0mm；可调节层板；产品尺寸≥400mm(宽)×300mm(深)×500mm(高)；内部配置≥1个双路电源防雷器，≥1个双路10A电源空开模块，≥1个3芯插座。防护等级≥IP54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3"/>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优质冷轧钢材质，厚度≥1.2mm；可调节层板；有效防水防尘；产品尺寸≥630mm(宽)×510mm(深)×955mm(高)；内部配置≥1个双路220V电源防雷器，电源空开模块（≥1个2P40A、≥8个单P10A），≥1个3芯插座，≥2个风扇（带温控）；防护等级≥IP54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多孔插座</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落地机柜内用多孔插座，线长1.8米；10A/250V/2500W；2孔*4+5孔*4</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落地机柜基础浇筑</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落地箱基础尺寸不小于800*800*600；含挖填土、土方清运、围挡、风镐及其他辅助工序；C25商砼浇筑；含2根PE75管连接杆件；2根PE75管连接线缆窖井；含基础养护、保护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71"/>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4电1光全千兆工业级网管型交换机</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1.支持≥4个 10/100/1000Base-X 电口，≥1个 1000Base-X SFP光口，含1对千兆光模块传输距离不低于20km。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2.交换容量 52G，全线速转发，MAC 地址 8K。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3.考虑监控视频的特性，巨帧传输长度不小于 12000bytes,平均丢包率为 0 。接触放电±8kV,空气放电±15kV，符合GB/T 17626.2-2018《电磁兼容试验与测量技术静电放电抗扰度试验》并通过国家安全防范报警系统产品质量检测。</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4.支持环网冗余技术，自愈时间≤50ms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5.支持AC24V±30%供电，工作温度-40-85℃，1270nm≤中心波长≤1355nm，1530nm≤中心波长≤1565nm。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6.卡轨式波纹型材机壳，IP40 防护等级，双电源冗余输入，5.08mm 工业端子电源接口。</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8电4光全千兆工业级网管型交换机</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1、支持≥8个100Base-X电口，≥4个100Base-X SFP光口，含4对千兆光模块传输距离不低于20km。</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2、支持设备准入，支持未认证新设备接入告警与阻断，支持电源告警，端口回环告警，IP/MAC冲突告警。符合GB/T 30094-2013工业以太网交换机技术规范并通过国家安全防范报警系统产品质量检测要求。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3、交换机主芯片采用国产化方案，符合YD/T1141-2022《以太网交换机测试方法》 </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4、支持-40~85℃温度范围满负载工作，支持双电源冗余输入，支持电源过载防反接保护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辅助材料</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抱箍、标签色带、套管、信号线、接地线、接头、五金件等</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车道</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基础预埋件8-M27×1500</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L4、L6、L8、T6+6、T8+4杆件使用。8-M27×1500mm（个）。含预埋件、预埋件紧固件、垫片、螺帽及预埋件安装费、预埋件运至施工现场费用。</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立杆接地和基础包封系统</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不小于2.5M接地角铁L40×4；镀锌扁铁－40×4与杆件连接，杆件上接地电阻小于4欧姆。含接地系统预埋、定位、安装、接地桩焊接、现场电阻测试；含杆件螺栓黄油保护、基础混凝土包封和养护工作。</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3"/>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杆件基础开挖及浇筑</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土方开挖尺寸为：（8-M27×150</w:t>
            </w:r>
            <w:r>
              <w:rPr>
                <w:rFonts w:hint="eastAsia" w:ascii="宋体" w:hAnsi="宋体" w:eastAsia="宋体" w:cs="宋体"/>
                <w:i w:val="0"/>
                <w:iCs w:val="0"/>
                <w:color w:val="000000"/>
                <w:sz w:val="18"/>
                <w:szCs w:val="18"/>
                <w:highlight w:val="none"/>
                <w:u w:val="none"/>
                <w:lang w:val="en-US" w:eastAsia="zh-CN" w:bidi="ar"/>
              </w:rPr>
              <w:t xml:space="preserve">0mm—1.5米×1.5米×1.9米），（8-M27×1800mm—1.8米×1.8米×2.2米）×3，（8-M30×1800及8-M30×2000mm—1.8米×1.8米×2.4米），（落地柜—0.8米×0.8米×0.6米）；混凝土尺寸为（8-M27×1500mm—1.5米×1.5米×1.7米），（8-M27×1800mm—1.8米×1.8米×2.0米），（8-M30×1800及8-M30×2000mm—1.8米×1.8米×2.2米），（落地柜——0.8米×0.8米×0.6米）；本项按混凝土浇筑尺寸计量。</w:t>
            </w:r>
            <w:r>
              <w:rPr>
                <w:rFonts w:hint="eastAsia" w:ascii="宋体" w:hAnsi="宋体" w:eastAsia="宋体" w:cs="宋体"/>
                <w:i w:val="0"/>
                <w:iCs w:val="0"/>
                <w:color w:val="000000"/>
                <w:sz w:val="18"/>
                <w:szCs w:val="18"/>
                <w:highlight w:val="none"/>
                <w:u w:val="none"/>
                <w:lang w:val="en-US" w:eastAsia="zh-CN" w:bidi="ar"/>
              </w:rPr>
            </w:r>
            <w:r/>
          </w:p>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土方开挖（不区分开挖方式及土质）、土方清运、围挡、风镐、上沿制模（30CM木模）、抹平及其他辅助工序；基坑底层较混凝土浇筑尺寸下沉20CM用于顶部绿化恢复；C25商砼浇筑；含2根PE75管连接杆件；含基础养护、保护。</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设备喷特殊绿色</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根据道路色号改色</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机箱电源线及敷设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RVV3×1.5mm；含穿引线、扫管、穿线、编号、塑料标签、接线、包头施工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网线及敷设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室外防水六类；含穿引线、扫管、穿线、编号、塑料标签、接线、包头施工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室外单模铠装光缆，4芯；含管内穿引线、扫管、穿线、编号、塑料标签、包头施工、光缆光纤头熔接、尾纤头及光缆测试交付</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光缆终端盒</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FC8口</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80"/>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光纤跳线</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FC-FC1.5米单模</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条</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金属波纹管及敷设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金属波纹管,直径25mm，沿杆件、墙壁敷设，含卡箍</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绿化内管沟开挖及管道敷设</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管顶至地面不得低于60CM；2*PE75mm管敷设施工要求；含开挖、PE管敷设、土方回填夯实、弃土清运、绿化恢复。含2*PE75管材（壁厚不小于7MM）</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07"/>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窨井及井盖</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500mm*500mm盖板（钢筋骨架、金属包边、表面“经开公安”字样、砼预制井盖）及井圈（钢筋骨架、砼预置井圈）；含窖井内土石方开挖（不区分开挖方式及土质）、红砖及水泥砌筑；井内圈净尺寸不小于500mm*500mm*50mm0；含土方清运、围挡、风镐及其他辅助工序；含井圈井盖安装。</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顶管</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含2*PE75mm；含材料费、钻孔、扩孔、回托布管、施工作业面开挖恢复、泥浆和弃土清运等所有费用。双PE75mm管材（壁厚不小于7mm）</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7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原有杆件拆除、安装</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包含原有杆件上设备拆除、落地机柜拆除等</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5"/>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七</w:t>
            </w:r>
            <w:r>
              <w:rPr>
                <w:rFonts w:hint="eastAsia" w:ascii="宋体" w:hAnsi="宋体" w:eastAsia="宋体" w:cs="宋体"/>
                <w:b/>
                <w:bCs/>
                <w:i w:val="0"/>
                <w:iCs w:val="0"/>
                <w:color w:val="000000"/>
                <w:sz w:val="18"/>
                <w:szCs w:val="18"/>
                <w:highlight w:val="none"/>
                <w:u w:val="none"/>
              </w:rPr>
            </w:r>
            <w:r/>
          </w:p>
        </w:tc>
        <w:tc>
          <w:tcPr>
            <w:gridSpan w:val="8"/>
            <w:tcW w:w="14575"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分局存储</w:t>
            </w:r>
            <w:r>
              <w:rPr>
                <w:rFonts w:hint="eastAsia" w:ascii="宋体" w:hAnsi="宋体" w:eastAsia="宋体" w:cs="宋体"/>
                <w:b/>
                <w:bCs/>
                <w:i w:val="0"/>
                <w:iCs w:val="0"/>
                <w:color w:val="000000"/>
                <w:sz w:val="18"/>
                <w:szCs w:val="18"/>
                <w:highlight w:val="none"/>
                <w:u w:val="none"/>
                <w:lang w:val="en-US" w:eastAsia="zh-CN" w:bidi="ar"/>
              </w:rPr>
            </w:r>
            <w:r/>
          </w:p>
        </w:tc>
      </w:tr>
      <w:tr>
        <w:trPr>
          <w:trHeight w:val="752"/>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视频存储</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系统架构：</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全对称架构，业务负载均衡，节点故障业务自迁移；</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内置流媒体服务，支持视频流直存，无需额外流媒体存储转发服务器；</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支持容器云平台，视图管理软件容器化，存储、转发服务按需部署。</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硬件配置：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处理器：配置≥2颗CPU处理器，每颗CPU核心数≥16核，每颗CPU主频≥2.4GHz；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内存：配置≥48G 内存；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硬盘：配置≥2块960GB SAS SSD 系统盘，≥36 块 16TB SATA 硬盘；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网络接口：配置≥4*GE，≥2*10GE；</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配置≥2个热插拔 2000W 交流电源模块,支持 1+1 冗余。</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功能要求：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支持实况、录像回放、电视墙显示管理等；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 H.264、H.265、MJPEG 等格式；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 TCP，UDP，IPv4，HTTP，HTTPS，RTP，RTSP，RTCP，SIP，ARP，SSL，NTP，</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SMTP 等网络协议；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支持实时/历史视频、图片等备份模式。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性能要求：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最大支持 1200 路@2Mbps 视图接入；</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最大支持 1200 路@2Mbps 实况转发。</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开放框架：</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南向对接：接入插件化集成，支持 Onvif2.4 以及 Onvif Profile S、GB/T28181、1400、主</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流摄像机厂家 SDK；</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北向对接：SDK、Restful；</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质保：原厂5年质保（含硬盘不返还服务）。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对接要求：支持与分局视频存储平台无缝接入。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293"/>
        </w:trPr>
        <w:tc>
          <w:tcPr>
            <w:tcW w:w="521"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219"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图片存储</w:t>
            </w:r>
            <w:r>
              <w:rPr>
                <w:rFonts w:hint="eastAsia" w:ascii="宋体" w:hAnsi="宋体" w:eastAsia="宋体" w:cs="宋体"/>
                <w:i w:val="0"/>
                <w:iCs w:val="0"/>
                <w:color w:val="000000"/>
                <w:sz w:val="18"/>
                <w:szCs w:val="18"/>
                <w:highlight w:val="none"/>
                <w:u w:val="none"/>
              </w:rPr>
            </w:r>
            <w:r/>
          </w:p>
        </w:tc>
        <w:tc>
          <w:tcPr>
            <w:tcW w:w="8484" w:type="dxa"/>
            <w:vAlign w:val="center"/>
            <w:textDirection w:val="lrTb"/>
            <w:noWrap w:val="false"/>
          </w:tcPr>
          <w:p>
            <w:pPr>
              <w:pStyle w:val="1048"/>
              <w:ind w:firstLine="0"/>
              <w:jc w:val="left"/>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全对称分布式架构部署，单集群内不需要独立的元数据服务器，随着存储节点数的增加，分布式存储性能和容量随着线性增长；支持创建单一文件系统和跨存储节点的单一全局命名空间功能。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硬件配置：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处理器：配置≥2颗CPU处理器，每颗CPU核心数≥48核，每颗CPU主频≥2.6GHz；</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内存：配置≥256G 内存；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硬盘：配置≥36块 20TB SATA 硬盘，≥1块3.2TB SSD NVMe 缓存加速盘，≥2块480GB SSD系统盘；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内部网络：配置≥1块双口10G多模 SFP+光纤网卡（满配光模块）；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外部网络：配置≥1块双口10G多模 SFP+光纤网卡（满配光模块）；</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配置≥2个2000W热插拔交流电源模块，支持 1+1 冗余电源。</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功能要求：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支持对用户、用户组、目录设置配额；配额限制资源类型支持空间配额、文件数配额。空间配额用于管理和监控存储空间的使用情况；文件数配额用于管理和监控文件数量的使用情况；</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支持在线扩容，扩容过程中业务不中断；</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支持异常掉电数据不丢失功能；</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 EC 纠删码数据保护方式，不依赖于硬件 RAID 保护；</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一套存储支持 NFS/SMB/S3 多种访问协议，无需配置独立的网关节点；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支持多种网络类型，包括 10GbE、25GbE 等；</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支持业务负载均衡，支持业务在节点、硬盘、网口间的负载均衡；节点内磁盘间容量误差率不超 2%，节点间容量误差不超 0.2%；</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支持以节点池为单位设定数据保护策略，可以设置不同的N+M配比，支持22+2的大比例配比，当节点故障时，支持自动调整配比；</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支持将小文件（＜1M）自适应聚合成不同大小的文件写入磁盘；</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支持元数据检索功能；可针对文件名、文件大小、创建时间、所属用户、扩展属性等元</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数据项查询，且不区分不同服务写入的文件，可通过管理界面或REST接口查询，无需独立的服务节点；</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支持回收站功能，回收站内文件的保留时长和扫描周期可配置；</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支持硬盘故障检测，提前感知硬盘故障风险；</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性能要求：</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1TB 数据修复时间小于 30 分钟</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单节点可支持文件数不小于40亿。</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监控管理：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支持集群资源管理、基本信息监控、性能监控、告警管理、用户管理、硬件管理、网络拓扑管理；</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支持查看 CPU 利用率、内存利用率、带宽、IOPS 信息统计；支持监控集群、存储池、</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节点、网口、客户端、硬盘、复制链路、数据流动、NFS 客户端、CIFS 客户端、并行客户端的性能指标，支持对监控对象的性能指标进行 TOPN 排序；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实时告警，支持 SNMP、邮件、syslog 等告警方式；</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质保：原厂 5 年质保（含硬盘不返还服务）；</w:t>
            </w:r>
            <w:r>
              <w:rPr>
                <w:rFonts w:hint="eastAsia" w:ascii="宋体" w:hAnsi="宋体" w:eastAsia="宋体" w:cs="宋体"/>
                <w:i w:val="0"/>
                <w:iCs w:val="0"/>
                <w:color w:val="000000"/>
                <w:sz w:val="18"/>
                <w:szCs w:val="18"/>
                <w:highlight w:val="none"/>
                <w:u w:val="none"/>
                <w:lang w:val="en-US" w:eastAsia="zh-CN" w:bidi="ar"/>
              </w:rPr>
              <w:br w:type="textWrapping" w:clear="all"/>
            </w:r>
            <w:r>
              <w:rPr>
                <w:rFonts w:hint="eastAsia" w:ascii="宋体" w:hAnsi="宋体" w:eastAsia="宋体" w:cs="宋体"/>
                <w:i w:val="0"/>
                <w:iCs w:val="0"/>
                <w:color w:val="000000"/>
                <w:sz w:val="18"/>
                <w:szCs w:val="18"/>
                <w:highlight w:val="none"/>
                <w:u w:val="none"/>
                <w:lang w:val="en-US" w:eastAsia="zh-CN" w:bidi="ar"/>
              </w:rPr>
              <w:t xml:space="preserve">对接要求：支持与分局图片存储系统无缝接入。</w:t>
            </w:r>
            <w:r>
              <w:rPr>
                <w:rFonts w:hint="eastAsia" w:ascii="宋体" w:hAnsi="宋体" w:eastAsia="宋体" w:cs="宋体"/>
                <w:i w:val="0"/>
                <w:iCs w:val="0"/>
                <w:color w:val="000000"/>
                <w:sz w:val="18"/>
                <w:szCs w:val="18"/>
                <w:highlight w:val="none"/>
                <w:u w:val="none"/>
              </w:rPr>
            </w:r>
            <w:r/>
          </w:p>
        </w:tc>
        <w:tc>
          <w:tcPr>
            <w:tcW w:w="696"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W w:w="732" w:type="dxa"/>
            <w:vAlign w:val="center"/>
            <w:textDirection w:val="lrTb"/>
            <w:noWrap w:val="false"/>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03"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28"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74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869"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66"/>
        </w:trPr>
        <w:tc>
          <w:tcPr>
            <w:gridSpan w:val="3"/>
            <w:tcW w:w="10224" w:type="dxa"/>
            <w:vAlign w:val="center"/>
            <w:textDirection w:val="lrTb"/>
            <w:noWrap/>
          </w:tcPr>
          <w:p>
            <w:pPr>
              <w:pStyle w:val="1048"/>
              <w:ind w:firstLine="0"/>
              <w:jc w:val="center"/>
              <w:keepLines w:val="0"/>
              <w:keepNext w:val="0"/>
              <w:pageBreakBefore w:val="0"/>
              <w:spacing w:line="22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合计（元）</w:t>
            </w:r>
            <w:r>
              <w:rPr>
                <w:rFonts w:hint="eastAsia" w:ascii="宋体" w:hAnsi="宋体" w:eastAsia="宋体" w:cs="宋体"/>
                <w:i w:val="0"/>
                <w:iCs w:val="0"/>
                <w:color w:val="000000"/>
                <w:sz w:val="18"/>
                <w:szCs w:val="18"/>
                <w:highlight w:val="none"/>
                <w:u w:val="none"/>
                <w:lang w:val="en-US" w:eastAsia="zh-CN" w:bidi="ar"/>
              </w:rPr>
            </w:r>
            <w:r/>
          </w:p>
        </w:tc>
        <w:tc>
          <w:tcPr>
            <w:gridSpan w:val="6"/>
            <w:tcW w:w="4872" w:type="dxa"/>
            <w:vAlign w:val="center"/>
            <w:textDirection w:val="lrTb"/>
            <w:noWrap/>
          </w:tcPr>
          <w:p>
            <w:pPr>
              <w:pStyle w:val="1048"/>
              <w:ind w:firstLine="0"/>
              <w:jc w:val="both"/>
              <w:keepLines w:val="0"/>
              <w:keepNext w:val="0"/>
              <w:pageBreakBefore w:val="0"/>
              <w:spacing w:line="22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99"/>
        </w:trPr>
        <w:tc>
          <w:tcPr>
            <w:gridSpan w:val="9"/>
            <w:tcW w:w="15096" w:type="dxa"/>
            <w:vAlign w:val="center"/>
            <w:textDirection w:val="lrTb"/>
            <w:noWrap/>
          </w:tcPr>
          <w:p>
            <w:pPr>
              <w:pStyle w:val="1048"/>
              <w:ind w:firstLine="0"/>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rPr>
            </w:pPr>
            <w:r>
              <w:rPr>
                <w:rFonts w:hint="eastAsia" w:ascii="宋体" w:hAnsi="宋体" w:eastAsia="宋体" w:cs="Arial"/>
                <w:b/>
                <w:bCs/>
                <w:color w:val="ff0000"/>
                <w:sz w:val="21"/>
                <w:szCs w:val="21"/>
                <w:highlight w:val="none"/>
              </w:rPr>
              <w:t xml:space="preserve">本采购包中提供的符合本国产品标准的产品成本之和占该采购包提供的全部产品成本之和的比例为</w:t>
            </w:r>
            <w:r>
              <w:rPr>
                <w:rFonts w:hint="eastAsia" w:ascii="宋体" w:hAnsi="宋体" w:eastAsia="宋体" w:cs="Arial"/>
                <w:b/>
                <w:bCs/>
                <w:color w:val="ff0000"/>
                <w:sz w:val="21"/>
                <w:szCs w:val="21"/>
                <w:highlight w:val="none"/>
                <w:u w:val="single"/>
                <w:lang w:val="en-US" w:eastAsia="zh-CN"/>
              </w:rPr>
              <w:t xml:space="preserve">     </w:t>
            </w:r>
            <w:r>
              <w:rPr>
                <w:rFonts w:hint="eastAsia" w:ascii="宋体" w:hAnsi="宋体" w:eastAsia="宋体" w:cs="Arial"/>
                <w:b/>
                <w:bCs/>
                <w:color w:val="ff0000"/>
                <w:sz w:val="21"/>
                <w:szCs w:val="21"/>
                <w:highlight w:val="none"/>
              </w:rPr>
              <w:t xml:space="preserve">%。</w:t>
            </w:r>
            <w:r>
              <w:rPr>
                <w:rFonts w:hint="eastAsia" w:ascii="宋体" w:hAnsi="宋体" w:eastAsia="宋体" w:cs="宋体"/>
                <w:i w:val="0"/>
                <w:iCs w:val="0"/>
                <w:color w:val="000000"/>
                <w:sz w:val="18"/>
                <w:szCs w:val="18"/>
                <w:highlight w:val="none"/>
                <w:u w:val="none"/>
              </w:rPr>
            </w:r>
            <w:r/>
          </w:p>
        </w:tc>
      </w:tr>
    </w:tbl>
    <w:p>
      <w:pPr>
        <w:pStyle w:val="1048"/>
        <w:ind w:firstLine="420"/>
        <w:jc w:val="left"/>
        <w:keepLines w:val="0"/>
        <w:keepNext w:val="0"/>
        <w:pageBreakBefore w:val="0"/>
        <w:spacing w:line="2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注：1.本表应按包分别填写。</w:t>
      </w:r>
      <w:r>
        <w:rPr>
          <w:rFonts w:hint="eastAsia" w:ascii="宋体" w:hAnsi="宋体" w:eastAsia="宋体" w:cs="宋体"/>
          <w:color w:val="000000"/>
          <w:sz w:val="21"/>
          <w:szCs w:val="21"/>
          <w:highlight w:val="none"/>
        </w:rPr>
      </w:r>
      <w:r/>
    </w:p>
    <w:p>
      <w:pPr>
        <w:pStyle w:val="1048"/>
        <w:ind w:firstLine="840"/>
        <w:jc w:val="left"/>
        <w:keepLines w:val="0"/>
        <w:keepNext w:val="0"/>
        <w:pageBreakBefore w:val="0"/>
        <w:spacing w:line="2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2.如果不提供分项报价将视为没有实质性响应招标文件。</w:t>
      </w:r>
      <w:r>
        <w:rPr>
          <w:rFonts w:hint="eastAsia" w:ascii="宋体" w:hAnsi="宋体" w:eastAsia="宋体" w:cs="宋体"/>
          <w:color w:val="000000"/>
          <w:sz w:val="21"/>
          <w:szCs w:val="21"/>
          <w:highlight w:val="none"/>
        </w:rPr>
      </w:r>
      <w:r/>
    </w:p>
    <w:p>
      <w:pPr>
        <w:pStyle w:val="1048"/>
        <w:ind w:firstLine="840"/>
        <w:jc w:val="left"/>
        <w:keepLines w:val="0"/>
        <w:keepNext w:val="0"/>
        <w:pageBreakBefore w:val="0"/>
        <w:spacing w:line="2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3.本表行数可以按照项目分项情况增加。</w:t>
      </w:r>
      <w:r>
        <w:rPr>
          <w:rFonts w:hint="eastAsia" w:ascii="宋体" w:hAnsi="宋体" w:eastAsia="宋体" w:cs="宋体"/>
          <w:color w:val="000000"/>
          <w:sz w:val="21"/>
          <w:szCs w:val="21"/>
          <w:highlight w:val="none"/>
        </w:rPr>
      </w:r>
      <w:r/>
    </w:p>
    <w:p>
      <w:pPr>
        <w:pStyle w:val="1048"/>
        <w:ind w:firstLine="840"/>
        <w:jc w:val="left"/>
        <w:keepLines w:val="0"/>
        <w:keepNext w:val="0"/>
        <w:pageBreakBefore w:val="0"/>
        <w:spacing w:line="2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4.上述各项的详细规格、技术参数如表格中填写不下的，可以逐项另页描述。</w:t>
      </w:r>
      <w:r>
        <w:rPr>
          <w:rFonts w:hint="eastAsia" w:ascii="宋体" w:hAnsi="宋体" w:eastAsia="宋体" w:cs="宋体"/>
          <w:color w:val="000000"/>
          <w:sz w:val="21"/>
          <w:szCs w:val="21"/>
          <w:highlight w:val="none"/>
        </w:rPr>
      </w:r>
      <w:r/>
    </w:p>
    <w:p>
      <w:pPr>
        <w:pStyle w:val="1048"/>
        <w:ind w:firstLine="8190"/>
        <w:jc w:val="left"/>
        <w:keepLines w:val="0"/>
        <w:keepNext w:val="0"/>
        <w:pageBreakBefore w:val="0"/>
        <w:spacing w:line="240" w:lineRule="exact"/>
        <w:widowControl w:val="off"/>
        <w:tabs>
          <w:tab w:val="left" w:pos="1800" w:leader="none"/>
          <w:tab w:val="left" w:pos="558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投标人名称（加盖公章）：___________</w:t>
      </w:r>
      <w:r>
        <w:rPr>
          <w:rFonts w:hint="eastAsia" w:ascii="宋体" w:hAnsi="宋体" w:eastAsia="宋体" w:cs="宋体"/>
          <w:color w:val="000000"/>
          <w:sz w:val="21"/>
          <w:szCs w:val="21"/>
          <w:highlight w:val="none"/>
        </w:rPr>
      </w:r>
      <w:r/>
    </w:p>
    <w:p>
      <w:pPr>
        <w:pStyle w:val="1048"/>
        <w:ind w:firstLine="8190"/>
        <w:jc w:val="left"/>
        <w:keepLines w:val="0"/>
        <w:keepNext w:val="0"/>
        <w:pageBreakBefore w:val="0"/>
        <w:spacing w:line="240" w:lineRule="exact"/>
        <w:widowControl w:val="off"/>
        <w:tabs>
          <w:tab w:val="left" w:pos="1800" w:leader="none"/>
          <w:tab w:val="left" w:pos="5580" w:leader="none"/>
        </w:tabs>
        <w:rPr>
          <w:rFonts w:ascii="宋体" w:hAnsi="宋体"/>
          <w:color w:val="000000"/>
          <w:sz w:val="24"/>
          <w:szCs w:val="20"/>
          <w:highlight w:val="none"/>
        </w:rPr>
      </w:pPr>
      <w:r>
        <w:rPr>
          <w:rFonts w:hint="eastAsia" w:ascii="宋体" w:hAnsi="宋体" w:eastAsia="宋体" w:cs="宋体"/>
          <w:color w:val="000000"/>
          <w:sz w:val="21"/>
          <w:szCs w:val="21"/>
          <w:highlight w:val="none"/>
        </w:rPr>
        <w:t xml:space="preserve">日期：________年______月______日   </w:t>
      </w:r>
      <w:r>
        <w:rPr>
          <w:rFonts w:ascii="宋体" w:hAnsi="宋体"/>
          <w:color w:val="000000"/>
          <w:sz w:val="24"/>
          <w:szCs w:val="20"/>
          <w:highlight w:val="none"/>
        </w:rPr>
        <w:t xml:space="preserve"> </w:t>
      </w:r>
      <w:r>
        <w:rPr>
          <w:rFonts w:ascii="宋体" w:hAnsi="宋体"/>
          <w:color w:val="000000"/>
          <w:sz w:val="24"/>
          <w:szCs w:val="20"/>
          <w:highlight w:val="none"/>
        </w:rPr>
      </w:r>
      <w:r/>
    </w:p>
    <w:p>
      <w:pPr>
        <w:pStyle w:val="1048"/>
        <w:ind w:firstLine="420"/>
        <w:jc w:val="left"/>
        <w:keepLines w:val="0"/>
        <w:keepNext w:val="0"/>
        <w:pageBreakBefore w:val="0"/>
        <w:spacing w:line="240" w:lineRule="exact"/>
        <w:widowControl w:val="off"/>
        <w:tabs>
          <w:tab w:val="left" w:pos="1800" w:leader="none"/>
          <w:tab w:val="left" w:pos="5580" w:leader="none"/>
        </w:tabs>
        <w:rPr>
          <w:rFonts w:hint="eastAsia" w:ascii="宋体" w:hAnsi="宋体" w:eastAsia="宋体" w:cs="宋体"/>
          <w:color w:val="000000"/>
          <w:sz w:val="21"/>
          <w:szCs w:val="21"/>
          <w:highlight w:val="none"/>
        </w:rPr>
        <w:sectPr>
          <w:footnotePr/>
          <w:endnotePr/>
          <w:type w:val="nextPage"/>
          <w:pgSz w:w="16840" w:h="11907" w:orient="landscape"/>
          <w:pgMar w:top="1701" w:right="1418" w:bottom="1134" w:left="1418" w:header="851" w:footer="850" w:gutter="0"/>
          <w:cols w:num="1" w:sep="0" w:space="1701" w:equalWidth="1"/>
          <w:docGrid w:linePitch="360"/>
        </w:sectPr>
      </w:pPr>
      <w:r>
        <w:rPr>
          <w:rFonts w:hint="eastAsia" w:ascii="宋体" w:hAnsi="宋体" w:eastAsia="宋体" w:cs="宋体"/>
          <w:color w:val="000000"/>
          <w:sz w:val="21"/>
          <w:szCs w:val="21"/>
          <w:highlight w:val="none"/>
        </w:rPr>
      </w:r>
      <w:r/>
    </w:p>
    <w:p>
      <w:pPr>
        <w:pStyle w:val="1048"/>
        <w:jc w:val="left"/>
        <w:widowControl/>
        <w:rPr>
          <w:color w:val="000000"/>
          <w:sz w:val="24"/>
          <w:szCs w:val="20"/>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t xml:space="preserve">6.合同条款偏离表</w:t>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Pr>
          <w:rFonts w:hint="eastAsia" w:ascii="宋体" w:hAnsi="宋体" w:cs="宋体"/>
          <w:color w:val="000000"/>
          <w:szCs w:val="21"/>
          <w:highlight w:val="none"/>
        </w:rPr>
        <w:t xml:space="preserve">（实质性格式）</w:t>
      </w:r>
      <w:r>
        <w:rPr>
          <w:color w:val="000000"/>
          <w:sz w:val="24"/>
          <w:szCs w:val="20"/>
          <w:highlight w:val="none"/>
        </w:rPr>
      </w:r>
      <w:r/>
    </w:p>
    <w:p>
      <w:pPr>
        <w:pStyle w:val="1048"/>
        <w:spacing w:line="360" w:lineRule="auto"/>
        <w:rPr>
          <w:color w:val="000000"/>
          <w:sz w:val="24"/>
          <w:szCs w:val="20"/>
          <w:highlight w:val="none"/>
        </w:rPr>
      </w:pPr>
      <w:r>
        <w:rPr>
          <w:color w:val="000000"/>
          <w:sz w:val="24"/>
          <w:szCs w:val="20"/>
          <w:highlight w:val="none"/>
        </w:rPr>
      </w:r>
      <w:r/>
    </w:p>
    <w:p>
      <w:pPr>
        <w:pStyle w:val="1048"/>
        <w:jc w:val="center"/>
        <w:spacing w:line="360" w:lineRule="exact"/>
        <w:rPr>
          <w:rFonts w:hint="eastAsia"/>
          <w:b/>
          <w:color w:val="000000"/>
          <w:sz w:val="32"/>
          <w:szCs w:val="32"/>
          <w:highlight w:val="none"/>
        </w:rPr>
      </w:pPr>
      <w:r>
        <w:rPr>
          <w:rFonts w:hint="eastAsia"/>
          <w:b/>
          <w:color w:val="000000"/>
          <w:sz w:val="32"/>
          <w:szCs w:val="32"/>
          <w:highlight w:val="none"/>
        </w:rPr>
        <w:t xml:space="preserve">合同条款偏离表</w:t>
      </w:r>
      <w:r>
        <w:rPr>
          <w:rFonts w:hint="eastAsia"/>
          <w:b/>
          <w:color w:val="000000"/>
          <w:sz w:val="32"/>
          <w:szCs w:val="32"/>
          <w:highlight w:val="none"/>
        </w:rPr>
      </w:r>
      <w:r/>
    </w:p>
    <w:p>
      <w:pPr>
        <w:pStyle w:val="1048"/>
        <w:spacing w:line="360" w:lineRule="auto"/>
        <w:rPr>
          <w:color w:val="000000"/>
          <w:sz w:val="24"/>
          <w:szCs w:val="20"/>
          <w:highlight w:val="none"/>
        </w:rPr>
      </w:pPr>
      <w:r>
        <w:rPr>
          <w:color w:val="000000"/>
          <w:sz w:val="24"/>
          <w:szCs w:val="20"/>
          <w:highlight w:val="none"/>
        </w:rPr>
      </w:r>
      <w:r/>
    </w:p>
    <w:p>
      <w:pPr>
        <w:pStyle w:val="1048"/>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1290"/>
        <w:gridCol w:w="1980"/>
        <w:gridCol w:w="1981"/>
        <w:gridCol w:w="2424"/>
        <w:gridCol w:w="782"/>
      </w:tblGrid>
      <w:tr>
        <w:trPr>
          <w:trHeight w:val="930"/>
        </w:trPr>
        <w:tc>
          <w:tcPr>
            <w:gridSpan w:val="6"/>
            <w:tcW w:w="9288" w:type="dxa"/>
            <w:vAlign w:val="center"/>
            <w:textDirection w:val="lrTb"/>
            <w:noWrap w:val="false"/>
          </w:tcPr>
          <w:p>
            <w:pPr>
              <w:pStyle w:val="1048"/>
              <w:jc w:val="left"/>
              <w:rPr>
                <w:rFonts w:hint="eastAsia" w:ascii="宋体" w:hAnsi="宋体" w:cs="宋体"/>
                <w:b/>
                <w:color w:val="000000"/>
                <w:szCs w:val="21"/>
                <w:highlight w:val="none"/>
              </w:rPr>
            </w:pPr>
            <w:r>
              <w:rPr>
                <w:rFonts w:hint="eastAsia" w:ascii="宋体" w:hAnsi="宋体" w:cs="宋体"/>
                <w:b/>
                <w:color w:val="000000"/>
                <w:szCs w:val="21"/>
                <w:highlight w:val="none"/>
              </w:rPr>
              <w:t xml:space="preserve">对本项目合同条款的偏离情况（请进行勾选）：</w:t>
            </w:r>
            <w:r>
              <w:rPr>
                <w:rFonts w:hint="eastAsia" w:ascii="宋体" w:hAnsi="宋体" w:cs="宋体"/>
                <w:b/>
                <w:color w:val="000000"/>
                <w:szCs w:val="21"/>
                <w:highlight w:val="none"/>
              </w:rPr>
            </w:r>
            <w:r/>
          </w:p>
          <w:p>
            <w:pPr>
              <w:pStyle w:val="1048"/>
              <w:jc w:val="left"/>
              <w:rPr>
                <w:rFonts w:hint="eastAsia" w:ascii="宋体" w:hAnsi="宋体" w:cs="宋体"/>
                <w:b/>
                <w:color w:val="000000"/>
                <w:szCs w:val="21"/>
                <w:highlight w:val="none"/>
              </w:rPr>
            </w:pPr>
            <w:r>
              <w:rPr>
                <w:rFonts w:hint="eastAsia" w:ascii="宋体" w:hAnsi="宋体" w:cs="宋体"/>
                <w:b/>
                <w:color w:val="000000"/>
                <w:szCs w:val="21"/>
                <w:highlight w:val="none"/>
              </w:rPr>
              <w:t xml:space="preserve">□无偏离</w:t>
            </w:r>
            <w:r>
              <w:rPr>
                <w:rFonts w:hint="eastAsia" w:ascii="宋体" w:hAnsi="宋体" w:cs="宋体"/>
                <w:color w:val="000000"/>
                <w:szCs w:val="21"/>
                <w:highlight w:val="none"/>
              </w:rPr>
              <w:t xml:space="preserve">（如无偏离，仅勾选无偏离即可）</w:t>
            </w:r>
            <w:r>
              <w:rPr>
                <w:rFonts w:hint="eastAsia" w:ascii="宋体" w:hAnsi="宋体" w:cs="宋体"/>
                <w:b/>
                <w:color w:val="000000"/>
                <w:szCs w:val="21"/>
                <w:highlight w:val="none"/>
              </w:rPr>
            </w:r>
            <w:r/>
          </w:p>
          <w:p>
            <w:pPr>
              <w:pStyle w:val="1048"/>
              <w:jc w:val="left"/>
              <w:rPr>
                <w:rFonts w:hint="eastAsia" w:ascii="宋体" w:hAnsi="宋体" w:cs="宋体"/>
                <w:color w:val="000000"/>
                <w:szCs w:val="21"/>
                <w:highlight w:val="none"/>
              </w:rPr>
            </w:pPr>
            <w:r>
              <w:rPr>
                <w:rFonts w:hint="eastAsia" w:ascii="宋体" w:hAnsi="宋体" w:cs="宋体"/>
                <w:b/>
                <w:color w:val="000000"/>
                <w:szCs w:val="21"/>
                <w:highlight w:val="none"/>
              </w:rPr>
              <w:t xml:space="preserve">□有偏离</w:t>
            </w:r>
            <w:r>
              <w:rPr>
                <w:rFonts w:hint="eastAsia" w:ascii="宋体" w:hAnsi="宋体" w:cs="宋体"/>
                <w:color w:val="000000"/>
                <w:szCs w:val="21"/>
                <w:highlight w:val="none"/>
              </w:rPr>
              <w:t xml:space="preserve">（如有偏离，则应在本表中对偏离项逐一列明）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301"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招标文件条目号（页码）</w:t>
            </w:r>
            <w:r>
              <w:rPr>
                <w:rFonts w:hint="eastAsia" w:ascii="宋体" w:hAnsi="宋体" w:cs="宋体"/>
                <w:color w:val="000000"/>
                <w:szCs w:val="21"/>
                <w:highlight w:val="none"/>
              </w:rPr>
            </w:r>
            <w:r/>
          </w:p>
        </w:tc>
        <w:tc>
          <w:tcPr>
            <w:tcW w:w="2007"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00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投标文件内容</w:t>
            </w:r>
            <w:r>
              <w:rPr>
                <w:rFonts w:hint="eastAsia" w:ascii="宋体" w:hAnsi="宋体" w:cs="宋体"/>
                <w:color w:val="000000"/>
                <w:szCs w:val="21"/>
                <w:highlight w:val="none"/>
              </w:rPr>
            </w:r>
            <w:r/>
          </w:p>
        </w:tc>
        <w:tc>
          <w:tcPr>
            <w:tcW w:w="245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78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301"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48"/>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048"/>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对合同条款中的所有要求，除本表所列明的所有偏离外，均视作供应商已对之理解和响应。</w:t>
      </w:r>
      <w:r>
        <w:rPr>
          <w:rFonts w:hint="eastAsia" w:ascii="宋体" w:hAnsi="宋体" w:cs="宋体"/>
          <w:color w:val="000000"/>
          <w:szCs w:val="21"/>
          <w:highlight w:val="none"/>
        </w:rPr>
      </w:r>
      <w:r/>
    </w:p>
    <w:p>
      <w:pPr>
        <w:pStyle w:val="1048"/>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2.“偏离情况”列应据实填写“正偏离”或“负偏离”。</w:t>
      </w:r>
      <w:r>
        <w:rPr>
          <w:rFonts w:hint="eastAsia" w:ascii="宋体" w:hAnsi="宋体" w:cs="宋体"/>
          <w:color w:val="000000"/>
          <w:szCs w:val="21"/>
          <w:highlight w:val="none"/>
        </w:rPr>
      </w:r>
      <w:r/>
    </w:p>
    <w:p>
      <w:pPr>
        <w:pStyle w:val="104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048"/>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    ____________</w:t>
      </w:r>
      <w:r>
        <w:rPr>
          <w:rFonts w:hint="eastAsia" w:ascii="宋体" w:hAnsi="宋体" w:cs="宋体"/>
          <w:color w:val="000000"/>
          <w:szCs w:val="21"/>
          <w:highlight w:val="none"/>
          <w:lang w:val="zh-CN"/>
        </w:rPr>
      </w:r>
      <w:r/>
    </w:p>
    <w:p>
      <w:pPr>
        <w:pStyle w:val="1048"/>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   </w:t>
      </w:r>
      <w:r>
        <w:rPr>
          <w:color w:val="000000"/>
          <w:sz w:val="24"/>
          <w:highlight w:val="none"/>
          <w:lang w:val="zh-CN"/>
        </w:rPr>
      </w:r>
      <w:r/>
    </w:p>
    <w:p>
      <w:pPr>
        <w:pStyle w:val="1048"/>
        <w:spacing w:line="360" w:lineRule="auto"/>
        <w:rPr>
          <w:rFonts w:hint="eastAsia"/>
          <w:b/>
          <w:color w:val="000000"/>
          <w:sz w:val="36"/>
          <w:szCs w:val="36"/>
          <w:highlight w:val="none"/>
        </w:rPr>
        <w:outlineLvl w:val="2"/>
      </w:pPr>
      <w:r>
        <w:rPr>
          <w:color w:val="000000"/>
          <w:sz w:val="24"/>
          <w:szCs w:val="20"/>
          <w:highlight w:val="none"/>
        </w:rPr>
        <w:br w:type="page" w:clear="all"/>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rPr>
          <w:rFonts w:hint="eastAsia" w:ascii="宋体" w:hAnsi="宋体" w:cs="宋体"/>
          <w:color w:val="000000"/>
          <w:szCs w:val="21"/>
          <w:highlight w:val="none"/>
        </w:rPr>
        <w:t xml:space="preserve">7.采购需求偏离表（实质性格式）</w:t>
      </w:r>
      <w:r>
        <w:rPr>
          <w:rFonts w:hint="eastAsia"/>
          <w:b/>
          <w:color w:val="000000"/>
          <w:sz w:val="36"/>
          <w:szCs w:val="36"/>
          <w:highlight w:val="none"/>
        </w:rPr>
      </w:r>
      <w:r/>
    </w:p>
    <w:p>
      <w:pPr>
        <w:pStyle w:val="1048"/>
        <w:jc w:val="center"/>
        <w:spacing w:line="360" w:lineRule="exact"/>
        <w:rPr>
          <w:rFonts w:hint="eastAsia"/>
          <w:b/>
          <w:color w:val="000000"/>
          <w:sz w:val="32"/>
          <w:szCs w:val="32"/>
          <w:highlight w:val="none"/>
        </w:rPr>
      </w:pPr>
      <w:r>
        <w:rPr>
          <w:rFonts w:hint="eastAsia"/>
          <w:b/>
          <w:color w:val="000000"/>
          <w:sz w:val="32"/>
          <w:szCs w:val="32"/>
          <w:highlight w:val="none"/>
        </w:rPr>
        <w:t xml:space="preserve">采购需求偏离表</w:t>
      </w:r>
      <w:r>
        <w:rPr>
          <w:rFonts w:hint="eastAsia"/>
          <w:b/>
          <w:color w:val="000000"/>
          <w:sz w:val="32"/>
          <w:szCs w:val="32"/>
          <w:highlight w:val="none"/>
        </w:rPr>
      </w:r>
      <w:r/>
    </w:p>
    <w:p>
      <w:pPr>
        <w:pStyle w:val="1131"/>
        <w:rPr>
          <w:rFonts w:hint="eastAsia"/>
          <w:color w:val="000000"/>
          <w:highlight w:val="none"/>
        </w:rPr>
      </w:pPr>
      <w:r>
        <w:rPr>
          <w:rFonts w:hint="eastAsia"/>
          <w:color w:val="000000"/>
          <w:highlight w:val="none"/>
        </w:rPr>
      </w:r>
      <w:r/>
    </w:p>
    <w:p>
      <w:pPr>
        <w:pStyle w:val="1048"/>
        <w:ind w:firstLine="315"/>
        <w:jc w:val="left"/>
        <w:spacing w:line="360" w:lineRule="auto"/>
        <w:tabs>
          <w:tab w:val="left" w:pos="1800" w:leader="none"/>
          <w:tab w:val="left" w:pos="558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项目编号/包号：_____________________     项目名称：____________</w:t>
      </w:r>
      <w:r>
        <w:rPr>
          <w:rFonts w:hint="eastAsia" w:ascii="宋体" w:hAnsi="宋体" w:cs="宋体"/>
          <w:color w:val="000000"/>
          <w:szCs w:val="21"/>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482"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招标文件条目号(页码)</w:t>
            </w:r>
            <w:r>
              <w:rPr>
                <w:rFonts w:hint="eastAsia" w:ascii="宋体" w:hAnsi="宋体" w:cs="宋体"/>
                <w:color w:val="000000"/>
                <w:szCs w:val="21"/>
                <w:highlight w:val="none"/>
              </w:rPr>
            </w:r>
            <w:r/>
          </w:p>
        </w:tc>
        <w:tc>
          <w:tcPr>
            <w:tcW w:w="2384"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126"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投标响应内容</w:t>
            </w:r>
            <w:r>
              <w:rPr>
                <w:rFonts w:hint="eastAsia" w:ascii="宋体" w:hAnsi="宋体" w:cs="宋体"/>
                <w:color w:val="000000"/>
                <w:szCs w:val="21"/>
                <w:highlight w:val="none"/>
              </w:rPr>
            </w:r>
            <w:r/>
          </w:p>
        </w:tc>
        <w:tc>
          <w:tcPr>
            <w:tcW w:w="18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1009"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2"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2"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2"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2"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482"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7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482"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384"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126"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875"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009" w:type="dxa"/>
            <w:vAlign w:val="center"/>
            <w:textDirection w:val="lrTb"/>
            <w:noWrap w:val="false"/>
          </w:tcPr>
          <w:p>
            <w:pPr>
              <w:pStyle w:val="1048"/>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48"/>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048"/>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对招标文件中的所有商务、技术要求，除本表所列明的所有偏离外，均视作供应商已对之理解和响应。此表中若无任何文字说明，内容为空白，</w:t>
      </w:r>
      <w:r>
        <w:rPr>
          <w:rFonts w:hint="eastAsia" w:ascii="宋体" w:hAnsi="宋体" w:cs="宋体"/>
          <w:b/>
          <w:color w:val="000000"/>
          <w:szCs w:val="21"/>
          <w:highlight w:val="none"/>
        </w:rPr>
        <w:t xml:space="preserve">投标无效。</w:t>
      </w:r>
      <w:r>
        <w:rPr>
          <w:rFonts w:hint="eastAsia" w:ascii="宋体" w:hAnsi="宋体" w:cs="宋体"/>
          <w:color w:val="000000"/>
          <w:szCs w:val="21"/>
          <w:highlight w:val="none"/>
        </w:rPr>
      </w:r>
      <w:r/>
    </w:p>
    <w:p>
      <w:pPr>
        <w:pStyle w:val="1048"/>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2.“偏离情况”列应据实填写“正偏离”或“负偏离”。</w:t>
      </w:r>
      <w:r>
        <w:rPr>
          <w:rFonts w:hint="eastAsia" w:ascii="宋体" w:hAnsi="宋体" w:cs="宋体"/>
          <w:color w:val="000000"/>
          <w:szCs w:val="21"/>
          <w:highlight w:val="none"/>
        </w:rPr>
      </w:r>
      <w:r/>
    </w:p>
    <w:p>
      <w:pPr>
        <w:pStyle w:val="1048"/>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048"/>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    ____________</w:t>
      </w:r>
      <w:r>
        <w:rPr>
          <w:rFonts w:hint="eastAsia" w:ascii="宋体" w:hAnsi="宋体" w:cs="宋体"/>
          <w:color w:val="000000"/>
          <w:szCs w:val="21"/>
          <w:highlight w:val="none"/>
          <w:lang w:val="zh-CN"/>
        </w:rPr>
      </w:r>
      <w:r/>
    </w:p>
    <w:p>
      <w:pPr>
        <w:pStyle w:val="1048"/>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1048"/>
        <w:rPr>
          <w:rFonts w:hint="eastAsia"/>
          <w:color w:val="000000"/>
          <w:sz w:val="24"/>
          <w:szCs w:val="20"/>
          <w:highlight w:val="none"/>
        </w:rPr>
      </w:pPr>
      <w:r>
        <w:rPr>
          <w:rFonts w:hint="eastAsia"/>
          <w:color w:val="000000"/>
          <w:sz w:val="24"/>
          <w:szCs w:val="20"/>
          <w:highlight w:val="none"/>
        </w:rPr>
      </w:r>
      <w:r/>
    </w:p>
    <w:p>
      <w:pPr>
        <w:pStyle w:val="1119"/>
        <w:ind w:firstLine="480"/>
        <w:rPr>
          <w:rFonts w:hint="eastAsia"/>
          <w:color w:val="000000"/>
          <w:sz w:val="24"/>
          <w:highlight w:val="none"/>
        </w:rPr>
      </w:pPr>
      <w:r>
        <w:rPr>
          <w:rFonts w:hint="eastAsia"/>
          <w:color w:val="000000"/>
          <w:sz w:val="24"/>
          <w:highlight w:val="none"/>
        </w:rPr>
      </w:r>
      <w:r/>
    </w:p>
    <w:p>
      <w:pPr>
        <w:pStyle w:val="1048"/>
        <w:rPr>
          <w:rFonts w:hint="eastAsia"/>
          <w:color w:val="000000"/>
          <w:sz w:val="24"/>
          <w:szCs w:val="20"/>
          <w:highlight w:val="none"/>
        </w:rPr>
      </w:pPr>
      <w:r>
        <w:rPr>
          <w:rFonts w:hint="eastAsia"/>
          <w:color w:val="000000"/>
          <w:sz w:val="24"/>
          <w:szCs w:val="20"/>
          <w:highlight w:val="none"/>
        </w:rPr>
      </w:r>
      <w:r/>
    </w:p>
    <w:p>
      <w:pPr>
        <w:pStyle w:val="1119"/>
        <w:rPr>
          <w:rFonts w:hint="eastAsia"/>
          <w:color w:val="000000"/>
          <w:highlight w:val="none"/>
        </w:rPr>
      </w:pPr>
      <w:r>
        <w:rPr>
          <w:rFonts w:hint="eastAsia"/>
          <w:color w:val="000000"/>
          <w:highlight w:val="none"/>
        </w:rPr>
      </w:r>
      <w:r/>
    </w:p>
    <w:p>
      <w:pPr>
        <w:pStyle w:val="1119"/>
        <w:rPr>
          <w:rFonts w:hint="eastAsia"/>
          <w:color w:val="000000"/>
          <w:highlight w:val="none"/>
        </w:rPr>
      </w:pPr>
      <w:r>
        <w:rPr>
          <w:rFonts w:hint="eastAsia"/>
          <w:color w:val="000000"/>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8.项目实施方案等，包括但不限于如下主题：</w:t>
      </w:r>
      <w:r>
        <w:rPr>
          <w:rFonts w:hint="eastAsia" w:ascii="宋体" w:hAnsi="宋体" w:cs="宋体"/>
          <w:color w:val="000000"/>
          <w:szCs w:val="21"/>
          <w:highlight w:val="none"/>
        </w:rPr>
      </w:r>
      <w:r/>
    </w:p>
    <w:p>
      <w:pPr>
        <w:pStyle w:val="1048"/>
        <w:ind w:firstLine="210"/>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rPr>
        <w:t xml:space="preserve">1）总体实施方案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48"/>
        <w:ind w:firstLine="210"/>
        <w:spacing w:line="360" w:lineRule="auto"/>
        <w:rPr>
          <w:rFonts w:hint="eastAsia" w:ascii="宋体" w:hAnsi="宋体" w:eastAsia="宋体" w:cs="宋体"/>
          <w:color w:val="000000"/>
          <w:sz w:val="21"/>
          <w:szCs w:val="21"/>
          <w:highlight w:val="none"/>
          <w:lang w:eastAsia="zh-CN"/>
        </w:rPr>
        <w:outlineLvl w:val="2"/>
      </w:pPr>
      <w:r>
        <w:rPr>
          <w:rFonts w:hint="eastAsia" w:ascii="宋体" w:hAnsi="宋体" w:eastAsia="宋体" w:cs="宋体"/>
          <w:color w:val="000000"/>
          <w:sz w:val="21"/>
          <w:szCs w:val="21"/>
          <w:highlight w:val="none"/>
        </w:rPr>
        <w:t xml:space="preserve">2）突发事件应急处理预案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48"/>
        <w:ind w:firstLine="210"/>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）售后运维方案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1048"/>
        <w:ind w:firstLine="210"/>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lang w:val="en-US" w:eastAsia="zh-CN"/>
        </w:rPr>
        <w:t xml:space="preserve">评标办法中涉及内容</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119"/>
        <w:ind w:left="0" w:firstLine="0"/>
        <w:rPr>
          <w:rFonts w:hint="eastAsia"/>
          <w:color w:val="000000"/>
          <w:highlight w:val="none"/>
        </w:rPr>
      </w:pPr>
      <w:r>
        <w:rPr>
          <w:rFonts w:hint="eastAsia"/>
          <w:color w:val="000000"/>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60"/>
        <w:rPr>
          <w:rFonts w:hint="eastAsia" w:ascii="宋体" w:hAnsi="宋体" w:cs="宋体"/>
          <w:color w:val="000000"/>
          <w:szCs w:val="21"/>
          <w:highlight w:val="none"/>
        </w:rPr>
      </w:pPr>
      <w:r>
        <w:rPr>
          <w:rFonts w:hint="eastAsia" w:ascii="宋体" w:hAnsi="宋体" w:cs="宋体"/>
          <w:color w:val="000000"/>
          <w:szCs w:val="21"/>
          <w:highlight w:val="none"/>
        </w:rPr>
      </w:r>
      <w:r/>
    </w:p>
    <w:p>
      <w:pPr>
        <w:pStyle w:val="1060"/>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t xml:space="preserve">9.参加本项目人员一览表</w:t>
      </w:r>
      <w:r>
        <w:rPr>
          <w:rFonts w:hint="eastAsia" w:ascii="宋体" w:hAnsi="宋体" w:cs="宋体"/>
          <w:color w:val="000000"/>
          <w:szCs w:val="21"/>
          <w:highlight w:val="none"/>
        </w:rPr>
      </w:r>
      <w:r/>
    </w:p>
    <w:p>
      <w:pPr>
        <w:pStyle w:val="104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4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48"/>
        <w:spacing w:line="360" w:lineRule="auto"/>
        <w:rPr>
          <w:rFonts w:ascii="宋体" w:hAnsi="宋体"/>
          <w:color w:val="000000"/>
          <w:sz w:val="22"/>
          <w:highlight w:val="none"/>
        </w:rPr>
      </w:pPr>
      <w:r>
        <w:rPr>
          <w:rFonts w:ascii="宋体" w:hAnsi="宋体"/>
          <w:color w:val="000000"/>
          <w:sz w:val="22"/>
          <w:highlight w:val="none"/>
        </w:rPr>
      </w:r>
      <w:r/>
    </w:p>
    <w:p>
      <w:pPr>
        <w:pStyle w:val="104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项目编号/包号：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9450" w:type="dxa"/>
        <w:jc w:val="center"/>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945"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rPr>
            </w:r>
            <w:r/>
          </w:p>
        </w:tc>
        <w:tc>
          <w:tcPr>
            <w:tcW w:w="945"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性别</w:t>
            </w:r>
            <w:r>
              <w:rPr>
                <w:rFonts w:hint="eastAsia" w:ascii="宋体" w:hAnsi="宋体" w:cs="宋体"/>
                <w:color w:val="000000"/>
                <w:szCs w:val="21"/>
                <w:highlight w:val="none"/>
              </w:rPr>
            </w:r>
            <w:r/>
          </w:p>
        </w:tc>
        <w:tc>
          <w:tcPr>
            <w:tcW w:w="945"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年龄</w:t>
            </w:r>
            <w:r>
              <w:rPr>
                <w:rFonts w:hint="eastAsia" w:ascii="宋体" w:hAnsi="宋体" w:cs="宋体"/>
                <w:color w:val="000000"/>
                <w:szCs w:val="21"/>
                <w:highlight w:val="none"/>
              </w:rPr>
            </w:r>
            <w:r/>
          </w:p>
        </w:tc>
        <w:tc>
          <w:tcPr>
            <w:tcW w:w="945"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毕业学校和学历</w:t>
            </w:r>
            <w:r>
              <w:rPr>
                <w:rFonts w:hint="eastAsia" w:ascii="宋体" w:hAnsi="宋体" w:cs="宋体"/>
                <w:color w:val="000000"/>
                <w:szCs w:val="21"/>
                <w:highlight w:val="none"/>
              </w:rPr>
            </w:r>
            <w:r/>
          </w:p>
        </w:tc>
        <w:tc>
          <w:tcPr>
            <w:tcW w:w="945"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专业</w:t>
            </w:r>
            <w:r>
              <w:rPr>
                <w:rFonts w:hint="eastAsia" w:ascii="宋体" w:hAnsi="宋体" w:cs="宋体"/>
                <w:color w:val="000000"/>
                <w:szCs w:val="21"/>
                <w:highlight w:val="none"/>
              </w:rPr>
            </w:r>
            <w:r/>
          </w:p>
        </w:tc>
        <w:tc>
          <w:tcPr>
            <w:tcW w:w="945"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职称</w:t>
            </w:r>
            <w:r>
              <w:rPr>
                <w:rFonts w:hint="eastAsia" w:ascii="宋体" w:hAnsi="宋体" w:cs="宋体"/>
                <w:color w:val="000000"/>
                <w:szCs w:val="21"/>
                <w:highlight w:val="none"/>
              </w:rPr>
            </w:r>
            <w:r/>
          </w:p>
        </w:tc>
        <w:tc>
          <w:tcPr>
            <w:tcW w:w="945"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专业培训及证书</w:t>
            </w:r>
            <w:r>
              <w:rPr>
                <w:rFonts w:hint="eastAsia" w:ascii="宋体" w:hAnsi="宋体" w:cs="宋体"/>
                <w:color w:val="000000"/>
                <w:szCs w:val="21"/>
                <w:highlight w:val="none"/>
              </w:rPr>
            </w:r>
            <w:r/>
          </w:p>
        </w:tc>
        <w:tc>
          <w:tcPr>
            <w:tcW w:w="945"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责任</w:t>
            </w:r>
            <w:r>
              <w:rPr>
                <w:rFonts w:hint="eastAsia" w:ascii="宋体" w:hAnsi="宋体" w:cs="宋体"/>
                <w:color w:val="000000"/>
                <w:szCs w:val="21"/>
                <w:highlight w:val="none"/>
              </w:rPr>
            </w:r>
            <w:r/>
          </w:p>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或分工</w:t>
            </w:r>
            <w:r>
              <w:rPr>
                <w:rFonts w:hint="eastAsia" w:ascii="宋体" w:hAnsi="宋体" w:cs="宋体"/>
                <w:color w:val="000000"/>
                <w:szCs w:val="21"/>
                <w:highlight w:val="none"/>
              </w:rPr>
            </w:r>
            <w:r/>
          </w:p>
        </w:tc>
        <w:tc>
          <w:tcPr>
            <w:tcW w:w="945"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项目经历或主要工作</w:t>
            </w:r>
            <w:r>
              <w:rPr>
                <w:rFonts w:hint="eastAsia" w:ascii="宋体" w:hAnsi="宋体" w:cs="宋体"/>
                <w:color w:val="000000"/>
                <w:szCs w:val="21"/>
                <w:highlight w:val="none"/>
              </w:rPr>
            </w:r>
            <w:r/>
          </w:p>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业绩</w:t>
            </w:r>
            <w:r>
              <w:rPr>
                <w:rFonts w:hint="eastAsia" w:ascii="宋体" w:hAnsi="宋体" w:cs="宋体"/>
                <w:color w:val="000000"/>
                <w:szCs w:val="21"/>
                <w:highlight w:val="none"/>
              </w:rPr>
            </w:r>
            <w:r/>
          </w:p>
        </w:tc>
      </w:tr>
      <w:tr>
        <w:trPr/>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W w:w="945"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bl>
    <w:p>
      <w:pPr>
        <w:pStyle w:val="1048"/>
        <w:spacing w:line="360" w:lineRule="auto"/>
        <w:tabs>
          <w:tab w:val="left" w:pos="9765" w:leader="none"/>
        </w:tabs>
        <w:rPr>
          <w:rFonts w:hint="eastAsia" w:ascii="宋体" w:hAnsi="宋体" w:cs="宋体"/>
          <w:b/>
          <w:color w:val="000000"/>
          <w:szCs w:val="21"/>
          <w:highlight w:val="none"/>
        </w:rPr>
      </w:pPr>
      <w:r>
        <w:rPr>
          <w:rFonts w:hint="eastAsia" w:ascii="宋体" w:hAnsi="宋体" w:cs="宋体"/>
          <w:b/>
          <w:color w:val="000000"/>
          <w:szCs w:val="21"/>
          <w:highlight w:val="none"/>
          <w:lang w:val="zh-CN"/>
        </w:rPr>
        <w:t xml:space="preserve">注：拟派参与本项目组负责人及管理成员情况（可附人员学历、</w:t>
      </w:r>
      <w:r>
        <w:rPr>
          <w:rFonts w:hint="eastAsia" w:ascii="宋体" w:hAnsi="宋体" w:cs="宋体"/>
          <w:b/>
          <w:color w:val="000000"/>
          <w:szCs w:val="21"/>
          <w:highlight w:val="none"/>
        </w:rPr>
        <w:t xml:space="preserve">相应</w:t>
      </w:r>
      <w:r>
        <w:rPr>
          <w:rFonts w:hint="eastAsia" w:ascii="宋体" w:hAnsi="宋体" w:cs="宋体"/>
          <w:b/>
          <w:color w:val="000000"/>
          <w:szCs w:val="21"/>
          <w:highlight w:val="none"/>
          <w:lang w:val="zh-CN"/>
        </w:rPr>
        <w:t xml:space="preserve">证书扫描件等材料）。</w:t>
      </w:r>
      <w:r>
        <w:rPr>
          <w:rFonts w:hint="eastAsia" w:ascii="宋体" w:hAnsi="宋体" w:cs="宋体"/>
          <w:b/>
          <w:color w:val="000000"/>
          <w:szCs w:val="21"/>
          <w:highlight w:val="none"/>
        </w:rPr>
      </w:r>
      <w:r/>
    </w:p>
    <w:p>
      <w:pPr>
        <w:pStyle w:val="104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    ____________</w:t>
      </w:r>
      <w:r>
        <w:rPr>
          <w:rFonts w:hint="eastAsia" w:ascii="宋体" w:hAnsi="宋体" w:cs="宋体"/>
          <w:color w:val="000000"/>
          <w:szCs w:val="21"/>
          <w:highlight w:val="none"/>
          <w:lang w:val="zh-CN"/>
        </w:rPr>
      </w:r>
      <w:r/>
    </w:p>
    <w:p>
      <w:pPr>
        <w:pStyle w:val="1048"/>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br w:type="page" w:clear="all"/>
      </w:r>
      <w:bookmarkStart w:id="794" w:name="_Toc288738397"/>
      <w:r/>
      <w:bookmarkStart w:id="795" w:name="_Toc288738839"/>
      <w:r>
        <w:rPr>
          <w:rFonts w:hint="eastAsia" w:ascii="宋体" w:hAnsi="宋体" w:cs="宋体"/>
          <w:color w:val="000000"/>
          <w:szCs w:val="21"/>
          <w:highlight w:val="none"/>
        </w:rPr>
        <w:t xml:space="preserve">10.相关业绩案例一览表</w:t>
      </w:r>
      <w:r>
        <w:rPr>
          <w:rFonts w:hint="eastAsia" w:ascii="宋体" w:hAnsi="宋体" w:cs="宋体"/>
          <w:color w:val="000000"/>
          <w:szCs w:val="21"/>
          <w:highlight w:val="none"/>
        </w:rPr>
      </w:r>
      <w:r/>
    </w:p>
    <w:p>
      <w:pPr>
        <w:pStyle w:val="1048"/>
        <w:rPr>
          <w:color w:val="000000"/>
          <w:sz w:val="24"/>
          <w:szCs w:val="20"/>
          <w:highlight w:val="none"/>
        </w:rPr>
      </w:pPr>
      <w:r>
        <w:rPr>
          <w:color w:val="000000"/>
          <w:sz w:val="24"/>
          <w:szCs w:val="20"/>
          <w:highlight w:val="none"/>
        </w:rPr>
      </w:r>
      <w:r/>
    </w:p>
    <w:p>
      <w:pPr>
        <w:pStyle w:val="1048"/>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794"/>
      <w:r/>
      <w:bookmarkEnd w:id="795"/>
      <w:r>
        <w:rPr>
          <w:rFonts w:ascii="宋体" w:hAnsi="宋体"/>
          <w:b/>
          <w:color w:val="000000"/>
          <w:sz w:val="32"/>
          <w:szCs w:val="32"/>
          <w:highlight w:val="none"/>
        </w:rPr>
      </w:r>
      <w:r/>
    </w:p>
    <w:p>
      <w:pPr>
        <w:pStyle w:val="1048"/>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48"/>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项目编号/包号：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项目时间</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项目甲方单位</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项目名称</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合同金额</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单位地址</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联系电话</w:t>
            </w: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48"/>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48"/>
              <w:ind w:hanging="523"/>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48"/>
              <w:ind w:hanging="523"/>
              <w:jc w:val="center"/>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8"/>
              <w:spacing w:line="360" w:lineRule="auto"/>
              <w:tabs>
                <w:tab w:val="left" w:pos="9765" w:leader="none"/>
              </w:tabs>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48"/>
        <w:ind w:firstLine="211"/>
        <w:jc w:val="left"/>
        <w:widowControl/>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注: 1、本表后附合同扫描件，否则不予认可。</w:t>
      </w:r>
      <w:r>
        <w:rPr>
          <w:rFonts w:hint="eastAsia" w:ascii="宋体" w:hAnsi="宋体" w:cs="宋体"/>
          <w:b/>
          <w:bCs/>
          <w:color w:val="000000"/>
          <w:szCs w:val="21"/>
          <w:highlight w:val="none"/>
          <w:lang w:bidi="ar"/>
        </w:rPr>
      </w:r>
      <w:r/>
    </w:p>
    <w:p>
      <w:pPr>
        <w:pStyle w:val="1048"/>
        <w:ind w:firstLine="632"/>
        <w:jc w:val="left"/>
        <w:widowControl/>
        <w:rPr>
          <w:color w:val="000000"/>
          <w:szCs w:val="21"/>
          <w:highlight w:val="none"/>
        </w:rPr>
      </w:pPr>
      <w:r>
        <w:rPr>
          <w:rFonts w:hint="eastAsia" w:ascii="宋体" w:hAnsi="宋体" w:cs="宋体"/>
          <w:b/>
          <w:bCs/>
          <w:color w:val="000000"/>
          <w:szCs w:val="21"/>
          <w:highlight w:val="none"/>
          <w:lang w:bidi="ar"/>
        </w:rPr>
        <w:t xml:space="preserve">2、本表可按同样格式扩展。</w:t>
      </w:r>
      <w:r>
        <w:rPr>
          <w:color w:val="000000"/>
          <w:szCs w:val="21"/>
          <w:highlight w:val="none"/>
        </w:rPr>
      </w:r>
      <w:r/>
    </w:p>
    <w:p>
      <w:pPr>
        <w:pStyle w:val="1048"/>
        <w:tabs>
          <w:tab w:val="left" w:pos="9765"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104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spacing w:before="25" w:after="25"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    ____________</w:t>
      </w:r>
      <w:r>
        <w:rPr>
          <w:rFonts w:hint="eastAsia" w:ascii="宋体" w:hAnsi="宋体" w:cs="宋体"/>
          <w:color w:val="000000"/>
          <w:szCs w:val="21"/>
          <w:highlight w:val="none"/>
          <w:lang w:val="zh-CN"/>
        </w:rPr>
      </w:r>
      <w:r/>
    </w:p>
    <w:p>
      <w:pPr>
        <w:pStyle w:val="1048"/>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日期：_____年______月______日   </w:t>
      </w:r>
      <w:r>
        <w:rPr>
          <w:rFonts w:hint="eastAsia" w:ascii="宋体" w:hAnsi="宋体" w:cs="宋体"/>
          <w:color w:val="000000"/>
          <w:szCs w:val="21"/>
          <w:highlight w:val="none"/>
          <w:lang w:val="zh-CN"/>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r>
      <w:r/>
    </w:p>
    <w:p>
      <w:pPr>
        <w:pStyle w:val="1048"/>
        <w:rPr>
          <w:color w:val="000000"/>
          <w:highlight w:val="none"/>
        </w:rPr>
      </w:pPr>
      <w:r>
        <w:rPr>
          <w:color w:val="000000"/>
          <w:highlight w:val="none"/>
        </w:rPr>
      </w:r>
      <w:r/>
    </w:p>
    <w:p>
      <w:pPr>
        <w:pStyle w:val="1048"/>
        <w:rPr>
          <w:color w:val="000000"/>
          <w:highlight w:val="none"/>
        </w:rPr>
      </w:pPr>
      <w:r>
        <w:rPr>
          <w:color w:val="00000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048"/>
        <w:spacing w:line="360" w:lineRule="auto"/>
        <w:rPr>
          <w:rFonts w:hint="eastAsia"/>
          <w:color w:val="000000"/>
          <w:sz w:val="24"/>
          <w:szCs w:val="20"/>
          <w:highlight w:val="none"/>
        </w:rPr>
        <w:outlineLvl w:val="2"/>
      </w:pPr>
      <w:r>
        <w:rPr>
          <w:rFonts w:hint="eastAsia"/>
          <w:color w:val="000000"/>
          <w:sz w:val="24"/>
          <w:szCs w:val="20"/>
          <w:highlight w:val="none"/>
        </w:rPr>
      </w:r>
      <w:r/>
    </w:p>
    <w:p>
      <w:pPr>
        <w:pStyle w:val="1134"/>
        <w:rPr>
          <w:rFonts w:hint="eastAsia"/>
          <w:color w:val="000000"/>
          <w:sz w:val="24"/>
          <w:szCs w:val="20"/>
          <w:highlight w:val="none"/>
        </w:rPr>
      </w:pPr>
      <w:r>
        <w:rPr>
          <w:rFonts w:hint="eastAsia"/>
          <w:color w:val="000000"/>
          <w:sz w:val="24"/>
          <w:szCs w:val="20"/>
          <w:highlight w:val="none"/>
        </w:rPr>
      </w:r>
      <w:r/>
    </w:p>
    <w:p>
      <w:pPr>
        <w:pStyle w:val="1048"/>
        <w:spacing w:line="360" w:lineRule="auto"/>
        <w:rPr>
          <w:color w:val="000000"/>
          <w:sz w:val="24"/>
          <w:szCs w:val="20"/>
          <w:highlight w:val="none"/>
        </w:rPr>
        <w:outlineLvl w:val="2"/>
      </w:pPr>
      <w:r>
        <w:rPr>
          <w:color w:val="000000"/>
          <w:sz w:val="24"/>
          <w:szCs w:val="20"/>
          <w:highlight w:val="none"/>
        </w:rPr>
      </w:r>
      <w:r/>
    </w:p>
    <w:p>
      <w:pPr>
        <w:pStyle w:val="1048"/>
        <w:spacing w:line="360" w:lineRule="auto"/>
        <w:rPr>
          <w:rFonts w:ascii="宋体" w:hAnsi="宋体" w:eastAsia="宋体" w:cs="宋体"/>
          <w:color w:val="000000"/>
          <w:szCs w:val="21"/>
          <w:highlight w:val="none"/>
          <w:lang w:val="en-US" w:eastAsia="zh-CN"/>
        </w:rPr>
        <w:outlineLvl w:val="2"/>
      </w:pPr>
      <w:r>
        <w:rPr>
          <w:rFonts w:hint="eastAsia" w:ascii="宋体" w:hAnsi="宋体" w:eastAsia="宋体" w:cs="宋体"/>
          <w:color w:val="000000"/>
          <w:szCs w:val="21"/>
          <w:highlight w:val="none"/>
          <w:lang w:val="en-US" w:eastAsia="zh-CN"/>
        </w:rPr>
        <w:t xml:space="preserve">11.关于招标文件的询问内容</w:t>
      </w:r>
      <w:r>
        <w:rPr>
          <w:rFonts w:ascii="宋体" w:hAnsi="宋体" w:eastAsia="宋体" w:cs="宋体"/>
          <w:color w:val="000000"/>
          <w:szCs w:val="21"/>
          <w:highlight w:val="none"/>
          <w:lang w:val="en-US" w:eastAsia="zh-CN"/>
        </w:rPr>
      </w:r>
      <w:r/>
    </w:p>
    <w:p>
      <w:pPr>
        <w:pStyle w:val="1048"/>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询问函</w:t>
      </w:r>
      <w:r>
        <w:rPr>
          <w:rFonts w:hint="eastAsia" w:ascii="宋体" w:hAnsi="宋体" w:eastAsia="宋体" w:cs="Times New Roman"/>
          <w:b/>
          <w:color w:val="000000"/>
          <w:sz w:val="32"/>
          <w:szCs w:val="32"/>
          <w:highlight w:val="none"/>
        </w:rPr>
      </w:r>
      <w:r/>
    </w:p>
    <w:p>
      <w:pPr>
        <w:pStyle w:val="1048"/>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一、询问供应商基本信息</w:t>
      </w:r>
      <w:r>
        <w:rPr>
          <w:rFonts w:hint="eastAsia" w:ascii="宋体" w:hAnsi="宋体" w:eastAsia="宋体" w:cs="宋体"/>
          <w:i w:val="0"/>
          <w:iCs w:val="0"/>
          <w:caps w:val="0"/>
          <w:color w:val="000000"/>
          <w:spacing w:val="0"/>
          <w:sz w:val="21"/>
          <w:szCs w:val="21"/>
          <w:highlight w:val="none"/>
        </w:rPr>
      </w:r>
      <w:r/>
    </w:p>
    <w:p>
      <w:pPr>
        <w:pStyle w:val="1048"/>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询问供应商: </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48"/>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联系人：</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联系电话:</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r>
      <w:r/>
    </w:p>
    <w:p>
      <w:pPr>
        <w:pStyle w:val="1048"/>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二、询问项目基本情况</w:t>
      </w:r>
      <w:r>
        <w:rPr>
          <w:rFonts w:hint="eastAsia" w:ascii="宋体" w:hAnsi="宋体" w:eastAsia="宋体" w:cs="宋体"/>
          <w:i w:val="0"/>
          <w:iCs w:val="0"/>
          <w:caps w:val="0"/>
          <w:color w:val="000000"/>
          <w:spacing w:val="0"/>
          <w:sz w:val="21"/>
          <w:szCs w:val="21"/>
          <w:highlight w:val="none"/>
        </w:rPr>
      </w:r>
      <w:r/>
    </w:p>
    <w:p>
      <w:pPr>
        <w:pStyle w:val="1048"/>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项目名称:</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48"/>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项目编号:</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包号:</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48"/>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采购人名称:</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48"/>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三、询问事项具体内容</w:t>
      </w:r>
      <w:r>
        <w:rPr>
          <w:rFonts w:hint="eastAsia" w:ascii="宋体" w:hAnsi="宋体" w:eastAsia="宋体" w:cs="宋体"/>
          <w:i w:val="0"/>
          <w:iCs w:val="0"/>
          <w:caps w:val="0"/>
          <w:color w:val="000000"/>
          <w:spacing w:val="0"/>
          <w:sz w:val="21"/>
          <w:szCs w:val="21"/>
          <w:highlight w:val="none"/>
        </w:rPr>
      </w:r>
      <w:r/>
    </w:p>
    <w:p>
      <w:pPr>
        <w:pStyle w:val="1048"/>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询问事项1: </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48"/>
        <w:ind w:left="0" w:right="0" w:firstLine="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询问事项2：</w:t>
      </w:r>
      <w:r>
        <w:rPr>
          <w:rFonts w:hint="eastAsia" w:ascii="宋体" w:hAnsi="宋体" w:eastAsia="宋体" w:cs="宋体"/>
          <w:i w:val="0"/>
          <w:iCs w:val="0"/>
          <w:caps w:val="0"/>
          <w:color w:val="000000"/>
          <w:spacing w:val="0"/>
          <w:sz w:val="21"/>
          <w:szCs w:val="21"/>
          <w:highlight w:val="none"/>
          <w:u w:val="singl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48"/>
        <w:ind w:left="0" w:right="0" w:firstLine="64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1"/>
          <w:szCs w:val="21"/>
          <w:highlight w:val="none"/>
        </w:rPr>
      </w:r>
      <w:r/>
    </w:p>
    <w:p>
      <w:pPr>
        <w:pStyle w:val="1048"/>
        <w:ind w:left="0" w:right="0" w:firstLine="4800"/>
        <w:jc w:val="left"/>
        <w:keepLines w:val="0"/>
        <w:keepNext w:val="0"/>
        <w:spacing w:before="180" w:beforeAutospacing="0" w:after="180" w:afterAutospacing="0" w:line="400" w:lineRule="atLeast"/>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 </w:t>
      </w:r>
      <w:r>
        <w:rPr>
          <w:rFonts w:hint="eastAsia" w:ascii="宋体" w:hAnsi="宋体" w:eastAsia="宋体" w:cs="宋体"/>
          <w:i w:val="0"/>
          <w:iCs w:val="0"/>
          <w:caps w:val="0"/>
          <w:color w:val="000000"/>
          <w:spacing w:val="0"/>
          <w:sz w:val="21"/>
          <w:szCs w:val="21"/>
          <w:highlight w:val="none"/>
        </w:rPr>
      </w:r>
      <w:r/>
    </w:p>
    <w:p>
      <w:pPr>
        <w:pStyle w:val="1048"/>
        <w:ind w:firstLine="399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rPr>
        <w:t xml:space="preserve">名称（加盖公章）</w:t>
      </w:r>
      <w:r>
        <w:rPr>
          <w:rFonts w:hint="eastAsia" w:ascii="宋体" w:hAnsi="宋体" w:eastAsia="宋体" w:cs="宋体"/>
          <w:color w:val="000000"/>
          <w:sz w:val="21"/>
          <w:szCs w:val="21"/>
          <w:highlight w:val="none"/>
          <w:lang w:val="zh-CN"/>
        </w:rPr>
        <w:t xml:space="preserve">：____________</w:t>
      </w:r>
      <w:r>
        <w:rPr>
          <w:rFonts w:hint="eastAsia" w:ascii="宋体" w:hAnsi="宋体" w:eastAsia="宋体" w:cs="宋体"/>
          <w:color w:val="000000"/>
          <w:sz w:val="21"/>
          <w:szCs w:val="21"/>
          <w:highlight w:val="none"/>
          <w:lang w:val="zh-CN"/>
        </w:rPr>
      </w:r>
      <w:r/>
    </w:p>
    <w:p>
      <w:pPr>
        <w:pStyle w:val="1048"/>
        <w:ind w:firstLine="3990"/>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法定代表人或代理人（签字或盖章）：</w:t>
      </w:r>
      <w:r>
        <w:rPr>
          <w:rFonts w:hint="eastAsia" w:ascii="宋体" w:hAnsi="宋体" w:eastAsia="宋体" w:cs="宋体"/>
          <w:color w:val="000000"/>
          <w:sz w:val="21"/>
          <w:szCs w:val="21"/>
          <w:highlight w:val="none"/>
          <w:lang w:val="zh-CN"/>
        </w:rPr>
        <w:t xml:space="preserve">___________</w:t>
      </w:r>
      <w:r>
        <w:rPr>
          <w:rFonts w:hint="eastAsia" w:ascii="宋体" w:hAnsi="宋体" w:eastAsia="宋体" w:cs="宋体"/>
          <w:color w:val="000000"/>
          <w:sz w:val="21"/>
          <w:szCs w:val="21"/>
          <w:highlight w:val="none"/>
          <w:lang w:val="zh-CN"/>
        </w:rPr>
      </w:r>
      <w:r/>
    </w:p>
    <w:p>
      <w:pPr>
        <w:pStyle w:val="104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年______月______日  </w:t>
      </w:r>
      <w:r>
        <w:rPr>
          <w:rFonts w:hint="eastAsia" w:ascii="宋体" w:hAnsi="宋体" w:eastAsia="宋体" w:cs="宋体"/>
          <w:color w:val="000000"/>
          <w:sz w:val="21"/>
          <w:szCs w:val="21"/>
          <w:highlight w:val="none"/>
        </w:rPr>
      </w:r>
      <w:r/>
    </w:p>
    <w:p>
      <w:pPr>
        <w:pStyle w:val="1048"/>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.招标文件要求提供或投标人认为应附的其他材料</w:t>
      </w:r>
      <w:r>
        <w:rPr>
          <w:rFonts w:hint="eastAsia" w:ascii="宋体" w:hAnsi="宋体" w:cs="宋体"/>
          <w:color w:val="000000"/>
          <w:szCs w:val="21"/>
          <w:highlight w:val="none"/>
        </w:rPr>
      </w:r>
      <w:r/>
    </w:p>
    <w:p>
      <w:pPr>
        <w:pStyle w:val="1048"/>
        <w:jc w:val="left"/>
        <w:widowControl/>
        <w:rPr>
          <w:b/>
          <w:color w:val="000000"/>
          <w:sz w:val="36"/>
          <w:szCs w:val="36"/>
          <w:highlight w:val="none"/>
        </w:rPr>
      </w:pPr>
      <w:r>
        <w:rPr>
          <w:b/>
          <w:color w:val="000000"/>
          <w:sz w:val="36"/>
          <w:szCs w:val="36"/>
          <w:highlight w:val="none"/>
        </w:rPr>
      </w:r>
      <w:r/>
    </w:p>
    <w:p>
      <w:pPr>
        <w:pStyle w:val="1134"/>
        <w:ind w:firstLine="723"/>
        <w:rPr>
          <w:b/>
          <w:color w:val="000000"/>
          <w:sz w:val="36"/>
          <w:szCs w:val="36"/>
          <w:highlight w:val="none"/>
        </w:rPr>
      </w:pPr>
      <w:r>
        <w:rPr>
          <w:b/>
          <w:color w:val="000000"/>
          <w:sz w:val="36"/>
          <w:szCs w:val="36"/>
          <w:highlight w:val="none"/>
        </w:rPr>
      </w:r>
      <w:r/>
    </w:p>
    <w:p>
      <w:pPr>
        <w:pStyle w:val="1134"/>
        <w:ind w:firstLine="723"/>
        <w:rPr>
          <w:b/>
          <w:color w:val="000000"/>
          <w:sz w:val="36"/>
          <w:szCs w:val="36"/>
          <w:highlight w:val="none"/>
        </w:rPr>
      </w:pPr>
      <w:r>
        <w:rPr>
          <w:b/>
          <w:color w:val="000000"/>
          <w:sz w:val="36"/>
          <w:szCs w:val="36"/>
          <w:highlight w:val="none"/>
        </w:rPr>
      </w:r>
      <w:r/>
    </w:p>
    <w:p>
      <w:pPr>
        <w:pStyle w:val="1134"/>
        <w:ind w:firstLine="723"/>
        <w:rPr>
          <w:b/>
          <w:color w:val="000000"/>
          <w:sz w:val="36"/>
          <w:szCs w:val="36"/>
          <w:highlight w:val="none"/>
        </w:rPr>
      </w:pPr>
      <w:r>
        <w:rPr>
          <w:b/>
          <w:color w:val="000000"/>
          <w:sz w:val="36"/>
          <w:szCs w:val="36"/>
          <w:highlight w:val="none"/>
        </w:rPr>
      </w:r>
      <w:r/>
    </w:p>
    <w:p>
      <w:pPr>
        <w:pStyle w:val="1134"/>
        <w:ind w:firstLine="723"/>
        <w:rPr>
          <w:b/>
          <w:color w:val="000000"/>
          <w:sz w:val="36"/>
          <w:szCs w:val="36"/>
          <w:highlight w:val="none"/>
        </w:rPr>
      </w:pPr>
      <w:r>
        <w:rPr>
          <w:b/>
          <w:color w:val="000000"/>
          <w:sz w:val="36"/>
          <w:szCs w:val="36"/>
          <w:highlight w:val="none"/>
        </w:rPr>
      </w:r>
      <w:r/>
    </w:p>
    <w:p>
      <w:pPr>
        <w:pStyle w:val="1048"/>
        <w:jc w:val="center"/>
        <w:rPr>
          <w:rFonts w:hint="eastAsia" w:ascii="宋体" w:hAnsi="宋体" w:cs="宋体"/>
          <w:b/>
          <w:color w:val="000000"/>
          <w:sz w:val="30"/>
          <w:szCs w:val="30"/>
          <w:highlight w:val="none"/>
        </w:rPr>
      </w:pPr>
      <w:r>
        <w:rPr>
          <w:rFonts w:hint="eastAsia" w:ascii="宋体" w:hAnsi="宋体" w:cs="宋体"/>
          <w:b/>
          <w:color w:val="000000"/>
          <w:sz w:val="32"/>
          <w:szCs w:val="32"/>
          <w:highlight w:val="none"/>
        </w:rPr>
        <w:t xml:space="preserve">【以下无正文】</w:t>
      </w:r>
      <w:r>
        <w:rPr>
          <w:rFonts w:hint="eastAsia" w:ascii="宋体" w:hAnsi="宋体" w:cs="宋体"/>
          <w:b/>
          <w:color w:val="000000"/>
          <w:sz w:val="30"/>
          <w:szCs w:val="30"/>
          <w:highlight w:val="none"/>
        </w:rPr>
      </w:r>
      <w:r/>
    </w:p>
    <w:p>
      <w:pPr>
        <w:pStyle w:val="1048"/>
        <w:jc w:val="center"/>
        <w:rPr>
          <w:rFonts w:hint="eastAsia" w:ascii="宋体" w:hAnsi="宋体" w:cs="宋体"/>
          <w:bCs/>
          <w:color w:val="000000"/>
          <w:sz w:val="24"/>
          <w:highlight w:val="none"/>
        </w:rPr>
      </w:pPr>
      <w:r>
        <w:rPr>
          <w:rFonts w:hint="eastAsia" w:ascii="宋体" w:hAnsi="宋体" w:cs="宋体"/>
          <w:b/>
          <w:color w:val="000000"/>
          <w:sz w:val="30"/>
          <w:szCs w:val="30"/>
          <w:highlight w:val="none"/>
        </w:rPr>
        <w:t xml:space="preserve">*本招标文件的最终解释权归常州市阳峻项目管理有限公司所有*</w:t>
      </w:r>
      <w:r>
        <w:rPr>
          <w:rFonts w:hint="eastAsia" w:ascii="宋体" w:hAnsi="宋体" w:cs="宋体"/>
          <w:bCs/>
          <w:color w:val="000000"/>
          <w:sz w:val="24"/>
          <w:highlight w:val="none"/>
        </w:rPr>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2">
    <w:panose1 w:val="05020102010507070707"/>
  </w:font>
  <w:font w:name="CESI黑体-GB2312">
    <w:panose1 w:val="020B0503020202020204"/>
  </w:font>
  <w:font w:name="Wingdings">
    <w:panose1 w:val="05000000000000000000"/>
  </w:font>
  <w:font w:name="华文楷体">
    <w:panose1 w:val="02010600040101010101"/>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Symbol">
    <w:panose1 w:val="05050102010706020507"/>
  </w:font>
  <w:font w:name="等线 Light">
    <w:panose1 w:val="02010600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tabs>
        <w:tab w:val="center" w:pos="4153" w:leader="none"/>
        <w:tab w:val="right" w:pos="8306" w:leader="none"/>
      </w:tabs>
      <w:rPr>
        <w:rStyle w:val="1124"/>
      </w:rPr>
      <w:framePr w:wrap="around" w:vAnchor="text" w:hAnchor="margin" w:xAlign="right" w:y="1"/>
    </w:pPr>
    <w:r>
      <w:rPr>
        <w:rStyle w:val="1124"/>
      </w:rPr>
    </w:r>
    <w:r/>
  </w:p>
  <w:p>
    <w:pPr>
      <w:pStyle w:val="1099"/>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tabs>
        <w:tab w:val="center" w:pos="4153" w:leader="none"/>
        <w:tab w:val="right" w:pos="8306" w:leader="none"/>
      </w:tabs>
      <w:rPr>
        <w:rStyle w:val="1124"/>
      </w:rPr>
      <w:framePr w:wrap="around" w:vAnchor="text" w:hAnchor="margin" w:xAlign="right" w:y="1"/>
    </w:pPr>
    <w:r>
      <w:rPr>
        <w:rStyle w:val="1124"/>
      </w:rPr>
      <w:fldChar w:fldCharType="begin"/>
    </w:r>
    <w:r>
      <w:rPr>
        <w:rStyle w:val="1124"/>
      </w:rPr>
      <w:instrText xml:space="preserve">PAGE  </w:instrText>
    </w:r>
    <w:r>
      <w:rPr>
        <w:rStyle w:val="1124"/>
      </w:rPr>
      <w:fldChar w:fldCharType="end"/>
    </w:r>
    <w:r>
      <w:rPr>
        <w:rStyle w:val="1124"/>
      </w:rPr>
    </w:r>
    <w:r/>
  </w:p>
  <w:p>
    <w:pPr>
      <w:pStyle w:val="1099"/>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8"/>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48"/>
                    </w:pPr>
                    <w:r/>
                    <w:r/>
                  </w:p>
                </w:txbxContent>
              </v:textbox>
            </v:shape>
          </w:pict>
        </mc:Fallback>
      </mc:AlternateContent>
    </w:r>
    <w:r/>
  </w:p>
  <w:p>
    <w:pPr>
      <w:pStyle w:val="1099"/>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tabs>
        <w:tab w:val="center" w:pos="4153" w:leader="none"/>
        <w:tab w:val="right" w:pos="8306" w:leader="none"/>
      </w:tabs>
      <w:rPr>
        <w:rStyle w:val="1124"/>
      </w:rPr>
      <w:framePr w:wrap="around" w:vAnchor="text" w:hAnchor="margin" w:xAlign="right" w:y="1"/>
    </w:pPr>
    <w:r>
      <w:rPr>
        <w:rStyle w:val="1124"/>
      </w:rPr>
      <w:fldChar w:fldCharType="begin"/>
    </w:r>
    <w:r>
      <w:rPr>
        <w:rStyle w:val="1124"/>
      </w:rPr>
      <w:instrText xml:space="preserve">PAGE  </w:instrText>
    </w:r>
    <w:r>
      <w:rPr>
        <w:rStyle w:val="1124"/>
      </w:rPr>
      <w:fldChar w:fldCharType="end"/>
    </w:r>
    <w:r>
      <w:rPr>
        <w:rStyle w:val="1124"/>
      </w:rPr>
    </w:r>
    <w:r/>
  </w:p>
  <w:p>
    <w:pPr>
      <w:pStyle w:val="1099"/>
      <w:ind w:right="360"/>
      <w:tabs>
        <w:tab w:val="center" w:pos="4153" w:leader="none"/>
        <w:tab w:val="right" w:pos="8306" w:leader="none"/>
      </w:tabs>
    </w:pPr>
    <w:r/>
    <w:r/>
  </w:p>
  <w:p>
    <w:pPr>
      <w:pStyle w:val="104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left"/>
      <w:tabs>
        <w:tab w:val="left" w:pos="2241" w:leader="none"/>
        <w:tab w:val="right" w:pos="8306" w:leader="none"/>
      </w:tabs>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jc w:val="left"/>
      <w:tabs>
        <w:tab w:val="left" w:pos="2241" w:leader="none"/>
        <w:tab w:val="right" w:pos="8306" w:leader="none"/>
      </w:tabs>
      <w:pBdr>
        <w:bottom w:val="single" w:color="000000" w:sz="4" w:space="1"/>
      </w:pBdr>
    </w:pPr>
    <w:r>
      <w:rPr>
        <w:rFonts w:hint="eastAsia"/>
      </w:rPr>
      <mc:AlternateContent>
        <mc:Choice Requires="wpg">
          <w:drawing>
            <wp:inline xmlns:wp="http://schemas.openxmlformats.org/drawingml/2006/wordprocessingDrawing" distT="0" distB="0" distL="0" distR="0">
              <wp:extent cx="207651" cy="20320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7651" cy="2032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4pt;height:16.0pt;mso-wrap-distance-left:0.0pt;mso-wrap-distance-top:0.0pt;mso-wrap-distance-right:0.0pt;mso-wrap-distance-bottom:0.0pt;" stroked="f">
              <v:path textboxrect="0,0,0,0"/>
              <v:imagedata r:id="rId1" o:title=""/>
            </v:shape>
          </w:pict>
        </mc:Fallback>
      </mc:AlternateContent>
    </w:r>
    <w:r>
      <w:rPr>
        <w:rFonts w:hint="eastAsia"/>
      </w:rPr>
      <w:t xml:space="preserve">常州市阳峻项目管理有限公司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pPr>
    <w:r/>
    <w:r/>
  </w:p>
  <w:p>
    <w:pPr>
      <w:pStyle w:val="104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64"/>
      <w:isLgl w:val="false"/>
      <w:suff w:val="tab"/>
      <w:lvlText w:val="%1."/>
      <w:lvlJc w:val="left"/>
      <w:pPr>
        <w:pStyle w:val="1048"/>
        <w:ind w:left="420" w:hanging="420"/>
      </w:pPr>
    </w:lvl>
    <w:lvl w:ilvl="1">
      <w:start w:val="1"/>
      <w:numFmt w:val="decimal"/>
      <w:isLgl w:val="false"/>
      <w:suff w:val="tab"/>
      <w:lvlText w:val="（%2）"/>
      <w:lvlJc w:val="left"/>
      <w:pPr>
        <w:pStyle w:val="1048"/>
        <w:ind w:left="1140" w:hanging="720"/>
        <w:tabs>
          <w:tab w:val="num" w:pos="1140" w:leader="none"/>
        </w:tabs>
      </w:pPr>
      <w:rPr>
        <w:rFonts w:hint="eastAsia"/>
      </w:rPr>
    </w:lvl>
    <w:lvl w:ilvl="2">
      <w:start w:val="1"/>
      <w:numFmt w:val="lowerRoman"/>
      <w:isLgl w:val="false"/>
      <w:suff w:val="tab"/>
      <w:lvlText w:val="%3."/>
      <w:lvlJc w:val="right"/>
      <w:pPr>
        <w:pStyle w:val="1048"/>
        <w:ind w:left="1260" w:hanging="420"/>
      </w:pPr>
    </w:lvl>
    <w:lvl w:ilvl="3">
      <w:start w:val="1"/>
      <w:numFmt w:val="decimal"/>
      <w:isLgl w:val="false"/>
      <w:suff w:val="tab"/>
      <w:lvlText w:val="%4."/>
      <w:lvlJc w:val="left"/>
      <w:pPr>
        <w:pStyle w:val="1048"/>
        <w:ind w:left="1680" w:hanging="420"/>
      </w:pPr>
    </w:lvl>
    <w:lvl w:ilvl="4">
      <w:start w:val="1"/>
      <w:numFmt w:val="lowerLetter"/>
      <w:isLgl w:val="false"/>
      <w:suff w:val="tab"/>
      <w:lvlText w:val="%5)"/>
      <w:lvlJc w:val="left"/>
      <w:pPr>
        <w:pStyle w:val="1048"/>
        <w:ind w:left="2100" w:hanging="420"/>
      </w:pPr>
    </w:lvl>
    <w:lvl w:ilvl="5">
      <w:start w:val="1"/>
      <w:numFmt w:val="lowerRoman"/>
      <w:isLgl w:val="false"/>
      <w:suff w:val="tab"/>
      <w:lvlText w:val="%6."/>
      <w:lvlJc w:val="right"/>
      <w:pPr>
        <w:pStyle w:val="1048"/>
        <w:ind w:left="2520" w:hanging="420"/>
      </w:pPr>
    </w:lvl>
    <w:lvl w:ilvl="6">
      <w:start w:val="1"/>
      <w:numFmt w:val="decimal"/>
      <w:isLgl w:val="false"/>
      <w:suff w:val="tab"/>
      <w:lvlText w:val="%7."/>
      <w:lvlJc w:val="left"/>
      <w:pPr>
        <w:pStyle w:val="1048"/>
        <w:ind w:left="2940" w:hanging="420"/>
      </w:pPr>
    </w:lvl>
    <w:lvl w:ilvl="7">
      <w:start w:val="1"/>
      <w:numFmt w:val="lowerLetter"/>
      <w:isLgl w:val="false"/>
      <w:suff w:val="tab"/>
      <w:lvlText w:val="%8)"/>
      <w:lvlJc w:val="left"/>
      <w:pPr>
        <w:pStyle w:val="1048"/>
        <w:ind w:left="3360" w:hanging="420"/>
      </w:pPr>
    </w:lvl>
    <w:lvl w:ilvl="8">
      <w:start w:val="1"/>
      <w:numFmt w:val="lowerRoman"/>
      <w:isLgl w:val="false"/>
      <w:suff w:val="tab"/>
      <w:lvlText w:val="%9."/>
      <w:lvlJc w:val="right"/>
      <w:pPr>
        <w:pStyle w:val="1048"/>
        <w:ind w:left="3780" w:hanging="420"/>
      </w:pPr>
    </w:lvl>
  </w:abstractNum>
  <w:abstractNum w:abstractNumId="2">
    <w:multiLevelType w:val="hybridMultilevel"/>
    <w:lvl w:ilvl="0">
      <w:start w:val="1"/>
      <w:numFmt w:val="lowerLetter"/>
      <w:pStyle w:val="1238"/>
      <w:isLgl w:val="false"/>
      <w:suff w:val="tab"/>
      <w:lvlText w:val="%1)"/>
      <w:lvlJc w:val="left"/>
      <w:pPr>
        <w:pStyle w:val="1048"/>
        <w:ind w:left="902" w:hanging="420"/>
      </w:pPr>
      <w:rPr>
        <w:color w:val="000000"/>
      </w:rPr>
    </w:lvl>
    <w:lvl w:ilvl="1">
      <w:start w:val="1"/>
      <w:numFmt w:val="lowerLetter"/>
      <w:isLgl w:val="false"/>
      <w:suff w:val="tab"/>
      <w:lvlText w:val="%2)"/>
      <w:lvlJc w:val="left"/>
      <w:pPr>
        <w:pStyle w:val="1048"/>
        <w:ind w:left="1322" w:hanging="420"/>
      </w:pPr>
    </w:lvl>
    <w:lvl w:ilvl="2">
      <w:start w:val="1"/>
      <w:numFmt w:val="lowerRoman"/>
      <w:isLgl w:val="false"/>
      <w:suff w:val="tab"/>
      <w:lvlText w:val="%3."/>
      <w:lvlJc w:val="right"/>
      <w:pPr>
        <w:pStyle w:val="1048"/>
        <w:ind w:left="1742" w:hanging="420"/>
      </w:pPr>
    </w:lvl>
    <w:lvl w:ilvl="3">
      <w:start w:val="1"/>
      <w:numFmt w:val="decimal"/>
      <w:isLgl w:val="false"/>
      <w:suff w:val="tab"/>
      <w:lvlText w:val="%4."/>
      <w:lvlJc w:val="left"/>
      <w:pPr>
        <w:pStyle w:val="1048"/>
        <w:ind w:left="2162" w:hanging="420"/>
      </w:pPr>
    </w:lvl>
    <w:lvl w:ilvl="4">
      <w:start w:val="1"/>
      <w:numFmt w:val="lowerLetter"/>
      <w:isLgl w:val="false"/>
      <w:suff w:val="tab"/>
      <w:lvlText w:val="%5)"/>
      <w:lvlJc w:val="left"/>
      <w:pPr>
        <w:pStyle w:val="1048"/>
        <w:ind w:left="2582" w:hanging="420"/>
      </w:pPr>
    </w:lvl>
    <w:lvl w:ilvl="5">
      <w:start w:val="1"/>
      <w:numFmt w:val="lowerRoman"/>
      <w:isLgl w:val="false"/>
      <w:suff w:val="tab"/>
      <w:lvlText w:val="%6."/>
      <w:lvlJc w:val="right"/>
      <w:pPr>
        <w:pStyle w:val="1048"/>
        <w:ind w:left="3002" w:hanging="420"/>
      </w:pPr>
    </w:lvl>
    <w:lvl w:ilvl="6">
      <w:start w:val="1"/>
      <w:numFmt w:val="decimal"/>
      <w:isLgl w:val="false"/>
      <w:suff w:val="tab"/>
      <w:lvlText w:val="%7."/>
      <w:lvlJc w:val="left"/>
      <w:pPr>
        <w:pStyle w:val="1048"/>
        <w:ind w:left="3422" w:hanging="420"/>
      </w:pPr>
    </w:lvl>
    <w:lvl w:ilvl="7">
      <w:start w:val="1"/>
      <w:numFmt w:val="lowerLetter"/>
      <w:isLgl w:val="false"/>
      <w:suff w:val="tab"/>
      <w:lvlText w:val="%8)"/>
      <w:lvlJc w:val="left"/>
      <w:pPr>
        <w:pStyle w:val="1048"/>
        <w:ind w:left="3842" w:hanging="420"/>
      </w:pPr>
    </w:lvl>
    <w:lvl w:ilvl="8">
      <w:start w:val="1"/>
      <w:numFmt w:val="lowerRoman"/>
      <w:isLgl w:val="false"/>
      <w:suff w:val="tab"/>
      <w:lvlText w:val="%9."/>
      <w:lvlJc w:val="right"/>
      <w:pPr>
        <w:pStyle w:val="1048"/>
        <w:ind w:left="4262" w:hanging="420"/>
      </w:pPr>
    </w:lvl>
  </w:abstractNum>
  <w:abstractNum w:abstractNumId="3">
    <w:multiLevelType w:val="hybridMultilevel"/>
    <w:lvl w:ilvl="0">
      <w:start w:val="1"/>
      <w:numFmt w:val="decimal"/>
      <w:pStyle w:val="1209"/>
      <w:isLgl w:val="false"/>
      <w:suff w:val="tab"/>
      <w:lvlText w:val="%1."/>
      <w:lvlJc w:val="left"/>
      <w:pPr>
        <w:pStyle w:val="104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58"/>
      <w:isLgl w:val="false"/>
      <w:suff w:val="nothing"/>
      <w:lvlText w:val="%1　"/>
      <w:lvlJc w:val="left"/>
      <w:pPr>
        <w:pStyle w:val="104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4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48"/>
        <w:ind w:left="-25" w:firstLine="0"/>
      </w:pPr>
      <w:rPr>
        <w:rFonts w:ascii="Times New Roman" w:hAnsi="Times New Roman" w:eastAsia="黑体"/>
        <w:b/>
        <w:i w:val="0"/>
        <w:sz w:val="28"/>
      </w:rPr>
    </w:lvl>
    <w:lvl w:ilvl="3">
      <w:start w:val="1"/>
      <w:numFmt w:val="decimal"/>
      <w:pStyle w:val="1194"/>
      <w:isLgl w:val="false"/>
      <w:suff w:val="nothing"/>
      <w:lvlText w:val="%1.%2.%3.%4　"/>
      <w:lvlJc w:val="left"/>
      <w:pPr>
        <w:pStyle w:val="104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4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48"/>
        <w:ind w:left="-25" w:firstLine="0"/>
      </w:pPr>
      <w:rPr>
        <w:rFonts w:ascii="Times New Roman" w:hAnsi="Times New Roman" w:eastAsia="宋体"/>
        <w:b/>
        <w:i w:val="0"/>
        <w:sz w:val="28"/>
      </w:rPr>
    </w:lvl>
    <w:lvl w:ilvl="6">
      <w:start w:val="1"/>
      <w:numFmt w:val="lowerLetter"/>
      <w:pStyle w:val="1215"/>
      <w:isLgl w:val="false"/>
      <w:suff w:val="tab"/>
      <w:lvlText w:val="%7) "/>
      <w:lvlJc w:val="left"/>
      <w:pPr>
        <w:pStyle w:val="1048"/>
        <w:ind w:left="-125" w:firstLine="400"/>
        <w:tabs>
          <w:tab w:val="num" w:pos="635" w:leader="none"/>
        </w:tabs>
      </w:pPr>
      <w:rPr>
        <w:rFonts w:ascii="Times New Roman" w:hAnsi="Times New Roman" w:eastAsia="宋体"/>
        <w:b/>
        <w:i w:val="0"/>
        <w:color w:val="000000"/>
        <w:sz w:val="28"/>
        <w:u w:val="none"/>
      </w:rPr>
    </w:lvl>
    <w:lvl w:ilvl="7">
      <w:start w:val="1"/>
      <w:numFmt w:val="decimal"/>
      <w:pStyle w:val="1178"/>
      <w:isLgl w:val="false"/>
      <w:suff w:val="tab"/>
      <w:lvlText w:val="%8) "/>
      <w:lvlJc w:val="left"/>
      <w:pPr>
        <w:pStyle w:val="104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48"/>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48"/>
        <w:ind w:left="768" w:hanging="360"/>
        <w:tabs>
          <w:tab w:val="num" w:pos="768" w:leader="none"/>
        </w:tabs>
      </w:pPr>
      <w:rPr>
        <w:rFonts w:hint="eastAsia"/>
      </w:rPr>
    </w:lvl>
    <w:lvl w:ilvl="1">
      <w:start w:val="1"/>
      <w:numFmt w:val="decimal"/>
      <w:pStyle w:val="1196"/>
      <w:isLgl w:val="false"/>
      <w:suff w:val="tab"/>
      <w:lvlText w:val="%2、"/>
      <w:lvlJc w:val="left"/>
      <w:pPr>
        <w:pStyle w:val="1048"/>
        <w:ind w:left="1188" w:hanging="360"/>
        <w:tabs>
          <w:tab w:val="num" w:pos="1188" w:leader="none"/>
        </w:tabs>
      </w:pPr>
      <w:rPr>
        <w:rFonts w:hint="eastAsia"/>
      </w:rPr>
    </w:lvl>
    <w:lvl w:ilvl="2">
      <w:start w:val="1"/>
      <w:numFmt w:val="decimal"/>
      <w:isLgl w:val="false"/>
      <w:suff w:val="tab"/>
      <w:lvlText w:val="（%3）"/>
      <w:lvlJc w:val="left"/>
      <w:pPr>
        <w:pStyle w:val="1048"/>
        <w:ind w:left="1968" w:hanging="720"/>
        <w:tabs>
          <w:tab w:val="num" w:pos="1968" w:leader="none"/>
        </w:tabs>
      </w:pPr>
      <w:rPr>
        <w:rFonts w:hint="eastAsia"/>
        <w:u w:val="none"/>
      </w:rPr>
    </w:lvl>
    <w:lvl w:ilvl="3">
      <w:start w:val="1"/>
      <w:numFmt w:val="decimal"/>
      <w:isLgl w:val="false"/>
      <w:suff w:val="tab"/>
      <w:lvlText w:val="%4."/>
      <w:lvlJc w:val="left"/>
      <w:pPr>
        <w:pStyle w:val="1048"/>
        <w:ind w:left="2088" w:hanging="420"/>
        <w:tabs>
          <w:tab w:val="num" w:pos="2088" w:leader="none"/>
        </w:tabs>
      </w:pPr>
    </w:lvl>
    <w:lvl w:ilvl="4">
      <w:start w:val="1"/>
      <w:numFmt w:val="lowerLetter"/>
      <w:isLgl w:val="false"/>
      <w:suff w:val="tab"/>
      <w:lvlText w:val="%5)"/>
      <w:lvlJc w:val="left"/>
      <w:pPr>
        <w:pStyle w:val="1048"/>
        <w:ind w:left="2508" w:hanging="420"/>
        <w:tabs>
          <w:tab w:val="num" w:pos="2508" w:leader="none"/>
        </w:tabs>
      </w:pPr>
    </w:lvl>
    <w:lvl w:ilvl="5">
      <w:start w:val="1"/>
      <w:numFmt w:val="lowerRoman"/>
      <w:isLgl w:val="false"/>
      <w:suff w:val="tab"/>
      <w:lvlText w:val="%6."/>
      <w:lvlJc w:val="right"/>
      <w:pPr>
        <w:pStyle w:val="1048"/>
        <w:ind w:left="2928" w:hanging="420"/>
        <w:tabs>
          <w:tab w:val="num" w:pos="2928" w:leader="none"/>
        </w:tabs>
      </w:pPr>
    </w:lvl>
    <w:lvl w:ilvl="6">
      <w:start w:val="1"/>
      <w:numFmt w:val="decimal"/>
      <w:isLgl w:val="false"/>
      <w:suff w:val="tab"/>
      <w:lvlText w:val="%7."/>
      <w:lvlJc w:val="left"/>
      <w:pPr>
        <w:pStyle w:val="1048"/>
        <w:ind w:left="3348" w:hanging="420"/>
        <w:tabs>
          <w:tab w:val="num" w:pos="3348" w:leader="none"/>
        </w:tabs>
      </w:pPr>
    </w:lvl>
    <w:lvl w:ilvl="7">
      <w:start w:val="1"/>
      <w:numFmt w:val="lowerLetter"/>
      <w:isLgl w:val="false"/>
      <w:suff w:val="tab"/>
      <w:lvlText w:val="%8)"/>
      <w:lvlJc w:val="left"/>
      <w:pPr>
        <w:pStyle w:val="1048"/>
        <w:ind w:left="3768" w:hanging="420"/>
        <w:tabs>
          <w:tab w:val="num" w:pos="3768" w:leader="none"/>
        </w:tabs>
      </w:pPr>
    </w:lvl>
    <w:lvl w:ilvl="8">
      <w:start w:val="1"/>
      <w:numFmt w:val="lowerRoman"/>
      <w:isLgl w:val="false"/>
      <w:suff w:val="tab"/>
      <w:lvlText w:val="%9."/>
      <w:lvlJc w:val="right"/>
      <w:pPr>
        <w:pStyle w:val="1048"/>
        <w:ind w:left="4188" w:hanging="420"/>
        <w:tabs>
          <w:tab w:val="num" w:pos="4188" w:leader="none"/>
        </w:tabs>
      </w:pPr>
    </w:lvl>
  </w:abstractNum>
  <w:abstractNum w:abstractNumId="6">
    <w:multiLevelType w:val="hybridMultilevel"/>
    <w:lvl w:ilvl="0">
      <w:start w:val="1"/>
      <w:numFmt w:val="decimal"/>
      <w:pStyle w:val="1163"/>
      <w:isLgl w:val="false"/>
      <w:suff w:val="tab"/>
      <w:lvlText w:val="%1)"/>
      <w:lvlJc w:val="left"/>
      <w:pPr>
        <w:pStyle w:val="1048"/>
        <w:ind w:left="420" w:hanging="420"/>
      </w:pPr>
    </w:lvl>
    <w:lvl w:ilvl="1">
      <w:start w:val="1"/>
      <w:numFmt w:val="lowerLetter"/>
      <w:isLgl w:val="false"/>
      <w:suff w:val="tab"/>
      <w:lvlText w:val="%2)"/>
      <w:lvlJc w:val="left"/>
      <w:pPr>
        <w:pStyle w:val="1048"/>
        <w:ind w:left="840" w:hanging="420"/>
      </w:pPr>
    </w:lvl>
    <w:lvl w:ilvl="2">
      <w:start w:val="1"/>
      <w:numFmt w:val="lowerRoman"/>
      <w:isLgl w:val="false"/>
      <w:suff w:val="tab"/>
      <w:lvlText w:val="%3."/>
      <w:lvlJc w:val="right"/>
      <w:pPr>
        <w:pStyle w:val="1048"/>
        <w:ind w:left="1260" w:hanging="420"/>
      </w:pPr>
    </w:lvl>
    <w:lvl w:ilvl="3">
      <w:start w:val="1"/>
      <w:numFmt w:val="decimal"/>
      <w:isLgl w:val="false"/>
      <w:suff w:val="tab"/>
      <w:lvlText w:val="%4."/>
      <w:lvlJc w:val="left"/>
      <w:pPr>
        <w:pStyle w:val="1048"/>
        <w:ind w:left="1680" w:hanging="420"/>
      </w:pPr>
    </w:lvl>
    <w:lvl w:ilvl="4">
      <w:start w:val="1"/>
      <w:numFmt w:val="lowerLetter"/>
      <w:isLgl w:val="false"/>
      <w:suff w:val="tab"/>
      <w:lvlText w:val="%5)"/>
      <w:lvlJc w:val="left"/>
      <w:pPr>
        <w:pStyle w:val="1048"/>
        <w:ind w:left="2100" w:hanging="420"/>
      </w:pPr>
    </w:lvl>
    <w:lvl w:ilvl="5">
      <w:start w:val="1"/>
      <w:numFmt w:val="lowerRoman"/>
      <w:isLgl w:val="false"/>
      <w:suff w:val="tab"/>
      <w:lvlText w:val="%6."/>
      <w:lvlJc w:val="right"/>
      <w:pPr>
        <w:pStyle w:val="1048"/>
        <w:ind w:left="2520" w:hanging="420"/>
      </w:pPr>
    </w:lvl>
    <w:lvl w:ilvl="6">
      <w:start w:val="1"/>
      <w:numFmt w:val="decimal"/>
      <w:isLgl w:val="false"/>
      <w:suff w:val="tab"/>
      <w:lvlText w:val="%7."/>
      <w:lvlJc w:val="left"/>
      <w:pPr>
        <w:pStyle w:val="1048"/>
        <w:ind w:left="2940" w:hanging="420"/>
      </w:pPr>
    </w:lvl>
    <w:lvl w:ilvl="7">
      <w:start w:val="1"/>
      <w:numFmt w:val="lowerLetter"/>
      <w:isLgl w:val="false"/>
      <w:suff w:val="tab"/>
      <w:lvlText w:val="%8)"/>
      <w:lvlJc w:val="left"/>
      <w:pPr>
        <w:pStyle w:val="1048"/>
        <w:ind w:left="3360" w:hanging="420"/>
      </w:pPr>
    </w:lvl>
    <w:lvl w:ilvl="8">
      <w:start w:val="1"/>
      <w:numFmt w:val="lowerRoman"/>
      <w:isLgl w:val="false"/>
      <w:suff w:val="tab"/>
      <w:lvlText w:val="%9."/>
      <w:lvlJc w:val="right"/>
      <w:pPr>
        <w:pStyle w:val="1048"/>
        <w:ind w:left="3780" w:hanging="420"/>
      </w:pPr>
    </w:lvl>
  </w:abstractNum>
  <w:abstractNum w:abstractNumId="7">
    <w:multiLevelType w:val="hybridMultilevel"/>
    <w:lvl w:ilvl="0">
      <w:start w:val="1"/>
      <w:numFmt w:val="decimal"/>
      <w:pStyle w:val="1263"/>
      <w:isLgl w:val="false"/>
      <w:suff w:val="tab"/>
      <w:lvlText w:val="%1"/>
      <w:lvlJc w:val="left"/>
      <w:pPr>
        <w:pStyle w:val="1048"/>
        <w:ind w:left="680" w:hanging="680"/>
      </w:pPr>
      <w:rPr>
        <w:rFonts w:hint="eastAsia" w:ascii="宋体" w:hAnsi="宋体" w:eastAsia="宋体"/>
      </w:rPr>
    </w:lvl>
    <w:lvl w:ilvl="1">
      <w:start w:val="1"/>
      <w:numFmt w:val="decimal"/>
      <w:pStyle w:val="1264"/>
      <w:isLgl w:val="false"/>
      <w:suff w:val="tab"/>
      <w:lvlText w:val="%1.%2"/>
      <w:lvlJc w:val="left"/>
      <w:pPr>
        <w:pStyle w:val="1048"/>
        <w:ind w:left="851" w:hanging="851"/>
      </w:pPr>
      <w:rPr>
        <w:rFonts w:hint="eastAsia" w:ascii="宋体" w:hAnsi="宋体" w:eastAsia="宋体"/>
        <w:color w:val="000000"/>
      </w:rPr>
    </w:lvl>
    <w:lvl w:ilvl="2">
      <w:start w:val="1"/>
      <w:numFmt w:val="decimal"/>
      <w:pStyle w:val="1265"/>
      <w:isLgl w:val="false"/>
      <w:suff w:val="tab"/>
      <w:lvlText w:val="%1.%2.%3"/>
      <w:lvlJc w:val="left"/>
      <w:pPr>
        <w:pStyle w:val="1048"/>
        <w:ind w:left="851" w:hanging="851"/>
      </w:pPr>
      <w:rPr>
        <w:rFonts w:hint="eastAsia"/>
      </w:rPr>
    </w:lvl>
    <w:lvl w:ilvl="3">
      <w:start w:val="1"/>
      <w:numFmt w:val="decimal"/>
      <w:isLgl w:val="false"/>
      <w:suff w:val="tab"/>
      <w:lvlText w:val="%1.%2.%3.%4"/>
      <w:lvlJc w:val="left"/>
      <w:pPr>
        <w:pStyle w:val="1048"/>
        <w:ind w:left="680" w:hanging="680"/>
      </w:pPr>
      <w:rPr>
        <w:rFonts w:hint="eastAsia"/>
      </w:rPr>
    </w:lvl>
    <w:lvl w:ilvl="4">
      <w:start w:val="1"/>
      <w:numFmt w:val="decimal"/>
      <w:isLgl w:val="false"/>
      <w:suff w:val="tab"/>
      <w:lvlText w:val="%1.%2.%3.%4.%5"/>
      <w:lvlJc w:val="left"/>
      <w:pPr>
        <w:pStyle w:val="1048"/>
        <w:ind w:left="680" w:hanging="680"/>
      </w:pPr>
      <w:rPr>
        <w:rFonts w:hint="eastAsia"/>
      </w:rPr>
    </w:lvl>
    <w:lvl w:ilvl="5">
      <w:start w:val="1"/>
      <w:numFmt w:val="decimal"/>
      <w:isLgl w:val="false"/>
      <w:suff w:val="tab"/>
      <w:lvlText w:val="%1.%2.%3.%4.%5.%6"/>
      <w:lvlJc w:val="left"/>
      <w:pPr>
        <w:pStyle w:val="1048"/>
        <w:ind w:left="680" w:hanging="680"/>
      </w:pPr>
      <w:rPr>
        <w:rFonts w:hint="eastAsia"/>
      </w:rPr>
    </w:lvl>
    <w:lvl w:ilvl="6">
      <w:start w:val="1"/>
      <w:numFmt w:val="decimal"/>
      <w:isLgl w:val="false"/>
      <w:suff w:val="tab"/>
      <w:lvlText w:val="%1.%2.%3.%4.%5.%6.%7"/>
      <w:lvlJc w:val="left"/>
      <w:pPr>
        <w:pStyle w:val="1048"/>
        <w:ind w:left="680" w:hanging="680"/>
      </w:pPr>
      <w:rPr>
        <w:rFonts w:hint="eastAsia"/>
      </w:rPr>
    </w:lvl>
    <w:lvl w:ilvl="7">
      <w:start w:val="1"/>
      <w:numFmt w:val="decimal"/>
      <w:isLgl w:val="false"/>
      <w:suff w:val="tab"/>
      <w:lvlText w:val="%1.%2.%3.%4.%5.%6.%7.%8"/>
      <w:lvlJc w:val="left"/>
      <w:pPr>
        <w:pStyle w:val="1048"/>
        <w:ind w:left="680" w:hanging="680"/>
      </w:pPr>
      <w:rPr>
        <w:rFonts w:hint="eastAsia"/>
      </w:rPr>
    </w:lvl>
    <w:lvl w:ilvl="8">
      <w:start w:val="1"/>
      <w:numFmt w:val="decimal"/>
      <w:isLgl w:val="false"/>
      <w:suff w:val="tab"/>
      <w:lvlText w:val="%1.%2.%3.%4.%5.%6.%7.%8.%9"/>
      <w:lvlJc w:val="left"/>
      <w:pPr>
        <w:pStyle w:val="1048"/>
        <w:ind w:left="680" w:hanging="680"/>
      </w:pPr>
      <w:rPr>
        <w:rFonts w:hint="eastAsia"/>
      </w:rPr>
    </w:lvl>
  </w:abstractNum>
  <w:abstractNum w:abstractNumId="8">
    <w:multiLevelType w:val="hybridMultilevel"/>
    <w:lvl w:ilvl="0">
      <w:start w:val="1"/>
      <w:numFmt w:val="decimal"/>
      <w:isLgl w:val="false"/>
      <w:suff w:val="nothing"/>
      <w:lvlText w:val="（%1）"/>
      <w:lvlJc w:val="left"/>
      <w:pPr>
        <w:pStyle w:val="1048"/>
      </w:pPr>
    </w:lvl>
    <w:lvl w:ilvl="1">
      <w:start w:val="1"/>
      <w:numFmt w:val="bullet"/>
      <w:isLgl w:val="false"/>
      <w:suff w:val="tab"/>
      <w:lvlText w:val="o"/>
      <w:lvlJc w:val="left"/>
      <w:pPr>
        <w:pStyle w:val="1048"/>
        <w:ind w:left="1440" w:hanging="360"/>
      </w:pPr>
      <w:rPr>
        <w:rFonts w:ascii="Courier New" w:hAnsi="Courier New" w:eastAsia="Courier New" w:cs="Courier New"/>
      </w:rPr>
    </w:lvl>
    <w:lvl w:ilvl="2">
      <w:start w:val="1"/>
      <w:numFmt w:val="bullet"/>
      <w:isLgl w:val="false"/>
      <w:suff w:val="tab"/>
      <w:lvlText w:val="§"/>
      <w:lvlJc w:val="left"/>
      <w:pPr>
        <w:pStyle w:val="1048"/>
        <w:ind w:left="2160" w:hanging="360"/>
      </w:pPr>
      <w:rPr>
        <w:rFonts w:ascii="Wingdings" w:hAnsi="Wingdings" w:eastAsia="Wingdings" w:cs="Wingdings"/>
      </w:rPr>
    </w:lvl>
    <w:lvl w:ilvl="3">
      <w:start w:val="1"/>
      <w:numFmt w:val="bullet"/>
      <w:isLgl w:val="false"/>
      <w:suff w:val="tab"/>
      <w:lvlText w:val="·"/>
      <w:lvlJc w:val="left"/>
      <w:pPr>
        <w:pStyle w:val="1048"/>
        <w:ind w:left="2880" w:hanging="360"/>
      </w:pPr>
      <w:rPr>
        <w:rFonts w:ascii="Symbol" w:hAnsi="Symbol" w:eastAsia="Symbol" w:cs="Symbol"/>
      </w:rPr>
    </w:lvl>
    <w:lvl w:ilvl="4">
      <w:start w:val="1"/>
      <w:numFmt w:val="bullet"/>
      <w:isLgl w:val="false"/>
      <w:suff w:val="tab"/>
      <w:lvlText w:val="o"/>
      <w:lvlJc w:val="left"/>
      <w:pPr>
        <w:pStyle w:val="1048"/>
        <w:ind w:left="3600" w:hanging="360"/>
      </w:pPr>
      <w:rPr>
        <w:rFonts w:ascii="Courier New" w:hAnsi="Courier New" w:eastAsia="Courier New" w:cs="Courier New"/>
      </w:rPr>
    </w:lvl>
    <w:lvl w:ilvl="5">
      <w:start w:val="1"/>
      <w:numFmt w:val="bullet"/>
      <w:isLgl w:val="false"/>
      <w:suff w:val="tab"/>
      <w:lvlText w:val="§"/>
      <w:lvlJc w:val="left"/>
      <w:pPr>
        <w:pStyle w:val="1048"/>
        <w:ind w:left="4320" w:hanging="360"/>
      </w:pPr>
      <w:rPr>
        <w:rFonts w:ascii="Wingdings" w:hAnsi="Wingdings" w:eastAsia="Wingdings" w:cs="Wingdings"/>
      </w:rPr>
    </w:lvl>
    <w:lvl w:ilvl="6">
      <w:start w:val="1"/>
      <w:numFmt w:val="bullet"/>
      <w:isLgl w:val="false"/>
      <w:suff w:val="tab"/>
      <w:lvlText w:val="·"/>
      <w:lvlJc w:val="left"/>
      <w:pPr>
        <w:pStyle w:val="1048"/>
        <w:ind w:left="5040" w:hanging="360"/>
      </w:pPr>
      <w:rPr>
        <w:rFonts w:ascii="Symbol" w:hAnsi="Symbol" w:eastAsia="Symbol" w:cs="Symbol"/>
      </w:rPr>
    </w:lvl>
    <w:lvl w:ilvl="7">
      <w:start w:val="1"/>
      <w:numFmt w:val="bullet"/>
      <w:isLgl w:val="false"/>
      <w:suff w:val="tab"/>
      <w:lvlText w:val="o"/>
      <w:lvlJc w:val="left"/>
      <w:pPr>
        <w:pStyle w:val="1048"/>
        <w:ind w:left="5760" w:hanging="360"/>
      </w:pPr>
      <w:rPr>
        <w:rFonts w:ascii="Courier New" w:hAnsi="Courier New" w:eastAsia="Courier New" w:cs="Courier New"/>
      </w:rPr>
    </w:lvl>
    <w:lvl w:ilvl="8">
      <w:start w:val="1"/>
      <w:numFmt w:val="bullet"/>
      <w:isLgl w:val="false"/>
      <w:suff w:val="tab"/>
      <w:lvlText w:val="§"/>
      <w:lvlJc w:val="left"/>
      <w:pPr>
        <w:pStyle w:val="1048"/>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1048"/>
        <w:ind w:left="900" w:hanging="900"/>
        <w:tabs>
          <w:tab w:val="num" w:pos="900" w:leader="none"/>
        </w:tabs>
      </w:pPr>
      <w:rPr>
        <w:rFonts w:hint="eastAsia"/>
      </w:rPr>
    </w:lvl>
    <w:lvl w:ilvl="1">
      <w:start w:val="1"/>
      <w:numFmt w:val="decimal"/>
      <w:isLgl w:val="false"/>
      <w:suff w:val="tab"/>
      <w:lvlText w:val="%1.%2"/>
      <w:lvlJc w:val="left"/>
      <w:pPr>
        <w:pStyle w:val="104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48"/>
        <w:ind w:left="1980" w:hanging="900"/>
        <w:tabs>
          <w:tab w:val="num" w:pos="1980" w:leader="none"/>
        </w:tabs>
      </w:pPr>
      <w:rPr>
        <w:rFonts w:hint="eastAsia"/>
      </w:rPr>
    </w:lvl>
    <w:lvl w:ilvl="3">
      <w:start w:val="1"/>
      <w:numFmt w:val="decimal"/>
      <w:isLgl w:val="false"/>
      <w:suff w:val="tab"/>
      <w:lvlText w:val="%1.%2.%3.%4"/>
      <w:lvlJc w:val="left"/>
      <w:pPr>
        <w:pStyle w:val="1048"/>
        <w:ind w:left="900" w:hanging="900"/>
        <w:tabs>
          <w:tab w:val="num" w:pos="900" w:leader="none"/>
        </w:tabs>
      </w:pPr>
      <w:rPr>
        <w:rFonts w:hint="eastAsia"/>
      </w:rPr>
    </w:lvl>
    <w:lvl w:ilvl="4">
      <w:start w:val="1"/>
      <w:numFmt w:val="decimal"/>
      <w:isLgl w:val="false"/>
      <w:suff w:val="tab"/>
      <w:lvlText w:val="%1.%2.%3.%4.%5"/>
      <w:lvlJc w:val="left"/>
      <w:pPr>
        <w:pStyle w:val="1048"/>
        <w:ind w:left="900" w:hanging="900"/>
        <w:tabs>
          <w:tab w:val="num" w:pos="900" w:leader="none"/>
        </w:tabs>
      </w:pPr>
      <w:rPr>
        <w:rFonts w:hint="eastAsia"/>
      </w:rPr>
    </w:lvl>
    <w:lvl w:ilvl="5">
      <w:start w:val="1"/>
      <w:numFmt w:val="decimal"/>
      <w:isLgl w:val="false"/>
      <w:suff w:val="tab"/>
      <w:lvlText w:val="%1.%2.%3.%4.%5.%6"/>
      <w:lvlJc w:val="left"/>
      <w:pPr>
        <w:pStyle w:val="1048"/>
        <w:ind w:left="900" w:hanging="900"/>
        <w:tabs>
          <w:tab w:val="num" w:pos="900" w:leader="none"/>
        </w:tabs>
      </w:pPr>
      <w:rPr>
        <w:rFonts w:hint="eastAsia"/>
      </w:rPr>
    </w:lvl>
    <w:lvl w:ilvl="6">
      <w:start w:val="1"/>
      <w:numFmt w:val="decimal"/>
      <w:isLgl w:val="false"/>
      <w:suff w:val="tab"/>
      <w:lvlText w:val="%1.%2.%3.%4.%5.%6.%7"/>
      <w:lvlJc w:val="left"/>
      <w:pPr>
        <w:pStyle w:val="1048"/>
        <w:ind w:left="900" w:hanging="900"/>
        <w:tabs>
          <w:tab w:val="num" w:pos="900" w:leader="none"/>
        </w:tabs>
      </w:pPr>
      <w:rPr>
        <w:rFonts w:hint="eastAsia"/>
      </w:rPr>
    </w:lvl>
    <w:lvl w:ilvl="7">
      <w:start w:val="1"/>
      <w:numFmt w:val="decimal"/>
      <w:isLgl w:val="false"/>
      <w:suff w:val="tab"/>
      <w:lvlText w:val="%1.%2.%3.%4.%5.%6.%7.%8"/>
      <w:lvlJc w:val="left"/>
      <w:pPr>
        <w:pStyle w:val="1048"/>
        <w:ind w:left="900" w:hanging="900"/>
        <w:tabs>
          <w:tab w:val="num" w:pos="900" w:leader="none"/>
        </w:tabs>
      </w:pPr>
      <w:rPr>
        <w:rFonts w:hint="eastAsia"/>
      </w:rPr>
    </w:lvl>
    <w:lvl w:ilvl="8">
      <w:start w:val="1"/>
      <w:numFmt w:val="decimal"/>
      <w:isLgl w:val="false"/>
      <w:suff w:val="tab"/>
      <w:lvlText w:val="%1.%2.%3.%4.%5.%6.%7.%8.%9"/>
      <w:lvlJc w:val="left"/>
      <w:pPr>
        <w:pStyle w:val="1048"/>
        <w:ind w:left="900" w:hanging="900"/>
        <w:tabs>
          <w:tab w:val="num" w:pos="900" w:leader="none"/>
        </w:tabs>
      </w:pPr>
      <w:rPr>
        <w:rFonts w:hint="eastAsia"/>
      </w:rPr>
    </w:lvl>
  </w:abstractNum>
  <w:num w:numId="1">
    <w:abstractNumId w:val="4"/>
  </w:num>
  <w:num w:numId="2">
    <w:abstractNumId w:val="1"/>
  </w:num>
  <w:num w:numId="3">
    <w:abstractNumId w:val="6"/>
  </w:num>
  <w:num w:numId="4">
    <w:abstractNumId w:val="5"/>
  </w:num>
  <w:num w:numId="5">
    <w:abstractNumId w:val="3"/>
  </w:num>
  <w:num w:numId="6">
    <w:abstractNumId w:val="2"/>
  </w:num>
  <w:num w:numId="7">
    <w:abstractNumId w:val="7"/>
  </w:num>
  <w:num w:numId="8">
    <w:abstractNumId w:val="9"/>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0">
    <w:name w:val="Heading 1"/>
    <w:basedOn w:val="1048"/>
    <w:next w:val="1048"/>
    <w:link w:val="871"/>
    <w:uiPriority w:val="9"/>
    <w:qFormat/>
    <w:pPr>
      <w:keepLines/>
      <w:keepNext/>
      <w:spacing w:before="480" w:after="200"/>
      <w:outlineLvl w:val="0"/>
    </w:pPr>
    <w:rPr>
      <w:rFonts w:ascii="Arial" w:hAnsi="Arial" w:eastAsia="Arial" w:cs="Arial"/>
      <w:sz w:val="40"/>
      <w:szCs w:val="40"/>
    </w:rPr>
  </w:style>
  <w:style w:type="character" w:styleId="871">
    <w:name w:val="Heading 1 Char"/>
    <w:link w:val="870"/>
    <w:uiPriority w:val="9"/>
    <w:rPr>
      <w:rFonts w:ascii="Arial" w:hAnsi="Arial" w:eastAsia="Arial" w:cs="Arial"/>
      <w:sz w:val="40"/>
      <w:szCs w:val="40"/>
    </w:rPr>
  </w:style>
  <w:style w:type="paragraph" w:styleId="872">
    <w:name w:val="Heading 2"/>
    <w:basedOn w:val="1048"/>
    <w:next w:val="1048"/>
    <w:link w:val="873"/>
    <w:uiPriority w:val="9"/>
    <w:unhideWhenUsed/>
    <w:qFormat/>
    <w:pPr>
      <w:keepLines/>
      <w:keepNext/>
      <w:spacing w:before="360" w:after="200"/>
      <w:outlineLvl w:val="1"/>
    </w:pPr>
    <w:rPr>
      <w:rFonts w:ascii="Arial" w:hAnsi="Arial" w:eastAsia="Arial" w:cs="Arial"/>
      <w:sz w:val="34"/>
    </w:rPr>
  </w:style>
  <w:style w:type="character" w:styleId="873">
    <w:name w:val="Heading 2 Char"/>
    <w:link w:val="872"/>
    <w:uiPriority w:val="9"/>
    <w:rPr>
      <w:rFonts w:ascii="Arial" w:hAnsi="Arial" w:eastAsia="Arial" w:cs="Arial"/>
      <w:sz w:val="34"/>
    </w:rPr>
  </w:style>
  <w:style w:type="paragraph" w:styleId="874">
    <w:name w:val="Heading 3"/>
    <w:basedOn w:val="1048"/>
    <w:next w:val="1048"/>
    <w:link w:val="875"/>
    <w:uiPriority w:val="9"/>
    <w:unhideWhenUsed/>
    <w:qFormat/>
    <w:pPr>
      <w:keepLines/>
      <w:keepNext/>
      <w:spacing w:before="320" w:after="200"/>
      <w:outlineLvl w:val="2"/>
    </w:pPr>
    <w:rPr>
      <w:rFonts w:ascii="Arial" w:hAnsi="Arial" w:eastAsia="Arial" w:cs="Arial"/>
      <w:sz w:val="30"/>
      <w:szCs w:val="30"/>
    </w:rPr>
  </w:style>
  <w:style w:type="character" w:styleId="875">
    <w:name w:val="Heading 3 Char"/>
    <w:link w:val="874"/>
    <w:uiPriority w:val="9"/>
    <w:rPr>
      <w:rFonts w:ascii="Arial" w:hAnsi="Arial" w:eastAsia="Arial" w:cs="Arial"/>
      <w:sz w:val="30"/>
      <w:szCs w:val="30"/>
    </w:rPr>
  </w:style>
  <w:style w:type="paragraph" w:styleId="876">
    <w:name w:val="Heading 4"/>
    <w:basedOn w:val="1048"/>
    <w:next w:val="1048"/>
    <w:link w:val="877"/>
    <w:uiPriority w:val="9"/>
    <w:unhideWhenUsed/>
    <w:qFormat/>
    <w:pPr>
      <w:keepLines/>
      <w:keepNext/>
      <w:spacing w:before="320" w:after="200"/>
      <w:outlineLvl w:val="3"/>
    </w:pPr>
    <w:rPr>
      <w:rFonts w:ascii="Arial" w:hAnsi="Arial" w:eastAsia="Arial" w:cs="Arial"/>
      <w:b/>
      <w:bCs/>
      <w:sz w:val="26"/>
      <w:szCs w:val="26"/>
    </w:rPr>
  </w:style>
  <w:style w:type="character" w:styleId="877">
    <w:name w:val="Heading 4 Char"/>
    <w:link w:val="876"/>
    <w:uiPriority w:val="9"/>
    <w:rPr>
      <w:rFonts w:ascii="Arial" w:hAnsi="Arial" w:eastAsia="Arial" w:cs="Arial"/>
      <w:b/>
      <w:bCs/>
      <w:sz w:val="26"/>
      <w:szCs w:val="26"/>
    </w:rPr>
  </w:style>
  <w:style w:type="paragraph" w:styleId="878">
    <w:name w:val="Heading 5"/>
    <w:basedOn w:val="1048"/>
    <w:next w:val="1048"/>
    <w:link w:val="879"/>
    <w:uiPriority w:val="9"/>
    <w:unhideWhenUsed/>
    <w:qFormat/>
    <w:pPr>
      <w:keepLines/>
      <w:keepNext/>
      <w:spacing w:before="320" w:after="200"/>
      <w:outlineLvl w:val="4"/>
    </w:pPr>
    <w:rPr>
      <w:rFonts w:ascii="Arial" w:hAnsi="Arial" w:eastAsia="Arial" w:cs="Arial"/>
      <w:b/>
      <w:bCs/>
      <w:sz w:val="24"/>
      <w:szCs w:val="24"/>
    </w:rPr>
  </w:style>
  <w:style w:type="character" w:styleId="879">
    <w:name w:val="Heading 5 Char"/>
    <w:link w:val="878"/>
    <w:uiPriority w:val="9"/>
    <w:rPr>
      <w:rFonts w:ascii="Arial" w:hAnsi="Arial" w:eastAsia="Arial" w:cs="Arial"/>
      <w:b/>
      <w:bCs/>
      <w:sz w:val="24"/>
      <w:szCs w:val="24"/>
    </w:rPr>
  </w:style>
  <w:style w:type="paragraph" w:styleId="880">
    <w:name w:val="Heading 6"/>
    <w:basedOn w:val="1048"/>
    <w:next w:val="1048"/>
    <w:link w:val="881"/>
    <w:uiPriority w:val="9"/>
    <w:unhideWhenUsed/>
    <w:qFormat/>
    <w:pPr>
      <w:keepLines/>
      <w:keepNext/>
      <w:spacing w:before="320" w:after="200"/>
      <w:outlineLvl w:val="5"/>
    </w:pPr>
    <w:rPr>
      <w:rFonts w:ascii="Arial" w:hAnsi="Arial" w:eastAsia="Arial" w:cs="Arial"/>
      <w:b/>
      <w:bCs/>
      <w:sz w:val="22"/>
      <w:szCs w:val="22"/>
    </w:rPr>
  </w:style>
  <w:style w:type="character" w:styleId="881">
    <w:name w:val="Heading 6 Char"/>
    <w:link w:val="880"/>
    <w:uiPriority w:val="9"/>
    <w:rPr>
      <w:rFonts w:ascii="Arial" w:hAnsi="Arial" w:eastAsia="Arial" w:cs="Arial"/>
      <w:b/>
      <w:bCs/>
      <w:sz w:val="22"/>
      <w:szCs w:val="22"/>
    </w:rPr>
  </w:style>
  <w:style w:type="paragraph" w:styleId="882">
    <w:name w:val="Heading 7"/>
    <w:basedOn w:val="1048"/>
    <w:next w:val="1048"/>
    <w:link w:val="883"/>
    <w:uiPriority w:val="9"/>
    <w:unhideWhenUsed/>
    <w:qFormat/>
    <w:pPr>
      <w:keepLines/>
      <w:keepNext/>
      <w:spacing w:before="320" w:after="200"/>
      <w:outlineLvl w:val="6"/>
    </w:pPr>
    <w:rPr>
      <w:rFonts w:ascii="Arial" w:hAnsi="Arial" w:eastAsia="Arial" w:cs="Arial"/>
      <w:b/>
      <w:bCs/>
      <w:i/>
      <w:iCs/>
      <w:sz w:val="22"/>
      <w:szCs w:val="22"/>
    </w:rPr>
  </w:style>
  <w:style w:type="character" w:styleId="883">
    <w:name w:val="Heading 7 Char"/>
    <w:link w:val="882"/>
    <w:uiPriority w:val="9"/>
    <w:rPr>
      <w:rFonts w:ascii="Arial" w:hAnsi="Arial" w:eastAsia="Arial" w:cs="Arial"/>
      <w:b/>
      <w:bCs/>
      <w:i/>
      <w:iCs/>
      <w:sz w:val="22"/>
      <w:szCs w:val="22"/>
    </w:rPr>
  </w:style>
  <w:style w:type="paragraph" w:styleId="884">
    <w:name w:val="Heading 8"/>
    <w:basedOn w:val="1048"/>
    <w:next w:val="1048"/>
    <w:link w:val="885"/>
    <w:uiPriority w:val="9"/>
    <w:unhideWhenUsed/>
    <w:qFormat/>
    <w:pPr>
      <w:keepLines/>
      <w:keepNext/>
      <w:spacing w:before="320" w:after="200"/>
      <w:outlineLvl w:val="7"/>
    </w:pPr>
    <w:rPr>
      <w:rFonts w:ascii="Arial" w:hAnsi="Arial" w:eastAsia="Arial" w:cs="Arial"/>
      <w:i/>
      <w:iCs/>
      <w:sz w:val="22"/>
      <w:szCs w:val="22"/>
    </w:rPr>
  </w:style>
  <w:style w:type="character" w:styleId="885">
    <w:name w:val="Heading 8 Char"/>
    <w:link w:val="884"/>
    <w:uiPriority w:val="9"/>
    <w:rPr>
      <w:rFonts w:ascii="Arial" w:hAnsi="Arial" w:eastAsia="Arial" w:cs="Arial"/>
      <w:i/>
      <w:iCs/>
      <w:sz w:val="22"/>
      <w:szCs w:val="22"/>
    </w:rPr>
  </w:style>
  <w:style w:type="paragraph" w:styleId="886">
    <w:name w:val="Heading 9"/>
    <w:basedOn w:val="1048"/>
    <w:next w:val="1048"/>
    <w:link w:val="887"/>
    <w:uiPriority w:val="9"/>
    <w:unhideWhenUsed/>
    <w:qFormat/>
    <w:pPr>
      <w:keepLines/>
      <w:keepNext/>
      <w:spacing w:before="320" w:after="200"/>
      <w:outlineLvl w:val="8"/>
    </w:pPr>
    <w:rPr>
      <w:rFonts w:ascii="Arial" w:hAnsi="Arial" w:eastAsia="Arial" w:cs="Arial"/>
      <w:i/>
      <w:iCs/>
      <w:sz w:val="21"/>
      <w:szCs w:val="21"/>
    </w:rPr>
  </w:style>
  <w:style w:type="character" w:styleId="887">
    <w:name w:val="Heading 9 Char"/>
    <w:link w:val="886"/>
    <w:uiPriority w:val="9"/>
    <w:rPr>
      <w:rFonts w:ascii="Arial" w:hAnsi="Arial" w:eastAsia="Arial" w:cs="Arial"/>
      <w:i/>
      <w:iCs/>
      <w:sz w:val="21"/>
      <w:szCs w:val="21"/>
    </w:rPr>
  </w:style>
  <w:style w:type="paragraph" w:styleId="888">
    <w:name w:val="List Paragraph"/>
    <w:basedOn w:val="1048"/>
    <w:uiPriority w:val="34"/>
    <w:qFormat/>
    <w:pPr>
      <w:contextualSpacing/>
      <w:ind w:left="720"/>
    </w:pPr>
  </w:style>
  <w:style w:type="paragraph" w:styleId="889">
    <w:name w:val="No Spacing"/>
    <w:uiPriority w:val="1"/>
    <w:qFormat/>
    <w:pPr>
      <w:spacing w:before="0" w:after="0" w:line="240" w:lineRule="auto"/>
    </w:pPr>
  </w:style>
  <w:style w:type="paragraph" w:styleId="890">
    <w:name w:val="Title"/>
    <w:basedOn w:val="1048"/>
    <w:next w:val="1048"/>
    <w:link w:val="891"/>
    <w:uiPriority w:val="10"/>
    <w:qFormat/>
    <w:pPr>
      <w:contextualSpacing/>
      <w:spacing w:before="300" w:after="200"/>
    </w:pPr>
    <w:rPr>
      <w:sz w:val="48"/>
      <w:szCs w:val="48"/>
    </w:rPr>
  </w:style>
  <w:style w:type="character" w:styleId="891">
    <w:name w:val="Title Char"/>
    <w:link w:val="890"/>
    <w:uiPriority w:val="10"/>
    <w:rPr>
      <w:sz w:val="48"/>
      <w:szCs w:val="48"/>
    </w:rPr>
  </w:style>
  <w:style w:type="paragraph" w:styleId="892">
    <w:name w:val="Subtitle"/>
    <w:basedOn w:val="1048"/>
    <w:next w:val="1048"/>
    <w:link w:val="893"/>
    <w:uiPriority w:val="11"/>
    <w:qFormat/>
    <w:pPr>
      <w:spacing w:before="200" w:after="200"/>
    </w:pPr>
    <w:rPr>
      <w:sz w:val="24"/>
      <w:szCs w:val="24"/>
    </w:rPr>
  </w:style>
  <w:style w:type="character" w:styleId="893">
    <w:name w:val="Subtitle Char"/>
    <w:link w:val="892"/>
    <w:uiPriority w:val="11"/>
    <w:rPr>
      <w:sz w:val="24"/>
      <w:szCs w:val="24"/>
    </w:rPr>
  </w:style>
  <w:style w:type="paragraph" w:styleId="894">
    <w:name w:val="Quote"/>
    <w:basedOn w:val="1048"/>
    <w:next w:val="1048"/>
    <w:link w:val="895"/>
    <w:uiPriority w:val="29"/>
    <w:qFormat/>
    <w:pPr>
      <w:ind w:left="720" w:right="720"/>
    </w:pPr>
    <w:rPr>
      <w:i/>
    </w:rPr>
  </w:style>
  <w:style w:type="character" w:styleId="895">
    <w:name w:val="Quote Char"/>
    <w:link w:val="894"/>
    <w:uiPriority w:val="29"/>
    <w:rPr>
      <w:i/>
    </w:rPr>
  </w:style>
  <w:style w:type="paragraph" w:styleId="896">
    <w:name w:val="Intense Quote"/>
    <w:basedOn w:val="1048"/>
    <w:next w:val="1048"/>
    <w:link w:val="8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name w:val="Intense Quote Char"/>
    <w:link w:val="896"/>
    <w:uiPriority w:val="30"/>
    <w:rPr>
      <w:i/>
    </w:rPr>
  </w:style>
  <w:style w:type="paragraph" w:styleId="898">
    <w:name w:val="Header"/>
    <w:basedOn w:val="1048"/>
    <w:link w:val="899"/>
    <w:uiPriority w:val="99"/>
    <w:unhideWhenUsed/>
    <w:pPr>
      <w:spacing w:after="0" w:line="240" w:lineRule="auto"/>
      <w:tabs>
        <w:tab w:val="center" w:pos="7143" w:leader="none"/>
        <w:tab w:val="right" w:pos="14287" w:leader="none"/>
      </w:tabs>
    </w:pPr>
  </w:style>
  <w:style w:type="character" w:styleId="899">
    <w:name w:val="Header Char"/>
    <w:link w:val="898"/>
    <w:uiPriority w:val="99"/>
  </w:style>
  <w:style w:type="paragraph" w:styleId="900">
    <w:name w:val="Footer"/>
    <w:basedOn w:val="1048"/>
    <w:link w:val="903"/>
    <w:uiPriority w:val="99"/>
    <w:unhideWhenUsed/>
    <w:pPr>
      <w:spacing w:after="0" w:line="240" w:lineRule="auto"/>
      <w:tabs>
        <w:tab w:val="center" w:pos="7143" w:leader="none"/>
        <w:tab w:val="right" w:pos="14287" w:leader="none"/>
      </w:tabs>
    </w:pPr>
  </w:style>
  <w:style w:type="character" w:styleId="901">
    <w:name w:val="Footer Char"/>
    <w:link w:val="900"/>
    <w:uiPriority w:val="99"/>
  </w:style>
  <w:style w:type="paragraph" w:styleId="902">
    <w:name w:val="Caption"/>
    <w:basedOn w:val="1048"/>
    <w:next w:val="1048"/>
    <w:uiPriority w:val="35"/>
    <w:semiHidden/>
    <w:unhideWhenUsed/>
    <w:qFormat/>
    <w:pPr>
      <w:spacing w:line="276" w:lineRule="auto"/>
    </w:pPr>
    <w:rPr>
      <w:b/>
      <w:bCs/>
      <w:color w:val="4f81bd" w:themeColor="accent1"/>
      <w:sz w:val="18"/>
      <w:szCs w:val="18"/>
    </w:rPr>
  </w:style>
  <w:style w:type="character" w:styleId="903">
    <w:name w:val="Caption Char"/>
    <w:basedOn w:val="902"/>
    <w:link w:val="900"/>
    <w:uiPriority w:val="99"/>
  </w:style>
  <w:style w:type="table" w:styleId="9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0">
    <w:name w:val="Hyperlink"/>
    <w:uiPriority w:val="99"/>
    <w:unhideWhenUsed/>
    <w:rPr>
      <w:color w:val="0000ff" w:themeColor="hyperlink"/>
      <w:u w:val="single"/>
    </w:rPr>
  </w:style>
  <w:style w:type="paragraph" w:styleId="1031">
    <w:name w:val="footnote text"/>
    <w:basedOn w:val="1048"/>
    <w:link w:val="1032"/>
    <w:uiPriority w:val="99"/>
    <w:semiHidden/>
    <w:unhideWhenUsed/>
    <w:pPr>
      <w:spacing w:after="40" w:line="240" w:lineRule="auto"/>
    </w:pPr>
    <w:rPr>
      <w:sz w:val="18"/>
    </w:rPr>
  </w:style>
  <w:style w:type="character" w:styleId="1032">
    <w:name w:val="Footnote Text Char"/>
    <w:link w:val="1031"/>
    <w:uiPriority w:val="99"/>
    <w:rPr>
      <w:sz w:val="18"/>
    </w:rPr>
  </w:style>
  <w:style w:type="character" w:styleId="1033">
    <w:name w:val="footnote reference"/>
    <w:uiPriority w:val="99"/>
    <w:unhideWhenUsed/>
    <w:rPr>
      <w:vertAlign w:val="superscript"/>
    </w:rPr>
  </w:style>
  <w:style w:type="paragraph" w:styleId="1034">
    <w:name w:val="endnote text"/>
    <w:basedOn w:val="1048"/>
    <w:link w:val="1035"/>
    <w:uiPriority w:val="99"/>
    <w:semiHidden/>
    <w:unhideWhenUsed/>
    <w:pPr>
      <w:spacing w:after="0" w:line="240" w:lineRule="auto"/>
    </w:pPr>
    <w:rPr>
      <w:sz w:val="20"/>
    </w:rPr>
  </w:style>
  <w:style w:type="character" w:styleId="1035">
    <w:name w:val="Endnote Text Char"/>
    <w:link w:val="1034"/>
    <w:uiPriority w:val="99"/>
    <w:rPr>
      <w:sz w:val="20"/>
    </w:rPr>
  </w:style>
  <w:style w:type="character" w:styleId="1036">
    <w:name w:val="endnote reference"/>
    <w:uiPriority w:val="99"/>
    <w:semiHidden/>
    <w:unhideWhenUsed/>
    <w:rPr>
      <w:vertAlign w:val="superscript"/>
    </w:rPr>
  </w:style>
  <w:style w:type="paragraph" w:styleId="1037">
    <w:name w:val="toc 1"/>
    <w:basedOn w:val="1048"/>
    <w:next w:val="1048"/>
    <w:uiPriority w:val="39"/>
    <w:unhideWhenUsed/>
    <w:pPr>
      <w:ind w:left="0" w:right="0" w:firstLine="0"/>
      <w:spacing w:after="57"/>
    </w:pPr>
  </w:style>
  <w:style w:type="paragraph" w:styleId="1038">
    <w:name w:val="toc 2"/>
    <w:basedOn w:val="1048"/>
    <w:next w:val="1048"/>
    <w:uiPriority w:val="39"/>
    <w:unhideWhenUsed/>
    <w:pPr>
      <w:ind w:left="283" w:right="0" w:firstLine="0"/>
      <w:spacing w:after="57"/>
    </w:pPr>
  </w:style>
  <w:style w:type="paragraph" w:styleId="1039">
    <w:name w:val="toc 3"/>
    <w:basedOn w:val="1048"/>
    <w:next w:val="1048"/>
    <w:uiPriority w:val="39"/>
    <w:unhideWhenUsed/>
    <w:pPr>
      <w:ind w:left="567" w:right="0" w:firstLine="0"/>
      <w:spacing w:after="57"/>
    </w:pPr>
  </w:style>
  <w:style w:type="paragraph" w:styleId="1040">
    <w:name w:val="toc 4"/>
    <w:basedOn w:val="1048"/>
    <w:next w:val="1048"/>
    <w:uiPriority w:val="39"/>
    <w:unhideWhenUsed/>
    <w:pPr>
      <w:ind w:left="850" w:right="0" w:firstLine="0"/>
      <w:spacing w:after="57"/>
    </w:pPr>
  </w:style>
  <w:style w:type="paragraph" w:styleId="1041">
    <w:name w:val="toc 5"/>
    <w:basedOn w:val="1048"/>
    <w:next w:val="1048"/>
    <w:uiPriority w:val="39"/>
    <w:unhideWhenUsed/>
    <w:pPr>
      <w:ind w:left="1134" w:right="0" w:firstLine="0"/>
      <w:spacing w:after="57"/>
    </w:pPr>
  </w:style>
  <w:style w:type="paragraph" w:styleId="1042">
    <w:name w:val="toc 6"/>
    <w:basedOn w:val="1048"/>
    <w:next w:val="1048"/>
    <w:uiPriority w:val="39"/>
    <w:unhideWhenUsed/>
    <w:pPr>
      <w:ind w:left="1417" w:right="0" w:firstLine="0"/>
      <w:spacing w:after="57"/>
    </w:pPr>
  </w:style>
  <w:style w:type="paragraph" w:styleId="1043">
    <w:name w:val="toc 7"/>
    <w:basedOn w:val="1048"/>
    <w:next w:val="1048"/>
    <w:uiPriority w:val="39"/>
    <w:unhideWhenUsed/>
    <w:pPr>
      <w:ind w:left="1701" w:right="0" w:firstLine="0"/>
      <w:spacing w:after="57"/>
    </w:pPr>
  </w:style>
  <w:style w:type="paragraph" w:styleId="1044">
    <w:name w:val="toc 8"/>
    <w:basedOn w:val="1048"/>
    <w:next w:val="1048"/>
    <w:uiPriority w:val="39"/>
    <w:unhideWhenUsed/>
    <w:pPr>
      <w:ind w:left="1984" w:right="0" w:firstLine="0"/>
      <w:spacing w:after="57"/>
    </w:pPr>
  </w:style>
  <w:style w:type="paragraph" w:styleId="1045">
    <w:name w:val="toc 9"/>
    <w:basedOn w:val="1048"/>
    <w:next w:val="1048"/>
    <w:uiPriority w:val="39"/>
    <w:unhideWhenUsed/>
    <w:pPr>
      <w:ind w:left="2268" w:right="0" w:firstLine="0"/>
      <w:spacing w:after="57"/>
    </w:pPr>
  </w:style>
  <w:style w:type="paragraph" w:styleId="1046">
    <w:name w:val="TOC Heading"/>
    <w:uiPriority w:val="39"/>
    <w:unhideWhenUsed/>
  </w:style>
  <w:style w:type="paragraph" w:styleId="1047">
    <w:name w:val="table of figures"/>
    <w:basedOn w:val="1048"/>
    <w:next w:val="1048"/>
    <w:uiPriority w:val="99"/>
    <w:unhideWhenUsed/>
    <w:pPr>
      <w:spacing w:after="0" w:afterAutospacing="0"/>
    </w:pPr>
  </w:style>
  <w:style w:type="paragraph" w:styleId="1048" w:default="1">
    <w:name w:val="Normal"/>
    <w:next w:val="1060"/>
    <w:link w:val="1048"/>
    <w:qFormat/>
    <w:pPr>
      <w:jc w:val="both"/>
      <w:widowControl w:val="off"/>
    </w:pPr>
    <w:rPr>
      <w:sz w:val="21"/>
      <w:szCs w:val="24"/>
      <w:lang w:val="en-US" w:eastAsia="zh-CN" w:bidi="ar-SA"/>
    </w:rPr>
  </w:style>
  <w:style w:type="paragraph" w:styleId="1049">
    <w:name w:val="标题 1"/>
    <w:basedOn w:val="1048"/>
    <w:next w:val="1048"/>
    <w:link w:val="1062"/>
    <w:qFormat/>
    <w:pPr>
      <w:jc w:val="center"/>
      <w:keepLines/>
      <w:keepNext/>
      <w:spacing w:before="240" w:after="120" w:line="300" w:lineRule="auto"/>
      <w:outlineLvl w:val="0"/>
    </w:pPr>
    <w:rPr>
      <w:rFonts w:ascii="宋体"/>
      <w:b/>
      <w:sz w:val="32"/>
      <w:szCs w:val="20"/>
    </w:rPr>
  </w:style>
  <w:style w:type="paragraph" w:styleId="1050">
    <w:name w:val="标题 2"/>
    <w:basedOn w:val="1048"/>
    <w:next w:val="1048"/>
    <w:link w:val="1063"/>
    <w:qFormat/>
    <w:pPr>
      <w:jc w:val="center"/>
      <w:keepLines/>
      <w:keepNext/>
      <w:spacing w:before="120" w:line="300" w:lineRule="auto"/>
      <w:outlineLvl w:val="1"/>
    </w:pPr>
    <w:rPr>
      <w:rFonts w:ascii="Arial" w:hAnsi="Arial" w:eastAsia="黑体"/>
      <w:b/>
      <w:sz w:val="30"/>
      <w:szCs w:val="20"/>
    </w:rPr>
  </w:style>
  <w:style w:type="paragraph" w:styleId="1051">
    <w:name w:val="标题 3"/>
    <w:basedOn w:val="1048"/>
    <w:next w:val="1048"/>
    <w:link w:val="1064"/>
    <w:qFormat/>
    <w:pPr>
      <w:jc w:val="left"/>
      <w:keepLines/>
      <w:keepNext/>
      <w:spacing w:before="360" w:after="120"/>
      <w:outlineLvl w:val="2"/>
    </w:pPr>
    <w:rPr>
      <w:rFonts w:ascii="宋体"/>
      <w:b/>
      <w:sz w:val="24"/>
      <w:szCs w:val="20"/>
      <w:u w:val="single"/>
    </w:rPr>
  </w:style>
  <w:style w:type="paragraph" w:styleId="1052">
    <w:name w:val="标题 4"/>
    <w:basedOn w:val="1048"/>
    <w:next w:val="1048"/>
    <w:link w:val="1065"/>
    <w:qFormat/>
    <w:pPr>
      <w:keepLines/>
      <w:keepNext/>
      <w:spacing w:before="280" w:after="290" w:line="376" w:lineRule="atLeast"/>
      <w:outlineLvl w:val="3"/>
    </w:pPr>
    <w:rPr>
      <w:rFonts w:ascii="Arial" w:hAnsi="Arial" w:eastAsia="黑体"/>
      <w:b/>
      <w:sz w:val="28"/>
      <w:szCs w:val="20"/>
    </w:rPr>
  </w:style>
  <w:style w:type="paragraph" w:styleId="1053">
    <w:name w:val="标题 5"/>
    <w:basedOn w:val="1048"/>
    <w:next w:val="1048"/>
    <w:link w:val="1066"/>
    <w:qFormat/>
    <w:pPr>
      <w:keepLines/>
      <w:keepNext/>
      <w:spacing w:before="280" w:after="290" w:line="376" w:lineRule="atLeast"/>
      <w:outlineLvl w:val="4"/>
    </w:pPr>
    <w:rPr>
      <w:b/>
      <w:sz w:val="28"/>
      <w:szCs w:val="20"/>
    </w:rPr>
  </w:style>
  <w:style w:type="paragraph" w:styleId="1054">
    <w:name w:val="标题 6"/>
    <w:basedOn w:val="1048"/>
    <w:next w:val="1048"/>
    <w:link w:val="1067"/>
    <w:qFormat/>
    <w:pPr>
      <w:keepLines/>
      <w:keepNext/>
      <w:spacing w:before="240" w:after="64" w:line="320" w:lineRule="atLeast"/>
      <w:outlineLvl w:val="5"/>
    </w:pPr>
    <w:rPr>
      <w:rFonts w:ascii="Arial" w:hAnsi="Arial" w:eastAsia="黑体"/>
      <w:b/>
      <w:sz w:val="24"/>
      <w:szCs w:val="20"/>
    </w:rPr>
  </w:style>
  <w:style w:type="paragraph" w:styleId="1055">
    <w:name w:val="标题 7"/>
    <w:basedOn w:val="1048"/>
    <w:next w:val="1048"/>
    <w:link w:val="1068"/>
    <w:qFormat/>
    <w:pPr>
      <w:keepLines/>
      <w:keepNext/>
      <w:spacing w:before="240" w:after="64" w:line="320" w:lineRule="atLeast"/>
      <w:outlineLvl w:val="6"/>
    </w:pPr>
    <w:rPr>
      <w:b/>
      <w:sz w:val="24"/>
      <w:szCs w:val="20"/>
    </w:rPr>
  </w:style>
  <w:style w:type="paragraph" w:styleId="1056">
    <w:name w:val="标题 8"/>
    <w:basedOn w:val="1048"/>
    <w:next w:val="1048"/>
    <w:link w:val="1069"/>
    <w:qFormat/>
    <w:pPr>
      <w:keepLines/>
      <w:keepNext/>
      <w:spacing w:before="240" w:after="64" w:line="320" w:lineRule="atLeast"/>
      <w:outlineLvl w:val="7"/>
    </w:pPr>
    <w:rPr>
      <w:rFonts w:ascii="Arial" w:hAnsi="Arial" w:eastAsia="黑体"/>
      <w:sz w:val="24"/>
      <w:szCs w:val="20"/>
    </w:rPr>
  </w:style>
  <w:style w:type="paragraph" w:styleId="1057">
    <w:name w:val="标题 9"/>
    <w:basedOn w:val="1048"/>
    <w:next w:val="1048"/>
    <w:link w:val="1070"/>
    <w:qFormat/>
    <w:pPr>
      <w:keepLines/>
      <w:keepNext/>
      <w:spacing w:before="240" w:after="64" w:line="320" w:lineRule="atLeast"/>
      <w:outlineLvl w:val="8"/>
    </w:pPr>
    <w:rPr>
      <w:rFonts w:ascii="Arial" w:hAnsi="Arial" w:eastAsia="黑体"/>
      <w:szCs w:val="20"/>
    </w:rPr>
  </w:style>
  <w:style w:type="character" w:styleId="1058">
    <w:name w:val="默认段落字体"/>
    <w:next w:val="1058"/>
    <w:link w:val="1048"/>
    <w:uiPriority w:val="1"/>
    <w:unhideWhenUsed/>
    <w:qFormat/>
  </w:style>
  <w:style w:type="table" w:styleId="1059">
    <w:name w:val="普通表格"/>
    <w:next w:val="1059"/>
    <w:link w:val="1048"/>
    <w:uiPriority w:val="99"/>
    <w:unhideWhenUsed/>
    <w:qFormat/>
    <w:tblPr/>
  </w:style>
  <w:style w:type="paragraph" w:styleId="1060">
    <w:name w:val="正文缩进"/>
    <w:basedOn w:val="1048"/>
    <w:next w:val="1060"/>
    <w:link w:val="1061"/>
    <w:qFormat/>
    <w:pPr>
      <w:ind w:firstLine="420"/>
      <w:jc w:val="left"/>
    </w:pPr>
    <w:rPr>
      <w:rFonts w:ascii="宋体"/>
      <w:sz w:val="24"/>
    </w:rPr>
  </w:style>
  <w:style w:type="character" w:styleId="1061">
    <w:name w:val="正文缩进 Char1"/>
    <w:next w:val="1061"/>
    <w:link w:val="1060"/>
    <w:qFormat/>
    <w:rPr>
      <w:rFonts w:ascii="宋体" w:eastAsia="宋体"/>
      <w:sz w:val="24"/>
      <w:szCs w:val="24"/>
      <w:lang w:val="en-US" w:eastAsia="zh-CN" w:bidi="ar-SA"/>
    </w:rPr>
  </w:style>
  <w:style w:type="character" w:styleId="1062">
    <w:name w:val="标题 1 Char"/>
    <w:next w:val="1062"/>
    <w:link w:val="1049"/>
    <w:qFormat/>
    <w:rPr>
      <w:rFonts w:ascii="宋体"/>
      <w:b/>
      <w:sz w:val="32"/>
    </w:rPr>
  </w:style>
  <w:style w:type="character" w:styleId="1063">
    <w:name w:val="标题 2 Char1"/>
    <w:next w:val="1063"/>
    <w:link w:val="1050"/>
    <w:qFormat/>
    <w:rPr>
      <w:rFonts w:ascii="Arial" w:hAnsi="Arial" w:eastAsia="黑体"/>
      <w:b/>
      <w:sz w:val="30"/>
      <w:lang w:val="en-US" w:eastAsia="zh-CN" w:bidi="ar-SA"/>
    </w:rPr>
  </w:style>
  <w:style w:type="character" w:styleId="1064">
    <w:name w:val="标题 3 Char1"/>
    <w:next w:val="1064"/>
    <w:link w:val="1051"/>
    <w:qFormat/>
    <w:rPr>
      <w:rFonts w:ascii="宋体" w:eastAsia="宋体"/>
      <w:b/>
      <w:sz w:val="24"/>
      <w:u w:val="single"/>
      <w:lang w:val="en-US" w:eastAsia="zh-CN" w:bidi="ar-SA"/>
    </w:rPr>
  </w:style>
  <w:style w:type="character" w:styleId="1065">
    <w:name w:val="标题 4 Char"/>
    <w:next w:val="1065"/>
    <w:link w:val="1052"/>
    <w:qFormat/>
    <w:rPr>
      <w:rFonts w:ascii="Arial" w:hAnsi="Arial" w:eastAsia="黑体"/>
      <w:b/>
      <w:sz w:val="28"/>
    </w:rPr>
  </w:style>
  <w:style w:type="character" w:styleId="1066">
    <w:name w:val="标题 5 Char"/>
    <w:next w:val="1066"/>
    <w:link w:val="1053"/>
    <w:qFormat/>
    <w:rPr>
      <w:b/>
      <w:sz w:val="28"/>
    </w:rPr>
  </w:style>
  <w:style w:type="character" w:styleId="1067">
    <w:name w:val="标题 6 Char"/>
    <w:next w:val="1067"/>
    <w:link w:val="1054"/>
    <w:qFormat/>
    <w:rPr>
      <w:rFonts w:ascii="Arial" w:hAnsi="Arial" w:eastAsia="黑体"/>
      <w:b/>
      <w:sz w:val="24"/>
    </w:rPr>
  </w:style>
  <w:style w:type="character" w:styleId="1068">
    <w:name w:val="标题 7 Char"/>
    <w:next w:val="1068"/>
    <w:link w:val="1055"/>
    <w:qFormat/>
    <w:rPr>
      <w:b/>
      <w:sz w:val="24"/>
    </w:rPr>
  </w:style>
  <w:style w:type="character" w:styleId="1069">
    <w:name w:val="标题 8 Char"/>
    <w:next w:val="1069"/>
    <w:link w:val="1056"/>
    <w:qFormat/>
    <w:rPr>
      <w:rFonts w:ascii="Arial" w:hAnsi="Arial" w:eastAsia="黑体"/>
      <w:sz w:val="24"/>
    </w:rPr>
  </w:style>
  <w:style w:type="character" w:styleId="1070">
    <w:name w:val="标题 9 Char"/>
    <w:next w:val="1070"/>
    <w:link w:val="1057"/>
    <w:qFormat/>
    <w:rPr>
      <w:rFonts w:ascii="Arial" w:hAnsi="Arial" w:eastAsia="黑体"/>
      <w:sz w:val="21"/>
    </w:rPr>
  </w:style>
  <w:style w:type="paragraph" w:styleId="1071">
    <w:name w:val="目录 7"/>
    <w:basedOn w:val="1048"/>
    <w:next w:val="1048"/>
    <w:link w:val="1048"/>
    <w:qFormat/>
    <w:pPr>
      <w:ind w:left="2520"/>
    </w:pPr>
  </w:style>
  <w:style w:type="paragraph" w:styleId="1072">
    <w:name w:val="引文目录"/>
    <w:basedOn w:val="1048"/>
    <w:next w:val="1048"/>
    <w:link w:val="1048"/>
    <w:uiPriority w:val="99"/>
    <w:unhideWhenUsed/>
    <w:qFormat/>
    <w:pPr>
      <w:ind w:left="420"/>
    </w:pPr>
  </w:style>
  <w:style w:type="paragraph" w:styleId="1073">
    <w:name w:val="题注"/>
    <w:basedOn w:val="1048"/>
    <w:next w:val="1048"/>
    <w:link w:val="1048"/>
    <w:qFormat/>
    <w:pPr>
      <w:spacing w:line="480" w:lineRule="auto"/>
    </w:pPr>
    <w:rPr>
      <w:rFonts w:ascii="华文中宋" w:hAnsi="华文中宋" w:eastAsia="华文中宋"/>
      <w:sz w:val="36"/>
      <w:szCs w:val="20"/>
    </w:rPr>
  </w:style>
  <w:style w:type="paragraph" w:styleId="1074">
    <w:name w:val="文档结构图"/>
    <w:basedOn w:val="1048"/>
    <w:next w:val="1074"/>
    <w:link w:val="1075"/>
    <w:qFormat/>
    <w:pPr>
      <w:shd w:val="clear" w:color="auto" w:fill="000080"/>
    </w:pPr>
  </w:style>
  <w:style w:type="character" w:styleId="1075">
    <w:name w:val="文档结构图 Char"/>
    <w:next w:val="1075"/>
    <w:link w:val="1074"/>
    <w:qFormat/>
    <w:rPr>
      <w:sz w:val="21"/>
      <w:szCs w:val="24"/>
      <w:shd w:val="clear" w:color="auto" w:fill="000080"/>
    </w:rPr>
  </w:style>
  <w:style w:type="paragraph" w:styleId="1076">
    <w:name w:val="批注文字"/>
    <w:basedOn w:val="1048"/>
    <w:next w:val="1076"/>
    <w:link w:val="1077"/>
    <w:uiPriority w:val="99"/>
    <w:qFormat/>
    <w:pPr>
      <w:jc w:val="left"/>
    </w:pPr>
  </w:style>
  <w:style w:type="character" w:styleId="1077">
    <w:name w:val="批注文字 Char1"/>
    <w:next w:val="1077"/>
    <w:link w:val="1076"/>
    <w:uiPriority w:val="99"/>
    <w:qFormat/>
    <w:rPr>
      <w:sz w:val="21"/>
      <w:szCs w:val="24"/>
    </w:rPr>
  </w:style>
  <w:style w:type="paragraph" w:styleId="1078">
    <w:name w:val="正文文本 3"/>
    <w:basedOn w:val="1048"/>
    <w:next w:val="1078"/>
    <w:link w:val="1079"/>
    <w:qFormat/>
    <w:pPr>
      <w:spacing w:after="120"/>
    </w:pPr>
    <w:rPr>
      <w:sz w:val="16"/>
      <w:szCs w:val="16"/>
    </w:rPr>
  </w:style>
  <w:style w:type="character" w:styleId="1079">
    <w:name w:val="正文文本 3 Char"/>
    <w:next w:val="1079"/>
    <w:link w:val="1078"/>
    <w:qFormat/>
    <w:rPr>
      <w:sz w:val="16"/>
      <w:szCs w:val="16"/>
    </w:rPr>
  </w:style>
  <w:style w:type="paragraph" w:styleId="1080">
    <w:name w:val="正文文本"/>
    <w:basedOn w:val="1048"/>
    <w:next w:val="1048"/>
    <w:link w:val="1081"/>
    <w:qFormat/>
    <w:pPr>
      <w:spacing w:before="120" w:line="22" w:lineRule="atLeast"/>
      <w:tabs>
        <w:tab w:val="left" w:pos="567" w:leader="none"/>
      </w:tabs>
    </w:pPr>
    <w:rPr>
      <w:rFonts w:ascii="宋体" w:hAnsi="宋体"/>
      <w:sz w:val="24"/>
    </w:rPr>
  </w:style>
  <w:style w:type="character" w:styleId="1081">
    <w:name w:val="正文文本 Char"/>
    <w:next w:val="1081"/>
    <w:link w:val="1080"/>
    <w:qFormat/>
    <w:rPr>
      <w:rFonts w:ascii="宋体" w:hAnsi="宋体"/>
      <w:sz w:val="24"/>
      <w:szCs w:val="24"/>
    </w:rPr>
  </w:style>
  <w:style w:type="paragraph" w:styleId="1082">
    <w:name w:val="正文文本缩进"/>
    <w:basedOn w:val="1048"/>
    <w:next w:val="1084"/>
    <w:link w:val="1083"/>
    <w:qFormat/>
    <w:pPr>
      <w:ind w:firstLine="570"/>
      <w:spacing w:line="360" w:lineRule="auto"/>
    </w:pPr>
    <w:rPr>
      <w:sz w:val="24"/>
    </w:rPr>
  </w:style>
  <w:style w:type="character" w:styleId="1083">
    <w:name w:val="正文文本缩进 Char2"/>
    <w:next w:val="1083"/>
    <w:link w:val="1082"/>
    <w:qFormat/>
    <w:rPr>
      <w:rFonts w:eastAsia="宋体"/>
      <w:sz w:val="24"/>
      <w:szCs w:val="24"/>
      <w:lang w:val="en-US" w:eastAsia="zh-CN" w:bidi="ar-SA"/>
    </w:rPr>
  </w:style>
  <w:style w:type="paragraph" w:styleId="1084">
    <w:name w:val="寄信人地址"/>
    <w:basedOn w:val="1048"/>
    <w:next w:val="1084"/>
    <w:link w:val="1048"/>
    <w:qFormat/>
    <w:rPr>
      <w:rFonts w:ascii="Arial" w:hAnsi="Arial"/>
    </w:rPr>
  </w:style>
  <w:style w:type="paragraph" w:styleId="1085">
    <w:name w:val="列表 2"/>
    <w:basedOn w:val="1048"/>
    <w:next w:val="1085"/>
    <w:link w:val="1048"/>
    <w:qFormat/>
    <w:pPr>
      <w:ind w:left="100" w:hanging="200"/>
    </w:pPr>
  </w:style>
  <w:style w:type="paragraph" w:styleId="1086">
    <w:name w:val="文本块"/>
    <w:basedOn w:val="1048"/>
    <w:next w:val="1086"/>
    <w:link w:val="1048"/>
    <w:qFormat/>
    <w:pPr>
      <w:ind w:left="480" w:right="-341" w:firstLine="513"/>
      <w:widowControl/>
    </w:pPr>
    <w:rPr>
      <w:sz w:val="24"/>
      <w:szCs w:val="20"/>
    </w:rPr>
  </w:style>
  <w:style w:type="paragraph" w:styleId="1087">
    <w:name w:val="索引 4"/>
    <w:basedOn w:val="1048"/>
    <w:next w:val="1048"/>
    <w:link w:val="1048"/>
    <w:uiPriority w:val="99"/>
    <w:unhideWhenUsed/>
    <w:qFormat/>
    <w:pPr>
      <w:ind w:left="600"/>
    </w:pPr>
  </w:style>
  <w:style w:type="paragraph" w:styleId="1088">
    <w:name w:val="目录 5"/>
    <w:basedOn w:val="1048"/>
    <w:next w:val="1048"/>
    <w:link w:val="1048"/>
    <w:qFormat/>
    <w:pPr>
      <w:ind w:left="1680"/>
    </w:pPr>
  </w:style>
  <w:style w:type="paragraph" w:styleId="1089">
    <w:name w:val="目录 3"/>
    <w:basedOn w:val="1048"/>
    <w:next w:val="1048"/>
    <w:link w:val="1048"/>
    <w:uiPriority w:val="39"/>
    <w:qFormat/>
    <w:pPr>
      <w:ind w:left="840"/>
    </w:pPr>
  </w:style>
  <w:style w:type="paragraph" w:styleId="1090">
    <w:name w:val="纯文本"/>
    <w:basedOn w:val="1048"/>
    <w:next w:val="1090"/>
    <w:link w:val="1091"/>
    <w:qFormat/>
    <w:rPr>
      <w:rFonts w:hint="eastAsia" w:ascii="宋体" w:hAnsi="Courier New"/>
      <w:szCs w:val="20"/>
    </w:rPr>
  </w:style>
  <w:style w:type="character" w:styleId="1091">
    <w:name w:val="纯文本 Char"/>
    <w:next w:val="1091"/>
    <w:link w:val="1090"/>
    <w:qFormat/>
    <w:rPr>
      <w:rFonts w:hint="eastAsia" w:ascii="宋体" w:hAnsi="Courier New" w:eastAsia="宋体" w:cs="宋体"/>
      <w:sz w:val="21"/>
    </w:rPr>
  </w:style>
  <w:style w:type="paragraph" w:styleId="1092">
    <w:name w:val="目录 8"/>
    <w:basedOn w:val="1048"/>
    <w:next w:val="1048"/>
    <w:link w:val="1048"/>
    <w:qFormat/>
    <w:pPr>
      <w:ind w:left="2940"/>
    </w:pPr>
  </w:style>
  <w:style w:type="paragraph" w:styleId="1093">
    <w:name w:val="日期"/>
    <w:basedOn w:val="1048"/>
    <w:next w:val="1048"/>
    <w:link w:val="1094"/>
    <w:qFormat/>
    <w:pPr>
      <w:ind w:left="100"/>
    </w:pPr>
    <w:rPr>
      <w:rFonts w:ascii="仿宋_GB2312" w:hAnsi="宋体" w:eastAsia="仿宋_GB2312"/>
      <w:color w:val="000000"/>
      <w:sz w:val="24"/>
    </w:rPr>
  </w:style>
  <w:style w:type="character" w:styleId="1094">
    <w:name w:val="日期 Char"/>
    <w:next w:val="1094"/>
    <w:link w:val="1093"/>
    <w:qFormat/>
    <w:rPr>
      <w:rFonts w:ascii="仿宋_GB2312" w:hAnsi="宋体" w:eastAsia="仿宋_GB2312"/>
      <w:color w:val="000000"/>
      <w:sz w:val="24"/>
      <w:szCs w:val="24"/>
    </w:rPr>
  </w:style>
  <w:style w:type="paragraph" w:styleId="1095">
    <w:name w:val="正文文本缩进 2"/>
    <w:basedOn w:val="1048"/>
    <w:next w:val="1095"/>
    <w:link w:val="1096"/>
    <w:qFormat/>
    <w:pPr>
      <w:ind w:firstLine="480"/>
    </w:pPr>
    <w:rPr>
      <w:rFonts w:ascii="仿宋_GB2312" w:eastAsia="仿宋_GB2312"/>
      <w:sz w:val="24"/>
    </w:rPr>
  </w:style>
  <w:style w:type="character" w:styleId="1096">
    <w:name w:val="正文文本缩进 2 Char"/>
    <w:next w:val="1096"/>
    <w:link w:val="1095"/>
    <w:qFormat/>
    <w:rPr>
      <w:rFonts w:ascii="仿宋_GB2312" w:eastAsia="仿宋_GB2312"/>
      <w:sz w:val="24"/>
      <w:szCs w:val="24"/>
    </w:rPr>
  </w:style>
  <w:style w:type="paragraph" w:styleId="1097">
    <w:name w:val="批注框文本"/>
    <w:basedOn w:val="1048"/>
    <w:next w:val="1097"/>
    <w:link w:val="1098"/>
    <w:qFormat/>
    <w:rPr>
      <w:sz w:val="18"/>
      <w:szCs w:val="18"/>
    </w:rPr>
  </w:style>
  <w:style w:type="character" w:styleId="1098">
    <w:name w:val="批注框文本 Char"/>
    <w:next w:val="1098"/>
    <w:link w:val="1097"/>
    <w:qFormat/>
    <w:rPr>
      <w:sz w:val="18"/>
      <w:szCs w:val="18"/>
    </w:rPr>
  </w:style>
  <w:style w:type="paragraph" w:styleId="1099">
    <w:name w:val="页脚"/>
    <w:basedOn w:val="1048"/>
    <w:next w:val="1099"/>
    <w:link w:val="1100"/>
    <w:uiPriority w:val="99"/>
    <w:qFormat/>
    <w:pPr>
      <w:jc w:val="left"/>
      <w:tabs>
        <w:tab w:val="center" w:pos="4153" w:leader="none"/>
        <w:tab w:val="right" w:pos="8306" w:leader="none"/>
      </w:tabs>
    </w:pPr>
    <w:rPr>
      <w:rFonts w:ascii="宋体"/>
      <w:sz w:val="18"/>
      <w:szCs w:val="20"/>
    </w:rPr>
  </w:style>
  <w:style w:type="character" w:styleId="1100">
    <w:name w:val="页脚 Char1"/>
    <w:next w:val="1100"/>
    <w:link w:val="1099"/>
    <w:uiPriority w:val="99"/>
    <w:qFormat/>
    <w:rPr>
      <w:rFonts w:ascii="宋体" w:eastAsia="宋体"/>
      <w:sz w:val="18"/>
      <w:lang w:val="en-US" w:eastAsia="zh-CN" w:bidi="ar-SA"/>
    </w:rPr>
  </w:style>
  <w:style w:type="paragraph" w:styleId="1101">
    <w:name w:val="页眉"/>
    <w:basedOn w:val="1048"/>
    <w:next w:val="1101"/>
    <w:link w:val="1102"/>
    <w:qFormat/>
    <w:pPr>
      <w:jc w:val="center"/>
      <w:tabs>
        <w:tab w:val="center" w:pos="4153" w:leader="none"/>
        <w:tab w:val="right" w:pos="8306" w:leader="none"/>
      </w:tabs>
      <w:pBdr>
        <w:bottom w:val="single" w:color="000000" w:sz="6" w:space="1"/>
      </w:pBdr>
    </w:pPr>
    <w:rPr>
      <w:sz w:val="18"/>
      <w:szCs w:val="18"/>
    </w:rPr>
  </w:style>
  <w:style w:type="character" w:styleId="1102">
    <w:name w:val="页眉 Char1"/>
    <w:next w:val="1102"/>
    <w:link w:val="1101"/>
    <w:qFormat/>
    <w:rPr>
      <w:rFonts w:eastAsia="宋体"/>
      <w:sz w:val="18"/>
      <w:szCs w:val="18"/>
      <w:lang w:val="en-US" w:eastAsia="zh-CN" w:bidi="ar-SA"/>
    </w:rPr>
  </w:style>
  <w:style w:type="paragraph" w:styleId="1103">
    <w:name w:val="目录 1"/>
    <w:basedOn w:val="1048"/>
    <w:next w:val="1048"/>
    <w:link w:val="1048"/>
    <w:uiPriority w:val="39"/>
    <w:qFormat/>
    <w:pPr>
      <w:spacing w:line="300" w:lineRule="auto"/>
      <w:tabs>
        <w:tab w:val="left" w:pos="1050" w:leader="none"/>
        <w:tab w:val="right" w:pos="8937" w:leader="dot"/>
      </w:tabs>
    </w:pPr>
    <w:rPr>
      <w:rFonts w:ascii="宋体" w:hAnsi="宋体"/>
      <w:b/>
      <w:sz w:val="24"/>
    </w:rPr>
  </w:style>
  <w:style w:type="paragraph" w:styleId="1104">
    <w:name w:val="目录 4"/>
    <w:basedOn w:val="1048"/>
    <w:next w:val="1048"/>
    <w:link w:val="1048"/>
    <w:qFormat/>
    <w:pPr>
      <w:ind w:left="1260"/>
    </w:pPr>
  </w:style>
  <w:style w:type="paragraph" w:styleId="1105">
    <w:name w:val="副标题"/>
    <w:basedOn w:val="1048"/>
    <w:next w:val="1048"/>
    <w:link w:val="1048"/>
    <w:uiPriority w:val="11"/>
    <w:qFormat/>
    <w:pPr>
      <w:jc w:val="center"/>
      <w:spacing w:before="240" w:after="240"/>
      <w:outlineLvl w:val="1"/>
    </w:pPr>
    <w:rPr>
      <w:rFonts w:ascii="等线 Light" w:hAnsi="等线 Light" w:cs="Times New Roman"/>
      <w:b/>
      <w:bCs/>
      <w:sz w:val="28"/>
      <w:szCs w:val="32"/>
    </w:rPr>
  </w:style>
  <w:style w:type="paragraph" w:styleId="1106">
    <w:name w:val="目录 6"/>
    <w:basedOn w:val="1048"/>
    <w:next w:val="1048"/>
    <w:link w:val="1048"/>
    <w:qFormat/>
    <w:pPr>
      <w:ind w:left="2100"/>
    </w:pPr>
  </w:style>
  <w:style w:type="paragraph" w:styleId="1107">
    <w:name w:val="正文文本缩进 3"/>
    <w:basedOn w:val="1048"/>
    <w:next w:val="1107"/>
    <w:link w:val="1108"/>
    <w:qFormat/>
    <w:pPr>
      <w:ind w:left="720" w:firstLine="480"/>
      <w:jc w:val="left"/>
      <w:spacing w:before="120" w:line="22" w:lineRule="atLeast"/>
    </w:pPr>
    <w:rPr>
      <w:rFonts w:ascii="宋体"/>
      <w:sz w:val="24"/>
      <w:szCs w:val="20"/>
    </w:rPr>
  </w:style>
  <w:style w:type="character" w:styleId="1108">
    <w:name w:val="正文文本缩进 3 Char"/>
    <w:next w:val="1108"/>
    <w:link w:val="1107"/>
    <w:qFormat/>
    <w:rPr>
      <w:rFonts w:ascii="宋体"/>
      <w:sz w:val="24"/>
    </w:rPr>
  </w:style>
  <w:style w:type="paragraph" w:styleId="1109">
    <w:name w:val="目录 2"/>
    <w:basedOn w:val="1048"/>
    <w:next w:val="1048"/>
    <w:link w:val="1048"/>
    <w:uiPriority w:val="39"/>
    <w:qFormat/>
    <w:pPr>
      <w:ind w:left="420"/>
      <w:spacing w:line="312" w:lineRule="auto"/>
      <w:tabs>
        <w:tab w:val="right" w:pos="8937" w:leader="dot"/>
      </w:tabs>
    </w:pPr>
  </w:style>
  <w:style w:type="paragraph" w:styleId="1110">
    <w:name w:val="目录 9"/>
    <w:basedOn w:val="1048"/>
    <w:next w:val="1048"/>
    <w:link w:val="1048"/>
    <w:qFormat/>
    <w:pPr>
      <w:ind w:left="3360"/>
    </w:pPr>
  </w:style>
  <w:style w:type="paragraph" w:styleId="1111">
    <w:name w:val="HTML 预设格式"/>
    <w:basedOn w:val="1048"/>
    <w:next w:val="1111"/>
    <w:link w:val="111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12">
    <w:name w:val="HTML 预设格式 Char"/>
    <w:next w:val="1112"/>
    <w:link w:val="1111"/>
    <w:qFormat/>
    <w:rPr>
      <w:rFonts w:ascii="宋体" w:hAnsi="宋体" w:cs="宋体"/>
      <w:sz w:val="24"/>
      <w:szCs w:val="24"/>
    </w:rPr>
  </w:style>
  <w:style w:type="paragraph" w:styleId="1113">
    <w:name w:val="普通(网站)"/>
    <w:basedOn w:val="1048"/>
    <w:next w:val="1113"/>
    <w:link w:val="1048"/>
    <w:uiPriority w:val="99"/>
    <w:unhideWhenUsed/>
    <w:qFormat/>
    <w:pPr>
      <w:jc w:val="left"/>
      <w:spacing w:before="100" w:beforeAutospacing="1" w:after="100" w:afterAutospacing="1"/>
      <w:widowControl/>
    </w:pPr>
    <w:rPr>
      <w:rFonts w:ascii="宋体" w:hAnsi="宋体" w:cs="宋体"/>
      <w:sz w:val="24"/>
    </w:rPr>
  </w:style>
  <w:style w:type="paragraph" w:styleId="1114">
    <w:name w:val="索引 1"/>
    <w:basedOn w:val="1048"/>
    <w:next w:val="1048"/>
    <w:link w:val="1048"/>
    <w:qFormat/>
    <w:rPr>
      <w:szCs w:val="20"/>
    </w:rPr>
  </w:style>
  <w:style w:type="paragraph" w:styleId="1115">
    <w:name w:val="标题"/>
    <w:basedOn w:val="1048"/>
    <w:next w:val="1115"/>
    <w:link w:val="1116"/>
    <w:qFormat/>
    <w:pPr>
      <w:jc w:val="center"/>
      <w:outlineLvl w:val="0"/>
    </w:pPr>
    <w:rPr>
      <w:b/>
      <w:sz w:val="32"/>
      <w:szCs w:val="20"/>
    </w:rPr>
  </w:style>
  <w:style w:type="character" w:styleId="1116">
    <w:name w:val="标题 Char1"/>
    <w:next w:val="1116"/>
    <w:link w:val="1115"/>
    <w:qFormat/>
    <w:rPr>
      <w:b/>
      <w:sz w:val="32"/>
    </w:rPr>
  </w:style>
  <w:style w:type="paragraph" w:styleId="1117">
    <w:name w:val="批注主题"/>
    <w:basedOn w:val="1076"/>
    <w:next w:val="1076"/>
    <w:link w:val="1118"/>
    <w:qFormat/>
    <w:rPr>
      <w:b/>
      <w:bCs/>
    </w:rPr>
  </w:style>
  <w:style w:type="character" w:styleId="1118">
    <w:name w:val="批注主题 Char"/>
    <w:next w:val="1118"/>
    <w:link w:val="1117"/>
    <w:qFormat/>
    <w:rPr>
      <w:rFonts w:ascii="Times New Roman" w:hAnsi="Times New Roman" w:eastAsia="宋体" w:cs="Times New Roman"/>
      <w:b/>
      <w:bCs/>
      <w:sz w:val="21"/>
      <w:szCs w:val="24"/>
      <w:lang w:val="en-US" w:eastAsia="zh-CN" w:bidi="ar-SA"/>
    </w:rPr>
  </w:style>
  <w:style w:type="paragraph" w:styleId="1119">
    <w:name w:val="正文首行缩进 2"/>
    <w:basedOn w:val="1082"/>
    <w:next w:val="1119"/>
    <w:link w:val="1120"/>
    <w:qFormat/>
    <w:pPr>
      <w:ind w:left="420" w:firstLine="420"/>
      <w:spacing w:after="120" w:line="480" w:lineRule="exact"/>
    </w:pPr>
    <w:rPr>
      <w:szCs w:val="20"/>
    </w:rPr>
  </w:style>
  <w:style w:type="character" w:styleId="1120">
    <w:name w:val="正文首行缩进 2 Char"/>
    <w:next w:val="1120"/>
    <w:link w:val="1119"/>
    <w:qFormat/>
    <w:rPr>
      <w:rFonts w:eastAsia="宋体"/>
      <w:sz w:val="24"/>
      <w:szCs w:val="24"/>
      <w:lang w:val="en-US" w:eastAsia="zh-CN" w:bidi="ar-SA"/>
    </w:rPr>
  </w:style>
  <w:style w:type="table" w:styleId="1121">
    <w:name w:val="网格型"/>
    <w:basedOn w:val="1059"/>
    <w:next w:val="1121"/>
    <w:link w:val="1048"/>
    <w:uiPriority w:val="39"/>
    <w:qFormat/>
    <w:tblPr/>
  </w:style>
  <w:style w:type="table" w:styleId="1122">
    <w:name w:val="中等深浅网格 1 - 强调文字颜色 2"/>
    <w:basedOn w:val="1059"/>
    <w:next w:val="1122"/>
    <w:link w:val="1048"/>
    <w:qFormat/>
    <w:rPr>
      <w:sz w:val="21"/>
      <w:szCs w:val="24"/>
    </w:rPr>
    <w:tblPr/>
  </w:style>
  <w:style w:type="character" w:styleId="1123">
    <w:name w:val="要点"/>
    <w:basedOn w:val="1058"/>
    <w:next w:val="1123"/>
    <w:link w:val="1048"/>
    <w:qFormat/>
    <w:rPr>
      <w:b/>
      <w:bCs/>
    </w:rPr>
  </w:style>
  <w:style w:type="character" w:styleId="1124">
    <w:name w:val="页码"/>
    <w:next w:val="1124"/>
    <w:link w:val="1048"/>
    <w:qFormat/>
  </w:style>
  <w:style w:type="character" w:styleId="1125">
    <w:name w:val="已访问的超链接"/>
    <w:next w:val="1125"/>
    <w:link w:val="1048"/>
    <w:qFormat/>
    <w:rPr>
      <w:color w:val="333333"/>
      <w:u w:val="none"/>
    </w:rPr>
  </w:style>
  <w:style w:type="character" w:styleId="1126">
    <w:name w:val="强调"/>
    <w:basedOn w:val="1058"/>
    <w:next w:val="1126"/>
    <w:link w:val="1048"/>
    <w:qFormat/>
    <w:rPr>
      <w:color w:val="cc0033"/>
    </w:rPr>
  </w:style>
  <w:style w:type="character" w:styleId="1127">
    <w:name w:val="超链接"/>
    <w:next w:val="1127"/>
    <w:link w:val="1048"/>
    <w:uiPriority w:val="99"/>
    <w:qFormat/>
    <w:rPr>
      <w:color w:val="333333"/>
      <w:u w:val="none"/>
    </w:rPr>
  </w:style>
  <w:style w:type="character" w:styleId="1128">
    <w:name w:val="批注引用"/>
    <w:next w:val="1128"/>
    <w:link w:val="1048"/>
    <w:uiPriority w:val="99"/>
    <w:qFormat/>
    <w:rPr>
      <w:sz w:val="21"/>
      <w:szCs w:val="21"/>
    </w:rPr>
  </w:style>
  <w:style w:type="character" w:styleId="1129">
    <w:name w:val="HTML 引文"/>
    <w:next w:val="1129"/>
    <w:link w:val="1048"/>
    <w:qFormat/>
    <w:rPr>
      <w:i/>
      <w:iCs/>
    </w:rPr>
  </w:style>
  <w:style w:type="paragraph" w:styleId="1130">
    <w:name w:val="段"/>
    <w:next w:val="1048"/>
    <w:link w:val="1048"/>
    <w:qFormat/>
    <w:pPr>
      <w:ind w:firstLine="200"/>
      <w:jc w:val="both"/>
    </w:pPr>
    <w:rPr>
      <w:rFonts w:ascii="宋体"/>
      <w:sz w:val="21"/>
      <w:lang w:val="en-US" w:eastAsia="zh-CN" w:bidi="ar-SA"/>
    </w:rPr>
  </w:style>
  <w:style w:type="paragraph" w:styleId="1131">
    <w:name w:val="Default"/>
    <w:next w:val="1131"/>
    <w:link w:val="1048"/>
    <w:qFormat/>
    <w:pPr>
      <w:widowControl w:val="off"/>
    </w:pPr>
    <w:rPr>
      <w:rFonts w:ascii="Symbol" w:hAnsi="Symbol" w:cs="Symbol"/>
      <w:color w:val="000000"/>
      <w:sz w:val="24"/>
      <w:szCs w:val="24"/>
      <w:lang w:val="en-US" w:eastAsia="zh-CN" w:bidi="ar-SA"/>
    </w:rPr>
  </w:style>
  <w:style w:type="paragraph" w:styleId="1132">
    <w:name w:val="正文文本1"/>
    <w:basedOn w:val="1048"/>
    <w:next w:val="1048"/>
    <w:link w:val="1048"/>
    <w:uiPriority w:val="99"/>
    <w:qFormat/>
    <w:pPr>
      <w:spacing w:before="120" w:line="22" w:lineRule="atLeast"/>
      <w:tabs>
        <w:tab w:val="left" w:pos="567" w:leader="none"/>
      </w:tabs>
    </w:pPr>
    <w:rPr>
      <w:rFonts w:ascii="宋体" w:hAnsi="宋体"/>
      <w:sz w:val="24"/>
    </w:rPr>
  </w:style>
  <w:style w:type="character" w:styleId="1133">
    <w:name w:val="批注文字 字符"/>
    <w:next w:val="1133"/>
    <w:link w:val="1048"/>
    <w:uiPriority w:val="99"/>
    <w:qFormat/>
    <w:rPr>
      <w:rFonts w:ascii="Times New Roman" w:hAnsi="Times New Roman" w:eastAsia="宋体" w:cs="Times New Roman"/>
      <w:sz w:val="24"/>
      <w:lang w:val="en-US" w:eastAsia="zh-CN" w:bidi="ar-SA"/>
    </w:rPr>
  </w:style>
  <w:style w:type="paragraph" w:styleId="1134">
    <w:name w:val="首行缩进"/>
    <w:basedOn w:val="1048"/>
    <w:next w:val="1134"/>
    <w:link w:val="1048"/>
    <w:qFormat/>
    <w:pPr>
      <w:ind w:firstLine="480"/>
    </w:pPr>
    <w:rPr>
      <w:lang w:val="zh-CN"/>
    </w:rPr>
  </w:style>
  <w:style w:type="character" w:styleId="1135">
    <w:name w:val="c21"/>
    <w:next w:val="1135"/>
    <w:link w:val="1048"/>
    <w:qFormat/>
    <w:rPr>
      <w:rFonts w:ascii="ˎ̥" w:hAnsi="ˎ̥"/>
      <w:color w:val="000000"/>
      <w:sz w:val="20"/>
      <w:szCs w:val="20"/>
      <w:u w:val="none"/>
    </w:rPr>
  </w:style>
  <w:style w:type="character" w:styleId="1136">
    <w:name w:val="title4"/>
    <w:next w:val="1136"/>
    <w:link w:val="1048"/>
    <w:qFormat/>
    <w:rPr>
      <w:b/>
      <w:bCs/>
      <w:color w:val="1d87b3"/>
      <w:sz w:val="15"/>
      <w:szCs w:val="15"/>
    </w:rPr>
  </w:style>
  <w:style w:type="character" w:styleId="1137">
    <w:name w:val="标题 2 Char Char"/>
    <w:next w:val="1137"/>
    <w:link w:val="1048"/>
    <w:qFormat/>
    <w:rPr>
      <w:rFonts w:ascii="Arial" w:hAnsi="Arial" w:eastAsia="黑体"/>
      <w:b/>
      <w:bCs/>
      <w:sz w:val="32"/>
      <w:szCs w:val="32"/>
      <w:lang w:val="en-US" w:eastAsia="zh-CN" w:bidi="ar-SA"/>
    </w:rPr>
  </w:style>
  <w:style w:type="character" w:styleId="1138">
    <w:name w:val="black1"/>
    <w:next w:val="1138"/>
    <w:link w:val="1048"/>
    <w:qFormat/>
    <w:rPr>
      <w:color w:val="000000"/>
    </w:rPr>
  </w:style>
  <w:style w:type="character" w:styleId="1139">
    <w:name w:val="street-address"/>
    <w:next w:val="1139"/>
    <w:link w:val="1048"/>
    <w:qFormat/>
  </w:style>
  <w:style w:type="character" w:styleId="1140">
    <w:name w:val="locality"/>
    <w:next w:val="1140"/>
    <w:link w:val="1048"/>
    <w:qFormat/>
  </w:style>
  <w:style w:type="character" w:styleId="1141">
    <w:name w:val="正文文本缩进 Char1"/>
    <w:next w:val="1141"/>
    <w:link w:val="1142"/>
    <w:qFormat/>
    <w:rPr>
      <w:rFonts w:ascii="宋体" w:hAnsi="宋体" w:eastAsia="宋体"/>
      <w:sz w:val="24"/>
      <w:szCs w:val="24"/>
      <w:lang w:bidi="ar-SA"/>
    </w:rPr>
  </w:style>
  <w:style w:type="paragraph" w:styleId="1142">
    <w:name w:val="正文文本缩进1"/>
    <w:basedOn w:val="1048"/>
    <w:next w:val="1142"/>
    <w:link w:val="1141"/>
    <w:qFormat/>
    <w:pPr>
      <w:ind w:firstLine="480"/>
      <w:spacing w:line="480" w:lineRule="exact"/>
    </w:pPr>
    <w:rPr>
      <w:rFonts w:ascii="宋体" w:hAnsi="宋体"/>
      <w:sz w:val="24"/>
    </w:rPr>
  </w:style>
  <w:style w:type="character" w:styleId="1143">
    <w:name w:val="Char Char11"/>
    <w:next w:val="1143"/>
    <w:link w:val="1048"/>
    <w:qFormat/>
    <w:rPr>
      <w:rFonts w:ascii="宋体" w:eastAsia="宋体"/>
      <w:b/>
      <w:sz w:val="24"/>
      <w:u w:val="single"/>
      <w:lang w:val="en-US" w:eastAsia="zh-CN" w:bidi="ar-SA"/>
    </w:rPr>
  </w:style>
  <w:style w:type="character" w:styleId="1144">
    <w:name w:val="txt"/>
    <w:next w:val="1144"/>
    <w:link w:val="1048"/>
    <w:qFormat/>
  </w:style>
  <w:style w:type="character" w:styleId="1145">
    <w:name w:val="正文缩进 Char Char"/>
    <w:next w:val="1145"/>
    <w:link w:val="1146"/>
    <w:qFormat/>
    <w:rPr>
      <w:rFonts w:ascii="宋体" w:eastAsia="宋体"/>
      <w:color w:val="000000"/>
      <w:sz w:val="28"/>
      <w:lang w:bidi="ar-SA"/>
    </w:rPr>
  </w:style>
  <w:style w:type="paragraph" w:styleId="1146">
    <w:name w:val="正文缩进1"/>
    <w:basedOn w:val="1048"/>
    <w:next w:val="1146"/>
    <w:link w:val="1145"/>
    <w:qFormat/>
    <w:pPr>
      <w:ind w:firstLine="567"/>
      <w:spacing w:line="480" w:lineRule="exact"/>
      <w:widowControl/>
    </w:pPr>
    <w:rPr>
      <w:rFonts w:ascii="宋体"/>
      <w:color w:val="000000"/>
      <w:sz w:val="28"/>
      <w:szCs w:val="20"/>
    </w:rPr>
  </w:style>
  <w:style w:type="character" w:styleId="1147">
    <w:name w:val="普通文字1 Char1"/>
    <w:next w:val="1147"/>
    <w:link w:val="1048"/>
    <w:qFormat/>
    <w:rPr>
      <w:rFonts w:ascii="宋体" w:hAnsi="Courier New" w:eastAsia="宋体"/>
      <w:sz w:val="21"/>
      <w:lang w:val="en-US" w:eastAsia="zh-CN" w:bidi="ar-SA"/>
    </w:rPr>
  </w:style>
  <w:style w:type="character" w:styleId="1148">
    <w:name w:val="chanpin1"/>
    <w:next w:val="1148"/>
    <w:link w:val="1048"/>
    <w:qFormat/>
    <w:rPr>
      <w:rFonts w:ascii="ˎ̥" w:hAnsi="ˎ̥"/>
      <w:color w:val="000000"/>
      <w:sz w:val="20"/>
      <w:szCs w:val="20"/>
      <w:u w:val="none"/>
    </w:rPr>
  </w:style>
  <w:style w:type="character" w:styleId="1149">
    <w:name w:val="列出段落 Char1"/>
    <w:next w:val="1149"/>
    <w:link w:val="1150"/>
    <w:uiPriority w:val="34"/>
    <w:qFormat/>
    <w:rPr>
      <w:rFonts w:ascii="Calibri" w:hAnsi="Calibri" w:eastAsia="宋体"/>
      <w:sz w:val="21"/>
      <w:szCs w:val="22"/>
      <w:lang w:val="en-US" w:eastAsia="zh-CN" w:bidi="ar-SA"/>
    </w:rPr>
  </w:style>
  <w:style w:type="paragraph" w:styleId="1150">
    <w:name w:val="列出段落"/>
    <w:basedOn w:val="1048"/>
    <w:next w:val="1150"/>
    <w:link w:val="1149"/>
    <w:uiPriority w:val="34"/>
    <w:qFormat/>
    <w:pPr>
      <w:ind w:firstLine="420"/>
    </w:pPr>
    <w:rPr>
      <w:rFonts w:ascii="Calibri" w:hAnsi="Calibri"/>
      <w:szCs w:val="22"/>
    </w:rPr>
  </w:style>
  <w:style w:type="character" w:styleId="1151">
    <w:name w:val="标题 3 Char Char"/>
    <w:next w:val="1151"/>
    <w:link w:val="1048"/>
    <w:qFormat/>
    <w:rPr>
      <w:rFonts w:eastAsia="宋体"/>
      <w:b/>
      <w:bCs/>
      <w:sz w:val="32"/>
      <w:szCs w:val="32"/>
      <w:lang w:val="en-US" w:eastAsia="zh-CN" w:bidi="ar-SA"/>
    </w:rPr>
  </w:style>
  <w:style w:type="character" w:styleId="1152">
    <w:name w:val="段1 Char"/>
    <w:next w:val="1152"/>
    <w:link w:val="1048"/>
    <w:qFormat/>
    <w:rPr>
      <w:rFonts w:ascii="宋体" w:eastAsia="宋体"/>
      <w:sz w:val="24"/>
      <w:lang w:val="en-US" w:eastAsia="zh-CN" w:bidi="ar-SA"/>
    </w:rPr>
  </w:style>
  <w:style w:type="character" w:styleId="1153">
    <w:name w:val="chanpin拷贝"/>
    <w:next w:val="1153"/>
    <w:link w:val="1048"/>
    <w:qFormat/>
  </w:style>
  <w:style w:type="character" w:styleId="1154">
    <w:name w:val="纯文本 Char1"/>
    <w:next w:val="1154"/>
    <w:link w:val="1048"/>
    <w:qFormat/>
    <w:rPr>
      <w:rFonts w:ascii="宋体" w:hAnsi="Courier New" w:eastAsia="宋体"/>
      <w:sz w:val="21"/>
      <w:lang w:val="en-US" w:eastAsia="zh-CN" w:bidi="ar-SA"/>
    </w:rPr>
  </w:style>
  <w:style w:type="character" w:styleId="1155">
    <w:name w:val="apple-style-span"/>
    <w:next w:val="1155"/>
    <w:link w:val="1048"/>
    <w:qFormat/>
    <w:rPr>
      <w:rFonts w:cs="Times New Roman"/>
    </w:rPr>
  </w:style>
  <w:style w:type="paragraph" w:styleId="1156">
    <w:name w:val="二级条标题"/>
    <w:basedOn w:val="1157"/>
    <w:next w:val="1048"/>
    <w:link w:val="1048"/>
    <w:qFormat/>
    <w:pPr>
      <w:numPr>
        <w:ilvl w:val="0"/>
        <w:numId w:val="0"/>
      </w:numPr>
      <w:ind w:hanging="840"/>
      <w:tabs>
        <w:tab w:val="left" w:pos="360" w:leader="none"/>
        <w:tab w:val="left" w:pos="840" w:leader="none"/>
      </w:tabs>
      <w:outlineLvl w:val="2"/>
    </w:pPr>
    <w:rPr>
      <w:rFonts w:ascii="宋体" w:eastAsia="宋体"/>
      <w:b w:val="0"/>
    </w:rPr>
  </w:style>
  <w:style w:type="paragraph" w:styleId="1157">
    <w:name w:val="一级条标题"/>
    <w:basedOn w:val="1158"/>
    <w:next w:val="1048"/>
    <w:link w:val="1048"/>
    <w:qFormat/>
    <w:pPr>
      <w:numPr>
        <w:ilvl w:val="1"/>
      </w:numPr>
      <w:ind w:left="0" w:hanging="840"/>
      <w:tabs>
        <w:tab w:val="left" w:pos="360" w:leader="none"/>
        <w:tab w:val="left" w:pos="840" w:leader="none"/>
      </w:tabs>
      <w:outlineLvl w:val="1"/>
    </w:pPr>
  </w:style>
  <w:style w:type="paragraph" w:styleId="1158">
    <w:name w:val="章标题"/>
    <w:next w:val="1048"/>
    <w:link w:val="104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59">
    <w:name w:val="font7"/>
    <w:basedOn w:val="1048"/>
    <w:next w:val="1159"/>
    <w:link w:val="1048"/>
    <w:qFormat/>
    <w:pPr>
      <w:jc w:val="left"/>
      <w:spacing w:before="100" w:beforeAutospacing="1" w:after="100" w:afterAutospacing="1"/>
      <w:widowControl/>
    </w:pPr>
    <w:rPr>
      <w:rFonts w:eastAsia="Arial Unicode MS"/>
      <w:b/>
      <w:bCs/>
      <w:color w:val="000000"/>
      <w:sz w:val="20"/>
      <w:szCs w:val="20"/>
    </w:rPr>
  </w:style>
  <w:style w:type="paragraph" w:styleId="1160">
    <w:name w:val="字元 字元"/>
    <w:basedOn w:val="1048"/>
    <w:next w:val="1160"/>
    <w:link w:val="1048"/>
    <w:qFormat/>
    <w:rPr>
      <w:rFonts w:ascii="Tahoma" w:hAnsi="Tahoma"/>
      <w:sz w:val="24"/>
      <w:szCs w:val="20"/>
    </w:rPr>
  </w:style>
  <w:style w:type="paragraph" w:styleId="1161">
    <w:name w:val="Char3 Char Char Char"/>
    <w:basedOn w:val="1048"/>
    <w:next w:val="1161"/>
    <w:link w:val="1048"/>
    <w:qFormat/>
    <w:rPr>
      <w:rFonts w:ascii="Tahoma" w:hAnsi="Tahoma"/>
      <w:sz w:val="24"/>
      <w:szCs w:val="20"/>
    </w:rPr>
  </w:style>
  <w:style w:type="paragraph" w:styleId="1162">
    <w:name w:val="font6"/>
    <w:basedOn w:val="1048"/>
    <w:next w:val="1162"/>
    <w:link w:val="1048"/>
    <w:qFormat/>
    <w:pPr>
      <w:jc w:val="left"/>
      <w:spacing w:before="100" w:beforeAutospacing="1" w:after="100" w:afterAutospacing="1"/>
      <w:widowControl/>
    </w:pPr>
    <w:rPr>
      <w:rFonts w:ascii="宋体" w:hAnsi="宋体" w:cs="宋体"/>
      <w:sz w:val="20"/>
      <w:szCs w:val="20"/>
    </w:rPr>
  </w:style>
  <w:style w:type="paragraph" w:styleId="1163">
    <w:name w:val="项目编号2"/>
    <w:basedOn w:val="1164"/>
    <w:next w:val="1163"/>
    <w:link w:val="1048"/>
    <w:qFormat/>
    <w:pPr>
      <w:numPr>
        <w:numId w:val="3"/>
      </w:numPr>
    </w:pPr>
  </w:style>
  <w:style w:type="paragraph" w:styleId="1164">
    <w:name w:val="项目编号1"/>
    <w:basedOn w:val="1048"/>
    <w:next w:val="1164"/>
    <w:link w:val="1048"/>
    <w:qFormat/>
    <w:pPr>
      <w:numPr>
        <w:ilvl w:val="0"/>
        <w:numId w:val="2"/>
      </w:numPr>
      <w:spacing w:before="100" w:beforeAutospacing="1" w:after="100" w:afterAutospacing="1" w:line="360" w:lineRule="auto"/>
    </w:pPr>
    <w:rPr>
      <w:sz w:val="24"/>
    </w:rPr>
  </w:style>
  <w:style w:type="paragraph" w:styleId="1165">
    <w:name w:val="图中文字"/>
    <w:basedOn w:val="1048"/>
    <w:next w:val="1165"/>
    <w:link w:val="1048"/>
    <w:qFormat/>
    <w:pPr>
      <w:jc w:val="center"/>
      <w:spacing w:line="0" w:lineRule="atLeast"/>
    </w:pPr>
    <w:rPr>
      <w:sz w:val="24"/>
      <w:szCs w:val="20"/>
    </w:rPr>
  </w:style>
  <w:style w:type="paragraph" w:styleId="1166">
    <w:name w:val="xl46"/>
    <w:basedOn w:val="1048"/>
    <w:next w:val="1166"/>
    <w:link w:val="104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7">
    <w:name w:val="xl25"/>
    <w:basedOn w:val="1048"/>
    <w:next w:val="1167"/>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8">
    <w:name w:val="Char2"/>
    <w:basedOn w:val="1048"/>
    <w:next w:val="1168"/>
    <w:link w:val="1048"/>
    <w:qFormat/>
    <w:rPr>
      <w:rFonts w:ascii="Tahoma" w:hAnsi="Tahoma"/>
      <w:sz w:val="24"/>
      <w:szCs w:val="20"/>
    </w:rPr>
  </w:style>
  <w:style w:type="paragraph" w:styleId="1169">
    <w:name w:val="xl35"/>
    <w:basedOn w:val="1048"/>
    <w:next w:val="1169"/>
    <w:link w:val="104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0">
    <w:name w:val="xl40"/>
    <w:basedOn w:val="1048"/>
    <w:next w:val="1170"/>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1">
    <w:name w:val="xl52"/>
    <w:basedOn w:val="1048"/>
    <w:next w:val="1171"/>
    <w:link w:val="10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72">
    <w:name w:val="xl43"/>
    <w:basedOn w:val="1048"/>
    <w:next w:val="1172"/>
    <w:link w:val="104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73">
    <w:name w:val="background1"/>
    <w:basedOn w:val="1048"/>
    <w:next w:val="1173"/>
    <w:link w:val="1048"/>
    <w:qFormat/>
    <w:pPr>
      <w:jc w:val="left"/>
      <w:spacing w:before="100" w:beforeAutospacing="1" w:after="100" w:afterAutospacing="1"/>
      <w:widowControl/>
    </w:pPr>
    <w:rPr>
      <w:rFonts w:ascii="宋体" w:hAnsi="宋体" w:cs="宋体"/>
      <w:sz w:val="24"/>
    </w:rPr>
  </w:style>
  <w:style w:type="paragraph" w:styleId="1174">
    <w:name w:val="Char Char Char Char Char Char Char"/>
    <w:basedOn w:val="1048"/>
    <w:next w:val="1174"/>
    <w:link w:val="1048"/>
    <w:qFormat/>
    <w:pPr>
      <w:ind w:firstLine="200"/>
      <w:spacing w:line="360" w:lineRule="auto"/>
    </w:pPr>
    <w:rPr>
      <w:rFonts w:eastAsia="仿宋_GB2312"/>
      <w:sz w:val="24"/>
    </w:rPr>
  </w:style>
  <w:style w:type="paragraph" w:styleId="1175">
    <w:name w:val="xl38"/>
    <w:basedOn w:val="1048"/>
    <w:next w:val="1175"/>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76">
    <w:name w:val="xl36"/>
    <w:basedOn w:val="1048"/>
    <w:next w:val="1176"/>
    <w:link w:val="104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7">
    <w:name w:val="正文 + 宋体"/>
    <w:basedOn w:val="1048"/>
    <w:next w:val="1177"/>
    <w:link w:val="1048"/>
    <w:qFormat/>
    <w:pPr>
      <w:ind w:left="360" w:hanging="360"/>
      <w:jc w:val="left"/>
      <w:widowControl/>
    </w:pPr>
    <w:rPr>
      <w:rFonts w:ascii="宋体" w:hAnsi="宋体" w:cs="宋体"/>
      <w:b/>
      <w:bCs/>
      <w:color w:val="000000"/>
      <w:sz w:val="18"/>
      <w:szCs w:val="18"/>
    </w:rPr>
  </w:style>
  <w:style w:type="paragraph" w:styleId="1178">
    <w:name w:val="正文列项_数字"/>
    <w:basedOn w:val="1048"/>
    <w:next w:val="1178"/>
    <w:link w:val="1048"/>
    <w:qFormat/>
    <w:pPr>
      <w:numPr>
        <w:ilvl w:val="7"/>
        <w:numId w:val="1"/>
      </w:numPr>
      <w:ind w:left="680" w:hanging="150"/>
      <w:spacing w:line="460" w:lineRule="exact"/>
      <w:tabs>
        <w:tab w:val="clear" w:pos="860" w:leader="none"/>
      </w:tabs>
      <w:outlineLvl w:val="7"/>
    </w:pPr>
    <w:rPr>
      <w:rFonts w:ascii="宋体"/>
      <w:sz w:val="28"/>
      <w:szCs w:val="20"/>
    </w:rPr>
  </w:style>
  <w:style w:type="paragraph" w:styleId="1179">
    <w:name w:val="xl39"/>
    <w:basedOn w:val="1048"/>
    <w:next w:val="1179"/>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0">
    <w:name w:val="xl37"/>
    <w:basedOn w:val="1048"/>
    <w:next w:val="1180"/>
    <w:link w:val="104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1">
    <w:name w:val="xl32"/>
    <w:basedOn w:val="1048"/>
    <w:next w:val="1181"/>
    <w:link w:val="10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2">
    <w:name w:val="font8"/>
    <w:basedOn w:val="1048"/>
    <w:next w:val="1182"/>
    <w:link w:val="1048"/>
    <w:qFormat/>
    <w:pPr>
      <w:jc w:val="left"/>
      <w:spacing w:before="100" w:beforeAutospacing="1" w:after="100" w:afterAutospacing="1"/>
      <w:widowControl/>
    </w:pPr>
    <w:rPr>
      <w:sz w:val="36"/>
      <w:szCs w:val="36"/>
    </w:rPr>
  </w:style>
  <w:style w:type="paragraph" w:styleId="1183">
    <w:name w:val="Char"/>
    <w:basedOn w:val="1048"/>
    <w:next w:val="1183"/>
    <w:link w:val="1048"/>
    <w:qFormat/>
    <w:pPr>
      <w:tabs>
        <w:tab w:val="left" w:pos="360" w:leader="none"/>
      </w:tabs>
    </w:pPr>
    <w:rPr>
      <w:sz w:val="24"/>
    </w:rPr>
  </w:style>
  <w:style w:type="paragraph" w:styleId="1184">
    <w:name w:val="Char Char Char Char Char Char Char Char Char Char Char Char Char Char Char Char"/>
    <w:basedOn w:val="1048"/>
    <w:next w:val="1184"/>
    <w:link w:val="1048"/>
    <w:qFormat/>
    <w:pPr>
      <w:jc w:val="center"/>
      <w:spacing w:after="160" w:line="240" w:lineRule="exact"/>
      <w:widowControl/>
    </w:pPr>
    <w:rPr>
      <w:rFonts w:ascii="宋体" w:hAnsi="宋体"/>
      <w:b/>
      <w:sz w:val="30"/>
      <w:szCs w:val="30"/>
      <w:lang w:eastAsia="en-US"/>
    </w:rPr>
  </w:style>
  <w:style w:type="paragraph" w:styleId="1185">
    <w:name w:val="xl45"/>
    <w:basedOn w:val="1048"/>
    <w:next w:val="1185"/>
    <w:link w:val="104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6">
    <w:name w:val="Char Char1 Char Char Char Char Char Char"/>
    <w:basedOn w:val="1048"/>
    <w:next w:val="1186"/>
    <w:link w:val="1048"/>
    <w:qFormat/>
    <w:pPr>
      <w:jc w:val="left"/>
      <w:spacing w:after="160" w:line="240" w:lineRule="exact"/>
      <w:widowControl/>
    </w:pPr>
    <w:rPr>
      <w:rFonts w:ascii="Verdana" w:hAnsi="Verdana" w:eastAsia="仿宋_GB2312"/>
      <w:sz w:val="24"/>
      <w:szCs w:val="20"/>
      <w:lang w:eastAsia="en-US"/>
    </w:rPr>
  </w:style>
  <w:style w:type="paragraph" w:styleId="1187">
    <w:name w:val="Char Char1"/>
    <w:basedOn w:val="1074"/>
    <w:next w:val="1187"/>
    <w:link w:val="1048"/>
    <w:qFormat/>
    <w:rPr>
      <w:rFonts w:ascii="Tahoma" w:hAnsi="Tahoma"/>
      <w:sz w:val="24"/>
    </w:rPr>
  </w:style>
  <w:style w:type="paragraph" w:styleId="1188">
    <w:name w:val="xl26"/>
    <w:basedOn w:val="1048"/>
    <w:next w:val="1188"/>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89">
    <w:name w:val="xl30"/>
    <w:basedOn w:val="1048"/>
    <w:next w:val="1189"/>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0">
    <w:name w:val="xl41"/>
    <w:basedOn w:val="1048"/>
    <w:next w:val="1190"/>
    <w:link w:val="104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1">
    <w:name w:val="样式 宋体 五号 行距: 单倍行距"/>
    <w:basedOn w:val="1048"/>
    <w:next w:val="1191"/>
    <w:link w:val="1048"/>
    <w:qFormat/>
    <w:pPr>
      <w:jc w:val="left"/>
    </w:pPr>
    <w:rPr>
      <w:rFonts w:ascii="宋体" w:hAnsi="宋体"/>
      <w:szCs w:val="20"/>
    </w:rPr>
  </w:style>
  <w:style w:type="paragraph" w:styleId="1192">
    <w:name w:val="Char1 Char Char Char1"/>
    <w:basedOn w:val="1048"/>
    <w:next w:val="1192"/>
    <w:link w:val="1048"/>
    <w:qFormat/>
    <w:rPr>
      <w:rFonts w:ascii="Tahoma" w:hAnsi="Tahoma" w:cs="仿宋_GB2312"/>
      <w:sz w:val="24"/>
      <w:szCs w:val="28"/>
    </w:rPr>
  </w:style>
  <w:style w:type="paragraph" w:styleId="1193">
    <w:name w:val="四级条标题"/>
    <w:basedOn w:val="1194"/>
    <w:next w:val="1048"/>
    <w:link w:val="1048"/>
    <w:qFormat/>
    <w:pPr>
      <w:numPr>
        <w:ilvl w:val="4"/>
      </w:numPr>
      <w:ind w:left="0" w:hanging="840"/>
      <w:tabs>
        <w:tab w:val="left" w:pos="360" w:leader="none"/>
        <w:tab w:val="left" w:pos="840" w:leader="none"/>
      </w:tabs>
      <w:outlineLvl w:val="4"/>
    </w:pPr>
  </w:style>
  <w:style w:type="paragraph" w:styleId="1194">
    <w:name w:val="三级条标题"/>
    <w:basedOn w:val="1156"/>
    <w:next w:val="1048"/>
    <w:link w:val="1048"/>
    <w:qFormat/>
    <w:pPr>
      <w:numPr>
        <w:ilvl w:val="3"/>
        <w:numId w:val="1"/>
      </w:numPr>
      <w:ind w:left="0" w:hanging="840"/>
      <w:tabs>
        <w:tab w:val="left" w:pos="360" w:leader="none"/>
        <w:tab w:val="left" w:pos="840" w:leader="none"/>
      </w:tabs>
      <w:outlineLvl w:val="3"/>
    </w:pPr>
  </w:style>
  <w:style w:type="paragraph" w:styleId="1195">
    <w:name w:val="??"/>
    <w:next w:val="1195"/>
    <w:link w:val="1048"/>
    <w:qFormat/>
    <w:pPr>
      <w:jc w:val="both"/>
      <w:widowControl w:val="off"/>
    </w:pPr>
    <w:rPr>
      <w:sz w:val="21"/>
      <w:lang w:val="en-US" w:eastAsia="en-US" w:bidi="ar-SA"/>
    </w:rPr>
  </w:style>
  <w:style w:type="paragraph" w:styleId="1196">
    <w:name w:val="样式 标题 2 + 宋体 五号 行距: 单倍行距"/>
    <w:basedOn w:val="1050"/>
    <w:next w:val="1196"/>
    <w:link w:val="104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97">
    <w:name w:val="List Paragraph1"/>
    <w:basedOn w:val="1048"/>
    <w:next w:val="1197"/>
    <w:link w:val="1048"/>
    <w:qFormat/>
    <w:pPr>
      <w:ind w:firstLine="420"/>
    </w:pPr>
    <w:rPr>
      <w:rFonts w:ascii="Calibri" w:hAnsi="Calibri"/>
      <w:szCs w:val="22"/>
    </w:rPr>
  </w:style>
  <w:style w:type="paragraph" w:styleId="1198">
    <w:name w:val="项目符号1"/>
    <w:basedOn w:val="1199"/>
    <w:next w:val="1198"/>
    <w:link w:val="1048"/>
    <w:qFormat/>
    <w:pPr>
      <w:ind w:left="-25" w:firstLine="0"/>
    </w:pPr>
  </w:style>
  <w:style w:type="paragraph" w:styleId="1199">
    <w:name w:val="正文文本样式"/>
    <w:basedOn w:val="1048"/>
    <w:next w:val="1199"/>
    <w:link w:val="1048"/>
    <w:qFormat/>
    <w:pPr>
      <w:ind w:firstLine="482"/>
      <w:spacing w:line="360" w:lineRule="auto"/>
    </w:pPr>
    <w:rPr>
      <w:rFonts w:cs="宋体"/>
      <w:sz w:val="24"/>
      <w:szCs w:val="20"/>
    </w:rPr>
  </w:style>
  <w:style w:type="paragraph" w:styleId="1200">
    <w:name w:val="xl27"/>
    <w:basedOn w:val="1048"/>
    <w:next w:val="1200"/>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1">
    <w:name w:val="font5"/>
    <w:basedOn w:val="1048"/>
    <w:next w:val="1201"/>
    <w:link w:val="1048"/>
    <w:qFormat/>
    <w:pPr>
      <w:jc w:val="left"/>
      <w:spacing w:before="100" w:beforeAutospacing="1" w:after="100" w:afterAutospacing="1"/>
      <w:widowControl/>
    </w:pPr>
    <w:rPr>
      <w:rFonts w:ascii="宋体" w:hAnsi="宋体" w:cs="宋体"/>
      <w:sz w:val="18"/>
      <w:szCs w:val="18"/>
    </w:rPr>
  </w:style>
  <w:style w:type="paragraph" w:styleId="1202">
    <w:name w:val="五级条标题"/>
    <w:basedOn w:val="1193"/>
    <w:next w:val="1048"/>
    <w:link w:val="1048"/>
    <w:qFormat/>
    <w:pPr>
      <w:numPr>
        <w:ilvl w:val="5"/>
      </w:numPr>
      <w:ind w:left="0" w:hanging="840"/>
      <w:tabs>
        <w:tab w:val="left" w:pos="360" w:leader="none"/>
        <w:tab w:val="left" w:pos="840" w:leader="none"/>
      </w:tabs>
      <w:outlineLvl w:val="5"/>
    </w:pPr>
  </w:style>
  <w:style w:type="paragraph" w:styleId="1203">
    <w:name w:val="xl49"/>
    <w:basedOn w:val="1048"/>
    <w:next w:val="1203"/>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04">
    <w:name w:val="文档正文"/>
    <w:basedOn w:val="1048"/>
    <w:next w:val="1204"/>
    <w:link w:val="1048"/>
    <w:qFormat/>
    <w:pPr>
      <w:spacing w:before="120" w:after="120" w:line="180" w:lineRule="auto"/>
    </w:pPr>
    <w:rPr>
      <w:rFonts w:ascii="Arial" w:hAnsi="Arial"/>
      <w:szCs w:val="20"/>
    </w:rPr>
  </w:style>
  <w:style w:type="paragraph" w:styleId="1205">
    <w:name w:val="xl33"/>
    <w:basedOn w:val="1048"/>
    <w:next w:val="1205"/>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6">
    <w:name w:val="xl42"/>
    <w:basedOn w:val="1048"/>
    <w:next w:val="1206"/>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07">
    <w:name w:val="Char Char Char1 Char"/>
    <w:basedOn w:val="1048"/>
    <w:next w:val="1207"/>
    <w:link w:val="1048"/>
    <w:qFormat/>
    <w:rPr>
      <w:rFonts w:ascii="Tahoma" w:hAnsi="Tahoma"/>
      <w:sz w:val="24"/>
      <w:szCs w:val="20"/>
    </w:rPr>
  </w:style>
  <w:style w:type="paragraph" w:styleId="1208">
    <w:name w:val="xl44"/>
    <w:basedOn w:val="1048"/>
    <w:next w:val="1208"/>
    <w:link w:val="104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09">
    <w:name w:val="1名"/>
    <w:basedOn w:val="1048"/>
    <w:next w:val="1209"/>
    <w:link w:val="1048"/>
    <w:qFormat/>
    <w:pPr>
      <w:numPr>
        <w:ilvl w:val="0"/>
        <w:numId w:val="5"/>
      </w:numPr>
      <w:spacing w:before="120"/>
      <w:tabs>
        <w:tab w:val="left" w:pos="360" w:leader="none"/>
      </w:tabs>
    </w:pPr>
    <w:rPr>
      <w:rFonts w:ascii="宋体"/>
      <w:sz w:val="28"/>
      <w:szCs w:val="20"/>
    </w:rPr>
  </w:style>
  <w:style w:type="paragraph" w:styleId="1210">
    <w:name w:val="font9"/>
    <w:basedOn w:val="1048"/>
    <w:next w:val="1210"/>
    <w:link w:val="1048"/>
    <w:qFormat/>
    <w:pPr>
      <w:jc w:val="left"/>
      <w:spacing w:before="100" w:beforeAutospacing="1" w:after="100" w:afterAutospacing="1"/>
      <w:widowControl/>
    </w:pPr>
    <w:rPr>
      <w:rFonts w:hint="eastAsia" w:ascii="宋体" w:hAnsi="宋体" w:cs="Arial Unicode MS"/>
      <w:color w:val="000000"/>
      <w:sz w:val="20"/>
      <w:szCs w:val="20"/>
    </w:rPr>
  </w:style>
  <w:style w:type="paragraph" w:styleId="1211">
    <w:name w:val="Char Char Char1 Char1"/>
    <w:basedOn w:val="1048"/>
    <w:next w:val="1211"/>
    <w:link w:val="1048"/>
    <w:qFormat/>
    <w:rPr>
      <w:rFonts w:ascii="Tahoma" w:hAnsi="Tahoma"/>
      <w:sz w:val="24"/>
      <w:szCs w:val="20"/>
    </w:rPr>
  </w:style>
  <w:style w:type="paragraph" w:styleId="1212">
    <w:name w:val="Char Char Char Char Char Char Char Char Char Char"/>
    <w:basedOn w:val="1048"/>
    <w:next w:val="1212"/>
    <w:link w:val="1048"/>
    <w:qFormat/>
  </w:style>
  <w:style w:type="paragraph" w:styleId="1213">
    <w:name w:val="Char Char1 Char Char Char Char Char Char Char Char"/>
    <w:basedOn w:val="1048"/>
    <w:next w:val="1213"/>
    <w:link w:val="1048"/>
    <w:qFormat/>
    <w:pPr>
      <w:jc w:val="left"/>
      <w:spacing w:after="160" w:line="240" w:lineRule="exact"/>
      <w:widowControl/>
    </w:pPr>
    <w:rPr>
      <w:rFonts w:ascii="Verdana" w:hAnsi="Verdana"/>
      <w:sz w:val="20"/>
      <w:szCs w:val="20"/>
      <w:lang w:eastAsia="en-US"/>
    </w:rPr>
  </w:style>
  <w:style w:type="paragraph" w:styleId="1214">
    <w:name w:val="Char1"/>
    <w:basedOn w:val="1048"/>
    <w:next w:val="1214"/>
    <w:link w:val="1048"/>
    <w:qFormat/>
    <w:pPr>
      <w:tabs>
        <w:tab w:val="left" w:pos="360" w:leader="none"/>
      </w:tabs>
    </w:pPr>
    <w:rPr>
      <w:sz w:val="24"/>
    </w:rPr>
  </w:style>
  <w:style w:type="paragraph" w:styleId="1215">
    <w:name w:val="正文列项_字母"/>
    <w:basedOn w:val="1048"/>
    <w:next w:val="1215"/>
    <w:link w:val="1048"/>
    <w:qFormat/>
    <w:pPr>
      <w:numPr>
        <w:ilvl w:val="6"/>
        <w:numId w:val="1"/>
      </w:numPr>
      <w:ind w:left="480" w:hanging="180"/>
      <w:spacing w:line="460" w:lineRule="exact"/>
      <w:tabs>
        <w:tab w:val="clear" w:pos="635" w:leader="none"/>
      </w:tabs>
      <w:outlineLvl w:val="6"/>
    </w:pPr>
    <w:rPr>
      <w:rFonts w:ascii="宋体"/>
      <w:sz w:val="28"/>
      <w:szCs w:val="20"/>
    </w:rPr>
  </w:style>
  <w:style w:type="paragraph" w:styleId="1216">
    <w:name w:val="xl28"/>
    <w:basedOn w:val="1048"/>
    <w:next w:val="1216"/>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7">
    <w:name w:val="xl47"/>
    <w:basedOn w:val="1048"/>
    <w:next w:val="1217"/>
    <w:link w:val="104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8">
    <w:name w:val="默认段落字体 Para Char Char Char Char"/>
    <w:basedOn w:val="1048"/>
    <w:next w:val="1218"/>
    <w:link w:val="1048"/>
    <w:qFormat/>
    <w:rPr>
      <w:rFonts w:ascii="Arial" w:hAnsi="Arial" w:cs="Arial"/>
      <w:szCs w:val="21"/>
    </w:rPr>
  </w:style>
  <w:style w:type="paragraph" w:styleId="1219">
    <w:name w:val="xl48"/>
    <w:basedOn w:val="1048"/>
    <w:next w:val="1219"/>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20">
    <w:name w:val="xl31"/>
    <w:basedOn w:val="1048"/>
    <w:next w:val="1220"/>
    <w:link w:val="10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1">
    <w:name w:val="xl53"/>
    <w:basedOn w:val="1048"/>
    <w:next w:val="1221"/>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2">
    <w:name w:val="Char Char Char"/>
    <w:basedOn w:val="1048"/>
    <w:next w:val="1222"/>
    <w:link w:val="1048"/>
    <w:qFormat/>
    <w:rPr>
      <w:rFonts w:ascii="Tahoma" w:hAnsi="Tahoma"/>
      <w:sz w:val="24"/>
      <w:szCs w:val="20"/>
    </w:rPr>
  </w:style>
  <w:style w:type="paragraph" w:styleId="1223">
    <w:name w:val="xl50"/>
    <w:basedOn w:val="1048"/>
    <w:next w:val="1223"/>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24">
    <w:name w:val="缺省文本"/>
    <w:basedOn w:val="1048"/>
    <w:next w:val="1224"/>
    <w:link w:val="1048"/>
    <w:qFormat/>
    <w:pPr>
      <w:jc w:val="left"/>
    </w:pPr>
    <w:rPr>
      <w:sz w:val="24"/>
    </w:rPr>
  </w:style>
  <w:style w:type="paragraph" w:styleId="1225">
    <w:name w:val="Char Char Char1"/>
    <w:basedOn w:val="1048"/>
    <w:next w:val="1225"/>
    <w:link w:val="1048"/>
    <w:qFormat/>
    <w:rPr>
      <w:rFonts w:ascii="Tahoma" w:hAnsi="Tahoma"/>
      <w:sz w:val="24"/>
      <w:szCs w:val="20"/>
    </w:rPr>
  </w:style>
  <w:style w:type="paragraph" w:styleId="1226">
    <w:name w:val="Char Char Char Char Char Char Char1"/>
    <w:basedOn w:val="1048"/>
    <w:next w:val="1226"/>
    <w:link w:val="1048"/>
    <w:qFormat/>
    <w:pPr>
      <w:ind w:firstLine="200"/>
      <w:spacing w:line="360" w:lineRule="auto"/>
    </w:pPr>
    <w:rPr>
      <w:rFonts w:eastAsia="仿宋_GB2312"/>
      <w:sz w:val="24"/>
    </w:rPr>
  </w:style>
  <w:style w:type="paragraph" w:styleId="1227">
    <w:name w:val="xl51"/>
    <w:basedOn w:val="1048"/>
    <w:next w:val="1227"/>
    <w:link w:val="10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28">
    <w:name w:val="样式2"/>
    <w:basedOn w:val="1114"/>
    <w:next w:val="1228"/>
    <w:link w:val="1048"/>
    <w:qFormat/>
    <w:pPr>
      <w:jc w:val="center"/>
      <w:spacing w:line="360" w:lineRule="auto"/>
    </w:pPr>
    <w:rPr>
      <w:sz w:val="24"/>
    </w:rPr>
  </w:style>
  <w:style w:type="paragraph" w:styleId="1229">
    <w:name w:val="xl24"/>
    <w:basedOn w:val="1048"/>
    <w:next w:val="1229"/>
    <w:link w:val="10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0">
    <w:name w:val="xl29"/>
    <w:basedOn w:val="1048"/>
    <w:next w:val="1230"/>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1">
    <w:name w:val="正文 + 楷体_GB2312"/>
    <w:basedOn w:val="1048"/>
    <w:next w:val="1231"/>
    <w:link w:val="1048"/>
    <w:qFormat/>
    <w:pPr>
      <w:jc w:val="left"/>
      <w:widowControl/>
    </w:pPr>
    <w:rPr>
      <w:rFonts w:ascii="楷体_GB2312" w:eastAsia="楷体_GB2312" w:cs="Arial"/>
      <w:sz w:val="24"/>
    </w:rPr>
  </w:style>
  <w:style w:type="paragraph" w:styleId="1232">
    <w:name w:val="xl34"/>
    <w:basedOn w:val="1048"/>
    <w:next w:val="1232"/>
    <w:link w:val="10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3">
    <w:name w:val="1 Char Char Char Char"/>
    <w:basedOn w:val="1048"/>
    <w:next w:val="1233"/>
    <w:link w:val="1048"/>
    <w:qFormat/>
    <w:rPr>
      <w:rFonts w:ascii="Tahoma" w:hAnsi="Tahoma"/>
      <w:sz w:val="24"/>
      <w:szCs w:val="20"/>
    </w:rPr>
  </w:style>
  <w:style w:type="paragraph" w:styleId="1234">
    <w:name w:val="列出段落1"/>
    <w:basedOn w:val="1048"/>
    <w:next w:val="1234"/>
    <w:link w:val="1048"/>
    <w:qFormat/>
    <w:pPr>
      <w:ind w:firstLine="420"/>
    </w:pPr>
    <w:rPr>
      <w:rFonts w:ascii="Calibri" w:hAnsi="Calibri"/>
      <w:szCs w:val="22"/>
    </w:rPr>
  </w:style>
  <w:style w:type="paragraph" w:styleId="1235">
    <w:name w:val="default"/>
    <w:basedOn w:val="1048"/>
    <w:next w:val="1235"/>
    <w:link w:val="1048"/>
    <w:qFormat/>
    <w:pPr>
      <w:jc w:val="left"/>
      <w:spacing w:before="100" w:beforeAutospacing="1" w:after="100" w:afterAutospacing="1"/>
      <w:widowControl/>
    </w:pPr>
    <w:rPr>
      <w:rFonts w:ascii="宋体" w:hAnsi="宋体" w:cs="宋体"/>
      <w:sz w:val="24"/>
    </w:rPr>
  </w:style>
  <w:style w:type="paragraph" w:styleId="1236">
    <w:name w:val="字元 字元1"/>
    <w:basedOn w:val="1048"/>
    <w:next w:val="1236"/>
    <w:link w:val="1048"/>
    <w:qFormat/>
    <w:rPr>
      <w:rFonts w:ascii="Tahoma" w:hAnsi="Tahoma"/>
      <w:sz w:val="24"/>
      <w:szCs w:val="20"/>
    </w:rPr>
  </w:style>
  <w:style w:type="paragraph" w:styleId="1237">
    <w:name w:val="_Style 160"/>
    <w:next w:val="1237"/>
    <w:link w:val="1048"/>
    <w:qFormat/>
    <w:rPr>
      <w:sz w:val="21"/>
      <w:szCs w:val="24"/>
      <w:lang w:val="en-US" w:eastAsia="zh-CN" w:bidi="ar-SA"/>
    </w:rPr>
  </w:style>
  <w:style w:type="paragraph" w:styleId="1238">
    <w:name w:val="项目编号3"/>
    <w:basedOn w:val="1199"/>
    <w:next w:val="1238"/>
    <w:link w:val="1048"/>
    <w:qFormat/>
    <w:pPr>
      <w:numPr>
        <w:ilvl w:val="0"/>
        <w:numId w:val="6"/>
      </w:numPr>
    </w:pPr>
  </w:style>
  <w:style w:type="paragraph" w:styleId="1239">
    <w:name w:val="Char21"/>
    <w:basedOn w:val="1048"/>
    <w:next w:val="1239"/>
    <w:link w:val="1048"/>
    <w:qFormat/>
    <w:rPr>
      <w:rFonts w:ascii="Tahoma" w:hAnsi="Tahoma"/>
      <w:sz w:val="24"/>
      <w:szCs w:val="20"/>
    </w:rPr>
  </w:style>
  <w:style w:type="paragraph" w:styleId="1240">
    <w:name w:val="表格文字"/>
    <w:basedOn w:val="1082"/>
    <w:next w:val="1240"/>
    <w:link w:val="1048"/>
    <w:qFormat/>
    <w:pPr>
      <w:ind w:firstLine="0"/>
      <w:spacing w:before="20" w:after="20" w:line="240" w:lineRule="auto"/>
    </w:pPr>
    <w:rPr>
      <w:rFonts w:ascii="Century Gothic" w:hAnsi="Century Gothic"/>
      <w:sz w:val="20"/>
      <w:szCs w:val="20"/>
    </w:rPr>
  </w:style>
  <w:style w:type="paragraph" w:styleId="1241">
    <w:name w:val="Char Char Char Char Char Char Char Char Char Char1"/>
    <w:basedOn w:val="1048"/>
    <w:next w:val="1241"/>
    <w:link w:val="1048"/>
    <w:qFormat/>
    <w:rPr>
      <w:rFonts w:ascii="宋体" w:hAnsi="宋体" w:cs="Courier New"/>
      <w:sz w:val="32"/>
      <w:szCs w:val="32"/>
    </w:rPr>
  </w:style>
  <w:style w:type="paragraph" w:styleId="1242">
    <w:name w:val="正文文本样式 加粗"/>
    <w:basedOn w:val="1199"/>
    <w:next w:val="1242"/>
    <w:link w:val="1048"/>
    <w:qFormat/>
    <w:rPr>
      <w:b/>
    </w:rPr>
  </w:style>
  <w:style w:type="paragraph" w:styleId="1243">
    <w:name w:val="Char2 Char Char Char Char Char Char"/>
    <w:basedOn w:val="1048"/>
    <w:next w:val="1243"/>
    <w:link w:val="1048"/>
    <w:qFormat/>
    <w:pPr>
      <w:jc w:val="center"/>
      <w:spacing w:line="400" w:lineRule="exact"/>
      <w:widowControl/>
    </w:pPr>
  </w:style>
  <w:style w:type="paragraph" w:styleId="1244">
    <w:name w:val="Char Char4"/>
    <w:basedOn w:val="1048"/>
    <w:next w:val="1244"/>
    <w:link w:val="1048"/>
    <w:qFormat/>
    <w:pPr>
      <w:jc w:val="center"/>
      <w:spacing w:line="400" w:lineRule="exact"/>
      <w:widowControl/>
    </w:pPr>
  </w:style>
  <w:style w:type="paragraph" w:styleId="1245">
    <w:name w:val="Char3 Char Char Char1"/>
    <w:basedOn w:val="1048"/>
    <w:next w:val="1245"/>
    <w:link w:val="1048"/>
    <w:qFormat/>
    <w:rPr>
      <w:rFonts w:ascii="Tahoma" w:hAnsi="Tahoma"/>
      <w:sz w:val="24"/>
      <w:szCs w:val="20"/>
    </w:rPr>
  </w:style>
  <w:style w:type="paragraph" w:styleId="1246">
    <w:name w:val="无间隔"/>
    <w:next w:val="1246"/>
    <w:link w:val="1048"/>
    <w:qFormat/>
    <w:pPr>
      <w:jc w:val="both"/>
      <w:widowControl w:val="off"/>
    </w:pPr>
    <w:rPr>
      <w:sz w:val="21"/>
      <w:szCs w:val="24"/>
      <w:lang w:val="en-US" w:eastAsia="zh-CN" w:bidi="ar-SA"/>
    </w:rPr>
  </w:style>
  <w:style w:type="paragraph" w:styleId="1247">
    <w:name w:val="22222222222222"/>
    <w:basedOn w:val="1048"/>
    <w:next w:val="1247"/>
    <w:link w:val="1048"/>
    <w:qFormat/>
    <w:pPr>
      <w:ind w:firstLine="480"/>
      <w:jc w:val="left"/>
      <w:spacing w:line="360" w:lineRule="auto"/>
      <w:widowControl/>
    </w:pPr>
    <w:rPr>
      <w:color w:val="ff0000"/>
      <w:sz w:val="24"/>
      <w:szCs w:val="20"/>
    </w:rPr>
  </w:style>
  <w:style w:type="character" w:styleId="1248">
    <w:name w:val="中等深浅网格 1 - 强调文字颜色 2 Char"/>
    <w:next w:val="1248"/>
    <w:link w:val="1249"/>
    <w:qFormat/>
    <w:rPr>
      <w:sz w:val="21"/>
      <w:szCs w:val="24"/>
      <w:lang w:val="zh-CN" w:eastAsia="zh-CN" w:bidi="ar-SA"/>
    </w:rPr>
  </w:style>
  <w:style w:type="paragraph" w:styleId="1249">
    <w:name w:val="1"/>
    <w:next w:val="1249"/>
    <w:link w:val="1248"/>
    <w:qFormat/>
    <w:rPr>
      <w:sz w:val="21"/>
      <w:szCs w:val="24"/>
      <w:lang w:val="zh-CN" w:eastAsia="zh-CN" w:bidi="ar-SA"/>
    </w:rPr>
  </w:style>
  <w:style w:type="paragraph" w:styleId="1250">
    <w:name w:val="图文"/>
    <w:basedOn w:val="1048"/>
    <w:next w:val="1250"/>
    <w:link w:val="1048"/>
    <w:qFormat/>
    <w:pPr>
      <w:spacing w:after="50" w:line="360" w:lineRule="auto"/>
    </w:pPr>
    <w:rPr>
      <w:sz w:val="24"/>
    </w:rPr>
  </w:style>
  <w:style w:type="paragraph" w:styleId="1251">
    <w:name w:val="xl23"/>
    <w:basedOn w:val="1048"/>
    <w:next w:val="1251"/>
    <w:link w:val="1048"/>
    <w:qFormat/>
    <w:pPr>
      <w:spacing w:before="100" w:beforeAutospacing="1" w:after="100" w:afterAutospacing="1" w:line="360" w:lineRule="auto"/>
      <w:widowControl/>
    </w:pPr>
    <w:rPr>
      <w:sz w:val="24"/>
      <w:szCs w:val="20"/>
    </w:rPr>
  </w:style>
  <w:style w:type="paragraph" w:styleId="1252">
    <w:name w:val="正文表格"/>
    <w:basedOn w:val="1048"/>
    <w:next w:val="1252"/>
    <w:link w:val="1253"/>
    <w:qFormat/>
    <w:pPr>
      <w:jc w:val="left"/>
    </w:pPr>
    <w:rPr>
      <w:rFonts w:ascii="宋体" w:hAnsi="宋体"/>
      <w:color w:val="000000"/>
      <w:szCs w:val="21"/>
    </w:rPr>
  </w:style>
  <w:style w:type="character" w:styleId="1253">
    <w:name w:val="正文表格 Char"/>
    <w:next w:val="1253"/>
    <w:link w:val="1252"/>
    <w:qFormat/>
    <w:rPr>
      <w:rFonts w:ascii="宋体" w:hAnsi="宋体"/>
      <w:color w:val="000000"/>
      <w:sz w:val="21"/>
      <w:szCs w:val="21"/>
    </w:rPr>
  </w:style>
  <w:style w:type="paragraph" w:styleId="1254">
    <w:name w:val="正文重点"/>
    <w:basedOn w:val="1048"/>
    <w:next w:val="1254"/>
    <w:link w:val="1255"/>
    <w:qFormat/>
    <w:pPr>
      <w:ind w:firstLine="482"/>
      <w:jc w:val="left"/>
      <w:spacing w:line="360" w:lineRule="auto"/>
    </w:pPr>
    <w:rPr>
      <w:b/>
      <w:sz w:val="24"/>
      <w:szCs w:val="20"/>
    </w:rPr>
  </w:style>
  <w:style w:type="character" w:styleId="1255">
    <w:name w:val="正文重点 Char"/>
    <w:next w:val="1255"/>
    <w:link w:val="1254"/>
    <w:qFormat/>
    <w:rPr>
      <w:b/>
      <w:sz w:val="24"/>
    </w:rPr>
  </w:style>
  <w:style w:type="paragraph" w:styleId="1256">
    <w:name w:val="标题1-附件"/>
    <w:basedOn w:val="1049"/>
    <w:next w:val="1256"/>
    <w:link w:val="1048"/>
    <w:qFormat/>
    <w:pPr>
      <w:jc w:val="left"/>
    </w:pPr>
    <w:rPr>
      <w:sz w:val="24"/>
      <w:szCs w:val="24"/>
    </w:rPr>
  </w:style>
  <w:style w:type="paragraph" w:styleId="1257">
    <w:name w:val="正文小标题"/>
    <w:basedOn w:val="1048"/>
    <w:next w:val="1060"/>
    <w:link w:val="1258"/>
    <w:qFormat/>
    <w:pPr>
      <w:ind w:firstLine="482"/>
      <w:jc w:val="left"/>
      <w:spacing w:before="312" w:after="312"/>
    </w:pPr>
    <w:rPr>
      <w:rFonts w:ascii="宋体" w:hAnsi="宋体"/>
      <w:b/>
      <w:i/>
      <w:color w:val="ff0000"/>
      <w:sz w:val="24"/>
      <w:szCs w:val="20"/>
    </w:rPr>
  </w:style>
  <w:style w:type="character" w:styleId="1258">
    <w:name w:val="正文小标题 Char"/>
    <w:next w:val="1258"/>
    <w:link w:val="1257"/>
    <w:qFormat/>
    <w:rPr>
      <w:rFonts w:ascii="宋体" w:hAnsi="宋体"/>
      <w:b/>
      <w:i/>
      <w:color w:val="ff0000"/>
      <w:sz w:val="24"/>
    </w:rPr>
  </w:style>
  <w:style w:type="paragraph" w:styleId="1259">
    <w:name w:val="正文大标题"/>
    <w:basedOn w:val="1257"/>
    <w:next w:val="1060"/>
    <w:link w:val="1260"/>
    <w:qFormat/>
    <w:pPr>
      <w:jc w:val="center"/>
    </w:pPr>
    <w:rPr>
      <w:i w:val="0"/>
      <w:color w:val="000000"/>
      <w:sz w:val="28"/>
      <w:szCs w:val="21"/>
    </w:rPr>
  </w:style>
  <w:style w:type="character" w:styleId="1260">
    <w:name w:val="正文大标题 Char"/>
    <w:next w:val="1260"/>
    <w:link w:val="1259"/>
    <w:qFormat/>
    <w:rPr>
      <w:rFonts w:ascii="宋体" w:hAnsi="宋体"/>
      <w:b/>
      <w:color w:val="000000"/>
      <w:sz w:val="28"/>
      <w:szCs w:val="21"/>
    </w:rPr>
  </w:style>
  <w:style w:type="paragraph" w:styleId="1261">
    <w:name w:val="注释"/>
    <w:basedOn w:val="1048"/>
    <w:next w:val="1261"/>
    <w:link w:val="1262"/>
    <w:qFormat/>
    <w:pPr>
      <w:ind w:left="420" w:hanging="420"/>
      <w:jc w:val="left"/>
    </w:pPr>
    <w:rPr>
      <w:rFonts w:ascii="宋体" w:hAnsi="宋体"/>
      <w:szCs w:val="21"/>
    </w:rPr>
  </w:style>
  <w:style w:type="character" w:styleId="1262">
    <w:name w:val="注释 Char"/>
    <w:next w:val="1262"/>
    <w:link w:val="1261"/>
    <w:qFormat/>
    <w:rPr>
      <w:rFonts w:ascii="宋体" w:hAnsi="宋体"/>
      <w:sz w:val="21"/>
      <w:szCs w:val="21"/>
    </w:rPr>
  </w:style>
  <w:style w:type="paragraph" w:styleId="1263">
    <w:name w:val="正文须知-1级"/>
    <w:basedOn w:val="1048"/>
    <w:next w:val="1048"/>
    <w:link w:val="1048"/>
    <w:qFormat/>
    <w:pPr>
      <w:numPr>
        <w:ilvl w:val="0"/>
        <w:numId w:val="7"/>
      </w:numPr>
      <w:spacing w:line="300" w:lineRule="auto"/>
    </w:pPr>
    <w:rPr>
      <w:rFonts w:ascii="宋体" w:hAnsi="Calibri"/>
      <w:sz w:val="24"/>
      <w:szCs w:val="21"/>
    </w:rPr>
  </w:style>
  <w:style w:type="paragraph" w:styleId="1264">
    <w:name w:val="正文须知-2级"/>
    <w:basedOn w:val="1048"/>
    <w:next w:val="1264"/>
    <w:link w:val="1048"/>
    <w:qFormat/>
    <w:pPr>
      <w:numPr>
        <w:ilvl w:val="1"/>
        <w:numId w:val="7"/>
      </w:numPr>
      <w:spacing w:line="300" w:lineRule="auto"/>
    </w:pPr>
    <w:rPr>
      <w:rFonts w:ascii="宋体" w:hAnsi="Calibri"/>
      <w:sz w:val="24"/>
      <w:szCs w:val="21"/>
    </w:rPr>
  </w:style>
  <w:style w:type="paragraph" w:styleId="1265">
    <w:name w:val="正文须知-3级"/>
    <w:basedOn w:val="1048"/>
    <w:next w:val="1265"/>
    <w:link w:val="1048"/>
    <w:qFormat/>
    <w:pPr>
      <w:numPr>
        <w:ilvl w:val="2"/>
        <w:numId w:val="7"/>
      </w:numPr>
      <w:ind w:hanging="355"/>
      <w:spacing w:line="300" w:lineRule="auto"/>
    </w:pPr>
    <w:rPr>
      <w:rFonts w:ascii="宋体" w:hAnsi="Calibri"/>
      <w:sz w:val="24"/>
      <w:szCs w:val="21"/>
    </w:rPr>
  </w:style>
  <w:style w:type="character" w:styleId="1266">
    <w:name w:val="纯文本 字符"/>
    <w:next w:val="1266"/>
    <w:link w:val="1048"/>
    <w:uiPriority w:val="99"/>
    <w:qFormat/>
    <w:rPr>
      <w:rFonts w:ascii="宋体" w:hAnsi="Courier New" w:eastAsia="宋体" w:cs="Times New Roman"/>
      <w:sz w:val="21"/>
      <w:szCs w:val="21"/>
      <w:lang w:val="en-US" w:eastAsia="zh-CN" w:bidi="ar-SA"/>
    </w:rPr>
  </w:style>
  <w:style w:type="paragraph" w:styleId="1267">
    <w:name w:val="表格1"/>
    <w:basedOn w:val="1048"/>
    <w:next w:val="1267"/>
    <w:link w:val="1048"/>
    <w:qFormat/>
    <w:pPr>
      <w:ind w:firstLine="480"/>
      <w:jc w:val="center"/>
    </w:pPr>
    <w:rPr>
      <w:sz w:val="24"/>
      <w:szCs w:val="20"/>
    </w:rPr>
  </w:style>
  <w:style w:type="character" w:styleId="1268">
    <w:name w:val="纯文本 字符1"/>
    <w:next w:val="1268"/>
    <w:link w:val="1048"/>
    <w:qFormat/>
    <w:rPr>
      <w:rFonts w:ascii="宋体" w:hAnsi="Courier New"/>
    </w:rPr>
  </w:style>
  <w:style w:type="character" w:styleId="1269">
    <w:name w:val="bjh-p"/>
    <w:next w:val="1269"/>
    <w:link w:val="1048"/>
    <w:qFormat/>
  </w:style>
  <w:style w:type="paragraph" w:styleId="1270">
    <w:name w:val="无标题条"/>
    <w:next w:val="1048"/>
    <w:link w:val="1048"/>
    <w:qFormat/>
    <w:pPr>
      <w:jc w:val="both"/>
    </w:pPr>
    <w:rPr>
      <w:sz w:val="21"/>
      <w:lang w:val="en-US" w:eastAsia="zh-CN" w:bidi="ar-SA"/>
    </w:rPr>
  </w:style>
  <w:style w:type="character" w:styleId="1271">
    <w:name w:val="正文格式 Char"/>
    <w:next w:val="1271"/>
    <w:link w:val="1272"/>
    <w:qFormat/>
    <w:rPr>
      <w:rFonts w:ascii="宋体" w:hAnsi="宋体"/>
      <w:sz w:val="24"/>
      <w:szCs w:val="24"/>
      <w:lang w:val="en-GB"/>
    </w:rPr>
  </w:style>
  <w:style w:type="paragraph" w:styleId="1272">
    <w:name w:val="正文格式"/>
    <w:basedOn w:val="1048"/>
    <w:next w:val="1272"/>
    <w:link w:val="1271"/>
    <w:qFormat/>
    <w:pPr>
      <w:ind w:firstLine="480"/>
      <w:spacing w:line="360" w:lineRule="auto"/>
    </w:pPr>
    <w:rPr>
      <w:rFonts w:ascii="宋体" w:hAnsi="宋体"/>
      <w:sz w:val="24"/>
      <w:lang w:val="en-GB"/>
    </w:rPr>
  </w:style>
  <w:style w:type="character" w:styleId="1273">
    <w:name w:val="标题 3 Char"/>
    <w:next w:val="1273"/>
    <w:link w:val="1048"/>
    <w:qFormat/>
    <w:rPr>
      <w:rFonts w:ascii="宋体" w:eastAsia="宋体"/>
      <w:b/>
      <w:sz w:val="24"/>
      <w:u w:val="single"/>
      <w:lang w:val="en-US" w:eastAsia="zh-CN" w:bidi="ar-SA"/>
    </w:rPr>
  </w:style>
  <w:style w:type="character" w:styleId="1274">
    <w:name w:val="正文缩进 Char"/>
    <w:next w:val="1274"/>
    <w:link w:val="1048"/>
    <w:qFormat/>
    <w:rPr>
      <w:rFonts w:ascii="宋体" w:eastAsia="宋体"/>
      <w:sz w:val="24"/>
      <w:szCs w:val="24"/>
      <w:lang w:val="en-US" w:eastAsia="zh-CN" w:bidi="ar-SA"/>
    </w:rPr>
  </w:style>
  <w:style w:type="character" w:styleId="1275">
    <w:name w:val="Char Char111"/>
    <w:next w:val="1275"/>
    <w:link w:val="1048"/>
    <w:qFormat/>
    <w:rPr>
      <w:rFonts w:ascii="宋体" w:eastAsia="宋体"/>
      <w:b/>
      <w:sz w:val="24"/>
      <w:u w:val="single"/>
      <w:lang w:val="en-US" w:eastAsia="zh-CN" w:bidi="ar-SA"/>
    </w:rPr>
  </w:style>
  <w:style w:type="character" w:styleId="1276">
    <w:name w:val="正文文本缩进 Char"/>
    <w:next w:val="1276"/>
    <w:link w:val="1048"/>
    <w:qFormat/>
    <w:rPr>
      <w:rFonts w:eastAsia="宋体"/>
      <w:sz w:val="24"/>
      <w:szCs w:val="24"/>
      <w:lang w:val="en-US" w:eastAsia="zh-CN" w:bidi="ar-SA"/>
    </w:rPr>
  </w:style>
  <w:style w:type="character" w:styleId="1277">
    <w:name w:val="列出段落 Char"/>
    <w:next w:val="1277"/>
    <w:link w:val="1048"/>
    <w:qFormat/>
    <w:rPr>
      <w:rFonts w:ascii="Calibri" w:hAnsi="Calibri" w:eastAsia="宋体"/>
      <w:sz w:val="21"/>
      <w:szCs w:val="22"/>
      <w:lang w:val="en-US" w:eastAsia="zh-CN" w:bidi="ar-SA"/>
    </w:rPr>
  </w:style>
  <w:style w:type="character" w:styleId="1278">
    <w:name w:val="页眉 Char"/>
    <w:next w:val="1278"/>
    <w:link w:val="1048"/>
    <w:qFormat/>
    <w:rPr>
      <w:rFonts w:eastAsia="宋体"/>
      <w:sz w:val="18"/>
      <w:szCs w:val="18"/>
      <w:lang w:val="en-US" w:eastAsia="zh-CN" w:bidi="ar-SA"/>
    </w:rPr>
  </w:style>
  <w:style w:type="character" w:styleId="1279">
    <w:name w:val="标题 2 Char"/>
    <w:next w:val="1279"/>
    <w:link w:val="1048"/>
    <w:qFormat/>
    <w:rPr>
      <w:rFonts w:ascii="Arial" w:hAnsi="Arial" w:eastAsia="黑体"/>
      <w:b/>
      <w:sz w:val="30"/>
      <w:lang w:val="en-US" w:eastAsia="zh-CN" w:bidi="ar-SA"/>
    </w:rPr>
  </w:style>
  <w:style w:type="paragraph" w:styleId="1280">
    <w:name w:val="字元 字元2"/>
    <w:basedOn w:val="1048"/>
    <w:next w:val="1280"/>
    <w:link w:val="1048"/>
    <w:qFormat/>
    <w:rPr>
      <w:rFonts w:ascii="Tahoma" w:hAnsi="Tahoma"/>
      <w:sz w:val="24"/>
      <w:szCs w:val="20"/>
    </w:rPr>
  </w:style>
  <w:style w:type="paragraph" w:styleId="1281">
    <w:name w:val="Char3 Char Char Char2"/>
    <w:basedOn w:val="1048"/>
    <w:next w:val="1281"/>
    <w:link w:val="1048"/>
    <w:qFormat/>
    <w:rPr>
      <w:rFonts w:ascii="Tahoma" w:hAnsi="Tahoma"/>
      <w:sz w:val="24"/>
      <w:szCs w:val="20"/>
    </w:rPr>
  </w:style>
  <w:style w:type="paragraph" w:styleId="1282">
    <w:name w:val="正文文本缩进2"/>
    <w:basedOn w:val="1048"/>
    <w:next w:val="1282"/>
    <w:link w:val="1048"/>
    <w:qFormat/>
    <w:pPr>
      <w:ind w:firstLine="480"/>
      <w:spacing w:line="480" w:lineRule="exact"/>
    </w:pPr>
    <w:rPr>
      <w:rFonts w:ascii="宋体" w:hAnsi="宋体"/>
      <w:sz w:val="24"/>
      <w:lang w:val="zh-CN" w:eastAsia="zh-CN"/>
    </w:rPr>
  </w:style>
  <w:style w:type="paragraph" w:styleId="1283">
    <w:name w:val="Char3"/>
    <w:basedOn w:val="1048"/>
    <w:next w:val="1283"/>
    <w:link w:val="1048"/>
    <w:qFormat/>
    <w:pPr>
      <w:tabs>
        <w:tab w:val="left" w:pos="360" w:leader="none"/>
      </w:tabs>
    </w:pPr>
    <w:rPr>
      <w:sz w:val="24"/>
    </w:rPr>
  </w:style>
  <w:style w:type="paragraph" w:styleId="1284">
    <w:name w:val="Char Char Char Char Char Char Char Char Char Char Char Char Char Char Char Char1"/>
    <w:basedOn w:val="1048"/>
    <w:next w:val="1284"/>
    <w:link w:val="1048"/>
    <w:qFormat/>
    <w:pPr>
      <w:jc w:val="center"/>
      <w:spacing w:after="160" w:line="240" w:lineRule="exact"/>
      <w:widowControl/>
    </w:pPr>
    <w:rPr>
      <w:rFonts w:ascii="宋体" w:hAnsi="宋体"/>
      <w:b/>
      <w:sz w:val="30"/>
      <w:szCs w:val="30"/>
      <w:lang w:eastAsia="en-US"/>
    </w:rPr>
  </w:style>
  <w:style w:type="paragraph" w:styleId="1285">
    <w:name w:val="Char Char1 Char Char Char Char Char Char1"/>
    <w:basedOn w:val="1048"/>
    <w:next w:val="1285"/>
    <w:link w:val="1048"/>
    <w:qFormat/>
    <w:pPr>
      <w:jc w:val="left"/>
      <w:spacing w:after="160" w:line="240" w:lineRule="exact"/>
      <w:widowControl/>
    </w:pPr>
    <w:rPr>
      <w:rFonts w:ascii="Verdana" w:hAnsi="Verdana" w:eastAsia="仿宋_GB2312"/>
      <w:sz w:val="24"/>
      <w:szCs w:val="20"/>
      <w:lang w:eastAsia="en-US"/>
    </w:rPr>
  </w:style>
  <w:style w:type="paragraph" w:styleId="1286">
    <w:name w:val="列出段落2"/>
    <w:basedOn w:val="1048"/>
    <w:next w:val="1286"/>
    <w:link w:val="1048"/>
    <w:qFormat/>
    <w:pPr>
      <w:ind w:firstLine="420"/>
    </w:pPr>
    <w:rPr>
      <w:rFonts w:ascii="Calibri" w:hAnsi="Calibri"/>
      <w:szCs w:val="22"/>
    </w:rPr>
  </w:style>
  <w:style w:type="paragraph" w:styleId="1287">
    <w:name w:val="Char Char Char1 Char2"/>
    <w:basedOn w:val="1048"/>
    <w:next w:val="1287"/>
    <w:link w:val="1048"/>
    <w:qFormat/>
    <w:rPr>
      <w:rFonts w:ascii="Tahoma" w:hAnsi="Tahoma"/>
      <w:sz w:val="24"/>
      <w:szCs w:val="20"/>
    </w:rPr>
  </w:style>
  <w:style w:type="paragraph" w:styleId="1288">
    <w:name w:val="Char Char Char2"/>
    <w:basedOn w:val="1048"/>
    <w:next w:val="1288"/>
    <w:link w:val="1048"/>
    <w:qFormat/>
    <w:rPr>
      <w:rFonts w:ascii="Tahoma" w:hAnsi="Tahoma"/>
      <w:sz w:val="24"/>
      <w:szCs w:val="20"/>
    </w:rPr>
  </w:style>
  <w:style w:type="paragraph" w:styleId="1289">
    <w:name w:val="Char Char Char Char Char Char Char2"/>
    <w:basedOn w:val="1048"/>
    <w:next w:val="1289"/>
    <w:link w:val="1048"/>
    <w:qFormat/>
    <w:pPr>
      <w:ind w:firstLine="200"/>
      <w:spacing w:line="360" w:lineRule="auto"/>
    </w:pPr>
    <w:rPr>
      <w:rFonts w:eastAsia="仿宋_GB2312"/>
      <w:sz w:val="24"/>
    </w:rPr>
  </w:style>
  <w:style w:type="paragraph" w:styleId="1290">
    <w:name w:val="正文缩进2"/>
    <w:basedOn w:val="1048"/>
    <w:next w:val="1290"/>
    <w:link w:val="1048"/>
    <w:qFormat/>
    <w:pPr>
      <w:ind w:firstLine="567"/>
      <w:spacing w:line="480" w:lineRule="exact"/>
      <w:widowControl/>
    </w:pPr>
    <w:rPr>
      <w:rFonts w:ascii="宋体"/>
      <w:color w:val="000000"/>
      <w:sz w:val="28"/>
      <w:szCs w:val="20"/>
      <w:lang w:val="zh-CN" w:eastAsia="zh-CN"/>
    </w:rPr>
  </w:style>
  <w:style w:type="paragraph" w:styleId="1291">
    <w:name w:val="Revision"/>
    <w:next w:val="1291"/>
    <w:link w:val="1048"/>
    <w:qFormat/>
    <w:rPr>
      <w:sz w:val="21"/>
      <w:szCs w:val="24"/>
      <w:lang w:val="en-US" w:eastAsia="zh-CN" w:bidi="ar-SA"/>
    </w:rPr>
  </w:style>
  <w:style w:type="paragraph" w:styleId="1292">
    <w:name w:val="Char22"/>
    <w:basedOn w:val="1048"/>
    <w:next w:val="1292"/>
    <w:link w:val="1048"/>
    <w:qFormat/>
    <w:rPr>
      <w:rFonts w:ascii="Tahoma" w:hAnsi="Tahoma"/>
      <w:sz w:val="24"/>
      <w:szCs w:val="20"/>
    </w:rPr>
  </w:style>
  <w:style w:type="paragraph" w:styleId="1293">
    <w:name w:val="Char Char Char Char Char Char Char Char Char Char2"/>
    <w:basedOn w:val="1048"/>
    <w:next w:val="1293"/>
    <w:link w:val="1048"/>
    <w:qFormat/>
    <w:rPr>
      <w:rFonts w:ascii="宋体" w:hAnsi="宋体" w:cs="Courier New"/>
      <w:sz w:val="32"/>
      <w:szCs w:val="32"/>
    </w:rPr>
  </w:style>
  <w:style w:type="paragraph" w:styleId="1294">
    <w:name w:val="Char2 Char Char Char Char Char Char1"/>
    <w:basedOn w:val="1048"/>
    <w:next w:val="1294"/>
    <w:link w:val="1048"/>
    <w:qFormat/>
    <w:pPr>
      <w:jc w:val="center"/>
      <w:spacing w:line="400" w:lineRule="exact"/>
      <w:widowControl/>
    </w:pPr>
  </w:style>
  <w:style w:type="character" w:styleId="1295">
    <w:name w:val="页脚 Char"/>
    <w:next w:val="1295"/>
    <w:link w:val="1048"/>
    <w:qFormat/>
    <w:rPr>
      <w:rFonts w:ascii="宋体" w:eastAsia="宋体"/>
      <w:sz w:val="18"/>
      <w:lang w:val="en-US" w:eastAsia="zh-CN" w:bidi="ar-SA"/>
    </w:rPr>
  </w:style>
  <w:style w:type="paragraph" w:styleId="1296">
    <w:name w:val="Char Char41"/>
    <w:basedOn w:val="1048"/>
    <w:next w:val="1296"/>
    <w:link w:val="1048"/>
    <w:qFormat/>
    <w:pPr>
      <w:jc w:val="center"/>
      <w:spacing w:line="400" w:lineRule="exact"/>
      <w:widowControl/>
    </w:pPr>
  </w:style>
  <w:style w:type="character" w:styleId="1297">
    <w:name w:val="批注文字 Char"/>
    <w:next w:val="1297"/>
    <w:link w:val="1048"/>
    <w:uiPriority w:val="99"/>
    <w:qFormat/>
    <w:rPr>
      <w:sz w:val="21"/>
      <w:szCs w:val="24"/>
    </w:rPr>
  </w:style>
  <w:style w:type="character" w:styleId="1298">
    <w:name w:val="标题 Char"/>
    <w:next w:val="1298"/>
    <w:link w:val="1048"/>
    <w:qFormat/>
    <w:rPr>
      <w:b/>
      <w:sz w:val="32"/>
    </w:rPr>
  </w:style>
  <w:style w:type="paragraph" w:styleId="1299">
    <w:name w:val="图例"/>
    <w:basedOn w:val="1048"/>
    <w:next w:val="1299"/>
    <w:link w:val="1048"/>
    <w:qFormat/>
    <w:pPr>
      <w:jc w:val="center"/>
      <w:spacing w:before="120" w:after="120" w:line="360" w:lineRule="auto"/>
    </w:pPr>
    <w:rPr>
      <w:rFonts w:eastAsia="仿宋_GB2312"/>
      <w:b/>
      <w:sz w:val="24"/>
      <w:szCs w:val="20"/>
    </w:rPr>
  </w:style>
  <w:style w:type="table" w:styleId="1300">
    <w:name w:val="Table Normal"/>
    <w:next w:val="1300"/>
    <w:link w:val="1048"/>
    <w:uiPriority w:val="2"/>
    <w:unhideWhenUsed/>
    <w:qFormat/>
    <w:pPr>
      <w:widowControl w:val="off"/>
    </w:pPr>
    <w:rPr>
      <w:rFonts w:ascii="Calibri" w:hAnsi="Calibri"/>
      <w:sz w:val="22"/>
      <w:szCs w:val="22"/>
      <w:lang w:val="en-US" w:eastAsia="en-US" w:bidi="ar-SA"/>
    </w:rPr>
    <w:tblPr/>
  </w:style>
  <w:style w:type="paragraph" w:styleId="1301">
    <w:name w:val="Table Paragraph"/>
    <w:basedOn w:val="1048"/>
    <w:next w:val="1301"/>
    <w:link w:val="1048"/>
    <w:uiPriority w:val="1"/>
    <w:qFormat/>
    <w:pPr>
      <w:jc w:val="left"/>
    </w:pPr>
    <w:rPr>
      <w:rFonts w:ascii="宋体" w:hAnsi="宋体" w:cs="宋体"/>
      <w:sz w:val="22"/>
      <w:szCs w:val="22"/>
      <w:lang w:eastAsia="en-US"/>
    </w:rPr>
  </w:style>
  <w:style w:type="paragraph" w:styleId="1302">
    <w:name w:val="成文日期"/>
    <w:basedOn w:val="1048"/>
    <w:next w:val="1302"/>
    <w:link w:val="1303"/>
    <w:qFormat/>
    <w:pPr>
      <w:ind w:right="400" w:firstLine="200"/>
      <w:jc w:val="right"/>
      <w:spacing w:line="570" w:lineRule="exact"/>
    </w:pPr>
    <w:rPr>
      <w:rFonts w:ascii="仿宋_GB2312" w:eastAsia="仿宋_GB2312"/>
      <w:sz w:val="32"/>
      <w:szCs w:val="20"/>
    </w:rPr>
  </w:style>
  <w:style w:type="character" w:styleId="1303">
    <w:name w:val="成文日期 Char"/>
    <w:next w:val="1303"/>
    <w:link w:val="1302"/>
    <w:rPr>
      <w:rFonts w:ascii="仿宋_GB2312" w:eastAsia="仿宋_GB2312"/>
      <w:sz w:val="32"/>
    </w:rPr>
  </w:style>
  <w:style w:type="paragraph" w:styleId="1304">
    <w:name w:val="修订"/>
    <w:next w:val="1304"/>
    <w:link w:val="1048"/>
    <w:uiPriority w:val="99"/>
    <w:unhideWhenUsed/>
    <w:rPr>
      <w:sz w:val="21"/>
      <w:szCs w:val="24"/>
      <w:lang w:val="en-US" w:eastAsia="zh-CN" w:bidi="ar-SA"/>
    </w:rPr>
  </w:style>
  <w:style w:type="character" w:styleId="1305">
    <w:name w:val="thisclass"/>
    <w:next w:val="1305"/>
    <w:link w:val="1048"/>
    <w:rPr>
      <w:b/>
      <w:bCs/>
      <w:color w:val="ffffff"/>
      <w:shd w:val="clear" w:color="auto" w:fill="2e6ab1"/>
    </w:rPr>
  </w:style>
  <w:style w:type="character" w:styleId="1306">
    <w:name w:val="disabled"/>
    <w:next w:val="1306"/>
    <w:link w:val="1048"/>
    <w:rPr>
      <w:color w:val="929292"/>
    </w:rPr>
  </w:style>
  <w:style w:type="character" w:styleId="1307">
    <w:name w:val="nav-on"/>
    <w:next w:val="1307"/>
    <w:link w:val="1048"/>
    <w:rPr>
      <w:vanish/>
    </w:rPr>
  </w:style>
  <w:style w:type="paragraph" w:styleId="1308">
    <w:name w:val="_Style 260"/>
    <w:basedOn w:val="1048"/>
    <w:next w:val="1150"/>
    <w:link w:val="1048"/>
    <w:uiPriority w:val="99"/>
    <w:qFormat/>
    <w:pPr>
      <w:ind w:firstLine="420"/>
    </w:pPr>
    <w:rPr>
      <w:rFonts w:ascii="Calibri" w:hAnsi="Calibri"/>
      <w:szCs w:val="22"/>
    </w:rPr>
  </w:style>
  <w:style w:type="paragraph" w:styleId="1309">
    <w:name w:val="null3"/>
    <w:next w:val="1309"/>
    <w:link w:val="1048"/>
    <w:qFormat/>
    <w:rPr>
      <w:rFonts w:hint="eastAsia" w:ascii="Calibri" w:hAnsi="Calibri" w:eastAsia="宋体" w:cs="Times New Roman"/>
      <w:lang w:val="en-US" w:eastAsia="zh-CN" w:bidi="ar-SA"/>
    </w:rPr>
  </w:style>
  <w:style w:type="character" w:styleId="1310">
    <w:name w:val="font81"/>
    <w:basedOn w:val="1058"/>
    <w:next w:val="1310"/>
    <w:link w:val="1048"/>
    <w:rPr>
      <w:rFonts w:ascii="Calibri" w:hAnsi="Calibri" w:cs="Calibri"/>
      <w:i w:val="0"/>
      <w:iCs w:val="0"/>
      <w:color w:val="000000"/>
      <w:sz w:val="20"/>
      <w:szCs w:val="20"/>
      <w:u w:val="none"/>
    </w:rPr>
  </w:style>
  <w:style w:type="character" w:styleId="1311">
    <w:name w:val="font41"/>
    <w:basedOn w:val="1058"/>
    <w:next w:val="1311"/>
    <w:link w:val="1048"/>
    <w:rPr>
      <w:rFonts w:hint="eastAsia" w:ascii="宋体" w:hAnsi="宋体" w:eastAsia="宋体" w:cs="宋体"/>
      <w:i w:val="0"/>
      <w:iCs w:val="0"/>
      <w:color w:val="000000"/>
      <w:sz w:val="20"/>
      <w:szCs w:val="20"/>
      <w:u w:val="none"/>
    </w:rPr>
  </w:style>
  <w:style w:type="character" w:styleId="1312">
    <w:name w:val="font91"/>
    <w:basedOn w:val="1058"/>
    <w:next w:val="1312"/>
    <w:link w:val="1048"/>
    <w:rPr>
      <w:rFonts w:hint="eastAsia" w:ascii="宋体" w:hAnsi="宋体" w:eastAsia="宋体" w:cs="宋体"/>
      <w:b/>
      <w:bCs/>
      <w:i w:val="0"/>
      <w:iCs w:val="0"/>
      <w:color w:val="000000"/>
      <w:sz w:val="20"/>
      <w:szCs w:val="20"/>
      <w:u w:val="none"/>
    </w:rPr>
  </w:style>
  <w:style w:type="character" w:styleId="1313">
    <w:name w:val="font101"/>
    <w:basedOn w:val="1058"/>
    <w:next w:val="1313"/>
    <w:link w:val="1048"/>
    <w:rPr>
      <w:rFonts w:ascii="Calibri" w:hAnsi="Calibri" w:cs="Calibri"/>
      <w:i w:val="0"/>
      <w:iCs w:val="0"/>
      <w:color w:val="000000"/>
      <w:sz w:val="20"/>
      <w:szCs w:val="20"/>
      <w:u w:val="none"/>
    </w:rPr>
  </w:style>
  <w:style w:type="character" w:styleId="1314">
    <w:name w:val="font21"/>
    <w:basedOn w:val="1058"/>
    <w:next w:val="1314"/>
    <w:link w:val="1048"/>
    <w:rPr>
      <w:rFonts w:hint="eastAsia" w:ascii="宋体" w:hAnsi="宋体" w:eastAsia="宋体" w:cs="宋体"/>
      <w:i w:val="0"/>
      <w:iCs w:val="0"/>
      <w:color w:val="000000"/>
      <w:sz w:val="20"/>
      <w:szCs w:val="20"/>
      <w:u w:val="none"/>
    </w:rPr>
  </w:style>
  <w:style w:type="character" w:styleId="1315">
    <w:name w:val="font12"/>
    <w:basedOn w:val="1058"/>
    <w:next w:val="1315"/>
    <w:link w:val="1048"/>
    <w:rPr>
      <w:rFonts w:hint="eastAsia" w:ascii="宋体" w:hAnsi="宋体" w:eastAsia="宋体" w:cs="宋体"/>
      <w:b/>
      <w:bCs/>
      <w:i w:val="0"/>
      <w:iCs w:val="0"/>
      <w:color w:val="000000"/>
      <w:sz w:val="20"/>
      <w:szCs w:val="20"/>
      <w:u w:val="none"/>
    </w:rPr>
  </w:style>
  <w:style w:type="character" w:styleId="1316">
    <w:name w:val="font122"/>
    <w:basedOn w:val="1058"/>
    <w:next w:val="1316"/>
    <w:link w:val="1048"/>
    <w:rPr>
      <w:rFonts w:ascii="微软雅黑" w:hAnsi="微软雅黑" w:eastAsia="微软雅黑" w:cs="微软雅黑"/>
      <w:i w:val="0"/>
      <w:iCs w:val="0"/>
      <w:color w:val="000000"/>
      <w:sz w:val="20"/>
      <w:szCs w:val="20"/>
      <w:u w:val="none"/>
    </w:rPr>
  </w:style>
  <w:style w:type="character" w:styleId="1317">
    <w:name w:val="font131"/>
    <w:basedOn w:val="1058"/>
    <w:next w:val="1317"/>
    <w:link w:val="1048"/>
    <w:rPr>
      <w:rFonts w:hint="eastAsia" w:ascii="宋体" w:hAnsi="宋体" w:eastAsia="宋体" w:cs="宋体"/>
      <w:b/>
      <w:bCs/>
      <w:i w:val="0"/>
      <w:iCs w:val="0"/>
      <w:color w:val="000000"/>
      <w:sz w:val="20"/>
      <w:szCs w:val="20"/>
      <w:u w:val="none"/>
    </w:rPr>
  </w:style>
  <w:style w:type="character" w:styleId="1318">
    <w:name w:val="font51"/>
    <w:basedOn w:val="1058"/>
    <w:next w:val="1318"/>
    <w:link w:val="1048"/>
    <w:rPr>
      <w:rFonts w:hint="eastAsia" w:ascii="宋体" w:hAnsi="宋体" w:eastAsia="宋体" w:cs="宋体"/>
      <w:i w:val="0"/>
      <w:iCs w:val="0"/>
      <w:color w:val="000000"/>
      <w:sz w:val="20"/>
      <w:szCs w:val="20"/>
      <w:u w:val="none"/>
    </w:rPr>
  </w:style>
  <w:style w:type="paragraph" w:styleId="1319">
    <w:name w:val="列表段落2"/>
    <w:basedOn w:val="1048"/>
    <w:next w:val="1319"/>
    <w:link w:val="1048"/>
    <w:uiPriority w:val="34"/>
    <w:qFormat/>
    <w:pPr>
      <w:contextualSpacing/>
      <w:ind w:left="720"/>
    </w:pPr>
  </w:style>
  <w:style w:type="paragraph" w:styleId="1320">
    <w:name w:val="样式"/>
    <w:next w:val="1320"/>
    <w:link w:val="1048"/>
    <w:qFormat/>
    <w:pPr>
      <w:widowControl w:val="off"/>
    </w:pPr>
    <w:rPr>
      <w:rFonts w:ascii="Calibri" w:hAnsi="Calibri" w:eastAsia="宋体" w:cs="Times New Roman"/>
      <w:sz w:val="24"/>
      <w:szCs w:val="24"/>
      <w:lang w:val="en-US" w:eastAsia="zh-CN" w:bidi="ar-SA"/>
    </w:rPr>
  </w:style>
  <w:style w:type="paragraph" w:styleId="1321">
    <w:name w:val="普通(网站)1"/>
    <w:basedOn w:val="1048"/>
    <w:next w:val="1321"/>
    <w:link w:val="1048"/>
    <w:uiPriority w:val="99"/>
    <w:unhideWhenUsed/>
    <w:qFormat/>
    <w:pPr>
      <w:jc w:val="left"/>
      <w:spacing w:before="100" w:beforeAutospacing="1" w:after="100" w:afterAutospacing="1"/>
      <w:widowControl/>
    </w:pPr>
    <w:rPr>
      <w:rFonts w:ascii="宋体" w:hAnsi="宋体" w:cs="宋体"/>
      <w:sz w:val="24"/>
    </w:rPr>
  </w:style>
  <w:style w:type="paragraph" w:styleId="1322">
    <w:name w:val="正文 A"/>
    <w:next w:val="1322"/>
    <w:link w:val="1048"/>
    <w:qFormat/>
    <w:pPr>
      <w:jc w:val="both"/>
      <w:widowControl w:val="off"/>
    </w:pPr>
    <w:rPr>
      <w:rFonts w:ascii="Times New Roman" w:hAnsi="Times New Roman" w:eastAsia="Times New Roman" w:cs="Times New Roman"/>
      <w:color w:val="000000"/>
      <w:sz w:val="21"/>
      <w:szCs w:val="21"/>
      <w:u w:val="none"/>
      <w:lang w:val="en-US" w:eastAsia="zh-CN" w:bidi="ar-SA"/>
    </w:rPr>
  </w:style>
  <w:style w:type="paragraph" w:styleId="1323">
    <w:name w:val="正文文本缩进11"/>
    <w:basedOn w:val="1048"/>
    <w:next w:val="1048"/>
    <w:link w:val="1048"/>
    <w:qFormat/>
    <w:pPr>
      <w:ind w:firstLine="570"/>
      <w:spacing w:line="360" w:lineRule="auto"/>
    </w:pPr>
    <w:rPr>
      <w:sz w:val="24"/>
    </w:rPr>
  </w:style>
  <w:style w:type="paragraph" w:styleId="1324">
    <w:name w:val="AONormal"/>
    <w:next w:val="1324"/>
    <w:link w:val="1048"/>
    <w:qFormat/>
    <w:pPr>
      <w:ind w:firstLine="440"/>
      <w:spacing w:line="400" w:lineRule="exact"/>
    </w:pPr>
    <w:rPr>
      <w:rFonts w:ascii="华文楷体" w:hAnsi="华文楷体" w:eastAsia="华文楷体" w:cs="华文楷体"/>
      <w:sz w:val="22"/>
      <w:szCs w:val="21"/>
      <w:lang w:val="en-US" w:eastAsia="zh-CN" w:bidi="ar-SA"/>
    </w:rPr>
  </w:style>
  <w:style w:type="paragraph" w:styleId="1325">
    <w:name w:val="标题 21"/>
    <w:basedOn w:val="1048"/>
    <w:next w:val="1048"/>
    <w:link w:val="1048"/>
    <w:qFormat/>
    <w:pPr>
      <w:jc w:val="center"/>
      <w:keepLines/>
      <w:keepNext/>
      <w:spacing w:before="120" w:line="300" w:lineRule="auto"/>
      <w:outlineLvl w:val="1"/>
    </w:pPr>
    <w:rPr>
      <w:rFonts w:ascii="Arial" w:hAnsi="Arial" w:eastAsia="黑体"/>
      <w:b/>
      <w:sz w:val="30"/>
      <w:szCs w:val="20"/>
    </w:rPr>
  </w:style>
  <w:style w:type="paragraph" w:styleId="1326">
    <w:name w:val="纯文本1"/>
    <w:basedOn w:val="1048"/>
    <w:next w:val="1326"/>
    <w:link w:val="1048"/>
    <w:qFormat/>
    <w:rPr>
      <w:rFonts w:hint="eastAsia" w:ascii="宋体" w:hAnsi="Courier New"/>
      <w:szCs w:val="20"/>
    </w:rPr>
  </w:style>
  <w:style w:type="paragraph" w:styleId="1327">
    <w:name w:val="表格"/>
    <w:basedOn w:val="1048"/>
    <w:next w:val="1327"/>
    <w:link w:val="1048"/>
    <w:qFormat/>
    <w:pPr>
      <w:ind w:firstLine="0"/>
      <w:jc w:val="center"/>
      <w:spacing w:line="240" w:lineRule="auto"/>
      <w:widowControl/>
    </w:pPr>
    <w:rPr>
      <w:rFonts w:ascii="宋体" w:hAnsi="宋体"/>
      <w:color w:val="000000"/>
      <w:sz w:val="21"/>
    </w:rPr>
  </w:style>
  <w:style w:type="character" w:styleId="1328" w:default="1">
    <w:name w:val="Default Paragraph Font"/>
    <w:uiPriority w:val="1"/>
    <w:semiHidden/>
    <w:unhideWhenUsed/>
  </w:style>
  <w:style w:type="numbering" w:styleId="1329" w:default="1">
    <w:name w:val="No List"/>
    <w:uiPriority w:val="99"/>
    <w:semiHidden/>
    <w:unhideWhenUsed/>
  </w:style>
  <w:style w:type="table" w:styleId="13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叶蕾</cp:lastModifiedBy>
  <cp:revision>7</cp:revision>
  <dcterms:created xsi:type="dcterms:W3CDTF">2022-05-30T08:08:00Z</dcterms:created>
  <dcterms:modified xsi:type="dcterms:W3CDTF">2026-10-08T08:18:45Z</dcterms:modified>
</cp:coreProperties>
</file>